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5D708" w14:textId="77777777" w:rsidR="00570127" w:rsidRPr="00E30CD9" w:rsidRDefault="00570127" w:rsidP="00A96810">
      <w:pPr>
        <w:pStyle w:val="Title"/>
        <w:spacing w:line="240" w:lineRule="auto"/>
      </w:pPr>
      <w:r w:rsidRPr="00E30CD9">
        <w:t>Data and Information Strategy for Health and Disability |</w:t>
      </w:r>
      <w:r w:rsidRPr="00E30CD9">
        <w:br/>
      </w:r>
      <w:r w:rsidRPr="00E30CD9">
        <w:rPr>
          <w:spacing w:val="-3"/>
        </w:rPr>
        <w:t xml:space="preserve">He </w:t>
      </w:r>
      <w:proofErr w:type="spellStart"/>
      <w:r w:rsidRPr="00E30CD9">
        <w:t>Rautaki</w:t>
      </w:r>
      <w:proofErr w:type="spellEnd"/>
      <w:r w:rsidRPr="00E30CD9">
        <w:t xml:space="preserve"> </w:t>
      </w:r>
      <w:proofErr w:type="spellStart"/>
      <w:r w:rsidRPr="00E30CD9">
        <w:t>Raraunga</w:t>
      </w:r>
      <w:proofErr w:type="spellEnd"/>
      <w:r w:rsidRPr="00E30CD9">
        <w:t>,</w:t>
      </w:r>
      <w:r w:rsidR="00E30CD9">
        <w:br/>
      </w:r>
      <w:r w:rsidRPr="00E30CD9">
        <w:rPr>
          <w:spacing w:val="-3"/>
        </w:rPr>
        <w:t>He</w:t>
      </w:r>
      <w:r w:rsidR="00E30CD9">
        <w:rPr>
          <w:spacing w:val="-3"/>
        </w:rPr>
        <w:t xml:space="preserve"> </w:t>
      </w:r>
      <w:proofErr w:type="spellStart"/>
      <w:r w:rsidR="00E30CD9">
        <w:rPr>
          <w:spacing w:val="-3"/>
        </w:rPr>
        <w:t>Rautaki</w:t>
      </w:r>
      <w:proofErr w:type="spellEnd"/>
      <w:r w:rsidR="00E30CD9">
        <w:rPr>
          <w:spacing w:val="-3"/>
        </w:rPr>
        <w:t xml:space="preserve"> </w:t>
      </w:r>
      <w:proofErr w:type="spellStart"/>
      <w:r w:rsidRPr="00E30CD9">
        <w:t>Pārongo</w:t>
      </w:r>
      <w:proofErr w:type="spellEnd"/>
      <w:r w:rsidRPr="00E30CD9">
        <w:t xml:space="preserve"> </w:t>
      </w:r>
      <w:proofErr w:type="spellStart"/>
      <w:r w:rsidRPr="00E30CD9">
        <w:rPr>
          <w:spacing w:val="-3"/>
        </w:rPr>
        <w:t>mō</w:t>
      </w:r>
      <w:proofErr w:type="spellEnd"/>
      <w:r w:rsidRPr="00E30CD9">
        <w:rPr>
          <w:spacing w:val="-3"/>
        </w:rPr>
        <w:t xml:space="preserve"> </w:t>
      </w:r>
      <w:proofErr w:type="spellStart"/>
      <w:r w:rsidRPr="00E30CD9">
        <w:rPr>
          <w:spacing w:val="-3"/>
        </w:rPr>
        <w:t>te</w:t>
      </w:r>
      <w:proofErr w:type="spellEnd"/>
      <w:r w:rsidRPr="00E30CD9">
        <w:rPr>
          <w:spacing w:val="-3"/>
        </w:rPr>
        <w:t xml:space="preserve"> </w:t>
      </w:r>
      <w:proofErr w:type="spellStart"/>
      <w:r w:rsidRPr="00E30CD9">
        <w:t>Pūnaha</w:t>
      </w:r>
      <w:proofErr w:type="spellEnd"/>
      <w:r w:rsidRPr="00E30CD9">
        <w:t xml:space="preserve"> Hauora, </w:t>
      </w:r>
      <w:proofErr w:type="spellStart"/>
      <w:r w:rsidRPr="00E30CD9">
        <w:t>Whaikaha</w:t>
      </w:r>
      <w:proofErr w:type="spellEnd"/>
      <w:r w:rsidRPr="00E30CD9">
        <w:t xml:space="preserve"> </w:t>
      </w:r>
      <w:proofErr w:type="spellStart"/>
      <w:r w:rsidRPr="00E30CD9">
        <w:t>hoki</w:t>
      </w:r>
      <w:proofErr w:type="spellEnd"/>
    </w:p>
    <w:p w14:paraId="0075D709" w14:textId="77777777" w:rsidR="00D27922" w:rsidRPr="00570127" w:rsidRDefault="00570127" w:rsidP="00570127">
      <w:pPr>
        <w:pStyle w:val="Subhead"/>
      </w:pPr>
      <w:r>
        <w:t>Stronger evidence, better decisions,</w:t>
      </w:r>
      <w:r w:rsidR="00F71A66">
        <w:br/>
      </w:r>
      <w:r>
        <w:t>improved health and wellbeing |</w:t>
      </w:r>
      <w:r>
        <w:br/>
      </w:r>
      <w:proofErr w:type="spellStart"/>
      <w:r w:rsidRPr="00570127">
        <w:t>Hei</w:t>
      </w:r>
      <w:proofErr w:type="spellEnd"/>
      <w:r w:rsidRPr="00570127">
        <w:t xml:space="preserve"> </w:t>
      </w:r>
      <w:proofErr w:type="spellStart"/>
      <w:r w:rsidRPr="00570127">
        <w:t>whakapakari</w:t>
      </w:r>
      <w:proofErr w:type="spellEnd"/>
      <w:r w:rsidRPr="00570127">
        <w:t xml:space="preserve"> </w:t>
      </w:r>
      <w:proofErr w:type="spellStart"/>
      <w:r w:rsidRPr="00570127">
        <w:t>ake</w:t>
      </w:r>
      <w:proofErr w:type="spellEnd"/>
      <w:r w:rsidRPr="00570127">
        <w:t xml:space="preserve"> </w:t>
      </w:r>
      <w:proofErr w:type="spellStart"/>
      <w:r w:rsidRPr="00570127">
        <w:t>i</w:t>
      </w:r>
      <w:proofErr w:type="spellEnd"/>
      <w:r w:rsidRPr="00570127">
        <w:t xml:space="preserve"> </w:t>
      </w:r>
      <w:proofErr w:type="spellStart"/>
      <w:r w:rsidRPr="00570127">
        <w:t>ngā</w:t>
      </w:r>
      <w:proofErr w:type="spellEnd"/>
      <w:r w:rsidRPr="00570127">
        <w:t xml:space="preserve"> </w:t>
      </w:r>
      <w:proofErr w:type="spellStart"/>
      <w:r w:rsidRPr="00570127">
        <w:t>taunakitanga</w:t>
      </w:r>
      <w:proofErr w:type="spellEnd"/>
      <w:r w:rsidRPr="00570127">
        <w:t xml:space="preserve">, </w:t>
      </w:r>
      <w:proofErr w:type="spellStart"/>
      <w:r w:rsidRPr="00570127">
        <w:t>ngā</w:t>
      </w:r>
      <w:proofErr w:type="spellEnd"/>
      <w:r w:rsidR="00F71A66">
        <w:t> </w:t>
      </w:r>
      <w:proofErr w:type="spellStart"/>
      <w:r w:rsidRPr="00570127">
        <w:t>whakataunga</w:t>
      </w:r>
      <w:proofErr w:type="spellEnd"/>
      <w:r w:rsidRPr="00570127">
        <w:t xml:space="preserve"> me </w:t>
      </w:r>
      <w:proofErr w:type="spellStart"/>
      <w:r w:rsidRPr="00570127">
        <w:t>te</w:t>
      </w:r>
      <w:proofErr w:type="spellEnd"/>
      <w:r w:rsidRPr="00570127">
        <w:t xml:space="preserve"> </w:t>
      </w:r>
      <w:proofErr w:type="spellStart"/>
      <w:r w:rsidRPr="00570127">
        <w:t>hauora</w:t>
      </w:r>
      <w:proofErr w:type="spellEnd"/>
      <w:r w:rsidRPr="00570127">
        <w:t xml:space="preserve"> o </w:t>
      </w:r>
      <w:proofErr w:type="spellStart"/>
      <w:r w:rsidRPr="00570127">
        <w:t>te</w:t>
      </w:r>
      <w:proofErr w:type="spellEnd"/>
      <w:r w:rsidRPr="00570127">
        <w:rPr>
          <w:spacing w:val="-57"/>
        </w:rPr>
        <w:t xml:space="preserve"> </w:t>
      </w:r>
      <w:proofErr w:type="spellStart"/>
      <w:r w:rsidRPr="00570127">
        <w:t>tangata</w:t>
      </w:r>
      <w:proofErr w:type="spellEnd"/>
    </w:p>
    <w:p w14:paraId="0075D70A" w14:textId="77777777" w:rsidR="00D27922" w:rsidRPr="00D27922" w:rsidRDefault="00570127" w:rsidP="00D27922">
      <w:pPr>
        <w:pStyle w:val="Year"/>
      </w:pPr>
      <w:r>
        <w:t>2021</w:t>
      </w:r>
    </w:p>
    <w:p w14:paraId="0075D70B" w14:textId="77777777" w:rsidR="00C05132" w:rsidRDefault="00C05132" w:rsidP="00A06BE4"/>
    <w:p w14:paraId="0075D70C"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0075D70D" w14:textId="77777777" w:rsidR="00D27922" w:rsidRDefault="00D27922" w:rsidP="00D27922">
      <w:pPr>
        <w:pStyle w:val="Heading3"/>
      </w:pPr>
      <w:r>
        <w:lastRenderedPageBreak/>
        <w:t>Acknowledgements</w:t>
      </w:r>
    </w:p>
    <w:p w14:paraId="0075D70E" w14:textId="77777777" w:rsidR="00D27922" w:rsidRPr="005C6DEB" w:rsidRDefault="00F71A66" w:rsidP="00F71A66">
      <w:pPr>
        <w:rPr>
          <w:sz w:val="20"/>
        </w:rPr>
      </w:pPr>
      <w:r w:rsidRPr="005C6DEB">
        <w:rPr>
          <w:sz w:val="20"/>
        </w:rPr>
        <w:t xml:space="preserve">The development of the Data and Information Strategy for Health and Disability has involved valued input from people across the sector. The breadth of engagement and contributions demonstrate the high value that the sector places on data and information. The Ministry of Health acknowledges and thanks healthAlliance for its work in the development of this strategy and roadmap, and recognises the advice and comments provided by the following contributors: the Office of the Privacy Commissioner, the Social Wellbeing Agency, Stats NZ, the Department of Internal Affairs, </w:t>
      </w:r>
      <w:proofErr w:type="spellStart"/>
      <w:r w:rsidRPr="005C6DEB">
        <w:rPr>
          <w:sz w:val="20"/>
        </w:rPr>
        <w:t>Te</w:t>
      </w:r>
      <w:proofErr w:type="spellEnd"/>
      <w:r w:rsidRPr="005C6DEB">
        <w:rPr>
          <w:sz w:val="20"/>
        </w:rPr>
        <w:t xml:space="preserve"> Mana </w:t>
      </w:r>
      <w:proofErr w:type="spellStart"/>
      <w:r w:rsidRPr="005C6DEB">
        <w:rPr>
          <w:sz w:val="20"/>
        </w:rPr>
        <w:t>Raraunga</w:t>
      </w:r>
      <w:proofErr w:type="spellEnd"/>
      <w:r w:rsidRPr="005C6DEB">
        <w:rPr>
          <w:sz w:val="20"/>
        </w:rPr>
        <w:t xml:space="preserve">, the University of Auckland, Waikato District Health Board, New Zealand Health IT, the Health Navigator Consumer Council, Precision Driven Health, the Ministry of Education, the Health Quality &amp; Safety Commission, the National Health CIO Forum, the Primary Care CIO Forum, Waitemata District Health Board, </w:t>
      </w:r>
      <w:proofErr w:type="spellStart"/>
      <w:r w:rsidRPr="005C6DEB">
        <w:rPr>
          <w:sz w:val="20"/>
        </w:rPr>
        <w:t>WellSouth</w:t>
      </w:r>
      <w:proofErr w:type="spellEnd"/>
      <w:r w:rsidRPr="005C6DEB">
        <w:rPr>
          <w:sz w:val="20"/>
        </w:rPr>
        <w:t xml:space="preserve">, </w:t>
      </w:r>
      <w:proofErr w:type="spellStart"/>
      <w:r w:rsidRPr="005C6DEB">
        <w:rPr>
          <w:sz w:val="20"/>
        </w:rPr>
        <w:t>Aseco</w:t>
      </w:r>
      <w:proofErr w:type="spellEnd"/>
      <w:r w:rsidRPr="005C6DEB">
        <w:rPr>
          <w:sz w:val="20"/>
        </w:rPr>
        <w:t>, Patients First, Southern Alliance and Health Informatics New Zealand.</w:t>
      </w:r>
    </w:p>
    <w:p w14:paraId="0075D70F" w14:textId="02F4AF8A"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F71A66">
        <w:rPr>
          <w:rFonts w:cs="Segoe UI"/>
        </w:rPr>
        <w:t>2021</w:t>
      </w:r>
      <w:r w:rsidR="00442C1C" w:rsidRPr="00C05132">
        <w:rPr>
          <w:rFonts w:cs="Segoe UI"/>
        </w:rPr>
        <w:t xml:space="preserve">. </w:t>
      </w:r>
      <w:r w:rsidR="00F71A66">
        <w:rPr>
          <w:rFonts w:cs="Segoe UI"/>
          <w:i/>
        </w:rPr>
        <w:t xml:space="preserve">Data and Information Strategy for Health and Disability: Stronger evidence, better decisions, improved </w:t>
      </w:r>
      <w:proofErr w:type="gramStart"/>
      <w:r w:rsidR="00F71A66">
        <w:rPr>
          <w:rFonts w:cs="Segoe UI"/>
          <w:i/>
        </w:rPr>
        <w:t>health</w:t>
      </w:r>
      <w:proofErr w:type="gramEnd"/>
      <w:r w:rsidR="00F71A66">
        <w:rPr>
          <w:rFonts w:cs="Segoe UI"/>
          <w:i/>
        </w:rPr>
        <w:t xml:space="preserve"> and wellbeing</w:t>
      </w:r>
      <w:r w:rsidR="00442C1C" w:rsidRPr="00C05132">
        <w:rPr>
          <w:rFonts w:cs="Segoe UI"/>
        </w:rPr>
        <w:t>. Wellington: Ministry of Health.</w:t>
      </w:r>
    </w:p>
    <w:p w14:paraId="0075D710" w14:textId="56C8C0DB" w:rsidR="00C86248" w:rsidRDefault="00C86248">
      <w:pPr>
        <w:pStyle w:val="Imprint"/>
      </w:pPr>
      <w:r>
        <w:t xml:space="preserve">Published in </w:t>
      </w:r>
      <w:r w:rsidR="004130C6">
        <w:t>December</w:t>
      </w:r>
      <w:r w:rsidR="00F71A66">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0075D711" w14:textId="77777777" w:rsidR="00082CD6" w:rsidRPr="009C0F2D" w:rsidRDefault="00D863D0" w:rsidP="00082CD6">
      <w:pPr>
        <w:pStyle w:val="Imprint"/>
      </w:pPr>
      <w:r>
        <w:t>ISBN</w:t>
      </w:r>
      <w:r w:rsidR="00442C1C">
        <w:t xml:space="preserve"> </w:t>
      </w:r>
      <w:r w:rsidR="00F71A66" w:rsidRPr="00F71A66">
        <w:t>978-1-99-100769-8</w:t>
      </w:r>
      <w:r w:rsidR="002B7BEC" w:rsidRPr="00F71A66">
        <w:t xml:space="preserve"> </w:t>
      </w:r>
      <w:r w:rsidRPr="00F71A66">
        <w:t>(</w:t>
      </w:r>
      <w:r w:rsidR="00442C1C" w:rsidRPr="00F71A66">
        <w:t>online</w:t>
      </w:r>
      <w:r w:rsidRPr="00F71A66">
        <w:t>)</w:t>
      </w:r>
      <w:r w:rsidR="00082CD6" w:rsidRPr="00F71A66">
        <w:br/>
        <w:t xml:space="preserve">HP </w:t>
      </w:r>
      <w:r w:rsidR="00F71A66" w:rsidRPr="00F71A66">
        <w:t>7908</w:t>
      </w:r>
    </w:p>
    <w:p w14:paraId="0075D712" w14:textId="77777777" w:rsidR="00C86248" w:rsidRDefault="008C64C4" w:rsidP="00D27922">
      <w:pPr>
        <w:spacing w:before="360"/>
      </w:pPr>
      <w:r>
        <w:rPr>
          <w:noProof/>
          <w:lang w:eastAsia="en-NZ"/>
        </w:rPr>
        <w:drawing>
          <wp:inline distT="0" distB="0" distL="0" distR="0" wp14:anchorId="0075D935" wp14:editId="4D77298F">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0075D713"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0075D716" w14:textId="77777777" w:rsidTr="00A63DFF">
        <w:trPr>
          <w:cantSplit/>
        </w:trPr>
        <w:tc>
          <w:tcPr>
            <w:tcW w:w="1526" w:type="dxa"/>
          </w:tcPr>
          <w:p w14:paraId="0075D714"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0075D937" wp14:editId="0075D93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075D715"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0075D717" w14:textId="77777777" w:rsidR="007E74F1" w:rsidRPr="001F45A7" w:rsidRDefault="007E74F1" w:rsidP="006E2886">
      <w:pPr>
        <w:pStyle w:val="Imprint"/>
      </w:pPr>
    </w:p>
    <w:p w14:paraId="0075D718"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0075D719" w14:textId="77777777" w:rsidR="00414C35" w:rsidRDefault="00414C35" w:rsidP="00F54E74">
      <w:pPr>
        <w:pStyle w:val="Heading1"/>
      </w:pPr>
      <w:bookmarkStart w:id="0" w:name="_Toc519278551"/>
      <w:bookmarkStart w:id="1" w:name="_Toc89930906"/>
      <w:bookmarkStart w:id="2" w:name="_Toc405792991"/>
      <w:bookmarkStart w:id="3" w:name="_Toc405793224"/>
      <w:r>
        <w:lastRenderedPageBreak/>
        <w:t>Foreword</w:t>
      </w:r>
      <w:bookmarkEnd w:id="0"/>
      <w:bookmarkEnd w:id="1"/>
    </w:p>
    <w:p w14:paraId="0075D71A" w14:textId="77777777" w:rsidR="00F71A66" w:rsidRPr="00F71A66" w:rsidRDefault="00F71A66" w:rsidP="00F71A66">
      <w:r w:rsidRPr="00F71A66">
        <w:t>Delivering health care to New Zealanders in the future will require a significant shift in the way we think about data, including the very concept of what constitutes information.</w:t>
      </w:r>
    </w:p>
    <w:p w14:paraId="0075D71B" w14:textId="77777777" w:rsidR="00F71A66" w:rsidRPr="00F71A66" w:rsidRDefault="00F71A66" w:rsidP="00F71A66"/>
    <w:p w14:paraId="0075D71C" w14:textId="77777777" w:rsidR="00F71A66" w:rsidRPr="00F71A66" w:rsidRDefault="00F71A66" w:rsidP="00F71A66">
      <w:r w:rsidRPr="00F71A66">
        <w:t>We’ll need a health and disability system capable of delivering equitable health outcomes for all New Zealanders, generating insights people can act on for good policy and decision-making, able to adapt more readily to the needs of the system and rapidly to changing situations (such as a pandemic), and up to the task of sharing health information securely in real-time and with appropriate authorisation.</w:t>
      </w:r>
    </w:p>
    <w:p w14:paraId="0075D71D" w14:textId="77777777" w:rsidR="00F71A66" w:rsidRPr="00F71A66" w:rsidRDefault="00F71A66" w:rsidP="00F71A66"/>
    <w:p w14:paraId="0075D71E" w14:textId="77777777" w:rsidR="00F71A66" w:rsidRPr="00F71A66" w:rsidRDefault="00F71A66" w:rsidP="00F71A66">
      <w:r w:rsidRPr="00F71A66">
        <w:t xml:space="preserve">As a sector, that means being smarter, more </w:t>
      </w:r>
      <w:proofErr w:type="gramStart"/>
      <w:r w:rsidRPr="00F71A66">
        <w:t>innovative</w:t>
      </w:r>
      <w:proofErr w:type="gramEnd"/>
      <w:r w:rsidRPr="00F71A66">
        <w:t xml:space="preserve"> and inclusive in how we define, collect, manage, use and share health data. We’ll need to broaden our definition of data to include data produced by emerging technologies or existing technologies for new purposes. For instance, we’ll increasingly draw on sources as varied as non-health sector information regarding the determinants of health, artificial intelligence, an array of images, and genomics to support improved diagnostics, population health management, more targeted interventions and to support communicable disease management, as we’ve done in the current COVID-19 pandemic.</w:t>
      </w:r>
    </w:p>
    <w:p w14:paraId="0075D71F" w14:textId="77777777" w:rsidR="00F71A66" w:rsidRPr="00F71A66" w:rsidRDefault="00F71A66" w:rsidP="00F71A66"/>
    <w:p w14:paraId="0075D720" w14:textId="77777777" w:rsidR="00F71A66" w:rsidRPr="00F71A66" w:rsidRDefault="00F71A66" w:rsidP="00F71A66">
      <w:r w:rsidRPr="00F71A66">
        <w:t xml:space="preserve">Embracing these changes will challenge our thinking on a number of fronts, including the ethics of data use, issues around consent and access to information, the protocols for privacy and security, our obligations under </w:t>
      </w:r>
      <w:proofErr w:type="spellStart"/>
      <w:r w:rsidRPr="00F71A66">
        <w:t>Te</w:t>
      </w:r>
      <w:proofErr w:type="spellEnd"/>
      <w:r w:rsidRPr="00F71A66">
        <w:t xml:space="preserve"> </w:t>
      </w:r>
      <w:proofErr w:type="spellStart"/>
      <w:r w:rsidRPr="00F71A66">
        <w:t>Tiriti</w:t>
      </w:r>
      <w:proofErr w:type="spellEnd"/>
      <w:r w:rsidRPr="00F71A66">
        <w:t xml:space="preserve"> o Waitangi, and how the sector can address inequities in health rather than embedding them. We’ll also need to think about the type of information collected and its value to health outcomes, and our role as stewards rather than owners of the information entrusted to us by individuals, </w:t>
      </w:r>
      <w:proofErr w:type="spellStart"/>
      <w:r w:rsidRPr="00F71A66">
        <w:t>whānau</w:t>
      </w:r>
      <w:proofErr w:type="spellEnd"/>
      <w:r w:rsidRPr="00F71A66">
        <w:t xml:space="preserve"> and communities.</w:t>
      </w:r>
    </w:p>
    <w:p w14:paraId="0075D721" w14:textId="77777777" w:rsidR="00F71A66" w:rsidRPr="00F71A66" w:rsidRDefault="00F71A66" w:rsidP="00F71A66"/>
    <w:p w14:paraId="0075D722" w14:textId="77777777" w:rsidR="00F71A66" w:rsidRPr="00F71A66" w:rsidRDefault="00F71A66" w:rsidP="00F71A66">
      <w:r w:rsidRPr="00F71A66">
        <w:t>These are big questions, and they require careful consideration. It’s about finding the best ways to support New Zealanders to have lives of health and wellbeing, to manage their own health and to have input into the design of health and disability services. It’s also about understanding how the health system as a whole is performing and whether it is capable of learning and adapting. It is particularly timely to consider these issues as the sector transitions to new structures and operating models under the Government’s health reforms. Data and digital technologies have been identified as key enablers for the health and disability system.</w:t>
      </w:r>
    </w:p>
    <w:p w14:paraId="0075D723" w14:textId="77777777" w:rsidR="00F71A66" w:rsidRPr="00F71A66" w:rsidRDefault="00F71A66" w:rsidP="00F71A66"/>
    <w:p w14:paraId="0075D724" w14:textId="77777777" w:rsidR="00F71A66" w:rsidRPr="00F71A66" w:rsidRDefault="00F71A66" w:rsidP="00F71A66">
      <w:r w:rsidRPr="00F71A66">
        <w:t>This strategy and the accompanying roadmap are intended as guides to the actions needed within the sector (and beyond) to transform our management and use of health data. I encourage you to read both documents and consider how you might bring the recommendations to life within your own organisations and in support of whole-of-system efforts.</w:t>
      </w:r>
    </w:p>
    <w:p w14:paraId="0075D725" w14:textId="77777777" w:rsidR="00F71A66" w:rsidRPr="00F71A66" w:rsidRDefault="00F71A66" w:rsidP="00F71A66"/>
    <w:p w14:paraId="0075D726" w14:textId="77777777" w:rsidR="00F71A66" w:rsidRPr="00F71A66" w:rsidRDefault="00F71A66" w:rsidP="00F71A66">
      <w:r w:rsidRPr="00F71A66">
        <w:t>Shayne Hunter</w:t>
      </w:r>
    </w:p>
    <w:p w14:paraId="0075D727" w14:textId="77777777" w:rsidR="00F71A66" w:rsidRPr="00F71A66" w:rsidRDefault="00F71A66" w:rsidP="00F71A66">
      <w:r w:rsidRPr="00F71A66">
        <w:t>Deputy Director-General Data and Digital</w:t>
      </w:r>
    </w:p>
    <w:p w14:paraId="0075D728" w14:textId="77777777" w:rsidR="00F71A66" w:rsidRPr="00F71A66" w:rsidRDefault="00F71A66" w:rsidP="00F71A66">
      <w:r w:rsidRPr="00F71A66">
        <w:t>Ministry of Health</w:t>
      </w:r>
    </w:p>
    <w:p w14:paraId="0075D729" w14:textId="77777777" w:rsidR="00F71A66" w:rsidRDefault="00F71A66" w:rsidP="00F71A66">
      <w:pPr>
        <w:pStyle w:val="Heading1"/>
      </w:pPr>
      <w:bookmarkStart w:id="4" w:name="_Toc89693363"/>
      <w:bookmarkStart w:id="5" w:name="_Toc89930907"/>
      <w:proofErr w:type="spellStart"/>
      <w:r>
        <w:lastRenderedPageBreak/>
        <w:t>Kupu</w:t>
      </w:r>
      <w:proofErr w:type="spellEnd"/>
      <w:r>
        <w:t xml:space="preserve"> </w:t>
      </w:r>
      <w:proofErr w:type="spellStart"/>
      <w:r>
        <w:t>Whakataki</w:t>
      </w:r>
      <w:bookmarkEnd w:id="4"/>
      <w:bookmarkEnd w:id="5"/>
      <w:proofErr w:type="spellEnd"/>
    </w:p>
    <w:p w14:paraId="0075D72A" w14:textId="77777777" w:rsidR="00F71A66" w:rsidRPr="003308C3" w:rsidRDefault="00F71A66" w:rsidP="00F71A66">
      <w:pPr>
        <w:rPr>
          <w:spacing w:val="-2"/>
          <w:sz w:val="20"/>
        </w:rPr>
      </w:pPr>
      <w:r w:rsidRPr="003308C3">
        <w:rPr>
          <w:spacing w:val="-2"/>
          <w:sz w:val="20"/>
        </w:rPr>
        <w:t xml:space="preserve">Ko </w:t>
      </w:r>
      <w:proofErr w:type="spellStart"/>
      <w:r w:rsidRPr="003308C3">
        <w:rPr>
          <w:spacing w:val="-2"/>
          <w:sz w:val="20"/>
        </w:rPr>
        <w:t>te</w:t>
      </w:r>
      <w:proofErr w:type="spellEnd"/>
      <w:r w:rsidRPr="003308C3">
        <w:rPr>
          <w:spacing w:val="-2"/>
          <w:sz w:val="20"/>
        </w:rPr>
        <w:t xml:space="preserve"> </w:t>
      </w:r>
      <w:proofErr w:type="spellStart"/>
      <w:r w:rsidRPr="003308C3">
        <w:rPr>
          <w:spacing w:val="-2"/>
          <w:sz w:val="20"/>
        </w:rPr>
        <w:t>manaaki</w:t>
      </w:r>
      <w:proofErr w:type="spellEnd"/>
      <w:r w:rsidRPr="003308C3">
        <w:rPr>
          <w:spacing w:val="-2"/>
          <w:sz w:val="20"/>
        </w:rPr>
        <w:t xml:space="preserve"> </w:t>
      </w:r>
      <w:proofErr w:type="spellStart"/>
      <w:r w:rsidRPr="003308C3">
        <w:rPr>
          <w:spacing w:val="-2"/>
          <w:sz w:val="20"/>
        </w:rPr>
        <w:t>i</w:t>
      </w:r>
      <w:proofErr w:type="spellEnd"/>
      <w:r w:rsidRPr="003308C3">
        <w:rPr>
          <w:spacing w:val="-2"/>
          <w:sz w:val="20"/>
        </w:rPr>
        <w:t xml:space="preserve"> </w:t>
      </w:r>
      <w:proofErr w:type="spellStart"/>
      <w:r w:rsidRPr="003308C3">
        <w:rPr>
          <w:spacing w:val="-2"/>
          <w:sz w:val="20"/>
        </w:rPr>
        <w:t>ngā</w:t>
      </w:r>
      <w:proofErr w:type="spellEnd"/>
      <w:r w:rsidRPr="003308C3">
        <w:rPr>
          <w:spacing w:val="-2"/>
          <w:sz w:val="20"/>
        </w:rPr>
        <w:t xml:space="preserve"> iwi </w:t>
      </w:r>
      <w:proofErr w:type="spellStart"/>
      <w:r w:rsidRPr="003308C3">
        <w:rPr>
          <w:spacing w:val="-2"/>
          <w:sz w:val="20"/>
        </w:rPr>
        <w:t>katoa</w:t>
      </w:r>
      <w:proofErr w:type="spellEnd"/>
      <w:r w:rsidRPr="003308C3">
        <w:rPr>
          <w:spacing w:val="-2"/>
          <w:sz w:val="20"/>
        </w:rPr>
        <w:t xml:space="preserve"> o Aotearoa </w:t>
      </w:r>
      <w:proofErr w:type="spellStart"/>
      <w:r w:rsidRPr="003308C3">
        <w:rPr>
          <w:spacing w:val="-2"/>
          <w:sz w:val="20"/>
        </w:rPr>
        <w:t>mō</w:t>
      </w:r>
      <w:proofErr w:type="spellEnd"/>
      <w:r w:rsidRPr="003308C3">
        <w:rPr>
          <w:spacing w:val="-2"/>
          <w:sz w:val="20"/>
        </w:rPr>
        <w:t xml:space="preserve"> </w:t>
      </w:r>
      <w:proofErr w:type="spellStart"/>
      <w:r w:rsidRPr="003308C3">
        <w:rPr>
          <w:spacing w:val="-2"/>
          <w:sz w:val="20"/>
        </w:rPr>
        <w:t>te</w:t>
      </w:r>
      <w:proofErr w:type="spellEnd"/>
      <w:r w:rsidRPr="003308C3">
        <w:rPr>
          <w:spacing w:val="-2"/>
          <w:sz w:val="20"/>
        </w:rPr>
        <w:t xml:space="preserve"> taha </w:t>
      </w:r>
      <w:proofErr w:type="spellStart"/>
      <w:r w:rsidRPr="003308C3">
        <w:rPr>
          <w:spacing w:val="-2"/>
          <w:sz w:val="20"/>
        </w:rPr>
        <w:t>hauora</w:t>
      </w:r>
      <w:proofErr w:type="spellEnd"/>
      <w:r w:rsidRPr="003308C3">
        <w:rPr>
          <w:spacing w:val="-2"/>
          <w:sz w:val="20"/>
        </w:rPr>
        <w:t xml:space="preserve"> </w:t>
      </w:r>
      <w:proofErr w:type="spellStart"/>
      <w:r w:rsidRPr="003308C3">
        <w:rPr>
          <w:spacing w:val="-2"/>
          <w:sz w:val="20"/>
        </w:rPr>
        <w:t>hei</w:t>
      </w:r>
      <w:proofErr w:type="spellEnd"/>
      <w:r w:rsidRPr="003308C3">
        <w:rPr>
          <w:spacing w:val="-2"/>
          <w:sz w:val="20"/>
        </w:rPr>
        <w:t xml:space="preserve"> </w:t>
      </w:r>
      <w:proofErr w:type="spellStart"/>
      <w:r w:rsidRPr="003308C3">
        <w:rPr>
          <w:spacing w:val="-2"/>
          <w:sz w:val="20"/>
        </w:rPr>
        <w:t>te</w:t>
      </w:r>
      <w:proofErr w:type="spellEnd"/>
      <w:r w:rsidRPr="003308C3">
        <w:rPr>
          <w:spacing w:val="-2"/>
          <w:sz w:val="20"/>
        </w:rPr>
        <w:t xml:space="preserve"> </w:t>
      </w:r>
      <w:proofErr w:type="spellStart"/>
      <w:r w:rsidRPr="003308C3">
        <w:rPr>
          <w:spacing w:val="-2"/>
          <w:sz w:val="20"/>
        </w:rPr>
        <w:t>anamata</w:t>
      </w:r>
      <w:proofErr w:type="spellEnd"/>
      <w:r w:rsidRPr="003308C3">
        <w:rPr>
          <w:spacing w:val="-2"/>
          <w:sz w:val="20"/>
        </w:rPr>
        <w:t xml:space="preserve">, me </w:t>
      </w:r>
      <w:proofErr w:type="spellStart"/>
      <w:r w:rsidRPr="003308C3">
        <w:rPr>
          <w:spacing w:val="-2"/>
          <w:sz w:val="20"/>
        </w:rPr>
        <w:t>panoni</w:t>
      </w:r>
      <w:proofErr w:type="spellEnd"/>
      <w:r w:rsidRPr="003308C3">
        <w:rPr>
          <w:spacing w:val="-2"/>
          <w:sz w:val="20"/>
        </w:rPr>
        <w:t xml:space="preserve"> </w:t>
      </w:r>
      <w:proofErr w:type="spellStart"/>
      <w:r w:rsidRPr="003308C3">
        <w:rPr>
          <w:spacing w:val="-2"/>
          <w:sz w:val="20"/>
        </w:rPr>
        <w:t>nui</w:t>
      </w:r>
      <w:proofErr w:type="spellEnd"/>
      <w:r w:rsidRPr="003308C3">
        <w:rPr>
          <w:spacing w:val="-2"/>
          <w:sz w:val="20"/>
        </w:rPr>
        <w:t xml:space="preserve"> ō </w:t>
      </w:r>
      <w:proofErr w:type="spellStart"/>
      <w:r w:rsidRPr="003308C3">
        <w:rPr>
          <w:spacing w:val="-2"/>
          <w:sz w:val="20"/>
        </w:rPr>
        <w:t>tātou</w:t>
      </w:r>
      <w:proofErr w:type="spellEnd"/>
      <w:r w:rsidRPr="003308C3">
        <w:rPr>
          <w:spacing w:val="-2"/>
          <w:sz w:val="20"/>
        </w:rPr>
        <w:t xml:space="preserve"> </w:t>
      </w:r>
      <w:proofErr w:type="spellStart"/>
      <w:r w:rsidRPr="003308C3">
        <w:rPr>
          <w:spacing w:val="-2"/>
          <w:sz w:val="20"/>
        </w:rPr>
        <w:t>whakaaro</w:t>
      </w:r>
      <w:proofErr w:type="spellEnd"/>
      <w:r w:rsidRPr="003308C3">
        <w:rPr>
          <w:spacing w:val="-2"/>
          <w:sz w:val="20"/>
        </w:rPr>
        <w:t xml:space="preserve"> </w:t>
      </w:r>
      <w:proofErr w:type="spellStart"/>
      <w:r w:rsidRPr="003308C3">
        <w:rPr>
          <w:spacing w:val="-2"/>
          <w:sz w:val="20"/>
        </w:rPr>
        <w:t>mō</w:t>
      </w:r>
      <w:proofErr w:type="spellEnd"/>
      <w:r w:rsidRPr="003308C3">
        <w:rPr>
          <w:spacing w:val="-2"/>
          <w:sz w:val="20"/>
        </w:rPr>
        <w:t xml:space="preserve"> </w:t>
      </w:r>
      <w:proofErr w:type="spellStart"/>
      <w:r w:rsidRPr="003308C3">
        <w:rPr>
          <w:spacing w:val="-2"/>
          <w:sz w:val="20"/>
        </w:rPr>
        <w:t>tēnei</w:t>
      </w:r>
      <w:proofErr w:type="spellEnd"/>
      <w:r w:rsidRPr="003308C3">
        <w:rPr>
          <w:spacing w:val="-2"/>
          <w:sz w:val="20"/>
        </w:rPr>
        <w:t xml:space="preserve"> </w:t>
      </w:r>
      <w:proofErr w:type="spellStart"/>
      <w:r w:rsidRPr="003308C3">
        <w:rPr>
          <w:spacing w:val="-2"/>
          <w:sz w:val="20"/>
        </w:rPr>
        <w:t>mea</w:t>
      </w:r>
      <w:proofErr w:type="spellEnd"/>
      <w:r w:rsidRPr="003308C3">
        <w:rPr>
          <w:spacing w:val="-2"/>
          <w:sz w:val="20"/>
        </w:rPr>
        <w:t xml:space="preserve"> </w:t>
      </w:r>
      <w:proofErr w:type="spellStart"/>
      <w:r w:rsidRPr="003308C3">
        <w:rPr>
          <w:spacing w:val="-2"/>
          <w:sz w:val="20"/>
        </w:rPr>
        <w:t>te</w:t>
      </w:r>
      <w:proofErr w:type="spellEnd"/>
      <w:r w:rsidRPr="003308C3">
        <w:rPr>
          <w:spacing w:val="-2"/>
          <w:sz w:val="20"/>
        </w:rPr>
        <w:t xml:space="preserve"> </w:t>
      </w:r>
      <w:proofErr w:type="spellStart"/>
      <w:r w:rsidRPr="003308C3">
        <w:rPr>
          <w:spacing w:val="-2"/>
          <w:sz w:val="20"/>
        </w:rPr>
        <w:t>rarauranga</w:t>
      </w:r>
      <w:proofErr w:type="spellEnd"/>
      <w:r w:rsidRPr="003308C3">
        <w:rPr>
          <w:spacing w:val="-2"/>
          <w:sz w:val="20"/>
        </w:rPr>
        <w:t xml:space="preserve">, </w:t>
      </w:r>
      <w:proofErr w:type="spellStart"/>
      <w:r w:rsidRPr="003308C3">
        <w:rPr>
          <w:spacing w:val="-2"/>
          <w:sz w:val="20"/>
        </w:rPr>
        <w:t>tae</w:t>
      </w:r>
      <w:proofErr w:type="spellEnd"/>
      <w:r w:rsidRPr="003308C3">
        <w:rPr>
          <w:spacing w:val="-2"/>
          <w:sz w:val="20"/>
        </w:rPr>
        <w:t xml:space="preserve"> </w:t>
      </w:r>
      <w:proofErr w:type="spellStart"/>
      <w:r w:rsidRPr="003308C3">
        <w:rPr>
          <w:spacing w:val="-2"/>
          <w:sz w:val="20"/>
        </w:rPr>
        <w:t>rā</w:t>
      </w:r>
      <w:proofErr w:type="spellEnd"/>
      <w:r w:rsidRPr="003308C3">
        <w:rPr>
          <w:spacing w:val="-2"/>
          <w:sz w:val="20"/>
        </w:rPr>
        <w:t xml:space="preserve"> </w:t>
      </w:r>
      <w:proofErr w:type="spellStart"/>
      <w:r w:rsidRPr="003308C3">
        <w:rPr>
          <w:spacing w:val="-2"/>
          <w:sz w:val="20"/>
        </w:rPr>
        <w:t>anō</w:t>
      </w:r>
      <w:proofErr w:type="spellEnd"/>
      <w:r w:rsidRPr="003308C3">
        <w:rPr>
          <w:spacing w:val="-2"/>
          <w:sz w:val="20"/>
        </w:rPr>
        <w:t xml:space="preserve"> </w:t>
      </w:r>
      <w:proofErr w:type="spellStart"/>
      <w:r w:rsidRPr="003308C3">
        <w:rPr>
          <w:spacing w:val="-2"/>
          <w:sz w:val="20"/>
        </w:rPr>
        <w:t>ki</w:t>
      </w:r>
      <w:proofErr w:type="spellEnd"/>
      <w:r w:rsidRPr="003308C3">
        <w:rPr>
          <w:spacing w:val="-2"/>
          <w:sz w:val="20"/>
        </w:rPr>
        <w:t xml:space="preserve"> </w:t>
      </w:r>
      <w:proofErr w:type="spellStart"/>
      <w:r w:rsidRPr="003308C3">
        <w:rPr>
          <w:spacing w:val="-2"/>
          <w:sz w:val="20"/>
        </w:rPr>
        <w:t>te</w:t>
      </w:r>
      <w:proofErr w:type="spellEnd"/>
      <w:r w:rsidRPr="003308C3">
        <w:rPr>
          <w:spacing w:val="-2"/>
          <w:sz w:val="20"/>
        </w:rPr>
        <w:t xml:space="preserve"> tikanga o </w:t>
      </w:r>
      <w:proofErr w:type="spellStart"/>
      <w:r w:rsidRPr="003308C3">
        <w:rPr>
          <w:spacing w:val="-2"/>
          <w:sz w:val="20"/>
        </w:rPr>
        <w:t>tēnei</w:t>
      </w:r>
      <w:proofErr w:type="spellEnd"/>
      <w:r w:rsidRPr="003308C3">
        <w:rPr>
          <w:spacing w:val="-2"/>
          <w:sz w:val="20"/>
        </w:rPr>
        <w:t xml:space="preserve"> </w:t>
      </w:r>
      <w:proofErr w:type="spellStart"/>
      <w:r w:rsidRPr="003308C3">
        <w:rPr>
          <w:spacing w:val="-2"/>
          <w:sz w:val="20"/>
        </w:rPr>
        <w:t>mea</w:t>
      </w:r>
      <w:proofErr w:type="spellEnd"/>
      <w:r w:rsidRPr="003308C3">
        <w:rPr>
          <w:spacing w:val="-2"/>
          <w:sz w:val="20"/>
        </w:rPr>
        <w:t xml:space="preserve"> </w:t>
      </w:r>
      <w:proofErr w:type="spellStart"/>
      <w:r w:rsidRPr="003308C3">
        <w:rPr>
          <w:spacing w:val="-2"/>
          <w:sz w:val="20"/>
        </w:rPr>
        <w:t>te</w:t>
      </w:r>
      <w:proofErr w:type="spellEnd"/>
      <w:r w:rsidRPr="003308C3">
        <w:rPr>
          <w:spacing w:val="-2"/>
          <w:sz w:val="20"/>
        </w:rPr>
        <w:t xml:space="preserve"> </w:t>
      </w:r>
      <w:proofErr w:type="spellStart"/>
      <w:r w:rsidRPr="003308C3">
        <w:rPr>
          <w:spacing w:val="-2"/>
          <w:sz w:val="20"/>
        </w:rPr>
        <w:t>pārongo</w:t>
      </w:r>
      <w:proofErr w:type="spellEnd"/>
      <w:r w:rsidRPr="003308C3">
        <w:rPr>
          <w:spacing w:val="-2"/>
          <w:sz w:val="20"/>
        </w:rPr>
        <w:t>.</w:t>
      </w:r>
    </w:p>
    <w:p w14:paraId="0075D72B" w14:textId="77777777" w:rsidR="00F71A66" w:rsidRPr="003308C3" w:rsidRDefault="00F71A66" w:rsidP="00F71A66">
      <w:pPr>
        <w:rPr>
          <w:sz w:val="20"/>
        </w:rPr>
      </w:pPr>
    </w:p>
    <w:p w14:paraId="0075D72C" w14:textId="77777777" w:rsidR="00F71A66" w:rsidRPr="003308C3" w:rsidRDefault="00F71A66" w:rsidP="00F71A66">
      <w:pPr>
        <w:rPr>
          <w:sz w:val="20"/>
        </w:rPr>
      </w:pPr>
      <w:r w:rsidRPr="003308C3">
        <w:rPr>
          <w:sz w:val="20"/>
        </w:rPr>
        <w:t xml:space="preserve">Me </w:t>
      </w:r>
      <w:proofErr w:type="spellStart"/>
      <w:r w:rsidRPr="003308C3">
        <w:rPr>
          <w:sz w:val="20"/>
        </w:rPr>
        <w:t>whai</w:t>
      </w:r>
      <w:proofErr w:type="spellEnd"/>
      <w:r w:rsidRPr="003308C3">
        <w:rPr>
          <w:sz w:val="20"/>
        </w:rPr>
        <w:t xml:space="preserve"> </w:t>
      </w:r>
      <w:proofErr w:type="spellStart"/>
      <w:r w:rsidRPr="003308C3">
        <w:rPr>
          <w:sz w:val="20"/>
        </w:rPr>
        <w:t>pūnaha</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whaikaha</w:t>
      </w:r>
      <w:proofErr w:type="spellEnd"/>
      <w:r w:rsidRPr="003308C3">
        <w:rPr>
          <w:sz w:val="20"/>
        </w:rPr>
        <w:t xml:space="preserve"> </w:t>
      </w:r>
      <w:proofErr w:type="spellStart"/>
      <w:r w:rsidRPr="003308C3">
        <w:rPr>
          <w:sz w:val="20"/>
        </w:rPr>
        <w:t>hoki</w:t>
      </w:r>
      <w:proofErr w:type="spellEnd"/>
      <w:r w:rsidRPr="003308C3">
        <w:rPr>
          <w:sz w:val="20"/>
        </w:rPr>
        <w:t xml:space="preserve"> e </w:t>
      </w:r>
      <w:proofErr w:type="spellStart"/>
      <w:r w:rsidRPr="003308C3">
        <w:rPr>
          <w:sz w:val="20"/>
        </w:rPr>
        <w:t>āhei</w:t>
      </w:r>
      <w:proofErr w:type="spellEnd"/>
      <w:r w:rsidRPr="003308C3">
        <w:rPr>
          <w:sz w:val="20"/>
        </w:rPr>
        <w:t xml:space="preserve"> ana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whakatutuki</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putanga</w:t>
      </w:r>
      <w:proofErr w:type="spellEnd"/>
      <w:r w:rsidRPr="003308C3">
        <w:rPr>
          <w:sz w:val="20"/>
        </w:rPr>
        <w:t xml:space="preserve"> </w:t>
      </w:r>
      <w:proofErr w:type="spellStart"/>
      <w:r w:rsidRPr="003308C3">
        <w:rPr>
          <w:sz w:val="20"/>
        </w:rPr>
        <w:t>tōkeke</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mō</w:t>
      </w:r>
      <w:proofErr w:type="spellEnd"/>
      <w:r w:rsidRPr="003308C3">
        <w:rPr>
          <w:sz w:val="20"/>
        </w:rPr>
        <w:t xml:space="preserve"> </w:t>
      </w:r>
      <w:proofErr w:type="spellStart"/>
      <w:r w:rsidRPr="003308C3">
        <w:rPr>
          <w:sz w:val="20"/>
        </w:rPr>
        <w:t>ngā</w:t>
      </w:r>
      <w:proofErr w:type="spellEnd"/>
      <w:r w:rsidRPr="003308C3">
        <w:rPr>
          <w:sz w:val="20"/>
        </w:rPr>
        <w:t xml:space="preserve"> iwi </w:t>
      </w:r>
      <w:proofErr w:type="spellStart"/>
      <w:r w:rsidRPr="003308C3">
        <w:rPr>
          <w:sz w:val="20"/>
        </w:rPr>
        <w:t>katoa</w:t>
      </w:r>
      <w:proofErr w:type="spellEnd"/>
      <w:r w:rsidRPr="003308C3">
        <w:rPr>
          <w:sz w:val="20"/>
        </w:rPr>
        <w:t xml:space="preserve"> o Aotearoa, e </w:t>
      </w:r>
      <w:proofErr w:type="spellStart"/>
      <w:r w:rsidRPr="003308C3">
        <w:rPr>
          <w:sz w:val="20"/>
        </w:rPr>
        <w:t>hua</w:t>
      </w:r>
      <w:proofErr w:type="spellEnd"/>
      <w:r w:rsidRPr="003308C3">
        <w:rPr>
          <w:sz w:val="20"/>
        </w:rPr>
        <w:t xml:space="preserve"> ai he </w:t>
      </w:r>
      <w:proofErr w:type="spellStart"/>
      <w:r w:rsidRPr="003308C3">
        <w:rPr>
          <w:sz w:val="20"/>
        </w:rPr>
        <w:t>māramatanga</w:t>
      </w:r>
      <w:proofErr w:type="spellEnd"/>
      <w:r w:rsidRPr="003308C3">
        <w:rPr>
          <w:sz w:val="20"/>
        </w:rPr>
        <w:t xml:space="preserve"> e </w:t>
      </w:r>
      <w:proofErr w:type="spellStart"/>
      <w:r w:rsidRPr="003308C3">
        <w:rPr>
          <w:sz w:val="20"/>
        </w:rPr>
        <w:t>taea</w:t>
      </w:r>
      <w:proofErr w:type="spellEnd"/>
      <w:r w:rsidRPr="003308C3">
        <w:rPr>
          <w:sz w:val="20"/>
        </w:rPr>
        <w:t xml:space="preserve"> ana e </w:t>
      </w:r>
      <w:proofErr w:type="spellStart"/>
      <w:r w:rsidRPr="003308C3">
        <w:rPr>
          <w:sz w:val="20"/>
        </w:rPr>
        <w:t>te</w:t>
      </w:r>
      <w:proofErr w:type="spellEnd"/>
      <w:r w:rsidRPr="003308C3">
        <w:rPr>
          <w:sz w:val="20"/>
        </w:rPr>
        <w:t xml:space="preserve"> </w:t>
      </w:r>
      <w:proofErr w:type="spellStart"/>
      <w:r w:rsidRPr="003308C3">
        <w:rPr>
          <w:sz w:val="20"/>
        </w:rPr>
        <w:t>tangata</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whakatinana</w:t>
      </w:r>
      <w:proofErr w:type="spellEnd"/>
      <w:r w:rsidRPr="003308C3">
        <w:rPr>
          <w:sz w:val="20"/>
        </w:rPr>
        <w:t xml:space="preserve"> </w:t>
      </w:r>
      <w:proofErr w:type="spellStart"/>
      <w:r w:rsidRPr="003308C3">
        <w:rPr>
          <w:sz w:val="20"/>
        </w:rPr>
        <w:t>i</w:t>
      </w:r>
      <w:proofErr w:type="spellEnd"/>
      <w:r w:rsidRPr="003308C3">
        <w:rPr>
          <w:sz w:val="20"/>
        </w:rPr>
        <w:t xml:space="preserve"> roto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kauapapa</w:t>
      </w:r>
      <w:proofErr w:type="spellEnd"/>
      <w:r w:rsidRPr="003308C3">
        <w:rPr>
          <w:sz w:val="20"/>
        </w:rPr>
        <w:t xml:space="preserve"> here, </w:t>
      </w:r>
      <w:proofErr w:type="spellStart"/>
      <w:r w:rsidRPr="003308C3">
        <w:rPr>
          <w:sz w:val="20"/>
        </w:rPr>
        <w:t>whakataunga</w:t>
      </w:r>
      <w:proofErr w:type="spellEnd"/>
      <w:r w:rsidRPr="003308C3">
        <w:rPr>
          <w:sz w:val="20"/>
        </w:rPr>
        <w:t xml:space="preserve"> </w:t>
      </w:r>
      <w:proofErr w:type="spellStart"/>
      <w:r w:rsidRPr="003308C3">
        <w:rPr>
          <w:sz w:val="20"/>
        </w:rPr>
        <w:t>hoki</w:t>
      </w:r>
      <w:proofErr w:type="spellEnd"/>
      <w:r w:rsidRPr="003308C3">
        <w:rPr>
          <w:sz w:val="20"/>
        </w:rPr>
        <w:t xml:space="preserve">, e </w:t>
      </w:r>
      <w:proofErr w:type="spellStart"/>
      <w:r w:rsidRPr="003308C3">
        <w:rPr>
          <w:sz w:val="20"/>
        </w:rPr>
        <w:t>āhei</w:t>
      </w:r>
      <w:proofErr w:type="spellEnd"/>
      <w:r w:rsidRPr="003308C3">
        <w:rPr>
          <w:sz w:val="20"/>
        </w:rPr>
        <w:t xml:space="preserve"> ai </w:t>
      </w:r>
      <w:proofErr w:type="spellStart"/>
      <w:r w:rsidRPr="003308C3">
        <w:rPr>
          <w:sz w:val="20"/>
        </w:rPr>
        <w:t>te</w:t>
      </w:r>
      <w:proofErr w:type="spellEnd"/>
      <w:r w:rsidRPr="003308C3">
        <w:rPr>
          <w:sz w:val="20"/>
        </w:rPr>
        <w:t xml:space="preserve"> </w:t>
      </w:r>
      <w:proofErr w:type="spellStart"/>
      <w:r w:rsidRPr="003308C3">
        <w:rPr>
          <w:sz w:val="20"/>
        </w:rPr>
        <w:t>urutau</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runga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tere</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hiahia</w:t>
      </w:r>
      <w:proofErr w:type="spellEnd"/>
      <w:r w:rsidRPr="003308C3">
        <w:rPr>
          <w:sz w:val="20"/>
        </w:rPr>
        <w:t xml:space="preserve"> o </w:t>
      </w:r>
      <w:proofErr w:type="spellStart"/>
      <w:r w:rsidRPr="003308C3">
        <w:rPr>
          <w:sz w:val="20"/>
        </w:rPr>
        <w:t>te</w:t>
      </w:r>
      <w:proofErr w:type="spellEnd"/>
      <w:r w:rsidRPr="003308C3">
        <w:rPr>
          <w:sz w:val="20"/>
        </w:rPr>
        <w:t xml:space="preserve"> </w:t>
      </w:r>
      <w:proofErr w:type="spellStart"/>
      <w:r w:rsidRPr="003308C3">
        <w:rPr>
          <w:sz w:val="20"/>
        </w:rPr>
        <w:t>pūnaha</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panonitanga</w:t>
      </w:r>
      <w:proofErr w:type="spellEnd"/>
      <w:r w:rsidRPr="003308C3">
        <w:rPr>
          <w:sz w:val="20"/>
        </w:rPr>
        <w:t xml:space="preserve"> </w:t>
      </w:r>
      <w:proofErr w:type="spellStart"/>
      <w:r w:rsidRPr="003308C3">
        <w:rPr>
          <w:sz w:val="20"/>
        </w:rPr>
        <w:t>auau</w:t>
      </w:r>
      <w:proofErr w:type="spellEnd"/>
      <w:r w:rsidRPr="003308C3">
        <w:rPr>
          <w:sz w:val="20"/>
        </w:rPr>
        <w:t xml:space="preserve"> </w:t>
      </w:r>
      <w:proofErr w:type="spellStart"/>
      <w:r w:rsidRPr="003308C3">
        <w:rPr>
          <w:sz w:val="20"/>
        </w:rPr>
        <w:t>nei</w:t>
      </w:r>
      <w:proofErr w:type="spellEnd"/>
      <w:r w:rsidRPr="003308C3">
        <w:rPr>
          <w:sz w:val="20"/>
        </w:rPr>
        <w:t xml:space="preserve"> (</w:t>
      </w:r>
      <w:proofErr w:type="spellStart"/>
      <w:r w:rsidRPr="003308C3">
        <w:rPr>
          <w:sz w:val="20"/>
        </w:rPr>
        <w:t>pēnei</w:t>
      </w:r>
      <w:proofErr w:type="spellEnd"/>
      <w:r w:rsidRPr="003308C3">
        <w:rPr>
          <w:sz w:val="20"/>
        </w:rPr>
        <w:t xml:space="preserve"> me </w:t>
      </w:r>
      <w:proofErr w:type="spellStart"/>
      <w:r w:rsidRPr="003308C3">
        <w:rPr>
          <w:sz w:val="20"/>
        </w:rPr>
        <w:t>te</w:t>
      </w:r>
      <w:proofErr w:type="spellEnd"/>
      <w:r w:rsidRPr="003308C3">
        <w:rPr>
          <w:sz w:val="20"/>
        </w:rPr>
        <w:t xml:space="preserve"> </w:t>
      </w:r>
      <w:proofErr w:type="spellStart"/>
      <w:r w:rsidRPr="003308C3">
        <w:rPr>
          <w:sz w:val="20"/>
        </w:rPr>
        <w:t>urutā</w:t>
      </w:r>
      <w:proofErr w:type="spellEnd"/>
      <w:r w:rsidRPr="003308C3">
        <w:rPr>
          <w:sz w:val="20"/>
        </w:rPr>
        <w:t xml:space="preserve">), ā, kia </w:t>
      </w:r>
      <w:proofErr w:type="spellStart"/>
      <w:r w:rsidRPr="003308C3">
        <w:rPr>
          <w:sz w:val="20"/>
        </w:rPr>
        <w:t>taea</w:t>
      </w:r>
      <w:proofErr w:type="spellEnd"/>
      <w:r w:rsidRPr="003308C3">
        <w:rPr>
          <w:sz w:val="20"/>
        </w:rPr>
        <w:t xml:space="preserve"> ai </w:t>
      </w:r>
      <w:proofErr w:type="spellStart"/>
      <w:r w:rsidRPr="003308C3">
        <w:rPr>
          <w:sz w:val="20"/>
        </w:rPr>
        <w:t>hoki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tohatoha</w:t>
      </w:r>
      <w:proofErr w:type="spellEnd"/>
      <w:r w:rsidRPr="003308C3">
        <w:rPr>
          <w:sz w:val="20"/>
        </w:rPr>
        <w:t xml:space="preserve"> </w:t>
      </w:r>
      <w:proofErr w:type="spellStart"/>
      <w:r w:rsidRPr="003308C3">
        <w:rPr>
          <w:sz w:val="20"/>
        </w:rPr>
        <w:t>pārongo</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runga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haumarutanga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rere</w:t>
      </w:r>
      <w:proofErr w:type="spellEnd"/>
      <w:r w:rsidRPr="003308C3">
        <w:rPr>
          <w:sz w:val="20"/>
        </w:rPr>
        <w:t xml:space="preserve"> o </w:t>
      </w:r>
      <w:proofErr w:type="spellStart"/>
      <w:r w:rsidRPr="003308C3">
        <w:rPr>
          <w:sz w:val="20"/>
        </w:rPr>
        <w:t>te</w:t>
      </w:r>
      <w:proofErr w:type="spellEnd"/>
      <w:r w:rsidRPr="003308C3">
        <w:rPr>
          <w:sz w:val="20"/>
        </w:rPr>
        <w:t xml:space="preserve"> </w:t>
      </w:r>
      <w:proofErr w:type="spellStart"/>
      <w:r w:rsidRPr="003308C3">
        <w:rPr>
          <w:sz w:val="20"/>
        </w:rPr>
        <w:t>wā</w:t>
      </w:r>
      <w:proofErr w:type="spellEnd"/>
      <w:r w:rsidRPr="003308C3">
        <w:rPr>
          <w:sz w:val="20"/>
        </w:rPr>
        <w:t xml:space="preserve"> me </w:t>
      </w:r>
      <w:proofErr w:type="spellStart"/>
      <w:r w:rsidRPr="003308C3">
        <w:rPr>
          <w:sz w:val="20"/>
        </w:rPr>
        <w:t>te</w:t>
      </w:r>
      <w:proofErr w:type="spellEnd"/>
      <w:r w:rsidRPr="003308C3">
        <w:rPr>
          <w:sz w:val="20"/>
        </w:rPr>
        <w:t xml:space="preserve"> </w:t>
      </w:r>
      <w:proofErr w:type="spellStart"/>
      <w:r w:rsidRPr="003308C3">
        <w:rPr>
          <w:sz w:val="20"/>
        </w:rPr>
        <w:t>kupu</w:t>
      </w:r>
      <w:proofErr w:type="spellEnd"/>
      <w:r w:rsidRPr="003308C3">
        <w:rPr>
          <w:sz w:val="20"/>
        </w:rPr>
        <w:t xml:space="preserve"> </w:t>
      </w:r>
      <w:proofErr w:type="spellStart"/>
      <w:r w:rsidRPr="003308C3">
        <w:rPr>
          <w:sz w:val="20"/>
        </w:rPr>
        <w:t>whakaae</w:t>
      </w:r>
      <w:proofErr w:type="spellEnd"/>
      <w:r w:rsidRPr="003308C3">
        <w:rPr>
          <w:sz w:val="20"/>
        </w:rPr>
        <w:t xml:space="preserve"> e tika ana.</w:t>
      </w:r>
    </w:p>
    <w:p w14:paraId="0075D72D" w14:textId="77777777" w:rsidR="00F71A66" w:rsidRPr="003308C3" w:rsidRDefault="00F71A66" w:rsidP="00F71A66">
      <w:pPr>
        <w:rPr>
          <w:sz w:val="20"/>
        </w:rPr>
      </w:pPr>
    </w:p>
    <w:p w14:paraId="0075D72E" w14:textId="77777777" w:rsidR="00F71A66" w:rsidRPr="003308C3" w:rsidRDefault="00F71A66" w:rsidP="00F71A66">
      <w:pPr>
        <w:rPr>
          <w:sz w:val="20"/>
        </w:rPr>
      </w:pPr>
      <w:proofErr w:type="spellStart"/>
      <w:r w:rsidRPr="003308C3">
        <w:rPr>
          <w:sz w:val="20"/>
        </w:rPr>
        <w:t>Hei</w:t>
      </w:r>
      <w:proofErr w:type="spellEnd"/>
      <w:r w:rsidRPr="003308C3">
        <w:rPr>
          <w:sz w:val="20"/>
        </w:rPr>
        <w:t xml:space="preserve"> </w:t>
      </w:r>
      <w:proofErr w:type="spellStart"/>
      <w:r w:rsidRPr="003308C3">
        <w:rPr>
          <w:sz w:val="20"/>
        </w:rPr>
        <w:t>rāngai</w:t>
      </w:r>
      <w:proofErr w:type="spellEnd"/>
      <w:r w:rsidRPr="003308C3">
        <w:rPr>
          <w:sz w:val="20"/>
        </w:rPr>
        <w:t xml:space="preserve">, ko </w:t>
      </w:r>
      <w:proofErr w:type="spellStart"/>
      <w:r w:rsidRPr="003308C3">
        <w:rPr>
          <w:sz w:val="20"/>
        </w:rPr>
        <w:t>tōna</w:t>
      </w:r>
      <w:proofErr w:type="spellEnd"/>
      <w:r w:rsidRPr="003308C3">
        <w:rPr>
          <w:sz w:val="20"/>
        </w:rPr>
        <w:t xml:space="preserve"> tikanga me koi </w:t>
      </w:r>
      <w:proofErr w:type="spellStart"/>
      <w:r w:rsidRPr="003308C3">
        <w:rPr>
          <w:sz w:val="20"/>
        </w:rPr>
        <w:t>ake</w:t>
      </w:r>
      <w:proofErr w:type="spellEnd"/>
      <w:r w:rsidRPr="003308C3">
        <w:rPr>
          <w:sz w:val="20"/>
        </w:rPr>
        <w:t xml:space="preserve">, kia </w:t>
      </w:r>
      <w:proofErr w:type="spellStart"/>
      <w:r w:rsidRPr="003308C3">
        <w:rPr>
          <w:sz w:val="20"/>
        </w:rPr>
        <w:t>whakahōu</w:t>
      </w:r>
      <w:proofErr w:type="spellEnd"/>
      <w:r w:rsidRPr="003308C3">
        <w:rPr>
          <w:sz w:val="20"/>
        </w:rPr>
        <w:t xml:space="preserve"> </w:t>
      </w:r>
      <w:proofErr w:type="spellStart"/>
      <w:r w:rsidRPr="003308C3">
        <w:rPr>
          <w:sz w:val="20"/>
        </w:rPr>
        <w:t>ake</w:t>
      </w:r>
      <w:proofErr w:type="spellEnd"/>
      <w:r w:rsidRPr="003308C3">
        <w:rPr>
          <w:sz w:val="20"/>
        </w:rPr>
        <w:t xml:space="preserve">, ā, me </w:t>
      </w:r>
      <w:proofErr w:type="spellStart"/>
      <w:r w:rsidRPr="003308C3">
        <w:rPr>
          <w:sz w:val="20"/>
        </w:rPr>
        <w:t>nui</w:t>
      </w:r>
      <w:proofErr w:type="spellEnd"/>
      <w:r w:rsidRPr="003308C3">
        <w:rPr>
          <w:sz w:val="20"/>
        </w:rPr>
        <w:t xml:space="preserve"> </w:t>
      </w:r>
      <w:proofErr w:type="spellStart"/>
      <w:r w:rsidRPr="003308C3">
        <w:rPr>
          <w:sz w:val="20"/>
        </w:rPr>
        <w:t>ake</w:t>
      </w:r>
      <w:proofErr w:type="spellEnd"/>
      <w:r w:rsidRPr="003308C3">
        <w:rPr>
          <w:sz w:val="20"/>
        </w:rPr>
        <w:t xml:space="preserve"> </w:t>
      </w:r>
      <w:proofErr w:type="spellStart"/>
      <w:r w:rsidRPr="003308C3">
        <w:rPr>
          <w:sz w:val="20"/>
        </w:rPr>
        <w:t>te</w:t>
      </w:r>
      <w:proofErr w:type="spellEnd"/>
      <w:r w:rsidRPr="003308C3">
        <w:rPr>
          <w:sz w:val="20"/>
        </w:rPr>
        <w:t xml:space="preserve"> mahi </w:t>
      </w:r>
      <w:proofErr w:type="spellStart"/>
      <w:r w:rsidRPr="003308C3">
        <w:rPr>
          <w:sz w:val="20"/>
        </w:rPr>
        <w:t>tahi</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tā</w:t>
      </w:r>
      <w:proofErr w:type="spellEnd"/>
      <w:r w:rsidRPr="003308C3">
        <w:rPr>
          <w:sz w:val="20"/>
        </w:rPr>
        <w:t xml:space="preserve"> </w:t>
      </w:r>
      <w:proofErr w:type="spellStart"/>
      <w:r w:rsidRPr="003308C3">
        <w:rPr>
          <w:sz w:val="20"/>
        </w:rPr>
        <w:t>tātou</w:t>
      </w:r>
      <w:proofErr w:type="spellEnd"/>
      <w:r w:rsidRPr="003308C3">
        <w:rPr>
          <w:sz w:val="20"/>
        </w:rPr>
        <w:t xml:space="preserve"> </w:t>
      </w:r>
      <w:proofErr w:type="spellStart"/>
      <w:r w:rsidRPr="003308C3">
        <w:rPr>
          <w:sz w:val="20"/>
        </w:rPr>
        <w:t>tautuhi</w:t>
      </w:r>
      <w:proofErr w:type="spellEnd"/>
      <w:r w:rsidRPr="003308C3">
        <w:rPr>
          <w:sz w:val="20"/>
        </w:rPr>
        <w:t xml:space="preserve">, </w:t>
      </w:r>
      <w:proofErr w:type="spellStart"/>
      <w:r w:rsidRPr="003308C3">
        <w:rPr>
          <w:sz w:val="20"/>
        </w:rPr>
        <w:t>kohikohi</w:t>
      </w:r>
      <w:proofErr w:type="spellEnd"/>
      <w:r w:rsidRPr="003308C3">
        <w:rPr>
          <w:sz w:val="20"/>
        </w:rPr>
        <w:t xml:space="preserve">, </w:t>
      </w:r>
      <w:proofErr w:type="spellStart"/>
      <w:r w:rsidRPr="003308C3">
        <w:rPr>
          <w:sz w:val="20"/>
        </w:rPr>
        <w:t>whakamahi</w:t>
      </w:r>
      <w:proofErr w:type="spellEnd"/>
      <w:r w:rsidRPr="003308C3">
        <w:rPr>
          <w:sz w:val="20"/>
        </w:rPr>
        <w:t xml:space="preserve"> me </w:t>
      </w:r>
      <w:proofErr w:type="spellStart"/>
      <w:r w:rsidRPr="003308C3">
        <w:rPr>
          <w:sz w:val="20"/>
        </w:rPr>
        <w:t>te</w:t>
      </w:r>
      <w:proofErr w:type="spellEnd"/>
      <w:r w:rsidRPr="003308C3">
        <w:rPr>
          <w:sz w:val="20"/>
        </w:rPr>
        <w:t xml:space="preserve"> </w:t>
      </w:r>
      <w:proofErr w:type="spellStart"/>
      <w:r w:rsidRPr="003308C3">
        <w:rPr>
          <w:sz w:val="20"/>
        </w:rPr>
        <w:t>tohatoha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pārongo</w:t>
      </w:r>
      <w:proofErr w:type="spellEnd"/>
      <w:r w:rsidRPr="003308C3">
        <w:rPr>
          <w:sz w:val="20"/>
        </w:rPr>
        <w:t xml:space="preserve"> </w:t>
      </w:r>
      <w:proofErr w:type="spellStart"/>
      <w:r w:rsidRPr="003308C3">
        <w:rPr>
          <w:sz w:val="20"/>
        </w:rPr>
        <w:t>hauora</w:t>
      </w:r>
      <w:proofErr w:type="spellEnd"/>
      <w:r w:rsidRPr="003308C3">
        <w:rPr>
          <w:sz w:val="20"/>
        </w:rPr>
        <w:t xml:space="preserve">. Me </w:t>
      </w:r>
      <w:proofErr w:type="spellStart"/>
      <w:r w:rsidRPr="003308C3">
        <w:rPr>
          <w:sz w:val="20"/>
        </w:rPr>
        <w:t>whakawhānui</w:t>
      </w:r>
      <w:proofErr w:type="spellEnd"/>
      <w:r w:rsidRPr="003308C3">
        <w:rPr>
          <w:sz w:val="20"/>
        </w:rPr>
        <w:t xml:space="preserve"> </w:t>
      </w:r>
      <w:proofErr w:type="spellStart"/>
      <w:r w:rsidRPr="003308C3">
        <w:rPr>
          <w:sz w:val="20"/>
        </w:rPr>
        <w:t>atu</w:t>
      </w:r>
      <w:proofErr w:type="spellEnd"/>
      <w:r w:rsidRPr="003308C3">
        <w:rPr>
          <w:sz w:val="20"/>
        </w:rPr>
        <w:t xml:space="preserve"> </w:t>
      </w:r>
      <w:proofErr w:type="spellStart"/>
      <w:r w:rsidRPr="003308C3">
        <w:rPr>
          <w:sz w:val="20"/>
        </w:rPr>
        <w:t>tā</w:t>
      </w:r>
      <w:proofErr w:type="spellEnd"/>
      <w:r w:rsidRPr="003308C3">
        <w:rPr>
          <w:sz w:val="20"/>
        </w:rPr>
        <w:t xml:space="preserve"> </w:t>
      </w:r>
      <w:proofErr w:type="spellStart"/>
      <w:r w:rsidRPr="003308C3">
        <w:rPr>
          <w:sz w:val="20"/>
        </w:rPr>
        <w:t>tātou</w:t>
      </w:r>
      <w:proofErr w:type="spellEnd"/>
      <w:r w:rsidRPr="003308C3">
        <w:rPr>
          <w:sz w:val="20"/>
        </w:rPr>
        <w:t xml:space="preserve"> </w:t>
      </w:r>
      <w:proofErr w:type="spellStart"/>
      <w:r w:rsidRPr="003308C3">
        <w:rPr>
          <w:sz w:val="20"/>
        </w:rPr>
        <w:t>whakamārama</w:t>
      </w:r>
      <w:proofErr w:type="spellEnd"/>
      <w:r w:rsidRPr="003308C3">
        <w:rPr>
          <w:sz w:val="20"/>
        </w:rPr>
        <w:t xml:space="preserve"> o </w:t>
      </w:r>
      <w:proofErr w:type="spellStart"/>
      <w:r w:rsidRPr="003308C3">
        <w:rPr>
          <w:sz w:val="20"/>
        </w:rPr>
        <w:t>te</w:t>
      </w:r>
      <w:proofErr w:type="spellEnd"/>
      <w:r w:rsidRPr="003308C3">
        <w:rPr>
          <w:sz w:val="20"/>
        </w:rPr>
        <w:t xml:space="preserve"> </w:t>
      </w:r>
      <w:proofErr w:type="spellStart"/>
      <w:r w:rsidRPr="003308C3">
        <w:rPr>
          <w:sz w:val="20"/>
        </w:rPr>
        <w:t>raraunga</w:t>
      </w:r>
      <w:proofErr w:type="spellEnd"/>
      <w:r w:rsidRPr="003308C3">
        <w:rPr>
          <w:sz w:val="20"/>
        </w:rPr>
        <w:t xml:space="preserve"> kia </w:t>
      </w:r>
      <w:proofErr w:type="spellStart"/>
      <w:r w:rsidRPr="003308C3">
        <w:rPr>
          <w:sz w:val="20"/>
        </w:rPr>
        <w:t>kuhu</w:t>
      </w:r>
      <w:proofErr w:type="spellEnd"/>
      <w:r w:rsidRPr="003308C3">
        <w:rPr>
          <w:sz w:val="20"/>
        </w:rPr>
        <w:t xml:space="preserve"> </w:t>
      </w:r>
      <w:proofErr w:type="spellStart"/>
      <w:r w:rsidRPr="003308C3">
        <w:rPr>
          <w:sz w:val="20"/>
        </w:rPr>
        <w:t>hoki</w:t>
      </w:r>
      <w:proofErr w:type="spellEnd"/>
      <w:r w:rsidRPr="003308C3">
        <w:rPr>
          <w:sz w:val="20"/>
        </w:rPr>
        <w:t xml:space="preserve"> ai </w:t>
      </w:r>
      <w:proofErr w:type="spellStart"/>
      <w:r w:rsidRPr="003308C3">
        <w:rPr>
          <w:sz w:val="20"/>
        </w:rPr>
        <w:t>nga</w:t>
      </w:r>
      <w:proofErr w:type="spellEnd"/>
      <w:r w:rsidRPr="003308C3">
        <w:rPr>
          <w:sz w:val="20"/>
        </w:rPr>
        <w:t xml:space="preserve"> </w:t>
      </w:r>
      <w:proofErr w:type="spellStart"/>
      <w:r w:rsidRPr="003308C3">
        <w:rPr>
          <w:sz w:val="20"/>
        </w:rPr>
        <w:t>raraunga</w:t>
      </w:r>
      <w:proofErr w:type="spellEnd"/>
      <w:r w:rsidRPr="003308C3">
        <w:rPr>
          <w:sz w:val="20"/>
        </w:rPr>
        <w:t xml:space="preserve"> e puta </w:t>
      </w:r>
      <w:proofErr w:type="spellStart"/>
      <w:r w:rsidRPr="003308C3">
        <w:rPr>
          <w:sz w:val="20"/>
        </w:rPr>
        <w:t>nei</w:t>
      </w:r>
      <w:proofErr w:type="spellEnd"/>
      <w:r w:rsidRPr="003308C3">
        <w:rPr>
          <w:sz w:val="20"/>
        </w:rPr>
        <w:t xml:space="preserve"> </w:t>
      </w:r>
      <w:proofErr w:type="spellStart"/>
      <w:r w:rsidRPr="003308C3">
        <w:rPr>
          <w:sz w:val="20"/>
        </w:rPr>
        <w:t>mā</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hangarau</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ara</w:t>
      </w:r>
      <w:proofErr w:type="spellEnd"/>
      <w:r w:rsidRPr="003308C3">
        <w:rPr>
          <w:sz w:val="20"/>
        </w:rPr>
        <w:t xml:space="preserve"> </w:t>
      </w:r>
      <w:proofErr w:type="spellStart"/>
      <w:r w:rsidRPr="003308C3">
        <w:rPr>
          <w:sz w:val="20"/>
        </w:rPr>
        <w:t>ake</w:t>
      </w:r>
      <w:proofErr w:type="spellEnd"/>
      <w:r w:rsidRPr="003308C3">
        <w:rPr>
          <w:sz w:val="20"/>
        </w:rPr>
        <w:t xml:space="preserve"> </w:t>
      </w:r>
      <w:proofErr w:type="spellStart"/>
      <w:r w:rsidRPr="003308C3">
        <w:rPr>
          <w:sz w:val="20"/>
        </w:rPr>
        <w:t>nei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hangarau</w:t>
      </w:r>
      <w:proofErr w:type="spellEnd"/>
      <w:r w:rsidRPr="003308C3">
        <w:rPr>
          <w:sz w:val="20"/>
        </w:rPr>
        <w:t xml:space="preserve"> </w:t>
      </w:r>
      <w:proofErr w:type="spellStart"/>
      <w:r w:rsidRPr="003308C3">
        <w:rPr>
          <w:sz w:val="20"/>
        </w:rPr>
        <w:t>kē</w:t>
      </w:r>
      <w:proofErr w:type="spellEnd"/>
      <w:r w:rsidRPr="003308C3">
        <w:rPr>
          <w:sz w:val="20"/>
        </w:rPr>
        <w:t xml:space="preserve"> o </w:t>
      </w:r>
      <w:proofErr w:type="spellStart"/>
      <w:r w:rsidRPr="003308C3">
        <w:rPr>
          <w:sz w:val="20"/>
        </w:rPr>
        <w:t>te</w:t>
      </w:r>
      <w:proofErr w:type="spellEnd"/>
      <w:r w:rsidRPr="003308C3">
        <w:rPr>
          <w:sz w:val="20"/>
        </w:rPr>
        <w:t xml:space="preserve"> </w:t>
      </w:r>
      <w:proofErr w:type="spellStart"/>
      <w:r w:rsidRPr="003308C3">
        <w:rPr>
          <w:sz w:val="20"/>
        </w:rPr>
        <w:t>wā</w:t>
      </w:r>
      <w:proofErr w:type="spellEnd"/>
      <w:r w:rsidRPr="003308C3">
        <w:rPr>
          <w:sz w:val="20"/>
        </w:rPr>
        <w:t xml:space="preserve"> </w:t>
      </w:r>
      <w:proofErr w:type="spellStart"/>
      <w:r w:rsidRPr="003308C3">
        <w:rPr>
          <w:sz w:val="20"/>
        </w:rPr>
        <w:t>nei</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aronga</w:t>
      </w:r>
      <w:proofErr w:type="spellEnd"/>
      <w:r w:rsidRPr="003308C3">
        <w:rPr>
          <w:sz w:val="20"/>
        </w:rPr>
        <w:t xml:space="preserve"> </w:t>
      </w:r>
      <w:proofErr w:type="spellStart"/>
      <w:r w:rsidRPr="003308C3">
        <w:rPr>
          <w:sz w:val="20"/>
        </w:rPr>
        <w:t>hōu</w:t>
      </w:r>
      <w:proofErr w:type="spellEnd"/>
      <w:r w:rsidRPr="003308C3">
        <w:rPr>
          <w:sz w:val="20"/>
        </w:rPr>
        <w:t xml:space="preserve">. </w:t>
      </w:r>
      <w:proofErr w:type="spellStart"/>
      <w:r w:rsidRPr="003308C3">
        <w:rPr>
          <w:sz w:val="20"/>
        </w:rPr>
        <w:t>Hei</w:t>
      </w:r>
      <w:proofErr w:type="spellEnd"/>
      <w:r w:rsidRPr="003308C3">
        <w:rPr>
          <w:sz w:val="20"/>
        </w:rPr>
        <w:t xml:space="preserve"> </w:t>
      </w:r>
      <w:proofErr w:type="spellStart"/>
      <w:r w:rsidRPr="003308C3">
        <w:rPr>
          <w:sz w:val="20"/>
        </w:rPr>
        <w:t>tauira</w:t>
      </w:r>
      <w:proofErr w:type="spellEnd"/>
      <w:r w:rsidRPr="003308C3">
        <w:rPr>
          <w:sz w:val="20"/>
        </w:rPr>
        <w:t xml:space="preserve">, ka </w:t>
      </w:r>
      <w:proofErr w:type="spellStart"/>
      <w:r w:rsidRPr="003308C3">
        <w:rPr>
          <w:sz w:val="20"/>
        </w:rPr>
        <w:t>nui</w:t>
      </w:r>
      <w:proofErr w:type="spellEnd"/>
      <w:r w:rsidRPr="003308C3">
        <w:rPr>
          <w:sz w:val="20"/>
        </w:rPr>
        <w:t xml:space="preserve"> </w:t>
      </w:r>
      <w:proofErr w:type="spellStart"/>
      <w:r w:rsidRPr="003308C3">
        <w:rPr>
          <w:sz w:val="20"/>
        </w:rPr>
        <w:t>ake</w:t>
      </w:r>
      <w:proofErr w:type="spellEnd"/>
      <w:r w:rsidRPr="003308C3">
        <w:rPr>
          <w:sz w:val="20"/>
        </w:rPr>
        <w:t xml:space="preserve"> </w:t>
      </w:r>
      <w:proofErr w:type="spellStart"/>
      <w:r w:rsidRPr="003308C3">
        <w:rPr>
          <w:sz w:val="20"/>
        </w:rPr>
        <w:t>tā</w:t>
      </w:r>
      <w:proofErr w:type="spellEnd"/>
      <w:r w:rsidRPr="003308C3">
        <w:rPr>
          <w:sz w:val="20"/>
        </w:rPr>
        <w:t xml:space="preserve"> </w:t>
      </w:r>
      <w:proofErr w:type="spellStart"/>
      <w:r w:rsidRPr="003308C3">
        <w:rPr>
          <w:sz w:val="20"/>
        </w:rPr>
        <w:t>tātou</w:t>
      </w:r>
      <w:proofErr w:type="spellEnd"/>
      <w:r w:rsidRPr="003308C3">
        <w:rPr>
          <w:sz w:val="20"/>
        </w:rPr>
        <w:t xml:space="preserve"> </w:t>
      </w:r>
      <w:proofErr w:type="spellStart"/>
      <w:r w:rsidRPr="003308C3">
        <w:rPr>
          <w:sz w:val="20"/>
        </w:rPr>
        <w:t>whakamahinga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puna </w:t>
      </w:r>
      <w:proofErr w:type="spellStart"/>
      <w:r w:rsidRPr="003308C3">
        <w:rPr>
          <w:sz w:val="20"/>
        </w:rPr>
        <w:t>hōu</w:t>
      </w:r>
      <w:proofErr w:type="spellEnd"/>
      <w:r w:rsidRPr="003308C3">
        <w:rPr>
          <w:sz w:val="20"/>
        </w:rPr>
        <w:t xml:space="preserve"> </w:t>
      </w:r>
      <w:proofErr w:type="spellStart"/>
      <w:r w:rsidRPr="003308C3">
        <w:rPr>
          <w:sz w:val="20"/>
        </w:rPr>
        <w:t>tae</w:t>
      </w:r>
      <w:proofErr w:type="spellEnd"/>
      <w:r w:rsidRPr="003308C3">
        <w:rPr>
          <w:sz w:val="20"/>
        </w:rPr>
        <w:t xml:space="preserve"> </w:t>
      </w:r>
      <w:proofErr w:type="spellStart"/>
      <w:r w:rsidRPr="003308C3">
        <w:rPr>
          <w:sz w:val="20"/>
        </w:rPr>
        <w:t>ake</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pārongo</w:t>
      </w:r>
      <w:proofErr w:type="spellEnd"/>
      <w:r w:rsidRPr="003308C3">
        <w:rPr>
          <w:sz w:val="20"/>
        </w:rPr>
        <w:t xml:space="preserve"> kore </w:t>
      </w:r>
      <w:proofErr w:type="spellStart"/>
      <w:r w:rsidRPr="003308C3">
        <w:rPr>
          <w:sz w:val="20"/>
        </w:rPr>
        <w:t>hāngai</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ratonga</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otiia</w:t>
      </w:r>
      <w:proofErr w:type="spellEnd"/>
      <w:r w:rsidRPr="003308C3">
        <w:rPr>
          <w:sz w:val="20"/>
        </w:rPr>
        <w:t xml:space="preserve">, he </w:t>
      </w:r>
      <w:proofErr w:type="spellStart"/>
      <w:r w:rsidRPr="003308C3">
        <w:rPr>
          <w:sz w:val="20"/>
        </w:rPr>
        <w:t>pānga</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putanga</w:t>
      </w:r>
      <w:proofErr w:type="spellEnd"/>
      <w:r w:rsidRPr="003308C3">
        <w:rPr>
          <w:sz w:val="20"/>
        </w:rPr>
        <w:t xml:space="preserve"> o </w:t>
      </w:r>
      <w:proofErr w:type="spellStart"/>
      <w:r w:rsidRPr="003308C3">
        <w:rPr>
          <w:sz w:val="20"/>
        </w:rPr>
        <w:t>te</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mōhiotanga</w:t>
      </w:r>
      <w:proofErr w:type="spellEnd"/>
      <w:r w:rsidRPr="003308C3">
        <w:rPr>
          <w:sz w:val="20"/>
        </w:rPr>
        <w:t xml:space="preserve"> </w:t>
      </w:r>
      <w:proofErr w:type="spellStart"/>
      <w:r w:rsidRPr="003308C3">
        <w:rPr>
          <w:sz w:val="20"/>
        </w:rPr>
        <w:t>horihori</w:t>
      </w:r>
      <w:proofErr w:type="spellEnd"/>
      <w:r w:rsidRPr="003308C3">
        <w:rPr>
          <w:sz w:val="20"/>
        </w:rPr>
        <w:t xml:space="preserve">, he </w:t>
      </w:r>
      <w:proofErr w:type="spellStart"/>
      <w:r w:rsidRPr="003308C3">
        <w:rPr>
          <w:sz w:val="20"/>
        </w:rPr>
        <w:t>kohinga</w:t>
      </w:r>
      <w:proofErr w:type="spellEnd"/>
      <w:r w:rsidRPr="003308C3">
        <w:rPr>
          <w:sz w:val="20"/>
        </w:rPr>
        <w:t xml:space="preserve"> </w:t>
      </w:r>
      <w:proofErr w:type="spellStart"/>
      <w:r w:rsidRPr="003308C3">
        <w:rPr>
          <w:sz w:val="20"/>
        </w:rPr>
        <w:t>whakaahua</w:t>
      </w:r>
      <w:proofErr w:type="spellEnd"/>
      <w:r w:rsidRPr="003308C3">
        <w:rPr>
          <w:sz w:val="20"/>
        </w:rPr>
        <w:t xml:space="preserve"> me </w:t>
      </w:r>
      <w:proofErr w:type="spellStart"/>
      <w:r w:rsidRPr="003308C3">
        <w:rPr>
          <w:sz w:val="20"/>
        </w:rPr>
        <w:t>ngā</w:t>
      </w:r>
      <w:proofErr w:type="spellEnd"/>
      <w:r w:rsidRPr="003308C3">
        <w:rPr>
          <w:sz w:val="20"/>
        </w:rPr>
        <w:t xml:space="preserve"> </w:t>
      </w:r>
      <w:proofErr w:type="spellStart"/>
      <w:r w:rsidRPr="003308C3">
        <w:rPr>
          <w:sz w:val="20"/>
        </w:rPr>
        <w:t>huinga</w:t>
      </w:r>
      <w:proofErr w:type="spellEnd"/>
      <w:r w:rsidRPr="003308C3">
        <w:rPr>
          <w:sz w:val="20"/>
        </w:rPr>
        <w:t xml:space="preserve"> </w:t>
      </w:r>
      <w:proofErr w:type="spellStart"/>
      <w:r w:rsidRPr="003308C3">
        <w:rPr>
          <w:sz w:val="20"/>
        </w:rPr>
        <w:t>ira</w:t>
      </w:r>
      <w:proofErr w:type="spellEnd"/>
      <w:r w:rsidRPr="003308C3">
        <w:rPr>
          <w:sz w:val="20"/>
        </w:rPr>
        <w:t xml:space="preserve"> kia </w:t>
      </w:r>
      <w:proofErr w:type="spellStart"/>
      <w:r w:rsidRPr="003308C3">
        <w:rPr>
          <w:sz w:val="20"/>
        </w:rPr>
        <w:t>tautoko</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whakataunga</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whakahaeretanga</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taupori</w:t>
      </w:r>
      <w:proofErr w:type="spellEnd"/>
      <w:r w:rsidRPr="003308C3">
        <w:rPr>
          <w:sz w:val="20"/>
        </w:rPr>
        <w:t xml:space="preserve">, kia </w:t>
      </w:r>
      <w:proofErr w:type="spellStart"/>
      <w:r w:rsidRPr="003308C3">
        <w:rPr>
          <w:sz w:val="20"/>
        </w:rPr>
        <w:t>rahi</w:t>
      </w:r>
      <w:proofErr w:type="spellEnd"/>
      <w:r w:rsidRPr="003308C3">
        <w:rPr>
          <w:sz w:val="20"/>
        </w:rPr>
        <w:t xml:space="preserve"> </w:t>
      </w:r>
      <w:proofErr w:type="spellStart"/>
      <w:r w:rsidRPr="003308C3">
        <w:rPr>
          <w:sz w:val="20"/>
        </w:rPr>
        <w:t>ake</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aro</w:t>
      </w:r>
      <w:proofErr w:type="spellEnd"/>
      <w:r w:rsidRPr="003308C3">
        <w:rPr>
          <w:sz w:val="20"/>
        </w:rPr>
        <w:t xml:space="preserve"> </w:t>
      </w:r>
      <w:proofErr w:type="spellStart"/>
      <w:r w:rsidRPr="003308C3">
        <w:rPr>
          <w:sz w:val="20"/>
        </w:rPr>
        <w:t>whai</w:t>
      </w:r>
      <w:proofErr w:type="spellEnd"/>
      <w:r w:rsidRPr="003308C3">
        <w:rPr>
          <w:sz w:val="20"/>
        </w:rPr>
        <w:t xml:space="preserve"> </w:t>
      </w:r>
      <w:proofErr w:type="spellStart"/>
      <w:r w:rsidRPr="003308C3">
        <w:rPr>
          <w:sz w:val="20"/>
        </w:rPr>
        <w:t>waahi</w:t>
      </w:r>
      <w:proofErr w:type="spellEnd"/>
      <w:r w:rsidRPr="003308C3">
        <w:rPr>
          <w:sz w:val="20"/>
        </w:rPr>
        <w:t xml:space="preserve"> </w:t>
      </w:r>
      <w:proofErr w:type="spellStart"/>
      <w:r w:rsidRPr="003308C3">
        <w:rPr>
          <w:sz w:val="20"/>
        </w:rPr>
        <w:t>atu</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tautoko</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ārai</w:t>
      </w:r>
      <w:proofErr w:type="spellEnd"/>
      <w:r w:rsidRPr="003308C3">
        <w:rPr>
          <w:sz w:val="20"/>
        </w:rPr>
        <w:t xml:space="preserve"> mate </w:t>
      </w:r>
      <w:proofErr w:type="spellStart"/>
      <w:r w:rsidRPr="003308C3">
        <w:rPr>
          <w:sz w:val="20"/>
        </w:rPr>
        <w:t>hōrapa</w:t>
      </w:r>
      <w:proofErr w:type="spellEnd"/>
      <w:r w:rsidRPr="003308C3">
        <w:rPr>
          <w:sz w:val="20"/>
        </w:rPr>
        <w:t xml:space="preserve"> </w:t>
      </w:r>
      <w:proofErr w:type="spellStart"/>
      <w:r w:rsidRPr="003308C3">
        <w:rPr>
          <w:sz w:val="20"/>
        </w:rPr>
        <w:t>pēnei</w:t>
      </w:r>
      <w:proofErr w:type="spellEnd"/>
      <w:r w:rsidRPr="003308C3">
        <w:rPr>
          <w:sz w:val="20"/>
        </w:rPr>
        <w:t xml:space="preserve"> </w:t>
      </w:r>
      <w:proofErr w:type="spellStart"/>
      <w:r w:rsidRPr="003308C3">
        <w:rPr>
          <w:sz w:val="20"/>
        </w:rPr>
        <w:t>anō</w:t>
      </w:r>
      <w:proofErr w:type="spellEnd"/>
      <w:r w:rsidRPr="003308C3">
        <w:rPr>
          <w:sz w:val="20"/>
        </w:rPr>
        <w:t xml:space="preserve"> i </w:t>
      </w:r>
      <w:proofErr w:type="spellStart"/>
      <w:r w:rsidRPr="003308C3">
        <w:rPr>
          <w:sz w:val="20"/>
        </w:rPr>
        <w:t>tā</w:t>
      </w:r>
      <w:proofErr w:type="spellEnd"/>
      <w:r w:rsidRPr="003308C3">
        <w:rPr>
          <w:sz w:val="20"/>
        </w:rPr>
        <w:t xml:space="preserve"> </w:t>
      </w:r>
      <w:proofErr w:type="spellStart"/>
      <w:r w:rsidRPr="003308C3">
        <w:rPr>
          <w:sz w:val="20"/>
        </w:rPr>
        <w:t>tātou</w:t>
      </w:r>
      <w:proofErr w:type="spellEnd"/>
      <w:r w:rsidRPr="003308C3">
        <w:rPr>
          <w:sz w:val="20"/>
        </w:rPr>
        <w:t xml:space="preserve"> me </w:t>
      </w:r>
      <w:proofErr w:type="spellStart"/>
      <w:r w:rsidRPr="003308C3">
        <w:rPr>
          <w:sz w:val="20"/>
        </w:rPr>
        <w:t>te</w:t>
      </w:r>
      <w:proofErr w:type="spellEnd"/>
      <w:r w:rsidRPr="003308C3">
        <w:rPr>
          <w:sz w:val="20"/>
        </w:rPr>
        <w:t xml:space="preserve"> Mate Korona.</w:t>
      </w:r>
    </w:p>
    <w:p w14:paraId="0075D72F" w14:textId="77777777" w:rsidR="00F71A66" w:rsidRPr="003308C3" w:rsidRDefault="00F71A66" w:rsidP="00F71A66">
      <w:pPr>
        <w:rPr>
          <w:sz w:val="20"/>
        </w:rPr>
      </w:pPr>
    </w:p>
    <w:p w14:paraId="0075D730" w14:textId="77777777" w:rsidR="00F71A66" w:rsidRPr="003308C3" w:rsidRDefault="00F71A66" w:rsidP="00F71A66">
      <w:pPr>
        <w:rPr>
          <w:sz w:val="20"/>
        </w:rPr>
      </w:pPr>
      <w:r w:rsidRPr="003308C3">
        <w:rPr>
          <w:sz w:val="20"/>
        </w:rPr>
        <w:t xml:space="preserve">Ko </w:t>
      </w:r>
      <w:proofErr w:type="spellStart"/>
      <w:r w:rsidRPr="003308C3">
        <w:rPr>
          <w:sz w:val="20"/>
        </w:rPr>
        <w:t>te</w:t>
      </w:r>
      <w:proofErr w:type="spellEnd"/>
      <w:r w:rsidRPr="003308C3">
        <w:rPr>
          <w:sz w:val="20"/>
        </w:rPr>
        <w:t xml:space="preserve"> </w:t>
      </w:r>
      <w:proofErr w:type="spellStart"/>
      <w:r w:rsidRPr="003308C3">
        <w:rPr>
          <w:sz w:val="20"/>
        </w:rPr>
        <w:t>whakahiapo</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ēnei</w:t>
      </w:r>
      <w:proofErr w:type="spellEnd"/>
      <w:r w:rsidRPr="003308C3">
        <w:rPr>
          <w:sz w:val="20"/>
        </w:rPr>
        <w:t xml:space="preserve"> </w:t>
      </w:r>
      <w:proofErr w:type="spellStart"/>
      <w:r w:rsidRPr="003308C3">
        <w:rPr>
          <w:sz w:val="20"/>
        </w:rPr>
        <w:t>panonitanga</w:t>
      </w:r>
      <w:proofErr w:type="spellEnd"/>
      <w:r w:rsidRPr="003308C3">
        <w:rPr>
          <w:sz w:val="20"/>
        </w:rPr>
        <w:t xml:space="preserve"> ka wero </w:t>
      </w:r>
      <w:proofErr w:type="spellStart"/>
      <w:r w:rsidRPr="003308C3">
        <w:rPr>
          <w:sz w:val="20"/>
        </w:rPr>
        <w:t>nei</w:t>
      </w:r>
      <w:proofErr w:type="spellEnd"/>
      <w:r w:rsidRPr="003308C3">
        <w:rPr>
          <w:sz w:val="20"/>
        </w:rPr>
        <w:t xml:space="preserve"> </w:t>
      </w:r>
      <w:proofErr w:type="spellStart"/>
      <w:r w:rsidRPr="003308C3">
        <w:rPr>
          <w:sz w:val="20"/>
        </w:rPr>
        <w:t>i</w:t>
      </w:r>
      <w:proofErr w:type="spellEnd"/>
      <w:r w:rsidRPr="003308C3">
        <w:rPr>
          <w:sz w:val="20"/>
        </w:rPr>
        <w:t xml:space="preserve"> ō </w:t>
      </w:r>
      <w:proofErr w:type="spellStart"/>
      <w:r w:rsidRPr="003308C3">
        <w:rPr>
          <w:sz w:val="20"/>
        </w:rPr>
        <w:t>tātou</w:t>
      </w:r>
      <w:proofErr w:type="spellEnd"/>
      <w:r w:rsidRPr="003308C3">
        <w:rPr>
          <w:sz w:val="20"/>
        </w:rPr>
        <w:t xml:space="preserve"> </w:t>
      </w:r>
      <w:proofErr w:type="spellStart"/>
      <w:r w:rsidRPr="003308C3">
        <w:rPr>
          <w:sz w:val="20"/>
        </w:rPr>
        <w:t>whakaaro</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tūmomo</w:t>
      </w:r>
      <w:proofErr w:type="spellEnd"/>
      <w:r w:rsidRPr="003308C3">
        <w:rPr>
          <w:sz w:val="20"/>
        </w:rPr>
        <w:t xml:space="preserve"> </w:t>
      </w:r>
      <w:proofErr w:type="spellStart"/>
      <w:r w:rsidRPr="003308C3">
        <w:rPr>
          <w:sz w:val="20"/>
        </w:rPr>
        <w:t>āhuatanga</w:t>
      </w:r>
      <w:proofErr w:type="spellEnd"/>
      <w:r w:rsidRPr="003308C3">
        <w:rPr>
          <w:sz w:val="20"/>
        </w:rPr>
        <w:t xml:space="preserve"> </w:t>
      </w:r>
      <w:proofErr w:type="spellStart"/>
      <w:r w:rsidRPr="003308C3">
        <w:rPr>
          <w:sz w:val="20"/>
        </w:rPr>
        <w:t>maha</w:t>
      </w:r>
      <w:proofErr w:type="spellEnd"/>
      <w:r w:rsidRPr="003308C3">
        <w:rPr>
          <w:sz w:val="20"/>
        </w:rPr>
        <w:t xml:space="preserve">, </w:t>
      </w:r>
      <w:proofErr w:type="spellStart"/>
      <w:r w:rsidRPr="003308C3">
        <w:rPr>
          <w:sz w:val="20"/>
        </w:rPr>
        <w:t>arā</w:t>
      </w:r>
      <w:proofErr w:type="spellEnd"/>
      <w:r w:rsidRPr="003308C3">
        <w:rPr>
          <w:sz w:val="20"/>
        </w:rPr>
        <w:t xml:space="preserve"> ko </w:t>
      </w:r>
      <w:proofErr w:type="spellStart"/>
      <w:r w:rsidRPr="003308C3">
        <w:rPr>
          <w:sz w:val="20"/>
        </w:rPr>
        <w:t>te</w:t>
      </w:r>
      <w:proofErr w:type="spellEnd"/>
      <w:r w:rsidRPr="003308C3">
        <w:rPr>
          <w:sz w:val="20"/>
        </w:rPr>
        <w:t xml:space="preserve"> </w:t>
      </w:r>
      <w:proofErr w:type="spellStart"/>
      <w:r w:rsidRPr="003308C3">
        <w:rPr>
          <w:sz w:val="20"/>
        </w:rPr>
        <w:t>whakamahinga</w:t>
      </w:r>
      <w:proofErr w:type="spellEnd"/>
      <w:r w:rsidRPr="003308C3">
        <w:rPr>
          <w:sz w:val="20"/>
        </w:rPr>
        <w:t xml:space="preserve"> o </w:t>
      </w:r>
      <w:proofErr w:type="spellStart"/>
      <w:r w:rsidRPr="003308C3">
        <w:rPr>
          <w:sz w:val="20"/>
        </w:rPr>
        <w:t>ngā</w:t>
      </w:r>
      <w:proofErr w:type="spellEnd"/>
      <w:r w:rsidRPr="003308C3">
        <w:rPr>
          <w:sz w:val="20"/>
        </w:rPr>
        <w:t xml:space="preserve"> </w:t>
      </w:r>
      <w:proofErr w:type="spellStart"/>
      <w:r w:rsidRPr="003308C3">
        <w:rPr>
          <w:sz w:val="20"/>
        </w:rPr>
        <w:t>raraunga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runga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matatika</w:t>
      </w:r>
      <w:proofErr w:type="spellEnd"/>
      <w:r w:rsidRPr="003308C3">
        <w:rPr>
          <w:sz w:val="20"/>
        </w:rPr>
        <w:t xml:space="preserve">, </w:t>
      </w:r>
      <w:proofErr w:type="spellStart"/>
      <w:r w:rsidRPr="003308C3">
        <w:rPr>
          <w:sz w:val="20"/>
        </w:rPr>
        <w:t>ngā</w:t>
      </w:r>
      <w:proofErr w:type="spellEnd"/>
      <w:r w:rsidRPr="003308C3">
        <w:rPr>
          <w:sz w:val="20"/>
        </w:rPr>
        <w:t xml:space="preserve"> take </w:t>
      </w:r>
      <w:proofErr w:type="spellStart"/>
      <w:r w:rsidRPr="003308C3">
        <w:rPr>
          <w:sz w:val="20"/>
        </w:rPr>
        <w:t>mō</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whakaaetanga</w:t>
      </w:r>
      <w:proofErr w:type="spellEnd"/>
      <w:r w:rsidRPr="003308C3">
        <w:rPr>
          <w:sz w:val="20"/>
        </w:rPr>
        <w:t xml:space="preserve"> me </w:t>
      </w:r>
      <w:proofErr w:type="spellStart"/>
      <w:r w:rsidRPr="003308C3">
        <w:rPr>
          <w:sz w:val="20"/>
        </w:rPr>
        <w:t>te</w:t>
      </w:r>
      <w:proofErr w:type="spellEnd"/>
      <w:r w:rsidRPr="003308C3">
        <w:rPr>
          <w:sz w:val="20"/>
        </w:rPr>
        <w:t xml:space="preserve"> </w:t>
      </w:r>
      <w:proofErr w:type="spellStart"/>
      <w:r w:rsidRPr="003308C3">
        <w:rPr>
          <w:sz w:val="20"/>
        </w:rPr>
        <w:t>whai</w:t>
      </w:r>
      <w:proofErr w:type="spellEnd"/>
      <w:r w:rsidRPr="003308C3">
        <w:rPr>
          <w:sz w:val="20"/>
        </w:rPr>
        <w:t xml:space="preserve"> </w:t>
      </w:r>
      <w:proofErr w:type="spellStart"/>
      <w:r w:rsidRPr="003308C3">
        <w:rPr>
          <w:sz w:val="20"/>
        </w:rPr>
        <w:t>waahitanga</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pārongo</w:t>
      </w:r>
      <w:proofErr w:type="spellEnd"/>
      <w:r w:rsidRPr="003308C3">
        <w:rPr>
          <w:sz w:val="20"/>
        </w:rPr>
        <w:t xml:space="preserve">, </w:t>
      </w:r>
      <w:proofErr w:type="spellStart"/>
      <w:r w:rsidRPr="003308C3">
        <w:rPr>
          <w:sz w:val="20"/>
        </w:rPr>
        <w:t>ngā</w:t>
      </w:r>
      <w:proofErr w:type="spellEnd"/>
      <w:r w:rsidRPr="003308C3">
        <w:rPr>
          <w:sz w:val="20"/>
        </w:rPr>
        <w:t xml:space="preserve"> tikanga </w:t>
      </w:r>
      <w:proofErr w:type="spellStart"/>
      <w:r w:rsidRPr="003308C3">
        <w:rPr>
          <w:sz w:val="20"/>
        </w:rPr>
        <w:t>matatapu</w:t>
      </w:r>
      <w:proofErr w:type="spellEnd"/>
      <w:r w:rsidRPr="003308C3">
        <w:rPr>
          <w:sz w:val="20"/>
        </w:rPr>
        <w:t xml:space="preserve">, </w:t>
      </w:r>
      <w:proofErr w:type="spellStart"/>
      <w:r w:rsidRPr="003308C3">
        <w:rPr>
          <w:sz w:val="20"/>
        </w:rPr>
        <w:t>whakahaumaru</w:t>
      </w:r>
      <w:proofErr w:type="spellEnd"/>
      <w:r w:rsidRPr="003308C3">
        <w:rPr>
          <w:sz w:val="20"/>
        </w:rPr>
        <w:t xml:space="preserve"> </w:t>
      </w:r>
      <w:proofErr w:type="spellStart"/>
      <w:r w:rsidRPr="003308C3">
        <w:rPr>
          <w:sz w:val="20"/>
        </w:rPr>
        <w:t>hoki</w:t>
      </w:r>
      <w:proofErr w:type="spellEnd"/>
      <w:r w:rsidRPr="003308C3">
        <w:rPr>
          <w:sz w:val="20"/>
        </w:rPr>
        <w:t xml:space="preserve">, ā </w:t>
      </w:r>
      <w:proofErr w:type="spellStart"/>
      <w:r w:rsidRPr="003308C3">
        <w:rPr>
          <w:sz w:val="20"/>
        </w:rPr>
        <w:t>tātou</w:t>
      </w:r>
      <w:proofErr w:type="spellEnd"/>
      <w:r w:rsidRPr="003308C3">
        <w:rPr>
          <w:sz w:val="20"/>
        </w:rPr>
        <w:t xml:space="preserve"> here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Tiriti</w:t>
      </w:r>
      <w:proofErr w:type="spellEnd"/>
      <w:r w:rsidRPr="003308C3">
        <w:rPr>
          <w:sz w:val="20"/>
        </w:rPr>
        <w:t xml:space="preserve"> o Waitangi, ā, ka </w:t>
      </w:r>
      <w:proofErr w:type="spellStart"/>
      <w:r w:rsidRPr="003308C3">
        <w:rPr>
          <w:sz w:val="20"/>
        </w:rPr>
        <w:t>pehea</w:t>
      </w:r>
      <w:proofErr w:type="spellEnd"/>
      <w:r w:rsidRPr="003308C3">
        <w:rPr>
          <w:sz w:val="20"/>
        </w:rPr>
        <w:t xml:space="preserve"> </w:t>
      </w:r>
      <w:proofErr w:type="spellStart"/>
      <w:r w:rsidRPr="003308C3">
        <w:rPr>
          <w:sz w:val="20"/>
        </w:rPr>
        <w:t>hoki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rāngai</w:t>
      </w:r>
      <w:proofErr w:type="spellEnd"/>
      <w:r w:rsidRPr="003308C3">
        <w:rPr>
          <w:sz w:val="20"/>
        </w:rPr>
        <w:t xml:space="preserve"> e </w:t>
      </w:r>
      <w:proofErr w:type="spellStart"/>
      <w:r w:rsidRPr="003308C3">
        <w:rPr>
          <w:sz w:val="20"/>
        </w:rPr>
        <w:t>taea</w:t>
      </w:r>
      <w:proofErr w:type="spellEnd"/>
      <w:r w:rsidRPr="003308C3">
        <w:rPr>
          <w:sz w:val="20"/>
        </w:rPr>
        <w:t xml:space="preserve"> ana </w:t>
      </w:r>
      <w:proofErr w:type="spellStart"/>
      <w:r w:rsidRPr="003308C3">
        <w:rPr>
          <w:sz w:val="20"/>
        </w:rPr>
        <w:t>te</w:t>
      </w:r>
      <w:proofErr w:type="spellEnd"/>
      <w:r w:rsidRPr="003308C3">
        <w:rPr>
          <w:sz w:val="20"/>
        </w:rPr>
        <w:t xml:space="preserve"> </w:t>
      </w:r>
      <w:proofErr w:type="spellStart"/>
      <w:r w:rsidRPr="003308C3">
        <w:rPr>
          <w:sz w:val="20"/>
        </w:rPr>
        <w:t>kōrero</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tōrite</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ao</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engari</w:t>
      </w:r>
      <w:proofErr w:type="spellEnd"/>
      <w:r w:rsidRPr="003308C3">
        <w:rPr>
          <w:sz w:val="20"/>
        </w:rPr>
        <w:t xml:space="preserve"> </w:t>
      </w:r>
      <w:proofErr w:type="spellStart"/>
      <w:r w:rsidRPr="003308C3">
        <w:rPr>
          <w:sz w:val="20"/>
        </w:rPr>
        <w:t>anō</w:t>
      </w:r>
      <w:proofErr w:type="spellEnd"/>
      <w:r w:rsidRPr="003308C3">
        <w:rPr>
          <w:sz w:val="20"/>
        </w:rPr>
        <w:t xml:space="preserve"> </w:t>
      </w:r>
      <w:proofErr w:type="spellStart"/>
      <w:r w:rsidRPr="003308C3">
        <w:rPr>
          <w:sz w:val="20"/>
        </w:rPr>
        <w:t>tēnā</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whakatinana</w:t>
      </w:r>
      <w:proofErr w:type="spellEnd"/>
      <w:r w:rsidRPr="003308C3">
        <w:rPr>
          <w:sz w:val="20"/>
        </w:rPr>
        <w:t xml:space="preserve">. Me </w:t>
      </w:r>
      <w:proofErr w:type="spellStart"/>
      <w:r w:rsidRPr="003308C3">
        <w:rPr>
          <w:sz w:val="20"/>
        </w:rPr>
        <w:t>whakaaro</w:t>
      </w:r>
      <w:proofErr w:type="spellEnd"/>
      <w:r w:rsidRPr="003308C3">
        <w:rPr>
          <w:sz w:val="20"/>
        </w:rPr>
        <w:t xml:space="preserve"> </w:t>
      </w:r>
      <w:proofErr w:type="spellStart"/>
      <w:r w:rsidRPr="003308C3">
        <w:rPr>
          <w:sz w:val="20"/>
        </w:rPr>
        <w:t>hoki</w:t>
      </w:r>
      <w:proofErr w:type="spellEnd"/>
      <w:r w:rsidRPr="003308C3">
        <w:rPr>
          <w:sz w:val="20"/>
        </w:rPr>
        <w:t xml:space="preserve"> e </w:t>
      </w:r>
      <w:proofErr w:type="spellStart"/>
      <w:r w:rsidRPr="003308C3">
        <w:rPr>
          <w:sz w:val="20"/>
        </w:rPr>
        <w:t>mātou</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momo</w:t>
      </w:r>
      <w:proofErr w:type="spellEnd"/>
      <w:r w:rsidRPr="003308C3">
        <w:rPr>
          <w:sz w:val="20"/>
        </w:rPr>
        <w:t xml:space="preserve"> </w:t>
      </w:r>
      <w:proofErr w:type="spellStart"/>
      <w:r w:rsidRPr="003308C3">
        <w:rPr>
          <w:sz w:val="20"/>
        </w:rPr>
        <w:t>pārongo</w:t>
      </w:r>
      <w:proofErr w:type="spellEnd"/>
      <w:r w:rsidRPr="003308C3">
        <w:rPr>
          <w:sz w:val="20"/>
        </w:rPr>
        <w:t xml:space="preserve"> e </w:t>
      </w:r>
      <w:proofErr w:type="spellStart"/>
      <w:r w:rsidRPr="003308C3">
        <w:rPr>
          <w:sz w:val="20"/>
        </w:rPr>
        <w:t>kohikohi</w:t>
      </w:r>
      <w:proofErr w:type="spellEnd"/>
      <w:r w:rsidRPr="003308C3">
        <w:rPr>
          <w:sz w:val="20"/>
        </w:rPr>
        <w:t xml:space="preserve"> ai me </w:t>
      </w:r>
      <w:proofErr w:type="spellStart"/>
      <w:r w:rsidRPr="003308C3">
        <w:rPr>
          <w:sz w:val="20"/>
        </w:rPr>
        <w:t>ōna</w:t>
      </w:r>
      <w:proofErr w:type="spellEnd"/>
      <w:r w:rsidRPr="003308C3">
        <w:rPr>
          <w:sz w:val="20"/>
        </w:rPr>
        <w:t xml:space="preserve"> </w:t>
      </w:r>
      <w:proofErr w:type="spellStart"/>
      <w:r w:rsidRPr="003308C3">
        <w:rPr>
          <w:sz w:val="20"/>
        </w:rPr>
        <w:t>whai</w:t>
      </w:r>
      <w:proofErr w:type="spellEnd"/>
      <w:r w:rsidRPr="003308C3">
        <w:rPr>
          <w:sz w:val="20"/>
        </w:rPr>
        <w:t xml:space="preserve"> take </w:t>
      </w:r>
      <w:proofErr w:type="spellStart"/>
      <w:r w:rsidRPr="003308C3">
        <w:rPr>
          <w:sz w:val="20"/>
        </w:rPr>
        <w:t>ki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putanga</w:t>
      </w:r>
      <w:proofErr w:type="spellEnd"/>
      <w:r w:rsidRPr="003308C3">
        <w:rPr>
          <w:sz w:val="20"/>
        </w:rPr>
        <w:t xml:space="preserve"> </w:t>
      </w:r>
      <w:proofErr w:type="spellStart"/>
      <w:r w:rsidRPr="003308C3">
        <w:rPr>
          <w:sz w:val="20"/>
        </w:rPr>
        <w:t>hauora</w:t>
      </w:r>
      <w:proofErr w:type="spellEnd"/>
      <w:r w:rsidRPr="003308C3">
        <w:rPr>
          <w:sz w:val="20"/>
        </w:rPr>
        <w:t xml:space="preserve">, ā, </w:t>
      </w:r>
      <w:proofErr w:type="spellStart"/>
      <w:r w:rsidRPr="003308C3">
        <w:rPr>
          <w:sz w:val="20"/>
        </w:rPr>
        <w:t>tā</w:t>
      </w:r>
      <w:proofErr w:type="spellEnd"/>
      <w:r w:rsidRPr="003308C3">
        <w:rPr>
          <w:sz w:val="20"/>
        </w:rPr>
        <w:t xml:space="preserve"> </w:t>
      </w:r>
      <w:proofErr w:type="spellStart"/>
      <w:r w:rsidRPr="003308C3">
        <w:rPr>
          <w:sz w:val="20"/>
        </w:rPr>
        <w:t>mātou</w:t>
      </w:r>
      <w:proofErr w:type="spellEnd"/>
      <w:r w:rsidRPr="003308C3">
        <w:rPr>
          <w:sz w:val="20"/>
        </w:rPr>
        <w:t xml:space="preserve"> </w:t>
      </w:r>
      <w:proofErr w:type="spellStart"/>
      <w:r w:rsidRPr="003308C3">
        <w:rPr>
          <w:sz w:val="20"/>
        </w:rPr>
        <w:t>tūranga</w:t>
      </w:r>
      <w:proofErr w:type="spellEnd"/>
      <w:r w:rsidRPr="003308C3">
        <w:rPr>
          <w:sz w:val="20"/>
        </w:rPr>
        <w:t xml:space="preserve"> </w:t>
      </w:r>
      <w:proofErr w:type="spellStart"/>
      <w:r w:rsidRPr="003308C3">
        <w:rPr>
          <w:sz w:val="20"/>
        </w:rPr>
        <w:t>hei</w:t>
      </w:r>
      <w:proofErr w:type="spellEnd"/>
      <w:r w:rsidRPr="003308C3">
        <w:rPr>
          <w:sz w:val="20"/>
        </w:rPr>
        <w:t xml:space="preserve"> kaitiaki </w:t>
      </w:r>
      <w:proofErr w:type="spellStart"/>
      <w:r w:rsidRPr="003308C3">
        <w:rPr>
          <w:sz w:val="20"/>
        </w:rPr>
        <w:t>engari</w:t>
      </w:r>
      <w:proofErr w:type="spellEnd"/>
      <w:r w:rsidRPr="003308C3">
        <w:rPr>
          <w:sz w:val="20"/>
        </w:rPr>
        <w:t xml:space="preserve"> </w:t>
      </w:r>
      <w:proofErr w:type="spellStart"/>
      <w:r w:rsidRPr="003308C3">
        <w:rPr>
          <w:sz w:val="20"/>
        </w:rPr>
        <w:t>anō</w:t>
      </w:r>
      <w:proofErr w:type="spellEnd"/>
      <w:r w:rsidRPr="003308C3">
        <w:rPr>
          <w:sz w:val="20"/>
        </w:rPr>
        <w:t xml:space="preserve"> </w:t>
      </w:r>
      <w:proofErr w:type="spellStart"/>
      <w:r w:rsidRPr="003308C3">
        <w:rPr>
          <w:sz w:val="20"/>
        </w:rPr>
        <w:t>hei</w:t>
      </w:r>
      <w:proofErr w:type="spellEnd"/>
      <w:r w:rsidRPr="003308C3">
        <w:rPr>
          <w:sz w:val="20"/>
        </w:rPr>
        <w:t xml:space="preserve"> </w:t>
      </w:r>
      <w:proofErr w:type="spellStart"/>
      <w:r w:rsidRPr="003308C3">
        <w:rPr>
          <w:sz w:val="20"/>
        </w:rPr>
        <w:t>rangatira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pārongo</w:t>
      </w:r>
      <w:proofErr w:type="spellEnd"/>
      <w:r w:rsidRPr="003308C3">
        <w:rPr>
          <w:sz w:val="20"/>
        </w:rPr>
        <w:t xml:space="preserve"> </w:t>
      </w:r>
      <w:proofErr w:type="spellStart"/>
      <w:r w:rsidRPr="003308C3">
        <w:rPr>
          <w:sz w:val="20"/>
        </w:rPr>
        <w:t>kua</w:t>
      </w:r>
      <w:proofErr w:type="spellEnd"/>
      <w:r w:rsidRPr="003308C3">
        <w:rPr>
          <w:sz w:val="20"/>
        </w:rPr>
        <w:t xml:space="preserve"> </w:t>
      </w:r>
      <w:proofErr w:type="spellStart"/>
      <w:r w:rsidRPr="003308C3">
        <w:rPr>
          <w:sz w:val="20"/>
        </w:rPr>
        <w:t>whakaponohia</w:t>
      </w:r>
      <w:proofErr w:type="spellEnd"/>
      <w:r w:rsidRPr="003308C3">
        <w:rPr>
          <w:sz w:val="20"/>
        </w:rPr>
        <w:t xml:space="preserve"> </w:t>
      </w:r>
      <w:proofErr w:type="spellStart"/>
      <w:r w:rsidRPr="003308C3">
        <w:rPr>
          <w:sz w:val="20"/>
        </w:rPr>
        <w:t>mai</w:t>
      </w:r>
      <w:proofErr w:type="spellEnd"/>
      <w:r w:rsidRPr="003308C3">
        <w:rPr>
          <w:sz w:val="20"/>
        </w:rPr>
        <w:t xml:space="preserve"> </w:t>
      </w:r>
      <w:proofErr w:type="spellStart"/>
      <w:r w:rsidRPr="003308C3">
        <w:rPr>
          <w:sz w:val="20"/>
        </w:rPr>
        <w:t>mātou</w:t>
      </w:r>
      <w:proofErr w:type="spellEnd"/>
      <w:r w:rsidRPr="003308C3">
        <w:rPr>
          <w:sz w:val="20"/>
        </w:rPr>
        <w:t xml:space="preserve"> e </w:t>
      </w:r>
      <w:proofErr w:type="spellStart"/>
      <w:r w:rsidRPr="003308C3">
        <w:rPr>
          <w:sz w:val="20"/>
        </w:rPr>
        <w:t>te</w:t>
      </w:r>
      <w:proofErr w:type="spellEnd"/>
      <w:r w:rsidRPr="003308C3">
        <w:rPr>
          <w:sz w:val="20"/>
        </w:rPr>
        <w:t xml:space="preserve"> </w:t>
      </w:r>
      <w:proofErr w:type="spellStart"/>
      <w:r w:rsidRPr="003308C3">
        <w:rPr>
          <w:sz w:val="20"/>
        </w:rPr>
        <w:t>takitahi</w:t>
      </w:r>
      <w:proofErr w:type="spellEnd"/>
      <w:r w:rsidRPr="003308C3">
        <w:rPr>
          <w:sz w:val="20"/>
        </w:rPr>
        <w:t xml:space="preserve">, e </w:t>
      </w:r>
      <w:proofErr w:type="spellStart"/>
      <w:r w:rsidRPr="003308C3">
        <w:rPr>
          <w:sz w:val="20"/>
        </w:rPr>
        <w:t>ngā</w:t>
      </w:r>
      <w:proofErr w:type="spellEnd"/>
      <w:r w:rsidRPr="003308C3">
        <w:rPr>
          <w:sz w:val="20"/>
        </w:rPr>
        <w:t xml:space="preserve"> </w:t>
      </w:r>
      <w:proofErr w:type="spellStart"/>
      <w:r w:rsidRPr="003308C3">
        <w:rPr>
          <w:sz w:val="20"/>
        </w:rPr>
        <w:t>whānau</w:t>
      </w:r>
      <w:proofErr w:type="spellEnd"/>
      <w:r w:rsidRPr="003308C3">
        <w:rPr>
          <w:sz w:val="20"/>
        </w:rPr>
        <w:t xml:space="preserve"> e </w:t>
      </w:r>
      <w:proofErr w:type="spellStart"/>
      <w:r w:rsidRPr="003308C3">
        <w:rPr>
          <w:sz w:val="20"/>
        </w:rPr>
        <w:t>ngā</w:t>
      </w:r>
      <w:proofErr w:type="spellEnd"/>
      <w:r w:rsidRPr="003308C3">
        <w:rPr>
          <w:sz w:val="20"/>
        </w:rPr>
        <w:t xml:space="preserve"> </w:t>
      </w:r>
      <w:proofErr w:type="spellStart"/>
      <w:r w:rsidRPr="003308C3">
        <w:rPr>
          <w:sz w:val="20"/>
        </w:rPr>
        <w:t>hapori</w:t>
      </w:r>
      <w:proofErr w:type="spellEnd"/>
      <w:r w:rsidRPr="003308C3">
        <w:rPr>
          <w:sz w:val="20"/>
        </w:rPr>
        <w:t>.</w:t>
      </w:r>
    </w:p>
    <w:p w14:paraId="0075D731" w14:textId="77777777" w:rsidR="00F71A66" w:rsidRPr="003308C3" w:rsidRDefault="00F71A66" w:rsidP="00F71A66">
      <w:pPr>
        <w:rPr>
          <w:sz w:val="20"/>
        </w:rPr>
      </w:pPr>
    </w:p>
    <w:p w14:paraId="0075D732" w14:textId="77777777" w:rsidR="00F71A66" w:rsidRPr="003308C3" w:rsidRDefault="00F71A66" w:rsidP="00F71A66">
      <w:pPr>
        <w:rPr>
          <w:sz w:val="20"/>
        </w:rPr>
      </w:pPr>
      <w:r w:rsidRPr="003308C3">
        <w:rPr>
          <w:sz w:val="20"/>
        </w:rPr>
        <w:t xml:space="preserve">He </w:t>
      </w:r>
      <w:proofErr w:type="spellStart"/>
      <w:r w:rsidRPr="003308C3">
        <w:rPr>
          <w:sz w:val="20"/>
        </w:rPr>
        <w:t>pātai</w:t>
      </w:r>
      <w:proofErr w:type="spellEnd"/>
      <w:r w:rsidRPr="003308C3">
        <w:rPr>
          <w:sz w:val="20"/>
        </w:rPr>
        <w:t xml:space="preserve"> </w:t>
      </w:r>
      <w:proofErr w:type="spellStart"/>
      <w:r w:rsidRPr="003308C3">
        <w:rPr>
          <w:sz w:val="20"/>
        </w:rPr>
        <w:t>nui</w:t>
      </w:r>
      <w:proofErr w:type="spellEnd"/>
      <w:r w:rsidRPr="003308C3">
        <w:rPr>
          <w:sz w:val="20"/>
        </w:rPr>
        <w:t xml:space="preserve"> </w:t>
      </w:r>
      <w:proofErr w:type="spellStart"/>
      <w:r w:rsidRPr="003308C3">
        <w:rPr>
          <w:sz w:val="20"/>
        </w:rPr>
        <w:t>ēnei</w:t>
      </w:r>
      <w:proofErr w:type="spellEnd"/>
      <w:r w:rsidRPr="003308C3">
        <w:rPr>
          <w:sz w:val="20"/>
        </w:rPr>
        <w:t xml:space="preserve"> me </w:t>
      </w:r>
      <w:proofErr w:type="spellStart"/>
      <w:r w:rsidRPr="003308C3">
        <w:rPr>
          <w:sz w:val="20"/>
        </w:rPr>
        <w:t>āta</w:t>
      </w:r>
      <w:proofErr w:type="spellEnd"/>
      <w:r w:rsidRPr="003308C3">
        <w:rPr>
          <w:sz w:val="20"/>
        </w:rPr>
        <w:t xml:space="preserve"> </w:t>
      </w:r>
      <w:proofErr w:type="spellStart"/>
      <w:r w:rsidRPr="003308C3">
        <w:rPr>
          <w:sz w:val="20"/>
        </w:rPr>
        <w:t>whakaaro</w:t>
      </w:r>
      <w:proofErr w:type="spellEnd"/>
      <w:r w:rsidRPr="003308C3">
        <w:rPr>
          <w:sz w:val="20"/>
        </w:rPr>
        <w:t xml:space="preserve"> </w:t>
      </w:r>
      <w:proofErr w:type="spellStart"/>
      <w:r w:rsidRPr="003308C3">
        <w:rPr>
          <w:sz w:val="20"/>
        </w:rPr>
        <w:t>iho</w:t>
      </w:r>
      <w:proofErr w:type="spellEnd"/>
      <w:r w:rsidRPr="003308C3">
        <w:rPr>
          <w:sz w:val="20"/>
        </w:rPr>
        <w:t xml:space="preserve">. Ko </w:t>
      </w:r>
      <w:proofErr w:type="spellStart"/>
      <w:r w:rsidRPr="003308C3">
        <w:rPr>
          <w:sz w:val="20"/>
        </w:rPr>
        <w:t>te</w:t>
      </w:r>
      <w:proofErr w:type="spellEnd"/>
      <w:r w:rsidRPr="003308C3">
        <w:rPr>
          <w:sz w:val="20"/>
        </w:rPr>
        <w:t xml:space="preserve"> </w:t>
      </w:r>
      <w:proofErr w:type="spellStart"/>
      <w:r w:rsidRPr="003308C3">
        <w:rPr>
          <w:sz w:val="20"/>
        </w:rPr>
        <w:t>kimi</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ara</w:t>
      </w:r>
      <w:proofErr w:type="spellEnd"/>
      <w:r w:rsidRPr="003308C3">
        <w:rPr>
          <w:sz w:val="20"/>
        </w:rPr>
        <w:t xml:space="preserve"> pai </w:t>
      </w:r>
      <w:proofErr w:type="spellStart"/>
      <w:r w:rsidRPr="003308C3">
        <w:rPr>
          <w:sz w:val="20"/>
        </w:rPr>
        <w:t>ake</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tautoko</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iwi o Aotearoa </w:t>
      </w:r>
      <w:proofErr w:type="spellStart"/>
      <w:r w:rsidRPr="003308C3">
        <w:rPr>
          <w:sz w:val="20"/>
        </w:rPr>
        <w:t>te</w:t>
      </w:r>
      <w:proofErr w:type="spellEnd"/>
      <w:r w:rsidRPr="003308C3">
        <w:rPr>
          <w:sz w:val="20"/>
        </w:rPr>
        <w:t xml:space="preserve"> </w:t>
      </w:r>
      <w:proofErr w:type="spellStart"/>
      <w:r w:rsidRPr="003308C3">
        <w:rPr>
          <w:sz w:val="20"/>
        </w:rPr>
        <w:t>aronga</w:t>
      </w:r>
      <w:proofErr w:type="spellEnd"/>
      <w:r w:rsidRPr="003308C3">
        <w:rPr>
          <w:sz w:val="20"/>
        </w:rPr>
        <w:t xml:space="preserve">, kia </w:t>
      </w:r>
      <w:proofErr w:type="spellStart"/>
      <w:r w:rsidRPr="003308C3">
        <w:rPr>
          <w:sz w:val="20"/>
        </w:rPr>
        <w:t>whai</w:t>
      </w:r>
      <w:proofErr w:type="spellEnd"/>
      <w:r w:rsidRPr="003308C3">
        <w:rPr>
          <w:sz w:val="20"/>
        </w:rPr>
        <w:t xml:space="preserve"> </w:t>
      </w:r>
      <w:proofErr w:type="spellStart"/>
      <w:r w:rsidRPr="003308C3">
        <w:rPr>
          <w:sz w:val="20"/>
        </w:rPr>
        <w:t>oranga</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toiora</w:t>
      </w:r>
      <w:proofErr w:type="spellEnd"/>
      <w:r w:rsidRPr="003308C3">
        <w:rPr>
          <w:sz w:val="20"/>
        </w:rPr>
        <w:t xml:space="preserve"> </w:t>
      </w:r>
      <w:proofErr w:type="spellStart"/>
      <w:r w:rsidRPr="003308C3">
        <w:rPr>
          <w:sz w:val="20"/>
        </w:rPr>
        <w:t>hoki</w:t>
      </w:r>
      <w:proofErr w:type="spellEnd"/>
      <w:r w:rsidRPr="003308C3">
        <w:rPr>
          <w:sz w:val="20"/>
        </w:rPr>
        <w:t xml:space="preserve">, </w:t>
      </w:r>
      <w:proofErr w:type="spellStart"/>
      <w:r w:rsidRPr="003308C3">
        <w:rPr>
          <w:sz w:val="20"/>
        </w:rPr>
        <w:t>mā</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tangata</w:t>
      </w:r>
      <w:proofErr w:type="spellEnd"/>
      <w:r w:rsidRPr="003308C3">
        <w:rPr>
          <w:sz w:val="20"/>
        </w:rPr>
        <w:t xml:space="preserve"> </w:t>
      </w:r>
      <w:proofErr w:type="spellStart"/>
      <w:r w:rsidRPr="003308C3">
        <w:rPr>
          <w:sz w:val="20"/>
        </w:rPr>
        <w:t>anō</w:t>
      </w:r>
      <w:proofErr w:type="spellEnd"/>
      <w:r w:rsidRPr="003308C3">
        <w:rPr>
          <w:sz w:val="20"/>
        </w:rPr>
        <w:t xml:space="preserve"> </w:t>
      </w:r>
      <w:proofErr w:type="spellStart"/>
      <w:r w:rsidRPr="003308C3">
        <w:rPr>
          <w:sz w:val="20"/>
        </w:rPr>
        <w:t>tōna</w:t>
      </w:r>
      <w:proofErr w:type="spellEnd"/>
      <w:r w:rsidRPr="003308C3">
        <w:rPr>
          <w:sz w:val="20"/>
        </w:rPr>
        <w:t xml:space="preserve"> </w:t>
      </w:r>
      <w:proofErr w:type="spellStart"/>
      <w:r w:rsidRPr="003308C3">
        <w:rPr>
          <w:sz w:val="20"/>
        </w:rPr>
        <w:t>hauora</w:t>
      </w:r>
      <w:proofErr w:type="spellEnd"/>
      <w:r w:rsidRPr="003308C3">
        <w:rPr>
          <w:sz w:val="20"/>
        </w:rPr>
        <w:t xml:space="preserve"> e </w:t>
      </w:r>
      <w:proofErr w:type="spellStart"/>
      <w:r w:rsidRPr="003308C3">
        <w:rPr>
          <w:sz w:val="20"/>
        </w:rPr>
        <w:t>whakahaere</w:t>
      </w:r>
      <w:proofErr w:type="spellEnd"/>
      <w:r w:rsidRPr="003308C3">
        <w:rPr>
          <w:sz w:val="20"/>
        </w:rPr>
        <w:t xml:space="preserve">, ā, kia </w:t>
      </w:r>
      <w:proofErr w:type="spellStart"/>
      <w:r w:rsidRPr="003308C3">
        <w:rPr>
          <w:sz w:val="20"/>
        </w:rPr>
        <w:t>whai</w:t>
      </w:r>
      <w:proofErr w:type="spellEnd"/>
      <w:r w:rsidRPr="003308C3">
        <w:rPr>
          <w:sz w:val="20"/>
        </w:rPr>
        <w:t xml:space="preserve"> </w:t>
      </w:r>
      <w:proofErr w:type="spellStart"/>
      <w:r w:rsidRPr="003308C3">
        <w:rPr>
          <w:sz w:val="20"/>
        </w:rPr>
        <w:t>waahi</w:t>
      </w:r>
      <w:proofErr w:type="spellEnd"/>
      <w:r w:rsidRPr="003308C3">
        <w:rPr>
          <w:sz w:val="20"/>
        </w:rPr>
        <w:t xml:space="preserve"> </w:t>
      </w:r>
      <w:proofErr w:type="spellStart"/>
      <w:r w:rsidRPr="003308C3">
        <w:rPr>
          <w:sz w:val="20"/>
        </w:rPr>
        <w:t>atu</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āhua</w:t>
      </w:r>
      <w:proofErr w:type="spellEnd"/>
      <w:r w:rsidRPr="003308C3">
        <w:rPr>
          <w:sz w:val="20"/>
        </w:rPr>
        <w:t xml:space="preserve"> o </w:t>
      </w:r>
      <w:proofErr w:type="spellStart"/>
      <w:r w:rsidRPr="003308C3">
        <w:rPr>
          <w:sz w:val="20"/>
        </w:rPr>
        <w:t>ngā</w:t>
      </w:r>
      <w:proofErr w:type="spellEnd"/>
      <w:r w:rsidRPr="003308C3">
        <w:rPr>
          <w:sz w:val="20"/>
        </w:rPr>
        <w:t xml:space="preserve"> </w:t>
      </w:r>
      <w:proofErr w:type="spellStart"/>
      <w:r w:rsidRPr="003308C3">
        <w:rPr>
          <w:sz w:val="20"/>
        </w:rPr>
        <w:t>ratonga</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whaikaha</w:t>
      </w:r>
      <w:proofErr w:type="spellEnd"/>
      <w:r w:rsidRPr="003308C3">
        <w:rPr>
          <w:sz w:val="20"/>
        </w:rPr>
        <w:t xml:space="preserve"> </w:t>
      </w:r>
      <w:proofErr w:type="spellStart"/>
      <w:r w:rsidRPr="003308C3">
        <w:rPr>
          <w:sz w:val="20"/>
        </w:rPr>
        <w:t>hoki</w:t>
      </w:r>
      <w:proofErr w:type="spellEnd"/>
      <w:r w:rsidRPr="003308C3">
        <w:rPr>
          <w:sz w:val="20"/>
        </w:rPr>
        <w:t xml:space="preserve">. Ko </w:t>
      </w:r>
      <w:proofErr w:type="spellStart"/>
      <w:r w:rsidRPr="003308C3">
        <w:rPr>
          <w:sz w:val="20"/>
        </w:rPr>
        <w:t>te</w:t>
      </w:r>
      <w:proofErr w:type="spellEnd"/>
      <w:r w:rsidRPr="003308C3">
        <w:rPr>
          <w:sz w:val="20"/>
        </w:rPr>
        <w:t xml:space="preserve"> </w:t>
      </w:r>
      <w:proofErr w:type="spellStart"/>
      <w:r w:rsidRPr="003308C3">
        <w:rPr>
          <w:sz w:val="20"/>
        </w:rPr>
        <w:t>noho</w:t>
      </w:r>
      <w:proofErr w:type="spellEnd"/>
      <w:r w:rsidRPr="003308C3">
        <w:rPr>
          <w:sz w:val="20"/>
        </w:rPr>
        <w:t xml:space="preserve"> </w:t>
      </w:r>
      <w:proofErr w:type="spellStart"/>
      <w:r w:rsidRPr="003308C3">
        <w:rPr>
          <w:sz w:val="20"/>
        </w:rPr>
        <w:t>mārama</w:t>
      </w:r>
      <w:proofErr w:type="spellEnd"/>
      <w:r w:rsidRPr="003308C3">
        <w:rPr>
          <w:sz w:val="20"/>
        </w:rPr>
        <w:t xml:space="preserve"> </w:t>
      </w:r>
      <w:proofErr w:type="spellStart"/>
      <w:r w:rsidRPr="003308C3">
        <w:rPr>
          <w:sz w:val="20"/>
        </w:rPr>
        <w:t>anō</w:t>
      </w:r>
      <w:proofErr w:type="spellEnd"/>
      <w:r w:rsidRPr="003308C3">
        <w:rPr>
          <w:sz w:val="20"/>
        </w:rPr>
        <w:t xml:space="preserve"> </w:t>
      </w:r>
      <w:proofErr w:type="spellStart"/>
      <w:r w:rsidRPr="003308C3">
        <w:rPr>
          <w:sz w:val="20"/>
        </w:rPr>
        <w:t>hoki</w:t>
      </w:r>
      <w:proofErr w:type="spellEnd"/>
      <w:r w:rsidRPr="003308C3">
        <w:rPr>
          <w:sz w:val="20"/>
        </w:rPr>
        <w:t xml:space="preserve"> e </w:t>
      </w:r>
      <w:proofErr w:type="spellStart"/>
      <w:r w:rsidRPr="003308C3">
        <w:rPr>
          <w:sz w:val="20"/>
        </w:rPr>
        <w:t>pehea</w:t>
      </w:r>
      <w:proofErr w:type="spellEnd"/>
      <w:r w:rsidRPr="003308C3">
        <w:rPr>
          <w:sz w:val="20"/>
        </w:rPr>
        <w:t xml:space="preserve"> </w:t>
      </w:r>
      <w:proofErr w:type="spellStart"/>
      <w:r w:rsidRPr="003308C3">
        <w:rPr>
          <w:sz w:val="20"/>
        </w:rPr>
        <w:t>nei</w:t>
      </w:r>
      <w:proofErr w:type="spellEnd"/>
      <w:r w:rsidRPr="003308C3">
        <w:rPr>
          <w:sz w:val="20"/>
        </w:rPr>
        <w:t xml:space="preserve"> </w:t>
      </w:r>
      <w:proofErr w:type="spellStart"/>
      <w:r w:rsidRPr="003308C3">
        <w:rPr>
          <w:sz w:val="20"/>
        </w:rPr>
        <w:t>te</w:t>
      </w:r>
      <w:proofErr w:type="spellEnd"/>
      <w:r w:rsidRPr="003308C3">
        <w:rPr>
          <w:sz w:val="20"/>
        </w:rPr>
        <w:t xml:space="preserve"> pai o </w:t>
      </w:r>
      <w:proofErr w:type="spellStart"/>
      <w:r w:rsidRPr="003308C3">
        <w:rPr>
          <w:sz w:val="20"/>
        </w:rPr>
        <w:t>te</w:t>
      </w:r>
      <w:proofErr w:type="spellEnd"/>
      <w:r w:rsidRPr="003308C3">
        <w:rPr>
          <w:sz w:val="20"/>
        </w:rPr>
        <w:t xml:space="preserve"> </w:t>
      </w:r>
      <w:proofErr w:type="spellStart"/>
      <w:r w:rsidRPr="003308C3">
        <w:rPr>
          <w:sz w:val="20"/>
        </w:rPr>
        <w:t>pūnaha</w:t>
      </w:r>
      <w:proofErr w:type="spellEnd"/>
      <w:r w:rsidRPr="003308C3">
        <w:rPr>
          <w:sz w:val="20"/>
        </w:rPr>
        <w:t xml:space="preserve"> </w:t>
      </w:r>
      <w:proofErr w:type="spellStart"/>
      <w:r w:rsidRPr="003308C3">
        <w:rPr>
          <w:sz w:val="20"/>
        </w:rPr>
        <w:t>hauora</w:t>
      </w:r>
      <w:proofErr w:type="spellEnd"/>
      <w:r w:rsidRPr="003308C3">
        <w:rPr>
          <w:sz w:val="20"/>
        </w:rPr>
        <w:t xml:space="preserve"> e mahi ana, ā, </w:t>
      </w:r>
      <w:proofErr w:type="spellStart"/>
      <w:r w:rsidRPr="003308C3">
        <w:rPr>
          <w:sz w:val="20"/>
        </w:rPr>
        <w:t>mēnā</w:t>
      </w:r>
      <w:proofErr w:type="spellEnd"/>
      <w:r w:rsidRPr="003308C3">
        <w:rPr>
          <w:sz w:val="20"/>
        </w:rPr>
        <w:t xml:space="preserve"> </w:t>
      </w:r>
      <w:proofErr w:type="spellStart"/>
      <w:r w:rsidRPr="003308C3">
        <w:rPr>
          <w:sz w:val="20"/>
        </w:rPr>
        <w:t>rā</w:t>
      </w:r>
      <w:proofErr w:type="spellEnd"/>
      <w:r w:rsidRPr="003308C3">
        <w:rPr>
          <w:sz w:val="20"/>
        </w:rPr>
        <w:t xml:space="preserve"> e </w:t>
      </w:r>
      <w:proofErr w:type="spellStart"/>
      <w:r w:rsidRPr="003308C3">
        <w:rPr>
          <w:sz w:val="20"/>
        </w:rPr>
        <w:t>āhei</w:t>
      </w:r>
      <w:proofErr w:type="spellEnd"/>
      <w:r w:rsidRPr="003308C3">
        <w:rPr>
          <w:sz w:val="20"/>
        </w:rPr>
        <w:t xml:space="preserve"> ana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akoako</w:t>
      </w:r>
      <w:proofErr w:type="spellEnd"/>
      <w:r w:rsidRPr="003308C3">
        <w:rPr>
          <w:sz w:val="20"/>
        </w:rPr>
        <w:t xml:space="preserve"> me </w:t>
      </w:r>
      <w:proofErr w:type="spellStart"/>
      <w:r w:rsidRPr="003308C3">
        <w:rPr>
          <w:sz w:val="20"/>
        </w:rPr>
        <w:t>te</w:t>
      </w:r>
      <w:proofErr w:type="spellEnd"/>
      <w:r w:rsidRPr="003308C3">
        <w:rPr>
          <w:sz w:val="20"/>
        </w:rPr>
        <w:t xml:space="preserve"> </w:t>
      </w:r>
      <w:proofErr w:type="spellStart"/>
      <w:r w:rsidRPr="003308C3">
        <w:rPr>
          <w:sz w:val="20"/>
        </w:rPr>
        <w:t>urutau</w:t>
      </w:r>
      <w:proofErr w:type="spellEnd"/>
      <w:r w:rsidRPr="003308C3">
        <w:rPr>
          <w:sz w:val="20"/>
        </w:rPr>
        <w:t>.</w:t>
      </w:r>
      <w:r w:rsidR="00BC24CE" w:rsidRPr="003308C3">
        <w:rPr>
          <w:sz w:val="20"/>
        </w:rPr>
        <w:t xml:space="preserve"> </w:t>
      </w:r>
      <w:r w:rsidRPr="003308C3">
        <w:rPr>
          <w:sz w:val="20"/>
        </w:rPr>
        <w:t xml:space="preserve">E </w:t>
      </w:r>
      <w:proofErr w:type="spellStart"/>
      <w:r w:rsidRPr="003308C3">
        <w:rPr>
          <w:sz w:val="20"/>
        </w:rPr>
        <w:t>ao</w:t>
      </w:r>
      <w:proofErr w:type="spellEnd"/>
      <w:r w:rsidRPr="003308C3">
        <w:rPr>
          <w:sz w:val="20"/>
        </w:rPr>
        <w:t xml:space="preserve"> ana </w:t>
      </w:r>
      <w:proofErr w:type="spellStart"/>
      <w:r w:rsidRPr="003308C3">
        <w:rPr>
          <w:sz w:val="20"/>
        </w:rPr>
        <w:t>te</w:t>
      </w:r>
      <w:proofErr w:type="spellEnd"/>
      <w:r w:rsidRPr="003308C3">
        <w:rPr>
          <w:sz w:val="20"/>
        </w:rPr>
        <w:t xml:space="preserve"> </w:t>
      </w:r>
      <w:proofErr w:type="spellStart"/>
      <w:r w:rsidRPr="003308C3">
        <w:rPr>
          <w:sz w:val="20"/>
        </w:rPr>
        <w:t>wā</w:t>
      </w:r>
      <w:proofErr w:type="spellEnd"/>
      <w:r w:rsidRPr="003308C3">
        <w:rPr>
          <w:sz w:val="20"/>
        </w:rPr>
        <w:t xml:space="preserve"> </w:t>
      </w:r>
      <w:proofErr w:type="spellStart"/>
      <w:r w:rsidRPr="003308C3">
        <w:rPr>
          <w:sz w:val="20"/>
        </w:rPr>
        <w:t>nei</w:t>
      </w:r>
      <w:proofErr w:type="spellEnd"/>
      <w:r w:rsidRPr="003308C3">
        <w:rPr>
          <w:sz w:val="20"/>
        </w:rPr>
        <w:t xml:space="preserve"> kia </w:t>
      </w:r>
      <w:proofErr w:type="spellStart"/>
      <w:r w:rsidRPr="003308C3">
        <w:rPr>
          <w:sz w:val="20"/>
        </w:rPr>
        <w:t>āta</w:t>
      </w:r>
      <w:proofErr w:type="spellEnd"/>
      <w:r w:rsidRPr="003308C3">
        <w:rPr>
          <w:sz w:val="20"/>
        </w:rPr>
        <w:t xml:space="preserve"> </w:t>
      </w:r>
      <w:proofErr w:type="spellStart"/>
      <w:r w:rsidRPr="003308C3">
        <w:rPr>
          <w:sz w:val="20"/>
        </w:rPr>
        <w:t>whakaarohia</w:t>
      </w:r>
      <w:proofErr w:type="spellEnd"/>
      <w:r w:rsidRPr="003308C3">
        <w:rPr>
          <w:sz w:val="20"/>
        </w:rPr>
        <w:t xml:space="preserve"> </w:t>
      </w:r>
      <w:proofErr w:type="spellStart"/>
      <w:r w:rsidRPr="003308C3">
        <w:rPr>
          <w:sz w:val="20"/>
        </w:rPr>
        <w:t>ēnei</w:t>
      </w:r>
      <w:proofErr w:type="spellEnd"/>
      <w:r w:rsidRPr="003308C3">
        <w:rPr>
          <w:sz w:val="20"/>
        </w:rPr>
        <w:t xml:space="preserve"> take </w:t>
      </w:r>
      <w:proofErr w:type="spellStart"/>
      <w:r w:rsidRPr="003308C3">
        <w:rPr>
          <w:sz w:val="20"/>
        </w:rPr>
        <w:t>nō</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ratonga</w:t>
      </w:r>
      <w:proofErr w:type="spellEnd"/>
      <w:r w:rsidRPr="003308C3">
        <w:rPr>
          <w:sz w:val="20"/>
        </w:rPr>
        <w:t xml:space="preserve"> e </w:t>
      </w:r>
      <w:proofErr w:type="spellStart"/>
      <w:r w:rsidRPr="003308C3">
        <w:rPr>
          <w:sz w:val="20"/>
        </w:rPr>
        <w:t>whakawhiti</w:t>
      </w:r>
      <w:proofErr w:type="spellEnd"/>
      <w:r w:rsidRPr="003308C3">
        <w:rPr>
          <w:sz w:val="20"/>
        </w:rPr>
        <w:t xml:space="preserve"> ana </w:t>
      </w:r>
      <w:proofErr w:type="spellStart"/>
      <w:r w:rsidRPr="003308C3">
        <w:rPr>
          <w:sz w:val="20"/>
        </w:rPr>
        <w:t>ki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hanganga</w:t>
      </w:r>
      <w:proofErr w:type="spellEnd"/>
      <w:r w:rsidRPr="003308C3">
        <w:rPr>
          <w:sz w:val="20"/>
        </w:rPr>
        <w:t xml:space="preserve">, me </w:t>
      </w:r>
      <w:proofErr w:type="spellStart"/>
      <w:r w:rsidRPr="003308C3">
        <w:rPr>
          <w:sz w:val="20"/>
        </w:rPr>
        <w:t>ngā</w:t>
      </w:r>
      <w:proofErr w:type="spellEnd"/>
      <w:r w:rsidRPr="003308C3">
        <w:rPr>
          <w:sz w:val="20"/>
        </w:rPr>
        <w:t xml:space="preserve"> </w:t>
      </w:r>
      <w:proofErr w:type="spellStart"/>
      <w:r w:rsidRPr="003308C3">
        <w:rPr>
          <w:sz w:val="20"/>
        </w:rPr>
        <w:t>whakahaeretanga</w:t>
      </w:r>
      <w:proofErr w:type="spellEnd"/>
      <w:r w:rsidRPr="003308C3">
        <w:rPr>
          <w:sz w:val="20"/>
        </w:rPr>
        <w:t xml:space="preserve"> </w:t>
      </w:r>
      <w:proofErr w:type="spellStart"/>
      <w:r w:rsidRPr="003308C3">
        <w:rPr>
          <w:sz w:val="20"/>
        </w:rPr>
        <w:t>tauira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raro</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whakahoutanga</w:t>
      </w:r>
      <w:proofErr w:type="spellEnd"/>
      <w:r w:rsidRPr="003308C3">
        <w:rPr>
          <w:sz w:val="20"/>
        </w:rPr>
        <w:t xml:space="preserve"> </w:t>
      </w:r>
      <w:proofErr w:type="spellStart"/>
      <w:r w:rsidRPr="003308C3">
        <w:rPr>
          <w:sz w:val="20"/>
        </w:rPr>
        <w:t>hauora</w:t>
      </w:r>
      <w:proofErr w:type="spellEnd"/>
      <w:r w:rsidRPr="003308C3">
        <w:rPr>
          <w:sz w:val="20"/>
        </w:rPr>
        <w:t xml:space="preserve"> a </w:t>
      </w:r>
      <w:proofErr w:type="spellStart"/>
      <w:r w:rsidRPr="003308C3">
        <w:rPr>
          <w:sz w:val="20"/>
        </w:rPr>
        <w:t>te</w:t>
      </w:r>
      <w:proofErr w:type="spellEnd"/>
      <w:r w:rsidRPr="003308C3">
        <w:rPr>
          <w:sz w:val="20"/>
        </w:rPr>
        <w:t xml:space="preserve"> </w:t>
      </w:r>
      <w:proofErr w:type="spellStart"/>
      <w:r w:rsidRPr="003308C3">
        <w:rPr>
          <w:sz w:val="20"/>
        </w:rPr>
        <w:t>Kawanatanga</w:t>
      </w:r>
      <w:proofErr w:type="spellEnd"/>
      <w:r w:rsidRPr="003308C3">
        <w:rPr>
          <w:sz w:val="20"/>
        </w:rPr>
        <w:t xml:space="preserve">. Ko </w:t>
      </w:r>
      <w:proofErr w:type="spellStart"/>
      <w:r w:rsidRPr="003308C3">
        <w:rPr>
          <w:sz w:val="20"/>
        </w:rPr>
        <w:t>ngā</w:t>
      </w:r>
      <w:proofErr w:type="spellEnd"/>
      <w:r w:rsidRPr="003308C3">
        <w:rPr>
          <w:sz w:val="20"/>
        </w:rPr>
        <w:t xml:space="preserve"> </w:t>
      </w:r>
      <w:proofErr w:type="spellStart"/>
      <w:r w:rsidRPr="003308C3">
        <w:rPr>
          <w:sz w:val="20"/>
        </w:rPr>
        <w:t>rauranga</w:t>
      </w:r>
      <w:proofErr w:type="spellEnd"/>
      <w:r w:rsidRPr="003308C3">
        <w:rPr>
          <w:sz w:val="20"/>
        </w:rPr>
        <w:t xml:space="preserve"> me </w:t>
      </w:r>
      <w:proofErr w:type="spellStart"/>
      <w:r w:rsidRPr="003308C3">
        <w:rPr>
          <w:sz w:val="20"/>
        </w:rPr>
        <w:t>ngā</w:t>
      </w:r>
      <w:proofErr w:type="spellEnd"/>
      <w:r w:rsidRPr="003308C3">
        <w:rPr>
          <w:sz w:val="20"/>
        </w:rPr>
        <w:t xml:space="preserve"> </w:t>
      </w:r>
      <w:proofErr w:type="spellStart"/>
      <w:r w:rsidRPr="003308C3">
        <w:rPr>
          <w:sz w:val="20"/>
        </w:rPr>
        <w:t>hangarau</w:t>
      </w:r>
      <w:proofErr w:type="spellEnd"/>
      <w:r w:rsidRPr="003308C3">
        <w:rPr>
          <w:sz w:val="20"/>
        </w:rPr>
        <w:t xml:space="preserve"> </w:t>
      </w:r>
      <w:proofErr w:type="spellStart"/>
      <w:r w:rsidRPr="003308C3">
        <w:rPr>
          <w:sz w:val="20"/>
        </w:rPr>
        <w:t>matihiko</w:t>
      </w:r>
      <w:proofErr w:type="spellEnd"/>
      <w:r w:rsidRPr="003308C3">
        <w:rPr>
          <w:sz w:val="20"/>
        </w:rPr>
        <w:t xml:space="preserve"> </w:t>
      </w:r>
      <w:proofErr w:type="spellStart"/>
      <w:r w:rsidRPr="003308C3">
        <w:rPr>
          <w:sz w:val="20"/>
        </w:rPr>
        <w:t>kua</w:t>
      </w:r>
      <w:proofErr w:type="spellEnd"/>
      <w:r w:rsidRPr="003308C3">
        <w:rPr>
          <w:sz w:val="20"/>
        </w:rPr>
        <w:t xml:space="preserve"> </w:t>
      </w:r>
      <w:proofErr w:type="spellStart"/>
      <w:r w:rsidRPr="003308C3">
        <w:rPr>
          <w:sz w:val="20"/>
        </w:rPr>
        <w:t>tautohua</w:t>
      </w:r>
      <w:proofErr w:type="spellEnd"/>
      <w:r w:rsidRPr="003308C3">
        <w:rPr>
          <w:sz w:val="20"/>
        </w:rPr>
        <w:t xml:space="preserve"> </w:t>
      </w:r>
      <w:proofErr w:type="spellStart"/>
      <w:r w:rsidRPr="003308C3">
        <w:rPr>
          <w:sz w:val="20"/>
        </w:rPr>
        <w:t>hei</w:t>
      </w:r>
      <w:proofErr w:type="spellEnd"/>
      <w:r w:rsidRPr="003308C3">
        <w:rPr>
          <w:sz w:val="20"/>
        </w:rPr>
        <w:t xml:space="preserve"> </w:t>
      </w:r>
      <w:proofErr w:type="spellStart"/>
      <w:r w:rsidRPr="003308C3">
        <w:rPr>
          <w:sz w:val="20"/>
        </w:rPr>
        <w:t>mea</w:t>
      </w:r>
      <w:proofErr w:type="spellEnd"/>
      <w:r w:rsidRPr="003308C3">
        <w:rPr>
          <w:sz w:val="20"/>
        </w:rPr>
        <w:t xml:space="preserve"> </w:t>
      </w:r>
      <w:proofErr w:type="spellStart"/>
      <w:r w:rsidRPr="003308C3">
        <w:rPr>
          <w:sz w:val="20"/>
        </w:rPr>
        <w:t>whakakaha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pūnaha</w:t>
      </w:r>
      <w:proofErr w:type="spellEnd"/>
      <w:r w:rsidRPr="003308C3">
        <w:rPr>
          <w:sz w:val="20"/>
        </w:rPr>
        <w:t xml:space="preserve"> </w:t>
      </w:r>
      <w:proofErr w:type="spellStart"/>
      <w:r w:rsidRPr="003308C3">
        <w:rPr>
          <w:sz w:val="20"/>
        </w:rPr>
        <w:t>hauora</w:t>
      </w:r>
      <w:proofErr w:type="spellEnd"/>
      <w:r w:rsidRPr="003308C3">
        <w:rPr>
          <w:sz w:val="20"/>
        </w:rPr>
        <w:t xml:space="preserve">, </w:t>
      </w:r>
      <w:proofErr w:type="spellStart"/>
      <w:r w:rsidRPr="003308C3">
        <w:rPr>
          <w:sz w:val="20"/>
        </w:rPr>
        <w:t>whaikaha</w:t>
      </w:r>
      <w:proofErr w:type="spellEnd"/>
      <w:r w:rsidRPr="003308C3">
        <w:rPr>
          <w:sz w:val="20"/>
        </w:rPr>
        <w:t xml:space="preserve"> </w:t>
      </w:r>
      <w:proofErr w:type="spellStart"/>
      <w:r w:rsidRPr="003308C3">
        <w:rPr>
          <w:sz w:val="20"/>
        </w:rPr>
        <w:t>hoki</w:t>
      </w:r>
      <w:proofErr w:type="spellEnd"/>
      <w:r w:rsidRPr="003308C3">
        <w:rPr>
          <w:sz w:val="20"/>
        </w:rPr>
        <w:t>.</w:t>
      </w:r>
    </w:p>
    <w:p w14:paraId="0075D733" w14:textId="77777777" w:rsidR="00BC24CE" w:rsidRPr="003308C3" w:rsidRDefault="00BC24CE" w:rsidP="00F71A66">
      <w:pPr>
        <w:rPr>
          <w:sz w:val="20"/>
        </w:rPr>
      </w:pPr>
    </w:p>
    <w:p w14:paraId="0075D734" w14:textId="77777777" w:rsidR="00F71A66" w:rsidRPr="003308C3" w:rsidRDefault="00F71A66" w:rsidP="00F71A66">
      <w:pPr>
        <w:rPr>
          <w:sz w:val="20"/>
        </w:rPr>
      </w:pPr>
      <w:r w:rsidRPr="003308C3">
        <w:rPr>
          <w:sz w:val="20"/>
        </w:rPr>
        <w:t xml:space="preserve">Ko </w:t>
      </w:r>
      <w:proofErr w:type="spellStart"/>
      <w:r w:rsidRPr="003308C3">
        <w:rPr>
          <w:sz w:val="20"/>
        </w:rPr>
        <w:t>te</w:t>
      </w:r>
      <w:proofErr w:type="spellEnd"/>
      <w:r w:rsidRPr="003308C3">
        <w:rPr>
          <w:sz w:val="20"/>
        </w:rPr>
        <w:t xml:space="preserve"> </w:t>
      </w:r>
      <w:proofErr w:type="spellStart"/>
      <w:r w:rsidRPr="003308C3">
        <w:rPr>
          <w:sz w:val="20"/>
        </w:rPr>
        <w:t>rautaki</w:t>
      </w:r>
      <w:proofErr w:type="spellEnd"/>
      <w:r w:rsidRPr="003308C3">
        <w:rPr>
          <w:sz w:val="20"/>
        </w:rPr>
        <w:t xml:space="preserve"> me </w:t>
      </w:r>
      <w:proofErr w:type="spellStart"/>
      <w:r w:rsidRPr="003308C3">
        <w:rPr>
          <w:sz w:val="20"/>
        </w:rPr>
        <w:t>tōna</w:t>
      </w:r>
      <w:proofErr w:type="spellEnd"/>
      <w:r w:rsidRPr="003308C3">
        <w:rPr>
          <w:sz w:val="20"/>
        </w:rPr>
        <w:t xml:space="preserve"> </w:t>
      </w:r>
      <w:proofErr w:type="spellStart"/>
      <w:r w:rsidRPr="003308C3">
        <w:rPr>
          <w:sz w:val="20"/>
        </w:rPr>
        <w:t>mahere</w:t>
      </w:r>
      <w:proofErr w:type="spellEnd"/>
      <w:r w:rsidRPr="003308C3">
        <w:rPr>
          <w:sz w:val="20"/>
        </w:rPr>
        <w:t xml:space="preserve"> </w:t>
      </w:r>
      <w:proofErr w:type="spellStart"/>
      <w:r w:rsidRPr="003308C3">
        <w:rPr>
          <w:sz w:val="20"/>
        </w:rPr>
        <w:t>whakahaere</w:t>
      </w:r>
      <w:proofErr w:type="spellEnd"/>
      <w:r w:rsidRPr="003308C3">
        <w:rPr>
          <w:sz w:val="20"/>
        </w:rPr>
        <w:t xml:space="preserve"> </w:t>
      </w:r>
      <w:proofErr w:type="spellStart"/>
      <w:r w:rsidRPr="003308C3">
        <w:rPr>
          <w:sz w:val="20"/>
        </w:rPr>
        <w:t>hei</w:t>
      </w:r>
      <w:proofErr w:type="spellEnd"/>
      <w:r w:rsidRPr="003308C3">
        <w:rPr>
          <w:sz w:val="20"/>
        </w:rPr>
        <w:t xml:space="preserve"> </w:t>
      </w:r>
      <w:proofErr w:type="spellStart"/>
      <w:r w:rsidRPr="003308C3">
        <w:rPr>
          <w:sz w:val="20"/>
        </w:rPr>
        <w:t>ārahi</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mahi e </w:t>
      </w:r>
      <w:proofErr w:type="spellStart"/>
      <w:r w:rsidRPr="003308C3">
        <w:rPr>
          <w:sz w:val="20"/>
        </w:rPr>
        <w:t>hiahia</w:t>
      </w:r>
      <w:proofErr w:type="spellEnd"/>
      <w:r w:rsidRPr="003308C3">
        <w:rPr>
          <w:sz w:val="20"/>
        </w:rPr>
        <w:t xml:space="preserve"> ana </w:t>
      </w:r>
      <w:proofErr w:type="spellStart"/>
      <w:r w:rsidRPr="003308C3">
        <w:rPr>
          <w:sz w:val="20"/>
        </w:rPr>
        <w:t>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rāngai</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tua</w:t>
      </w:r>
      <w:proofErr w:type="spellEnd"/>
      <w:r w:rsidRPr="003308C3">
        <w:rPr>
          <w:sz w:val="20"/>
        </w:rPr>
        <w:t xml:space="preserve"> </w:t>
      </w:r>
      <w:proofErr w:type="spellStart"/>
      <w:r w:rsidRPr="003308C3">
        <w:rPr>
          <w:sz w:val="20"/>
        </w:rPr>
        <w:t>atu</w:t>
      </w:r>
      <w:proofErr w:type="spellEnd"/>
      <w:r w:rsidRPr="003308C3">
        <w:rPr>
          <w:sz w:val="20"/>
        </w:rPr>
        <w:t xml:space="preserve"> </w:t>
      </w:r>
      <w:proofErr w:type="spellStart"/>
      <w:r w:rsidRPr="003308C3">
        <w:rPr>
          <w:sz w:val="20"/>
        </w:rPr>
        <w:t>hoki</w:t>
      </w:r>
      <w:proofErr w:type="spellEnd"/>
      <w:r w:rsidRPr="003308C3">
        <w:rPr>
          <w:sz w:val="20"/>
        </w:rPr>
        <w:t xml:space="preserve">) </w:t>
      </w:r>
      <w:proofErr w:type="spellStart"/>
      <w:r w:rsidRPr="003308C3">
        <w:rPr>
          <w:sz w:val="20"/>
        </w:rPr>
        <w:t>ki</w:t>
      </w:r>
      <w:proofErr w:type="spellEnd"/>
      <w:r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whakahou</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tā</w:t>
      </w:r>
      <w:proofErr w:type="spellEnd"/>
      <w:r w:rsidRPr="003308C3">
        <w:rPr>
          <w:sz w:val="20"/>
        </w:rPr>
        <w:t xml:space="preserve"> </w:t>
      </w:r>
      <w:proofErr w:type="spellStart"/>
      <w:r w:rsidRPr="003308C3">
        <w:rPr>
          <w:sz w:val="20"/>
        </w:rPr>
        <w:t>mātou</w:t>
      </w:r>
      <w:proofErr w:type="spellEnd"/>
      <w:r w:rsidRPr="003308C3">
        <w:rPr>
          <w:sz w:val="20"/>
        </w:rPr>
        <w:t xml:space="preserve"> </w:t>
      </w:r>
      <w:proofErr w:type="spellStart"/>
      <w:r w:rsidRPr="003308C3">
        <w:rPr>
          <w:sz w:val="20"/>
        </w:rPr>
        <w:t>whakahaere</w:t>
      </w:r>
      <w:proofErr w:type="spellEnd"/>
      <w:r w:rsidRPr="003308C3">
        <w:rPr>
          <w:sz w:val="20"/>
        </w:rPr>
        <w:t xml:space="preserve"> me</w:t>
      </w:r>
      <w:r w:rsidR="00BC24CE" w:rsidRPr="003308C3">
        <w:rPr>
          <w:sz w:val="20"/>
        </w:rPr>
        <w:t xml:space="preserve"> </w:t>
      </w:r>
      <w:proofErr w:type="spellStart"/>
      <w:r w:rsidRPr="003308C3">
        <w:rPr>
          <w:sz w:val="20"/>
        </w:rPr>
        <w:t>te</w:t>
      </w:r>
      <w:proofErr w:type="spellEnd"/>
      <w:r w:rsidRPr="003308C3">
        <w:rPr>
          <w:sz w:val="20"/>
        </w:rPr>
        <w:t xml:space="preserve"> </w:t>
      </w:r>
      <w:proofErr w:type="spellStart"/>
      <w:r w:rsidRPr="003308C3">
        <w:rPr>
          <w:sz w:val="20"/>
        </w:rPr>
        <w:t>whakamahinga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raraunga</w:t>
      </w:r>
      <w:proofErr w:type="spellEnd"/>
      <w:r w:rsidRPr="003308C3">
        <w:rPr>
          <w:sz w:val="20"/>
        </w:rPr>
        <w:t xml:space="preserve"> </w:t>
      </w:r>
      <w:proofErr w:type="spellStart"/>
      <w:r w:rsidRPr="003308C3">
        <w:rPr>
          <w:sz w:val="20"/>
        </w:rPr>
        <w:t>hauora</w:t>
      </w:r>
      <w:proofErr w:type="spellEnd"/>
      <w:r w:rsidRPr="003308C3">
        <w:rPr>
          <w:sz w:val="20"/>
        </w:rPr>
        <w:t xml:space="preserve">. E </w:t>
      </w:r>
      <w:proofErr w:type="spellStart"/>
      <w:r w:rsidRPr="003308C3">
        <w:rPr>
          <w:sz w:val="20"/>
        </w:rPr>
        <w:t>ākina</w:t>
      </w:r>
      <w:proofErr w:type="spellEnd"/>
      <w:r w:rsidRPr="003308C3">
        <w:rPr>
          <w:sz w:val="20"/>
        </w:rPr>
        <w:t xml:space="preserve"> ana </w:t>
      </w:r>
      <w:proofErr w:type="spellStart"/>
      <w:r w:rsidRPr="003308C3">
        <w:rPr>
          <w:sz w:val="20"/>
        </w:rPr>
        <w:t>koe</w:t>
      </w:r>
      <w:proofErr w:type="spellEnd"/>
      <w:r w:rsidRPr="003308C3">
        <w:rPr>
          <w:sz w:val="20"/>
        </w:rPr>
        <w:t xml:space="preserve"> e au kia </w:t>
      </w:r>
      <w:proofErr w:type="spellStart"/>
      <w:r w:rsidRPr="003308C3">
        <w:rPr>
          <w:sz w:val="20"/>
        </w:rPr>
        <w:t>pānuihia</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pukapuka</w:t>
      </w:r>
      <w:proofErr w:type="spellEnd"/>
      <w:r w:rsidRPr="003308C3">
        <w:rPr>
          <w:sz w:val="20"/>
        </w:rPr>
        <w:t xml:space="preserve"> e </w:t>
      </w:r>
      <w:proofErr w:type="spellStart"/>
      <w:r w:rsidRPr="003308C3">
        <w:rPr>
          <w:sz w:val="20"/>
        </w:rPr>
        <w:t>rua</w:t>
      </w:r>
      <w:proofErr w:type="spellEnd"/>
      <w:r w:rsidRPr="003308C3">
        <w:rPr>
          <w:sz w:val="20"/>
        </w:rPr>
        <w:t xml:space="preserve"> kia </w:t>
      </w:r>
      <w:proofErr w:type="spellStart"/>
      <w:r w:rsidRPr="003308C3">
        <w:rPr>
          <w:sz w:val="20"/>
        </w:rPr>
        <w:t>whaiwhakaaro</w:t>
      </w:r>
      <w:proofErr w:type="spellEnd"/>
      <w:r w:rsidRPr="003308C3">
        <w:rPr>
          <w:sz w:val="20"/>
        </w:rPr>
        <w:t xml:space="preserve"> e </w:t>
      </w:r>
      <w:proofErr w:type="spellStart"/>
      <w:r w:rsidRPr="003308C3">
        <w:rPr>
          <w:sz w:val="20"/>
        </w:rPr>
        <w:t>pehea</w:t>
      </w:r>
      <w:proofErr w:type="spellEnd"/>
      <w:r w:rsidRPr="003308C3">
        <w:rPr>
          <w:sz w:val="20"/>
        </w:rPr>
        <w:t xml:space="preserve"> ai </w:t>
      </w:r>
      <w:proofErr w:type="spellStart"/>
      <w:r w:rsidRPr="003308C3">
        <w:rPr>
          <w:sz w:val="20"/>
        </w:rPr>
        <w:t>koe</w:t>
      </w:r>
      <w:proofErr w:type="spellEnd"/>
      <w:r w:rsidRPr="003308C3">
        <w:rPr>
          <w:sz w:val="20"/>
        </w:rPr>
        <w:t xml:space="preserve"> e </w:t>
      </w:r>
      <w:proofErr w:type="spellStart"/>
      <w:r w:rsidRPr="003308C3">
        <w:rPr>
          <w:sz w:val="20"/>
        </w:rPr>
        <w:t>whakatinana</w:t>
      </w:r>
      <w:proofErr w:type="spellEnd"/>
      <w:r w:rsidRPr="003308C3">
        <w:rPr>
          <w:sz w:val="20"/>
        </w:rPr>
        <w:t xml:space="preserve"> </w:t>
      </w:r>
      <w:proofErr w:type="spellStart"/>
      <w:r w:rsidRPr="003308C3">
        <w:rPr>
          <w:sz w:val="20"/>
        </w:rPr>
        <w:t>i</w:t>
      </w:r>
      <w:proofErr w:type="spellEnd"/>
      <w:r w:rsidRPr="003308C3">
        <w:rPr>
          <w:sz w:val="20"/>
        </w:rPr>
        <w:t xml:space="preserve"> </w:t>
      </w:r>
      <w:proofErr w:type="spellStart"/>
      <w:r w:rsidRPr="003308C3">
        <w:rPr>
          <w:sz w:val="20"/>
        </w:rPr>
        <w:t>ngā</w:t>
      </w:r>
      <w:proofErr w:type="spellEnd"/>
      <w:r w:rsidRPr="003308C3">
        <w:rPr>
          <w:sz w:val="20"/>
        </w:rPr>
        <w:t xml:space="preserve"> </w:t>
      </w:r>
      <w:proofErr w:type="spellStart"/>
      <w:r w:rsidRPr="003308C3">
        <w:rPr>
          <w:sz w:val="20"/>
        </w:rPr>
        <w:t>whaikupu</w:t>
      </w:r>
      <w:proofErr w:type="spellEnd"/>
      <w:r w:rsidRPr="003308C3">
        <w:rPr>
          <w:sz w:val="20"/>
        </w:rPr>
        <w:t xml:space="preserve"> </w:t>
      </w:r>
      <w:proofErr w:type="spellStart"/>
      <w:r w:rsidRPr="003308C3">
        <w:rPr>
          <w:sz w:val="20"/>
        </w:rPr>
        <w:t>ki</w:t>
      </w:r>
      <w:proofErr w:type="spellEnd"/>
      <w:r w:rsidRPr="003308C3">
        <w:rPr>
          <w:sz w:val="20"/>
        </w:rPr>
        <w:t xml:space="preserve"> roto </w:t>
      </w:r>
      <w:proofErr w:type="spellStart"/>
      <w:r w:rsidRPr="003308C3">
        <w:rPr>
          <w:sz w:val="20"/>
        </w:rPr>
        <w:t>i</w:t>
      </w:r>
      <w:proofErr w:type="spellEnd"/>
      <w:r w:rsidRPr="003308C3">
        <w:rPr>
          <w:sz w:val="20"/>
        </w:rPr>
        <w:t xml:space="preserve"> ō </w:t>
      </w:r>
      <w:proofErr w:type="spellStart"/>
      <w:r w:rsidRPr="003308C3">
        <w:rPr>
          <w:sz w:val="20"/>
        </w:rPr>
        <w:t>ake</w:t>
      </w:r>
      <w:proofErr w:type="spellEnd"/>
      <w:r w:rsidRPr="003308C3">
        <w:rPr>
          <w:sz w:val="20"/>
        </w:rPr>
        <w:t xml:space="preserve"> </w:t>
      </w:r>
      <w:proofErr w:type="spellStart"/>
      <w:r w:rsidRPr="003308C3">
        <w:rPr>
          <w:sz w:val="20"/>
        </w:rPr>
        <w:t>roopu</w:t>
      </w:r>
      <w:proofErr w:type="spellEnd"/>
      <w:r w:rsidRPr="003308C3">
        <w:rPr>
          <w:sz w:val="20"/>
        </w:rPr>
        <w:t xml:space="preserve">, ā, kia </w:t>
      </w:r>
      <w:proofErr w:type="spellStart"/>
      <w:r w:rsidRPr="003308C3">
        <w:rPr>
          <w:sz w:val="20"/>
        </w:rPr>
        <w:t>tautokona</w:t>
      </w:r>
      <w:proofErr w:type="spellEnd"/>
      <w:r w:rsidRPr="003308C3">
        <w:rPr>
          <w:sz w:val="20"/>
        </w:rPr>
        <w:t xml:space="preserve"> </w:t>
      </w:r>
      <w:proofErr w:type="spellStart"/>
      <w:r w:rsidRPr="003308C3">
        <w:rPr>
          <w:sz w:val="20"/>
        </w:rPr>
        <w:t>hoki</w:t>
      </w:r>
      <w:proofErr w:type="spellEnd"/>
      <w:r w:rsidRPr="003308C3">
        <w:rPr>
          <w:sz w:val="20"/>
        </w:rPr>
        <w:t xml:space="preserve"> </w:t>
      </w:r>
      <w:proofErr w:type="spellStart"/>
      <w:r w:rsidRPr="003308C3">
        <w:rPr>
          <w:sz w:val="20"/>
        </w:rPr>
        <w:t>ngā</w:t>
      </w:r>
      <w:proofErr w:type="spellEnd"/>
      <w:r w:rsidRPr="003308C3">
        <w:rPr>
          <w:sz w:val="20"/>
        </w:rPr>
        <w:t xml:space="preserve"> mahi o </w:t>
      </w:r>
      <w:proofErr w:type="spellStart"/>
      <w:r w:rsidRPr="003308C3">
        <w:rPr>
          <w:sz w:val="20"/>
        </w:rPr>
        <w:t>te</w:t>
      </w:r>
      <w:proofErr w:type="spellEnd"/>
      <w:r w:rsidRPr="003308C3">
        <w:rPr>
          <w:sz w:val="20"/>
        </w:rPr>
        <w:t xml:space="preserve"> </w:t>
      </w:r>
      <w:proofErr w:type="spellStart"/>
      <w:r w:rsidRPr="003308C3">
        <w:rPr>
          <w:sz w:val="20"/>
        </w:rPr>
        <w:t>pūnaha</w:t>
      </w:r>
      <w:proofErr w:type="spellEnd"/>
      <w:r w:rsidRPr="003308C3">
        <w:rPr>
          <w:sz w:val="20"/>
        </w:rPr>
        <w:t xml:space="preserve"> </w:t>
      </w:r>
      <w:proofErr w:type="spellStart"/>
      <w:r w:rsidRPr="003308C3">
        <w:rPr>
          <w:sz w:val="20"/>
        </w:rPr>
        <w:t>whānui</w:t>
      </w:r>
      <w:proofErr w:type="spellEnd"/>
      <w:r w:rsidRPr="003308C3">
        <w:rPr>
          <w:sz w:val="20"/>
        </w:rPr>
        <w:t>.</w:t>
      </w:r>
    </w:p>
    <w:p w14:paraId="0075D735" w14:textId="77777777" w:rsidR="00F71A66" w:rsidRPr="003308C3" w:rsidRDefault="00F71A66" w:rsidP="00F71A66">
      <w:pPr>
        <w:rPr>
          <w:sz w:val="20"/>
        </w:rPr>
      </w:pPr>
    </w:p>
    <w:p w14:paraId="0075D736" w14:textId="77777777" w:rsidR="00F71A66" w:rsidRPr="003308C3" w:rsidRDefault="00F71A66" w:rsidP="00F71A66">
      <w:pPr>
        <w:rPr>
          <w:sz w:val="20"/>
        </w:rPr>
      </w:pPr>
      <w:r w:rsidRPr="003308C3">
        <w:rPr>
          <w:sz w:val="20"/>
        </w:rPr>
        <w:t>Shayne Hunter</w:t>
      </w:r>
    </w:p>
    <w:p w14:paraId="0075D737" w14:textId="77777777" w:rsidR="00F71A66" w:rsidRPr="003308C3" w:rsidRDefault="00F71A66" w:rsidP="00F71A66">
      <w:pPr>
        <w:rPr>
          <w:sz w:val="20"/>
        </w:rPr>
      </w:pPr>
      <w:r w:rsidRPr="003308C3">
        <w:rPr>
          <w:sz w:val="20"/>
        </w:rPr>
        <w:t>Deputy Director-General Data and Digital</w:t>
      </w:r>
    </w:p>
    <w:p w14:paraId="0075D738" w14:textId="77777777" w:rsidR="00F71A66" w:rsidRDefault="00F71A66" w:rsidP="00414C35">
      <w:r w:rsidRPr="003308C3">
        <w:rPr>
          <w:sz w:val="20"/>
        </w:rPr>
        <w:t>Ministry of Health</w:t>
      </w:r>
    </w:p>
    <w:p w14:paraId="0075D739" w14:textId="77777777" w:rsidR="00414C35" w:rsidRDefault="00414C35" w:rsidP="00414C35">
      <w:pPr>
        <w:sectPr w:rsidR="00414C35" w:rsidSect="001D3E4E">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0075D73A" w14:textId="77777777" w:rsidR="00C86248" w:rsidRDefault="00C86248" w:rsidP="00025A6F">
      <w:pPr>
        <w:pStyle w:val="IntroHead"/>
      </w:pPr>
      <w:r>
        <w:lastRenderedPageBreak/>
        <w:t>Contents</w:t>
      </w:r>
      <w:bookmarkEnd w:id="2"/>
      <w:bookmarkEnd w:id="3"/>
    </w:p>
    <w:p w14:paraId="794B0459" w14:textId="57FE2F96" w:rsidR="007C50C8" w:rsidRDefault="007C50C8">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9930906" w:history="1">
        <w:r w:rsidRPr="007D3F13">
          <w:rPr>
            <w:rStyle w:val="Hyperlink"/>
            <w:noProof/>
          </w:rPr>
          <w:t>Foreword</w:t>
        </w:r>
        <w:r>
          <w:rPr>
            <w:noProof/>
            <w:webHidden/>
          </w:rPr>
          <w:tab/>
        </w:r>
        <w:r>
          <w:rPr>
            <w:noProof/>
            <w:webHidden/>
          </w:rPr>
          <w:fldChar w:fldCharType="begin"/>
        </w:r>
        <w:r>
          <w:rPr>
            <w:noProof/>
            <w:webHidden/>
          </w:rPr>
          <w:instrText xml:space="preserve"> PAGEREF _Toc89930906 \h </w:instrText>
        </w:r>
        <w:r>
          <w:rPr>
            <w:noProof/>
            <w:webHidden/>
          </w:rPr>
        </w:r>
        <w:r>
          <w:rPr>
            <w:noProof/>
            <w:webHidden/>
          </w:rPr>
          <w:fldChar w:fldCharType="separate"/>
        </w:r>
        <w:r>
          <w:rPr>
            <w:noProof/>
            <w:webHidden/>
          </w:rPr>
          <w:t>iii</w:t>
        </w:r>
        <w:r>
          <w:rPr>
            <w:noProof/>
            <w:webHidden/>
          </w:rPr>
          <w:fldChar w:fldCharType="end"/>
        </w:r>
      </w:hyperlink>
    </w:p>
    <w:p w14:paraId="4DF2C823" w14:textId="199D2816" w:rsidR="007C50C8" w:rsidRDefault="000C522F">
      <w:pPr>
        <w:pStyle w:val="TOC1"/>
        <w:rPr>
          <w:rFonts w:asciiTheme="minorHAnsi" w:eastAsiaTheme="minorEastAsia" w:hAnsiTheme="minorHAnsi" w:cstheme="minorBidi"/>
          <w:noProof/>
          <w:sz w:val="22"/>
          <w:szCs w:val="22"/>
          <w:lang w:eastAsia="en-NZ"/>
        </w:rPr>
      </w:pPr>
      <w:hyperlink w:anchor="_Toc89930907" w:history="1">
        <w:r w:rsidR="007C50C8" w:rsidRPr="007D3F13">
          <w:rPr>
            <w:rStyle w:val="Hyperlink"/>
            <w:noProof/>
          </w:rPr>
          <w:t>Kupu Whakataki</w:t>
        </w:r>
        <w:r w:rsidR="007C50C8">
          <w:rPr>
            <w:noProof/>
            <w:webHidden/>
          </w:rPr>
          <w:tab/>
        </w:r>
        <w:r w:rsidR="007C50C8">
          <w:rPr>
            <w:noProof/>
            <w:webHidden/>
          </w:rPr>
          <w:fldChar w:fldCharType="begin"/>
        </w:r>
        <w:r w:rsidR="007C50C8">
          <w:rPr>
            <w:noProof/>
            <w:webHidden/>
          </w:rPr>
          <w:instrText xml:space="preserve"> PAGEREF _Toc89930907 \h </w:instrText>
        </w:r>
        <w:r w:rsidR="007C50C8">
          <w:rPr>
            <w:noProof/>
            <w:webHidden/>
          </w:rPr>
        </w:r>
        <w:r w:rsidR="007C50C8">
          <w:rPr>
            <w:noProof/>
            <w:webHidden/>
          </w:rPr>
          <w:fldChar w:fldCharType="separate"/>
        </w:r>
        <w:r w:rsidR="007C50C8">
          <w:rPr>
            <w:noProof/>
            <w:webHidden/>
          </w:rPr>
          <w:t>iv</w:t>
        </w:r>
        <w:r w:rsidR="007C50C8">
          <w:rPr>
            <w:noProof/>
            <w:webHidden/>
          </w:rPr>
          <w:fldChar w:fldCharType="end"/>
        </w:r>
      </w:hyperlink>
    </w:p>
    <w:p w14:paraId="75F4BFA7" w14:textId="3586E2E3" w:rsidR="007C50C8" w:rsidRDefault="000C522F">
      <w:pPr>
        <w:pStyle w:val="TOC1"/>
        <w:rPr>
          <w:rFonts w:asciiTheme="minorHAnsi" w:eastAsiaTheme="minorEastAsia" w:hAnsiTheme="minorHAnsi" w:cstheme="minorBidi"/>
          <w:noProof/>
          <w:sz w:val="22"/>
          <w:szCs w:val="22"/>
          <w:lang w:eastAsia="en-NZ"/>
        </w:rPr>
      </w:pPr>
      <w:hyperlink w:anchor="_Toc89930908" w:history="1">
        <w:r w:rsidR="007C50C8" w:rsidRPr="007D3F13">
          <w:rPr>
            <w:rStyle w:val="Hyperlink"/>
            <w:noProof/>
          </w:rPr>
          <w:t>Executive summary</w:t>
        </w:r>
        <w:r w:rsidR="007C50C8">
          <w:rPr>
            <w:noProof/>
            <w:webHidden/>
          </w:rPr>
          <w:tab/>
        </w:r>
        <w:r w:rsidR="007C50C8">
          <w:rPr>
            <w:noProof/>
            <w:webHidden/>
          </w:rPr>
          <w:fldChar w:fldCharType="begin"/>
        </w:r>
        <w:r w:rsidR="007C50C8">
          <w:rPr>
            <w:noProof/>
            <w:webHidden/>
          </w:rPr>
          <w:instrText xml:space="preserve"> PAGEREF _Toc89930908 \h </w:instrText>
        </w:r>
        <w:r w:rsidR="007C50C8">
          <w:rPr>
            <w:noProof/>
            <w:webHidden/>
          </w:rPr>
        </w:r>
        <w:r w:rsidR="007C50C8">
          <w:rPr>
            <w:noProof/>
            <w:webHidden/>
          </w:rPr>
          <w:fldChar w:fldCharType="separate"/>
        </w:r>
        <w:r w:rsidR="007C50C8">
          <w:rPr>
            <w:noProof/>
            <w:webHidden/>
          </w:rPr>
          <w:t>vii</w:t>
        </w:r>
        <w:r w:rsidR="007C50C8">
          <w:rPr>
            <w:noProof/>
            <w:webHidden/>
          </w:rPr>
          <w:fldChar w:fldCharType="end"/>
        </w:r>
      </w:hyperlink>
    </w:p>
    <w:p w14:paraId="49695ACF" w14:textId="63C8CA16" w:rsidR="007C50C8" w:rsidRDefault="000C522F">
      <w:pPr>
        <w:pStyle w:val="TOC1"/>
        <w:rPr>
          <w:rFonts w:asciiTheme="minorHAnsi" w:eastAsiaTheme="minorEastAsia" w:hAnsiTheme="minorHAnsi" w:cstheme="minorBidi"/>
          <w:noProof/>
          <w:sz w:val="22"/>
          <w:szCs w:val="22"/>
          <w:lang w:eastAsia="en-NZ"/>
        </w:rPr>
      </w:pPr>
      <w:hyperlink w:anchor="_Toc89930909" w:history="1">
        <w:r w:rsidR="007C50C8" w:rsidRPr="007D3F13">
          <w:rPr>
            <w:rStyle w:val="Hyperlink"/>
            <w:noProof/>
          </w:rPr>
          <w:t>He whakarāpopototanga</w:t>
        </w:r>
        <w:r w:rsidR="007C50C8">
          <w:rPr>
            <w:noProof/>
            <w:webHidden/>
          </w:rPr>
          <w:tab/>
        </w:r>
        <w:r w:rsidR="007C50C8">
          <w:rPr>
            <w:noProof/>
            <w:webHidden/>
          </w:rPr>
          <w:fldChar w:fldCharType="begin"/>
        </w:r>
        <w:r w:rsidR="007C50C8">
          <w:rPr>
            <w:noProof/>
            <w:webHidden/>
          </w:rPr>
          <w:instrText xml:space="preserve"> PAGEREF _Toc89930909 \h </w:instrText>
        </w:r>
        <w:r w:rsidR="007C50C8">
          <w:rPr>
            <w:noProof/>
            <w:webHidden/>
          </w:rPr>
        </w:r>
        <w:r w:rsidR="007C50C8">
          <w:rPr>
            <w:noProof/>
            <w:webHidden/>
          </w:rPr>
          <w:fldChar w:fldCharType="separate"/>
        </w:r>
        <w:r w:rsidR="007C50C8">
          <w:rPr>
            <w:noProof/>
            <w:webHidden/>
          </w:rPr>
          <w:t>x</w:t>
        </w:r>
        <w:r w:rsidR="007C50C8">
          <w:rPr>
            <w:noProof/>
            <w:webHidden/>
          </w:rPr>
          <w:fldChar w:fldCharType="end"/>
        </w:r>
      </w:hyperlink>
    </w:p>
    <w:p w14:paraId="69CD9BD3" w14:textId="53E83995" w:rsidR="007C50C8" w:rsidRDefault="000C522F">
      <w:pPr>
        <w:pStyle w:val="TOC1"/>
        <w:rPr>
          <w:rFonts w:asciiTheme="minorHAnsi" w:eastAsiaTheme="minorEastAsia" w:hAnsiTheme="minorHAnsi" w:cstheme="minorBidi"/>
          <w:noProof/>
          <w:sz w:val="22"/>
          <w:szCs w:val="22"/>
          <w:lang w:eastAsia="en-NZ"/>
        </w:rPr>
      </w:pPr>
      <w:hyperlink w:anchor="_Toc89930910" w:history="1">
        <w:r w:rsidR="007C50C8" w:rsidRPr="007D3F13">
          <w:rPr>
            <w:rStyle w:val="Hyperlink"/>
            <w:noProof/>
          </w:rPr>
          <w:t>Overview</w:t>
        </w:r>
        <w:r w:rsidR="007C50C8">
          <w:rPr>
            <w:noProof/>
            <w:webHidden/>
          </w:rPr>
          <w:tab/>
        </w:r>
        <w:r w:rsidR="007C50C8">
          <w:rPr>
            <w:noProof/>
            <w:webHidden/>
          </w:rPr>
          <w:fldChar w:fldCharType="begin"/>
        </w:r>
        <w:r w:rsidR="007C50C8">
          <w:rPr>
            <w:noProof/>
            <w:webHidden/>
          </w:rPr>
          <w:instrText xml:space="preserve"> PAGEREF _Toc89930910 \h </w:instrText>
        </w:r>
        <w:r w:rsidR="007C50C8">
          <w:rPr>
            <w:noProof/>
            <w:webHidden/>
          </w:rPr>
        </w:r>
        <w:r w:rsidR="007C50C8">
          <w:rPr>
            <w:noProof/>
            <w:webHidden/>
          </w:rPr>
          <w:fldChar w:fldCharType="separate"/>
        </w:r>
        <w:r w:rsidR="007C50C8">
          <w:rPr>
            <w:noProof/>
            <w:webHidden/>
          </w:rPr>
          <w:t>1</w:t>
        </w:r>
        <w:r w:rsidR="007C50C8">
          <w:rPr>
            <w:noProof/>
            <w:webHidden/>
          </w:rPr>
          <w:fldChar w:fldCharType="end"/>
        </w:r>
      </w:hyperlink>
    </w:p>
    <w:p w14:paraId="0FDFEBAF" w14:textId="5B62C462" w:rsidR="007C50C8" w:rsidRDefault="000C522F">
      <w:pPr>
        <w:pStyle w:val="TOC1"/>
        <w:rPr>
          <w:rFonts w:asciiTheme="minorHAnsi" w:eastAsiaTheme="minorEastAsia" w:hAnsiTheme="minorHAnsi" w:cstheme="minorBidi"/>
          <w:noProof/>
          <w:sz w:val="22"/>
          <w:szCs w:val="22"/>
          <w:lang w:eastAsia="en-NZ"/>
        </w:rPr>
      </w:pPr>
      <w:hyperlink w:anchor="_Toc89930911" w:history="1">
        <w:r w:rsidR="007C50C8" w:rsidRPr="007D3F13">
          <w:rPr>
            <w:rStyle w:val="Hyperlink"/>
            <w:noProof/>
          </w:rPr>
          <w:t>The case for change</w:t>
        </w:r>
        <w:r w:rsidR="007C50C8">
          <w:rPr>
            <w:noProof/>
            <w:webHidden/>
          </w:rPr>
          <w:tab/>
        </w:r>
        <w:r w:rsidR="007C50C8">
          <w:rPr>
            <w:noProof/>
            <w:webHidden/>
          </w:rPr>
          <w:fldChar w:fldCharType="begin"/>
        </w:r>
        <w:r w:rsidR="007C50C8">
          <w:rPr>
            <w:noProof/>
            <w:webHidden/>
          </w:rPr>
          <w:instrText xml:space="preserve"> PAGEREF _Toc89930911 \h </w:instrText>
        </w:r>
        <w:r w:rsidR="007C50C8">
          <w:rPr>
            <w:noProof/>
            <w:webHidden/>
          </w:rPr>
        </w:r>
        <w:r w:rsidR="007C50C8">
          <w:rPr>
            <w:noProof/>
            <w:webHidden/>
          </w:rPr>
          <w:fldChar w:fldCharType="separate"/>
        </w:r>
        <w:r w:rsidR="007C50C8">
          <w:rPr>
            <w:noProof/>
            <w:webHidden/>
          </w:rPr>
          <w:t>2</w:t>
        </w:r>
        <w:r w:rsidR="007C50C8">
          <w:rPr>
            <w:noProof/>
            <w:webHidden/>
          </w:rPr>
          <w:fldChar w:fldCharType="end"/>
        </w:r>
      </w:hyperlink>
    </w:p>
    <w:p w14:paraId="1C615FFC" w14:textId="4744D1ED" w:rsidR="007C50C8" w:rsidRDefault="000C522F">
      <w:pPr>
        <w:pStyle w:val="TOC1"/>
        <w:rPr>
          <w:rFonts w:asciiTheme="minorHAnsi" w:eastAsiaTheme="minorEastAsia" w:hAnsiTheme="minorHAnsi" w:cstheme="minorBidi"/>
          <w:noProof/>
          <w:sz w:val="22"/>
          <w:szCs w:val="22"/>
          <w:lang w:eastAsia="en-NZ"/>
        </w:rPr>
      </w:pPr>
      <w:hyperlink w:anchor="_Toc89930912" w:history="1">
        <w:r w:rsidR="007C50C8" w:rsidRPr="007D3F13">
          <w:rPr>
            <w:rStyle w:val="Hyperlink"/>
            <w:noProof/>
          </w:rPr>
          <w:t>Drivers for change</w:t>
        </w:r>
        <w:r w:rsidR="007C50C8">
          <w:rPr>
            <w:noProof/>
            <w:webHidden/>
          </w:rPr>
          <w:tab/>
        </w:r>
        <w:r w:rsidR="007C50C8">
          <w:rPr>
            <w:noProof/>
            <w:webHidden/>
          </w:rPr>
          <w:fldChar w:fldCharType="begin"/>
        </w:r>
        <w:r w:rsidR="007C50C8">
          <w:rPr>
            <w:noProof/>
            <w:webHidden/>
          </w:rPr>
          <w:instrText xml:space="preserve"> PAGEREF _Toc89930912 \h </w:instrText>
        </w:r>
        <w:r w:rsidR="007C50C8">
          <w:rPr>
            <w:noProof/>
            <w:webHidden/>
          </w:rPr>
        </w:r>
        <w:r w:rsidR="007C50C8">
          <w:rPr>
            <w:noProof/>
            <w:webHidden/>
          </w:rPr>
          <w:fldChar w:fldCharType="separate"/>
        </w:r>
        <w:r w:rsidR="007C50C8">
          <w:rPr>
            <w:noProof/>
            <w:webHidden/>
          </w:rPr>
          <w:t>3</w:t>
        </w:r>
        <w:r w:rsidR="007C50C8">
          <w:rPr>
            <w:noProof/>
            <w:webHidden/>
          </w:rPr>
          <w:fldChar w:fldCharType="end"/>
        </w:r>
      </w:hyperlink>
    </w:p>
    <w:p w14:paraId="5EABFDFE" w14:textId="61AA8744" w:rsidR="007C50C8" w:rsidRDefault="000C522F">
      <w:pPr>
        <w:pStyle w:val="TOC2"/>
        <w:rPr>
          <w:rFonts w:asciiTheme="minorHAnsi" w:eastAsiaTheme="minorEastAsia" w:hAnsiTheme="minorHAnsi" w:cstheme="minorBidi"/>
          <w:noProof/>
          <w:sz w:val="22"/>
          <w:szCs w:val="22"/>
          <w:lang w:eastAsia="en-NZ"/>
        </w:rPr>
      </w:pPr>
      <w:hyperlink w:anchor="_Toc89930913" w:history="1">
        <w:r w:rsidR="007C50C8" w:rsidRPr="007D3F13">
          <w:rPr>
            <w:rStyle w:val="Hyperlink"/>
            <w:noProof/>
          </w:rPr>
          <w:t>Te Tiriti o Waitangi</w:t>
        </w:r>
        <w:r w:rsidR="007C50C8">
          <w:rPr>
            <w:noProof/>
            <w:webHidden/>
          </w:rPr>
          <w:tab/>
        </w:r>
        <w:r w:rsidR="007C50C8">
          <w:rPr>
            <w:noProof/>
            <w:webHidden/>
          </w:rPr>
          <w:fldChar w:fldCharType="begin"/>
        </w:r>
        <w:r w:rsidR="007C50C8">
          <w:rPr>
            <w:noProof/>
            <w:webHidden/>
          </w:rPr>
          <w:instrText xml:space="preserve"> PAGEREF _Toc89930913 \h </w:instrText>
        </w:r>
        <w:r w:rsidR="007C50C8">
          <w:rPr>
            <w:noProof/>
            <w:webHidden/>
          </w:rPr>
        </w:r>
        <w:r w:rsidR="007C50C8">
          <w:rPr>
            <w:noProof/>
            <w:webHidden/>
          </w:rPr>
          <w:fldChar w:fldCharType="separate"/>
        </w:r>
        <w:r w:rsidR="007C50C8">
          <w:rPr>
            <w:noProof/>
            <w:webHidden/>
          </w:rPr>
          <w:t>3</w:t>
        </w:r>
        <w:r w:rsidR="007C50C8">
          <w:rPr>
            <w:noProof/>
            <w:webHidden/>
          </w:rPr>
          <w:fldChar w:fldCharType="end"/>
        </w:r>
      </w:hyperlink>
    </w:p>
    <w:p w14:paraId="073BE300" w14:textId="4D21FC5D" w:rsidR="007C50C8" w:rsidRDefault="000C522F">
      <w:pPr>
        <w:pStyle w:val="TOC2"/>
        <w:rPr>
          <w:rFonts w:asciiTheme="minorHAnsi" w:eastAsiaTheme="minorEastAsia" w:hAnsiTheme="minorHAnsi" w:cstheme="minorBidi"/>
          <w:noProof/>
          <w:sz w:val="22"/>
          <w:szCs w:val="22"/>
          <w:lang w:eastAsia="en-NZ"/>
        </w:rPr>
      </w:pPr>
      <w:hyperlink w:anchor="_Toc89930914" w:history="1">
        <w:r w:rsidR="007C50C8" w:rsidRPr="007D3F13">
          <w:rPr>
            <w:rStyle w:val="Hyperlink"/>
            <w:noProof/>
          </w:rPr>
          <w:t>Health equity</w:t>
        </w:r>
        <w:r w:rsidR="007C50C8">
          <w:rPr>
            <w:noProof/>
            <w:webHidden/>
          </w:rPr>
          <w:tab/>
        </w:r>
        <w:r w:rsidR="007C50C8">
          <w:rPr>
            <w:noProof/>
            <w:webHidden/>
          </w:rPr>
          <w:fldChar w:fldCharType="begin"/>
        </w:r>
        <w:r w:rsidR="007C50C8">
          <w:rPr>
            <w:noProof/>
            <w:webHidden/>
          </w:rPr>
          <w:instrText xml:space="preserve"> PAGEREF _Toc89930914 \h </w:instrText>
        </w:r>
        <w:r w:rsidR="007C50C8">
          <w:rPr>
            <w:noProof/>
            <w:webHidden/>
          </w:rPr>
        </w:r>
        <w:r w:rsidR="007C50C8">
          <w:rPr>
            <w:noProof/>
            <w:webHidden/>
          </w:rPr>
          <w:fldChar w:fldCharType="separate"/>
        </w:r>
        <w:r w:rsidR="007C50C8">
          <w:rPr>
            <w:noProof/>
            <w:webHidden/>
          </w:rPr>
          <w:t>3</w:t>
        </w:r>
        <w:r w:rsidR="007C50C8">
          <w:rPr>
            <w:noProof/>
            <w:webHidden/>
          </w:rPr>
          <w:fldChar w:fldCharType="end"/>
        </w:r>
      </w:hyperlink>
    </w:p>
    <w:p w14:paraId="1F8035CB" w14:textId="1206C3B0" w:rsidR="007C50C8" w:rsidRDefault="000C522F">
      <w:pPr>
        <w:pStyle w:val="TOC2"/>
        <w:rPr>
          <w:rFonts w:asciiTheme="minorHAnsi" w:eastAsiaTheme="minorEastAsia" w:hAnsiTheme="minorHAnsi" w:cstheme="minorBidi"/>
          <w:noProof/>
          <w:sz w:val="22"/>
          <w:szCs w:val="22"/>
          <w:lang w:eastAsia="en-NZ"/>
        </w:rPr>
      </w:pPr>
      <w:hyperlink w:anchor="_Toc89930915" w:history="1">
        <w:r w:rsidR="007C50C8" w:rsidRPr="007D3F13">
          <w:rPr>
            <w:rStyle w:val="Hyperlink"/>
            <w:noProof/>
          </w:rPr>
          <w:t>Consumer expectations</w:t>
        </w:r>
        <w:r w:rsidR="007C50C8">
          <w:rPr>
            <w:noProof/>
            <w:webHidden/>
          </w:rPr>
          <w:tab/>
        </w:r>
        <w:r w:rsidR="007C50C8">
          <w:rPr>
            <w:noProof/>
            <w:webHidden/>
          </w:rPr>
          <w:fldChar w:fldCharType="begin"/>
        </w:r>
        <w:r w:rsidR="007C50C8">
          <w:rPr>
            <w:noProof/>
            <w:webHidden/>
          </w:rPr>
          <w:instrText xml:space="preserve"> PAGEREF _Toc89930915 \h </w:instrText>
        </w:r>
        <w:r w:rsidR="007C50C8">
          <w:rPr>
            <w:noProof/>
            <w:webHidden/>
          </w:rPr>
        </w:r>
        <w:r w:rsidR="007C50C8">
          <w:rPr>
            <w:noProof/>
            <w:webHidden/>
          </w:rPr>
          <w:fldChar w:fldCharType="separate"/>
        </w:r>
        <w:r w:rsidR="007C50C8">
          <w:rPr>
            <w:noProof/>
            <w:webHidden/>
          </w:rPr>
          <w:t>4</w:t>
        </w:r>
        <w:r w:rsidR="007C50C8">
          <w:rPr>
            <w:noProof/>
            <w:webHidden/>
          </w:rPr>
          <w:fldChar w:fldCharType="end"/>
        </w:r>
      </w:hyperlink>
    </w:p>
    <w:p w14:paraId="149C6878" w14:textId="77EA666C" w:rsidR="007C50C8" w:rsidRDefault="000C522F">
      <w:pPr>
        <w:pStyle w:val="TOC2"/>
        <w:rPr>
          <w:rFonts w:asciiTheme="minorHAnsi" w:eastAsiaTheme="minorEastAsia" w:hAnsiTheme="minorHAnsi" w:cstheme="minorBidi"/>
          <w:noProof/>
          <w:sz w:val="22"/>
          <w:szCs w:val="22"/>
          <w:lang w:eastAsia="en-NZ"/>
        </w:rPr>
      </w:pPr>
      <w:hyperlink w:anchor="_Toc89930916" w:history="1">
        <w:r w:rsidR="007C50C8" w:rsidRPr="007D3F13">
          <w:rPr>
            <w:rStyle w:val="Hyperlink"/>
            <w:noProof/>
          </w:rPr>
          <w:t>Sector change and system enablers</w:t>
        </w:r>
        <w:r w:rsidR="007C50C8">
          <w:rPr>
            <w:noProof/>
            <w:webHidden/>
          </w:rPr>
          <w:tab/>
        </w:r>
        <w:r w:rsidR="007C50C8">
          <w:rPr>
            <w:noProof/>
            <w:webHidden/>
          </w:rPr>
          <w:fldChar w:fldCharType="begin"/>
        </w:r>
        <w:r w:rsidR="007C50C8">
          <w:rPr>
            <w:noProof/>
            <w:webHidden/>
          </w:rPr>
          <w:instrText xml:space="preserve"> PAGEREF _Toc89930916 \h </w:instrText>
        </w:r>
        <w:r w:rsidR="007C50C8">
          <w:rPr>
            <w:noProof/>
            <w:webHidden/>
          </w:rPr>
        </w:r>
        <w:r w:rsidR="007C50C8">
          <w:rPr>
            <w:noProof/>
            <w:webHidden/>
          </w:rPr>
          <w:fldChar w:fldCharType="separate"/>
        </w:r>
        <w:r w:rsidR="007C50C8">
          <w:rPr>
            <w:noProof/>
            <w:webHidden/>
          </w:rPr>
          <w:t>4</w:t>
        </w:r>
        <w:r w:rsidR="007C50C8">
          <w:rPr>
            <w:noProof/>
            <w:webHidden/>
          </w:rPr>
          <w:fldChar w:fldCharType="end"/>
        </w:r>
      </w:hyperlink>
    </w:p>
    <w:p w14:paraId="4F606E27" w14:textId="266D5A27" w:rsidR="007C50C8" w:rsidRDefault="000C522F">
      <w:pPr>
        <w:pStyle w:val="TOC2"/>
        <w:rPr>
          <w:rFonts w:asciiTheme="minorHAnsi" w:eastAsiaTheme="minorEastAsia" w:hAnsiTheme="minorHAnsi" w:cstheme="minorBidi"/>
          <w:noProof/>
          <w:sz w:val="22"/>
          <w:szCs w:val="22"/>
          <w:lang w:eastAsia="en-NZ"/>
        </w:rPr>
      </w:pPr>
      <w:hyperlink w:anchor="_Toc89930917" w:history="1">
        <w:r w:rsidR="007C50C8" w:rsidRPr="007D3F13">
          <w:rPr>
            <w:rStyle w:val="Hyperlink"/>
            <w:noProof/>
          </w:rPr>
          <w:t>Emerging technology</w:t>
        </w:r>
        <w:r w:rsidR="007C50C8">
          <w:rPr>
            <w:noProof/>
            <w:webHidden/>
          </w:rPr>
          <w:tab/>
        </w:r>
        <w:r w:rsidR="007C50C8">
          <w:rPr>
            <w:noProof/>
            <w:webHidden/>
          </w:rPr>
          <w:fldChar w:fldCharType="begin"/>
        </w:r>
        <w:r w:rsidR="007C50C8">
          <w:rPr>
            <w:noProof/>
            <w:webHidden/>
          </w:rPr>
          <w:instrText xml:space="preserve"> PAGEREF _Toc89930917 \h </w:instrText>
        </w:r>
        <w:r w:rsidR="007C50C8">
          <w:rPr>
            <w:noProof/>
            <w:webHidden/>
          </w:rPr>
        </w:r>
        <w:r w:rsidR="007C50C8">
          <w:rPr>
            <w:noProof/>
            <w:webHidden/>
          </w:rPr>
          <w:fldChar w:fldCharType="separate"/>
        </w:r>
        <w:r w:rsidR="007C50C8">
          <w:rPr>
            <w:noProof/>
            <w:webHidden/>
          </w:rPr>
          <w:t>6</w:t>
        </w:r>
        <w:r w:rsidR="007C50C8">
          <w:rPr>
            <w:noProof/>
            <w:webHidden/>
          </w:rPr>
          <w:fldChar w:fldCharType="end"/>
        </w:r>
      </w:hyperlink>
    </w:p>
    <w:p w14:paraId="416EAE9A" w14:textId="4337A0B1" w:rsidR="007C50C8" w:rsidRDefault="000C522F">
      <w:pPr>
        <w:pStyle w:val="TOC1"/>
        <w:rPr>
          <w:rFonts w:asciiTheme="minorHAnsi" w:eastAsiaTheme="minorEastAsia" w:hAnsiTheme="minorHAnsi" w:cstheme="minorBidi"/>
          <w:noProof/>
          <w:sz w:val="22"/>
          <w:szCs w:val="22"/>
          <w:lang w:eastAsia="en-NZ"/>
        </w:rPr>
      </w:pPr>
      <w:hyperlink w:anchor="_Toc89930918" w:history="1">
        <w:r w:rsidR="007C50C8" w:rsidRPr="007D3F13">
          <w:rPr>
            <w:rStyle w:val="Hyperlink"/>
            <w:noProof/>
          </w:rPr>
          <w:t>Values and behaviours</w:t>
        </w:r>
        <w:r w:rsidR="007C50C8">
          <w:rPr>
            <w:noProof/>
            <w:webHidden/>
          </w:rPr>
          <w:tab/>
        </w:r>
        <w:r w:rsidR="007C50C8">
          <w:rPr>
            <w:noProof/>
            <w:webHidden/>
          </w:rPr>
          <w:fldChar w:fldCharType="begin"/>
        </w:r>
        <w:r w:rsidR="007C50C8">
          <w:rPr>
            <w:noProof/>
            <w:webHidden/>
          </w:rPr>
          <w:instrText xml:space="preserve"> PAGEREF _Toc89930918 \h </w:instrText>
        </w:r>
        <w:r w:rsidR="007C50C8">
          <w:rPr>
            <w:noProof/>
            <w:webHidden/>
          </w:rPr>
        </w:r>
        <w:r w:rsidR="007C50C8">
          <w:rPr>
            <w:noProof/>
            <w:webHidden/>
          </w:rPr>
          <w:fldChar w:fldCharType="separate"/>
        </w:r>
        <w:r w:rsidR="007C50C8">
          <w:rPr>
            <w:noProof/>
            <w:webHidden/>
          </w:rPr>
          <w:t>7</w:t>
        </w:r>
        <w:r w:rsidR="007C50C8">
          <w:rPr>
            <w:noProof/>
            <w:webHidden/>
          </w:rPr>
          <w:fldChar w:fldCharType="end"/>
        </w:r>
      </w:hyperlink>
    </w:p>
    <w:p w14:paraId="4E2D1B04" w14:textId="1DAC8443" w:rsidR="007C50C8" w:rsidRDefault="000C522F">
      <w:pPr>
        <w:pStyle w:val="TOC1"/>
        <w:rPr>
          <w:rFonts w:asciiTheme="minorHAnsi" w:eastAsiaTheme="minorEastAsia" w:hAnsiTheme="minorHAnsi" w:cstheme="minorBidi"/>
          <w:noProof/>
          <w:sz w:val="22"/>
          <w:szCs w:val="22"/>
          <w:lang w:eastAsia="en-NZ"/>
        </w:rPr>
      </w:pPr>
      <w:hyperlink w:anchor="_Toc89930919" w:history="1">
        <w:r w:rsidR="007C50C8" w:rsidRPr="007D3F13">
          <w:rPr>
            <w:rStyle w:val="Hyperlink"/>
            <w:noProof/>
          </w:rPr>
          <w:t>Identifying what matters</w:t>
        </w:r>
        <w:r w:rsidR="007C50C8">
          <w:rPr>
            <w:noProof/>
            <w:webHidden/>
          </w:rPr>
          <w:tab/>
        </w:r>
        <w:r w:rsidR="007C50C8">
          <w:rPr>
            <w:noProof/>
            <w:webHidden/>
          </w:rPr>
          <w:fldChar w:fldCharType="begin"/>
        </w:r>
        <w:r w:rsidR="007C50C8">
          <w:rPr>
            <w:noProof/>
            <w:webHidden/>
          </w:rPr>
          <w:instrText xml:space="preserve"> PAGEREF _Toc89930919 \h </w:instrText>
        </w:r>
        <w:r w:rsidR="007C50C8">
          <w:rPr>
            <w:noProof/>
            <w:webHidden/>
          </w:rPr>
        </w:r>
        <w:r w:rsidR="007C50C8">
          <w:rPr>
            <w:noProof/>
            <w:webHidden/>
          </w:rPr>
          <w:fldChar w:fldCharType="separate"/>
        </w:r>
        <w:r w:rsidR="007C50C8">
          <w:rPr>
            <w:noProof/>
            <w:webHidden/>
          </w:rPr>
          <w:t>9</w:t>
        </w:r>
        <w:r w:rsidR="007C50C8">
          <w:rPr>
            <w:noProof/>
            <w:webHidden/>
          </w:rPr>
          <w:fldChar w:fldCharType="end"/>
        </w:r>
      </w:hyperlink>
    </w:p>
    <w:p w14:paraId="337256D3" w14:textId="10D9A6BD" w:rsidR="007C50C8" w:rsidRDefault="000C522F">
      <w:pPr>
        <w:pStyle w:val="TOC1"/>
        <w:rPr>
          <w:rFonts w:asciiTheme="minorHAnsi" w:eastAsiaTheme="minorEastAsia" w:hAnsiTheme="minorHAnsi" w:cstheme="minorBidi"/>
          <w:noProof/>
          <w:sz w:val="22"/>
          <w:szCs w:val="22"/>
          <w:lang w:eastAsia="en-NZ"/>
        </w:rPr>
      </w:pPr>
      <w:hyperlink w:anchor="_Toc89930920" w:history="1">
        <w:r w:rsidR="007C50C8" w:rsidRPr="007D3F13">
          <w:rPr>
            <w:rStyle w:val="Hyperlink"/>
            <w:noProof/>
          </w:rPr>
          <w:t>Priorities for improvement</w:t>
        </w:r>
        <w:r w:rsidR="007C50C8">
          <w:rPr>
            <w:noProof/>
            <w:webHidden/>
          </w:rPr>
          <w:tab/>
        </w:r>
        <w:r w:rsidR="007C50C8">
          <w:rPr>
            <w:noProof/>
            <w:webHidden/>
          </w:rPr>
          <w:fldChar w:fldCharType="begin"/>
        </w:r>
        <w:r w:rsidR="007C50C8">
          <w:rPr>
            <w:noProof/>
            <w:webHidden/>
          </w:rPr>
          <w:instrText xml:space="preserve"> PAGEREF _Toc89930920 \h </w:instrText>
        </w:r>
        <w:r w:rsidR="007C50C8">
          <w:rPr>
            <w:noProof/>
            <w:webHidden/>
          </w:rPr>
        </w:r>
        <w:r w:rsidR="007C50C8">
          <w:rPr>
            <w:noProof/>
            <w:webHidden/>
          </w:rPr>
          <w:fldChar w:fldCharType="separate"/>
        </w:r>
        <w:r w:rsidR="007C50C8">
          <w:rPr>
            <w:noProof/>
            <w:webHidden/>
          </w:rPr>
          <w:t>11</w:t>
        </w:r>
        <w:r w:rsidR="007C50C8">
          <w:rPr>
            <w:noProof/>
            <w:webHidden/>
          </w:rPr>
          <w:fldChar w:fldCharType="end"/>
        </w:r>
      </w:hyperlink>
    </w:p>
    <w:p w14:paraId="4479A57C" w14:textId="7CBE5253" w:rsidR="007C50C8" w:rsidRDefault="000C522F">
      <w:pPr>
        <w:pStyle w:val="TOC2"/>
        <w:rPr>
          <w:rFonts w:asciiTheme="minorHAnsi" w:eastAsiaTheme="minorEastAsia" w:hAnsiTheme="minorHAnsi" w:cstheme="minorBidi"/>
          <w:noProof/>
          <w:sz w:val="22"/>
          <w:szCs w:val="22"/>
          <w:lang w:eastAsia="en-NZ"/>
        </w:rPr>
      </w:pPr>
      <w:hyperlink w:anchor="_Toc89930921" w:history="1">
        <w:r w:rsidR="007C50C8" w:rsidRPr="007D3F13">
          <w:rPr>
            <w:rStyle w:val="Hyperlink"/>
            <w:noProof/>
          </w:rPr>
          <w:t>Data foundations</w:t>
        </w:r>
        <w:r w:rsidR="007C50C8">
          <w:rPr>
            <w:noProof/>
            <w:webHidden/>
          </w:rPr>
          <w:tab/>
        </w:r>
        <w:r w:rsidR="007C50C8">
          <w:rPr>
            <w:noProof/>
            <w:webHidden/>
          </w:rPr>
          <w:fldChar w:fldCharType="begin"/>
        </w:r>
        <w:r w:rsidR="007C50C8">
          <w:rPr>
            <w:noProof/>
            <w:webHidden/>
          </w:rPr>
          <w:instrText xml:space="preserve"> PAGEREF _Toc89930921 \h </w:instrText>
        </w:r>
        <w:r w:rsidR="007C50C8">
          <w:rPr>
            <w:noProof/>
            <w:webHidden/>
          </w:rPr>
        </w:r>
        <w:r w:rsidR="007C50C8">
          <w:rPr>
            <w:noProof/>
            <w:webHidden/>
          </w:rPr>
          <w:fldChar w:fldCharType="separate"/>
        </w:r>
        <w:r w:rsidR="007C50C8">
          <w:rPr>
            <w:noProof/>
            <w:webHidden/>
          </w:rPr>
          <w:t>11</w:t>
        </w:r>
        <w:r w:rsidR="007C50C8">
          <w:rPr>
            <w:noProof/>
            <w:webHidden/>
          </w:rPr>
          <w:fldChar w:fldCharType="end"/>
        </w:r>
      </w:hyperlink>
    </w:p>
    <w:p w14:paraId="09CE4ECE" w14:textId="07826FD6" w:rsidR="007C50C8" w:rsidRDefault="000C522F">
      <w:pPr>
        <w:pStyle w:val="TOC2"/>
        <w:rPr>
          <w:rFonts w:asciiTheme="minorHAnsi" w:eastAsiaTheme="minorEastAsia" w:hAnsiTheme="minorHAnsi" w:cstheme="minorBidi"/>
          <w:noProof/>
          <w:sz w:val="22"/>
          <w:szCs w:val="22"/>
          <w:lang w:eastAsia="en-NZ"/>
        </w:rPr>
      </w:pPr>
      <w:hyperlink w:anchor="_Toc89930922" w:history="1">
        <w:r w:rsidR="007C50C8" w:rsidRPr="007D3F13">
          <w:rPr>
            <w:rStyle w:val="Hyperlink"/>
            <w:noProof/>
          </w:rPr>
          <w:t>Equity and data sovereignty</w:t>
        </w:r>
        <w:r w:rsidR="007C50C8">
          <w:rPr>
            <w:noProof/>
            <w:webHidden/>
          </w:rPr>
          <w:tab/>
        </w:r>
        <w:r w:rsidR="007C50C8">
          <w:rPr>
            <w:noProof/>
            <w:webHidden/>
          </w:rPr>
          <w:fldChar w:fldCharType="begin"/>
        </w:r>
        <w:r w:rsidR="007C50C8">
          <w:rPr>
            <w:noProof/>
            <w:webHidden/>
          </w:rPr>
          <w:instrText xml:space="preserve"> PAGEREF _Toc89930922 \h </w:instrText>
        </w:r>
        <w:r w:rsidR="007C50C8">
          <w:rPr>
            <w:noProof/>
            <w:webHidden/>
          </w:rPr>
        </w:r>
        <w:r w:rsidR="007C50C8">
          <w:rPr>
            <w:noProof/>
            <w:webHidden/>
          </w:rPr>
          <w:fldChar w:fldCharType="separate"/>
        </w:r>
        <w:r w:rsidR="007C50C8">
          <w:rPr>
            <w:noProof/>
            <w:webHidden/>
          </w:rPr>
          <w:t>15</w:t>
        </w:r>
        <w:r w:rsidR="007C50C8">
          <w:rPr>
            <w:noProof/>
            <w:webHidden/>
          </w:rPr>
          <w:fldChar w:fldCharType="end"/>
        </w:r>
      </w:hyperlink>
    </w:p>
    <w:p w14:paraId="4AB1F69F" w14:textId="58B8F16B" w:rsidR="007C50C8" w:rsidRDefault="000C522F">
      <w:pPr>
        <w:pStyle w:val="TOC2"/>
        <w:rPr>
          <w:rFonts w:asciiTheme="minorHAnsi" w:eastAsiaTheme="minorEastAsia" w:hAnsiTheme="minorHAnsi" w:cstheme="minorBidi"/>
          <w:noProof/>
          <w:sz w:val="22"/>
          <w:szCs w:val="22"/>
          <w:lang w:eastAsia="en-NZ"/>
        </w:rPr>
      </w:pPr>
      <w:hyperlink w:anchor="_Toc89930923" w:history="1">
        <w:r w:rsidR="007C50C8" w:rsidRPr="007D3F13">
          <w:rPr>
            <w:rStyle w:val="Hyperlink"/>
            <w:noProof/>
          </w:rPr>
          <w:t>Consumer participation</w:t>
        </w:r>
        <w:r w:rsidR="007C50C8">
          <w:rPr>
            <w:noProof/>
            <w:webHidden/>
          </w:rPr>
          <w:tab/>
        </w:r>
        <w:r w:rsidR="007C50C8">
          <w:rPr>
            <w:noProof/>
            <w:webHidden/>
          </w:rPr>
          <w:fldChar w:fldCharType="begin"/>
        </w:r>
        <w:r w:rsidR="007C50C8">
          <w:rPr>
            <w:noProof/>
            <w:webHidden/>
          </w:rPr>
          <w:instrText xml:space="preserve"> PAGEREF _Toc89930923 \h </w:instrText>
        </w:r>
        <w:r w:rsidR="007C50C8">
          <w:rPr>
            <w:noProof/>
            <w:webHidden/>
          </w:rPr>
        </w:r>
        <w:r w:rsidR="007C50C8">
          <w:rPr>
            <w:noProof/>
            <w:webHidden/>
          </w:rPr>
          <w:fldChar w:fldCharType="separate"/>
        </w:r>
        <w:r w:rsidR="007C50C8">
          <w:rPr>
            <w:noProof/>
            <w:webHidden/>
          </w:rPr>
          <w:t>19</w:t>
        </w:r>
        <w:r w:rsidR="007C50C8">
          <w:rPr>
            <w:noProof/>
            <w:webHidden/>
          </w:rPr>
          <w:fldChar w:fldCharType="end"/>
        </w:r>
      </w:hyperlink>
    </w:p>
    <w:p w14:paraId="284F1E09" w14:textId="71DA2774" w:rsidR="007C50C8" w:rsidRDefault="000C522F">
      <w:pPr>
        <w:pStyle w:val="TOC2"/>
        <w:rPr>
          <w:rFonts w:asciiTheme="minorHAnsi" w:eastAsiaTheme="minorEastAsia" w:hAnsiTheme="minorHAnsi" w:cstheme="minorBidi"/>
          <w:noProof/>
          <w:sz w:val="22"/>
          <w:szCs w:val="22"/>
          <w:lang w:eastAsia="en-NZ"/>
        </w:rPr>
      </w:pPr>
      <w:hyperlink w:anchor="_Toc89930924" w:history="1">
        <w:r w:rsidR="007C50C8" w:rsidRPr="007D3F13">
          <w:rPr>
            <w:rStyle w:val="Hyperlink"/>
            <w:noProof/>
          </w:rPr>
          <w:t>People and leadership</w:t>
        </w:r>
        <w:r w:rsidR="007C50C8">
          <w:rPr>
            <w:noProof/>
            <w:webHidden/>
          </w:rPr>
          <w:tab/>
        </w:r>
        <w:r w:rsidR="007C50C8">
          <w:rPr>
            <w:noProof/>
            <w:webHidden/>
          </w:rPr>
          <w:fldChar w:fldCharType="begin"/>
        </w:r>
        <w:r w:rsidR="007C50C8">
          <w:rPr>
            <w:noProof/>
            <w:webHidden/>
          </w:rPr>
          <w:instrText xml:space="preserve"> PAGEREF _Toc89930924 \h </w:instrText>
        </w:r>
        <w:r w:rsidR="007C50C8">
          <w:rPr>
            <w:noProof/>
            <w:webHidden/>
          </w:rPr>
        </w:r>
        <w:r w:rsidR="007C50C8">
          <w:rPr>
            <w:noProof/>
            <w:webHidden/>
          </w:rPr>
          <w:fldChar w:fldCharType="separate"/>
        </w:r>
        <w:r w:rsidR="007C50C8">
          <w:rPr>
            <w:noProof/>
            <w:webHidden/>
          </w:rPr>
          <w:t>21</w:t>
        </w:r>
        <w:r w:rsidR="007C50C8">
          <w:rPr>
            <w:noProof/>
            <w:webHidden/>
          </w:rPr>
          <w:fldChar w:fldCharType="end"/>
        </w:r>
      </w:hyperlink>
    </w:p>
    <w:p w14:paraId="7E4004CD" w14:textId="46853926" w:rsidR="007C50C8" w:rsidRDefault="000C522F">
      <w:pPr>
        <w:pStyle w:val="TOC2"/>
        <w:rPr>
          <w:rFonts w:asciiTheme="minorHAnsi" w:eastAsiaTheme="minorEastAsia" w:hAnsiTheme="minorHAnsi" w:cstheme="minorBidi"/>
          <w:noProof/>
          <w:sz w:val="22"/>
          <w:szCs w:val="22"/>
          <w:lang w:eastAsia="en-NZ"/>
        </w:rPr>
      </w:pPr>
      <w:hyperlink w:anchor="_Toc89930925" w:history="1">
        <w:r w:rsidR="007C50C8" w:rsidRPr="007D3F13">
          <w:rPr>
            <w:rStyle w:val="Hyperlink"/>
            <w:noProof/>
          </w:rPr>
          <w:t>Data and information accessibility</w:t>
        </w:r>
        <w:r w:rsidR="007C50C8">
          <w:rPr>
            <w:noProof/>
            <w:webHidden/>
          </w:rPr>
          <w:tab/>
        </w:r>
        <w:r w:rsidR="007C50C8">
          <w:rPr>
            <w:noProof/>
            <w:webHidden/>
          </w:rPr>
          <w:fldChar w:fldCharType="begin"/>
        </w:r>
        <w:r w:rsidR="007C50C8">
          <w:rPr>
            <w:noProof/>
            <w:webHidden/>
          </w:rPr>
          <w:instrText xml:space="preserve"> PAGEREF _Toc89930925 \h </w:instrText>
        </w:r>
        <w:r w:rsidR="007C50C8">
          <w:rPr>
            <w:noProof/>
            <w:webHidden/>
          </w:rPr>
        </w:r>
        <w:r w:rsidR="007C50C8">
          <w:rPr>
            <w:noProof/>
            <w:webHidden/>
          </w:rPr>
          <w:fldChar w:fldCharType="separate"/>
        </w:r>
        <w:r w:rsidR="007C50C8">
          <w:rPr>
            <w:noProof/>
            <w:webHidden/>
          </w:rPr>
          <w:t>24</w:t>
        </w:r>
        <w:r w:rsidR="007C50C8">
          <w:rPr>
            <w:noProof/>
            <w:webHidden/>
          </w:rPr>
          <w:fldChar w:fldCharType="end"/>
        </w:r>
      </w:hyperlink>
    </w:p>
    <w:p w14:paraId="79051BE3" w14:textId="21880F7D" w:rsidR="007C50C8" w:rsidRDefault="000C522F">
      <w:pPr>
        <w:pStyle w:val="TOC1"/>
        <w:rPr>
          <w:rFonts w:asciiTheme="minorHAnsi" w:eastAsiaTheme="minorEastAsia" w:hAnsiTheme="minorHAnsi" w:cstheme="minorBidi"/>
          <w:noProof/>
          <w:sz w:val="22"/>
          <w:szCs w:val="22"/>
          <w:lang w:eastAsia="en-NZ"/>
        </w:rPr>
      </w:pPr>
      <w:hyperlink w:anchor="_Toc89930926" w:history="1">
        <w:r w:rsidR="007C50C8" w:rsidRPr="007D3F13">
          <w:rPr>
            <w:rStyle w:val="Hyperlink"/>
            <w:noProof/>
          </w:rPr>
          <w:t>Next steps</w:t>
        </w:r>
        <w:r w:rsidR="007C50C8">
          <w:rPr>
            <w:noProof/>
            <w:webHidden/>
          </w:rPr>
          <w:tab/>
        </w:r>
        <w:r w:rsidR="007C50C8">
          <w:rPr>
            <w:noProof/>
            <w:webHidden/>
          </w:rPr>
          <w:fldChar w:fldCharType="begin"/>
        </w:r>
        <w:r w:rsidR="007C50C8">
          <w:rPr>
            <w:noProof/>
            <w:webHidden/>
          </w:rPr>
          <w:instrText xml:space="preserve"> PAGEREF _Toc89930926 \h </w:instrText>
        </w:r>
        <w:r w:rsidR="007C50C8">
          <w:rPr>
            <w:noProof/>
            <w:webHidden/>
          </w:rPr>
        </w:r>
        <w:r w:rsidR="007C50C8">
          <w:rPr>
            <w:noProof/>
            <w:webHidden/>
          </w:rPr>
          <w:fldChar w:fldCharType="separate"/>
        </w:r>
        <w:r w:rsidR="007C50C8">
          <w:rPr>
            <w:noProof/>
            <w:webHidden/>
          </w:rPr>
          <w:t>26</w:t>
        </w:r>
        <w:r w:rsidR="007C50C8">
          <w:rPr>
            <w:noProof/>
            <w:webHidden/>
          </w:rPr>
          <w:fldChar w:fldCharType="end"/>
        </w:r>
      </w:hyperlink>
    </w:p>
    <w:p w14:paraId="540BD790" w14:textId="3207802F" w:rsidR="007C50C8" w:rsidRDefault="000C522F">
      <w:pPr>
        <w:pStyle w:val="TOC1"/>
        <w:rPr>
          <w:rFonts w:asciiTheme="minorHAnsi" w:eastAsiaTheme="minorEastAsia" w:hAnsiTheme="minorHAnsi" w:cstheme="minorBidi"/>
          <w:noProof/>
          <w:sz w:val="22"/>
          <w:szCs w:val="22"/>
          <w:lang w:eastAsia="en-NZ"/>
        </w:rPr>
      </w:pPr>
      <w:hyperlink w:anchor="_Toc89930927" w:history="1">
        <w:r w:rsidR="007C50C8" w:rsidRPr="007D3F13">
          <w:rPr>
            <w:rStyle w:val="Hyperlink"/>
            <w:noProof/>
          </w:rPr>
          <w:t>References</w:t>
        </w:r>
        <w:r w:rsidR="007C50C8">
          <w:rPr>
            <w:noProof/>
            <w:webHidden/>
          </w:rPr>
          <w:tab/>
        </w:r>
        <w:r w:rsidR="007C50C8">
          <w:rPr>
            <w:noProof/>
            <w:webHidden/>
          </w:rPr>
          <w:fldChar w:fldCharType="begin"/>
        </w:r>
        <w:r w:rsidR="007C50C8">
          <w:rPr>
            <w:noProof/>
            <w:webHidden/>
          </w:rPr>
          <w:instrText xml:space="preserve"> PAGEREF _Toc89930927 \h </w:instrText>
        </w:r>
        <w:r w:rsidR="007C50C8">
          <w:rPr>
            <w:noProof/>
            <w:webHidden/>
          </w:rPr>
        </w:r>
        <w:r w:rsidR="007C50C8">
          <w:rPr>
            <w:noProof/>
            <w:webHidden/>
          </w:rPr>
          <w:fldChar w:fldCharType="separate"/>
        </w:r>
        <w:r w:rsidR="007C50C8">
          <w:rPr>
            <w:noProof/>
            <w:webHidden/>
          </w:rPr>
          <w:t>27</w:t>
        </w:r>
        <w:r w:rsidR="007C50C8">
          <w:rPr>
            <w:noProof/>
            <w:webHidden/>
          </w:rPr>
          <w:fldChar w:fldCharType="end"/>
        </w:r>
      </w:hyperlink>
    </w:p>
    <w:p w14:paraId="65599224" w14:textId="187EAF1C" w:rsidR="007C50C8" w:rsidRDefault="000C522F">
      <w:pPr>
        <w:pStyle w:val="TOC1"/>
        <w:rPr>
          <w:rFonts w:asciiTheme="minorHAnsi" w:eastAsiaTheme="minorEastAsia" w:hAnsiTheme="minorHAnsi" w:cstheme="minorBidi"/>
          <w:noProof/>
          <w:sz w:val="22"/>
          <w:szCs w:val="22"/>
          <w:lang w:eastAsia="en-NZ"/>
        </w:rPr>
      </w:pPr>
      <w:hyperlink w:anchor="_Toc89930928" w:history="1">
        <w:r w:rsidR="007C50C8" w:rsidRPr="007D3F13">
          <w:rPr>
            <w:rStyle w:val="Hyperlink"/>
            <w:noProof/>
          </w:rPr>
          <w:t>Appendix A: Challenges and opportunities</w:t>
        </w:r>
        <w:r w:rsidR="007C50C8">
          <w:rPr>
            <w:noProof/>
            <w:webHidden/>
          </w:rPr>
          <w:tab/>
        </w:r>
        <w:r w:rsidR="007C50C8">
          <w:rPr>
            <w:noProof/>
            <w:webHidden/>
          </w:rPr>
          <w:fldChar w:fldCharType="begin"/>
        </w:r>
        <w:r w:rsidR="007C50C8">
          <w:rPr>
            <w:noProof/>
            <w:webHidden/>
          </w:rPr>
          <w:instrText xml:space="preserve"> PAGEREF _Toc89930928 \h </w:instrText>
        </w:r>
        <w:r w:rsidR="007C50C8">
          <w:rPr>
            <w:noProof/>
            <w:webHidden/>
          </w:rPr>
        </w:r>
        <w:r w:rsidR="007C50C8">
          <w:rPr>
            <w:noProof/>
            <w:webHidden/>
          </w:rPr>
          <w:fldChar w:fldCharType="separate"/>
        </w:r>
        <w:r w:rsidR="007C50C8">
          <w:rPr>
            <w:noProof/>
            <w:webHidden/>
          </w:rPr>
          <w:t>29</w:t>
        </w:r>
        <w:r w:rsidR="007C50C8">
          <w:rPr>
            <w:noProof/>
            <w:webHidden/>
          </w:rPr>
          <w:fldChar w:fldCharType="end"/>
        </w:r>
      </w:hyperlink>
    </w:p>
    <w:p w14:paraId="0075D750" w14:textId="38485F52" w:rsidR="00C86248" w:rsidRDefault="007C50C8">
      <w:r>
        <w:rPr>
          <w:rFonts w:ascii="Segoe UI Semibold" w:hAnsi="Segoe UI Semibold"/>
          <w:b/>
          <w:sz w:val="24"/>
        </w:rPr>
        <w:fldChar w:fldCharType="end"/>
      </w:r>
    </w:p>
    <w:p w14:paraId="0075D751" w14:textId="77777777" w:rsidR="00FB0A5B" w:rsidRDefault="00FB0A5B" w:rsidP="003A5FEA"/>
    <w:p w14:paraId="0075D752" w14:textId="77777777" w:rsidR="001D3E4E" w:rsidRDefault="001D3E4E" w:rsidP="003A5FEA">
      <w:pPr>
        <w:sectPr w:rsidR="001D3E4E"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0075D753" w14:textId="77777777" w:rsidR="00A073CF" w:rsidRDefault="00A073CF" w:rsidP="00A073CF"/>
    <w:p w14:paraId="0075D754" w14:textId="77777777" w:rsidR="00A073CF" w:rsidRPr="00A073CF" w:rsidRDefault="00A073CF" w:rsidP="00A073CF">
      <w:pPr>
        <w:sectPr w:rsidR="00A073CF" w:rsidRPr="00A073CF" w:rsidSect="00925892">
          <w:footerReference w:type="even" r:id="rId23"/>
          <w:pgSz w:w="11907" w:h="16840" w:code="9"/>
          <w:pgMar w:top="1418" w:right="1701" w:bottom="1134" w:left="1843" w:header="284" w:footer="425" w:gutter="284"/>
          <w:pgNumType w:fmt="lowerRoman"/>
          <w:cols w:space="720"/>
        </w:sectPr>
      </w:pPr>
    </w:p>
    <w:p w14:paraId="0075D755" w14:textId="77777777" w:rsidR="006E2886" w:rsidRDefault="00DA7F9E" w:rsidP="00F54E74">
      <w:pPr>
        <w:pStyle w:val="Heading1"/>
      </w:pPr>
      <w:bookmarkStart w:id="6" w:name="_Toc89930908"/>
      <w:r>
        <w:lastRenderedPageBreak/>
        <w:t>Executive summary</w:t>
      </w:r>
      <w:bookmarkEnd w:id="6"/>
    </w:p>
    <w:p w14:paraId="0075D756" w14:textId="77777777" w:rsidR="003308C3" w:rsidRDefault="003308C3" w:rsidP="00430EC3">
      <w:pPr>
        <w:pStyle w:val="Introductoryparagraph"/>
      </w:pPr>
      <w:r>
        <w:t xml:space="preserve">If we want a connected, equitable and sustainable health system that actively supports good health outcomes for all New Zealanders, we need to improve the way we collect, manage, </w:t>
      </w:r>
      <w:proofErr w:type="gramStart"/>
      <w:r>
        <w:t>use</w:t>
      </w:r>
      <w:proofErr w:type="gramEnd"/>
      <w:r>
        <w:t xml:space="preserve"> and share data and information. Ensuring people have access to and control of their own health information is essential, as well as making sure quality data is available for evidence-based decision-making. Data and information need to flow to the right parts of the health system, and to other sectors which influence and/or enable health and wellbeing.</w:t>
      </w:r>
    </w:p>
    <w:p w14:paraId="0075D757" w14:textId="77777777" w:rsidR="003308C3" w:rsidRDefault="003308C3" w:rsidP="00EE5075">
      <w:r>
        <w:t>This strategy describes the improvements we need to make to support better data</w:t>
      </w:r>
      <w:r w:rsidR="00EE5075">
        <w:t xml:space="preserve"> </w:t>
      </w:r>
      <w:r>
        <w:t xml:space="preserve">management, </w:t>
      </w:r>
      <w:proofErr w:type="gramStart"/>
      <w:r>
        <w:t>governance</w:t>
      </w:r>
      <w:proofErr w:type="gramEnd"/>
      <w:r>
        <w:t xml:space="preserve"> and transparency. While this guidance is primarily for the health and disability sector, we intend for it to be of value to other sectors, social services, agencies, private </w:t>
      </w:r>
      <w:proofErr w:type="gramStart"/>
      <w:r>
        <w:t>providers</w:t>
      </w:r>
      <w:proofErr w:type="gramEnd"/>
      <w:r>
        <w:t xml:space="preserve"> and industries using health and disability data in New Zealand. The strategy should be read in conjunction with the accompanying roadmap.</w:t>
      </w:r>
    </w:p>
    <w:p w14:paraId="0075D758" w14:textId="77777777" w:rsidR="00EE5075" w:rsidRDefault="00EE5075" w:rsidP="00EE5075"/>
    <w:p w14:paraId="0075D759" w14:textId="77777777" w:rsidR="003308C3" w:rsidRDefault="003308C3" w:rsidP="00EE5075">
      <w:r>
        <w:t xml:space="preserve">The health sector is skilled at collecting vast amounts of </w:t>
      </w:r>
      <w:proofErr w:type="gramStart"/>
      <w:r>
        <w:t>data, but</w:t>
      </w:r>
      <w:proofErr w:type="gramEnd"/>
      <w:r>
        <w:t xml:space="preserve"> has struggled to convert this data into rich contextual information and</w:t>
      </w:r>
      <w:r w:rsidR="00EE5075">
        <w:t xml:space="preserve"> </w:t>
      </w:r>
      <w:r>
        <w:t>useful insights. The transition from paper-based systems to digital health records has been slow, and most patient information collected cannot be easily accessed or shared across the system. Investment in digital technology has been ad hoc, and the sector as a whole is grappling with aging infrastructure.</w:t>
      </w:r>
    </w:p>
    <w:p w14:paraId="0075D75A" w14:textId="77777777" w:rsidR="00EE5075" w:rsidRDefault="00EE5075" w:rsidP="00EE5075"/>
    <w:p w14:paraId="0075D75B" w14:textId="77777777" w:rsidR="003308C3" w:rsidRDefault="003308C3" w:rsidP="00EE5075">
      <w:r>
        <w:t>At the same time, there are a number of significant drivers for change. These include obligations on the sector to address issues of equitable access and health outcomes and to act in accordance with the principles of</w:t>
      </w:r>
      <w:r w:rsidR="00EE5075">
        <w:t xml:space="preserve"> </w:t>
      </w:r>
      <w:proofErr w:type="spellStart"/>
      <w:r>
        <w:t>Te</w:t>
      </w:r>
      <w:proofErr w:type="spellEnd"/>
      <w:r>
        <w:t xml:space="preserve"> </w:t>
      </w:r>
      <w:proofErr w:type="spellStart"/>
      <w:r>
        <w:t>Tiriti</w:t>
      </w:r>
      <w:proofErr w:type="spellEnd"/>
      <w:r>
        <w:t xml:space="preserve"> o Waitangi, increasing expectations of consumer participation, and new and emerging technologies. The Ministry of Health is collaborating with a wide range of sector</w:t>
      </w:r>
      <w:r w:rsidR="00EE5075">
        <w:t xml:space="preserve"> </w:t>
      </w:r>
      <w:r>
        <w:t>organisations and industry partners to develop systems capable of responding to these drivers. In addition, the Government has announced structural changes for the sector that will also provide opportunities for improvement. Access to data to inform decision-making is going to be critical to realising the benefits of these changes.</w:t>
      </w:r>
    </w:p>
    <w:p w14:paraId="0075D75C" w14:textId="77777777" w:rsidR="00EE5075" w:rsidRDefault="00EE5075" w:rsidP="00EE5075"/>
    <w:p w14:paraId="0075D75D" w14:textId="77777777" w:rsidR="002B7BEC" w:rsidRDefault="003308C3" w:rsidP="00EE5075">
      <w:r>
        <w:t>Consultation across the sector (and beyond) during our development of this strategy identified the following areas in which we need to focus</w:t>
      </w:r>
      <w:r w:rsidR="00EE5075">
        <w:t xml:space="preserve"> </w:t>
      </w:r>
      <w:r>
        <w:t>our effort: data foundations, equity and data sovereignty, consumer participation, people and leadership, and data accessibility.</w:t>
      </w:r>
    </w:p>
    <w:p w14:paraId="0075D75E" w14:textId="77777777" w:rsidR="003308C3" w:rsidRDefault="003308C3" w:rsidP="00EE5075"/>
    <w:p w14:paraId="0075D75F" w14:textId="77777777" w:rsidR="000B2FFC" w:rsidRDefault="003308C3" w:rsidP="000B2FFC">
      <w:pPr>
        <w:pStyle w:val="Heading3"/>
      </w:pPr>
      <w:r w:rsidRPr="005B721C">
        <w:lastRenderedPageBreak/>
        <w:t>Data foundations</w:t>
      </w:r>
    </w:p>
    <w:p w14:paraId="0075D760" w14:textId="77777777" w:rsidR="003308C3" w:rsidRPr="005B721C" w:rsidRDefault="000B2FFC" w:rsidP="005B721C">
      <w:pPr>
        <w:keepNext/>
      </w:pPr>
      <w:r>
        <w:t>S</w:t>
      </w:r>
      <w:r w:rsidR="003308C3" w:rsidRPr="005B721C">
        <w:t>takeholders raised data quality as an issue requiring immediate action. Stakeholders saw</w:t>
      </w:r>
      <w:r w:rsidR="00EE5075" w:rsidRPr="005B721C">
        <w:t xml:space="preserve"> </w:t>
      </w:r>
      <w:r w:rsidR="003308C3" w:rsidRPr="005B721C">
        <w:t>a need for implementation of data standards within the sector and greater investment in data governance, data infrastructure and management practices.</w:t>
      </w:r>
    </w:p>
    <w:p w14:paraId="0075D761" w14:textId="77777777" w:rsidR="005B721C" w:rsidRPr="005B721C" w:rsidRDefault="005B721C" w:rsidP="005B721C">
      <w:pPr>
        <w:keepNext/>
      </w:pPr>
    </w:p>
    <w:p w14:paraId="0075D762" w14:textId="77777777" w:rsidR="003308C3" w:rsidRPr="005B721C" w:rsidRDefault="003308C3" w:rsidP="005B721C">
      <w:pPr>
        <w:keepNext/>
      </w:pPr>
      <w:r w:rsidRPr="005B721C">
        <w:t>Proposed actions include:</w:t>
      </w:r>
    </w:p>
    <w:p w14:paraId="0075D763" w14:textId="77777777" w:rsidR="003308C3" w:rsidRPr="005B721C" w:rsidRDefault="003308C3" w:rsidP="005B721C">
      <w:pPr>
        <w:pStyle w:val="Bullet"/>
      </w:pPr>
      <w:r w:rsidRPr="005B721C">
        <w:rPr>
          <w:sz w:val="20"/>
        </w:rPr>
        <w:t>establishing a national health data and information function to oversee</w:t>
      </w:r>
      <w:r w:rsidR="005B721C" w:rsidRPr="005B721C">
        <w:rPr>
          <w:sz w:val="20"/>
        </w:rPr>
        <w:t xml:space="preserve"> </w:t>
      </w:r>
      <w:r w:rsidRPr="005B721C">
        <w:t>implementation of the strategy and roadmap</w:t>
      </w:r>
    </w:p>
    <w:p w14:paraId="0075D764" w14:textId="77777777" w:rsidR="003308C3" w:rsidRPr="005B721C" w:rsidRDefault="003308C3" w:rsidP="005B721C">
      <w:pPr>
        <w:pStyle w:val="Bullet"/>
        <w:rPr>
          <w:sz w:val="20"/>
        </w:rPr>
      </w:pPr>
      <w:r w:rsidRPr="005B721C">
        <w:rPr>
          <w:sz w:val="20"/>
        </w:rPr>
        <w:t xml:space="preserve">establishing a national terminology service and requiring use of Health Information Standards Organisation (HISO) standards and other health information, </w:t>
      </w:r>
      <w:proofErr w:type="gramStart"/>
      <w:r w:rsidRPr="005B721C">
        <w:rPr>
          <w:sz w:val="20"/>
        </w:rPr>
        <w:t>data</w:t>
      </w:r>
      <w:proofErr w:type="gramEnd"/>
      <w:r w:rsidRPr="005B721C">
        <w:rPr>
          <w:sz w:val="20"/>
        </w:rPr>
        <w:t xml:space="preserve"> and interoperability standards</w:t>
      </w:r>
    </w:p>
    <w:p w14:paraId="0075D765" w14:textId="77777777" w:rsidR="003308C3" w:rsidRPr="005B721C" w:rsidRDefault="003308C3" w:rsidP="005B721C">
      <w:pPr>
        <w:pStyle w:val="Bullet"/>
        <w:rPr>
          <w:sz w:val="20"/>
        </w:rPr>
      </w:pPr>
      <w:r w:rsidRPr="005B721C">
        <w:rPr>
          <w:sz w:val="20"/>
        </w:rPr>
        <w:t xml:space="preserve">developing a national catalogue of health data compliant devices, </w:t>
      </w:r>
      <w:proofErr w:type="gramStart"/>
      <w:r w:rsidRPr="005B721C">
        <w:rPr>
          <w:sz w:val="20"/>
        </w:rPr>
        <w:t>tools</w:t>
      </w:r>
      <w:proofErr w:type="gramEnd"/>
      <w:r w:rsidRPr="005B721C">
        <w:rPr>
          <w:sz w:val="20"/>
        </w:rPr>
        <w:t xml:space="preserve"> and technology</w:t>
      </w:r>
    </w:p>
    <w:p w14:paraId="0075D766" w14:textId="77777777" w:rsidR="003308C3" w:rsidRPr="005B721C" w:rsidRDefault="003308C3" w:rsidP="005B721C">
      <w:pPr>
        <w:pStyle w:val="Bullet"/>
        <w:rPr>
          <w:sz w:val="20"/>
        </w:rPr>
      </w:pPr>
      <w:r w:rsidRPr="005B721C">
        <w:rPr>
          <w:sz w:val="20"/>
        </w:rPr>
        <w:t>migrating national data collections to a new cloud platform designed for data science.</w:t>
      </w:r>
    </w:p>
    <w:p w14:paraId="0075D767" w14:textId="77777777" w:rsidR="005B721C" w:rsidRPr="005B721C" w:rsidRDefault="005B721C" w:rsidP="005B721C"/>
    <w:p w14:paraId="0075D768" w14:textId="77777777" w:rsidR="000B2FFC" w:rsidRDefault="003308C3" w:rsidP="000B2FFC">
      <w:pPr>
        <w:pStyle w:val="Heading3"/>
      </w:pPr>
      <w:r w:rsidRPr="005B721C">
        <w:t>Equity and data sovereignty</w:t>
      </w:r>
    </w:p>
    <w:p w14:paraId="0075D769" w14:textId="77777777" w:rsidR="003308C3" w:rsidRPr="005B721C" w:rsidRDefault="000B2FFC" w:rsidP="005B721C">
      <w:r>
        <w:t>R</w:t>
      </w:r>
      <w:r w:rsidR="003308C3" w:rsidRPr="005B721C">
        <w:t>obust and consistent data standards, collection methods, data quality and governance</w:t>
      </w:r>
      <w:r w:rsidR="005B721C" w:rsidRPr="005B721C">
        <w:t xml:space="preserve"> </w:t>
      </w:r>
      <w:r w:rsidR="003308C3" w:rsidRPr="005B721C">
        <w:t>will help address disparities in health outcomes, such as those between Māori and non-Māori.</w:t>
      </w:r>
    </w:p>
    <w:p w14:paraId="0075D76A" w14:textId="77777777" w:rsidR="005B721C" w:rsidRPr="005B721C" w:rsidRDefault="005B721C" w:rsidP="005B721C"/>
    <w:p w14:paraId="0075D76B" w14:textId="77777777" w:rsidR="003308C3" w:rsidRPr="005B721C" w:rsidRDefault="003308C3" w:rsidP="005B721C">
      <w:r w:rsidRPr="005B721C">
        <w:t>Proposed actions include:</w:t>
      </w:r>
    </w:p>
    <w:p w14:paraId="0075D76C" w14:textId="77777777" w:rsidR="003308C3" w:rsidRPr="005B721C" w:rsidRDefault="003308C3" w:rsidP="005B721C">
      <w:pPr>
        <w:pStyle w:val="Bullet"/>
      </w:pPr>
      <w:r w:rsidRPr="005B721C">
        <w:t>establishing a national health data sovereignty engagement framework and a wānanga to define a data and information approach that works for Māori</w:t>
      </w:r>
    </w:p>
    <w:p w14:paraId="0075D76D" w14:textId="77777777" w:rsidR="003308C3" w:rsidRPr="005B721C" w:rsidRDefault="003308C3" w:rsidP="005B721C">
      <w:pPr>
        <w:pStyle w:val="Bullet"/>
      </w:pPr>
      <w:r w:rsidRPr="005B721C">
        <w:t>developing equity measures for data standards</w:t>
      </w:r>
    </w:p>
    <w:p w14:paraId="0075D76E" w14:textId="77777777" w:rsidR="003308C3" w:rsidRPr="005B721C" w:rsidRDefault="003308C3" w:rsidP="005B721C">
      <w:pPr>
        <w:pStyle w:val="Bullet"/>
      </w:pPr>
      <w:r w:rsidRPr="005B721C">
        <w:t>developing resources and training to help address data bias.</w:t>
      </w:r>
    </w:p>
    <w:p w14:paraId="0075D76F" w14:textId="77777777" w:rsidR="005B721C" w:rsidRPr="005B721C" w:rsidRDefault="005B721C" w:rsidP="005B721C"/>
    <w:p w14:paraId="0075D770" w14:textId="77777777" w:rsidR="000B2FFC" w:rsidRDefault="003308C3" w:rsidP="000B2FFC">
      <w:pPr>
        <w:pStyle w:val="Heading3"/>
      </w:pPr>
      <w:r w:rsidRPr="005B721C">
        <w:t>Consumer participation</w:t>
      </w:r>
    </w:p>
    <w:p w14:paraId="0075D771" w14:textId="77777777" w:rsidR="003308C3" w:rsidRPr="00EE5075" w:rsidRDefault="000B2FFC" w:rsidP="005B721C">
      <w:r>
        <w:t>C</w:t>
      </w:r>
      <w:r w:rsidR="003308C3" w:rsidRPr="005B721C">
        <w:t xml:space="preserve">onsumer representation </w:t>
      </w:r>
      <w:r w:rsidR="003308C3" w:rsidRPr="00EE5075">
        <w:t>in data governance is fundamental to ensuring that we make people-centred decisions.</w:t>
      </w:r>
    </w:p>
    <w:p w14:paraId="0075D772" w14:textId="77777777" w:rsidR="005B721C" w:rsidRDefault="005B721C" w:rsidP="005B721C"/>
    <w:p w14:paraId="0075D773" w14:textId="77777777" w:rsidR="003308C3" w:rsidRPr="00EE5075" w:rsidRDefault="003308C3" w:rsidP="005B721C">
      <w:r w:rsidRPr="00EE5075">
        <w:t>Proposed actions include:</w:t>
      </w:r>
    </w:p>
    <w:p w14:paraId="0075D774" w14:textId="77777777" w:rsidR="003308C3" w:rsidRPr="00EE5075" w:rsidRDefault="003308C3" w:rsidP="005B721C">
      <w:pPr>
        <w:pStyle w:val="Bullet"/>
      </w:pPr>
      <w:r w:rsidRPr="00EE5075">
        <w:t>providing a national health and disability data and information service to provide transparency for consumers in terms of the use and management of health data</w:t>
      </w:r>
    </w:p>
    <w:p w14:paraId="0075D775" w14:textId="77777777" w:rsidR="003308C3" w:rsidRPr="00EE5075" w:rsidRDefault="003308C3" w:rsidP="005B721C">
      <w:pPr>
        <w:pStyle w:val="Bullet"/>
      </w:pPr>
      <w:r w:rsidRPr="00EE5075">
        <w:t>creating a way for consumers to manage authorisation of access to their health data</w:t>
      </w:r>
    </w:p>
    <w:p w14:paraId="0075D776" w14:textId="77777777" w:rsidR="003308C3" w:rsidRPr="00EE5075" w:rsidRDefault="003308C3" w:rsidP="003308C3">
      <w:pPr>
        <w:numPr>
          <w:ilvl w:val="0"/>
          <w:numId w:val="43"/>
        </w:numPr>
        <w:tabs>
          <w:tab w:val="left" w:pos="553"/>
        </w:tabs>
        <w:spacing w:before="111" w:line="288" w:lineRule="auto"/>
        <w:ind w:right="1037"/>
        <w:rPr>
          <w:sz w:val="20"/>
        </w:rPr>
      </w:pPr>
      <w:r w:rsidRPr="00EE5075">
        <w:rPr>
          <w:color w:val="231F20"/>
          <w:sz w:val="20"/>
        </w:rPr>
        <w:t>encouraging greater consumer participation in data governance</w:t>
      </w:r>
    </w:p>
    <w:p w14:paraId="0075D777" w14:textId="77777777" w:rsidR="003308C3" w:rsidRPr="00EE5075" w:rsidRDefault="003308C3" w:rsidP="003308C3">
      <w:pPr>
        <w:numPr>
          <w:ilvl w:val="0"/>
          <w:numId w:val="43"/>
        </w:numPr>
        <w:tabs>
          <w:tab w:val="left" w:pos="553"/>
        </w:tabs>
        <w:spacing w:line="288" w:lineRule="auto"/>
        <w:ind w:right="863"/>
        <w:rPr>
          <w:sz w:val="20"/>
        </w:rPr>
      </w:pPr>
      <w:r w:rsidRPr="00EE5075">
        <w:rPr>
          <w:color w:val="231F20"/>
          <w:sz w:val="20"/>
        </w:rPr>
        <w:t>establishing a health consumer data right to provide clarity on issues such as data ownership</w:t>
      </w:r>
    </w:p>
    <w:p w14:paraId="0075D778" w14:textId="77777777" w:rsidR="003308C3" w:rsidRPr="000B2FFC" w:rsidRDefault="003308C3" w:rsidP="003308C3">
      <w:pPr>
        <w:numPr>
          <w:ilvl w:val="0"/>
          <w:numId w:val="43"/>
        </w:numPr>
        <w:tabs>
          <w:tab w:val="left" w:pos="553"/>
        </w:tabs>
        <w:spacing w:before="111" w:line="288" w:lineRule="auto"/>
        <w:ind w:right="1005"/>
        <w:jc w:val="both"/>
        <w:rPr>
          <w:sz w:val="20"/>
        </w:rPr>
      </w:pPr>
      <w:r w:rsidRPr="00EE5075">
        <w:rPr>
          <w:color w:val="231F20"/>
          <w:sz w:val="20"/>
        </w:rPr>
        <w:t>ensuring that health information in electronic systems is available to consumers easily and free of charge.</w:t>
      </w:r>
    </w:p>
    <w:p w14:paraId="0075D779" w14:textId="77777777" w:rsidR="000B2FFC" w:rsidRPr="00EE5075" w:rsidRDefault="000B2FFC" w:rsidP="000B2FFC"/>
    <w:p w14:paraId="0075D77A" w14:textId="77777777" w:rsidR="000B2FFC" w:rsidRDefault="003308C3" w:rsidP="000B2FFC">
      <w:pPr>
        <w:pStyle w:val="Heading3"/>
      </w:pPr>
      <w:r w:rsidRPr="00EE5075">
        <w:lastRenderedPageBreak/>
        <w:t>People and leadership</w:t>
      </w:r>
    </w:p>
    <w:p w14:paraId="0075D77B" w14:textId="77777777" w:rsidR="003308C3" w:rsidRPr="00EE5075" w:rsidRDefault="000B2FFC" w:rsidP="000B2FFC">
      <w:r>
        <w:rPr>
          <w:sz w:val="20"/>
        </w:rPr>
        <w:t>T</w:t>
      </w:r>
      <w:r w:rsidR="003308C3" w:rsidRPr="00EE5075">
        <w:rPr>
          <w:sz w:val="20"/>
        </w:rPr>
        <w:t>he health and disability sector requires a health</w:t>
      </w:r>
      <w:r>
        <w:rPr>
          <w:sz w:val="20"/>
        </w:rPr>
        <w:t xml:space="preserve"> </w:t>
      </w:r>
      <w:r w:rsidR="003308C3" w:rsidRPr="00EE5075">
        <w:t xml:space="preserve">workforce skilled in data governance and use. We need to invest in building the sector’s data literacy, </w:t>
      </w:r>
      <w:proofErr w:type="gramStart"/>
      <w:r w:rsidR="003308C3" w:rsidRPr="00EE5075">
        <w:t>governance</w:t>
      </w:r>
      <w:proofErr w:type="gramEnd"/>
      <w:r w:rsidR="003308C3" w:rsidRPr="00EE5075">
        <w:t xml:space="preserve"> and data capabilities.</w:t>
      </w:r>
    </w:p>
    <w:p w14:paraId="0075D77C" w14:textId="77777777" w:rsidR="000B2FFC" w:rsidRDefault="000B2FFC" w:rsidP="000B2FFC"/>
    <w:p w14:paraId="0075D77D" w14:textId="77777777" w:rsidR="003308C3" w:rsidRPr="00EE5075" w:rsidRDefault="003308C3" w:rsidP="000B2FFC">
      <w:r w:rsidRPr="00EE5075">
        <w:t>Proposed actions include:</w:t>
      </w:r>
    </w:p>
    <w:p w14:paraId="0075D77E" w14:textId="77777777" w:rsidR="003308C3" w:rsidRPr="00EE5075" w:rsidRDefault="003308C3" w:rsidP="000B2FFC">
      <w:pPr>
        <w:pStyle w:val="Bullet"/>
      </w:pPr>
      <w:r w:rsidRPr="00EE5075">
        <w:t>developing training and resources to improve data literacy in the health and disability workforce</w:t>
      </w:r>
    </w:p>
    <w:p w14:paraId="0075D77F" w14:textId="77777777" w:rsidR="003308C3" w:rsidRPr="00EE5075" w:rsidRDefault="003308C3" w:rsidP="000B2FFC">
      <w:pPr>
        <w:pStyle w:val="Bullet"/>
      </w:pPr>
      <w:r w:rsidRPr="00EE5075">
        <w:t>encouraging greater sector investment in dedicated data roles</w:t>
      </w:r>
    </w:p>
    <w:p w14:paraId="0075D780" w14:textId="77777777" w:rsidR="003308C3" w:rsidRDefault="003308C3" w:rsidP="000B2FFC">
      <w:pPr>
        <w:pStyle w:val="Bullet"/>
      </w:pPr>
      <w:r w:rsidRPr="00EE5075">
        <w:t>establishing national and local health data governance councils, to partner with Māori and consumers, and to be representatives of local communities.</w:t>
      </w:r>
    </w:p>
    <w:p w14:paraId="0075D781" w14:textId="77777777" w:rsidR="000B2FFC" w:rsidRPr="00EE5075" w:rsidRDefault="000B2FFC" w:rsidP="000B2FFC"/>
    <w:p w14:paraId="0075D782" w14:textId="77777777" w:rsidR="000B2FFC" w:rsidRDefault="003308C3" w:rsidP="000B2FFC">
      <w:pPr>
        <w:pStyle w:val="Heading3"/>
      </w:pPr>
      <w:r w:rsidRPr="00EE5075">
        <w:t>Data accessibility</w:t>
      </w:r>
    </w:p>
    <w:p w14:paraId="0075D783" w14:textId="77777777" w:rsidR="003308C3" w:rsidRPr="00EE5075" w:rsidRDefault="000B2FFC" w:rsidP="000B2FFC">
      <w:r>
        <w:t>W</w:t>
      </w:r>
      <w:r w:rsidR="003308C3" w:rsidRPr="00EE5075">
        <w:t>e need to improve our ability to share health data within the sector and with others as appropriate</w:t>
      </w:r>
      <w:r>
        <w:t xml:space="preserve"> </w:t>
      </w:r>
      <w:r w:rsidR="003308C3" w:rsidRPr="00EE5075">
        <w:t xml:space="preserve">(for example, with iwi and </w:t>
      </w:r>
      <w:proofErr w:type="spellStart"/>
      <w:r w:rsidR="003308C3" w:rsidRPr="00EE5075">
        <w:t>hapū</w:t>
      </w:r>
      <w:proofErr w:type="spellEnd"/>
      <w:r w:rsidR="003308C3" w:rsidRPr="00EE5075">
        <w:t>, with private providers or with social services).</w:t>
      </w:r>
    </w:p>
    <w:p w14:paraId="0075D784" w14:textId="77777777" w:rsidR="000B2FFC" w:rsidRDefault="000B2FFC" w:rsidP="000B2FFC"/>
    <w:p w14:paraId="0075D785" w14:textId="77777777" w:rsidR="003308C3" w:rsidRPr="00EE5075" w:rsidRDefault="003308C3" w:rsidP="000B2FFC">
      <w:r w:rsidRPr="00EE5075">
        <w:t>Proposed actions include:</w:t>
      </w:r>
    </w:p>
    <w:p w14:paraId="0075D786" w14:textId="77777777" w:rsidR="003308C3" w:rsidRPr="00EE5075" w:rsidRDefault="003308C3" w:rsidP="000B2FFC">
      <w:pPr>
        <w:pStyle w:val="Bullet"/>
      </w:pPr>
      <w:r w:rsidRPr="00EE5075">
        <w:t>ensuring a national terminology service is integrated with the sector’s new applications and platforms</w:t>
      </w:r>
    </w:p>
    <w:p w14:paraId="0075D787" w14:textId="77777777" w:rsidR="003308C3" w:rsidRPr="00EE5075" w:rsidRDefault="003308C3" w:rsidP="000B2FFC">
      <w:pPr>
        <w:pStyle w:val="Bullet"/>
      </w:pPr>
      <w:r w:rsidRPr="00EE5075">
        <w:t>developing a health data sharing and accessibility framework.</w:t>
      </w:r>
    </w:p>
    <w:p w14:paraId="0075D788" w14:textId="77777777" w:rsidR="000B2FFC" w:rsidRDefault="000B2FFC" w:rsidP="000B2FFC"/>
    <w:p w14:paraId="0075D789" w14:textId="77777777" w:rsidR="003308C3" w:rsidRPr="00EE5075" w:rsidRDefault="003308C3" w:rsidP="000B2FFC">
      <w:r w:rsidRPr="00EE5075">
        <w:t>The roadmap accompanying this strategy outlines our next steps and timeframes.</w:t>
      </w:r>
    </w:p>
    <w:p w14:paraId="0075D78A" w14:textId="77777777" w:rsidR="00F16595" w:rsidRPr="00EE5075" w:rsidRDefault="00F16595" w:rsidP="002B7BEC"/>
    <w:p w14:paraId="0075D78B" w14:textId="77777777" w:rsidR="003308C3" w:rsidRPr="00EE5075" w:rsidRDefault="003308C3" w:rsidP="003308C3">
      <w:pPr>
        <w:pStyle w:val="Heading1"/>
        <w:rPr>
          <w:spacing w:val="0"/>
        </w:rPr>
      </w:pPr>
      <w:bookmarkStart w:id="7" w:name="_Toc89693365"/>
      <w:bookmarkStart w:id="8" w:name="_Toc89930909"/>
      <w:r w:rsidRPr="00EE5075">
        <w:rPr>
          <w:spacing w:val="0"/>
        </w:rPr>
        <w:lastRenderedPageBreak/>
        <w:t xml:space="preserve">He </w:t>
      </w:r>
      <w:proofErr w:type="spellStart"/>
      <w:r w:rsidRPr="00EE5075">
        <w:rPr>
          <w:spacing w:val="0"/>
        </w:rPr>
        <w:t>whakarāpopototanga</w:t>
      </w:r>
      <w:bookmarkEnd w:id="7"/>
      <w:bookmarkEnd w:id="8"/>
      <w:proofErr w:type="spellEnd"/>
    </w:p>
    <w:p w14:paraId="0075D78C" w14:textId="77777777" w:rsidR="003308C3" w:rsidRPr="00EE5075" w:rsidRDefault="003308C3" w:rsidP="00411495">
      <w:pPr>
        <w:pStyle w:val="Introductoryparagraph"/>
      </w:pPr>
      <w:r w:rsidRPr="00EE5075">
        <w:t xml:space="preserve">Ki </w:t>
      </w:r>
      <w:proofErr w:type="spellStart"/>
      <w:r w:rsidRPr="00EE5075">
        <w:t>te</w:t>
      </w:r>
      <w:proofErr w:type="spellEnd"/>
      <w:r w:rsidRPr="00EE5075">
        <w:t xml:space="preserve"> </w:t>
      </w:r>
      <w:proofErr w:type="spellStart"/>
      <w:r w:rsidRPr="00EE5075">
        <w:t>hiahia</w:t>
      </w:r>
      <w:proofErr w:type="spellEnd"/>
      <w:r w:rsidRPr="00EE5075">
        <w:t xml:space="preserve"> </w:t>
      </w:r>
      <w:proofErr w:type="spellStart"/>
      <w:r w:rsidRPr="00EE5075">
        <w:t>tātou</w:t>
      </w:r>
      <w:proofErr w:type="spellEnd"/>
      <w:r w:rsidRPr="00EE5075">
        <w:t xml:space="preserve"> </w:t>
      </w:r>
      <w:proofErr w:type="spellStart"/>
      <w:r w:rsidRPr="00EE5075">
        <w:t>ki</w:t>
      </w:r>
      <w:proofErr w:type="spellEnd"/>
      <w:r w:rsidRPr="00EE5075">
        <w:t xml:space="preserve"> </w:t>
      </w:r>
      <w:proofErr w:type="spellStart"/>
      <w:r w:rsidRPr="00EE5075">
        <w:t>tētahi</w:t>
      </w:r>
      <w:proofErr w:type="spellEnd"/>
      <w:r w:rsidRPr="00EE5075">
        <w:t xml:space="preserve"> </w:t>
      </w:r>
      <w:proofErr w:type="spellStart"/>
      <w:r w:rsidRPr="00EE5075">
        <w:t>pūnaha</w:t>
      </w:r>
      <w:proofErr w:type="spellEnd"/>
      <w:r w:rsidRPr="00EE5075">
        <w:t xml:space="preserve"> </w:t>
      </w:r>
      <w:proofErr w:type="spellStart"/>
      <w:r w:rsidRPr="00EE5075">
        <w:t>hauora</w:t>
      </w:r>
      <w:proofErr w:type="spellEnd"/>
      <w:r w:rsidRPr="00EE5075">
        <w:t xml:space="preserve"> </w:t>
      </w:r>
      <w:proofErr w:type="spellStart"/>
      <w:r w:rsidRPr="00EE5075">
        <w:t>tūhono</w:t>
      </w:r>
      <w:proofErr w:type="spellEnd"/>
      <w:r w:rsidRPr="00EE5075">
        <w:t xml:space="preserve">, </w:t>
      </w:r>
      <w:proofErr w:type="spellStart"/>
      <w:r w:rsidRPr="00EE5075">
        <w:t>tōkeke</w:t>
      </w:r>
      <w:proofErr w:type="spellEnd"/>
      <w:r w:rsidRPr="00EE5075">
        <w:t xml:space="preserve">, </w:t>
      </w:r>
      <w:proofErr w:type="spellStart"/>
      <w:r w:rsidRPr="00EE5075">
        <w:t>toitū</w:t>
      </w:r>
      <w:proofErr w:type="spellEnd"/>
      <w:r w:rsidRPr="00EE5075">
        <w:t xml:space="preserve"> </w:t>
      </w:r>
      <w:proofErr w:type="spellStart"/>
      <w:r w:rsidRPr="00EE5075">
        <w:t>hoki</w:t>
      </w:r>
      <w:proofErr w:type="spellEnd"/>
      <w:r w:rsidRPr="00EE5075">
        <w:t xml:space="preserve"> e </w:t>
      </w:r>
      <w:proofErr w:type="spellStart"/>
      <w:r w:rsidRPr="00EE5075">
        <w:t>āta</w:t>
      </w:r>
      <w:proofErr w:type="spellEnd"/>
      <w:r w:rsidRPr="00EE5075">
        <w:t xml:space="preserve"> </w:t>
      </w:r>
      <w:proofErr w:type="spellStart"/>
      <w:r w:rsidRPr="00EE5075">
        <w:t>whai</w:t>
      </w:r>
      <w:proofErr w:type="spellEnd"/>
      <w:r w:rsidRPr="00EE5075">
        <w:t xml:space="preserve"> ana kia </w:t>
      </w:r>
      <w:proofErr w:type="spellStart"/>
      <w:r w:rsidRPr="00EE5075">
        <w:t>hua</w:t>
      </w:r>
      <w:proofErr w:type="spellEnd"/>
      <w:r w:rsidRPr="00EE5075">
        <w:t xml:space="preserve"> </w:t>
      </w:r>
      <w:proofErr w:type="spellStart"/>
      <w:r w:rsidRPr="00EE5075">
        <w:t>ake</w:t>
      </w:r>
      <w:proofErr w:type="spellEnd"/>
      <w:r w:rsidRPr="00EE5075">
        <w:t xml:space="preserve"> </w:t>
      </w:r>
      <w:proofErr w:type="spellStart"/>
      <w:r w:rsidRPr="00EE5075">
        <w:t>ngā</w:t>
      </w:r>
      <w:proofErr w:type="spellEnd"/>
      <w:r w:rsidRPr="00EE5075">
        <w:t xml:space="preserve"> </w:t>
      </w:r>
      <w:proofErr w:type="spellStart"/>
      <w:r w:rsidRPr="00EE5075">
        <w:t>putanga</w:t>
      </w:r>
      <w:proofErr w:type="spellEnd"/>
      <w:r w:rsidRPr="00EE5075">
        <w:t xml:space="preserve"> </w:t>
      </w:r>
      <w:proofErr w:type="spellStart"/>
      <w:r w:rsidRPr="00EE5075">
        <w:t>hauora</w:t>
      </w:r>
      <w:proofErr w:type="spellEnd"/>
      <w:r w:rsidRPr="00EE5075">
        <w:t xml:space="preserve"> </w:t>
      </w:r>
      <w:proofErr w:type="spellStart"/>
      <w:r w:rsidRPr="00EE5075">
        <w:t>mō</w:t>
      </w:r>
      <w:proofErr w:type="spellEnd"/>
      <w:r w:rsidRPr="00EE5075">
        <w:t xml:space="preserve"> </w:t>
      </w:r>
      <w:proofErr w:type="spellStart"/>
      <w:r w:rsidRPr="00EE5075">
        <w:t>ngā</w:t>
      </w:r>
      <w:proofErr w:type="spellEnd"/>
      <w:r w:rsidRPr="00EE5075">
        <w:t xml:space="preserve"> iwi </w:t>
      </w:r>
      <w:proofErr w:type="spellStart"/>
      <w:r w:rsidRPr="00EE5075">
        <w:t>katoa</w:t>
      </w:r>
      <w:proofErr w:type="spellEnd"/>
      <w:r w:rsidRPr="00EE5075">
        <w:t xml:space="preserve"> o Aotearoa, me </w:t>
      </w:r>
      <w:proofErr w:type="spellStart"/>
      <w:r w:rsidRPr="00EE5075">
        <w:t>whakapai</w:t>
      </w:r>
      <w:proofErr w:type="spellEnd"/>
      <w:r w:rsidRPr="00EE5075">
        <w:t xml:space="preserve"> </w:t>
      </w:r>
      <w:proofErr w:type="spellStart"/>
      <w:r w:rsidRPr="00EE5075">
        <w:t>ake</w:t>
      </w:r>
      <w:proofErr w:type="spellEnd"/>
      <w:r w:rsidRPr="00EE5075">
        <w:t xml:space="preserve"> </w:t>
      </w:r>
      <w:proofErr w:type="spellStart"/>
      <w:r w:rsidRPr="00EE5075">
        <w:t>te</w:t>
      </w:r>
      <w:proofErr w:type="spellEnd"/>
      <w:r w:rsidRPr="00EE5075">
        <w:t xml:space="preserve"> </w:t>
      </w:r>
      <w:proofErr w:type="spellStart"/>
      <w:r w:rsidRPr="00EE5075">
        <w:t>āhuatanga</w:t>
      </w:r>
      <w:proofErr w:type="spellEnd"/>
      <w:r w:rsidRPr="00EE5075">
        <w:t xml:space="preserve"> o </w:t>
      </w:r>
      <w:proofErr w:type="spellStart"/>
      <w:r w:rsidRPr="00EE5075">
        <w:t>te</w:t>
      </w:r>
      <w:proofErr w:type="spellEnd"/>
      <w:r w:rsidRPr="00EE5075">
        <w:t xml:space="preserve"> </w:t>
      </w:r>
      <w:proofErr w:type="spellStart"/>
      <w:r w:rsidRPr="00EE5075">
        <w:t>kohikohi</w:t>
      </w:r>
      <w:proofErr w:type="spellEnd"/>
      <w:r w:rsidRPr="00EE5075">
        <w:t xml:space="preserve">, </w:t>
      </w:r>
      <w:proofErr w:type="spellStart"/>
      <w:r w:rsidRPr="00EE5075">
        <w:t>whakahaere</w:t>
      </w:r>
      <w:proofErr w:type="spellEnd"/>
      <w:r w:rsidRPr="00EE5075">
        <w:t xml:space="preserve">, </w:t>
      </w:r>
      <w:proofErr w:type="spellStart"/>
      <w:r w:rsidRPr="00EE5075">
        <w:t>whakamahi</w:t>
      </w:r>
      <w:proofErr w:type="spellEnd"/>
      <w:r w:rsidRPr="00EE5075">
        <w:t xml:space="preserve"> me </w:t>
      </w:r>
      <w:proofErr w:type="spellStart"/>
      <w:r w:rsidRPr="00EE5075">
        <w:t>te</w:t>
      </w:r>
      <w:proofErr w:type="spellEnd"/>
      <w:r w:rsidRPr="00EE5075">
        <w:t xml:space="preserve"> </w:t>
      </w:r>
      <w:proofErr w:type="spellStart"/>
      <w:r w:rsidRPr="00EE5075">
        <w:t>tohatoha</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raraunga</w:t>
      </w:r>
      <w:proofErr w:type="spellEnd"/>
      <w:r w:rsidRPr="00EE5075">
        <w:t xml:space="preserve"> me </w:t>
      </w:r>
      <w:proofErr w:type="spellStart"/>
      <w:r w:rsidRPr="00EE5075">
        <w:t>ngā</w:t>
      </w:r>
      <w:proofErr w:type="spellEnd"/>
      <w:r w:rsidRPr="00EE5075">
        <w:t xml:space="preserve"> </w:t>
      </w:r>
      <w:proofErr w:type="spellStart"/>
      <w:r w:rsidRPr="00EE5075">
        <w:t>pārongo</w:t>
      </w:r>
      <w:proofErr w:type="spellEnd"/>
      <w:r w:rsidRPr="00EE5075">
        <w:t xml:space="preserve">. He </w:t>
      </w:r>
      <w:proofErr w:type="spellStart"/>
      <w:r w:rsidRPr="00EE5075">
        <w:t>mea</w:t>
      </w:r>
      <w:proofErr w:type="spellEnd"/>
      <w:r w:rsidRPr="00EE5075">
        <w:t xml:space="preserve"> </w:t>
      </w:r>
      <w:proofErr w:type="spellStart"/>
      <w:r w:rsidRPr="00EE5075">
        <w:t>nui</w:t>
      </w:r>
      <w:proofErr w:type="spellEnd"/>
      <w:r w:rsidRPr="00EE5075">
        <w:t xml:space="preserve"> kia </w:t>
      </w:r>
      <w:proofErr w:type="spellStart"/>
      <w:r w:rsidRPr="00EE5075">
        <w:t>whai</w:t>
      </w:r>
      <w:proofErr w:type="spellEnd"/>
      <w:r w:rsidRPr="00EE5075">
        <w:t xml:space="preserve"> </w:t>
      </w:r>
      <w:proofErr w:type="spellStart"/>
      <w:r w:rsidRPr="00EE5075">
        <w:t>waahi</w:t>
      </w:r>
      <w:proofErr w:type="spellEnd"/>
      <w:r w:rsidRPr="00EE5075">
        <w:t xml:space="preserve"> ai </w:t>
      </w:r>
      <w:proofErr w:type="spellStart"/>
      <w:r w:rsidRPr="00EE5075">
        <w:t>te</w:t>
      </w:r>
      <w:proofErr w:type="spellEnd"/>
      <w:r w:rsidRPr="00EE5075">
        <w:t xml:space="preserve"> </w:t>
      </w:r>
      <w:proofErr w:type="spellStart"/>
      <w:r w:rsidRPr="00EE5075">
        <w:t>tangata</w:t>
      </w:r>
      <w:proofErr w:type="spellEnd"/>
      <w:r w:rsidRPr="00EE5075">
        <w:t xml:space="preserve"> </w:t>
      </w:r>
      <w:proofErr w:type="spellStart"/>
      <w:r w:rsidRPr="00EE5075">
        <w:t>ki</w:t>
      </w:r>
      <w:proofErr w:type="spellEnd"/>
      <w:r w:rsidRPr="00EE5075">
        <w:t xml:space="preserve"> </w:t>
      </w:r>
      <w:proofErr w:type="spellStart"/>
      <w:r w:rsidRPr="00EE5075">
        <w:t>tōna</w:t>
      </w:r>
      <w:proofErr w:type="spellEnd"/>
      <w:r w:rsidRPr="00EE5075">
        <w:t xml:space="preserve"> </w:t>
      </w:r>
      <w:proofErr w:type="spellStart"/>
      <w:r w:rsidRPr="00EE5075">
        <w:t>anō</w:t>
      </w:r>
      <w:proofErr w:type="spellEnd"/>
      <w:r w:rsidRPr="00EE5075">
        <w:t xml:space="preserve"> </w:t>
      </w:r>
      <w:proofErr w:type="spellStart"/>
      <w:r w:rsidRPr="00EE5075">
        <w:t>hauora</w:t>
      </w:r>
      <w:proofErr w:type="spellEnd"/>
      <w:r w:rsidRPr="00EE5075">
        <w:t xml:space="preserve"> me </w:t>
      </w:r>
      <w:proofErr w:type="spellStart"/>
      <w:r w:rsidRPr="00EE5075">
        <w:t>āna</w:t>
      </w:r>
      <w:proofErr w:type="spellEnd"/>
      <w:r w:rsidRPr="00EE5075">
        <w:t xml:space="preserve"> </w:t>
      </w:r>
      <w:proofErr w:type="spellStart"/>
      <w:r w:rsidRPr="00EE5075">
        <w:t>anō</w:t>
      </w:r>
      <w:proofErr w:type="spellEnd"/>
      <w:r w:rsidRPr="00EE5075">
        <w:t xml:space="preserve"> </w:t>
      </w:r>
      <w:proofErr w:type="spellStart"/>
      <w:r w:rsidRPr="00EE5075">
        <w:t>pārongo</w:t>
      </w:r>
      <w:proofErr w:type="spellEnd"/>
      <w:r w:rsidRPr="00EE5075">
        <w:t xml:space="preserve"> </w:t>
      </w:r>
      <w:proofErr w:type="spellStart"/>
      <w:r w:rsidRPr="00EE5075">
        <w:t>hauora</w:t>
      </w:r>
      <w:proofErr w:type="spellEnd"/>
      <w:r w:rsidRPr="00EE5075">
        <w:t xml:space="preserve">, </w:t>
      </w:r>
      <w:proofErr w:type="spellStart"/>
      <w:r w:rsidRPr="00EE5075">
        <w:t>waihoki</w:t>
      </w:r>
      <w:proofErr w:type="spellEnd"/>
      <w:r w:rsidRPr="00EE5075">
        <w:t xml:space="preserve"> kia</w:t>
      </w:r>
      <w:r w:rsidR="00411495">
        <w:t xml:space="preserve"> </w:t>
      </w:r>
      <w:proofErr w:type="spellStart"/>
      <w:r w:rsidRPr="00EE5075">
        <w:t>whakatūturu</w:t>
      </w:r>
      <w:proofErr w:type="spellEnd"/>
      <w:r w:rsidRPr="00EE5075">
        <w:t xml:space="preserve"> kia </w:t>
      </w:r>
      <w:proofErr w:type="spellStart"/>
      <w:r w:rsidRPr="00EE5075">
        <w:t>wātea</w:t>
      </w:r>
      <w:proofErr w:type="spellEnd"/>
      <w:r w:rsidRPr="00EE5075">
        <w:t xml:space="preserve"> ai </w:t>
      </w:r>
      <w:proofErr w:type="spellStart"/>
      <w:r w:rsidRPr="00EE5075">
        <w:t>ngā</w:t>
      </w:r>
      <w:proofErr w:type="spellEnd"/>
      <w:r w:rsidRPr="00EE5075">
        <w:t xml:space="preserve"> </w:t>
      </w:r>
      <w:proofErr w:type="spellStart"/>
      <w:r w:rsidRPr="00EE5075">
        <w:t>raraunga</w:t>
      </w:r>
      <w:proofErr w:type="spellEnd"/>
      <w:r w:rsidRPr="00EE5075">
        <w:t xml:space="preserve"> </w:t>
      </w:r>
      <w:proofErr w:type="spellStart"/>
      <w:r w:rsidRPr="00EE5075">
        <w:t>hei</w:t>
      </w:r>
      <w:proofErr w:type="spellEnd"/>
      <w:r w:rsidRPr="00EE5075">
        <w:t xml:space="preserve"> </w:t>
      </w:r>
      <w:proofErr w:type="spellStart"/>
      <w:r w:rsidRPr="00EE5075">
        <w:t>kōrero</w:t>
      </w:r>
      <w:proofErr w:type="spellEnd"/>
      <w:r w:rsidRPr="00EE5075">
        <w:t xml:space="preserve"> </w:t>
      </w:r>
      <w:proofErr w:type="spellStart"/>
      <w:r w:rsidRPr="00EE5075">
        <w:t>taunakitanga</w:t>
      </w:r>
      <w:proofErr w:type="spellEnd"/>
      <w:r w:rsidRPr="00EE5075">
        <w:t xml:space="preserve"> </w:t>
      </w:r>
      <w:proofErr w:type="spellStart"/>
      <w:r w:rsidRPr="00EE5075">
        <w:t>whakataunga</w:t>
      </w:r>
      <w:proofErr w:type="spellEnd"/>
      <w:r w:rsidRPr="00EE5075">
        <w:t xml:space="preserve">. Me </w:t>
      </w:r>
      <w:proofErr w:type="spellStart"/>
      <w:r w:rsidRPr="00EE5075">
        <w:t>rere</w:t>
      </w:r>
      <w:proofErr w:type="spellEnd"/>
      <w:r w:rsidRPr="00EE5075">
        <w:t xml:space="preserve"> </w:t>
      </w:r>
      <w:proofErr w:type="spellStart"/>
      <w:r w:rsidRPr="00EE5075">
        <w:t>ngā</w:t>
      </w:r>
      <w:proofErr w:type="spellEnd"/>
      <w:r w:rsidRPr="00EE5075">
        <w:t xml:space="preserve"> </w:t>
      </w:r>
      <w:proofErr w:type="spellStart"/>
      <w:r w:rsidRPr="00EE5075">
        <w:t>raruranga</w:t>
      </w:r>
      <w:proofErr w:type="spellEnd"/>
      <w:r w:rsidRPr="00EE5075">
        <w:t xml:space="preserve"> me </w:t>
      </w:r>
      <w:proofErr w:type="spellStart"/>
      <w:r w:rsidRPr="00EE5075">
        <w:t>ngā</w:t>
      </w:r>
      <w:proofErr w:type="spellEnd"/>
      <w:r w:rsidRPr="00EE5075">
        <w:t xml:space="preserve"> </w:t>
      </w:r>
      <w:proofErr w:type="spellStart"/>
      <w:r w:rsidRPr="00EE5075">
        <w:t>pārongo</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wāhanga</w:t>
      </w:r>
      <w:proofErr w:type="spellEnd"/>
      <w:r w:rsidRPr="00EE5075">
        <w:t xml:space="preserve"> tika o </w:t>
      </w:r>
      <w:proofErr w:type="spellStart"/>
      <w:r w:rsidRPr="00EE5075">
        <w:t>te</w:t>
      </w:r>
      <w:proofErr w:type="spellEnd"/>
      <w:r w:rsidRPr="00EE5075">
        <w:t xml:space="preserve"> </w:t>
      </w:r>
      <w:proofErr w:type="spellStart"/>
      <w:r w:rsidRPr="00EE5075">
        <w:t>pūnaha</w:t>
      </w:r>
      <w:proofErr w:type="spellEnd"/>
      <w:r w:rsidRPr="00EE5075">
        <w:t xml:space="preserve"> </w:t>
      </w:r>
      <w:proofErr w:type="spellStart"/>
      <w:r w:rsidRPr="00EE5075">
        <w:t>hauora</w:t>
      </w:r>
      <w:proofErr w:type="spellEnd"/>
      <w:r w:rsidRPr="00EE5075">
        <w:t xml:space="preserve">, ā, </w:t>
      </w:r>
      <w:proofErr w:type="spellStart"/>
      <w:r w:rsidRPr="00EE5075">
        <w:t>ki</w:t>
      </w:r>
      <w:proofErr w:type="spellEnd"/>
      <w:r w:rsidRPr="00EE5075">
        <w:t xml:space="preserve"> </w:t>
      </w:r>
      <w:proofErr w:type="spellStart"/>
      <w:r w:rsidRPr="00EE5075">
        <w:t>rāngai</w:t>
      </w:r>
      <w:proofErr w:type="spellEnd"/>
      <w:r w:rsidRPr="00EE5075">
        <w:t xml:space="preserve"> </w:t>
      </w:r>
      <w:proofErr w:type="spellStart"/>
      <w:r w:rsidRPr="00EE5075">
        <w:t>kē</w:t>
      </w:r>
      <w:proofErr w:type="spellEnd"/>
      <w:r w:rsidRPr="00EE5075">
        <w:t xml:space="preserve"> </w:t>
      </w:r>
      <w:proofErr w:type="spellStart"/>
      <w:r w:rsidRPr="00EE5075">
        <w:t>atu</w:t>
      </w:r>
      <w:proofErr w:type="spellEnd"/>
      <w:r w:rsidRPr="00EE5075">
        <w:t xml:space="preserve"> e </w:t>
      </w:r>
      <w:proofErr w:type="spellStart"/>
      <w:r w:rsidRPr="00EE5075">
        <w:t>whai</w:t>
      </w:r>
      <w:proofErr w:type="spellEnd"/>
      <w:r w:rsidRPr="00EE5075">
        <w:t xml:space="preserve"> </w:t>
      </w:r>
      <w:proofErr w:type="spellStart"/>
      <w:r w:rsidRPr="00EE5075">
        <w:t>pānga</w:t>
      </w:r>
      <w:proofErr w:type="spellEnd"/>
      <w:r w:rsidRPr="00EE5075">
        <w:t xml:space="preserve"> ana, e </w:t>
      </w:r>
      <w:proofErr w:type="spellStart"/>
      <w:r w:rsidRPr="00EE5075">
        <w:t>whakakaha</w:t>
      </w:r>
      <w:proofErr w:type="spellEnd"/>
      <w:r w:rsidRPr="00EE5075">
        <w:t xml:space="preserve"> ana </w:t>
      </w:r>
      <w:proofErr w:type="spellStart"/>
      <w:r w:rsidRPr="00EE5075">
        <w:t>rānei</w:t>
      </w:r>
      <w:proofErr w:type="spellEnd"/>
      <w:r w:rsidRPr="00EE5075">
        <w:t xml:space="preserve">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toiora</w:t>
      </w:r>
      <w:proofErr w:type="spellEnd"/>
      <w:r w:rsidRPr="00EE5075">
        <w:t>.</w:t>
      </w:r>
    </w:p>
    <w:p w14:paraId="0075D78D" w14:textId="77777777" w:rsidR="003308C3" w:rsidRPr="00EE5075" w:rsidRDefault="003308C3" w:rsidP="00411495">
      <w:r w:rsidRPr="00EE5075">
        <w:t xml:space="preserve">Ka </w:t>
      </w:r>
      <w:proofErr w:type="spellStart"/>
      <w:r w:rsidRPr="00EE5075">
        <w:t>whakamārama</w:t>
      </w:r>
      <w:proofErr w:type="spellEnd"/>
      <w:r w:rsidRPr="00EE5075">
        <w:t xml:space="preserve"> </w:t>
      </w:r>
      <w:proofErr w:type="spellStart"/>
      <w:r w:rsidRPr="00EE5075">
        <w:t>te</w:t>
      </w:r>
      <w:proofErr w:type="spellEnd"/>
      <w:r w:rsidRPr="00EE5075">
        <w:t xml:space="preserve"> </w:t>
      </w:r>
      <w:proofErr w:type="spellStart"/>
      <w:r w:rsidRPr="00EE5075">
        <w:t>rautaki</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whakapaitanga</w:t>
      </w:r>
      <w:proofErr w:type="spellEnd"/>
      <w:r w:rsidRPr="00EE5075">
        <w:t xml:space="preserve"> e </w:t>
      </w:r>
      <w:proofErr w:type="spellStart"/>
      <w:r w:rsidRPr="00EE5075">
        <w:t>hiahia</w:t>
      </w:r>
      <w:proofErr w:type="spellEnd"/>
      <w:r w:rsidRPr="00EE5075">
        <w:t xml:space="preserve"> ana </w:t>
      </w:r>
      <w:proofErr w:type="spellStart"/>
      <w:r w:rsidRPr="00EE5075">
        <w:t>mātou</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tautoko</w:t>
      </w:r>
      <w:proofErr w:type="spellEnd"/>
      <w:r w:rsidRPr="00EE5075">
        <w:t xml:space="preserve">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whakahaeretanga</w:t>
      </w:r>
      <w:proofErr w:type="spellEnd"/>
      <w:r w:rsidRPr="00EE5075">
        <w:t xml:space="preserve"> pai </w:t>
      </w:r>
      <w:proofErr w:type="spellStart"/>
      <w:r w:rsidRPr="00EE5075">
        <w:t>ake</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raraunga</w:t>
      </w:r>
      <w:proofErr w:type="spellEnd"/>
      <w:r w:rsidRPr="00EE5075">
        <w:t>,</w:t>
      </w:r>
      <w:r w:rsidR="00411495">
        <w:t xml:space="preserve"> </w:t>
      </w:r>
      <w:proofErr w:type="spellStart"/>
      <w:r w:rsidRPr="00EE5075">
        <w:t>te</w:t>
      </w:r>
      <w:proofErr w:type="spellEnd"/>
      <w:r w:rsidRPr="00EE5075">
        <w:t xml:space="preserve"> mana </w:t>
      </w:r>
      <w:proofErr w:type="spellStart"/>
      <w:r w:rsidRPr="00EE5075">
        <w:t>whakahaere</w:t>
      </w:r>
      <w:proofErr w:type="spellEnd"/>
      <w:r w:rsidRPr="00EE5075">
        <w:t xml:space="preserve"> me </w:t>
      </w:r>
      <w:proofErr w:type="spellStart"/>
      <w:r w:rsidRPr="00EE5075">
        <w:t>te</w:t>
      </w:r>
      <w:proofErr w:type="spellEnd"/>
      <w:r w:rsidRPr="00EE5075">
        <w:t xml:space="preserve"> </w:t>
      </w:r>
      <w:proofErr w:type="spellStart"/>
      <w:r w:rsidRPr="00EE5075">
        <w:t>māramatanga</w:t>
      </w:r>
      <w:proofErr w:type="spellEnd"/>
      <w:r w:rsidRPr="00EE5075">
        <w:t xml:space="preserve">. </w:t>
      </w:r>
      <w:proofErr w:type="spellStart"/>
      <w:r w:rsidRPr="00EE5075">
        <w:t>Ahakoa</w:t>
      </w:r>
      <w:proofErr w:type="spellEnd"/>
      <w:r w:rsidRPr="00EE5075">
        <w:t xml:space="preserve">, </w:t>
      </w:r>
      <w:proofErr w:type="spellStart"/>
      <w:r w:rsidRPr="00EE5075">
        <w:t>whakawhaiti</w:t>
      </w:r>
      <w:proofErr w:type="spellEnd"/>
      <w:r w:rsidRPr="00EE5075">
        <w:t xml:space="preserve"> ana </w:t>
      </w:r>
      <w:proofErr w:type="spellStart"/>
      <w:r w:rsidRPr="00EE5075">
        <w:t>ēnei</w:t>
      </w:r>
      <w:proofErr w:type="spellEnd"/>
      <w:r w:rsidRPr="00EE5075">
        <w:t xml:space="preserve"> </w:t>
      </w:r>
      <w:proofErr w:type="spellStart"/>
      <w:r w:rsidRPr="00EE5075">
        <w:t>kōrero</w:t>
      </w:r>
      <w:proofErr w:type="spellEnd"/>
      <w:r w:rsidRPr="00EE5075">
        <w:t xml:space="preserve"> </w:t>
      </w:r>
      <w:proofErr w:type="spellStart"/>
      <w:r w:rsidRPr="00EE5075">
        <w:t>ārahi</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rāngai</w:t>
      </w:r>
      <w:proofErr w:type="spellEnd"/>
      <w:r w:rsidRPr="00EE5075">
        <w:t xml:space="preserve"> </w:t>
      </w:r>
      <w:proofErr w:type="spellStart"/>
      <w:r w:rsidRPr="00EE5075">
        <w:t>hauora</w:t>
      </w:r>
      <w:proofErr w:type="spellEnd"/>
      <w:r w:rsidRPr="00EE5075">
        <w:t xml:space="preserve">, </w:t>
      </w:r>
      <w:proofErr w:type="spellStart"/>
      <w:r w:rsidRPr="00EE5075">
        <w:t>whaikaha</w:t>
      </w:r>
      <w:proofErr w:type="spellEnd"/>
      <w:r w:rsidRPr="00EE5075">
        <w:t xml:space="preserve"> </w:t>
      </w:r>
      <w:proofErr w:type="spellStart"/>
      <w:r w:rsidRPr="00EE5075">
        <w:t>hoki</w:t>
      </w:r>
      <w:proofErr w:type="spellEnd"/>
      <w:r w:rsidRPr="00EE5075">
        <w:t xml:space="preserve">, e </w:t>
      </w:r>
      <w:proofErr w:type="spellStart"/>
      <w:r w:rsidRPr="00EE5075">
        <w:t>takune</w:t>
      </w:r>
      <w:proofErr w:type="spellEnd"/>
      <w:r w:rsidRPr="00EE5075">
        <w:t xml:space="preserve"> ana kia </w:t>
      </w:r>
      <w:proofErr w:type="spellStart"/>
      <w:r w:rsidRPr="00EE5075">
        <w:t>whai</w:t>
      </w:r>
      <w:proofErr w:type="spellEnd"/>
      <w:r w:rsidRPr="00EE5075">
        <w:t xml:space="preserve"> take ai </w:t>
      </w:r>
      <w:proofErr w:type="spellStart"/>
      <w:r w:rsidRPr="00EE5075">
        <w:t>ki</w:t>
      </w:r>
      <w:proofErr w:type="spellEnd"/>
      <w:r w:rsidRPr="00EE5075">
        <w:t xml:space="preserve"> </w:t>
      </w:r>
      <w:proofErr w:type="spellStart"/>
      <w:r w:rsidRPr="00EE5075">
        <w:t>ētahi</w:t>
      </w:r>
      <w:proofErr w:type="spellEnd"/>
      <w:r w:rsidRPr="00EE5075">
        <w:t xml:space="preserve"> </w:t>
      </w:r>
      <w:proofErr w:type="spellStart"/>
      <w:r w:rsidRPr="00EE5075">
        <w:t>atu</w:t>
      </w:r>
      <w:proofErr w:type="spellEnd"/>
      <w:r w:rsidRPr="00EE5075">
        <w:t xml:space="preserve"> </w:t>
      </w:r>
      <w:proofErr w:type="spellStart"/>
      <w:r w:rsidRPr="00EE5075">
        <w:t>rāngai</w:t>
      </w:r>
      <w:proofErr w:type="spellEnd"/>
      <w:r w:rsidRPr="00EE5075">
        <w:t xml:space="preserve">, </w:t>
      </w:r>
      <w:proofErr w:type="spellStart"/>
      <w:r w:rsidRPr="00EE5075">
        <w:t>arā</w:t>
      </w:r>
      <w:proofErr w:type="spellEnd"/>
      <w:r w:rsidRPr="00EE5075">
        <w:t xml:space="preserve"> </w:t>
      </w:r>
      <w:proofErr w:type="spellStart"/>
      <w:r w:rsidRPr="00EE5075">
        <w:t>ngā</w:t>
      </w:r>
      <w:proofErr w:type="spellEnd"/>
      <w:r w:rsidRPr="00EE5075">
        <w:t xml:space="preserve"> </w:t>
      </w:r>
      <w:proofErr w:type="spellStart"/>
      <w:r w:rsidRPr="00EE5075">
        <w:t>ratonga</w:t>
      </w:r>
      <w:proofErr w:type="spellEnd"/>
      <w:r w:rsidRPr="00EE5075">
        <w:t xml:space="preserve"> ā-iwi, </w:t>
      </w:r>
      <w:proofErr w:type="spellStart"/>
      <w:r w:rsidRPr="00EE5075">
        <w:t>ngā</w:t>
      </w:r>
      <w:proofErr w:type="spellEnd"/>
      <w:r w:rsidRPr="00EE5075">
        <w:t xml:space="preserve"> </w:t>
      </w:r>
      <w:proofErr w:type="spellStart"/>
      <w:r w:rsidRPr="00EE5075">
        <w:t>umanga</w:t>
      </w:r>
      <w:proofErr w:type="spellEnd"/>
      <w:r w:rsidRPr="00EE5075">
        <w:t xml:space="preserve">, </w:t>
      </w:r>
      <w:proofErr w:type="spellStart"/>
      <w:r w:rsidRPr="00EE5075">
        <w:t>ngā</w:t>
      </w:r>
      <w:proofErr w:type="spellEnd"/>
      <w:r w:rsidRPr="00EE5075">
        <w:t xml:space="preserve"> </w:t>
      </w:r>
      <w:proofErr w:type="spellStart"/>
      <w:r w:rsidRPr="00EE5075">
        <w:t>ratonga</w:t>
      </w:r>
      <w:proofErr w:type="spellEnd"/>
      <w:r w:rsidRPr="00EE5075">
        <w:t xml:space="preserve"> o </w:t>
      </w:r>
      <w:proofErr w:type="spellStart"/>
      <w:r w:rsidRPr="00EE5075">
        <w:t>te</w:t>
      </w:r>
      <w:proofErr w:type="spellEnd"/>
      <w:r w:rsidRPr="00EE5075">
        <w:t xml:space="preserve"> </w:t>
      </w:r>
      <w:proofErr w:type="spellStart"/>
      <w:r w:rsidRPr="00EE5075">
        <w:t>tūmataiti</w:t>
      </w:r>
      <w:proofErr w:type="spellEnd"/>
      <w:r w:rsidRPr="00EE5075">
        <w:t xml:space="preserve"> me </w:t>
      </w:r>
      <w:proofErr w:type="spellStart"/>
      <w:r w:rsidRPr="00EE5075">
        <w:t>ngā</w:t>
      </w:r>
      <w:proofErr w:type="spellEnd"/>
      <w:r w:rsidRPr="00EE5075">
        <w:t xml:space="preserve"> </w:t>
      </w:r>
      <w:proofErr w:type="spellStart"/>
      <w:r w:rsidRPr="00EE5075">
        <w:t>ahumahi</w:t>
      </w:r>
      <w:proofErr w:type="spellEnd"/>
      <w:r w:rsidRPr="00EE5075">
        <w:t xml:space="preserve"> e </w:t>
      </w:r>
      <w:proofErr w:type="spellStart"/>
      <w:r w:rsidRPr="00EE5075">
        <w:t>whakamahi</w:t>
      </w:r>
      <w:proofErr w:type="spellEnd"/>
      <w:r w:rsidRPr="00EE5075">
        <w:t xml:space="preserve"> ana </w:t>
      </w:r>
      <w:r w:rsidR="00411495">
        <w:t xml:space="preserve">I </w:t>
      </w:r>
      <w:proofErr w:type="spellStart"/>
      <w:r w:rsidRPr="00EE5075">
        <w:t>ngā</w:t>
      </w:r>
      <w:proofErr w:type="spellEnd"/>
      <w:r w:rsidRPr="00EE5075">
        <w:t xml:space="preserve"> </w:t>
      </w:r>
      <w:proofErr w:type="spellStart"/>
      <w:r w:rsidRPr="00EE5075">
        <w:t>raraunga</w:t>
      </w:r>
      <w:proofErr w:type="spellEnd"/>
      <w:r w:rsidRPr="00EE5075">
        <w:t xml:space="preserve"> </w:t>
      </w:r>
      <w:proofErr w:type="spellStart"/>
      <w:r w:rsidRPr="00EE5075">
        <w:t>hauora</w:t>
      </w:r>
      <w:proofErr w:type="spellEnd"/>
      <w:r w:rsidRPr="00EE5075">
        <w:t xml:space="preserve">, </w:t>
      </w:r>
      <w:proofErr w:type="spellStart"/>
      <w:r w:rsidRPr="00EE5075">
        <w:t>whaikaha</w:t>
      </w:r>
      <w:proofErr w:type="spellEnd"/>
      <w:r w:rsidRPr="00EE5075">
        <w:t xml:space="preserve"> </w:t>
      </w:r>
      <w:proofErr w:type="spellStart"/>
      <w:r w:rsidRPr="00EE5075">
        <w:t>hoki</w:t>
      </w:r>
      <w:proofErr w:type="spellEnd"/>
      <w:r w:rsidRPr="00EE5075">
        <w:t xml:space="preserve"> </w:t>
      </w:r>
      <w:proofErr w:type="spellStart"/>
      <w:r w:rsidRPr="00EE5075">
        <w:t>i</w:t>
      </w:r>
      <w:proofErr w:type="spellEnd"/>
      <w:r w:rsidRPr="00EE5075">
        <w:t xml:space="preserve"> Aotearoa. Me </w:t>
      </w:r>
      <w:proofErr w:type="spellStart"/>
      <w:r w:rsidRPr="00EE5075">
        <w:t>pānui</w:t>
      </w:r>
      <w:proofErr w:type="spellEnd"/>
      <w:r w:rsidRPr="00EE5075">
        <w:t xml:space="preserve"> </w:t>
      </w:r>
      <w:proofErr w:type="spellStart"/>
      <w:r w:rsidRPr="00EE5075">
        <w:t>tahi</w:t>
      </w:r>
      <w:proofErr w:type="spellEnd"/>
      <w:r w:rsidRPr="00EE5075">
        <w:t xml:space="preserve"> </w:t>
      </w:r>
      <w:proofErr w:type="spellStart"/>
      <w:r w:rsidRPr="00EE5075">
        <w:t>te</w:t>
      </w:r>
      <w:proofErr w:type="spellEnd"/>
      <w:r w:rsidRPr="00EE5075">
        <w:t xml:space="preserve"> </w:t>
      </w:r>
      <w:proofErr w:type="spellStart"/>
      <w:r w:rsidRPr="00EE5075">
        <w:t>rautaki</w:t>
      </w:r>
      <w:proofErr w:type="spellEnd"/>
      <w:r w:rsidRPr="00EE5075">
        <w:t xml:space="preserve"> me </w:t>
      </w:r>
      <w:proofErr w:type="spellStart"/>
      <w:r w:rsidRPr="00EE5075">
        <w:t>te</w:t>
      </w:r>
      <w:proofErr w:type="spellEnd"/>
      <w:r w:rsidRPr="00EE5075">
        <w:t xml:space="preserve"> </w:t>
      </w:r>
      <w:proofErr w:type="spellStart"/>
      <w:r w:rsidRPr="00EE5075">
        <w:t>mahaere</w:t>
      </w:r>
      <w:proofErr w:type="spellEnd"/>
      <w:r w:rsidRPr="00EE5075">
        <w:t xml:space="preserve"> </w:t>
      </w:r>
      <w:proofErr w:type="spellStart"/>
      <w:r w:rsidRPr="00EE5075">
        <w:t>whakahaere</w:t>
      </w:r>
      <w:proofErr w:type="spellEnd"/>
      <w:r w:rsidRPr="00EE5075">
        <w:t>.</w:t>
      </w:r>
    </w:p>
    <w:p w14:paraId="0075D78E" w14:textId="77777777" w:rsidR="00411495" w:rsidRDefault="00411495" w:rsidP="00411495"/>
    <w:p w14:paraId="0075D78F" w14:textId="77777777" w:rsidR="003308C3" w:rsidRPr="00EE5075" w:rsidRDefault="003308C3" w:rsidP="00411495">
      <w:r w:rsidRPr="00EE5075">
        <w:t xml:space="preserve">He </w:t>
      </w:r>
      <w:proofErr w:type="spellStart"/>
      <w:r w:rsidRPr="00EE5075">
        <w:t>tautōhito</w:t>
      </w:r>
      <w:proofErr w:type="spellEnd"/>
      <w:r w:rsidRPr="00EE5075">
        <w:t xml:space="preserve"> </w:t>
      </w:r>
      <w:proofErr w:type="spellStart"/>
      <w:r w:rsidRPr="00EE5075">
        <w:t>te</w:t>
      </w:r>
      <w:proofErr w:type="spellEnd"/>
      <w:r w:rsidRPr="00EE5075">
        <w:t xml:space="preserve"> </w:t>
      </w:r>
      <w:proofErr w:type="spellStart"/>
      <w:r w:rsidRPr="00EE5075">
        <w:t>rāngai</w:t>
      </w:r>
      <w:proofErr w:type="spellEnd"/>
      <w:r w:rsidRPr="00EE5075">
        <w:t xml:space="preserve"> </w:t>
      </w:r>
      <w:proofErr w:type="spellStart"/>
      <w:r w:rsidRPr="00EE5075">
        <w:t>hauora</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kohikohi</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raraunga</w:t>
      </w:r>
      <w:proofErr w:type="spellEnd"/>
      <w:r w:rsidRPr="00EE5075">
        <w:t xml:space="preserve"> </w:t>
      </w:r>
      <w:proofErr w:type="spellStart"/>
      <w:r w:rsidRPr="00EE5075">
        <w:t>maha</w:t>
      </w:r>
      <w:proofErr w:type="spellEnd"/>
      <w:r w:rsidRPr="00EE5075">
        <w:t xml:space="preserve"> </w:t>
      </w:r>
      <w:proofErr w:type="spellStart"/>
      <w:r w:rsidRPr="00EE5075">
        <w:t>otiia</w:t>
      </w:r>
      <w:proofErr w:type="spellEnd"/>
      <w:r w:rsidRPr="00EE5075">
        <w:t xml:space="preserve">, </w:t>
      </w:r>
      <w:proofErr w:type="spellStart"/>
      <w:r w:rsidRPr="00EE5075">
        <w:t>kua</w:t>
      </w:r>
      <w:proofErr w:type="spellEnd"/>
      <w:r w:rsidRPr="00EE5075">
        <w:t xml:space="preserve"> </w:t>
      </w:r>
      <w:proofErr w:type="spellStart"/>
      <w:r w:rsidRPr="00EE5075">
        <w:t>nonoke</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00411495">
        <w:t xml:space="preserve"> </w:t>
      </w:r>
      <w:proofErr w:type="spellStart"/>
      <w:r w:rsidRPr="00EE5075">
        <w:t>whakatahuri</w:t>
      </w:r>
      <w:proofErr w:type="spellEnd"/>
      <w:r w:rsidRPr="00EE5075">
        <w:t xml:space="preserve"> </w:t>
      </w:r>
      <w:proofErr w:type="spellStart"/>
      <w:r w:rsidRPr="00EE5075">
        <w:t>i</w:t>
      </w:r>
      <w:proofErr w:type="spellEnd"/>
      <w:r w:rsidRPr="00EE5075">
        <w:t xml:space="preserve"> </w:t>
      </w:r>
      <w:proofErr w:type="spellStart"/>
      <w:r w:rsidRPr="00EE5075">
        <w:t>ēnei</w:t>
      </w:r>
      <w:proofErr w:type="spellEnd"/>
      <w:r w:rsidRPr="00EE5075">
        <w:t xml:space="preserve"> </w:t>
      </w:r>
      <w:proofErr w:type="spellStart"/>
      <w:r w:rsidRPr="00EE5075">
        <w:t>raraunga</w:t>
      </w:r>
      <w:proofErr w:type="spellEnd"/>
      <w:r w:rsidRPr="00EE5075">
        <w:t xml:space="preserve"> </w:t>
      </w:r>
      <w:proofErr w:type="spellStart"/>
      <w:r w:rsidRPr="00EE5075">
        <w:t>hei</w:t>
      </w:r>
      <w:proofErr w:type="spellEnd"/>
      <w:r w:rsidRPr="00EE5075">
        <w:t xml:space="preserve"> </w:t>
      </w:r>
      <w:proofErr w:type="spellStart"/>
      <w:r w:rsidRPr="00EE5075">
        <w:t>pārango</w:t>
      </w:r>
      <w:proofErr w:type="spellEnd"/>
      <w:r w:rsidRPr="00EE5075">
        <w:t xml:space="preserve"> </w:t>
      </w:r>
      <w:proofErr w:type="spellStart"/>
      <w:r w:rsidRPr="00EE5075">
        <w:t>whai</w:t>
      </w:r>
      <w:proofErr w:type="spellEnd"/>
      <w:r w:rsidRPr="00EE5075">
        <w:t xml:space="preserve"> take, </w:t>
      </w:r>
      <w:proofErr w:type="spellStart"/>
      <w:r w:rsidRPr="00EE5075">
        <w:t>hei</w:t>
      </w:r>
      <w:proofErr w:type="spellEnd"/>
      <w:r w:rsidRPr="00EE5075">
        <w:t xml:space="preserve"> </w:t>
      </w:r>
      <w:proofErr w:type="spellStart"/>
      <w:r w:rsidRPr="00EE5075">
        <w:t>mōhiohiotanga</w:t>
      </w:r>
      <w:proofErr w:type="spellEnd"/>
      <w:r w:rsidRPr="00EE5075">
        <w:t xml:space="preserve"> </w:t>
      </w:r>
      <w:proofErr w:type="spellStart"/>
      <w:r w:rsidRPr="00EE5075">
        <w:t>whai</w:t>
      </w:r>
      <w:proofErr w:type="spellEnd"/>
      <w:r w:rsidRPr="00EE5075">
        <w:t xml:space="preserve"> take </w:t>
      </w:r>
      <w:proofErr w:type="spellStart"/>
      <w:r w:rsidRPr="00EE5075">
        <w:t>hoki</w:t>
      </w:r>
      <w:proofErr w:type="spellEnd"/>
      <w:r w:rsidRPr="00EE5075">
        <w:t xml:space="preserve">. He </w:t>
      </w:r>
      <w:proofErr w:type="spellStart"/>
      <w:r w:rsidRPr="00EE5075">
        <w:t>pōturi</w:t>
      </w:r>
      <w:proofErr w:type="spellEnd"/>
      <w:r w:rsidRPr="00EE5075">
        <w:t xml:space="preserve"> </w:t>
      </w:r>
      <w:proofErr w:type="spellStart"/>
      <w:r w:rsidRPr="00EE5075">
        <w:t>te</w:t>
      </w:r>
      <w:proofErr w:type="spellEnd"/>
      <w:r w:rsidRPr="00EE5075">
        <w:t xml:space="preserve"> </w:t>
      </w:r>
      <w:proofErr w:type="spellStart"/>
      <w:r w:rsidRPr="00EE5075">
        <w:t>whakawhitinga</w:t>
      </w:r>
      <w:proofErr w:type="spellEnd"/>
      <w:r w:rsidRPr="00EE5075">
        <w:t xml:space="preserve"> </w:t>
      </w:r>
      <w:proofErr w:type="spellStart"/>
      <w:r w:rsidRPr="00EE5075">
        <w:t>atu</w:t>
      </w:r>
      <w:proofErr w:type="spellEnd"/>
      <w:r w:rsidRPr="00EE5075">
        <w:t xml:space="preserve">, </w:t>
      </w:r>
      <w:proofErr w:type="spellStart"/>
      <w:r w:rsidRPr="00EE5075">
        <w:t>mai</w:t>
      </w:r>
      <w:proofErr w:type="spellEnd"/>
      <w:r w:rsidRPr="00EE5075">
        <w:t xml:space="preserve"> </w:t>
      </w:r>
      <w:proofErr w:type="spellStart"/>
      <w:r w:rsidRPr="00EE5075">
        <w:t>i</w:t>
      </w:r>
      <w:proofErr w:type="spellEnd"/>
      <w:r w:rsidRPr="00EE5075">
        <w:t xml:space="preserve"> </w:t>
      </w:r>
      <w:proofErr w:type="spellStart"/>
      <w:r w:rsidRPr="00EE5075">
        <w:t>pūnaha</w:t>
      </w:r>
      <w:proofErr w:type="spellEnd"/>
      <w:r w:rsidRPr="00EE5075">
        <w:t xml:space="preserve"> </w:t>
      </w:r>
      <w:proofErr w:type="spellStart"/>
      <w:r w:rsidRPr="00EE5075">
        <w:t>pepa</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pūnaha</w:t>
      </w:r>
      <w:proofErr w:type="spellEnd"/>
      <w:r w:rsidRPr="00EE5075">
        <w:t xml:space="preserve"> </w:t>
      </w:r>
      <w:proofErr w:type="spellStart"/>
      <w:r w:rsidRPr="00EE5075">
        <w:t>matihiko</w:t>
      </w:r>
      <w:proofErr w:type="spellEnd"/>
      <w:r w:rsidRPr="00EE5075">
        <w:t xml:space="preserve">, ā, ko </w:t>
      </w:r>
      <w:proofErr w:type="spellStart"/>
      <w:r w:rsidRPr="00EE5075">
        <w:t>te</w:t>
      </w:r>
      <w:proofErr w:type="spellEnd"/>
      <w:r w:rsidRPr="00EE5075">
        <w:t xml:space="preserve"> </w:t>
      </w:r>
      <w:proofErr w:type="spellStart"/>
      <w:r w:rsidRPr="00EE5075">
        <w:t>nuinga</w:t>
      </w:r>
      <w:proofErr w:type="spellEnd"/>
      <w:r w:rsidRPr="00EE5075">
        <w:t xml:space="preserve"> o </w:t>
      </w:r>
      <w:proofErr w:type="spellStart"/>
      <w:r w:rsidRPr="00EE5075">
        <w:t>ngā</w:t>
      </w:r>
      <w:proofErr w:type="spellEnd"/>
      <w:r w:rsidRPr="00EE5075">
        <w:t xml:space="preserve"> </w:t>
      </w:r>
      <w:proofErr w:type="spellStart"/>
      <w:r w:rsidRPr="00EE5075">
        <w:t>pārongo</w:t>
      </w:r>
      <w:proofErr w:type="spellEnd"/>
      <w:r w:rsidRPr="00EE5075">
        <w:t xml:space="preserve"> </w:t>
      </w:r>
      <w:proofErr w:type="spellStart"/>
      <w:r w:rsidRPr="00EE5075">
        <w:t>mō</w:t>
      </w:r>
      <w:proofErr w:type="spellEnd"/>
      <w:r w:rsidRPr="00EE5075">
        <w:t xml:space="preserve"> </w:t>
      </w:r>
      <w:proofErr w:type="spellStart"/>
      <w:r w:rsidRPr="00EE5075">
        <w:t>ngā</w:t>
      </w:r>
      <w:proofErr w:type="spellEnd"/>
      <w:r w:rsidRPr="00EE5075">
        <w:t xml:space="preserve"> </w:t>
      </w:r>
      <w:proofErr w:type="spellStart"/>
      <w:r w:rsidRPr="00EE5075">
        <w:t>tūroro</w:t>
      </w:r>
      <w:proofErr w:type="spellEnd"/>
      <w:r w:rsidRPr="00EE5075">
        <w:t xml:space="preserve"> </w:t>
      </w:r>
      <w:proofErr w:type="spellStart"/>
      <w:r w:rsidRPr="00EE5075">
        <w:t>kua</w:t>
      </w:r>
      <w:proofErr w:type="spellEnd"/>
      <w:r w:rsidRPr="00EE5075">
        <w:t xml:space="preserve"> </w:t>
      </w:r>
      <w:proofErr w:type="spellStart"/>
      <w:r w:rsidRPr="00EE5075">
        <w:t>kohia</w:t>
      </w:r>
      <w:proofErr w:type="spellEnd"/>
      <w:r w:rsidRPr="00EE5075">
        <w:t xml:space="preserve"> </w:t>
      </w:r>
      <w:proofErr w:type="spellStart"/>
      <w:r w:rsidRPr="00EE5075">
        <w:t>mai</w:t>
      </w:r>
      <w:proofErr w:type="spellEnd"/>
      <w:r w:rsidRPr="00EE5075">
        <w:t xml:space="preserve"> he </w:t>
      </w:r>
      <w:proofErr w:type="spellStart"/>
      <w:r w:rsidRPr="00EE5075">
        <w:t>uaua</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tomo</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toha</w:t>
      </w:r>
      <w:proofErr w:type="spellEnd"/>
      <w:r w:rsidRPr="00EE5075">
        <w:t xml:space="preserve"> </w:t>
      </w:r>
      <w:proofErr w:type="spellStart"/>
      <w:r w:rsidRPr="00EE5075">
        <w:t>haere</w:t>
      </w:r>
      <w:proofErr w:type="spellEnd"/>
      <w:r w:rsidRPr="00EE5075">
        <w:t xml:space="preserve"> </w:t>
      </w:r>
      <w:proofErr w:type="spellStart"/>
      <w:r w:rsidRPr="00EE5075">
        <w:t>hoki</w:t>
      </w:r>
      <w:proofErr w:type="spellEnd"/>
      <w:r w:rsidRPr="00EE5075">
        <w:t xml:space="preserve"> puta </w:t>
      </w:r>
      <w:proofErr w:type="spellStart"/>
      <w:r w:rsidRPr="00EE5075">
        <w:t>atu</w:t>
      </w:r>
      <w:proofErr w:type="spellEnd"/>
      <w:r w:rsidRPr="00EE5075">
        <w:t xml:space="preserve">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pūnaha</w:t>
      </w:r>
      <w:proofErr w:type="spellEnd"/>
      <w:r w:rsidRPr="00EE5075">
        <w:t xml:space="preserve">. </w:t>
      </w:r>
      <w:proofErr w:type="spellStart"/>
      <w:r w:rsidRPr="00EE5075">
        <w:t>Kāore</w:t>
      </w:r>
      <w:proofErr w:type="spellEnd"/>
      <w:r w:rsidR="00411495">
        <w:t xml:space="preserve"> </w:t>
      </w:r>
      <w:proofErr w:type="spellStart"/>
      <w:r w:rsidRPr="00EE5075">
        <w:t>i</w:t>
      </w:r>
      <w:proofErr w:type="spellEnd"/>
      <w:r w:rsidRPr="00EE5075">
        <w:t xml:space="preserve"> </w:t>
      </w:r>
      <w:proofErr w:type="spellStart"/>
      <w:r w:rsidRPr="00EE5075">
        <w:t>āta</w:t>
      </w:r>
      <w:proofErr w:type="spellEnd"/>
      <w:r w:rsidRPr="00EE5075">
        <w:t xml:space="preserve"> </w:t>
      </w:r>
      <w:proofErr w:type="spellStart"/>
      <w:r w:rsidRPr="00EE5075">
        <w:t>maheretia</w:t>
      </w:r>
      <w:proofErr w:type="spellEnd"/>
      <w:r w:rsidRPr="00EE5075">
        <w:t xml:space="preserve"> </w:t>
      </w:r>
      <w:proofErr w:type="spellStart"/>
      <w:r w:rsidRPr="00EE5075">
        <w:t>te</w:t>
      </w:r>
      <w:proofErr w:type="spellEnd"/>
      <w:r w:rsidRPr="00EE5075">
        <w:t xml:space="preserve"> </w:t>
      </w:r>
      <w:proofErr w:type="spellStart"/>
      <w:r w:rsidRPr="00EE5075">
        <w:t>whakangao</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haungarau</w:t>
      </w:r>
      <w:proofErr w:type="spellEnd"/>
      <w:r w:rsidR="00411495">
        <w:t xml:space="preserve"> </w:t>
      </w:r>
      <w:proofErr w:type="spellStart"/>
      <w:r w:rsidRPr="00EE5075">
        <w:t>matihiko</w:t>
      </w:r>
      <w:proofErr w:type="spellEnd"/>
      <w:r w:rsidRPr="00EE5075">
        <w:t xml:space="preserve">, ā, ko </w:t>
      </w:r>
      <w:proofErr w:type="spellStart"/>
      <w:r w:rsidRPr="00EE5075">
        <w:t>te</w:t>
      </w:r>
      <w:proofErr w:type="spellEnd"/>
      <w:r w:rsidRPr="00EE5075">
        <w:t xml:space="preserve"> </w:t>
      </w:r>
      <w:proofErr w:type="spellStart"/>
      <w:r w:rsidRPr="00EE5075">
        <w:t>rāngai</w:t>
      </w:r>
      <w:proofErr w:type="spellEnd"/>
      <w:r w:rsidRPr="00EE5075">
        <w:t xml:space="preserve"> </w:t>
      </w:r>
      <w:proofErr w:type="spellStart"/>
      <w:r w:rsidRPr="00EE5075">
        <w:t>whānui</w:t>
      </w:r>
      <w:proofErr w:type="spellEnd"/>
      <w:r w:rsidRPr="00EE5075">
        <w:t xml:space="preserve"> e </w:t>
      </w:r>
      <w:proofErr w:type="spellStart"/>
      <w:r w:rsidRPr="00EE5075">
        <w:t>uaua</w:t>
      </w:r>
      <w:proofErr w:type="spellEnd"/>
      <w:r w:rsidRPr="00EE5075">
        <w:t xml:space="preserve"> ana </w:t>
      </w:r>
      <w:proofErr w:type="spellStart"/>
      <w:r w:rsidRPr="00EE5075">
        <w:t>te</w:t>
      </w:r>
      <w:proofErr w:type="spellEnd"/>
      <w:r w:rsidRPr="00EE5075">
        <w:t xml:space="preserve"> mahi me </w:t>
      </w:r>
      <w:proofErr w:type="spellStart"/>
      <w:r w:rsidRPr="00EE5075">
        <w:t>ngā</w:t>
      </w:r>
      <w:proofErr w:type="spellEnd"/>
      <w:r w:rsidRPr="00EE5075">
        <w:t xml:space="preserve"> </w:t>
      </w:r>
      <w:proofErr w:type="spellStart"/>
      <w:r w:rsidRPr="00EE5075">
        <w:t>rawa</w:t>
      </w:r>
      <w:proofErr w:type="spellEnd"/>
      <w:r w:rsidRPr="00EE5075">
        <w:t xml:space="preserve"> </w:t>
      </w:r>
      <w:proofErr w:type="spellStart"/>
      <w:r w:rsidRPr="00EE5075">
        <w:t>tahito</w:t>
      </w:r>
      <w:proofErr w:type="spellEnd"/>
      <w:r w:rsidRPr="00EE5075">
        <w:t>.</w:t>
      </w:r>
    </w:p>
    <w:p w14:paraId="0075D790" w14:textId="77777777" w:rsidR="00411495" w:rsidRDefault="00411495" w:rsidP="00411495"/>
    <w:p w14:paraId="0075D791" w14:textId="77777777" w:rsidR="003308C3" w:rsidRPr="00EE5075" w:rsidRDefault="003308C3" w:rsidP="00411495">
      <w:r w:rsidRPr="00EE5075">
        <w:t xml:space="preserve">I </w:t>
      </w:r>
      <w:proofErr w:type="spellStart"/>
      <w:r w:rsidRPr="00EE5075">
        <w:t>te</w:t>
      </w:r>
      <w:proofErr w:type="spellEnd"/>
      <w:r w:rsidRPr="00EE5075">
        <w:t xml:space="preserve"> </w:t>
      </w:r>
      <w:proofErr w:type="spellStart"/>
      <w:r w:rsidRPr="00EE5075">
        <w:t>wā</w:t>
      </w:r>
      <w:proofErr w:type="spellEnd"/>
      <w:r w:rsidRPr="00EE5075">
        <w:t xml:space="preserve"> </w:t>
      </w:r>
      <w:proofErr w:type="spellStart"/>
      <w:r w:rsidRPr="00EE5075">
        <w:t>kotahi</w:t>
      </w:r>
      <w:proofErr w:type="spellEnd"/>
      <w:r w:rsidRPr="00EE5075">
        <w:t xml:space="preserve"> </w:t>
      </w:r>
      <w:proofErr w:type="spellStart"/>
      <w:r w:rsidRPr="00EE5075">
        <w:t>anō</w:t>
      </w:r>
      <w:proofErr w:type="spellEnd"/>
      <w:r w:rsidRPr="00EE5075">
        <w:t xml:space="preserve">, e </w:t>
      </w:r>
      <w:proofErr w:type="spellStart"/>
      <w:r w:rsidRPr="00EE5075">
        <w:t>ruarua</w:t>
      </w:r>
      <w:proofErr w:type="spellEnd"/>
      <w:r w:rsidRPr="00EE5075">
        <w:t xml:space="preserve"> </w:t>
      </w:r>
      <w:proofErr w:type="spellStart"/>
      <w:r w:rsidRPr="00EE5075">
        <w:t>ngā</w:t>
      </w:r>
      <w:proofErr w:type="spellEnd"/>
      <w:r w:rsidRPr="00EE5075">
        <w:t xml:space="preserve"> take </w:t>
      </w:r>
      <w:proofErr w:type="spellStart"/>
      <w:r w:rsidRPr="00EE5075">
        <w:t>nui</w:t>
      </w:r>
      <w:proofErr w:type="spellEnd"/>
      <w:r w:rsidRPr="00EE5075">
        <w:t xml:space="preserve"> </w:t>
      </w:r>
      <w:proofErr w:type="spellStart"/>
      <w:r w:rsidRPr="00EE5075">
        <w:t>hei</w:t>
      </w:r>
      <w:proofErr w:type="spellEnd"/>
      <w:r w:rsidRPr="00EE5075">
        <w:t xml:space="preserve"> </w:t>
      </w:r>
      <w:proofErr w:type="spellStart"/>
      <w:r w:rsidRPr="00EE5075">
        <w:t>panoni</w:t>
      </w:r>
      <w:proofErr w:type="spellEnd"/>
      <w:r w:rsidRPr="00EE5075">
        <w:t xml:space="preserve">. </w:t>
      </w:r>
      <w:proofErr w:type="spellStart"/>
      <w:r w:rsidRPr="00EE5075">
        <w:t>Arā</w:t>
      </w:r>
      <w:proofErr w:type="spellEnd"/>
      <w:r w:rsidRPr="00EE5075">
        <w:t xml:space="preserve">, ko </w:t>
      </w:r>
      <w:proofErr w:type="spellStart"/>
      <w:r w:rsidRPr="00EE5075">
        <w:t>ngā</w:t>
      </w:r>
      <w:proofErr w:type="spellEnd"/>
      <w:r w:rsidRPr="00EE5075">
        <w:t xml:space="preserve"> here ka tau ana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rāngai</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kōrero</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take </w:t>
      </w:r>
      <w:proofErr w:type="spellStart"/>
      <w:r w:rsidRPr="00EE5075">
        <w:t>tōkeke</w:t>
      </w:r>
      <w:proofErr w:type="spellEnd"/>
      <w:r w:rsidRPr="00EE5075">
        <w:t xml:space="preserve"> </w:t>
      </w:r>
      <w:proofErr w:type="spellStart"/>
      <w:r w:rsidRPr="00EE5075">
        <w:t>tomo</w:t>
      </w:r>
      <w:proofErr w:type="spellEnd"/>
      <w:r w:rsidRPr="00EE5075">
        <w:t xml:space="preserve">, ā, </w:t>
      </w:r>
      <w:proofErr w:type="spellStart"/>
      <w:r w:rsidRPr="00EE5075">
        <w:t>ngā</w:t>
      </w:r>
      <w:proofErr w:type="spellEnd"/>
      <w:r w:rsidRPr="00EE5075">
        <w:t xml:space="preserve"> </w:t>
      </w:r>
      <w:proofErr w:type="spellStart"/>
      <w:r w:rsidRPr="00EE5075">
        <w:t>putanga</w:t>
      </w:r>
      <w:proofErr w:type="spellEnd"/>
      <w:r w:rsidRPr="00EE5075">
        <w:t xml:space="preserve"> </w:t>
      </w:r>
      <w:proofErr w:type="spellStart"/>
      <w:r w:rsidRPr="00EE5075">
        <w:t>hauora</w:t>
      </w:r>
      <w:proofErr w:type="spellEnd"/>
      <w:r w:rsidRPr="00EE5075">
        <w:t xml:space="preserve"> me </w:t>
      </w:r>
      <w:proofErr w:type="spellStart"/>
      <w:r w:rsidRPr="00EE5075">
        <w:t>te</w:t>
      </w:r>
      <w:proofErr w:type="spellEnd"/>
      <w:r w:rsidRPr="00EE5075">
        <w:t xml:space="preserve"> </w:t>
      </w:r>
      <w:proofErr w:type="spellStart"/>
      <w:r w:rsidRPr="00EE5075">
        <w:t>whai</w:t>
      </w:r>
      <w:proofErr w:type="spellEnd"/>
      <w:r w:rsidRPr="00EE5075">
        <w:t xml:space="preserve"> i </w:t>
      </w:r>
      <w:proofErr w:type="spellStart"/>
      <w:r w:rsidRPr="00EE5075">
        <w:t>ngā</w:t>
      </w:r>
      <w:proofErr w:type="spellEnd"/>
      <w:r w:rsidRPr="00EE5075">
        <w:t xml:space="preserve"> </w:t>
      </w:r>
      <w:proofErr w:type="spellStart"/>
      <w:r w:rsidRPr="00EE5075">
        <w:t>mātāpono</w:t>
      </w:r>
      <w:proofErr w:type="spellEnd"/>
      <w:r w:rsidRPr="00EE5075">
        <w:t xml:space="preserve"> o </w:t>
      </w:r>
      <w:proofErr w:type="spellStart"/>
      <w:r w:rsidRPr="00EE5075">
        <w:t>te</w:t>
      </w:r>
      <w:proofErr w:type="spellEnd"/>
      <w:r w:rsidRPr="00EE5075">
        <w:t xml:space="preserve"> </w:t>
      </w:r>
      <w:proofErr w:type="spellStart"/>
      <w:r w:rsidRPr="00EE5075">
        <w:t>Tiriti</w:t>
      </w:r>
      <w:proofErr w:type="spellEnd"/>
      <w:r w:rsidRPr="00EE5075">
        <w:t xml:space="preserve"> o Waitangi, </w:t>
      </w:r>
      <w:proofErr w:type="spellStart"/>
      <w:r w:rsidRPr="00EE5075">
        <w:t>ngā</w:t>
      </w:r>
      <w:proofErr w:type="spellEnd"/>
      <w:r w:rsidRPr="00EE5075">
        <w:t xml:space="preserve"> </w:t>
      </w:r>
      <w:proofErr w:type="spellStart"/>
      <w:r w:rsidRPr="00EE5075">
        <w:t>kawatau</w:t>
      </w:r>
      <w:proofErr w:type="spellEnd"/>
      <w:r w:rsidRPr="00EE5075">
        <w:t xml:space="preserve"> </w:t>
      </w:r>
      <w:proofErr w:type="spellStart"/>
      <w:r w:rsidRPr="00EE5075">
        <w:t>nui</w:t>
      </w:r>
      <w:proofErr w:type="spellEnd"/>
      <w:r w:rsidRPr="00EE5075">
        <w:t xml:space="preserve"> o </w:t>
      </w:r>
      <w:proofErr w:type="spellStart"/>
      <w:r w:rsidRPr="00EE5075">
        <w:t>te</w:t>
      </w:r>
      <w:proofErr w:type="spellEnd"/>
      <w:r w:rsidRPr="00EE5075">
        <w:t xml:space="preserve"> </w:t>
      </w:r>
      <w:proofErr w:type="spellStart"/>
      <w:r w:rsidRPr="00EE5075">
        <w:t>tūroro</w:t>
      </w:r>
      <w:proofErr w:type="spellEnd"/>
      <w:r w:rsidRPr="00EE5075">
        <w:t xml:space="preserve"> </w:t>
      </w:r>
      <w:proofErr w:type="spellStart"/>
      <w:r w:rsidRPr="00EE5075">
        <w:t>whai</w:t>
      </w:r>
      <w:proofErr w:type="spellEnd"/>
      <w:r w:rsidRPr="00EE5075">
        <w:t xml:space="preserve"> </w:t>
      </w:r>
      <w:proofErr w:type="spellStart"/>
      <w:r w:rsidRPr="00EE5075">
        <w:t>waahi</w:t>
      </w:r>
      <w:proofErr w:type="spellEnd"/>
      <w:r w:rsidRPr="00EE5075">
        <w:t xml:space="preserve"> </w:t>
      </w:r>
      <w:proofErr w:type="spellStart"/>
      <w:r w:rsidRPr="00EE5075">
        <w:t>mai</w:t>
      </w:r>
      <w:proofErr w:type="spellEnd"/>
      <w:r w:rsidRPr="00EE5075">
        <w:t xml:space="preserve"> me </w:t>
      </w:r>
      <w:proofErr w:type="spellStart"/>
      <w:r w:rsidRPr="00EE5075">
        <w:t>ngā</w:t>
      </w:r>
      <w:proofErr w:type="spellEnd"/>
      <w:r w:rsidRPr="00EE5075">
        <w:t xml:space="preserve"> </w:t>
      </w:r>
      <w:proofErr w:type="spellStart"/>
      <w:r w:rsidRPr="00EE5075">
        <w:t>hangarau</w:t>
      </w:r>
      <w:proofErr w:type="spellEnd"/>
      <w:r w:rsidRPr="00EE5075">
        <w:t xml:space="preserve"> </w:t>
      </w:r>
      <w:proofErr w:type="spellStart"/>
      <w:r w:rsidRPr="00EE5075">
        <w:t>hōu</w:t>
      </w:r>
      <w:proofErr w:type="spellEnd"/>
      <w:r w:rsidRPr="00EE5075">
        <w:t xml:space="preserve"> </w:t>
      </w:r>
      <w:proofErr w:type="spellStart"/>
      <w:r w:rsidRPr="00EE5075">
        <w:t>te</w:t>
      </w:r>
      <w:proofErr w:type="spellEnd"/>
      <w:r w:rsidRPr="00EE5075">
        <w:t xml:space="preserve"> </w:t>
      </w:r>
      <w:proofErr w:type="spellStart"/>
      <w:r w:rsidRPr="00EE5075">
        <w:t>ara</w:t>
      </w:r>
      <w:proofErr w:type="spellEnd"/>
      <w:r w:rsidRPr="00EE5075">
        <w:t xml:space="preserve"> </w:t>
      </w:r>
      <w:proofErr w:type="spellStart"/>
      <w:r w:rsidRPr="00EE5075">
        <w:t>ake</w:t>
      </w:r>
      <w:proofErr w:type="spellEnd"/>
      <w:r w:rsidRPr="00EE5075">
        <w:t xml:space="preserve">. E mahi </w:t>
      </w:r>
      <w:proofErr w:type="spellStart"/>
      <w:r w:rsidRPr="00EE5075">
        <w:t>tahi</w:t>
      </w:r>
      <w:proofErr w:type="spellEnd"/>
      <w:r w:rsidRPr="00EE5075">
        <w:t xml:space="preserve"> ana a </w:t>
      </w:r>
      <w:proofErr w:type="spellStart"/>
      <w:r w:rsidRPr="00EE5075">
        <w:t>Te</w:t>
      </w:r>
      <w:proofErr w:type="spellEnd"/>
      <w:r w:rsidRPr="00EE5075">
        <w:t xml:space="preserve"> </w:t>
      </w:r>
      <w:proofErr w:type="spellStart"/>
      <w:r w:rsidRPr="00EE5075">
        <w:t>Manatū</w:t>
      </w:r>
      <w:proofErr w:type="spellEnd"/>
      <w:r w:rsidRPr="00EE5075">
        <w:t xml:space="preserve"> Hauora me </w:t>
      </w:r>
      <w:proofErr w:type="spellStart"/>
      <w:r w:rsidRPr="00EE5075">
        <w:t>ētahi</w:t>
      </w:r>
      <w:proofErr w:type="spellEnd"/>
      <w:r w:rsidRPr="00EE5075">
        <w:t xml:space="preserve"> </w:t>
      </w:r>
      <w:proofErr w:type="spellStart"/>
      <w:r w:rsidRPr="00EE5075">
        <w:t>atu</w:t>
      </w:r>
      <w:proofErr w:type="spellEnd"/>
      <w:r w:rsidRPr="00EE5075">
        <w:t xml:space="preserve"> </w:t>
      </w:r>
      <w:proofErr w:type="spellStart"/>
      <w:r w:rsidRPr="00EE5075">
        <w:t>tūmomo</w:t>
      </w:r>
      <w:proofErr w:type="spellEnd"/>
      <w:r w:rsidRPr="00EE5075">
        <w:t xml:space="preserve"> </w:t>
      </w:r>
      <w:proofErr w:type="spellStart"/>
      <w:r w:rsidRPr="00EE5075">
        <w:t>roopu</w:t>
      </w:r>
      <w:proofErr w:type="spellEnd"/>
      <w:r w:rsidRPr="00EE5075">
        <w:t xml:space="preserve"> o </w:t>
      </w:r>
      <w:proofErr w:type="spellStart"/>
      <w:r w:rsidRPr="00EE5075">
        <w:t>te</w:t>
      </w:r>
      <w:proofErr w:type="spellEnd"/>
      <w:r w:rsidRPr="00EE5075">
        <w:t xml:space="preserve"> </w:t>
      </w:r>
      <w:proofErr w:type="spellStart"/>
      <w:r w:rsidRPr="00EE5075">
        <w:t>rāngai</w:t>
      </w:r>
      <w:proofErr w:type="spellEnd"/>
      <w:r w:rsidRPr="00EE5075">
        <w:t xml:space="preserve"> </w:t>
      </w:r>
      <w:proofErr w:type="spellStart"/>
      <w:r w:rsidRPr="00EE5075">
        <w:t>whānui</w:t>
      </w:r>
      <w:proofErr w:type="spellEnd"/>
      <w:r w:rsidRPr="00EE5075">
        <w:t xml:space="preserve"> me </w:t>
      </w:r>
      <w:proofErr w:type="spellStart"/>
      <w:r w:rsidRPr="00EE5075">
        <w:t>ngā</w:t>
      </w:r>
      <w:proofErr w:type="spellEnd"/>
      <w:r w:rsidRPr="00EE5075">
        <w:t xml:space="preserve"> </w:t>
      </w:r>
      <w:proofErr w:type="spellStart"/>
      <w:r w:rsidRPr="00EE5075">
        <w:t>hoa</w:t>
      </w:r>
      <w:proofErr w:type="spellEnd"/>
      <w:r w:rsidRPr="00EE5075">
        <w:t xml:space="preserve"> </w:t>
      </w:r>
      <w:proofErr w:type="spellStart"/>
      <w:r w:rsidRPr="00EE5075">
        <w:t>ahumahi</w:t>
      </w:r>
      <w:proofErr w:type="spellEnd"/>
      <w:r w:rsidR="0041149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whakawhanake</w:t>
      </w:r>
      <w:proofErr w:type="spellEnd"/>
      <w:r w:rsidRPr="00EE5075">
        <w:t xml:space="preserve"> </w:t>
      </w:r>
      <w:proofErr w:type="spellStart"/>
      <w:r w:rsidRPr="00EE5075">
        <w:t>pūnaha</w:t>
      </w:r>
      <w:proofErr w:type="spellEnd"/>
      <w:r w:rsidRPr="00EE5075">
        <w:t xml:space="preserve"> e </w:t>
      </w:r>
      <w:proofErr w:type="spellStart"/>
      <w:r w:rsidRPr="00EE5075">
        <w:t>āhei</w:t>
      </w:r>
      <w:proofErr w:type="spellEnd"/>
      <w:r w:rsidRPr="00EE5075">
        <w:t xml:space="preserve"> ana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urupare</w:t>
      </w:r>
      <w:proofErr w:type="spellEnd"/>
      <w:r w:rsidRPr="00EE5075">
        <w:t xml:space="preserve"> </w:t>
      </w:r>
      <w:proofErr w:type="spellStart"/>
      <w:r w:rsidRPr="00EE5075">
        <w:t>atu</w:t>
      </w:r>
      <w:proofErr w:type="spellEnd"/>
      <w:r w:rsidRPr="00EE5075">
        <w:t xml:space="preserve"> </w:t>
      </w:r>
      <w:proofErr w:type="spellStart"/>
      <w:r w:rsidRPr="00EE5075">
        <w:t>i</w:t>
      </w:r>
      <w:proofErr w:type="spellEnd"/>
      <w:r w:rsidRPr="00EE5075">
        <w:t xml:space="preserve"> </w:t>
      </w:r>
      <w:proofErr w:type="spellStart"/>
      <w:r w:rsidRPr="00EE5075">
        <w:t>ēnei</w:t>
      </w:r>
      <w:proofErr w:type="spellEnd"/>
      <w:r w:rsidRPr="00EE5075">
        <w:t xml:space="preserve"> take. </w:t>
      </w:r>
      <w:proofErr w:type="spellStart"/>
      <w:r w:rsidRPr="00EE5075">
        <w:t>Waihoki</w:t>
      </w:r>
      <w:proofErr w:type="spellEnd"/>
      <w:r w:rsidRPr="00EE5075">
        <w:t xml:space="preserve">, </w:t>
      </w:r>
      <w:proofErr w:type="spellStart"/>
      <w:r w:rsidRPr="00EE5075">
        <w:t>kua</w:t>
      </w:r>
      <w:proofErr w:type="spellEnd"/>
      <w:r w:rsidRPr="00EE5075">
        <w:t xml:space="preserve"> </w:t>
      </w:r>
      <w:proofErr w:type="spellStart"/>
      <w:r w:rsidRPr="00EE5075">
        <w:t>tauākītia</w:t>
      </w:r>
      <w:proofErr w:type="spellEnd"/>
      <w:r w:rsidRPr="00EE5075">
        <w:t xml:space="preserve"> e </w:t>
      </w:r>
      <w:proofErr w:type="spellStart"/>
      <w:r w:rsidRPr="00EE5075">
        <w:t>te</w:t>
      </w:r>
      <w:proofErr w:type="spellEnd"/>
      <w:r w:rsidRPr="00EE5075">
        <w:t xml:space="preserve"> </w:t>
      </w:r>
      <w:proofErr w:type="spellStart"/>
      <w:r w:rsidRPr="00EE5075">
        <w:t>Kawanatanga</w:t>
      </w:r>
      <w:proofErr w:type="spellEnd"/>
      <w:r w:rsidRPr="00EE5075">
        <w:t xml:space="preserve"> ka </w:t>
      </w:r>
      <w:proofErr w:type="spellStart"/>
      <w:r w:rsidRPr="00EE5075">
        <w:t>panoni</w:t>
      </w:r>
      <w:proofErr w:type="spellEnd"/>
      <w:r w:rsidRPr="00EE5075">
        <w:t xml:space="preserve"> </w:t>
      </w:r>
      <w:proofErr w:type="spellStart"/>
      <w:r w:rsidRPr="00EE5075">
        <w:t>nuitia</w:t>
      </w:r>
      <w:proofErr w:type="spellEnd"/>
      <w:r w:rsidRPr="00EE5075">
        <w:t xml:space="preserve"> </w:t>
      </w:r>
      <w:proofErr w:type="spellStart"/>
      <w:r w:rsidRPr="00EE5075">
        <w:t>ngā</w:t>
      </w:r>
      <w:proofErr w:type="spellEnd"/>
      <w:r w:rsidRPr="00EE5075">
        <w:t xml:space="preserve"> </w:t>
      </w:r>
      <w:proofErr w:type="spellStart"/>
      <w:r w:rsidRPr="00EE5075">
        <w:t>whakahaere</w:t>
      </w:r>
      <w:proofErr w:type="spellEnd"/>
      <w:r w:rsidRPr="00EE5075">
        <w:t xml:space="preserve"> </w:t>
      </w:r>
      <w:proofErr w:type="spellStart"/>
      <w:r w:rsidRPr="00EE5075">
        <w:t>mō</w:t>
      </w:r>
      <w:proofErr w:type="spellEnd"/>
      <w:r w:rsidRPr="00EE5075">
        <w:t xml:space="preserve"> </w:t>
      </w:r>
      <w:proofErr w:type="spellStart"/>
      <w:r w:rsidRPr="00EE5075">
        <w:t>te</w:t>
      </w:r>
      <w:proofErr w:type="spellEnd"/>
      <w:r w:rsidRPr="00EE5075">
        <w:t xml:space="preserve"> </w:t>
      </w:r>
      <w:proofErr w:type="spellStart"/>
      <w:r w:rsidRPr="00EE5075">
        <w:t>rāngai</w:t>
      </w:r>
      <w:proofErr w:type="spellEnd"/>
      <w:r w:rsidRPr="00EE5075">
        <w:t xml:space="preserve"> e puta ai </w:t>
      </w:r>
      <w:proofErr w:type="spellStart"/>
      <w:r w:rsidRPr="00EE5075">
        <w:t>ngā</w:t>
      </w:r>
      <w:proofErr w:type="spellEnd"/>
      <w:r w:rsidRPr="00EE5075">
        <w:t xml:space="preserve"> </w:t>
      </w:r>
      <w:proofErr w:type="spellStart"/>
      <w:r w:rsidRPr="00EE5075">
        <w:t>angitūtanga</w:t>
      </w:r>
      <w:proofErr w:type="spellEnd"/>
      <w:r w:rsidRPr="00EE5075">
        <w:t xml:space="preserve"> </w:t>
      </w:r>
      <w:proofErr w:type="spellStart"/>
      <w:r w:rsidRPr="00EE5075">
        <w:t>whakapaipai</w:t>
      </w:r>
      <w:proofErr w:type="spellEnd"/>
      <w:r w:rsidRPr="00EE5075">
        <w:t xml:space="preserve">. Ko </w:t>
      </w:r>
      <w:proofErr w:type="spellStart"/>
      <w:r w:rsidRPr="00EE5075">
        <w:t>te</w:t>
      </w:r>
      <w:proofErr w:type="spellEnd"/>
      <w:r w:rsidRPr="00EE5075">
        <w:t xml:space="preserve"> </w:t>
      </w:r>
      <w:proofErr w:type="spellStart"/>
      <w:r w:rsidRPr="00EE5075">
        <w:t>tomo</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raraunga</w:t>
      </w:r>
      <w:proofErr w:type="spellEnd"/>
      <w:r w:rsidRPr="00EE5075">
        <w:t xml:space="preserve"> kia </w:t>
      </w:r>
      <w:proofErr w:type="spellStart"/>
      <w:r w:rsidRPr="00EE5075">
        <w:t>whakamōhiotia</w:t>
      </w:r>
      <w:proofErr w:type="spellEnd"/>
      <w:r w:rsidRPr="00EE5075">
        <w:t xml:space="preserve"> </w:t>
      </w:r>
      <w:proofErr w:type="spellStart"/>
      <w:r w:rsidRPr="00EE5075">
        <w:t>ngā</w:t>
      </w:r>
      <w:proofErr w:type="spellEnd"/>
      <w:r w:rsidRPr="00EE5075">
        <w:t xml:space="preserve"> </w:t>
      </w:r>
      <w:proofErr w:type="spellStart"/>
      <w:r w:rsidRPr="00EE5075">
        <w:t>whakataunga</w:t>
      </w:r>
      <w:proofErr w:type="spellEnd"/>
      <w:r w:rsidRPr="00EE5075">
        <w:t xml:space="preserve"> e </w:t>
      </w:r>
      <w:proofErr w:type="spellStart"/>
      <w:r w:rsidRPr="00EE5075">
        <w:t>tino</w:t>
      </w:r>
      <w:proofErr w:type="spellEnd"/>
      <w:r w:rsidRPr="00EE5075">
        <w:t xml:space="preserve"> </w:t>
      </w:r>
      <w:proofErr w:type="spellStart"/>
      <w:r w:rsidRPr="00EE5075">
        <w:t>hira</w:t>
      </w:r>
      <w:proofErr w:type="spellEnd"/>
      <w:r w:rsidRPr="00EE5075">
        <w:t xml:space="preserve"> ana e </w:t>
      </w:r>
      <w:proofErr w:type="spellStart"/>
      <w:r w:rsidRPr="00EE5075">
        <w:t>pahawa</w:t>
      </w:r>
      <w:proofErr w:type="spellEnd"/>
      <w:r w:rsidRPr="00EE5075">
        <w:t xml:space="preserve"> ai </w:t>
      </w:r>
      <w:proofErr w:type="spellStart"/>
      <w:r w:rsidRPr="00EE5075">
        <w:t>ngā</w:t>
      </w:r>
      <w:proofErr w:type="spellEnd"/>
      <w:r w:rsidRPr="00EE5075">
        <w:t xml:space="preserve"> </w:t>
      </w:r>
      <w:proofErr w:type="spellStart"/>
      <w:r w:rsidRPr="00EE5075">
        <w:t>hua</w:t>
      </w:r>
      <w:proofErr w:type="spellEnd"/>
      <w:r w:rsidRPr="00EE5075">
        <w:t xml:space="preserve"> pai o </w:t>
      </w:r>
      <w:proofErr w:type="spellStart"/>
      <w:r w:rsidRPr="00EE5075">
        <w:t>ēnei</w:t>
      </w:r>
      <w:proofErr w:type="spellEnd"/>
      <w:r w:rsidRPr="00EE5075">
        <w:t xml:space="preserve"> </w:t>
      </w:r>
      <w:proofErr w:type="spellStart"/>
      <w:r w:rsidRPr="00EE5075">
        <w:t>panonitanga</w:t>
      </w:r>
      <w:proofErr w:type="spellEnd"/>
      <w:r w:rsidRPr="00EE5075">
        <w:t>.</w:t>
      </w:r>
    </w:p>
    <w:p w14:paraId="0075D792" w14:textId="77777777" w:rsidR="00411495" w:rsidRDefault="00411495" w:rsidP="00411495"/>
    <w:p w14:paraId="0075D793" w14:textId="77777777" w:rsidR="003308C3" w:rsidRDefault="003308C3" w:rsidP="00411495">
      <w:r w:rsidRPr="00EE5075">
        <w:t xml:space="preserve">Ko </w:t>
      </w:r>
      <w:proofErr w:type="spellStart"/>
      <w:r w:rsidRPr="00EE5075">
        <w:t>te</w:t>
      </w:r>
      <w:proofErr w:type="spellEnd"/>
      <w:r w:rsidRPr="00EE5075">
        <w:t xml:space="preserve"> </w:t>
      </w:r>
      <w:proofErr w:type="spellStart"/>
      <w:r w:rsidRPr="00EE5075">
        <w:t>uiui</w:t>
      </w:r>
      <w:proofErr w:type="spellEnd"/>
      <w:r w:rsidRPr="00EE5075">
        <w:t xml:space="preserve"> </w:t>
      </w:r>
      <w:proofErr w:type="spellStart"/>
      <w:r w:rsidRPr="00EE5075">
        <w:t>haere</w:t>
      </w:r>
      <w:proofErr w:type="spellEnd"/>
      <w:r w:rsidRPr="00EE5075">
        <w:t xml:space="preserve"> puta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rāngai</w:t>
      </w:r>
      <w:proofErr w:type="spellEnd"/>
      <w:r w:rsidRPr="00EE5075">
        <w:t xml:space="preserve"> (</w:t>
      </w:r>
      <w:proofErr w:type="spellStart"/>
      <w:r w:rsidRPr="00EE5075">
        <w:t>tua</w:t>
      </w:r>
      <w:proofErr w:type="spellEnd"/>
      <w:r w:rsidRPr="00EE5075">
        <w:t xml:space="preserve"> </w:t>
      </w:r>
      <w:proofErr w:type="spellStart"/>
      <w:r w:rsidRPr="00EE5075">
        <w:t>atu</w:t>
      </w:r>
      <w:proofErr w:type="spellEnd"/>
      <w:r w:rsidRPr="00EE5075">
        <w:t xml:space="preserve"> </w:t>
      </w:r>
      <w:proofErr w:type="spellStart"/>
      <w:r w:rsidRPr="00EE5075">
        <w:t>hoki</w:t>
      </w:r>
      <w:proofErr w:type="spellEnd"/>
      <w:r w:rsidRPr="00EE5075">
        <w:t xml:space="preserve">)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wā</w:t>
      </w:r>
      <w:proofErr w:type="spellEnd"/>
      <w:r w:rsidRPr="00EE5075">
        <w:t xml:space="preserve"> o </w:t>
      </w:r>
      <w:proofErr w:type="spellStart"/>
      <w:r w:rsidRPr="00EE5075">
        <w:t>tā</w:t>
      </w:r>
      <w:proofErr w:type="spellEnd"/>
      <w:r w:rsidRPr="00EE5075">
        <w:t xml:space="preserve"> </w:t>
      </w:r>
      <w:proofErr w:type="spellStart"/>
      <w:r w:rsidRPr="00EE5075">
        <w:t>mātou</w:t>
      </w:r>
      <w:proofErr w:type="spellEnd"/>
      <w:r w:rsidRPr="00EE5075">
        <w:t xml:space="preserve"> </w:t>
      </w:r>
      <w:proofErr w:type="spellStart"/>
      <w:r w:rsidRPr="00EE5075">
        <w:t>whakawhanaketanga</w:t>
      </w:r>
      <w:proofErr w:type="spellEnd"/>
      <w:r w:rsidRPr="00EE5075">
        <w:t xml:space="preserve"> </w:t>
      </w:r>
      <w:proofErr w:type="spellStart"/>
      <w:r w:rsidRPr="00EE5075">
        <w:t>i</w:t>
      </w:r>
      <w:proofErr w:type="spellEnd"/>
      <w:r w:rsidRPr="00EE5075">
        <w:t xml:space="preserve"> </w:t>
      </w:r>
      <w:proofErr w:type="spellStart"/>
      <w:r w:rsidRPr="00EE5075">
        <w:t>tēnei</w:t>
      </w:r>
      <w:proofErr w:type="spellEnd"/>
      <w:r w:rsidRPr="00EE5075">
        <w:t xml:space="preserve"> </w:t>
      </w:r>
      <w:proofErr w:type="spellStart"/>
      <w:r w:rsidRPr="00EE5075">
        <w:t>rautaki</w:t>
      </w:r>
      <w:proofErr w:type="spellEnd"/>
      <w:r w:rsidRPr="00EE5075">
        <w:t xml:space="preserve"> </w:t>
      </w:r>
      <w:proofErr w:type="spellStart"/>
      <w:r w:rsidRPr="00EE5075">
        <w:t>i</w:t>
      </w:r>
      <w:proofErr w:type="spellEnd"/>
      <w:r w:rsidRPr="00EE5075">
        <w:t xml:space="preserve"> </w:t>
      </w:r>
      <w:proofErr w:type="spellStart"/>
      <w:r w:rsidRPr="00EE5075">
        <w:t>tautohua</w:t>
      </w:r>
      <w:proofErr w:type="spellEnd"/>
      <w:r w:rsidRPr="00EE5075">
        <w:t xml:space="preserve"> </w:t>
      </w:r>
      <w:proofErr w:type="spellStart"/>
      <w:r w:rsidRPr="00EE5075">
        <w:t>ngā</w:t>
      </w:r>
      <w:proofErr w:type="spellEnd"/>
      <w:r w:rsidRPr="00EE5075">
        <w:t xml:space="preserve"> </w:t>
      </w:r>
      <w:proofErr w:type="spellStart"/>
      <w:r w:rsidRPr="00EE5075">
        <w:t>wāhanga</w:t>
      </w:r>
      <w:proofErr w:type="spellEnd"/>
      <w:r w:rsidRPr="00EE5075">
        <w:t xml:space="preserve"> e </w:t>
      </w:r>
      <w:proofErr w:type="spellStart"/>
      <w:r w:rsidRPr="00EE5075">
        <w:t>whai</w:t>
      </w:r>
      <w:proofErr w:type="spellEnd"/>
      <w:r w:rsidRPr="00EE5075">
        <w:t xml:space="preserve"> </w:t>
      </w:r>
      <w:proofErr w:type="spellStart"/>
      <w:r w:rsidRPr="00EE5075">
        <w:t>nei</w:t>
      </w:r>
      <w:proofErr w:type="spellEnd"/>
      <w:r w:rsidRPr="00EE5075">
        <w:t xml:space="preserve"> </w:t>
      </w:r>
      <w:proofErr w:type="spellStart"/>
      <w:r w:rsidRPr="00EE5075">
        <w:t>hei</w:t>
      </w:r>
      <w:proofErr w:type="spellEnd"/>
      <w:r w:rsidRPr="00EE5075">
        <w:t xml:space="preserve"> </w:t>
      </w:r>
      <w:proofErr w:type="spellStart"/>
      <w:r w:rsidRPr="00EE5075">
        <w:t>whakapau</w:t>
      </w:r>
      <w:proofErr w:type="spellEnd"/>
      <w:r w:rsidRPr="00EE5075">
        <w:t xml:space="preserve"> kaha </w:t>
      </w:r>
      <w:proofErr w:type="spellStart"/>
      <w:r w:rsidRPr="00EE5075">
        <w:t>mā</w:t>
      </w:r>
      <w:proofErr w:type="spellEnd"/>
      <w:r w:rsidRPr="00EE5075">
        <w:t xml:space="preserve"> </w:t>
      </w:r>
      <w:proofErr w:type="spellStart"/>
      <w:r w:rsidRPr="00EE5075">
        <w:t>mātou</w:t>
      </w:r>
      <w:proofErr w:type="spellEnd"/>
      <w:r w:rsidRPr="00EE5075">
        <w:t xml:space="preserve">: </w:t>
      </w:r>
      <w:proofErr w:type="spellStart"/>
      <w:r w:rsidRPr="00EE5075">
        <w:t>ngā</w:t>
      </w:r>
      <w:proofErr w:type="spellEnd"/>
      <w:r w:rsidRPr="00EE5075">
        <w:t xml:space="preserve"> </w:t>
      </w:r>
      <w:proofErr w:type="spellStart"/>
      <w:r w:rsidRPr="00EE5075">
        <w:t>tuapapa</w:t>
      </w:r>
      <w:proofErr w:type="spellEnd"/>
      <w:r w:rsidR="00411495">
        <w:t xml:space="preserve"> </w:t>
      </w:r>
      <w:proofErr w:type="spellStart"/>
      <w:r w:rsidRPr="00EE5075">
        <w:t>raraunga</w:t>
      </w:r>
      <w:proofErr w:type="spellEnd"/>
      <w:r w:rsidRPr="00EE5075">
        <w:t xml:space="preserve">, </w:t>
      </w:r>
      <w:proofErr w:type="spellStart"/>
      <w:r w:rsidRPr="00EE5075">
        <w:t>te</w:t>
      </w:r>
      <w:proofErr w:type="spellEnd"/>
      <w:r w:rsidRPr="00EE5075">
        <w:t xml:space="preserve"> </w:t>
      </w:r>
      <w:proofErr w:type="spellStart"/>
      <w:r w:rsidRPr="00EE5075">
        <w:t>tōkeke</w:t>
      </w:r>
      <w:proofErr w:type="spellEnd"/>
      <w:r w:rsidRPr="00EE5075">
        <w:t xml:space="preserve"> me </w:t>
      </w:r>
      <w:proofErr w:type="spellStart"/>
      <w:r w:rsidRPr="00EE5075">
        <w:t>te</w:t>
      </w:r>
      <w:proofErr w:type="spellEnd"/>
      <w:r w:rsidRPr="00EE5075">
        <w:t xml:space="preserve"> rangatiratanga o </w:t>
      </w:r>
      <w:proofErr w:type="spellStart"/>
      <w:r w:rsidRPr="00EE5075">
        <w:t>ngā</w:t>
      </w:r>
      <w:proofErr w:type="spellEnd"/>
      <w:r w:rsidRPr="00EE5075">
        <w:t xml:space="preserve"> </w:t>
      </w:r>
      <w:proofErr w:type="spellStart"/>
      <w:r w:rsidRPr="00EE5075">
        <w:t>raraunga</w:t>
      </w:r>
      <w:proofErr w:type="spellEnd"/>
      <w:r w:rsidRPr="00EE5075">
        <w:t xml:space="preserve">, </w:t>
      </w:r>
      <w:proofErr w:type="spellStart"/>
      <w:r w:rsidRPr="00EE5075">
        <w:t>te</w:t>
      </w:r>
      <w:proofErr w:type="spellEnd"/>
      <w:r w:rsidRPr="00EE5075">
        <w:t xml:space="preserve"> </w:t>
      </w:r>
      <w:proofErr w:type="spellStart"/>
      <w:r w:rsidRPr="00EE5075">
        <w:t>whai</w:t>
      </w:r>
      <w:proofErr w:type="spellEnd"/>
      <w:r w:rsidRPr="00EE5075">
        <w:t xml:space="preserve"> </w:t>
      </w:r>
      <w:proofErr w:type="spellStart"/>
      <w:r w:rsidRPr="00EE5075">
        <w:t>waahitanga</w:t>
      </w:r>
      <w:proofErr w:type="spellEnd"/>
      <w:r w:rsidRPr="00EE5075">
        <w:t xml:space="preserve"> a </w:t>
      </w:r>
      <w:proofErr w:type="spellStart"/>
      <w:r w:rsidRPr="00EE5075">
        <w:t>te</w:t>
      </w:r>
      <w:proofErr w:type="spellEnd"/>
      <w:r w:rsidRPr="00EE5075">
        <w:t xml:space="preserve"> </w:t>
      </w:r>
      <w:proofErr w:type="spellStart"/>
      <w:r w:rsidRPr="00EE5075">
        <w:t>hunga</w:t>
      </w:r>
      <w:proofErr w:type="spellEnd"/>
      <w:r w:rsidRPr="00EE5075">
        <w:t xml:space="preserve"> </w:t>
      </w:r>
      <w:proofErr w:type="spellStart"/>
      <w:r w:rsidRPr="00EE5075">
        <w:t>kiritaki</w:t>
      </w:r>
      <w:proofErr w:type="spellEnd"/>
      <w:r w:rsidRPr="00EE5075">
        <w:t xml:space="preserve">, </w:t>
      </w:r>
      <w:proofErr w:type="spellStart"/>
      <w:r w:rsidRPr="00EE5075">
        <w:t>ngā</w:t>
      </w:r>
      <w:proofErr w:type="spellEnd"/>
      <w:r w:rsidRPr="00EE5075">
        <w:t xml:space="preserve"> </w:t>
      </w:r>
      <w:proofErr w:type="spellStart"/>
      <w:r w:rsidRPr="00EE5075">
        <w:t>tāngata</w:t>
      </w:r>
      <w:proofErr w:type="spellEnd"/>
      <w:r w:rsidRPr="00EE5075">
        <w:t xml:space="preserve"> me </w:t>
      </w:r>
      <w:proofErr w:type="spellStart"/>
      <w:r w:rsidRPr="00EE5075">
        <w:t>te</w:t>
      </w:r>
      <w:proofErr w:type="spellEnd"/>
      <w:r w:rsidRPr="00EE5075">
        <w:t xml:space="preserve"> </w:t>
      </w:r>
      <w:proofErr w:type="spellStart"/>
      <w:r w:rsidRPr="00EE5075">
        <w:t>ārahitanga</w:t>
      </w:r>
      <w:proofErr w:type="spellEnd"/>
      <w:r w:rsidRPr="00EE5075">
        <w:t xml:space="preserve"> me </w:t>
      </w:r>
      <w:proofErr w:type="spellStart"/>
      <w:r w:rsidRPr="00EE5075">
        <w:t>te</w:t>
      </w:r>
      <w:proofErr w:type="spellEnd"/>
      <w:r w:rsidRPr="00EE5075">
        <w:t xml:space="preserve"> </w:t>
      </w:r>
      <w:proofErr w:type="spellStart"/>
      <w:r w:rsidRPr="00EE5075">
        <w:t>tomonga</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raraunga</w:t>
      </w:r>
      <w:proofErr w:type="spellEnd"/>
      <w:r w:rsidRPr="00EE5075">
        <w:t>.</w:t>
      </w:r>
    </w:p>
    <w:p w14:paraId="0075D794" w14:textId="77777777" w:rsidR="00411495" w:rsidRPr="00EE5075" w:rsidRDefault="00411495" w:rsidP="00411495"/>
    <w:p w14:paraId="0075D795" w14:textId="77777777" w:rsidR="00411495" w:rsidRDefault="003308C3" w:rsidP="00411495">
      <w:pPr>
        <w:pStyle w:val="Heading3"/>
      </w:pPr>
      <w:proofErr w:type="spellStart"/>
      <w:r w:rsidRPr="00EE5075">
        <w:lastRenderedPageBreak/>
        <w:t>Ngā</w:t>
      </w:r>
      <w:proofErr w:type="spellEnd"/>
      <w:r w:rsidRPr="00EE5075">
        <w:t xml:space="preserve"> </w:t>
      </w:r>
      <w:proofErr w:type="spellStart"/>
      <w:r w:rsidRPr="00EE5075">
        <w:t>tuapapa</w:t>
      </w:r>
      <w:proofErr w:type="spellEnd"/>
      <w:r w:rsidRPr="00EE5075">
        <w:t xml:space="preserve"> </w:t>
      </w:r>
      <w:proofErr w:type="spellStart"/>
      <w:r w:rsidRPr="00EE5075">
        <w:t>raraunga</w:t>
      </w:r>
      <w:proofErr w:type="spellEnd"/>
    </w:p>
    <w:p w14:paraId="0075D796" w14:textId="77777777" w:rsidR="003308C3" w:rsidRPr="00EE5075" w:rsidRDefault="00411495" w:rsidP="00411495">
      <w:r>
        <w:t>K</w:t>
      </w:r>
      <w:r w:rsidR="003308C3" w:rsidRPr="00EE5075">
        <w:t xml:space="preserve">o </w:t>
      </w:r>
      <w:proofErr w:type="spellStart"/>
      <w:r w:rsidR="003308C3" w:rsidRPr="00EE5075">
        <w:t>te</w:t>
      </w:r>
      <w:proofErr w:type="spellEnd"/>
      <w:r w:rsidR="003308C3" w:rsidRPr="00EE5075">
        <w:t xml:space="preserve"> </w:t>
      </w:r>
      <w:proofErr w:type="spellStart"/>
      <w:r w:rsidR="003308C3" w:rsidRPr="00EE5075">
        <w:t>hunga</w:t>
      </w:r>
      <w:proofErr w:type="spellEnd"/>
      <w:r w:rsidR="003308C3" w:rsidRPr="00EE5075">
        <w:t xml:space="preserve"> </w:t>
      </w:r>
      <w:proofErr w:type="spellStart"/>
      <w:r w:rsidR="003308C3" w:rsidRPr="00EE5075">
        <w:t>whaipānga</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mea</w:t>
      </w:r>
      <w:proofErr w:type="spellEnd"/>
      <w:r w:rsidR="003308C3" w:rsidRPr="00EE5075">
        <w:t xml:space="preserve"> </w:t>
      </w:r>
      <w:proofErr w:type="spellStart"/>
      <w:r w:rsidR="003308C3" w:rsidRPr="00EE5075">
        <w:t>ake</w:t>
      </w:r>
      <w:proofErr w:type="spellEnd"/>
      <w:r w:rsidR="003308C3" w:rsidRPr="00EE5075">
        <w:t xml:space="preserve"> ko </w:t>
      </w:r>
      <w:proofErr w:type="spellStart"/>
      <w:r w:rsidR="003308C3" w:rsidRPr="00EE5075">
        <w:t>te</w:t>
      </w:r>
      <w:proofErr w:type="spellEnd"/>
      <w:r w:rsidR="003308C3" w:rsidRPr="00EE5075">
        <w:t xml:space="preserve"> </w:t>
      </w:r>
      <w:proofErr w:type="spellStart"/>
      <w:r w:rsidR="003308C3" w:rsidRPr="00EE5075">
        <w:t>kounga</w:t>
      </w:r>
      <w:proofErr w:type="spellEnd"/>
      <w:r w:rsidR="003308C3" w:rsidRPr="00EE5075">
        <w:t xml:space="preserve"> o </w:t>
      </w:r>
      <w:proofErr w:type="spellStart"/>
      <w:r w:rsidR="003308C3" w:rsidRPr="00EE5075">
        <w:t>ngā</w:t>
      </w:r>
      <w:proofErr w:type="spellEnd"/>
      <w:r w:rsidR="003308C3" w:rsidRPr="00EE5075">
        <w:t xml:space="preserve"> </w:t>
      </w:r>
      <w:proofErr w:type="spellStart"/>
      <w:r w:rsidR="003308C3" w:rsidRPr="00EE5075">
        <w:t>raraunga</w:t>
      </w:r>
      <w:proofErr w:type="spellEnd"/>
      <w:r w:rsidR="003308C3" w:rsidRPr="00EE5075">
        <w:t xml:space="preserve"> me </w:t>
      </w:r>
      <w:proofErr w:type="spellStart"/>
      <w:r w:rsidR="003308C3" w:rsidRPr="00EE5075">
        <w:t>huri</w:t>
      </w:r>
      <w:proofErr w:type="spellEnd"/>
      <w:r w:rsidR="003308C3" w:rsidRPr="00EE5075">
        <w:t xml:space="preserve"> </w:t>
      </w:r>
      <w:proofErr w:type="spellStart"/>
      <w:r w:rsidR="003308C3" w:rsidRPr="00EE5075">
        <w:t>tonu</w:t>
      </w:r>
      <w:proofErr w:type="spellEnd"/>
      <w:r w:rsidR="003308C3" w:rsidRPr="00EE5075">
        <w:t xml:space="preserve"> </w:t>
      </w:r>
      <w:proofErr w:type="spellStart"/>
      <w:r w:rsidR="003308C3" w:rsidRPr="00EE5075">
        <w:t>atu</w:t>
      </w:r>
      <w:proofErr w:type="spellEnd"/>
      <w:r w:rsidR="003308C3" w:rsidRPr="00EE5075">
        <w:t xml:space="preserve"> </w:t>
      </w:r>
      <w:proofErr w:type="spellStart"/>
      <w:r w:rsidR="003308C3" w:rsidRPr="00EE5075">
        <w:t>ki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whai</w:t>
      </w:r>
      <w:proofErr w:type="spellEnd"/>
      <w:r w:rsidR="003308C3" w:rsidRPr="00EE5075">
        <w:t xml:space="preserve"> </w:t>
      </w:r>
      <w:proofErr w:type="spellStart"/>
      <w:r w:rsidR="003308C3" w:rsidRPr="00EE5075">
        <w:t>hohenga</w:t>
      </w:r>
      <w:proofErr w:type="spellEnd"/>
      <w:r w:rsidR="003308C3" w:rsidRPr="00EE5075">
        <w:t xml:space="preserve">. Ka kite </w:t>
      </w:r>
      <w:proofErr w:type="spellStart"/>
      <w:r w:rsidR="003308C3" w:rsidRPr="00EE5075">
        <w:t>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hunga</w:t>
      </w:r>
      <w:proofErr w:type="spellEnd"/>
      <w:r>
        <w:t xml:space="preserve"> </w:t>
      </w:r>
      <w:proofErr w:type="spellStart"/>
      <w:r w:rsidR="003308C3" w:rsidRPr="00EE5075">
        <w:t>whaipānga</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hiahia</w:t>
      </w:r>
      <w:proofErr w:type="spellEnd"/>
      <w:r w:rsidR="003308C3" w:rsidRPr="00EE5075">
        <w:t xml:space="preserve"> kia </w:t>
      </w:r>
      <w:proofErr w:type="spellStart"/>
      <w:r w:rsidR="003308C3" w:rsidRPr="00EE5075">
        <w:t>whakatinana</w:t>
      </w:r>
      <w:proofErr w:type="spellEnd"/>
      <w:r w:rsidR="003308C3" w:rsidRPr="00EE5075">
        <w:t xml:space="preserve"> </w:t>
      </w:r>
      <w:proofErr w:type="spellStart"/>
      <w:r w:rsidR="003308C3" w:rsidRPr="00EE5075">
        <w:t>iho</w:t>
      </w:r>
      <w:proofErr w:type="spellEnd"/>
      <w:r w:rsidR="003308C3" w:rsidRPr="00EE5075">
        <w:t xml:space="preserve"> he </w:t>
      </w:r>
      <w:proofErr w:type="spellStart"/>
      <w:r w:rsidR="003308C3" w:rsidRPr="00EE5075">
        <w:t>taumata</w:t>
      </w:r>
      <w:proofErr w:type="spellEnd"/>
      <w:r w:rsidR="003308C3" w:rsidRPr="00EE5075">
        <w:t xml:space="preserve"> </w:t>
      </w:r>
      <w:proofErr w:type="spellStart"/>
      <w:r w:rsidR="003308C3" w:rsidRPr="00EE5075">
        <w:t>raraunga</w:t>
      </w:r>
      <w:proofErr w:type="spellEnd"/>
      <w:r w:rsidR="003308C3" w:rsidRPr="00EE5075">
        <w:t xml:space="preserve"> </w:t>
      </w:r>
      <w:proofErr w:type="spellStart"/>
      <w:r w:rsidR="003308C3" w:rsidRPr="00EE5075">
        <w:t>ki</w:t>
      </w:r>
      <w:proofErr w:type="spellEnd"/>
      <w:r w:rsidR="003308C3" w:rsidRPr="00EE5075">
        <w:t xml:space="preserve"> roto </w:t>
      </w:r>
      <w:proofErr w:type="spellStart"/>
      <w:r w:rsidR="003308C3" w:rsidRPr="00EE5075">
        <w:t>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rāngai</w:t>
      </w:r>
      <w:proofErr w:type="spellEnd"/>
      <w:r w:rsidR="003308C3" w:rsidRPr="00EE5075">
        <w:t xml:space="preserve">, ā, kia </w:t>
      </w:r>
      <w:proofErr w:type="spellStart"/>
      <w:r w:rsidR="003308C3" w:rsidRPr="00EE5075">
        <w:t>nui</w:t>
      </w:r>
      <w:proofErr w:type="spellEnd"/>
      <w:r w:rsidR="003308C3" w:rsidRPr="00EE5075">
        <w:t xml:space="preserve"> </w:t>
      </w:r>
      <w:proofErr w:type="spellStart"/>
      <w:r w:rsidR="003308C3" w:rsidRPr="00EE5075">
        <w:t>ake</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whakangao</w:t>
      </w:r>
      <w:proofErr w:type="spellEnd"/>
      <w:r w:rsidR="003308C3" w:rsidRPr="00EE5075">
        <w:t xml:space="preserve"> </w:t>
      </w:r>
      <w:proofErr w:type="spellStart"/>
      <w:r w:rsidR="003308C3" w:rsidRPr="00EE5075">
        <w:t>mō</w:t>
      </w:r>
      <w:proofErr w:type="spellEnd"/>
      <w:r w:rsidR="003308C3" w:rsidRPr="00EE5075">
        <w:t xml:space="preserve"> </w:t>
      </w:r>
      <w:proofErr w:type="spellStart"/>
      <w:r w:rsidR="003308C3" w:rsidRPr="00EE5075">
        <w:t>te</w:t>
      </w:r>
      <w:proofErr w:type="spellEnd"/>
      <w:r w:rsidR="003308C3" w:rsidRPr="00EE5075">
        <w:t xml:space="preserve"> mana </w:t>
      </w:r>
      <w:proofErr w:type="spellStart"/>
      <w:r w:rsidR="003308C3" w:rsidRPr="00EE5075">
        <w:t>whakahaere</w:t>
      </w:r>
      <w:proofErr w:type="spellEnd"/>
      <w:r w:rsidR="003308C3" w:rsidRPr="00EE5075">
        <w:t xml:space="preserve"> o </w:t>
      </w:r>
      <w:proofErr w:type="spellStart"/>
      <w:r w:rsidR="003308C3" w:rsidRPr="00EE5075">
        <w:t>ngā</w:t>
      </w:r>
      <w:proofErr w:type="spellEnd"/>
      <w:r w:rsidR="003308C3" w:rsidRPr="00EE5075">
        <w:t xml:space="preserve"> </w:t>
      </w:r>
      <w:proofErr w:type="spellStart"/>
      <w:r w:rsidR="003308C3" w:rsidRPr="00EE5075">
        <w:t>raraunga</w:t>
      </w:r>
      <w:proofErr w:type="spellEnd"/>
      <w:r w:rsidR="003308C3" w:rsidRPr="00EE5075">
        <w:t xml:space="preserve">, </w:t>
      </w:r>
      <w:proofErr w:type="spellStart"/>
      <w:r w:rsidR="003308C3" w:rsidRPr="00EE5075">
        <w:t>ngā</w:t>
      </w:r>
      <w:proofErr w:type="spellEnd"/>
      <w:r w:rsidR="003308C3" w:rsidRPr="00EE5075">
        <w:t xml:space="preserve"> </w:t>
      </w:r>
      <w:proofErr w:type="spellStart"/>
      <w:r w:rsidR="003308C3" w:rsidRPr="00EE5075">
        <w:t>rawa</w:t>
      </w:r>
      <w:proofErr w:type="spellEnd"/>
      <w:r w:rsidR="003308C3" w:rsidRPr="00EE5075">
        <w:t xml:space="preserve"> </w:t>
      </w:r>
      <w:proofErr w:type="spellStart"/>
      <w:r w:rsidR="003308C3" w:rsidRPr="00EE5075">
        <w:t>raraunga</w:t>
      </w:r>
      <w:proofErr w:type="spellEnd"/>
      <w:r w:rsidR="003308C3" w:rsidRPr="00EE5075">
        <w:t xml:space="preserve"> me </w:t>
      </w:r>
      <w:proofErr w:type="spellStart"/>
      <w:r w:rsidR="003308C3" w:rsidRPr="00EE5075">
        <w:t>ngā</w:t>
      </w:r>
      <w:proofErr w:type="spellEnd"/>
      <w:r w:rsidR="003308C3" w:rsidRPr="00EE5075">
        <w:t xml:space="preserve"> tikanga </w:t>
      </w:r>
      <w:proofErr w:type="spellStart"/>
      <w:r w:rsidR="003308C3" w:rsidRPr="00EE5075">
        <w:t>whakahaere</w:t>
      </w:r>
      <w:proofErr w:type="spellEnd"/>
      <w:r w:rsidR="003308C3" w:rsidRPr="00EE5075">
        <w:t>.</w:t>
      </w:r>
    </w:p>
    <w:p w14:paraId="0075D797" w14:textId="77777777" w:rsidR="00411495" w:rsidRDefault="00411495" w:rsidP="00411495"/>
    <w:p w14:paraId="0075D798" w14:textId="77777777" w:rsidR="003308C3" w:rsidRPr="00EE5075" w:rsidRDefault="003308C3" w:rsidP="00411495">
      <w:proofErr w:type="spellStart"/>
      <w:r w:rsidRPr="00EE5075">
        <w:t>Ngā</w:t>
      </w:r>
      <w:proofErr w:type="spellEnd"/>
      <w:r w:rsidRPr="00EE5075">
        <w:t xml:space="preserve"> </w:t>
      </w:r>
      <w:proofErr w:type="spellStart"/>
      <w:r w:rsidRPr="00EE5075">
        <w:t>tāpaetanga</w:t>
      </w:r>
      <w:proofErr w:type="spellEnd"/>
      <w:r w:rsidRPr="00EE5075">
        <w:t xml:space="preserve"> </w:t>
      </w:r>
      <w:proofErr w:type="spellStart"/>
      <w:r w:rsidRPr="00EE5075">
        <w:t>panonitanga</w:t>
      </w:r>
      <w:proofErr w:type="spellEnd"/>
      <w:r w:rsidRPr="00EE5075">
        <w:t xml:space="preserve"> e </w:t>
      </w:r>
      <w:proofErr w:type="spellStart"/>
      <w:r w:rsidRPr="00EE5075">
        <w:t>whai</w:t>
      </w:r>
      <w:proofErr w:type="spellEnd"/>
      <w:r w:rsidRPr="00EE5075">
        <w:t xml:space="preserve"> </w:t>
      </w:r>
      <w:proofErr w:type="spellStart"/>
      <w:r w:rsidRPr="00EE5075">
        <w:t>nei</w:t>
      </w:r>
      <w:proofErr w:type="spellEnd"/>
      <w:r w:rsidRPr="00EE5075">
        <w:t>:</w:t>
      </w:r>
    </w:p>
    <w:p w14:paraId="0075D799" w14:textId="77777777" w:rsidR="003308C3" w:rsidRPr="00EE5075"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whakatū</w:t>
      </w:r>
      <w:proofErr w:type="spellEnd"/>
      <w:r w:rsidRPr="00EE5075">
        <w:t xml:space="preserve"> </w:t>
      </w:r>
      <w:proofErr w:type="spellStart"/>
      <w:r w:rsidRPr="00EE5075">
        <w:t>i</w:t>
      </w:r>
      <w:proofErr w:type="spellEnd"/>
      <w:r w:rsidRPr="00EE5075">
        <w:t xml:space="preserve"> </w:t>
      </w:r>
      <w:proofErr w:type="spellStart"/>
      <w:r w:rsidRPr="00EE5075">
        <w:t>tētahi</w:t>
      </w:r>
      <w:proofErr w:type="spellEnd"/>
      <w:r w:rsidRPr="00EE5075">
        <w:t xml:space="preserve"> </w:t>
      </w:r>
      <w:proofErr w:type="spellStart"/>
      <w:r w:rsidRPr="00EE5075">
        <w:t>mahinga</w:t>
      </w:r>
      <w:proofErr w:type="spellEnd"/>
      <w:r w:rsidRPr="00EE5075">
        <w:t xml:space="preserve"> </w:t>
      </w:r>
      <w:proofErr w:type="spellStart"/>
      <w:r w:rsidRPr="00EE5075">
        <w:t>raraunga</w:t>
      </w:r>
      <w:proofErr w:type="spellEnd"/>
      <w:r w:rsidRPr="00EE5075">
        <w:t xml:space="preserve">, </w:t>
      </w:r>
      <w:proofErr w:type="spellStart"/>
      <w:r w:rsidRPr="00EE5075">
        <w:t>pārongo</w:t>
      </w:r>
      <w:proofErr w:type="spellEnd"/>
      <w:r w:rsidRPr="00EE5075">
        <w:t xml:space="preserve"> </w:t>
      </w:r>
      <w:proofErr w:type="spellStart"/>
      <w:r w:rsidRPr="00EE5075">
        <w:t>hoki</w:t>
      </w:r>
      <w:proofErr w:type="spellEnd"/>
      <w:r w:rsidRPr="00EE5075">
        <w:t xml:space="preserve"> kia </w:t>
      </w:r>
      <w:proofErr w:type="spellStart"/>
      <w:r w:rsidRPr="00EE5075">
        <w:t>whakahaere</w:t>
      </w:r>
      <w:proofErr w:type="spellEnd"/>
      <w:r w:rsidRPr="00EE5075">
        <w:t xml:space="preserve"> tikanga </w:t>
      </w:r>
      <w:proofErr w:type="spellStart"/>
      <w:r w:rsidRPr="00EE5075">
        <w:t>mō</w:t>
      </w:r>
      <w:proofErr w:type="spellEnd"/>
      <w:r w:rsidRPr="00EE5075">
        <w:t xml:space="preserve"> </w:t>
      </w:r>
      <w:proofErr w:type="spellStart"/>
      <w:r w:rsidRPr="00EE5075">
        <w:t>te</w:t>
      </w:r>
      <w:proofErr w:type="spellEnd"/>
      <w:r w:rsidRPr="00EE5075">
        <w:t xml:space="preserve"> </w:t>
      </w:r>
      <w:proofErr w:type="spellStart"/>
      <w:r w:rsidRPr="00EE5075">
        <w:t>whakatinanatanga</w:t>
      </w:r>
      <w:proofErr w:type="spellEnd"/>
      <w:r w:rsidRPr="00EE5075">
        <w:t xml:space="preserve"> o </w:t>
      </w:r>
      <w:proofErr w:type="spellStart"/>
      <w:r w:rsidRPr="00EE5075">
        <w:t>te</w:t>
      </w:r>
      <w:proofErr w:type="spellEnd"/>
      <w:r w:rsidRPr="00EE5075">
        <w:t xml:space="preserve"> </w:t>
      </w:r>
      <w:proofErr w:type="spellStart"/>
      <w:r w:rsidR="00411495">
        <w:t>rautaki</w:t>
      </w:r>
      <w:proofErr w:type="spellEnd"/>
      <w:r w:rsidR="00411495">
        <w:t xml:space="preserve"> me </w:t>
      </w:r>
      <w:proofErr w:type="spellStart"/>
      <w:r w:rsidR="00411495">
        <w:t>te</w:t>
      </w:r>
      <w:proofErr w:type="spellEnd"/>
      <w:r w:rsidR="00411495">
        <w:t xml:space="preserve"> </w:t>
      </w:r>
      <w:proofErr w:type="spellStart"/>
      <w:r w:rsidR="00411495">
        <w:t>mahere</w:t>
      </w:r>
      <w:proofErr w:type="spellEnd"/>
      <w:r w:rsidR="00411495">
        <w:t xml:space="preserve"> </w:t>
      </w:r>
      <w:proofErr w:type="spellStart"/>
      <w:r w:rsidR="00411495">
        <w:t>whakahaere</w:t>
      </w:r>
      <w:proofErr w:type="spellEnd"/>
    </w:p>
    <w:p w14:paraId="0075D79A" w14:textId="77777777" w:rsidR="003308C3" w:rsidRPr="00EE5075"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whakatū</w:t>
      </w:r>
      <w:proofErr w:type="spellEnd"/>
      <w:r w:rsidRPr="00EE5075">
        <w:t xml:space="preserve"> </w:t>
      </w:r>
      <w:proofErr w:type="spellStart"/>
      <w:r w:rsidRPr="00EE5075">
        <w:t>i</w:t>
      </w:r>
      <w:proofErr w:type="spellEnd"/>
      <w:r w:rsidRPr="00EE5075">
        <w:t xml:space="preserve"> </w:t>
      </w:r>
      <w:proofErr w:type="spellStart"/>
      <w:r w:rsidRPr="00EE5075">
        <w:t>tētahi</w:t>
      </w:r>
      <w:proofErr w:type="spellEnd"/>
      <w:r w:rsidRPr="00EE5075">
        <w:t xml:space="preserve"> </w:t>
      </w:r>
      <w:proofErr w:type="spellStart"/>
      <w:r w:rsidRPr="00EE5075">
        <w:t>ratonga</w:t>
      </w:r>
      <w:proofErr w:type="spellEnd"/>
      <w:r w:rsidRPr="00EE5075">
        <w:t xml:space="preserve"> </w:t>
      </w:r>
      <w:proofErr w:type="spellStart"/>
      <w:r w:rsidRPr="00EE5075">
        <w:t>kupu</w:t>
      </w:r>
      <w:proofErr w:type="spellEnd"/>
      <w:r w:rsidRPr="00EE5075">
        <w:t xml:space="preserve"> ā-motu, ā, e </w:t>
      </w:r>
      <w:proofErr w:type="spellStart"/>
      <w:r w:rsidRPr="00EE5075">
        <w:t>herea</w:t>
      </w:r>
      <w:proofErr w:type="spellEnd"/>
      <w:r w:rsidRPr="00EE5075">
        <w:t xml:space="preserve"> ana </w:t>
      </w:r>
      <w:proofErr w:type="spellStart"/>
      <w:r w:rsidRPr="00EE5075">
        <w:t>te</w:t>
      </w:r>
      <w:proofErr w:type="spellEnd"/>
      <w:r w:rsidRPr="00EE5075">
        <w:t xml:space="preserve"> </w:t>
      </w:r>
      <w:proofErr w:type="spellStart"/>
      <w:r w:rsidRPr="00EE5075">
        <w:t>whakamahi</w:t>
      </w:r>
      <w:proofErr w:type="spellEnd"/>
      <w:r w:rsidRPr="00EE5075">
        <w:t xml:space="preserve"> </w:t>
      </w:r>
      <w:proofErr w:type="spellStart"/>
      <w:r w:rsidRPr="00EE5075">
        <w:t>i</w:t>
      </w:r>
      <w:proofErr w:type="spellEnd"/>
      <w:r w:rsidRPr="00EE5075">
        <w:t xml:space="preserve"> </w:t>
      </w:r>
      <w:proofErr w:type="spellStart"/>
      <w:r w:rsidRPr="00EE5075">
        <w:t>tētahi</w:t>
      </w:r>
      <w:proofErr w:type="spellEnd"/>
      <w:r w:rsidRPr="00EE5075">
        <w:t xml:space="preserve"> </w:t>
      </w:r>
      <w:proofErr w:type="spellStart"/>
      <w:r w:rsidRPr="00EE5075">
        <w:t>Roopu</w:t>
      </w:r>
      <w:proofErr w:type="spellEnd"/>
    </w:p>
    <w:p w14:paraId="0075D79B" w14:textId="77777777" w:rsidR="003308C3" w:rsidRPr="00EE5075" w:rsidRDefault="003308C3" w:rsidP="00411495">
      <w:pPr>
        <w:pStyle w:val="Bullet"/>
      </w:pPr>
      <w:proofErr w:type="spellStart"/>
      <w:r w:rsidRPr="00EE5075">
        <w:t>Taumata</w:t>
      </w:r>
      <w:proofErr w:type="spellEnd"/>
      <w:r w:rsidRPr="00EE5075">
        <w:t xml:space="preserve"> </w:t>
      </w:r>
      <w:proofErr w:type="spellStart"/>
      <w:r w:rsidRPr="00EE5075">
        <w:t>Pārongo</w:t>
      </w:r>
      <w:proofErr w:type="spellEnd"/>
      <w:r w:rsidRPr="00EE5075">
        <w:t xml:space="preserve"> Hauora (HISO) </w:t>
      </w:r>
      <w:proofErr w:type="spellStart"/>
      <w:r w:rsidRPr="00EE5075">
        <w:t>taumata</w:t>
      </w:r>
      <w:proofErr w:type="spellEnd"/>
      <w:r w:rsidRPr="00EE5075">
        <w:t xml:space="preserve"> me </w:t>
      </w:r>
      <w:proofErr w:type="spellStart"/>
      <w:r w:rsidRPr="00EE5075">
        <w:t>ētahi</w:t>
      </w:r>
      <w:proofErr w:type="spellEnd"/>
      <w:r w:rsidRPr="00EE5075">
        <w:t xml:space="preserve"> </w:t>
      </w:r>
      <w:proofErr w:type="spellStart"/>
      <w:r w:rsidRPr="00EE5075">
        <w:t>atu</w:t>
      </w:r>
      <w:proofErr w:type="spellEnd"/>
      <w:r w:rsidRPr="00EE5075">
        <w:t xml:space="preserve"> </w:t>
      </w:r>
      <w:proofErr w:type="spellStart"/>
      <w:r w:rsidRPr="00EE5075">
        <w:t>pārongo</w:t>
      </w:r>
      <w:proofErr w:type="spellEnd"/>
      <w:r w:rsidRPr="00EE5075">
        <w:t xml:space="preserve"> </w:t>
      </w:r>
      <w:proofErr w:type="spellStart"/>
      <w:r w:rsidRPr="00EE5075">
        <w:t>hauora</w:t>
      </w:r>
      <w:proofErr w:type="spellEnd"/>
      <w:r w:rsidR="00411495">
        <w:t xml:space="preserve"> me </w:t>
      </w:r>
      <w:proofErr w:type="spellStart"/>
      <w:r w:rsidR="00411495">
        <w:t>ngā</w:t>
      </w:r>
      <w:proofErr w:type="spellEnd"/>
      <w:r w:rsidR="00411495">
        <w:t xml:space="preserve"> </w:t>
      </w:r>
      <w:proofErr w:type="spellStart"/>
      <w:r w:rsidR="00411495">
        <w:t>taumata</w:t>
      </w:r>
      <w:proofErr w:type="spellEnd"/>
      <w:r w:rsidR="00411495">
        <w:t xml:space="preserve"> </w:t>
      </w:r>
      <w:proofErr w:type="spellStart"/>
      <w:r w:rsidR="00411495">
        <w:t>whakawhitiwhiti</w:t>
      </w:r>
      <w:proofErr w:type="spellEnd"/>
    </w:p>
    <w:p w14:paraId="0075D79C" w14:textId="77777777" w:rsidR="003308C3" w:rsidRPr="00EE5075"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whakawhanake</w:t>
      </w:r>
      <w:proofErr w:type="spellEnd"/>
      <w:r w:rsidRPr="00EE5075">
        <w:t xml:space="preserve"> </w:t>
      </w:r>
      <w:proofErr w:type="spellStart"/>
      <w:r w:rsidRPr="00EE5075">
        <w:t>i</w:t>
      </w:r>
      <w:proofErr w:type="spellEnd"/>
      <w:r w:rsidRPr="00EE5075">
        <w:t xml:space="preserve"> </w:t>
      </w:r>
      <w:proofErr w:type="spellStart"/>
      <w:r w:rsidRPr="00EE5075">
        <w:t>tētahi</w:t>
      </w:r>
      <w:proofErr w:type="spellEnd"/>
      <w:r w:rsidRPr="00EE5075">
        <w:t xml:space="preserve"> </w:t>
      </w:r>
      <w:proofErr w:type="spellStart"/>
      <w:r w:rsidRPr="00EE5075">
        <w:t>rārangi</w:t>
      </w:r>
      <w:proofErr w:type="spellEnd"/>
      <w:r w:rsidRPr="00EE5075">
        <w:t xml:space="preserve"> </w:t>
      </w:r>
      <w:proofErr w:type="spellStart"/>
      <w:r w:rsidRPr="00EE5075">
        <w:t>raraunga</w:t>
      </w:r>
      <w:proofErr w:type="spellEnd"/>
      <w:r w:rsidRPr="00EE5075">
        <w:t xml:space="preserve"> </w:t>
      </w:r>
      <w:proofErr w:type="spellStart"/>
      <w:r w:rsidRPr="00EE5075">
        <w:t>haora</w:t>
      </w:r>
      <w:proofErr w:type="spellEnd"/>
      <w:r w:rsidRPr="00EE5075">
        <w:t xml:space="preserve"> ā-motu me </w:t>
      </w:r>
      <w:proofErr w:type="spellStart"/>
      <w:r w:rsidRPr="00EE5075">
        <w:t>ngā</w:t>
      </w:r>
      <w:proofErr w:type="spellEnd"/>
      <w:r w:rsidRPr="00EE5075">
        <w:t xml:space="preserve"> </w:t>
      </w:r>
      <w:proofErr w:type="spellStart"/>
      <w:r w:rsidRPr="00EE5075">
        <w:t>ngohe</w:t>
      </w:r>
      <w:proofErr w:type="spellEnd"/>
      <w:r w:rsidRPr="00EE5075">
        <w:t xml:space="preserve"> </w:t>
      </w:r>
      <w:proofErr w:type="spellStart"/>
      <w:r w:rsidRPr="00EE5075">
        <w:t>pāraharaha</w:t>
      </w:r>
      <w:proofErr w:type="spellEnd"/>
      <w:r w:rsidRPr="00EE5075">
        <w:t xml:space="preserve">, </w:t>
      </w:r>
      <w:proofErr w:type="spellStart"/>
      <w:r w:rsidRPr="00EE5075">
        <w:t>hangarau</w:t>
      </w:r>
      <w:proofErr w:type="spellEnd"/>
      <w:r w:rsidRPr="00EE5075">
        <w:t xml:space="preserve"> </w:t>
      </w:r>
      <w:proofErr w:type="spellStart"/>
      <w:r w:rsidRPr="00EE5075">
        <w:t>hoki</w:t>
      </w:r>
      <w:proofErr w:type="spellEnd"/>
    </w:p>
    <w:p w14:paraId="0075D79D" w14:textId="77777777" w:rsidR="003308C3" w:rsidRDefault="003308C3" w:rsidP="00411495">
      <w:pPr>
        <w:pStyle w:val="Bullet"/>
      </w:pPr>
      <w:r w:rsidRPr="00EE5075">
        <w:t xml:space="preserve">he </w:t>
      </w:r>
      <w:proofErr w:type="spellStart"/>
      <w:r w:rsidRPr="00EE5075">
        <w:t>whakawhitinga</w:t>
      </w:r>
      <w:proofErr w:type="spellEnd"/>
      <w:r w:rsidRPr="00EE5075">
        <w:t xml:space="preserve"> </w:t>
      </w:r>
      <w:proofErr w:type="spellStart"/>
      <w:r w:rsidRPr="00EE5075">
        <w:t>kohinga</w:t>
      </w:r>
      <w:proofErr w:type="spellEnd"/>
      <w:r w:rsidRPr="00EE5075">
        <w:t xml:space="preserve"> </w:t>
      </w:r>
      <w:proofErr w:type="spellStart"/>
      <w:r w:rsidRPr="00EE5075">
        <w:t>raraunga</w:t>
      </w:r>
      <w:proofErr w:type="spellEnd"/>
      <w:r w:rsidRPr="00EE5075">
        <w:t xml:space="preserve"> ā-motu </w:t>
      </w:r>
      <w:proofErr w:type="spellStart"/>
      <w:r w:rsidRPr="00EE5075">
        <w:t>ki</w:t>
      </w:r>
      <w:proofErr w:type="spellEnd"/>
      <w:r w:rsidRPr="00EE5075">
        <w:t xml:space="preserve"> </w:t>
      </w:r>
      <w:proofErr w:type="spellStart"/>
      <w:r w:rsidRPr="00EE5075">
        <w:t>tētahi</w:t>
      </w:r>
      <w:proofErr w:type="spellEnd"/>
      <w:r w:rsidRPr="00EE5075">
        <w:t xml:space="preserve"> </w:t>
      </w:r>
      <w:proofErr w:type="spellStart"/>
      <w:r w:rsidRPr="00EE5075">
        <w:t>kapua</w:t>
      </w:r>
      <w:proofErr w:type="spellEnd"/>
      <w:r w:rsidRPr="00EE5075">
        <w:t xml:space="preserve"> </w:t>
      </w:r>
      <w:proofErr w:type="spellStart"/>
      <w:r w:rsidRPr="00EE5075">
        <w:t>atamira</w:t>
      </w:r>
      <w:proofErr w:type="spellEnd"/>
      <w:r w:rsidRPr="00EE5075">
        <w:t xml:space="preserve"> </w:t>
      </w:r>
      <w:proofErr w:type="spellStart"/>
      <w:r w:rsidRPr="00EE5075">
        <w:t>hōu</w:t>
      </w:r>
      <w:proofErr w:type="spellEnd"/>
      <w:r w:rsidRPr="00EE5075">
        <w:t xml:space="preserve"> </w:t>
      </w:r>
      <w:proofErr w:type="spellStart"/>
      <w:r w:rsidRPr="00EE5075">
        <w:t>mō</w:t>
      </w:r>
      <w:proofErr w:type="spellEnd"/>
      <w:r w:rsidRPr="00EE5075">
        <w:t xml:space="preserve"> </w:t>
      </w:r>
      <w:proofErr w:type="spellStart"/>
      <w:r w:rsidRPr="00EE5075">
        <w:t>te</w:t>
      </w:r>
      <w:proofErr w:type="spellEnd"/>
      <w:r w:rsidRPr="00EE5075">
        <w:t xml:space="preserve"> </w:t>
      </w:r>
      <w:proofErr w:type="spellStart"/>
      <w:r w:rsidRPr="00EE5075">
        <w:t>pūtaiao</w:t>
      </w:r>
      <w:proofErr w:type="spellEnd"/>
      <w:r w:rsidRPr="00EE5075">
        <w:t xml:space="preserve"> </w:t>
      </w:r>
      <w:proofErr w:type="spellStart"/>
      <w:r w:rsidRPr="00EE5075">
        <w:t>raraunga</w:t>
      </w:r>
      <w:proofErr w:type="spellEnd"/>
      <w:r w:rsidRPr="00EE5075">
        <w:t>.</w:t>
      </w:r>
    </w:p>
    <w:p w14:paraId="0075D79E" w14:textId="77777777" w:rsidR="00411495" w:rsidRPr="00EE5075" w:rsidRDefault="00411495" w:rsidP="00411495"/>
    <w:p w14:paraId="0075D79F" w14:textId="77777777" w:rsidR="003308C3" w:rsidRPr="00EE5075" w:rsidRDefault="003308C3" w:rsidP="00411495">
      <w:pPr>
        <w:pStyle w:val="Heading3"/>
      </w:pPr>
      <w:proofErr w:type="spellStart"/>
      <w:r w:rsidRPr="00EE5075">
        <w:t>Tōkeke</w:t>
      </w:r>
      <w:proofErr w:type="spellEnd"/>
      <w:r w:rsidRPr="00EE5075">
        <w:t xml:space="preserve"> me </w:t>
      </w:r>
      <w:proofErr w:type="spellStart"/>
      <w:r w:rsidRPr="00EE5075">
        <w:t>te</w:t>
      </w:r>
      <w:proofErr w:type="spellEnd"/>
      <w:r w:rsidRPr="00EE5075">
        <w:t xml:space="preserve"> rangatiratanga </w:t>
      </w:r>
      <w:proofErr w:type="spellStart"/>
      <w:r w:rsidRPr="00EE5075">
        <w:t>raraunga</w:t>
      </w:r>
      <w:proofErr w:type="spellEnd"/>
    </w:p>
    <w:p w14:paraId="0075D7A0" w14:textId="77777777" w:rsidR="003308C3" w:rsidRPr="00EE5075" w:rsidRDefault="00411495" w:rsidP="00411495">
      <w:r>
        <w:t>K</w:t>
      </w:r>
      <w:r w:rsidR="003308C3" w:rsidRPr="00EE5075">
        <w:t xml:space="preserve">o </w:t>
      </w:r>
      <w:proofErr w:type="spellStart"/>
      <w:r w:rsidR="003308C3" w:rsidRPr="00EE5075">
        <w:t>ngā</w:t>
      </w:r>
      <w:proofErr w:type="spellEnd"/>
      <w:r w:rsidR="003308C3" w:rsidRPr="00EE5075">
        <w:t xml:space="preserve"> </w:t>
      </w:r>
      <w:proofErr w:type="spellStart"/>
      <w:r w:rsidR="003308C3" w:rsidRPr="00EE5075">
        <w:t>taumata</w:t>
      </w:r>
      <w:proofErr w:type="spellEnd"/>
      <w:r w:rsidR="003308C3" w:rsidRPr="00EE5075">
        <w:t xml:space="preserve"> </w:t>
      </w:r>
      <w:proofErr w:type="spellStart"/>
      <w:r w:rsidR="003308C3" w:rsidRPr="00EE5075">
        <w:t>raraunga</w:t>
      </w:r>
      <w:proofErr w:type="spellEnd"/>
      <w:r w:rsidR="003308C3" w:rsidRPr="00EE5075">
        <w:t xml:space="preserve"> kaha, </w:t>
      </w:r>
      <w:proofErr w:type="spellStart"/>
      <w:r w:rsidR="003308C3" w:rsidRPr="00EE5075">
        <w:t>auau</w:t>
      </w:r>
      <w:proofErr w:type="spellEnd"/>
      <w:r w:rsidR="003308C3" w:rsidRPr="00EE5075">
        <w:t xml:space="preserve"> </w:t>
      </w:r>
      <w:proofErr w:type="spellStart"/>
      <w:r w:rsidR="003308C3" w:rsidRPr="00EE5075">
        <w:t>hoki</w:t>
      </w:r>
      <w:proofErr w:type="spellEnd"/>
      <w:r w:rsidR="003308C3" w:rsidRPr="00EE5075">
        <w:t xml:space="preserve">, </w:t>
      </w:r>
      <w:proofErr w:type="spellStart"/>
      <w:r w:rsidR="003308C3" w:rsidRPr="00EE5075">
        <w:t>ngā</w:t>
      </w:r>
      <w:proofErr w:type="spellEnd"/>
      <w:r w:rsidR="003308C3" w:rsidRPr="00EE5075">
        <w:t xml:space="preserve"> tikanga </w:t>
      </w:r>
      <w:proofErr w:type="spellStart"/>
      <w:r w:rsidR="003308C3" w:rsidRPr="00EE5075">
        <w:t>kohikohinga</w:t>
      </w:r>
      <w:proofErr w:type="spellEnd"/>
      <w:r w:rsidR="003308C3" w:rsidRPr="00EE5075">
        <w:t xml:space="preserve">, </w:t>
      </w:r>
      <w:proofErr w:type="spellStart"/>
      <w:r w:rsidR="003308C3" w:rsidRPr="00EE5075">
        <w:t>ngā</w:t>
      </w:r>
      <w:proofErr w:type="spellEnd"/>
      <w:r w:rsidR="003308C3" w:rsidRPr="00EE5075">
        <w:t xml:space="preserve"> </w:t>
      </w:r>
      <w:proofErr w:type="spellStart"/>
      <w:r w:rsidR="003308C3" w:rsidRPr="00EE5075">
        <w:t>raraunga</w:t>
      </w:r>
      <w:proofErr w:type="spellEnd"/>
      <w:r w:rsidR="003308C3" w:rsidRPr="00EE5075">
        <w:t xml:space="preserve"> </w:t>
      </w:r>
      <w:proofErr w:type="spellStart"/>
      <w:r w:rsidR="003308C3" w:rsidRPr="00EE5075">
        <w:t>kounga</w:t>
      </w:r>
      <w:proofErr w:type="spellEnd"/>
      <w:r w:rsidR="003308C3" w:rsidRPr="00EE5075">
        <w:t xml:space="preserve"> me </w:t>
      </w:r>
      <w:proofErr w:type="spellStart"/>
      <w:r w:rsidR="003308C3" w:rsidRPr="00EE5075">
        <w:t>te</w:t>
      </w:r>
      <w:proofErr w:type="spellEnd"/>
      <w:r w:rsidR="003308C3" w:rsidRPr="00EE5075">
        <w:t xml:space="preserve"> mana</w:t>
      </w:r>
      <w:r>
        <w:t xml:space="preserve"> </w:t>
      </w:r>
      <w:proofErr w:type="spellStart"/>
      <w:r w:rsidR="003308C3" w:rsidRPr="00EE5075">
        <w:t>whakahaere</w:t>
      </w:r>
      <w:proofErr w:type="spellEnd"/>
      <w:r w:rsidR="003308C3" w:rsidRPr="00EE5075">
        <w:t xml:space="preserve"> e </w:t>
      </w:r>
      <w:proofErr w:type="spellStart"/>
      <w:r w:rsidR="003308C3" w:rsidRPr="00EE5075">
        <w:t>tautoko</w:t>
      </w:r>
      <w:proofErr w:type="spellEnd"/>
      <w:r w:rsidR="003308C3" w:rsidRPr="00EE5075">
        <w:t xml:space="preserve"> ai </w:t>
      </w:r>
      <w:proofErr w:type="spellStart"/>
      <w:r w:rsidR="003308C3" w:rsidRPr="00EE5075">
        <w:t>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whakatikahanga</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ngā</w:t>
      </w:r>
      <w:proofErr w:type="spellEnd"/>
      <w:r w:rsidR="003308C3" w:rsidRPr="00EE5075">
        <w:t xml:space="preserve"> </w:t>
      </w:r>
      <w:proofErr w:type="spellStart"/>
      <w:r w:rsidR="003308C3" w:rsidRPr="00EE5075">
        <w:t>wehenga</w:t>
      </w:r>
      <w:proofErr w:type="spellEnd"/>
      <w:r w:rsidR="003308C3" w:rsidRPr="00EE5075">
        <w:t xml:space="preserve"> </w:t>
      </w:r>
      <w:proofErr w:type="spellStart"/>
      <w:r w:rsidR="003308C3" w:rsidRPr="00EE5075">
        <w:t>tōrite</w:t>
      </w:r>
      <w:proofErr w:type="spellEnd"/>
      <w:r w:rsidR="003308C3" w:rsidRPr="00EE5075">
        <w:t xml:space="preserve"> </w:t>
      </w:r>
      <w:proofErr w:type="spellStart"/>
      <w:r w:rsidR="003308C3" w:rsidRPr="00EE5075">
        <w:t>hua</w:t>
      </w:r>
      <w:proofErr w:type="spellEnd"/>
      <w:r w:rsidR="003308C3" w:rsidRPr="00EE5075">
        <w:t xml:space="preserve"> </w:t>
      </w:r>
      <w:proofErr w:type="spellStart"/>
      <w:r w:rsidR="003308C3" w:rsidRPr="00EE5075">
        <w:t>hauora</w:t>
      </w:r>
      <w:proofErr w:type="spellEnd"/>
      <w:r w:rsidR="003308C3" w:rsidRPr="00EE5075">
        <w:t xml:space="preserve">, </w:t>
      </w:r>
      <w:proofErr w:type="spellStart"/>
      <w:r w:rsidR="003308C3" w:rsidRPr="00EE5075">
        <w:t>pēnei</w:t>
      </w:r>
      <w:proofErr w:type="spellEnd"/>
      <w:r w:rsidR="003308C3" w:rsidRPr="00EE5075">
        <w:t xml:space="preserve"> me </w:t>
      </w:r>
      <w:proofErr w:type="spellStart"/>
      <w:r w:rsidR="003308C3" w:rsidRPr="00EE5075">
        <w:t>ērā</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waenga</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te</w:t>
      </w:r>
      <w:proofErr w:type="spellEnd"/>
      <w:r w:rsidR="003308C3" w:rsidRPr="00EE5075">
        <w:t xml:space="preserve"> Māori me iwi </w:t>
      </w:r>
      <w:proofErr w:type="spellStart"/>
      <w:r w:rsidR="003308C3" w:rsidRPr="00EE5075">
        <w:t>kē</w:t>
      </w:r>
      <w:proofErr w:type="spellEnd"/>
      <w:r w:rsidR="003308C3" w:rsidRPr="00EE5075">
        <w:t xml:space="preserve"> </w:t>
      </w:r>
      <w:proofErr w:type="spellStart"/>
      <w:r w:rsidR="003308C3" w:rsidRPr="00EE5075">
        <w:t>atu</w:t>
      </w:r>
      <w:proofErr w:type="spellEnd"/>
      <w:r w:rsidR="003308C3" w:rsidRPr="00EE5075">
        <w:t xml:space="preserve"> </w:t>
      </w:r>
      <w:proofErr w:type="spellStart"/>
      <w:r w:rsidR="003308C3" w:rsidRPr="00EE5075">
        <w:t>ehara</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te</w:t>
      </w:r>
      <w:proofErr w:type="spellEnd"/>
      <w:r w:rsidR="003308C3" w:rsidRPr="00EE5075">
        <w:t xml:space="preserve"> Māori.</w:t>
      </w:r>
    </w:p>
    <w:p w14:paraId="0075D7A1" w14:textId="77777777" w:rsidR="00411495" w:rsidRDefault="00411495" w:rsidP="00411495"/>
    <w:p w14:paraId="0075D7A2" w14:textId="77777777" w:rsidR="003308C3" w:rsidRPr="00EE5075" w:rsidRDefault="003308C3" w:rsidP="00411495">
      <w:proofErr w:type="spellStart"/>
      <w:r w:rsidRPr="00EE5075">
        <w:t>Ngā</w:t>
      </w:r>
      <w:proofErr w:type="spellEnd"/>
      <w:r w:rsidRPr="00EE5075">
        <w:t xml:space="preserve"> </w:t>
      </w:r>
      <w:proofErr w:type="spellStart"/>
      <w:r w:rsidRPr="00EE5075">
        <w:t>tāpaetanga</w:t>
      </w:r>
      <w:proofErr w:type="spellEnd"/>
      <w:r w:rsidRPr="00EE5075">
        <w:t xml:space="preserve"> </w:t>
      </w:r>
      <w:proofErr w:type="spellStart"/>
      <w:r w:rsidRPr="00EE5075">
        <w:t>panonitanga</w:t>
      </w:r>
      <w:proofErr w:type="spellEnd"/>
      <w:r w:rsidRPr="00EE5075">
        <w:t xml:space="preserve"> e </w:t>
      </w:r>
      <w:proofErr w:type="spellStart"/>
      <w:r w:rsidRPr="00EE5075">
        <w:t>whai</w:t>
      </w:r>
      <w:proofErr w:type="spellEnd"/>
      <w:r w:rsidRPr="00EE5075">
        <w:t xml:space="preserve"> </w:t>
      </w:r>
      <w:proofErr w:type="spellStart"/>
      <w:r w:rsidRPr="00EE5075">
        <w:t>nei</w:t>
      </w:r>
      <w:proofErr w:type="spellEnd"/>
      <w:r w:rsidRPr="00EE5075">
        <w:t>:</w:t>
      </w:r>
    </w:p>
    <w:p w14:paraId="0075D7A3" w14:textId="77777777" w:rsidR="003308C3" w:rsidRPr="00EE5075"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whakatū</w:t>
      </w:r>
      <w:proofErr w:type="spellEnd"/>
      <w:r w:rsidRPr="00EE5075">
        <w:t xml:space="preserve"> </w:t>
      </w:r>
      <w:proofErr w:type="spellStart"/>
      <w:r w:rsidRPr="00EE5075">
        <w:t>i</w:t>
      </w:r>
      <w:proofErr w:type="spellEnd"/>
      <w:r w:rsidRPr="00EE5075">
        <w:t xml:space="preserve"> </w:t>
      </w:r>
      <w:proofErr w:type="spellStart"/>
      <w:r w:rsidRPr="00EE5075">
        <w:t>tētahi</w:t>
      </w:r>
      <w:proofErr w:type="spellEnd"/>
      <w:r w:rsidRPr="00EE5075">
        <w:t xml:space="preserve"> </w:t>
      </w:r>
      <w:proofErr w:type="spellStart"/>
      <w:r w:rsidRPr="00EE5075">
        <w:t>anga</w:t>
      </w:r>
      <w:proofErr w:type="spellEnd"/>
      <w:r w:rsidRPr="00EE5075">
        <w:t xml:space="preserve"> </w:t>
      </w:r>
      <w:proofErr w:type="spellStart"/>
      <w:r w:rsidRPr="00EE5075">
        <w:t>raraunga</w:t>
      </w:r>
      <w:proofErr w:type="spellEnd"/>
      <w:r w:rsidRPr="00EE5075">
        <w:t xml:space="preserve"> </w:t>
      </w:r>
      <w:proofErr w:type="spellStart"/>
      <w:r w:rsidRPr="00EE5075">
        <w:t>hauora</w:t>
      </w:r>
      <w:proofErr w:type="spellEnd"/>
      <w:r w:rsidRPr="00EE5075">
        <w:t xml:space="preserve"> rangatiratanga ā-motu, ā, kia </w:t>
      </w:r>
      <w:proofErr w:type="spellStart"/>
      <w:r w:rsidRPr="00EE5075">
        <w:t>wānangahia</w:t>
      </w:r>
      <w:proofErr w:type="spellEnd"/>
      <w:r w:rsidRPr="00EE5075">
        <w:t xml:space="preserve"> he tikanga </w:t>
      </w:r>
      <w:proofErr w:type="spellStart"/>
      <w:r w:rsidRPr="00EE5075">
        <w:t>kohikohi</w:t>
      </w:r>
      <w:proofErr w:type="spellEnd"/>
      <w:r w:rsidRPr="00EE5075">
        <w:t xml:space="preserve"> </w:t>
      </w:r>
      <w:proofErr w:type="spellStart"/>
      <w:r w:rsidRPr="00EE5075">
        <w:t>raraunga</w:t>
      </w:r>
      <w:proofErr w:type="spellEnd"/>
      <w:r w:rsidRPr="00EE5075">
        <w:t xml:space="preserve">, </w:t>
      </w:r>
      <w:proofErr w:type="spellStart"/>
      <w:r w:rsidRPr="00EE5075">
        <w:t>pā</w:t>
      </w:r>
      <w:r w:rsidR="00411495">
        <w:t>rongo</w:t>
      </w:r>
      <w:proofErr w:type="spellEnd"/>
      <w:r w:rsidR="00411495">
        <w:t xml:space="preserve"> </w:t>
      </w:r>
      <w:proofErr w:type="spellStart"/>
      <w:r w:rsidR="00411495">
        <w:t>hoki</w:t>
      </w:r>
      <w:proofErr w:type="spellEnd"/>
      <w:r w:rsidR="00411495">
        <w:t xml:space="preserve"> e pai ai </w:t>
      </w:r>
      <w:proofErr w:type="spellStart"/>
      <w:r w:rsidR="00411495">
        <w:t>ki</w:t>
      </w:r>
      <w:proofErr w:type="spellEnd"/>
      <w:r w:rsidR="00411495">
        <w:t xml:space="preserve"> </w:t>
      </w:r>
      <w:proofErr w:type="spellStart"/>
      <w:r w:rsidR="00411495">
        <w:t>te</w:t>
      </w:r>
      <w:proofErr w:type="spellEnd"/>
      <w:r w:rsidR="00411495">
        <w:t xml:space="preserve"> Māori</w:t>
      </w:r>
    </w:p>
    <w:p w14:paraId="0075D7A4" w14:textId="77777777" w:rsidR="003308C3" w:rsidRPr="00EE5075"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whakawhanake</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whakaine</w:t>
      </w:r>
      <w:proofErr w:type="spellEnd"/>
      <w:r w:rsidRPr="00EE5075">
        <w:t xml:space="preserve"> </w:t>
      </w:r>
      <w:proofErr w:type="spellStart"/>
      <w:r w:rsidRPr="00EE5075">
        <w:t>taumata</w:t>
      </w:r>
      <w:proofErr w:type="spellEnd"/>
      <w:r w:rsidRPr="00EE5075">
        <w:t xml:space="preserve"> </w:t>
      </w:r>
      <w:proofErr w:type="spellStart"/>
      <w:r w:rsidRPr="00EE5075">
        <w:t>tōkeke</w:t>
      </w:r>
      <w:proofErr w:type="spellEnd"/>
    </w:p>
    <w:p w14:paraId="0075D7A5" w14:textId="77777777" w:rsidR="003308C3"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whakawhanake</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rauemi</w:t>
      </w:r>
      <w:proofErr w:type="spellEnd"/>
      <w:r w:rsidRPr="00EE5075">
        <w:t xml:space="preserve"> me </w:t>
      </w:r>
      <w:proofErr w:type="spellStart"/>
      <w:r w:rsidRPr="00EE5075">
        <w:t>ngā</w:t>
      </w:r>
      <w:proofErr w:type="spellEnd"/>
      <w:r w:rsidRPr="00EE5075">
        <w:t xml:space="preserve"> </w:t>
      </w:r>
      <w:proofErr w:type="spellStart"/>
      <w:r w:rsidRPr="00EE5075">
        <w:t>whakangungu</w:t>
      </w:r>
      <w:proofErr w:type="spellEnd"/>
      <w:r w:rsidRPr="00EE5075">
        <w:t xml:space="preserve"> e kite ai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mariutanga</w:t>
      </w:r>
      <w:proofErr w:type="spellEnd"/>
      <w:r w:rsidRPr="00EE5075">
        <w:t xml:space="preserve"> </w:t>
      </w:r>
      <w:proofErr w:type="spellStart"/>
      <w:r w:rsidRPr="00EE5075">
        <w:t>raraunga</w:t>
      </w:r>
      <w:proofErr w:type="spellEnd"/>
      <w:r w:rsidRPr="00EE5075">
        <w:t>.</w:t>
      </w:r>
    </w:p>
    <w:p w14:paraId="0075D7A6" w14:textId="77777777" w:rsidR="00411495" w:rsidRPr="00EE5075" w:rsidRDefault="00411495" w:rsidP="00411495"/>
    <w:p w14:paraId="0075D7A7" w14:textId="77777777" w:rsidR="00411495" w:rsidRDefault="003308C3" w:rsidP="00411495">
      <w:pPr>
        <w:pStyle w:val="Heading3"/>
      </w:pPr>
      <w:proofErr w:type="spellStart"/>
      <w:r w:rsidRPr="00EE5075">
        <w:lastRenderedPageBreak/>
        <w:t>Te</w:t>
      </w:r>
      <w:proofErr w:type="spellEnd"/>
      <w:r w:rsidRPr="00EE5075">
        <w:t xml:space="preserve"> </w:t>
      </w:r>
      <w:proofErr w:type="spellStart"/>
      <w:r w:rsidRPr="00EE5075">
        <w:t>whai</w:t>
      </w:r>
      <w:proofErr w:type="spellEnd"/>
      <w:r w:rsidRPr="00EE5075">
        <w:t xml:space="preserve"> </w:t>
      </w:r>
      <w:proofErr w:type="spellStart"/>
      <w:r w:rsidRPr="00EE5075">
        <w:t>waahitanga</w:t>
      </w:r>
      <w:proofErr w:type="spellEnd"/>
      <w:r w:rsidRPr="00EE5075">
        <w:t xml:space="preserve"> a </w:t>
      </w:r>
      <w:proofErr w:type="spellStart"/>
      <w:r w:rsidRPr="00EE5075">
        <w:t>te</w:t>
      </w:r>
      <w:proofErr w:type="spellEnd"/>
      <w:r w:rsidRPr="00EE5075">
        <w:t xml:space="preserve"> </w:t>
      </w:r>
      <w:proofErr w:type="spellStart"/>
      <w:r w:rsidRPr="00EE5075">
        <w:t>kiritaki</w:t>
      </w:r>
      <w:proofErr w:type="spellEnd"/>
    </w:p>
    <w:p w14:paraId="0075D7A8" w14:textId="77777777" w:rsidR="003308C3" w:rsidRPr="00EE5075" w:rsidRDefault="00411495" w:rsidP="00411495">
      <w:pPr>
        <w:keepNext/>
      </w:pPr>
      <w:r>
        <w:t>K</w:t>
      </w:r>
      <w:r w:rsidR="003308C3" w:rsidRPr="00EE5075">
        <w:t xml:space="preserve">o </w:t>
      </w:r>
      <w:proofErr w:type="spellStart"/>
      <w:r w:rsidR="003308C3" w:rsidRPr="00EE5075">
        <w:t>te</w:t>
      </w:r>
      <w:proofErr w:type="spellEnd"/>
      <w:r w:rsidR="003308C3" w:rsidRPr="00EE5075">
        <w:t xml:space="preserve"> </w:t>
      </w:r>
      <w:proofErr w:type="spellStart"/>
      <w:r w:rsidR="003308C3" w:rsidRPr="00EE5075">
        <w:t>whakakanohitanga</w:t>
      </w:r>
      <w:proofErr w:type="spellEnd"/>
      <w:r w:rsidR="003308C3" w:rsidRPr="00EE5075">
        <w:t xml:space="preserve"> </w:t>
      </w:r>
      <w:proofErr w:type="spellStart"/>
      <w:r w:rsidR="003308C3" w:rsidRPr="00EE5075">
        <w:t>kiritaki</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te</w:t>
      </w:r>
      <w:proofErr w:type="spellEnd"/>
      <w:r w:rsidR="003308C3" w:rsidRPr="00EE5075">
        <w:t xml:space="preserve"> mana </w:t>
      </w:r>
      <w:proofErr w:type="spellStart"/>
      <w:r w:rsidR="003308C3" w:rsidRPr="00EE5075">
        <w:t>whakahaere</w:t>
      </w:r>
      <w:proofErr w:type="spellEnd"/>
      <w:r w:rsidR="003308C3" w:rsidRPr="00EE5075">
        <w:t xml:space="preserve"> </w:t>
      </w:r>
      <w:proofErr w:type="spellStart"/>
      <w:r w:rsidR="003308C3" w:rsidRPr="00EE5075">
        <w:t>raraunga</w:t>
      </w:r>
      <w:proofErr w:type="spellEnd"/>
      <w:r w:rsidR="003308C3" w:rsidRPr="00EE5075">
        <w:t xml:space="preserve"> he </w:t>
      </w:r>
      <w:proofErr w:type="spellStart"/>
      <w:r w:rsidR="003308C3" w:rsidRPr="00EE5075">
        <w:t>mea</w:t>
      </w:r>
      <w:proofErr w:type="spellEnd"/>
      <w:r w:rsidR="003308C3" w:rsidRPr="00EE5075">
        <w:t xml:space="preserve"> </w:t>
      </w:r>
      <w:proofErr w:type="spellStart"/>
      <w:r w:rsidR="003308C3" w:rsidRPr="00EE5075">
        <w:t>nui</w:t>
      </w:r>
      <w:proofErr w:type="spellEnd"/>
      <w:r w:rsidR="003308C3" w:rsidRPr="00EE5075">
        <w:t xml:space="preserve"> </w:t>
      </w:r>
      <w:proofErr w:type="spellStart"/>
      <w:r w:rsidR="003308C3" w:rsidRPr="00EE5075">
        <w:t>mā</w:t>
      </w:r>
      <w:proofErr w:type="spellEnd"/>
      <w:r w:rsidR="003308C3" w:rsidRPr="00EE5075">
        <w:t xml:space="preserve"> </w:t>
      </w:r>
      <w:proofErr w:type="spellStart"/>
      <w:r w:rsidR="003308C3" w:rsidRPr="00EE5075">
        <w:t>mātou</w:t>
      </w:r>
      <w:proofErr w:type="spellEnd"/>
      <w:r w:rsidR="003308C3" w:rsidRPr="00EE5075">
        <w:t xml:space="preserve"> kia </w:t>
      </w:r>
      <w:proofErr w:type="spellStart"/>
      <w:r w:rsidR="003308C3" w:rsidRPr="00EE5075">
        <w:t>noho</w:t>
      </w:r>
      <w:proofErr w:type="spellEnd"/>
      <w:r w:rsidR="003308C3" w:rsidRPr="00EE5075">
        <w:t xml:space="preserve"> ko </w:t>
      </w:r>
      <w:proofErr w:type="spellStart"/>
      <w:r w:rsidR="003308C3" w:rsidRPr="00EE5075">
        <w:t>te</w:t>
      </w:r>
      <w:proofErr w:type="spellEnd"/>
      <w:r w:rsidR="003308C3" w:rsidRPr="00EE5075">
        <w:t xml:space="preserve"> </w:t>
      </w:r>
      <w:proofErr w:type="spellStart"/>
      <w:r w:rsidR="003308C3" w:rsidRPr="00EE5075">
        <w:t>kiritaki</w:t>
      </w:r>
      <w:proofErr w:type="spellEnd"/>
      <w:r w:rsidR="003308C3" w:rsidRPr="00EE5075">
        <w:t xml:space="preserve"> </w:t>
      </w:r>
      <w:proofErr w:type="spellStart"/>
      <w:r w:rsidR="003308C3" w:rsidRPr="00EE5075">
        <w:t>hei</w:t>
      </w:r>
      <w:proofErr w:type="spellEnd"/>
      <w:r w:rsidR="003308C3" w:rsidRPr="00EE5075">
        <w:t xml:space="preserve"> </w:t>
      </w:r>
      <w:proofErr w:type="spellStart"/>
      <w:r w:rsidR="003308C3" w:rsidRPr="00EE5075">
        <w:t>uho</w:t>
      </w:r>
      <w:proofErr w:type="spellEnd"/>
      <w:r w:rsidR="003308C3" w:rsidRPr="00EE5075">
        <w:t xml:space="preserve"> o</w:t>
      </w:r>
      <w:r>
        <w:t xml:space="preserve"> </w:t>
      </w:r>
      <w:proofErr w:type="spellStart"/>
      <w:r w:rsidR="003308C3" w:rsidRPr="00EE5075">
        <w:t>ngā</w:t>
      </w:r>
      <w:proofErr w:type="spellEnd"/>
      <w:r w:rsidR="003308C3" w:rsidRPr="00EE5075">
        <w:t xml:space="preserve"> </w:t>
      </w:r>
      <w:proofErr w:type="spellStart"/>
      <w:r w:rsidR="003308C3" w:rsidRPr="00EE5075">
        <w:t>whakataunga</w:t>
      </w:r>
      <w:proofErr w:type="spellEnd"/>
      <w:r w:rsidR="003308C3" w:rsidRPr="00EE5075">
        <w:t>.</w:t>
      </w:r>
    </w:p>
    <w:p w14:paraId="0075D7A9" w14:textId="77777777" w:rsidR="00411495" w:rsidRDefault="00411495" w:rsidP="00411495">
      <w:pPr>
        <w:keepNext/>
      </w:pPr>
    </w:p>
    <w:p w14:paraId="0075D7AA" w14:textId="77777777" w:rsidR="003308C3" w:rsidRPr="00EE5075" w:rsidRDefault="003308C3" w:rsidP="00411495">
      <w:pPr>
        <w:keepNext/>
      </w:pPr>
      <w:proofErr w:type="spellStart"/>
      <w:r w:rsidRPr="00EE5075">
        <w:t>Ngā</w:t>
      </w:r>
      <w:proofErr w:type="spellEnd"/>
      <w:r w:rsidRPr="00EE5075">
        <w:t xml:space="preserve"> </w:t>
      </w:r>
      <w:proofErr w:type="spellStart"/>
      <w:r w:rsidRPr="00EE5075">
        <w:t>tāpaetanga</w:t>
      </w:r>
      <w:proofErr w:type="spellEnd"/>
      <w:r w:rsidRPr="00EE5075">
        <w:t xml:space="preserve"> </w:t>
      </w:r>
      <w:proofErr w:type="spellStart"/>
      <w:r w:rsidRPr="00EE5075">
        <w:t>panonitanga</w:t>
      </w:r>
      <w:proofErr w:type="spellEnd"/>
      <w:r w:rsidRPr="00EE5075">
        <w:t xml:space="preserve"> e </w:t>
      </w:r>
      <w:proofErr w:type="spellStart"/>
      <w:r w:rsidRPr="00EE5075">
        <w:t>whai</w:t>
      </w:r>
      <w:proofErr w:type="spellEnd"/>
      <w:r w:rsidRPr="00EE5075">
        <w:t xml:space="preserve"> </w:t>
      </w:r>
      <w:proofErr w:type="spellStart"/>
      <w:r w:rsidRPr="00EE5075">
        <w:t>nei</w:t>
      </w:r>
      <w:proofErr w:type="spellEnd"/>
      <w:r w:rsidRPr="00EE5075">
        <w:t>:</w:t>
      </w:r>
    </w:p>
    <w:p w14:paraId="0075D7AB" w14:textId="77777777" w:rsidR="003308C3" w:rsidRPr="00EE5075" w:rsidRDefault="003308C3" w:rsidP="00411495">
      <w:pPr>
        <w:pStyle w:val="Bullet"/>
        <w:keepNext/>
      </w:pPr>
      <w:r w:rsidRPr="00EE5075">
        <w:t xml:space="preserve">kia </w:t>
      </w:r>
      <w:proofErr w:type="spellStart"/>
      <w:r w:rsidRPr="00EE5075">
        <w:t>whakarawe</w:t>
      </w:r>
      <w:proofErr w:type="spellEnd"/>
      <w:r w:rsidRPr="00EE5075">
        <w:t xml:space="preserve"> </w:t>
      </w:r>
      <w:proofErr w:type="spellStart"/>
      <w:r w:rsidRPr="00EE5075">
        <w:t>mai</w:t>
      </w:r>
      <w:proofErr w:type="spellEnd"/>
      <w:r w:rsidRPr="00EE5075">
        <w:t xml:space="preserve"> he </w:t>
      </w:r>
      <w:proofErr w:type="spellStart"/>
      <w:r w:rsidRPr="00EE5075">
        <w:t>ratonga</w:t>
      </w:r>
      <w:proofErr w:type="spellEnd"/>
      <w:r w:rsidRPr="00EE5075">
        <w:t xml:space="preserve"> </w:t>
      </w:r>
      <w:proofErr w:type="spellStart"/>
      <w:r w:rsidRPr="00EE5075">
        <w:t>raraunga</w:t>
      </w:r>
      <w:proofErr w:type="spellEnd"/>
      <w:r w:rsidRPr="00EE5075">
        <w:t xml:space="preserve"> </w:t>
      </w:r>
      <w:proofErr w:type="spellStart"/>
      <w:r w:rsidRPr="00EE5075">
        <w:t>hauora</w:t>
      </w:r>
      <w:proofErr w:type="spellEnd"/>
      <w:r w:rsidRPr="00EE5075">
        <w:t xml:space="preserve">, </w:t>
      </w:r>
      <w:proofErr w:type="spellStart"/>
      <w:r w:rsidRPr="00EE5075">
        <w:t>whaikaha</w:t>
      </w:r>
      <w:proofErr w:type="spellEnd"/>
      <w:r w:rsidRPr="00EE5075">
        <w:t xml:space="preserve"> </w:t>
      </w:r>
      <w:proofErr w:type="spellStart"/>
      <w:r w:rsidRPr="00EE5075">
        <w:t>hoki</w:t>
      </w:r>
      <w:proofErr w:type="spellEnd"/>
      <w:r w:rsidRPr="00EE5075">
        <w:t xml:space="preserve"> ā-motu kia </w:t>
      </w:r>
      <w:proofErr w:type="spellStart"/>
      <w:r w:rsidRPr="00EE5075">
        <w:t>mārama</w:t>
      </w:r>
      <w:proofErr w:type="spellEnd"/>
      <w:r w:rsidRPr="00EE5075">
        <w:t xml:space="preserve"> ai </w:t>
      </w:r>
      <w:proofErr w:type="spellStart"/>
      <w:r w:rsidRPr="00EE5075">
        <w:t>ngā</w:t>
      </w:r>
      <w:proofErr w:type="spellEnd"/>
      <w:r w:rsidRPr="00EE5075">
        <w:t xml:space="preserve"> </w:t>
      </w:r>
      <w:proofErr w:type="spellStart"/>
      <w:r w:rsidRPr="00EE5075">
        <w:t>kiritaki</w:t>
      </w:r>
      <w:proofErr w:type="spellEnd"/>
      <w:r w:rsidRPr="00EE5075">
        <w:t xml:space="preserve"> </w:t>
      </w:r>
      <w:proofErr w:type="spellStart"/>
      <w:r w:rsidRPr="00EE5075">
        <w:t>mō</w:t>
      </w:r>
      <w:proofErr w:type="spellEnd"/>
      <w:r w:rsidRPr="00EE5075">
        <w:t xml:space="preserve"> </w:t>
      </w:r>
      <w:proofErr w:type="spellStart"/>
      <w:r w:rsidRPr="00EE5075">
        <w:t>te</w:t>
      </w:r>
      <w:proofErr w:type="spellEnd"/>
      <w:r w:rsidRPr="00EE5075">
        <w:t xml:space="preserve"> </w:t>
      </w:r>
      <w:proofErr w:type="spellStart"/>
      <w:r w:rsidRPr="00EE5075">
        <w:t>āhua</w:t>
      </w:r>
      <w:proofErr w:type="spellEnd"/>
      <w:r w:rsidRPr="00EE5075">
        <w:t xml:space="preserve"> o </w:t>
      </w:r>
      <w:proofErr w:type="spellStart"/>
      <w:r w:rsidRPr="00EE5075">
        <w:t>te</w:t>
      </w:r>
      <w:proofErr w:type="spellEnd"/>
      <w:r w:rsidRPr="00EE5075">
        <w:t xml:space="preserve"> </w:t>
      </w:r>
      <w:proofErr w:type="spellStart"/>
      <w:r w:rsidRPr="00EE5075">
        <w:t>whakamahinga</w:t>
      </w:r>
      <w:proofErr w:type="spellEnd"/>
      <w:r w:rsidRPr="00EE5075">
        <w:t xml:space="preserve"> me </w:t>
      </w:r>
      <w:proofErr w:type="spellStart"/>
      <w:r w:rsidRPr="00EE5075">
        <w:t>te</w:t>
      </w:r>
      <w:proofErr w:type="spellEnd"/>
      <w:r w:rsidRPr="00EE5075">
        <w:t xml:space="preserve"> mana </w:t>
      </w:r>
      <w:proofErr w:type="spellStart"/>
      <w:r w:rsidRPr="00EE5075">
        <w:t>w</w:t>
      </w:r>
      <w:r w:rsidR="00411495">
        <w:t>hakahaere</w:t>
      </w:r>
      <w:proofErr w:type="spellEnd"/>
      <w:r w:rsidR="00411495">
        <w:t xml:space="preserve"> o </w:t>
      </w:r>
      <w:proofErr w:type="spellStart"/>
      <w:r w:rsidR="00411495">
        <w:t>ngā</w:t>
      </w:r>
      <w:proofErr w:type="spellEnd"/>
      <w:r w:rsidR="00411495">
        <w:t xml:space="preserve"> </w:t>
      </w:r>
      <w:proofErr w:type="spellStart"/>
      <w:r w:rsidR="00411495">
        <w:t>raraunga</w:t>
      </w:r>
      <w:proofErr w:type="spellEnd"/>
      <w:r w:rsidR="00411495">
        <w:t xml:space="preserve"> </w:t>
      </w:r>
      <w:proofErr w:type="spellStart"/>
      <w:r w:rsidR="00411495">
        <w:t>hauora</w:t>
      </w:r>
      <w:proofErr w:type="spellEnd"/>
    </w:p>
    <w:p w14:paraId="0075D7AC" w14:textId="77777777" w:rsidR="003308C3" w:rsidRPr="00EE5075" w:rsidRDefault="003308C3" w:rsidP="00411495">
      <w:pPr>
        <w:pStyle w:val="Bullet"/>
        <w:keepNext/>
      </w:pPr>
      <w:r w:rsidRPr="00EE5075">
        <w:t xml:space="preserve">kia </w:t>
      </w:r>
      <w:proofErr w:type="spellStart"/>
      <w:r w:rsidRPr="00EE5075">
        <w:t>waihanga</w:t>
      </w:r>
      <w:proofErr w:type="spellEnd"/>
      <w:r w:rsidRPr="00EE5075">
        <w:t xml:space="preserve"> </w:t>
      </w:r>
      <w:proofErr w:type="spellStart"/>
      <w:r w:rsidRPr="00EE5075">
        <w:t>ake</w:t>
      </w:r>
      <w:proofErr w:type="spellEnd"/>
      <w:r w:rsidRPr="00EE5075">
        <w:t xml:space="preserve"> he </w:t>
      </w:r>
      <w:proofErr w:type="spellStart"/>
      <w:r w:rsidRPr="00EE5075">
        <w:t>ara</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kiritaki</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whakaae</w:t>
      </w:r>
      <w:proofErr w:type="spellEnd"/>
      <w:r w:rsidRPr="00EE5075">
        <w:t xml:space="preserve"> </w:t>
      </w:r>
      <w:proofErr w:type="spellStart"/>
      <w:r w:rsidRPr="00EE5075">
        <w:t>atu</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tomonga</w:t>
      </w:r>
      <w:proofErr w:type="spellEnd"/>
      <w:r w:rsidRPr="00EE5075">
        <w:t xml:space="preserve"> </w:t>
      </w:r>
      <w:proofErr w:type="spellStart"/>
      <w:r w:rsidRPr="00EE5075">
        <w:t>ki</w:t>
      </w:r>
      <w:proofErr w:type="spellEnd"/>
      <w:r w:rsidRPr="00EE5075">
        <w:t xml:space="preserve"> ā </w:t>
      </w:r>
      <w:proofErr w:type="spellStart"/>
      <w:r w:rsidRPr="00EE5075">
        <w:t>rātou</w:t>
      </w:r>
      <w:proofErr w:type="spellEnd"/>
      <w:r w:rsidRPr="00EE5075">
        <w:t xml:space="preserve"> </w:t>
      </w:r>
      <w:proofErr w:type="spellStart"/>
      <w:r w:rsidRPr="00EE5075">
        <w:t>raraunga</w:t>
      </w:r>
      <w:proofErr w:type="spellEnd"/>
      <w:r w:rsidRPr="00EE5075">
        <w:t xml:space="preserve"> </w:t>
      </w:r>
      <w:proofErr w:type="spellStart"/>
      <w:r w:rsidRPr="00EE5075">
        <w:t>hauora</w:t>
      </w:r>
      <w:proofErr w:type="spellEnd"/>
      <w:r w:rsidRPr="00EE5075">
        <w:t xml:space="preserve"> </w:t>
      </w:r>
      <w:proofErr w:type="spellStart"/>
      <w:r w:rsidRPr="00EE5075">
        <w:t>ake</w:t>
      </w:r>
      <w:proofErr w:type="spellEnd"/>
    </w:p>
    <w:p w14:paraId="0075D7AD" w14:textId="77777777" w:rsidR="003308C3" w:rsidRPr="00EE5075" w:rsidRDefault="003308C3" w:rsidP="00411495">
      <w:pPr>
        <w:pStyle w:val="Bullet"/>
      </w:pPr>
      <w:r w:rsidRPr="00EE5075">
        <w:t xml:space="preserve">kia </w:t>
      </w:r>
      <w:proofErr w:type="spellStart"/>
      <w:r w:rsidRPr="00EE5075">
        <w:t>ākina</w:t>
      </w:r>
      <w:proofErr w:type="spellEnd"/>
      <w:r w:rsidRPr="00EE5075">
        <w:t xml:space="preserve"> </w:t>
      </w:r>
      <w:proofErr w:type="spellStart"/>
      <w:r w:rsidRPr="00EE5075">
        <w:t>ngā</w:t>
      </w:r>
      <w:proofErr w:type="spellEnd"/>
      <w:r w:rsidRPr="00EE5075">
        <w:t xml:space="preserve"> </w:t>
      </w:r>
      <w:proofErr w:type="spellStart"/>
      <w:r w:rsidRPr="00EE5075">
        <w:t>kiritaki</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uru</w:t>
      </w:r>
      <w:proofErr w:type="spellEnd"/>
      <w:r w:rsidRPr="00EE5075">
        <w:t xml:space="preserve"> </w:t>
      </w:r>
      <w:proofErr w:type="spellStart"/>
      <w:r w:rsidRPr="00EE5075">
        <w:t>ki</w:t>
      </w:r>
      <w:proofErr w:type="spellEnd"/>
      <w:r w:rsidRPr="00EE5075">
        <w:t xml:space="preserve"> </w:t>
      </w:r>
      <w:proofErr w:type="spellStart"/>
      <w:r w:rsidRPr="00EE5075">
        <w:t>ng</w:t>
      </w:r>
      <w:r w:rsidR="00411495">
        <w:t>ā</w:t>
      </w:r>
      <w:proofErr w:type="spellEnd"/>
      <w:r w:rsidR="00411495">
        <w:t xml:space="preserve"> mahi mana </w:t>
      </w:r>
      <w:proofErr w:type="spellStart"/>
      <w:r w:rsidR="00411495">
        <w:t>whakahaere</w:t>
      </w:r>
      <w:proofErr w:type="spellEnd"/>
      <w:r w:rsidR="00411495">
        <w:t xml:space="preserve"> </w:t>
      </w:r>
      <w:proofErr w:type="spellStart"/>
      <w:r w:rsidR="00411495">
        <w:t>raraunga</w:t>
      </w:r>
      <w:proofErr w:type="spellEnd"/>
    </w:p>
    <w:p w14:paraId="0075D7AE" w14:textId="77777777" w:rsidR="003308C3" w:rsidRPr="00EE5075" w:rsidRDefault="003308C3" w:rsidP="00411495">
      <w:pPr>
        <w:pStyle w:val="Bullet"/>
      </w:pPr>
      <w:r w:rsidRPr="00EE5075">
        <w:t xml:space="preserve">kia </w:t>
      </w:r>
      <w:proofErr w:type="spellStart"/>
      <w:r w:rsidRPr="00EE5075">
        <w:t>whakatū</w:t>
      </w:r>
      <w:proofErr w:type="spellEnd"/>
      <w:r w:rsidRPr="00EE5075">
        <w:t xml:space="preserve"> </w:t>
      </w:r>
      <w:proofErr w:type="spellStart"/>
      <w:r w:rsidRPr="00EE5075">
        <w:t>mai</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matatika</w:t>
      </w:r>
      <w:proofErr w:type="spellEnd"/>
      <w:r w:rsidRPr="00EE5075">
        <w:t xml:space="preserve"> </w:t>
      </w:r>
      <w:proofErr w:type="spellStart"/>
      <w:r w:rsidRPr="00EE5075">
        <w:t>kiritaki</w:t>
      </w:r>
      <w:proofErr w:type="spellEnd"/>
      <w:r w:rsidRPr="00EE5075">
        <w:t xml:space="preserve"> kia </w:t>
      </w:r>
      <w:proofErr w:type="spellStart"/>
      <w:r w:rsidRPr="00EE5075">
        <w:t>mārama</w:t>
      </w:r>
      <w:proofErr w:type="spellEnd"/>
      <w:r w:rsidRPr="00EE5075">
        <w:t xml:space="preserve"> ai </w:t>
      </w:r>
      <w:proofErr w:type="spellStart"/>
      <w:r w:rsidR="00411495">
        <w:t>ki</w:t>
      </w:r>
      <w:proofErr w:type="spellEnd"/>
      <w:r w:rsidR="00411495">
        <w:t xml:space="preserve"> </w:t>
      </w:r>
      <w:proofErr w:type="spellStart"/>
      <w:r w:rsidR="00411495">
        <w:t>ngā</w:t>
      </w:r>
      <w:proofErr w:type="spellEnd"/>
      <w:r w:rsidR="00411495">
        <w:t xml:space="preserve"> take </w:t>
      </w:r>
      <w:proofErr w:type="spellStart"/>
      <w:r w:rsidR="00411495">
        <w:t>nā</w:t>
      </w:r>
      <w:proofErr w:type="spellEnd"/>
      <w:r w:rsidR="00411495">
        <w:t xml:space="preserve"> </w:t>
      </w:r>
      <w:proofErr w:type="spellStart"/>
      <w:r w:rsidR="00411495">
        <w:t>wai</w:t>
      </w:r>
      <w:proofErr w:type="spellEnd"/>
      <w:r w:rsidR="00411495">
        <w:t xml:space="preserve"> </w:t>
      </w:r>
      <w:proofErr w:type="spellStart"/>
      <w:r w:rsidR="00411495">
        <w:t>ngā</w:t>
      </w:r>
      <w:proofErr w:type="spellEnd"/>
      <w:r w:rsidR="00411495">
        <w:t xml:space="preserve"> </w:t>
      </w:r>
      <w:proofErr w:type="spellStart"/>
      <w:r w:rsidR="00411495">
        <w:t>raraunga</w:t>
      </w:r>
      <w:proofErr w:type="spellEnd"/>
    </w:p>
    <w:p w14:paraId="0075D7AF" w14:textId="77777777" w:rsidR="003308C3" w:rsidRDefault="003308C3" w:rsidP="00411495">
      <w:pPr>
        <w:pStyle w:val="Bullet"/>
      </w:pPr>
      <w:r w:rsidRPr="00EE5075">
        <w:t xml:space="preserve">kia </w:t>
      </w:r>
      <w:proofErr w:type="spellStart"/>
      <w:r w:rsidRPr="00EE5075">
        <w:t>taea</w:t>
      </w:r>
      <w:proofErr w:type="spellEnd"/>
      <w:r w:rsidRPr="00EE5075">
        <w:t xml:space="preserve"> </w:t>
      </w:r>
      <w:proofErr w:type="spellStart"/>
      <w:r w:rsidRPr="00EE5075">
        <w:t>noatia</w:t>
      </w:r>
      <w:proofErr w:type="spellEnd"/>
      <w:r w:rsidRPr="00EE5075">
        <w:t xml:space="preserve"> ai e </w:t>
      </w:r>
      <w:proofErr w:type="spellStart"/>
      <w:r w:rsidRPr="00EE5075">
        <w:t>ngā</w:t>
      </w:r>
      <w:proofErr w:type="spellEnd"/>
      <w:r w:rsidRPr="00EE5075">
        <w:t xml:space="preserve"> </w:t>
      </w:r>
      <w:proofErr w:type="spellStart"/>
      <w:r w:rsidRPr="00EE5075">
        <w:t>kiritaki</w:t>
      </w:r>
      <w:proofErr w:type="spellEnd"/>
      <w:r w:rsidRPr="00EE5075">
        <w:t xml:space="preserve"> </w:t>
      </w:r>
      <w:proofErr w:type="spellStart"/>
      <w:r w:rsidRPr="00EE5075">
        <w:t>te</w:t>
      </w:r>
      <w:proofErr w:type="spellEnd"/>
      <w:r w:rsidRPr="00EE5075">
        <w:t xml:space="preserve"> toro </w:t>
      </w:r>
      <w:proofErr w:type="spellStart"/>
      <w:r w:rsidRPr="00EE5075">
        <w:t>atu</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pārongo</w:t>
      </w:r>
      <w:proofErr w:type="spellEnd"/>
      <w:r w:rsidRPr="00EE5075">
        <w:t xml:space="preserve"> </w:t>
      </w:r>
      <w:proofErr w:type="spellStart"/>
      <w:r w:rsidRPr="00EE5075">
        <w:t>hauora</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pūnaha</w:t>
      </w:r>
      <w:proofErr w:type="spellEnd"/>
      <w:r w:rsidRPr="00EE5075">
        <w:t xml:space="preserve"> </w:t>
      </w:r>
      <w:proofErr w:type="spellStart"/>
      <w:r w:rsidRPr="00EE5075">
        <w:t>hiko</w:t>
      </w:r>
      <w:proofErr w:type="spellEnd"/>
      <w:r w:rsidRPr="00EE5075">
        <w:t>, kia utu kore.</w:t>
      </w:r>
    </w:p>
    <w:p w14:paraId="0075D7B0" w14:textId="77777777" w:rsidR="00411495" w:rsidRPr="00EE5075" w:rsidRDefault="00411495" w:rsidP="00411495"/>
    <w:p w14:paraId="0075D7B1" w14:textId="77777777" w:rsidR="00411495" w:rsidRDefault="003308C3" w:rsidP="00411495">
      <w:pPr>
        <w:pStyle w:val="Heading3"/>
      </w:pPr>
      <w:proofErr w:type="spellStart"/>
      <w:r w:rsidRPr="00EE5075">
        <w:t>Ngā</w:t>
      </w:r>
      <w:proofErr w:type="spellEnd"/>
      <w:r w:rsidRPr="00EE5075">
        <w:t xml:space="preserve"> </w:t>
      </w:r>
      <w:proofErr w:type="spellStart"/>
      <w:r w:rsidRPr="00EE5075">
        <w:t>tāngata</w:t>
      </w:r>
      <w:proofErr w:type="spellEnd"/>
      <w:r w:rsidRPr="00EE5075">
        <w:t xml:space="preserve"> me </w:t>
      </w:r>
      <w:proofErr w:type="spellStart"/>
      <w:r w:rsidRPr="00EE5075">
        <w:t>te</w:t>
      </w:r>
      <w:proofErr w:type="spellEnd"/>
      <w:r w:rsidRPr="00EE5075">
        <w:t xml:space="preserve"> </w:t>
      </w:r>
      <w:proofErr w:type="spellStart"/>
      <w:r w:rsidRPr="00EE5075">
        <w:t>ārahitanga</w:t>
      </w:r>
      <w:proofErr w:type="spellEnd"/>
    </w:p>
    <w:p w14:paraId="0075D7B2" w14:textId="77777777" w:rsidR="003308C3" w:rsidRPr="00EE5075" w:rsidRDefault="00411495" w:rsidP="00411495">
      <w:r>
        <w:t>M</w:t>
      </w:r>
      <w:r w:rsidR="003308C3" w:rsidRPr="00EE5075">
        <w:t xml:space="preserve">e </w:t>
      </w:r>
      <w:proofErr w:type="spellStart"/>
      <w:r w:rsidR="003308C3" w:rsidRPr="00EE5075">
        <w:t>whai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rāngai</w:t>
      </w:r>
      <w:proofErr w:type="spellEnd"/>
      <w:r w:rsidR="003308C3" w:rsidRPr="00EE5075">
        <w:t xml:space="preserve"> </w:t>
      </w:r>
      <w:proofErr w:type="spellStart"/>
      <w:r w:rsidR="003308C3" w:rsidRPr="00EE5075">
        <w:t>hauora</w:t>
      </w:r>
      <w:proofErr w:type="spellEnd"/>
      <w:r w:rsidR="003308C3" w:rsidRPr="00EE5075">
        <w:t xml:space="preserve">, </w:t>
      </w:r>
      <w:proofErr w:type="spellStart"/>
      <w:r w:rsidR="003308C3" w:rsidRPr="00EE5075">
        <w:t>whaikaha</w:t>
      </w:r>
      <w:proofErr w:type="spellEnd"/>
      <w:r w:rsidR="003308C3" w:rsidRPr="00EE5075">
        <w:t xml:space="preserve"> </w:t>
      </w:r>
      <w:proofErr w:type="spellStart"/>
      <w:r w:rsidR="003308C3" w:rsidRPr="00EE5075">
        <w:t>hoki</w:t>
      </w:r>
      <w:proofErr w:type="spellEnd"/>
      <w:r w:rsidR="003308C3" w:rsidRPr="00EE5075">
        <w:t xml:space="preserve"> </w:t>
      </w:r>
      <w:proofErr w:type="spellStart"/>
      <w:r w:rsidR="003308C3" w:rsidRPr="00EE5075">
        <w:t>tētahi</w:t>
      </w:r>
      <w:proofErr w:type="spellEnd"/>
      <w:r w:rsidR="003308C3" w:rsidRPr="00EE5075">
        <w:t xml:space="preserve"> </w:t>
      </w:r>
      <w:proofErr w:type="spellStart"/>
      <w:r w:rsidR="003308C3" w:rsidRPr="00EE5075">
        <w:t>hunga</w:t>
      </w:r>
      <w:proofErr w:type="spellEnd"/>
      <w:r w:rsidR="003308C3" w:rsidRPr="00EE5075">
        <w:t xml:space="preserve"> </w:t>
      </w:r>
      <w:proofErr w:type="spellStart"/>
      <w:r w:rsidR="003308C3" w:rsidRPr="00EE5075">
        <w:t>kaimahi</w:t>
      </w:r>
      <w:proofErr w:type="spellEnd"/>
      <w:r w:rsidR="003308C3" w:rsidRPr="00EE5075">
        <w:t xml:space="preserve"> e </w:t>
      </w:r>
      <w:proofErr w:type="spellStart"/>
      <w:r w:rsidR="003308C3" w:rsidRPr="00EE5075">
        <w:t>pūkenga</w:t>
      </w:r>
      <w:proofErr w:type="spellEnd"/>
      <w:r w:rsidR="003308C3" w:rsidRPr="00EE5075">
        <w:t xml:space="preserve"> ana </w:t>
      </w:r>
      <w:proofErr w:type="spellStart"/>
      <w:r w:rsidR="003308C3" w:rsidRPr="00EE5075">
        <w:t>ki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whakahaere</w:t>
      </w:r>
      <w:proofErr w:type="spellEnd"/>
      <w:r w:rsidR="003308C3" w:rsidRPr="00EE5075">
        <w:t xml:space="preserve"> </w:t>
      </w:r>
      <w:proofErr w:type="spellStart"/>
      <w:r w:rsidR="003308C3" w:rsidRPr="00EE5075">
        <w:t>raraunga</w:t>
      </w:r>
      <w:proofErr w:type="spellEnd"/>
      <w:r w:rsidR="003308C3" w:rsidRPr="00EE5075">
        <w:t xml:space="preserve">, </w:t>
      </w:r>
      <w:proofErr w:type="spellStart"/>
      <w:r w:rsidR="003308C3" w:rsidRPr="00EE5075">
        <w:t>whakamahinga</w:t>
      </w:r>
      <w:proofErr w:type="spellEnd"/>
      <w:r>
        <w:t xml:space="preserve"> </w:t>
      </w:r>
      <w:proofErr w:type="spellStart"/>
      <w:r w:rsidR="003308C3" w:rsidRPr="00EE5075">
        <w:t>hoki</w:t>
      </w:r>
      <w:proofErr w:type="spellEnd"/>
      <w:r w:rsidR="003308C3" w:rsidRPr="00EE5075">
        <w:t xml:space="preserve">. Me </w:t>
      </w:r>
      <w:proofErr w:type="spellStart"/>
      <w:r w:rsidR="003308C3" w:rsidRPr="00EE5075">
        <w:t>whakangao</w:t>
      </w:r>
      <w:proofErr w:type="spellEnd"/>
      <w:r w:rsidR="003308C3" w:rsidRPr="00EE5075">
        <w:t xml:space="preserve"> e </w:t>
      </w:r>
      <w:proofErr w:type="spellStart"/>
      <w:r w:rsidR="003308C3" w:rsidRPr="00EE5075">
        <w:t>mātou</w:t>
      </w:r>
      <w:proofErr w:type="spellEnd"/>
      <w:r w:rsidR="003308C3" w:rsidRPr="00EE5075">
        <w:t xml:space="preserve"> </w:t>
      </w:r>
      <w:proofErr w:type="spellStart"/>
      <w:r w:rsidR="003308C3" w:rsidRPr="00EE5075">
        <w:t>ki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mōhiotanga</w:t>
      </w:r>
      <w:proofErr w:type="spellEnd"/>
      <w:r w:rsidR="003308C3" w:rsidRPr="00EE5075">
        <w:t xml:space="preserve"> </w:t>
      </w:r>
      <w:proofErr w:type="spellStart"/>
      <w:r w:rsidR="003308C3" w:rsidRPr="00EE5075">
        <w:t>raraunga</w:t>
      </w:r>
      <w:proofErr w:type="spellEnd"/>
      <w:r w:rsidR="003308C3" w:rsidRPr="00EE5075">
        <w:t xml:space="preserve"> o </w:t>
      </w:r>
      <w:proofErr w:type="spellStart"/>
      <w:r w:rsidR="003308C3" w:rsidRPr="00EE5075">
        <w:t>te</w:t>
      </w:r>
      <w:proofErr w:type="spellEnd"/>
      <w:r w:rsidR="003308C3" w:rsidRPr="00EE5075">
        <w:t xml:space="preserve"> </w:t>
      </w:r>
      <w:proofErr w:type="spellStart"/>
      <w:r w:rsidR="003308C3" w:rsidRPr="00EE5075">
        <w:t>rāngai</w:t>
      </w:r>
      <w:proofErr w:type="spellEnd"/>
      <w:r w:rsidR="003308C3" w:rsidRPr="00EE5075">
        <w:t xml:space="preserve"> </w:t>
      </w:r>
      <w:proofErr w:type="spellStart"/>
      <w:r w:rsidR="003308C3" w:rsidRPr="00EE5075">
        <w:t>nei</w:t>
      </w:r>
      <w:proofErr w:type="spellEnd"/>
      <w:r w:rsidR="003308C3" w:rsidRPr="00EE5075">
        <w:t xml:space="preserve">, mana </w:t>
      </w:r>
      <w:proofErr w:type="spellStart"/>
      <w:r w:rsidR="003308C3" w:rsidRPr="00EE5075">
        <w:t>whakahaere</w:t>
      </w:r>
      <w:proofErr w:type="spellEnd"/>
      <w:r w:rsidR="003308C3" w:rsidRPr="00EE5075">
        <w:t xml:space="preserve"> me </w:t>
      </w:r>
      <w:proofErr w:type="spellStart"/>
      <w:r w:rsidR="003308C3" w:rsidRPr="00EE5075">
        <w:t>ngā</w:t>
      </w:r>
      <w:proofErr w:type="spellEnd"/>
      <w:r w:rsidR="003308C3" w:rsidRPr="00EE5075">
        <w:t xml:space="preserve"> </w:t>
      </w:r>
      <w:proofErr w:type="spellStart"/>
      <w:r w:rsidR="003308C3" w:rsidRPr="00EE5075">
        <w:t>āheinga</w:t>
      </w:r>
      <w:proofErr w:type="spellEnd"/>
      <w:r w:rsidR="003308C3" w:rsidRPr="00EE5075">
        <w:t xml:space="preserve"> </w:t>
      </w:r>
      <w:proofErr w:type="spellStart"/>
      <w:r w:rsidR="003308C3" w:rsidRPr="00EE5075">
        <w:t>raraunga</w:t>
      </w:r>
      <w:proofErr w:type="spellEnd"/>
      <w:r w:rsidR="003308C3" w:rsidRPr="00EE5075">
        <w:t>.</w:t>
      </w:r>
    </w:p>
    <w:p w14:paraId="0075D7B3" w14:textId="77777777" w:rsidR="00411495" w:rsidRDefault="00411495" w:rsidP="00411495"/>
    <w:p w14:paraId="0075D7B4" w14:textId="77777777" w:rsidR="003308C3" w:rsidRPr="00EE5075" w:rsidRDefault="003308C3" w:rsidP="00411495">
      <w:proofErr w:type="spellStart"/>
      <w:r w:rsidRPr="00EE5075">
        <w:t>Ngā</w:t>
      </w:r>
      <w:proofErr w:type="spellEnd"/>
      <w:r w:rsidRPr="00EE5075">
        <w:t xml:space="preserve"> </w:t>
      </w:r>
      <w:proofErr w:type="spellStart"/>
      <w:r w:rsidRPr="00EE5075">
        <w:t>tāpaetanga</w:t>
      </w:r>
      <w:proofErr w:type="spellEnd"/>
      <w:r w:rsidRPr="00EE5075">
        <w:t xml:space="preserve"> </w:t>
      </w:r>
      <w:proofErr w:type="spellStart"/>
      <w:r w:rsidRPr="00EE5075">
        <w:t>panonitanga</w:t>
      </w:r>
      <w:proofErr w:type="spellEnd"/>
      <w:r w:rsidRPr="00EE5075">
        <w:t xml:space="preserve"> e </w:t>
      </w:r>
      <w:proofErr w:type="spellStart"/>
      <w:r w:rsidRPr="00EE5075">
        <w:t>whai</w:t>
      </w:r>
      <w:proofErr w:type="spellEnd"/>
      <w:r w:rsidRPr="00EE5075">
        <w:t xml:space="preserve"> </w:t>
      </w:r>
      <w:proofErr w:type="spellStart"/>
      <w:r w:rsidRPr="00EE5075">
        <w:t>nei</w:t>
      </w:r>
      <w:proofErr w:type="spellEnd"/>
      <w:r w:rsidRPr="00EE5075">
        <w:t>:</w:t>
      </w:r>
    </w:p>
    <w:p w14:paraId="0075D7B5" w14:textId="77777777" w:rsidR="003308C3" w:rsidRPr="00EE5075" w:rsidRDefault="003308C3" w:rsidP="00411495">
      <w:pPr>
        <w:pStyle w:val="Bullet"/>
      </w:pPr>
      <w:r w:rsidRPr="00EE5075">
        <w:t xml:space="preserve">he </w:t>
      </w:r>
      <w:proofErr w:type="spellStart"/>
      <w:r w:rsidRPr="00EE5075">
        <w:t>whakawhanake</w:t>
      </w:r>
      <w:proofErr w:type="spellEnd"/>
      <w:r w:rsidRPr="00EE5075">
        <w:t xml:space="preserve"> </w:t>
      </w:r>
      <w:proofErr w:type="spellStart"/>
      <w:r w:rsidRPr="00EE5075">
        <w:t>whakangungu</w:t>
      </w:r>
      <w:proofErr w:type="spellEnd"/>
      <w:r w:rsidRPr="00EE5075">
        <w:t xml:space="preserve"> me </w:t>
      </w:r>
      <w:proofErr w:type="spellStart"/>
      <w:r w:rsidRPr="00EE5075">
        <w:t>ngā</w:t>
      </w:r>
      <w:proofErr w:type="spellEnd"/>
      <w:r w:rsidRPr="00EE5075">
        <w:t xml:space="preserve"> </w:t>
      </w:r>
      <w:proofErr w:type="spellStart"/>
      <w:r w:rsidRPr="00EE5075">
        <w:t>rauemi</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w:t>
      </w:r>
      <w:proofErr w:type="spellStart"/>
      <w:r w:rsidRPr="00EE5075">
        <w:t>whakapai</w:t>
      </w:r>
      <w:proofErr w:type="spellEnd"/>
      <w:r w:rsidRPr="00EE5075">
        <w:t xml:space="preserve"> </w:t>
      </w:r>
      <w:proofErr w:type="spellStart"/>
      <w:r w:rsidRPr="00EE5075">
        <w:t>ake</w:t>
      </w:r>
      <w:proofErr w:type="spellEnd"/>
      <w:r w:rsidRPr="00EE5075">
        <w:t xml:space="preserve">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mōhiotanga</w:t>
      </w:r>
      <w:proofErr w:type="spellEnd"/>
      <w:r w:rsidRPr="00EE5075">
        <w:t xml:space="preserve"> </w:t>
      </w:r>
      <w:proofErr w:type="spellStart"/>
      <w:r w:rsidRPr="00EE5075">
        <w:t>raraunga</w:t>
      </w:r>
      <w:proofErr w:type="spellEnd"/>
      <w:r w:rsidRPr="00EE5075">
        <w:t xml:space="preserve">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hung</w:t>
      </w:r>
      <w:r w:rsidR="00411495">
        <w:t>a</w:t>
      </w:r>
      <w:proofErr w:type="spellEnd"/>
      <w:r w:rsidR="00411495">
        <w:t xml:space="preserve"> </w:t>
      </w:r>
      <w:proofErr w:type="spellStart"/>
      <w:r w:rsidR="00411495">
        <w:t>kaimahi</w:t>
      </w:r>
      <w:proofErr w:type="spellEnd"/>
      <w:r w:rsidR="00411495">
        <w:t xml:space="preserve"> </w:t>
      </w:r>
      <w:proofErr w:type="spellStart"/>
      <w:r w:rsidR="00411495">
        <w:t>hauora</w:t>
      </w:r>
      <w:proofErr w:type="spellEnd"/>
      <w:r w:rsidR="00411495">
        <w:t xml:space="preserve">, </w:t>
      </w:r>
      <w:proofErr w:type="spellStart"/>
      <w:r w:rsidR="00411495">
        <w:t>whaikaha</w:t>
      </w:r>
      <w:proofErr w:type="spellEnd"/>
      <w:r w:rsidR="00411495">
        <w:t xml:space="preserve"> </w:t>
      </w:r>
      <w:proofErr w:type="spellStart"/>
      <w:r w:rsidR="00411495">
        <w:t>hoki</w:t>
      </w:r>
      <w:proofErr w:type="spellEnd"/>
    </w:p>
    <w:p w14:paraId="0075D7B6" w14:textId="77777777" w:rsidR="003308C3" w:rsidRPr="00EE5075" w:rsidRDefault="003308C3" w:rsidP="00411495">
      <w:pPr>
        <w:pStyle w:val="Bullet"/>
      </w:pPr>
      <w:r w:rsidRPr="00EE5075">
        <w:t xml:space="preserve">he </w:t>
      </w:r>
      <w:proofErr w:type="spellStart"/>
      <w:r w:rsidRPr="00EE5075">
        <w:t>āki</w:t>
      </w:r>
      <w:proofErr w:type="spellEnd"/>
      <w:r w:rsidRPr="00EE5075">
        <w:t xml:space="preserve"> kia </w:t>
      </w:r>
      <w:proofErr w:type="spellStart"/>
      <w:r w:rsidRPr="00EE5075">
        <w:t>nui</w:t>
      </w:r>
      <w:proofErr w:type="spellEnd"/>
      <w:r w:rsidRPr="00EE5075">
        <w:t xml:space="preserve"> </w:t>
      </w:r>
      <w:proofErr w:type="spellStart"/>
      <w:r w:rsidRPr="00EE5075">
        <w:t>ake</w:t>
      </w:r>
      <w:proofErr w:type="spellEnd"/>
      <w:r w:rsidRPr="00EE5075">
        <w:t xml:space="preserve"> </w:t>
      </w:r>
      <w:proofErr w:type="spellStart"/>
      <w:r w:rsidRPr="00EE5075">
        <w:t>te</w:t>
      </w:r>
      <w:proofErr w:type="spellEnd"/>
      <w:r w:rsidRPr="00EE5075">
        <w:t xml:space="preserve"> </w:t>
      </w:r>
      <w:proofErr w:type="spellStart"/>
      <w:r w:rsidRPr="00EE5075">
        <w:t>whakangao</w:t>
      </w:r>
      <w:proofErr w:type="spellEnd"/>
      <w:r w:rsidRPr="00EE5075">
        <w:t xml:space="preserve"> </w:t>
      </w:r>
      <w:proofErr w:type="spellStart"/>
      <w:r w:rsidRPr="00EE5075">
        <w:t>rāngai</w:t>
      </w:r>
      <w:proofErr w:type="spellEnd"/>
      <w:r w:rsidRPr="00EE5075">
        <w:t xml:space="preserve">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tūranga</w:t>
      </w:r>
      <w:proofErr w:type="spellEnd"/>
      <w:r w:rsidRPr="00EE5075">
        <w:t xml:space="preserve"> </w:t>
      </w:r>
      <w:proofErr w:type="spellStart"/>
      <w:r w:rsidRPr="00EE5075">
        <w:t>pūmau</w:t>
      </w:r>
      <w:proofErr w:type="spellEnd"/>
      <w:r w:rsidRPr="00EE5075">
        <w:t xml:space="preserve"> </w:t>
      </w:r>
      <w:proofErr w:type="spellStart"/>
      <w:r w:rsidRPr="00EE5075">
        <w:t>raraunga</w:t>
      </w:r>
      <w:proofErr w:type="spellEnd"/>
    </w:p>
    <w:p w14:paraId="0075D7B7" w14:textId="77777777" w:rsidR="003308C3"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whakatūnga</w:t>
      </w:r>
      <w:proofErr w:type="spellEnd"/>
      <w:r w:rsidRPr="00EE5075">
        <w:t xml:space="preserve"> </w:t>
      </w:r>
      <w:proofErr w:type="spellStart"/>
      <w:r w:rsidRPr="00EE5075">
        <w:t>i</w:t>
      </w:r>
      <w:proofErr w:type="spellEnd"/>
      <w:r w:rsidRPr="00EE5075">
        <w:t xml:space="preserve"> </w:t>
      </w:r>
      <w:proofErr w:type="spellStart"/>
      <w:r w:rsidRPr="00EE5075">
        <w:t>ngā</w:t>
      </w:r>
      <w:proofErr w:type="spellEnd"/>
      <w:r w:rsidRPr="00EE5075">
        <w:t xml:space="preserve"> </w:t>
      </w:r>
      <w:proofErr w:type="spellStart"/>
      <w:r w:rsidRPr="00EE5075">
        <w:t>kaunihera</w:t>
      </w:r>
      <w:proofErr w:type="spellEnd"/>
      <w:r w:rsidRPr="00EE5075">
        <w:t xml:space="preserve"> mana </w:t>
      </w:r>
      <w:proofErr w:type="spellStart"/>
      <w:r w:rsidRPr="00EE5075">
        <w:t>whakahaere</w:t>
      </w:r>
      <w:proofErr w:type="spellEnd"/>
      <w:r w:rsidRPr="00EE5075">
        <w:t xml:space="preserve"> ā-</w:t>
      </w:r>
      <w:proofErr w:type="spellStart"/>
      <w:r w:rsidRPr="00EE5075">
        <w:t>rohe</w:t>
      </w:r>
      <w:proofErr w:type="spellEnd"/>
      <w:r w:rsidRPr="00EE5075">
        <w:t xml:space="preserve">, ā-motu kia </w:t>
      </w:r>
      <w:proofErr w:type="spellStart"/>
      <w:r w:rsidRPr="00EE5075">
        <w:t>hoa</w:t>
      </w:r>
      <w:proofErr w:type="spellEnd"/>
      <w:r w:rsidRPr="00EE5075">
        <w:t xml:space="preserve"> </w:t>
      </w:r>
      <w:proofErr w:type="spellStart"/>
      <w:r w:rsidRPr="00EE5075">
        <w:t>haere</w:t>
      </w:r>
      <w:proofErr w:type="spellEnd"/>
      <w:r w:rsidRPr="00EE5075">
        <w:t xml:space="preserve"> </w:t>
      </w:r>
      <w:proofErr w:type="spellStart"/>
      <w:r w:rsidRPr="00EE5075">
        <w:t>ki</w:t>
      </w:r>
      <w:proofErr w:type="spellEnd"/>
      <w:r w:rsidRPr="00EE5075">
        <w:t xml:space="preserve"> </w:t>
      </w:r>
      <w:proofErr w:type="spellStart"/>
      <w:r w:rsidRPr="00EE5075">
        <w:t>te</w:t>
      </w:r>
      <w:proofErr w:type="spellEnd"/>
      <w:r w:rsidRPr="00EE5075">
        <w:t xml:space="preserve"> Māori me </w:t>
      </w:r>
      <w:proofErr w:type="spellStart"/>
      <w:r w:rsidRPr="00EE5075">
        <w:t>ngā</w:t>
      </w:r>
      <w:proofErr w:type="spellEnd"/>
      <w:r w:rsidRPr="00EE5075">
        <w:t xml:space="preserve"> </w:t>
      </w:r>
      <w:proofErr w:type="spellStart"/>
      <w:r w:rsidRPr="00EE5075">
        <w:t>kiritaki</w:t>
      </w:r>
      <w:proofErr w:type="spellEnd"/>
      <w:r w:rsidRPr="00EE5075">
        <w:t xml:space="preserve">, ā, </w:t>
      </w:r>
      <w:proofErr w:type="spellStart"/>
      <w:r w:rsidRPr="00EE5075">
        <w:t>hei</w:t>
      </w:r>
      <w:proofErr w:type="spellEnd"/>
      <w:r w:rsidRPr="00EE5075">
        <w:t xml:space="preserve"> </w:t>
      </w:r>
      <w:proofErr w:type="spellStart"/>
      <w:r w:rsidRPr="00EE5075">
        <w:t>whakakanohi</w:t>
      </w:r>
      <w:proofErr w:type="spellEnd"/>
      <w:r w:rsidRPr="00EE5075">
        <w:t xml:space="preserve"> i </w:t>
      </w:r>
      <w:proofErr w:type="spellStart"/>
      <w:r w:rsidRPr="00EE5075">
        <w:t>ngā</w:t>
      </w:r>
      <w:proofErr w:type="spellEnd"/>
      <w:r w:rsidRPr="00EE5075">
        <w:t xml:space="preserve"> </w:t>
      </w:r>
      <w:proofErr w:type="spellStart"/>
      <w:r w:rsidRPr="00EE5075">
        <w:t>hapori</w:t>
      </w:r>
      <w:proofErr w:type="spellEnd"/>
      <w:r w:rsidRPr="00EE5075">
        <w:t>.</w:t>
      </w:r>
    </w:p>
    <w:p w14:paraId="0075D7B8" w14:textId="77777777" w:rsidR="00411495" w:rsidRPr="00EE5075" w:rsidRDefault="00411495" w:rsidP="00411495"/>
    <w:p w14:paraId="0075D7B9" w14:textId="77777777" w:rsidR="00411495" w:rsidRDefault="003308C3" w:rsidP="00411495">
      <w:pPr>
        <w:pStyle w:val="Heading3"/>
      </w:pPr>
      <w:proofErr w:type="spellStart"/>
      <w:r w:rsidRPr="00EE5075">
        <w:t>Te</w:t>
      </w:r>
      <w:proofErr w:type="spellEnd"/>
      <w:r w:rsidRPr="00EE5075">
        <w:t xml:space="preserve"> </w:t>
      </w:r>
      <w:proofErr w:type="spellStart"/>
      <w:r w:rsidRPr="00EE5075">
        <w:t>tomonga</w:t>
      </w:r>
      <w:proofErr w:type="spellEnd"/>
      <w:r w:rsidRPr="00EE5075">
        <w:t xml:space="preserve"> </w:t>
      </w:r>
      <w:proofErr w:type="spellStart"/>
      <w:r w:rsidRPr="00EE5075">
        <w:t>raraunga</w:t>
      </w:r>
      <w:proofErr w:type="spellEnd"/>
    </w:p>
    <w:p w14:paraId="0075D7BA" w14:textId="77777777" w:rsidR="003308C3" w:rsidRPr="00EE5075" w:rsidRDefault="00411495" w:rsidP="00411495">
      <w:r>
        <w:t>M</w:t>
      </w:r>
      <w:r w:rsidR="003308C3" w:rsidRPr="00EE5075">
        <w:t xml:space="preserve">e </w:t>
      </w:r>
      <w:proofErr w:type="spellStart"/>
      <w:r w:rsidR="003308C3" w:rsidRPr="00EE5075">
        <w:t>whakapai</w:t>
      </w:r>
      <w:proofErr w:type="spellEnd"/>
      <w:r w:rsidR="003308C3" w:rsidRPr="00EE5075">
        <w:t xml:space="preserve"> </w:t>
      </w:r>
      <w:proofErr w:type="spellStart"/>
      <w:r w:rsidR="003308C3" w:rsidRPr="00EE5075">
        <w:t>ake</w:t>
      </w:r>
      <w:proofErr w:type="spellEnd"/>
      <w:r w:rsidR="003308C3" w:rsidRPr="00EE5075">
        <w:t xml:space="preserve"> e </w:t>
      </w:r>
      <w:proofErr w:type="spellStart"/>
      <w:r w:rsidR="003308C3" w:rsidRPr="00EE5075">
        <w:t>mātou</w:t>
      </w:r>
      <w:proofErr w:type="spellEnd"/>
      <w:r w:rsidR="003308C3" w:rsidRPr="00EE5075">
        <w:t xml:space="preserve"> </w:t>
      </w:r>
      <w:proofErr w:type="spellStart"/>
      <w:r w:rsidR="003308C3" w:rsidRPr="00EE5075">
        <w:t>tā</w:t>
      </w:r>
      <w:proofErr w:type="spellEnd"/>
      <w:r w:rsidR="003308C3" w:rsidRPr="00EE5075">
        <w:t xml:space="preserve"> </w:t>
      </w:r>
      <w:proofErr w:type="spellStart"/>
      <w:r w:rsidR="003308C3" w:rsidRPr="00EE5075">
        <w:t>mātou</w:t>
      </w:r>
      <w:proofErr w:type="spellEnd"/>
      <w:r w:rsidR="003308C3" w:rsidRPr="00EE5075">
        <w:t xml:space="preserve"> </w:t>
      </w:r>
      <w:proofErr w:type="spellStart"/>
      <w:r w:rsidR="003308C3" w:rsidRPr="00EE5075">
        <w:t>āheinga</w:t>
      </w:r>
      <w:proofErr w:type="spellEnd"/>
      <w:r w:rsidR="003308C3" w:rsidRPr="00EE5075">
        <w:t xml:space="preserve"> </w:t>
      </w:r>
      <w:proofErr w:type="spellStart"/>
      <w:r w:rsidR="003308C3" w:rsidRPr="00EE5075">
        <w:t>ki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toha</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ngā</w:t>
      </w:r>
      <w:proofErr w:type="spellEnd"/>
      <w:r w:rsidR="003308C3" w:rsidRPr="00EE5075">
        <w:t xml:space="preserve"> </w:t>
      </w:r>
      <w:proofErr w:type="spellStart"/>
      <w:r w:rsidR="003308C3" w:rsidRPr="00EE5075">
        <w:t>raraunga</w:t>
      </w:r>
      <w:proofErr w:type="spellEnd"/>
      <w:r w:rsidR="003308C3" w:rsidRPr="00EE5075">
        <w:t xml:space="preserve"> </w:t>
      </w:r>
      <w:proofErr w:type="spellStart"/>
      <w:r w:rsidR="003308C3" w:rsidRPr="00EE5075">
        <w:t>hauora</w:t>
      </w:r>
      <w:proofErr w:type="spellEnd"/>
      <w:r w:rsidR="003308C3" w:rsidRPr="00EE5075">
        <w:t xml:space="preserve"> </w:t>
      </w:r>
      <w:proofErr w:type="spellStart"/>
      <w:r w:rsidR="003308C3" w:rsidRPr="00EE5075">
        <w:t>i</w:t>
      </w:r>
      <w:proofErr w:type="spellEnd"/>
      <w:r w:rsidR="003308C3" w:rsidRPr="00EE5075">
        <w:t xml:space="preserve"> roto </w:t>
      </w:r>
      <w:proofErr w:type="spellStart"/>
      <w:r w:rsidR="003308C3" w:rsidRPr="00EE5075">
        <w:t>i</w:t>
      </w:r>
      <w:proofErr w:type="spellEnd"/>
      <w:r w:rsidR="003308C3" w:rsidRPr="00EE5075">
        <w:t xml:space="preserve"> </w:t>
      </w:r>
      <w:proofErr w:type="spellStart"/>
      <w:r w:rsidR="003308C3" w:rsidRPr="00EE5075">
        <w:t>te</w:t>
      </w:r>
      <w:proofErr w:type="spellEnd"/>
      <w:r w:rsidR="003308C3" w:rsidRPr="00EE5075">
        <w:t xml:space="preserve"> </w:t>
      </w:r>
      <w:proofErr w:type="spellStart"/>
      <w:r w:rsidR="003308C3" w:rsidRPr="00EE5075">
        <w:t>rāngai</w:t>
      </w:r>
      <w:proofErr w:type="spellEnd"/>
      <w:r w:rsidR="003308C3" w:rsidRPr="00EE5075">
        <w:t xml:space="preserve"> me </w:t>
      </w:r>
      <w:proofErr w:type="spellStart"/>
      <w:r w:rsidR="003308C3" w:rsidRPr="00EE5075">
        <w:t>ētahi</w:t>
      </w:r>
      <w:proofErr w:type="spellEnd"/>
      <w:r w:rsidR="003308C3" w:rsidRPr="00EE5075">
        <w:t xml:space="preserve"> </w:t>
      </w:r>
      <w:proofErr w:type="spellStart"/>
      <w:r w:rsidR="003308C3" w:rsidRPr="00EE5075">
        <w:t>atu</w:t>
      </w:r>
      <w:proofErr w:type="spellEnd"/>
      <w:r w:rsidR="003308C3" w:rsidRPr="00EE5075">
        <w:t xml:space="preserve"> </w:t>
      </w:r>
      <w:proofErr w:type="spellStart"/>
      <w:r w:rsidR="003308C3" w:rsidRPr="00EE5075">
        <w:t>mēnā</w:t>
      </w:r>
      <w:proofErr w:type="spellEnd"/>
      <w:r w:rsidR="003308C3" w:rsidRPr="00EE5075">
        <w:t xml:space="preserve"> </w:t>
      </w:r>
      <w:proofErr w:type="spellStart"/>
      <w:r w:rsidR="003308C3" w:rsidRPr="00EE5075">
        <w:t>ia</w:t>
      </w:r>
      <w:proofErr w:type="spellEnd"/>
      <w:r w:rsidR="003308C3" w:rsidRPr="00EE5075">
        <w:t xml:space="preserve"> e tika ana (</w:t>
      </w:r>
      <w:proofErr w:type="spellStart"/>
      <w:r w:rsidR="003308C3" w:rsidRPr="00EE5075">
        <w:t>arā</w:t>
      </w:r>
      <w:proofErr w:type="spellEnd"/>
      <w:r w:rsidR="003308C3" w:rsidRPr="00EE5075">
        <w:t>, ko</w:t>
      </w:r>
      <w:r>
        <w:t xml:space="preserve"> </w:t>
      </w:r>
      <w:proofErr w:type="spellStart"/>
      <w:r w:rsidR="003308C3" w:rsidRPr="00EE5075">
        <w:t>ngā</w:t>
      </w:r>
      <w:proofErr w:type="spellEnd"/>
      <w:r w:rsidR="003308C3" w:rsidRPr="00EE5075">
        <w:t xml:space="preserve"> iwi, </w:t>
      </w:r>
      <w:proofErr w:type="spellStart"/>
      <w:r w:rsidR="003308C3" w:rsidRPr="00EE5075">
        <w:t>hapū</w:t>
      </w:r>
      <w:proofErr w:type="spellEnd"/>
      <w:r w:rsidR="003308C3" w:rsidRPr="00EE5075">
        <w:t xml:space="preserve"> me </w:t>
      </w:r>
      <w:proofErr w:type="spellStart"/>
      <w:r w:rsidR="003308C3" w:rsidRPr="00EE5075">
        <w:t>ngā</w:t>
      </w:r>
      <w:proofErr w:type="spellEnd"/>
      <w:r w:rsidR="003308C3" w:rsidRPr="00EE5075">
        <w:t xml:space="preserve"> </w:t>
      </w:r>
      <w:proofErr w:type="spellStart"/>
      <w:r w:rsidR="003308C3" w:rsidRPr="00EE5075">
        <w:t>ratonga</w:t>
      </w:r>
      <w:proofErr w:type="spellEnd"/>
      <w:r w:rsidR="003308C3" w:rsidRPr="00EE5075">
        <w:t xml:space="preserve"> </w:t>
      </w:r>
      <w:proofErr w:type="spellStart"/>
      <w:r w:rsidR="003308C3" w:rsidRPr="00EE5075">
        <w:t>tūmataiti</w:t>
      </w:r>
      <w:proofErr w:type="spellEnd"/>
      <w:r w:rsidR="003308C3" w:rsidRPr="00EE5075">
        <w:t xml:space="preserve">, </w:t>
      </w:r>
      <w:proofErr w:type="spellStart"/>
      <w:r w:rsidR="003308C3" w:rsidRPr="00EE5075">
        <w:t>ratonga</w:t>
      </w:r>
      <w:proofErr w:type="spellEnd"/>
      <w:r w:rsidR="003308C3" w:rsidRPr="00EE5075">
        <w:t xml:space="preserve"> ā-iwi </w:t>
      </w:r>
      <w:proofErr w:type="spellStart"/>
      <w:r w:rsidR="003308C3" w:rsidRPr="00EE5075">
        <w:t>rānei</w:t>
      </w:r>
      <w:proofErr w:type="spellEnd"/>
      <w:r w:rsidR="003308C3" w:rsidRPr="00EE5075">
        <w:t>).</w:t>
      </w:r>
    </w:p>
    <w:p w14:paraId="0075D7BB" w14:textId="77777777" w:rsidR="00411495" w:rsidRDefault="00411495" w:rsidP="00411495"/>
    <w:p w14:paraId="0075D7BC" w14:textId="77777777" w:rsidR="003308C3" w:rsidRPr="00EE5075" w:rsidRDefault="003308C3" w:rsidP="00411495">
      <w:proofErr w:type="spellStart"/>
      <w:r w:rsidRPr="00EE5075">
        <w:t>Ngā</w:t>
      </w:r>
      <w:proofErr w:type="spellEnd"/>
      <w:r w:rsidRPr="00EE5075">
        <w:t xml:space="preserve"> </w:t>
      </w:r>
      <w:proofErr w:type="spellStart"/>
      <w:r w:rsidRPr="00EE5075">
        <w:t>tāpaetanga</w:t>
      </w:r>
      <w:proofErr w:type="spellEnd"/>
      <w:r w:rsidRPr="00EE5075">
        <w:t xml:space="preserve"> </w:t>
      </w:r>
      <w:proofErr w:type="spellStart"/>
      <w:r w:rsidRPr="00EE5075">
        <w:t>panonitanga</w:t>
      </w:r>
      <w:proofErr w:type="spellEnd"/>
      <w:r w:rsidRPr="00EE5075">
        <w:t xml:space="preserve"> e </w:t>
      </w:r>
      <w:proofErr w:type="spellStart"/>
      <w:r w:rsidRPr="00EE5075">
        <w:t>whai</w:t>
      </w:r>
      <w:proofErr w:type="spellEnd"/>
      <w:r w:rsidRPr="00EE5075">
        <w:t xml:space="preserve"> </w:t>
      </w:r>
      <w:proofErr w:type="spellStart"/>
      <w:r w:rsidRPr="00EE5075">
        <w:t>nei</w:t>
      </w:r>
      <w:proofErr w:type="spellEnd"/>
      <w:r w:rsidRPr="00EE5075">
        <w:t>:</w:t>
      </w:r>
    </w:p>
    <w:p w14:paraId="0075D7BD" w14:textId="77777777" w:rsidR="003308C3" w:rsidRPr="00EE5075"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whakatuturu</w:t>
      </w:r>
      <w:proofErr w:type="spellEnd"/>
      <w:r w:rsidRPr="00EE5075">
        <w:t xml:space="preserve"> </w:t>
      </w:r>
      <w:proofErr w:type="spellStart"/>
      <w:r w:rsidRPr="00EE5075">
        <w:t>iho</w:t>
      </w:r>
      <w:proofErr w:type="spellEnd"/>
      <w:r w:rsidRPr="00EE5075">
        <w:t xml:space="preserve"> </w:t>
      </w:r>
      <w:proofErr w:type="spellStart"/>
      <w:r w:rsidRPr="00EE5075">
        <w:t>i</w:t>
      </w:r>
      <w:proofErr w:type="spellEnd"/>
      <w:r w:rsidRPr="00EE5075">
        <w:t xml:space="preserve"> </w:t>
      </w:r>
      <w:proofErr w:type="spellStart"/>
      <w:r w:rsidRPr="00EE5075">
        <w:t>te</w:t>
      </w:r>
      <w:proofErr w:type="spellEnd"/>
      <w:r w:rsidRPr="00EE5075">
        <w:t xml:space="preserve"> </w:t>
      </w:r>
      <w:proofErr w:type="spellStart"/>
      <w:r w:rsidRPr="00EE5075">
        <w:t>ratonga</w:t>
      </w:r>
      <w:proofErr w:type="spellEnd"/>
      <w:r w:rsidRPr="00EE5075">
        <w:t xml:space="preserve"> </w:t>
      </w:r>
      <w:proofErr w:type="spellStart"/>
      <w:r w:rsidRPr="00EE5075">
        <w:t>kupu</w:t>
      </w:r>
      <w:proofErr w:type="spellEnd"/>
      <w:r w:rsidRPr="00EE5075">
        <w:t xml:space="preserve"> ā-motu e </w:t>
      </w:r>
      <w:proofErr w:type="spellStart"/>
      <w:r w:rsidRPr="00EE5075">
        <w:t>kōtuia</w:t>
      </w:r>
      <w:proofErr w:type="spellEnd"/>
      <w:r w:rsidRPr="00EE5075">
        <w:t xml:space="preserve"> ana </w:t>
      </w:r>
      <w:proofErr w:type="spellStart"/>
      <w:r w:rsidRPr="00EE5075">
        <w:t>ki</w:t>
      </w:r>
      <w:proofErr w:type="spellEnd"/>
      <w:r w:rsidRPr="00EE5075">
        <w:t xml:space="preserve"> </w:t>
      </w:r>
      <w:proofErr w:type="spellStart"/>
      <w:r w:rsidRPr="00EE5075">
        <w:t>ngā</w:t>
      </w:r>
      <w:proofErr w:type="spellEnd"/>
      <w:r w:rsidRPr="00EE5075">
        <w:t xml:space="preserve"> </w:t>
      </w:r>
      <w:proofErr w:type="spellStart"/>
      <w:r w:rsidRPr="00EE5075">
        <w:t>pūmanawa</w:t>
      </w:r>
      <w:proofErr w:type="spellEnd"/>
      <w:r w:rsidRPr="00EE5075">
        <w:t xml:space="preserve"> </w:t>
      </w:r>
      <w:proofErr w:type="spellStart"/>
      <w:r w:rsidRPr="00EE5075">
        <w:t>tautono</w:t>
      </w:r>
      <w:proofErr w:type="spellEnd"/>
      <w:r w:rsidRPr="00EE5075">
        <w:t xml:space="preserve">, </w:t>
      </w:r>
      <w:proofErr w:type="spellStart"/>
      <w:r w:rsidRPr="00EE5075">
        <w:t>atamira</w:t>
      </w:r>
      <w:proofErr w:type="spellEnd"/>
      <w:r w:rsidRPr="00EE5075">
        <w:t xml:space="preserve"> </w:t>
      </w:r>
      <w:proofErr w:type="spellStart"/>
      <w:r w:rsidRPr="00EE5075">
        <w:t>hōu</w:t>
      </w:r>
      <w:proofErr w:type="spellEnd"/>
      <w:r w:rsidRPr="00EE5075">
        <w:t xml:space="preserve"> o </w:t>
      </w:r>
      <w:proofErr w:type="spellStart"/>
      <w:r w:rsidRPr="00EE5075">
        <w:t>te</w:t>
      </w:r>
      <w:proofErr w:type="spellEnd"/>
      <w:r w:rsidRPr="00EE5075">
        <w:t xml:space="preserve"> </w:t>
      </w:r>
      <w:proofErr w:type="spellStart"/>
      <w:r w:rsidRPr="00EE5075">
        <w:t>rāngai</w:t>
      </w:r>
      <w:proofErr w:type="spellEnd"/>
    </w:p>
    <w:p w14:paraId="0075D7BE" w14:textId="77777777" w:rsidR="003308C3" w:rsidRPr="00EE5075" w:rsidRDefault="003308C3" w:rsidP="00411495">
      <w:pPr>
        <w:pStyle w:val="Bullet"/>
      </w:pPr>
      <w:r w:rsidRPr="00EE5075">
        <w:t xml:space="preserve">ko </w:t>
      </w:r>
      <w:proofErr w:type="spellStart"/>
      <w:r w:rsidRPr="00EE5075">
        <w:t>te</w:t>
      </w:r>
      <w:proofErr w:type="spellEnd"/>
      <w:r w:rsidRPr="00EE5075">
        <w:t xml:space="preserve"> </w:t>
      </w:r>
      <w:proofErr w:type="spellStart"/>
      <w:r w:rsidRPr="00EE5075">
        <w:t>whakawhanake</w:t>
      </w:r>
      <w:proofErr w:type="spellEnd"/>
      <w:r w:rsidRPr="00EE5075">
        <w:t xml:space="preserve"> he </w:t>
      </w:r>
      <w:proofErr w:type="spellStart"/>
      <w:r w:rsidRPr="00EE5075">
        <w:t>anga</w:t>
      </w:r>
      <w:proofErr w:type="spellEnd"/>
      <w:r w:rsidRPr="00EE5075">
        <w:t xml:space="preserve"> </w:t>
      </w:r>
      <w:proofErr w:type="spellStart"/>
      <w:r w:rsidRPr="00EE5075">
        <w:t>tohatoha</w:t>
      </w:r>
      <w:proofErr w:type="spellEnd"/>
      <w:r w:rsidRPr="00EE5075">
        <w:t xml:space="preserve">, </w:t>
      </w:r>
      <w:proofErr w:type="spellStart"/>
      <w:r w:rsidRPr="00EE5075">
        <w:t>tomonga</w:t>
      </w:r>
      <w:proofErr w:type="spellEnd"/>
      <w:r w:rsidRPr="00EE5075">
        <w:t xml:space="preserve"> </w:t>
      </w:r>
      <w:proofErr w:type="spellStart"/>
      <w:r w:rsidRPr="00EE5075">
        <w:t>raraunga</w:t>
      </w:r>
      <w:proofErr w:type="spellEnd"/>
      <w:r w:rsidRPr="00EE5075">
        <w:t xml:space="preserve"> </w:t>
      </w:r>
      <w:proofErr w:type="spellStart"/>
      <w:r w:rsidRPr="00EE5075">
        <w:t>hauora</w:t>
      </w:r>
      <w:proofErr w:type="spellEnd"/>
    </w:p>
    <w:p w14:paraId="0075D7BF" w14:textId="77777777" w:rsidR="003308C3" w:rsidRPr="00EE5075" w:rsidRDefault="00411495" w:rsidP="00411495">
      <w:pPr>
        <w:pStyle w:val="Bullet"/>
      </w:pPr>
      <w:r>
        <w:t>k</w:t>
      </w:r>
      <w:r w:rsidR="003308C3" w:rsidRPr="00EE5075">
        <w:t xml:space="preserve">o </w:t>
      </w:r>
      <w:proofErr w:type="spellStart"/>
      <w:r w:rsidR="003308C3" w:rsidRPr="00EE5075">
        <w:t>te</w:t>
      </w:r>
      <w:proofErr w:type="spellEnd"/>
      <w:r w:rsidR="003308C3" w:rsidRPr="00EE5075">
        <w:t xml:space="preserve"> </w:t>
      </w:r>
      <w:proofErr w:type="spellStart"/>
      <w:r w:rsidR="003308C3" w:rsidRPr="00EE5075">
        <w:t>mahere</w:t>
      </w:r>
      <w:proofErr w:type="spellEnd"/>
      <w:r w:rsidR="003308C3" w:rsidRPr="00EE5075">
        <w:t xml:space="preserve"> </w:t>
      </w:r>
      <w:proofErr w:type="spellStart"/>
      <w:r w:rsidR="003308C3" w:rsidRPr="00EE5075">
        <w:t>whakahaere</w:t>
      </w:r>
      <w:proofErr w:type="spellEnd"/>
      <w:r w:rsidR="003308C3" w:rsidRPr="00EE5075">
        <w:t xml:space="preserve"> </w:t>
      </w:r>
      <w:proofErr w:type="spellStart"/>
      <w:r w:rsidR="003308C3" w:rsidRPr="00EE5075">
        <w:t>i</w:t>
      </w:r>
      <w:proofErr w:type="spellEnd"/>
      <w:r w:rsidR="003308C3" w:rsidRPr="00EE5075">
        <w:t xml:space="preserve"> </w:t>
      </w:r>
      <w:proofErr w:type="spellStart"/>
      <w:r w:rsidR="003308C3" w:rsidRPr="00EE5075">
        <w:t>tēnei</w:t>
      </w:r>
      <w:proofErr w:type="spellEnd"/>
      <w:r w:rsidR="003308C3" w:rsidRPr="00EE5075">
        <w:t xml:space="preserve"> </w:t>
      </w:r>
      <w:proofErr w:type="spellStart"/>
      <w:r w:rsidR="003308C3" w:rsidRPr="00EE5075">
        <w:t>rautaki</w:t>
      </w:r>
      <w:proofErr w:type="spellEnd"/>
      <w:r w:rsidR="003308C3" w:rsidRPr="00EE5075">
        <w:t xml:space="preserve"> e </w:t>
      </w:r>
      <w:proofErr w:type="spellStart"/>
      <w:r w:rsidR="003308C3" w:rsidRPr="00EE5075">
        <w:t>whakamārama</w:t>
      </w:r>
      <w:proofErr w:type="spellEnd"/>
      <w:r w:rsidR="003308C3" w:rsidRPr="00EE5075">
        <w:t xml:space="preserve"> ana </w:t>
      </w:r>
      <w:proofErr w:type="spellStart"/>
      <w:r w:rsidR="003308C3" w:rsidRPr="00EE5075">
        <w:t>i</w:t>
      </w:r>
      <w:proofErr w:type="spellEnd"/>
      <w:r w:rsidR="003308C3" w:rsidRPr="00EE5075">
        <w:t xml:space="preserve"> </w:t>
      </w:r>
      <w:proofErr w:type="spellStart"/>
      <w:r w:rsidR="003308C3" w:rsidRPr="00EE5075">
        <w:t>ngā</w:t>
      </w:r>
      <w:proofErr w:type="spellEnd"/>
      <w:r w:rsidR="003308C3" w:rsidRPr="00EE5075">
        <w:t xml:space="preserve"> mahi </w:t>
      </w:r>
      <w:proofErr w:type="spellStart"/>
      <w:r w:rsidR="003308C3" w:rsidRPr="00EE5075">
        <w:t>te</w:t>
      </w:r>
      <w:proofErr w:type="spellEnd"/>
      <w:r w:rsidR="003308C3" w:rsidRPr="00EE5075">
        <w:t xml:space="preserve"> </w:t>
      </w:r>
      <w:proofErr w:type="spellStart"/>
      <w:r w:rsidR="003308C3" w:rsidRPr="00EE5075">
        <w:t>haere</w:t>
      </w:r>
      <w:proofErr w:type="spellEnd"/>
      <w:r w:rsidR="003308C3" w:rsidRPr="00EE5075">
        <w:t xml:space="preserve"> </w:t>
      </w:r>
      <w:proofErr w:type="spellStart"/>
      <w:r w:rsidR="003308C3" w:rsidRPr="00EE5075">
        <w:t>ake</w:t>
      </w:r>
      <w:proofErr w:type="spellEnd"/>
      <w:r w:rsidR="003308C3" w:rsidRPr="00EE5075">
        <w:t xml:space="preserve"> </w:t>
      </w:r>
      <w:proofErr w:type="spellStart"/>
      <w:r w:rsidR="003308C3" w:rsidRPr="00EE5075">
        <w:t>nei</w:t>
      </w:r>
      <w:proofErr w:type="spellEnd"/>
      <w:r w:rsidR="003308C3" w:rsidRPr="00EE5075">
        <w:t xml:space="preserve"> me </w:t>
      </w:r>
      <w:proofErr w:type="spellStart"/>
      <w:r w:rsidR="003308C3" w:rsidRPr="00EE5075">
        <w:t>ngā</w:t>
      </w:r>
      <w:proofErr w:type="spellEnd"/>
      <w:r w:rsidR="003308C3" w:rsidRPr="00EE5075">
        <w:t xml:space="preserve"> </w:t>
      </w:r>
      <w:proofErr w:type="spellStart"/>
      <w:r w:rsidR="003308C3" w:rsidRPr="00EE5075">
        <w:t>angawā</w:t>
      </w:r>
      <w:proofErr w:type="spellEnd"/>
      <w:r w:rsidR="003308C3" w:rsidRPr="00EE5075">
        <w:t>.</w:t>
      </w:r>
    </w:p>
    <w:p w14:paraId="0075D7C0" w14:textId="77777777" w:rsidR="001D3E4E" w:rsidRPr="00EE5075" w:rsidRDefault="001D3E4E" w:rsidP="003A5FEA">
      <w:pPr>
        <w:sectPr w:rsidR="001D3E4E" w:rsidRPr="00EE5075" w:rsidSect="00925892">
          <w:footerReference w:type="even" r:id="rId24"/>
          <w:pgSz w:w="11907" w:h="16840" w:code="9"/>
          <w:pgMar w:top="1418" w:right="1701" w:bottom="1134" w:left="1843" w:header="284" w:footer="425" w:gutter="284"/>
          <w:pgNumType w:fmt="lowerRoman"/>
          <w:cols w:space="720"/>
        </w:sectPr>
      </w:pPr>
    </w:p>
    <w:p w14:paraId="0075D7C1" w14:textId="77777777" w:rsidR="008C2973" w:rsidRPr="00EE5075" w:rsidRDefault="003308C3" w:rsidP="00F54E74">
      <w:pPr>
        <w:pStyle w:val="Heading1"/>
        <w:rPr>
          <w:spacing w:val="0"/>
        </w:rPr>
      </w:pPr>
      <w:bookmarkStart w:id="9" w:name="_Toc89930910"/>
      <w:r w:rsidRPr="00EE5075">
        <w:rPr>
          <w:spacing w:val="0"/>
        </w:rPr>
        <w:lastRenderedPageBreak/>
        <w:t>Overview</w:t>
      </w:r>
      <w:bookmarkEnd w:id="9"/>
    </w:p>
    <w:p w14:paraId="0075D7C2" w14:textId="7F3E585F" w:rsidR="003308C3" w:rsidRPr="00EE5075" w:rsidRDefault="003308C3" w:rsidP="00E712F3">
      <w:pPr>
        <w:pStyle w:val="Introductoryparagraph"/>
      </w:pPr>
      <w:bookmarkStart w:id="10" w:name="Overview"/>
      <w:bookmarkEnd w:id="10"/>
      <w:r w:rsidRPr="00EE5075">
        <w:t>Data is the bedrock of an evidence</w:t>
      </w:r>
      <w:r w:rsidR="007C50C8">
        <w:t>-</w:t>
      </w:r>
      <w:r w:rsidRPr="00EE5075">
        <w:t>based health and disability system.</w:t>
      </w:r>
    </w:p>
    <w:p w14:paraId="0075D7C3" w14:textId="77777777" w:rsidR="003308C3" w:rsidRPr="00EE5075" w:rsidRDefault="003308C3" w:rsidP="00E712F3">
      <w:r w:rsidRPr="00EE5075">
        <w:t xml:space="preserve">Data can tell us about the health and wellbeing of people, </w:t>
      </w:r>
      <w:proofErr w:type="spellStart"/>
      <w:r w:rsidRPr="00EE5075">
        <w:t>whānau</w:t>
      </w:r>
      <w:proofErr w:type="spellEnd"/>
      <w:r w:rsidRPr="00EE5075">
        <w:t xml:space="preserve"> and communities and provide powerful insights into issues of health access, </w:t>
      </w:r>
      <w:proofErr w:type="gramStart"/>
      <w:r w:rsidRPr="00EE5075">
        <w:t>outcomes</w:t>
      </w:r>
      <w:proofErr w:type="gramEnd"/>
      <w:r w:rsidRPr="00EE5075">
        <w:t xml:space="preserve"> and equity. These insights can help transform the delivery of population health programmes and personal health services to improve the health of New Zealanders. Ensuring people have access to and control of their own health information is fundamental to this, as is ensuring clinicians, health managers, policy-makers and communities have the data they need for good decision-making.</w:t>
      </w:r>
    </w:p>
    <w:p w14:paraId="0075D7C4" w14:textId="77777777" w:rsidR="00E712F3" w:rsidRDefault="00E712F3" w:rsidP="00E712F3"/>
    <w:p w14:paraId="0075D7C5" w14:textId="77777777" w:rsidR="003308C3" w:rsidRPr="00EE5075" w:rsidRDefault="003308C3" w:rsidP="00E712F3">
      <w:r w:rsidRPr="00EE5075">
        <w:t>Data and information need to flow in a timely way to the right parts of the health system, and to other sectors that influence or enable health and wellbeing.</w:t>
      </w:r>
    </w:p>
    <w:p w14:paraId="0075D7C6" w14:textId="77777777" w:rsidR="00E712F3" w:rsidRDefault="00E712F3" w:rsidP="00E712F3"/>
    <w:p w14:paraId="0075D7C7" w14:textId="77777777" w:rsidR="003308C3" w:rsidRPr="00EE5075" w:rsidRDefault="003308C3" w:rsidP="00E712F3">
      <w:r w:rsidRPr="00EE5075">
        <w:t>If we want a connected, equitable and sustainable health system that actively supports good health</w:t>
      </w:r>
      <w:r w:rsidR="00E712F3">
        <w:t xml:space="preserve"> </w:t>
      </w:r>
      <w:r w:rsidRPr="00EE5075">
        <w:t xml:space="preserve">outcomes for all New Zealanders, we need to improve the way we collect, manage, </w:t>
      </w:r>
      <w:proofErr w:type="gramStart"/>
      <w:r w:rsidRPr="00EE5075">
        <w:t>use</w:t>
      </w:r>
      <w:proofErr w:type="gramEnd"/>
      <w:r w:rsidRPr="00EE5075">
        <w:t xml:space="preserve"> and share data and information. Improving our management of data and modernising our approach to data will improve our ability to deliver personalised and predictive health care and move from treating disease towards focusing on prevention and wellness.</w:t>
      </w:r>
    </w:p>
    <w:p w14:paraId="0075D7C8" w14:textId="77777777" w:rsidR="00E712F3" w:rsidRDefault="00E712F3" w:rsidP="00E712F3"/>
    <w:p w14:paraId="0075D7C9" w14:textId="77777777" w:rsidR="003308C3" w:rsidRPr="00EE5075" w:rsidRDefault="003308C3" w:rsidP="00E712F3">
      <w:r w:rsidRPr="00EE5075">
        <w:t xml:space="preserve">This strategy aims to provide guidance for the health and disability sector by describing the improvements we need, the current context and challenges and the engagement we have undertaken to develop our priorities. We intend that this strategy will also be of value to other sectors, social services, agencies, private </w:t>
      </w:r>
      <w:proofErr w:type="gramStart"/>
      <w:r w:rsidRPr="00EE5075">
        <w:t>providers</w:t>
      </w:r>
      <w:proofErr w:type="gramEnd"/>
      <w:r w:rsidRPr="00EE5075">
        <w:t xml:space="preserve"> and industries using health and disability data or contributing to health and</w:t>
      </w:r>
      <w:r w:rsidR="00E712F3">
        <w:t xml:space="preserve"> </w:t>
      </w:r>
      <w:r w:rsidRPr="00EE5075">
        <w:t>disability outcomes. The strategy should be read in conjunction with the accompanying roadmap, which outlines actions and timeframes for bringing this strategy to life.</w:t>
      </w:r>
    </w:p>
    <w:p w14:paraId="0075D7CA" w14:textId="77777777" w:rsidR="003308C3" w:rsidRPr="00EE5075" w:rsidRDefault="003308C3" w:rsidP="00E712F3"/>
    <w:p w14:paraId="0075D7CB" w14:textId="77777777" w:rsidR="003308C3" w:rsidRPr="00EE5075" w:rsidRDefault="003308C3" w:rsidP="00E31509">
      <w:pPr>
        <w:pStyle w:val="Heading1"/>
      </w:pPr>
      <w:bookmarkStart w:id="11" w:name="The_case_for_change"/>
      <w:bookmarkStart w:id="12" w:name="_Toc89930911"/>
      <w:bookmarkEnd w:id="11"/>
      <w:r w:rsidRPr="00E31509">
        <w:lastRenderedPageBreak/>
        <w:t>The case for change</w:t>
      </w:r>
      <w:bookmarkEnd w:id="12"/>
    </w:p>
    <w:p w14:paraId="0075D7CC" w14:textId="77777777" w:rsidR="003308C3" w:rsidRPr="00EE5075" w:rsidRDefault="003308C3" w:rsidP="00E31509">
      <w:pPr>
        <w:pStyle w:val="Introductoryparagraph"/>
      </w:pPr>
      <w:r w:rsidRPr="00EE5075">
        <w:t>New Zealand’s heath system generates large amounts of data, but collectively we are not effectively ensuring that data flows to the right places and is available</w:t>
      </w:r>
      <w:r w:rsidR="00E31509">
        <w:t xml:space="preserve"> </w:t>
      </w:r>
      <w:r w:rsidRPr="00EE5075">
        <w:t>to the right people in the right ways. Some important data is not collected, and we lack clarity on how best to use the data we do collect. Smarter use of existing data must be a focus, as well as collecting</w:t>
      </w:r>
      <w:r w:rsidR="00E31509">
        <w:t xml:space="preserve"> </w:t>
      </w:r>
      <w:r w:rsidRPr="00EE5075">
        <w:t>new data as a by-product of the system addressing unmet need.</w:t>
      </w:r>
    </w:p>
    <w:p w14:paraId="0075D7CD" w14:textId="77777777" w:rsidR="003308C3" w:rsidRPr="00EE5075" w:rsidRDefault="003308C3" w:rsidP="00E31509">
      <w:r w:rsidRPr="00EE5075">
        <w:t>We face the following challenges.</w:t>
      </w:r>
    </w:p>
    <w:p w14:paraId="0075D7CE" w14:textId="77777777" w:rsidR="003308C3" w:rsidRPr="00EE5075" w:rsidRDefault="003308C3" w:rsidP="00E31509">
      <w:pPr>
        <w:pStyle w:val="Bullet"/>
      </w:pPr>
      <w:r w:rsidRPr="00EE5075">
        <w:t>The health sector is skilled at collecting vast amounts of data, but has struggled to convert it into rich, useful contextual information for decision-making.</w:t>
      </w:r>
    </w:p>
    <w:p w14:paraId="0075D7CF" w14:textId="77777777" w:rsidR="003308C3" w:rsidRPr="00EE5075" w:rsidRDefault="003308C3" w:rsidP="00E31509">
      <w:pPr>
        <w:pStyle w:val="Bullet"/>
      </w:pPr>
      <w:r w:rsidRPr="00EE5075">
        <w:t>The transition from paper-based systems to digital health records has been slow and somewhat siloed across the sector.</w:t>
      </w:r>
    </w:p>
    <w:p w14:paraId="0075D7D0" w14:textId="77777777" w:rsidR="003308C3" w:rsidRPr="00EE5075" w:rsidRDefault="003308C3" w:rsidP="00E31509">
      <w:pPr>
        <w:pStyle w:val="Bullet"/>
      </w:pPr>
      <w:r w:rsidRPr="00EE5075">
        <w:t>Successes in the past have left legacy systems that are no longer fit-for-purpose in domains where New Zealand was previously a leader (for example, primary care information systems and collation of national data collections).</w:t>
      </w:r>
    </w:p>
    <w:p w14:paraId="0075D7D1" w14:textId="77777777" w:rsidR="003308C3" w:rsidRPr="00EE5075" w:rsidRDefault="003308C3" w:rsidP="00E31509">
      <w:pPr>
        <w:pStyle w:val="Bullet"/>
      </w:pPr>
      <w:r w:rsidRPr="00EE5075">
        <w:t>Most patient information we collect cannot easily be accessed and shared across the system.</w:t>
      </w:r>
    </w:p>
    <w:p w14:paraId="0075D7D2" w14:textId="77777777" w:rsidR="003308C3" w:rsidRPr="00EE5075" w:rsidRDefault="003308C3" w:rsidP="00E31509">
      <w:pPr>
        <w:pStyle w:val="Bullet"/>
      </w:pPr>
      <w:r w:rsidRPr="00EE5075">
        <w:t xml:space="preserve">It is difficult for consumers to access their own health information or to consent to their personal information being shared with </w:t>
      </w:r>
      <w:proofErr w:type="spellStart"/>
      <w:r w:rsidRPr="00EE5075">
        <w:t>whānau</w:t>
      </w:r>
      <w:proofErr w:type="spellEnd"/>
      <w:r w:rsidRPr="00EE5075">
        <w:t xml:space="preserve"> and caregivers.</w:t>
      </w:r>
    </w:p>
    <w:p w14:paraId="0075D7D3" w14:textId="77777777" w:rsidR="003308C3" w:rsidRPr="00EE5075" w:rsidRDefault="003308C3" w:rsidP="00E31509">
      <w:pPr>
        <w:pStyle w:val="Bullet"/>
      </w:pPr>
      <w:r w:rsidRPr="00EE5075">
        <w:t>Innovation in data management has not kept pace with demand or the development of tools to use and analyse data.</w:t>
      </w:r>
    </w:p>
    <w:p w14:paraId="0075D7D4" w14:textId="77777777" w:rsidR="003308C3" w:rsidRPr="00EE5075" w:rsidRDefault="003308C3" w:rsidP="00E31509">
      <w:pPr>
        <w:pStyle w:val="Bullet"/>
      </w:pPr>
      <w:r w:rsidRPr="00EE5075">
        <w:t>Investment in digital technology has been ad hoc across the sector, affecting the quality of data we collect.</w:t>
      </w:r>
    </w:p>
    <w:p w14:paraId="0075D7D5" w14:textId="77777777" w:rsidR="003308C3" w:rsidRPr="00EE5075" w:rsidRDefault="003308C3" w:rsidP="00E31509">
      <w:pPr>
        <w:pStyle w:val="Bullet"/>
      </w:pPr>
      <w:r w:rsidRPr="00E31509">
        <w:t>While organisations generally understand their responsibilities regarding clinical data, they</w:t>
      </w:r>
      <w:r w:rsidR="00E31509" w:rsidRPr="00E31509">
        <w:t xml:space="preserve"> </w:t>
      </w:r>
      <w:r w:rsidRPr="00E31509">
        <w:t>do not see that they have an obligation to routinely share data.</w:t>
      </w:r>
    </w:p>
    <w:p w14:paraId="0075D7D6" w14:textId="77777777" w:rsidR="00E31509" w:rsidRDefault="00E31509" w:rsidP="00E31509"/>
    <w:p w14:paraId="0075D7D7" w14:textId="77777777" w:rsidR="003308C3" w:rsidRPr="00EE5075" w:rsidRDefault="003308C3" w:rsidP="00E31509">
      <w:r w:rsidRPr="00EE5075">
        <w:t>The sector as a whole is grappling with aging infrastructure, limited mechanisms for accessing data and information, workforce shortages and data literacy challenges.</w:t>
      </w:r>
    </w:p>
    <w:p w14:paraId="0075D7D8" w14:textId="77777777" w:rsidR="00E31509" w:rsidRDefault="00E31509" w:rsidP="00E31509"/>
    <w:p w14:paraId="0075D7D9" w14:textId="77777777" w:rsidR="003308C3" w:rsidRPr="00EE5075" w:rsidRDefault="003308C3" w:rsidP="00E31509">
      <w:r w:rsidRPr="00EE5075">
        <w:t xml:space="preserve">The Ministry of Health’s </w:t>
      </w:r>
      <w:r w:rsidRPr="00EE5075">
        <w:rPr>
          <w:i/>
        </w:rPr>
        <w:t xml:space="preserve">Report 1 </w:t>
      </w:r>
      <w:r w:rsidRPr="00EE5075">
        <w:t>on the National Asset Management Programme (Ministry of Health 2020c) noted:</w:t>
      </w:r>
    </w:p>
    <w:p w14:paraId="0075D7DA" w14:textId="77777777" w:rsidR="003308C3" w:rsidRPr="00EE5075" w:rsidRDefault="003308C3" w:rsidP="00E31509">
      <w:pPr>
        <w:pStyle w:val="Quote"/>
      </w:pPr>
      <w:r w:rsidRPr="00EE5075">
        <w:t>‘New Zealand has lacked the investment levels necessary to embrace rapid changes in health IT technologies …</w:t>
      </w:r>
      <w:r w:rsidR="00E31509">
        <w:t xml:space="preserve"> </w:t>
      </w:r>
      <w:r w:rsidRPr="00EE5075">
        <w:t>IT strategy, governance and asset management have operated at a basic level. There are multiple versions and customisations of core applications, ageing infrastructure, limited network capacity and devices not fit for purpose. This reduces productivity, increases costs for maintenance and support and increases cyber security risk.’</w:t>
      </w:r>
    </w:p>
    <w:p w14:paraId="0075D7DB" w14:textId="77777777" w:rsidR="003308C3" w:rsidRPr="00EE5075" w:rsidRDefault="003308C3" w:rsidP="00E31509"/>
    <w:p w14:paraId="0075D7DC" w14:textId="77777777" w:rsidR="003308C3" w:rsidRPr="00EE5075" w:rsidRDefault="003308C3" w:rsidP="00E31509">
      <w:r w:rsidRPr="00EE5075">
        <w:t>The Appendix to this document outlines the challenges and opportunities in more detail.</w:t>
      </w:r>
    </w:p>
    <w:p w14:paraId="0075D7DD" w14:textId="77777777" w:rsidR="003308C3" w:rsidRPr="00EE5075" w:rsidRDefault="003308C3" w:rsidP="00E31509">
      <w:pPr>
        <w:pStyle w:val="Heading1"/>
      </w:pPr>
      <w:bookmarkStart w:id="13" w:name="Drivers_for_change"/>
      <w:bookmarkStart w:id="14" w:name="_Toc89930912"/>
      <w:bookmarkEnd w:id="13"/>
      <w:r w:rsidRPr="00E31509">
        <w:lastRenderedPageBreak/>
        <w:t>Drivers for change</w:t>
      </w:r>
      <w:bookmarkEnd w:id="14"/>
    </w:p>
    <w:p w14:paraId="0075D7DE" w14:textId="77777777" w:rsidR="003308C3" w:rsidRPr="00EE5075" w:rsidRDefault="003308C3" w:rsidP="00E31509">
      <w:pPr>
        <w:pStyle w:val="Heading2"/>
      </w:pPr>
      <w:bookmarkStart w:id="15" w:name="_TOC_250006"/>
      <w:bookmarkStart w:id="16" w:name="_Toc89930913"/>
      <w:proofErr w:type="spellStart"/>
      <w:r w:rsidRPr="00EE5075">
        <w:t>Te</w:t>
      </w:r>
      <w:proofErr w:type="spellEnd"/>
      <w:r w:rsidRPr="00EE5075">
        <w:t xml:space="preserve"> </w:t>
      </w:r>
      <w:proofErr w:type="spellStart"/>
      <w:r w:rsidRPr="00EE5075">
        <w:t>Tiriti</w:t>
      </w:r>
      <w:proofErr w:type="spellEnd"/>
      <w:r w:rsidRPr="00EE5075">
        <w:t xml:space="preserve"> o </w:t>
      </w:r>
      <w:bookmarkEnd w:id="15"/>
      <w:r w:rsidRPr="00EE5075">
        <w:t>Waitangi</w:t>
      </w:r>
      <w:bookmarkEnd w:id="16"/>
    </w:p>
    <w:p w14:paraId="0075D7DF" w14:textId="77777777" w:rsidR="003308C3" w:rsidRPr="00EE5075" w:rsidRDefault="003308C3" w:rsidP="00E31509">
      <w:proofErr w:type="spellStart"/>
      <w:r w:rsidRPr="00EE5075">
        <w:t>Te</w:t>
      </w:r>
      <w:proofErr w:type="spellEnd"/>
      <w:r w:rsidRPr="00EE5075">
        <w:t xml:space="preserve"> </w:t>
      </w:r>
      <w:proofErr w:type="spellStart"/>
      <w:r w:rsidRPr="00EE5075">
        <w:t>Tiriti</w:t>
      </w:r>
      <w:proofErr w:type="spellEnd"/>
      <w:r w:rsidRPr="00EE5075">
        <w:t xml:space="preserve"> o Waitangi underpins all relationships between the Crown and iwi, </w:t>
      </w:r>
      <w:proofErr w:type="spellStart"/>
      <w:r w:rsidRPr="00EE5075">
        <w:t>hapū</w:t>
      </w:r>
      <w:proofErr w:type="spellEnd"/>
      <w:r w:rsidRPr="00EE5075">
        <w:t xml:space="preserve"> and </w:t>
      </w:r>
      <w:proofErr w:type="spellStart"/>
      <w:r w:rsidRPr="00EE5075">
        <w:t>whānau</w:t>
      </w:r>
      <w:proofErr w:type="spellEnd"/>
      <w:r w:rsidRPr="00EE5075">
        <w:t xml:space="preserve">. The Crown is expected to act consistently with regard to the principles and articles of </w:t>
      </w:r>
      <w:proofErr w:type="spellStart"/>
      <w:r w:rsidRPr="00EE5075">
        <w:t>Te</w:t>
      </w:r>
      <w:proofErr w:type="spellEnd"/>
      <w:r w:rsidRPr="00EE5075">
        <w:t xml:space="preserve"> </w:t>
      </w:r>
      <w:proofErr w:type="spellStart"/>
      <w:r w:rsidRPr="00EE5075">
        <w:t>Tiriti</w:t>
      </w:r>
      <w:proofErr w:type="spellEnd"/>
      <w:r w:rsidRPr="00EE5075">
        <w:t xml:space="preserve"> o Waitangi. The health and disability sector has a commitment to fulfilling the special relationship between Māori and the Crown under </w:t>
      </w:r>
      <w:proofErr w:type="spellStart"/>
      <w:r w:rsidRPr="00EE5075">
        <w:t>Te</w:t>
      </w:r>
      <w:proofErr w:type="spellEnd"/>
      <w:r w:rsidRPr="00EE5075">
        <w:t xml:space="preserve"> </w:t>
      </w:r>
      <w:proofErr w:type="spellStart"/>
      <w:r w:rsidRPr="00EE5075">
        <w:t>Tiriti</w:t>
      </w:r>
      <w:proofErr w:type="spellEnd"/>
      <w:r w:rsidRPr="00EE5075">
        <w:t xml:space="preserve"> o Waitangi. This is necessary to realise the overall aims of He Korowai </w:t>
      </w:r>
      <w:proofErr w:type="spellStart"/>
      <w:r w:rsidRPr="00EE5075">
        <w:t>Oranga</w:t>
      </w:r>
      <w:proofErr w:type="spellEnd"/>
      <w:r w:rsidRPr="00EE5075">
        <w:t xml:space="preserve">: Māori Health Strategy (Ministry of Health 2014) and </w:t>
      </w:r>
      <w:proofErr w:type="spellStart"/>
      <w:r w:rsidRPr="00EE5075">
        <w:t>Whakamaua</w:t>
      </w:r>
      <w:proofErr w:type="spellEnd"/>
      <w:r w:rsidRPr="00EE5075">
        <w:t>: Māori Health Action Plan 2020–2025 (Ministry of Health 2020d).</w:t>
      </w:r>
    </w:p>
    <w:p w14:paraId="0075D7E0" w14:textId="77777777" w:rsidR="00E31509" w:rsidRDefault="00E31509" w:rsidP="00E31509"/>
    <w:p w14:paraId="0075D7E1" w14:textId="77777777" w:rsidR="003308C3" w:rsidRPr="00EE5075" w:rsidRDefault="003308C3" w:rsidP="00E31509">
      <w:r w:rsidRPr="00EE5075">
        <w:t xml:space="preserve">This strategy aligns with the charter developed by </w:t>
      </w:r>
      <w:proofErr w:type="spellStart"/>
      <w:r w:rsidRPr="00EE5075">
        <w:t>Te</w:t>
      </w:r>
      <w:proofErr w:type="spellEnd"/>
      <w:r w:rsidRPr="00EE5075">
        <w:t xml:space="preserve"> Mana </w:t>
      </w:r>
      <w:proofErr w:type="spellStart"/>
      <w:r w:rsidRPr="00EE5075">
        <w:t>Raraunga</w:t>
      </w:r>
      <w:proofErr w:type="spellEnd"/>
      <w:r w:rsidRPr="00EE5075">
        <w:t>, the Māori Data Sovereignty Network (</w:t>
      </w:r>
      <w:proofErr w:type="spellStart"/>
      <w:r w:rsidRPr="00EE5075">
        <w:t>Te</w:t>
      </w:r>
      <w:proofErr w:type="spellEnd"/>
      <w:r w:rsidRPr="00EE5075">
        <w:t xml:space="preserve"> Mana </w:t>
      </w:r>
      <w:proofErr w:type="spellStart"/>
      <w:r w:rsidRPr="00EE5075">
        <w:t>Raraunga</w:t>
      </w:r>
      <w:proofErr w:type="spellEnd"/>
      <w:r w:rsidRPr="00EE5075">
        <w:t xml:space="preserve"> 2016). Under that charter, all health professionals, </w:t>
      </w:r>
      <w:proofErr w:type="gramStart"/>
      <w:r w:rsidRPr="00EE5075">
        <w:t>organisations</w:t>
      </w:r>
      <w:proofErr w:type="gramEnd"/>
      <w:r w:rsidRPr="00EE5075">
        <w:t xml:space="preserve"> and agencies should respect, care for and share health data and information and recognise that:</w:t>
      </w:r>
    </w:p>
    <w:p w14:paraId="0075D7E2" w14:textId="77777777" w:rsidR="003308C3" w:rsidRPr="00EE5075" w:rsidRDefault="003308C3" w:rsidP="00E31509">
      <w:pPr>
        <w:pStyle w:val="Bullet"/>
      </w:pPr>
      <w:r w:rsidRPr="00EE5075">
        <w:t xml:space="preserve">data is a living </w:t>
      </w:r>
      <w:proofErr w:type="spellStart"/>
      <w:r w:rsidRPr="00EE5075">
        <w:t>tāonga</w:t>
      </w:r>
      <w:proofErr w:type="spellEnd"/>
      <w:r w:rsidRPr="00EE5075">
        <w:t xml:space="preserve"> and is of strategic value to Māori</w:t>
      </w:r>
    </w:p>
    <w:p w14:paraId="0075D7E3" w14:textId="77777777" w:rsidR="003308C3" w:rsidRPr="00EE5075" w:rsidRDefault="003308C3" w:rsidP="00E31509">
      <w:pPr>
        <w:pStyle w:val="Bullet"/>
      </w:pPr>
      <w:r w:rsidRPr="00EE5075">
        <w:t>Māori data refers to data produced by Māori or which is about Māori and the environments Māori have relationships with</w:t>
      </w:r>
    </w:p>
    <w:p w14:paraId="0075D7E4" w14:textId="77777777" w:rsidR="003308C3" w:rsidRPr="00EE5075" w:rsidRDefault="003308C3" w:rsidP="00E31509">
      <w:pPr>
        <w:pStyle w:val="Bullet"/>
      </w:pPr>
      <w:r w:rsidRPr="00EE5075">
        <w:t>Māori data is subject to th</w:t>
      </w:r>
      <w:r w:rsidR="00EB491B">
        <w:t xml:space="preserve">e rights articulated in </w:t>
      </w:r>
      <w:proofErr w:type="spellStart"/>
      <w:r w:rsidR="00EB491B">
        <w:t>Te</w:t>
      </w:r>
      <w:proofErr w:type="spellEnd"/>
      <w:r w:rsidR="00EB491B">
        <w:t xml:space="preserve"> </w:t>
      </w:r>
      <w:proofErr w:type="spellStart"/>
      <w:r w:rsidR="00EB491B">
        <w:t>Tirit</w:t>
      </w:r>
      <w:r w:rsidRPr="00EE5075">
        <w:t>i</w:t>
      </w:r>
      <w:proofErr w:type="spellEnd"/>
      <w:r w:rsidRPr="00EE5075">
        <w:t xml:space="preserve"> o Waitangi and the United Nations Declaration on the Rights of Indigenous Peoples, to which New Zealand is a signatory.</w:t>
      </w:r>
    </w:p>
    <w:p w14:paraId="0075D7E5" w14:textId="77777777" w:rsidR="003308C3" w:rsidRPr="00EE5075" w:rsidRDefault="003308C3" w:rsidP="00E31509"/>
    <w:p w14:paraId="0075D7E6" w14:textId="77777777" w:rsidR="003308C3" w:rsidRPr="00EE5075" w:rsidRDefault="003308C3" w:rsidP="00E31509">
      <w:pPr>
        <w:pStyle w:val="Heading2"/>
      </w:pPr>
      <w:bookmarkStart w:id="17" w:name="_Toc89930914"/>
      <w:r w:rsidRPr="00EE5075">
        <w:t>Health equity</w:t>
      </w:r>
      <w:bookmarkEnd w:id="17"/>
    </w:p>
    <w:p w14:paraId="0075D7E7" w14:textId="77777777" w:rsidR="003308C3" w:rsidRPr="00EE5075" w:rsidRDefault="003308C3" w:rsidP="00E31509">
      <w:r w:rsidRPr="00EE5075">
        <w:t>The health and disability system has a core responsibility to address inequities in health and wellness. Differences in health outcomes for M</w:t>
      </w:r>
      <w:r w:rsidR="00116E74">
        <w:t>ā</w:t>
      </w:r>
      <w:r w:rsidRPr="00EE5075">
        <w:t>ori, Pacific peoples, disabled people in particular are both long-standing and well-documented. Inequities in health outcomes are driven by socioeconomic factors outside</w:t>
      </w:r>
      <w:r w:rsidR="00E31509">
        <w:t xml:space="preserve"> </w:t>
      </w:r>
      <w:r w:rsidRPr="00EE5075">
        <w:t>of health, but also by access to services and treatment within the health and disability system. The Ministry of Health has adopted the following definition of equity: “In Aotearoa New Zealand, people have differences in health that are not only avoidable but un</w:t>
      </w:r>
      <w:r w:rsidR="00116E74">
        <w:t>fair and unjust. Equity recogniz</w:t>
      </w:r>
      <w:r w:rsidRPr="00EE5075">
        <w:t>es that different people with different levels of advantage require different approaches and resources to get equitable health outcomes</w:t>
      </w:r>
      <w:r w:rsidR="00E31509">
        <w:t>”</w:t>
      </w:r>
      <w:r w:rsidRPr="00EE5075">
        <w:t>.</w:t>
      </w:r>
    </w:p>
    <w:p w14:paraId="0075D7E8" w14:textId="77777777" w:rsidR="00E31509" w:rsidRDefault="00E31509" w:rsidP="00E31509"/>
    <w:p w14:paraId="0075D7E9" w14:textId="77777777" w:rsidR="003308C3" w:rsidRPr="00EE5075" w:rsidRDefault="003308C3" w:rsidP="00E31509">
      <w:pPr>
        <w:keepNext/>
        <w:keepLines/>
      </w:pPr>
      <w:r w:rsidRPr="00EE5075">
        <w:lastRenderedPageBreak/>
        <w:t>There is a role for better access to and use of data and information to assist with the goal of achieving equity. Monitoring of inequities requires the collection of good quality data and analysis using well-chosen metrics. Decision-making about how to address inequities within the system</w:t>
      </w:r>
      <w:r w:rsidR="00E31509">
        <w:t xml:space="preserve"> </w:t>
      </w:r>
      <w:r w:rsidRPr="00EE5075">
        <w:t>requires that data is fit-for-purpose and is used to bring about positive change. Access to data and information can be a powerful tool to empower groups to take greater control over their own health outcomes. To support this the system must be responsive to the data needs of consumers and communities. Action in each of these areas is more likely to be effective if we involve representatives</w:t>
      </w:r>
      <w:r w:rsidR="00E31509">
        <w:t xml:space="preserve"> </w:t>
      </w:r>
      <w:r w:rsidRPr="00EE5075">
        <w:t>of groups that experience significant health inequalities in the governance of data.</w:t>
      </w:r>
    </w:p>
    <w:p w14:paraId="0075D7EA" w14:textId="77777777" w:rsidR="003308C3" w:rsidRPr="00EE5075" w:rsidRDefault="003308C3" w:rsidP="00E31509"/>
    <w:p w14:paraId="0075D7EB" w14:textId="77777777" w:rsidR="003308C3" w:rsidRPr="00EE5075" w:rsidRDefault="003308C3" w:rsidP="00E31509">
      <w:pPr>
        <w:pStyle w:val="Heading2"/>
      </w:pPr>
      <w:bookmarkStart w:id="18" w:name="_TOC_250005"/>
      <w:bookmarkStart w:id="19" w:name="_Toc89930915"/>
      <w:bookmarkEnd w:id="18"/>
      <w:r w:rsidRPr="00EE5075">
        <w:t>Consumer expectations</w:t>
      </w:r>
      <w:bookmarkEnd w:id="19"/>
    </w:p>
    <w:p w14:paraId="0075D7EC" w14:textId="77777777" w:rsidR="003308C3" w:rsidRPr="00EE5075" w:rsidRDefault="003308C3" w:rsidP="00E31509">
      <w:r w:rsidRPr="00EE5075">
        <w:t>New Zealanders engaging with health and disability services have certain expectations that the current system only partially meets. People expect to be in control of their own health information and to be able to choose how they share this information. They do not want to provide the same information repeatedly to different health professionals in order to access care. They expect health professionals to have all of the information they need for diagnosis and treatment at their fingertips. As consumers of health services, they expect their interactions</w:t>
      </w:r>
      <w:r w:rsidR="00E31509">
        <w:t xml:space="preserve"> </w:t>
      </w:r>
      <w:r w:rsidRPr="00EE5075">
        <w:t>with the health system to match or exceed the interactions they have in other parts of their lives.</w:t>
      </w:r>
    </w:p>
    <w:p w14:paraId="0075D7ED" w14:textId="77777777" w:rsidR="00E31509" w:rsidRDefault="00E31509" w:rsidP="00E31509"/>
    <w:p w14:paraId="0075D7EE" w14:textId="77777777" w:rsidR="003308C3" w:rsidRPr="00EE5075" w:rsidRDefault="003308C3" w:rsidP="00E31509">
      <w:r w:rsidRPr="00EE5075">
        <w:t>When they have access to their own health information and are able to contribute to their health records, people can make decisions about their health and wellbeing and how they interact with the health system.</w:t>
      </w:r>
    </w:p>
    <w:p w14:paraId="0075D7EF" w14:textId="77777777" w:rsidR="003308C3" w:rsidRPr="00EE5075" w:rsidRDefault="003308C3" w:rsidP="00E31509"/>
    <w:p w14:paraId="0075D7F0" w14:textId="77777777" w:rsidR="003308C3" w:rsidRPr="00EE5075" w:rsidRDefault="003308C3" w:rsidP="00E31509">
      <w:pPr>
        <w:pStyle w:val="Heading2"/>
      </w:pPr>
      <w:bookmarkStart w:id="20" w:name="_TOC_250004"/>
      <w:bookmarkStart w:id="21" w:name="_Toc89930916"/>
      <w:bookmarkEnd w:id="20"/>
      <w:r w:rsidRPr="00EE5075">
        <w:t>Sector change and system enablers</w:t>
      </w:r>
      <w:bookmarkEnd w:id="21"/>
    </w:p>
    <w:p w14:paraId="0075D7F1" w14:textId="77777777" w:rsidR="003308C3" w:rsidRPr="00EE5075" w:rsidRDefault="003308C3" w:rsidP="00E31509">
      <w:r w:rsidRPr="00EE5075">
        <w:t xml:space="preserve">The health and disability system reforms (DPMC 2021) commissioned by the Government emphasised the importance of ensuring consumers, </w:t>
      </w:r>
      <w:proofErr w:type="spellStart"/>
      <w:r w:rsidRPr="00EE5075">
        <w:t>whānau</w:t>
      </w:r>
      <w:proofErr w:type="spellEnd"/>
      <w:r w:rsidRPr="00EE5075">
        <w:t xml:space="preserve"> and communities are at the heart of the </w:t>
      </w:r>
      <w:proofErr w:type="gramStart"/>
      <w:r w:rsidRPr="00EE5075">
        <w:t>system, and</w:t>
      </w:r>
      <w:proofErr w:type="gramEnd"/>
      <w:r w:rsidRPr="00EE5075">
        <w:t xml:space="preserve"> identified data and digital technologies as key system enablers</w:t>
      </w:r>
      <w:r w:rsidR="00E31509">
        <w:t xml:space="preserve"> </w:t>
      </w:r>
      <w:r w:rsidRPr="00EE5075">
        <w:t>(among others). The Health and Disability System Review (HDSR 2021) noted the need to move ‘from an ecosystem of tens of thousands of systems that do not easily connect, to a system that routinely shares data and more effectively supports all those working in or using the system’.</w:t>
      </w:r>
    </w:p>
    <w:p w14:paraId="0075D7F2" w14:textId="77777777" w:rsidR="00E31509" w:rsidRDefault="00E31509" w:rsidP="00E31509"/>
    <w:p w14:paraId="0075D7F3" w14:textId="77777777" w:rsidR="003308C3" w:rsidRPr="00EE5075" w:rsidRDefault="003308C3" w:rsidP="00E31509">
      <w:r w:rsidRPr="00EE5075">
        <w:t>The review identified quality data as critical for:</w:t>
      </w:r>
    </w:p>
    <w:p w14:paraId="0075D7F4" w14:textId="77777777" w:rsidR="003308C3" w:rsidRPr="00EE5075" w:rsidRDefault="003308C3" w:rsidP="00E31509">
      <w:pPr>
        <w:pStyle w:val="Bullet"/>
      </w:pPr>
      <w:r w:rsidRPr="00EE5075">
        <w:t>consumer empowerment</w:t>
      </w:r>
    </w:p>
    <w:p w14:paraId="0075D7F5" w14:textId="77777777" w:rsidR="003308C3" w:rsidRPr="00EE5075" w:rsidRDefault="003308C3" w:rsidP="00E31509">
      <w:pPr>
        <w:pStyle w:val="Bullet"/>
      </w:pPr>
      <w:r w:rsidRPr="00E31509">
        <w:t xml:space="preserve">improved patient safety, </w:t>
      </w:r>
      <w:proofErr w:type="gramStart"/>
      <w:r w:rsidRPr="00E31509">
        <w:t>care</w:t>
      </w:r>
      <w:proofErr w:type="gramEnd"/>
      <w:r w:rsidRPr="00E31509">
        <w:t xml:space="preserve"> and outcomes</w:t>
      </w:r>
      <w:r w:rsidR="00E31509" w:rsidRPr="00E31509">
        <w:t xml:space="preserve"> </w:t>
      </w:r>
      <w:r w:rsidRPr="00E31509">
        <w:t>– ensuring clinicians can see complete, up-to-date patient data across the continuum of care</w:t>
      </w:r>
    </w:p>
    <w:p w14:paraId="0075D7F6" w14:textId="77777777" w:rsidR="003308C3" w:rsidRPr="00EE5075" w:rsidRDefault="003308C3" w:rsidP="00E31509">
      <w:pPr>
        <w:pStyle w:val="Bullet"/>
      </w:pPr>
      <w:r w:rsidRPr="00EE5075">
        <w:t>new models of care that require multiple clinicians across different settings to have access to real-time patient data to support multi-disciplinary care</w:t>
      </w:r>
    </w:p>
    <w:p w14:paraId="0075D7F7" w14:textId="77777777" w:rsidR="003308C3" w:rsidRDefault="003308C3" w:rsidP="00E31509">
      <w:pPr>
        <w:pStyle w:val="Bullet"/>
      </w:pPr>
      <w:r w:rsidRPr="00EE5075">
        <w:t>decision-making and research that require timely access and analytical capacity to extract meaning from large data sets.</w:t>
      </w:r>
    </w:p>
    <w:p w14:paraId="0075D7F8" w14:textId="77777777" w:rsidR="003308C3" w:rsidRPr="00EE5075" w:rsidRDefault="003308C3" w:rsidP="00E31509">
      <w:pPr>
        <w:spacing w:before="240"/>
      </w:pPr>
      <w:r w:rsidRPr="00EE5075">
        <w:lastRenderedPageBreak/>
        <w:t>In April 2021, the Government announced structural changes (Beehive, 2021) to improve the equitable delivery of health services and health outcomes.</w:t>
      </w:r>
    </w:p>
    <w:p w14:paraId="0075D7F9" w14:textId="77777777" w:rsidR="00E31509" w:rsidRDefault="00E31509" w:rsidP="00E31509"/>
    <w:p w14:paraId="0075D7FA" w14:textId="77777777" w:rsidR="003308C3" w:rsidRPr="00EE5075" w:rsidRDefault="003308C3" w:rsidP="00E31509">
      <w:r w:rsidRPr="00EE5075">
        <w:t>The reform announcements included five key outcomes the Government expected of the system</w:t>
      </w:r>
      <w:r w:rsidR="00E31509">
        <w:t xml:space="preserve"> –</w:t>
      </w:r>
      <w:r w:rsidRPr="00EE5075">
        <w:t xml:space="preserve"> equity of access and outcomes; partnership with Māori; sustainability via a focus on prevention of</w:t>
      </w:r>
      <w:r w:rsidR="00E31509">
        <w:t xml:space="preserve"> </w:t>
      </w:r>
      <w:r w:rsidRPr="00EE5075">
        <w:t xml:space="preserve">ill health; person and </w:t>
      </w:r>
      <w:proofErr w:type="spellStart"/>
      <w:r w:rsidRPr="00EE5075">
        <w:t>whanāu</w:t>
      </w:r>
      <w:proofErr w:type="spellEnd"/>
      <w:r w:rsidRPr="00EE5075">
        <w:t>-centred care; and</w:t>
      </w:r>
      <w:r w:rsidR="00E31509">
        <w:t xml:space="preserve"> </w:t>
      </w:r>
      <w:r w:rsidRPr="00EE5075">
        <w:t>excellence in leadership and quality of services. In practice, the system will need to:</w:t>
      </w:r>
    </w:p>
    <w:p w14:paraId="0075D7FB" w14:textId="77777777" w:rsidR="003308C3" w:rsidRPr="00EE5075" w:rsidRDefault="003308C3" w:rsidP="00E31509">
      <w:pPr>
        <w:pStyle w:val="Bullet"/>
      </w:pPr>
      <w:r w:rsidRPr="00EE5075">
        <w:t xml:space="preserve">reinforce </w:t>
      </w:r>
      <w:proofErr w:type="spellStart"/>
      <w:r w:rsidRPr="00EE5075">
        <w:t>Te</w:t>
      </w:r>
      <w:proofErr w:type="spellEnd"/>
      <w:r w:rsidRPr="00EE5075">
        <w:t xml:space="preserve"> </w:t>
      </w:r>
      <w:proofErr w:type="spellStart"/>
      <w:r w:rsidRPr="00EE5075">
        <w:t>Tiriti</w:t>
      </w:r>
      <w:proofErr w:type="spellEnd"/>
      <w:r w:rsidRPr="00EE5075">
        <w:t xml:space="preserve"> principles and obligations</w:t>
      </w:r>
    </w:p>
    <w:p w14:paraId="0075D7FC" w14:textId="77777777" w:rsidR="003308C3" w:rsidRPr="00EE5075" w:rsidRDefault="003308C3" w:rsidP="00E31509">
      <w:pPr>
        <w:pStyle w:val="Bullet"/>
      </w:pPr>
      <w:r w:rsidRPr="00EE5075">
        <w:t>provide access to a wider range of care and support in the community for everyone</w:t>
      </w:r>
    </w:p>
    <w:p w14:paraId="0075D7FD" w14:textId="77777777" w:rsidR="003308C3" w:rsidRPr="00EE5075" w:rsidRDefault="003308C3" w:rsidP="00E31509">
      <w:pPr>
        <w:pStyle w:val="Bullet"/>
      </w:pPr>
      <w:r w:rsidRPr="00EE5075">
        <w:t>provide emergency and specialist care that is accessible and consistently outstanding</w:t>
      </w:r>
    </w:p>
    <w:p w14:paraId="0075D7FE" w14:textId="77777777" w:rsidR="003308C3" w:rsidRPr="00EE5075" w:rsidRDefault="003308C3" w:rsidP="00E31509">
      <w:pPr>
        <w:pStyle w:val="Bullet"/>
      </w:pPr>
      <w:r w:rsidRPr="00EE5075">
        <w:t>enable digital services that are far more accessible, making close-to-home care far more common</w:t>
      </w:r>
    </w:p>
    <w:p w14:paraId="0075D7FF" w14:textId="77777777" w:rsidR="003308C3" w:rsidRPr="00EE5075" w:rsidRDefault="003308C3" w:rsidP="00E31509">
      <w:pPr>
        <w:pStyle w:val="Bullet"/>
      </w:pPr>
      <w:r w:rsidRPr="00EE5075">
        <w:t>value and support for health and care workers.</w:t>
      </w:r>
    </w:p>
    <w:p w14:paraId="0075D800" w14:textId="77777777" w:rsidR="00E31509" w:rsidRDefault="00E31509" w:rsidP="00E31509"/>
    <w:p w14:paraId="0075D801" w14:textId="77777777" w:rsidR="003308C3" w:rsidRPr="00EE5075" w:rsidRDefault="003308C3" w:rsidP="00E31509">
      <w:r w:rsidRPr="00EE5075">
        <w:t xml:space="preserve">To enable each of these outcomes, the government wants to build a system that is much more focused on delivering value through data. To achieve this, a step-change in data capability is required, aiming to achieve higher quality data, more sharing, improved access, better </w:t>
      </w:r>
      <w:proofErr w:type="gramStart"/>
      <w:r w:rsidRPr="00EE5075">
        <w:t>insights</w:t>
      </w:r>
      <w:proofErr w:type="gramEnd"/>
      <w:r w:rsidRPr="00EE5075">
        <w:t xml:space="preserve"> and an enhanced capability to act on insights. The system must rapidly build new data infrastructure and platforms that support interoperability and sharing, implement common data standards to improve quality, and increase the capability for analytics and intelligence to inform planning and the delivery of care.</w:t>
      </w:r>
    </w:p>
    <w:p w14:paraId="0075D802" w14:textId="77777777" w:rsidR="00E31509" w:rsidRDefault="00E31509" w:rsidP="00E31509"/>
    <w:p w14:paraId="0075D803" w14:textId="77777777" w:rsidR="003308C3" w:rsidRPr="00EE5075" w:rsidRDefault="003308C3" w:rsidP="00E31509">
      <w:r w:rsidRPr="00EE5075">
        <w:t>The reforms provide us with opportunities to further accelerate work within the sector to create an ecosystem of insight-rich data and interoperable digital technologies. The Ministry of Health has been collaborating with sector leaders and organisations, industry partners and developers, government agencies and clinical groups on a wide range of significant initiatives to this end.</w:t>
      </w:r>
    </w:p>
    <w:p w14:paraId="0075D804" w14:textId="77777777" w:rsidR="00E31509" w:rsidRDefault="00E31509" w:rsidP="00E31509"/>
    <w:p w14:paraId="0075D805" w14:textId="77777777" w:rsidR="003308C3" w:rsidRPr="00EE5075" w:rsidRDefault="003308C3" w:rsidP="00E31509">
      <w:r w:rsidRPr="00EE5075">
        <w:t>The work under way with the sector on the Hira programme, for example, will transform consumers’ access to and use of health and disability information. Hira will draw together a</w:t>
      </w:r>
      <w:r w:rsidR="00E31509">
        <w:t xml:space="preserve"> </w:t>
      </w:r>
      <w:r w:rsidRPr="00EE5075">
        <w:t xml:space="preserve">person’s latest health information as needed to create a single </w:t>
      </w:r>
      <w:proofErr w:type="gramStart"/>
      <w:r w:rsidRPr="00EE5075">
        <w:t>view;</w:t>
      </w:r>
      <w:proofErr w:type="gramEnd"/>
      <w:r w:rsidRPr="00EE5075">
        <w:t xml:space="preserve"> a virtual electronic health record rather than a single electronic health record. This work will deliver key components of the Ministry’s Digital Health Strategic Framework (Ministry of Health 2019a).</w:t>
      </w:r>
    </w:p>
    <w:p w14:paraId="0075D806" w14:textId="77777777" w:rsidR="003308C3" w:rsidRPr="00EE5075" w:rsidRDefault="003308C3" w:rsidP="00E31509"/>
    <w:p w14:paraId="0075D807" w14:textId="77777777" w:rsidR="003308C3" w:rsidRPr="00EE5075" w:rsidRDefault="003308C3" w:rsidP="00E31509">
      <w:pPr>
        <w:pStyle w:val="Heading2"/>
      </w:pPr>
      <w:bookmarkStart w:id="22" w:name="_Toc89930917"/>
      <w:r w:rsidRPr="00EE5075">
        <w:lastRenderedPageBreak/>
        <w:t>Emerging technology</w:t>
      </w:r>
      <w:bookmarkEnd w:id="22"/>
    </w:p>
    <w:p w14:paraId="0075D808" w14:textId="77777777" w:rsidR="003308C3" w:rsidRPr="00EE5075" w:rsidRDefault="003308C3" w:rsidP="00E31509">
      <w:pPr>
        <w:keepLines/>
      </w:pPr>
      <w:r w:rsidRPr="00EE5075">
        <w:t>The potential benefits of digital technologies in health are limitless. We need a modern data-rich environment to make use of new and emerging technologies such as wearables, genomics and precision medicine, robotics, cloud services, natural language processing, machine learning and artificial intelligence. These tools, along with</w:t>
      </w:r>
      <w:r w:rsidR="00E31509">
        <w:t xml:space="preserve"> </w:t>
      </w:r>
      <w:r w:rsidRPr="00EE5075">
        <w:t>technologies not yet invented, will enable disruptive</w:t>
      </w:r>
      <w:r w:rsidR="00E31509">
        <w:t xml:space="preserve"> </w:t>
      </w:r>
      <w:r w:rsidRPr="00EE5075">
        <w:t>innovation and insights in health care, to optimise diagnosis and treatment and to give us a better understanding of how the system is performing and responding to change. Emerging technologies have the potential to enhance the consumer experience in health and further move us towards a consumer- centric approach to delivering health care.</w:t>
      </w:r>
    </w:p>
    <w:p w14:paraId="0075D809" w14:textId="77777777" w:rsidR="00E31509" w:rsidRDefault="00E31509" w:rsidP="00E31509"/>
    <w:p w14:paraId="0075D80A" w14:textId="77777777" w:rsidR="003308C3" w:rsidRDefault="003308C3" w:rsidP="00E31509">
      <w:r w:rsidRPr="00EE5075">
        <w:t>The health and disability sector is complex. A range of drivers have influenced the development of this strategy. Figure 1 illustrates this.</w:t>
      </w:r>
    </w:p>
    <w:p w14:paraId="0075D80B" w14:textId="77777777" w:rsidR="00E31509" w:rsidRDefault="00E31509" w:rsidP="00E31509"/>
    <w:p w14:paraId="0075D80C" w14:textId="77777777" w:rsidR="00E31509" w:rsidRDefault="00E31509" w:rsidP="00E31509">
      <w:r>
        <w:rPr>
          <w:noProof/>
          <w:lang w:eastAsia="en-NZ"/>
        </w:rPr>
        <w:drawing>
          <wp:inline distT="0" distB="0" distL="0" distR="0" wp14:anchorId="0075D939" wp14:editId="5209FAAA">
            <wp:extent cx="5130165" cy="5104130"/>
            <wp:effectExtent l="0" t="0" r="0" b="1270"/>
            <wp:docPr id="411" name="Picture 411" descr="Circle diagram of drivers from New Zealand Health Strategy 2016 to COVID-19 pandemic to consumer expectations to Whakamaua: Māori Health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descr="Circle diagram of drivers from New Zealand Health Strategy 2016 to COVID-19 pandemic to consumer expectations to Whakamaua: Māori Health Action Plan"/>
                    <pic:cNvPicPr/>
                  </pic:nvPicPr>
                  <pic:blipFill>
                    <a:blip r:embed="rId25"/>
                    <a:stretch>
                      <a:fillRect/>
                    </a:stretch>
                  </pic:blipFill>
                  <pic:spPr>
                    <a:xfrm>
                      <a:off x="0" y="0"/>
                      <a:ext cx="5130165" cy="5104130"/>
                    </a:xfrm>
                    <a:prstGeom prst="rect">
                      <a:avLst/>
                    </a:prstGeom>
                  </pic:spPr>
                </pic:pic>
              </a:graphicData>
            </a:graphic>
          </wp:inline>
        </w:drawing>
      </w:r>
    </w:p>
    <w:p w14:paraId="0075D80D" w14:textId="77777777" w:rsidR="00E31509" w:rsidRDefault="00E31509" w:rsidP="00E31509"/>
    <w:p w14:paraId="0075D80E" w14:textId="77777777" w:rsidR="003308C3" w:rsidRPr="00EE5075" w:rsidRDefault="003308C3" w:rsidP="00E31509">
      <w:pPr>
        <w:pStyle w:val="Heading1"/>
      </w:pPr>
      <w:bookmarkStart w:id="23" w:name="Values_and_behaviours"/>
      <w:bookmarkStart w:id="24" w:name="_Toc89930918"/>
      <w:bookmarkEnd w:id="23"/>
      <w:r w:rsidRPr="00E31509">
        <w:lastRenderedPageBreak/>
        <w:t>Values and behaviours</w:t>
      </w:r>
      <w:bookmarkEnd w:id="24"/>
    </w:p>
    <w:p w14:paraId="0075D80F" w14:textId="77777777" w:rsidR="003308C3" w:rsidRPr="00EE5075" w:rsidRDefault="003308C3" w:rsidP="00E31509">
      <w:pPr>
        <w:pStyle w:val="Introductoryparagraph"/>
      </w:pPr>
      <w:r w:rsidRPr="00EE5075">
        <w:t>Underpinning this strategy is a set of guiding values and behaviours outlined in the Data Protection and Use Policy of New Zealand (Social Wellbeing Agency 2019), which was developed to ensure that the ways that social sector (including health and disability) organisations use and manage data reflects the expectations of New Zealanders.</w:t>
      </w:r>
    </w:p>
    <w:p w14:paraId="0075D810" w14:textId="77777777" w:rsidR="003308C3" w:rsidRPr="00EE5075" w:rsidRDefault="003308C3" w:rsidP="00E31509">
      <w:r w:rsidRPr="00EE5075">
        <w:t>The values and behaviours set out in the Data Protection and Use Policy are intended to reinforce each other and illustrate what ‘doing the right thing’ looks like in the context of collecting and using people’s data and information. For example, people expect that:</w:t>
      </w:r>
    </w:p>
    <w:p w14:paraId="0075D811" w14:textId="77777777" w:rsidR="003308C3" w:rsidRPr="00EE5075" w:rsidRDefault="003308C3" w:rsidP="006332B6">
      <w:pPr>
        <w:pStyle w:val="Bullet"/>
      </w:pPr>
      <w:r w:rsidRPr="00EE5075">
        <w:t>health and disability providers, organisations and agencies will share a common approach in the way they work with people and their information</w:t>
      </w:r>
    </w:p>
    <w:p w14:paraId="0075D812" w14:textId="77777777" w:rsidR="003308C3" w:rsidRPr="00EE5075" w:rsidRDefault="003308C3" w:rsidP="006332B6">
      <w:pPr>
        <w:pStyle w:val="Bullet"/>
      </w:pPr>
      <w:r w:rsidRPr="00EE5075">
        <w:t>health and disability providers, organisations and agencies will work inclusively to develop and share valuable insights that result in the improved health and wellbeing of people and communities</w:t>
      </w:r>
    </w:p>
    <w:p w14:paraId="0075D813" w14:textId="77777777" w:rsidR="003308C3" w:rsidRPr="00EE5075" w:rsidRDefault="003308C3" w:rsidP="006332B6">
      <w:pPr>
        <w:pStyle w:val="Bullet"/>
      </w:pPr>
      <w:r w:rsidRPr="00EE5075">
        <w:t xml:space="preserve">people who use health and disability services will know what to </w:t>
      </w:r>
      <w:proofErr w:type="gramStart"/>
      <w:r w:rsidRPr="00EE5075">
        <w:t>expect, and</w:t>
      </w:r>
      <w:proofErr w:type="gramEnd"/>
      <w:r w:rsidRPr="00EE5075">
        <w:t xml:space="preserve"> will have confidence in the way health providers use their personal information.</w:t>
      </w:r>
    </w:p>
    <w:p w14:paraId="0075D814" w14:textId="77777777" w:rsidR="006332B6" w:rsidRDefault="006332B6" w:rsidP="006332B6"/>
    <w:p w14:paraId="0075D815" w14:textId="77777777" w:rsidR="003308C3" w:rsidRPr="00EE5075" w:rsidRDefault="003308C3" w:rsidP="006332B6">
      <w:r w:rsidRPr="00EE5075">
        <w:t>The five values and behaviours that underpin this strategy are as follows.</w:t>
      </w:r>
    </w:p>
    <w:p w14:paraId="0075D816" w14:textId="77777777" w:rsidR="003308C3" w:rsidRDefault="003308C3" w:rsidP="006332B6"/>
    <w:p w14:paraId="0075D817" w14:textId="77777777" w:rsidR="006332B6" w:rsidRPr="00EE5075" w:rsidRDefault="006332B6" w:rsidP="006332B6">
      <w:r>
        <w:rPr>
          <w:noProof/>
          <w:lang w:eastAsia="en-NZ"/>
        </w:rPr>
        <w:drawing>
          <wp:inline distT="0" distB="0" distL="0" distR="0" wp14:anchorId="0075D93B" wp14:editId="76C2C749">
            <wp:extent cx="5130165" cy="2950941"/>
            <wp:effectExtent l="0" t="0" r="0" b="1905"/>
            <wp:docPr id="1" name="Picture 1" descr="Manaakitanga, mana whakahaere, kaitiakitanga, and mahitahit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naakitanga, mana whakahaere, kaitiakitanga, and mahitahitanga"/>
                    <pic:cNvPicPr/>
                  </pic:nvPicPr>
                  <pic:blipFill>
                    <a:blip r:embed="rId26"/>
                    <a:stretch>
                      <a:fillRect/>
                    </a:stretch>
                  </pic:blipFill>
                  <pic:spPr>
                    <a:xfrm>
                      <a:off x="0" y="0"/>
                      <a:ext cx="5130165" cy="2950941"/>
                    </a:xfrm>
                    <a:prstGeom prst="rect">
                      <a:avLst/>
                    </a:prstGeom>
                  </pic:spPr>
                </pic:pic>
              </a:graphicData>
            </a:graphic>
          </wp:inline>
        </w:drawing>
      </w:r>
    </w:p>
    <w:p w14:paraId="0075D818" w14:textId="77777777" w:rsidR="003308C3" w:rsidRPr="00EE5075" w:rsidRDefault="003308C3" w:rsidP="003308C3"/>
    <w:p w14:paraId="0075D819" w14:textId="77777777" w:rsidR="006332B6" w:rsidRDefault="006332B6" w:rsidP="006332B6">
      <w:pPr>
        <w:pStyle w:val="Heading3"/>
      </w:pPr>
      <w:r>
        <w:lastRenderedPageBreak/>
        <w:t xml:space="preserve">He </w:t>
      </w:r>
      <w:proofErr w:type="spellStart"/>
      <w:r>
        <w:t>tāngata</w:t>
      </w:r>
      <w:proofErr w:type="spellEnd"/>
    </w:p>
    <w:p w14:paraId="0075D81A" w14:textId="77777777" w:rsidR="003308C3" w:rsidRPr="00EE5075" w:rsidRDefault="003308C3" w:rsidP="006332B6">
      <w:pPr>
        <w:keepNext/>
        <w:keepLines/>
      </w:pPr>
      <w:r w:rsidRPr="006332B6">
        <w:t xml:space="preserve">He </w:t>
      </w:r>
      <w:proofErr w:type="spellStart"/>
      <w:r w:rsidRPr="006332B6">
        <w:t>tāngata</w:t>
      </w:r>
      <w:proofErr w:type="spellEnd"/>
      <w:r w:rsidRPr="006332B6">
        <w:t xml:space="preserve"> has a special role: it wraps around all of the principles. It reminds us that </w:t>
      </w:r>
      <w:r w:rsidRPr="00EE5075">
        <w:t>everything we do with data and</w:t>
      </w:r>
      <w:r w:rsidR="006332B6">
        <w:t xml:space="preserve"> </w:t>
      </w:r>
      <w:r w:rsidRPr="00EE5075">
        <w:t>information should be done with the following question in mind: ‘how does this contribute toward the health and wellbeing of the individual or community?’ For example, we must:</w:t>
      </w:r>
    </w:p>
    <w:p w14:paraId="0075D81B" w14:textId="77777777" w:rsidR="003308C3" w:rsidRPr="00EE5075" w:rsidRDefault="003308C3" w:rsidP="006332B6">
      <w:pPr>
        <w:pStyle w:val="Bullet"/>
      </w:pPr>
      <w:r w:rsidRPr="00EE5075">
        <w:t>strive to create positive outcomes from any collection, sharing or use of health data and information</w:t>
      </w:r>
    </w:p>
    <w:p w14:paraId="0075D81C" w14:textId="77777777" w:rsidR="003308C3" w:rsidRPr="00EE5075" w:rsidRDefault="003308C3" w:rsidP="006332B6">
      <w:pPr>
        <w:pStyle w:val="Bullet"/>
      </w:pPr>
      <w:r w:rsidRPr="00EE5075">
        <w:t xml:space="preserve">use appropriate checks and </w:t>
      </w:r>
      <w:proofErr w:type="gramStart"/>
      <w:r w:rsidRPr="00EE5075">
        <w:t>balances, and</w:t>
      </w:r>
      <w:proofErr w:type="gramEnd"/>
      <w:r w:rsidRPr="00EE5075">
        <w:t xml:space="preserve"> ensure that information is suitable and reasonably necessary for the intended outcome.</w:t>
      </w:r>
    </w:p>
    <w:p w14:paraId="0075D81D" w14:textId="77777777" w:rsidR="003308C3" w:rsidRPr="00EE5075" w:rsidRDefault="003308C3" w:rsidP="006332B6"/>
    <w:p w14:paraId="0075D81E" w14:textId="77777777" w:rsidR="006332B6" w:rsidRDefault="006332B6" w:rsidP="006332B6">
      <w:pPr>
        <w:pStyle w:val="Heading3"/>
      </w:pPr>
      <w:proofErr w:type="spellStart"/>
      <w:r>
        <w:t>Manaakitanga</w:t>
      </w:r>
      <w:proofErr w:type="spellEnd"/>
    </w:p>
    <w:p w14:paraId="0075D81F" w14:textId="77777777" w:rsidR="003308C3" w:rsidRPr="00EE5075" w:rsidRDefault="003308C3" w:rsidP="006332B6">
      <w:proofErr w:type="spellStart"/>
      <w:r w:rsidRPr="00EE5075">
        <w:t>Manaakitanga</w:t>
      </w:r>
      <w:proofErr w:type="spellEnd"/>
      <w:r w:rsidRPr="00EE5075">
        <w:t xml:space="preserve"> reminds us to:</w:t>
      </w:r>
    </w:p>
    <w:p w14:paraId="0075D820" w14:textId="77777777" w:rsidR="003308C3" w:rsidRPr="00EE5075" w:rsidRDefault="003308C3" w:rsidP="006332B6">
      <w:pPr>
        <w:pStyle w:val="Bullet"/>
      </w:pPr>
      <w:r w:rsidRPr="00EE5075">
        <w:t xml:space="preserve">recognise and incorporate diverse cultural interests, worldviews, </w:t>
      </w:r>
      <w:proofErr w:type="gramStart"/>
      <w:r w:rsidRPr="00EE5075">
        <w:t>perspectives</w:t>
      </w:r>
      <w:proofErr w:type="gramEnd"/>
      <w:r w:rsidRPr="00EE5075">
        <w:t xml:space="preserve"> and needs</w:t>
      </w:r>
    </w:p>
    <w:p w14:paraId="0075D821" w14:textId="77777777" w:rsidR="003308C3" w:rsidRPr="00EE5075" w:rsidRDefault="003308C3" w:rsidP="006332B6">
      <w:pPr>
        <w:pStyle w:val="Bullet"/>
      </w:pPr>
      <w:r w:rsidRPr="00EE5075">
        <w:t>include and involve consumers whenever possible</w:t>
      </w:r>
    </w:p>
    <w:p w14:paraId="0075D822" w14:textId="77777777" w:rsidR="003308C3" w:rsidRPr="00EE5075" w:rsidRDefault="003308C3" w:rsidP="006332B6">
      <w:pPr>
        <w:pStyle w:val="Bullet"/>
      </w:pPr>
      <w:r w:rsidRPr="00EE5075">
        <w:t>incorporate the needs and priorities of people with a specific interest in what is done with their data and information.</w:t>
      </w:r>
    </w:p>
    <w:p w14:paraId="0075D823" w14:textId="77777777" w:rsidR="003308C3" w:rsidRDefault="003308C3" w:rsidP="006332B6"/>
    <w:p w14:paraId="0075D824" w14:textId="77777777" w:rsidR="006332B6" w:rsidRPr="00EE5075" w:rsidRDefault="006332B6" w:rsidP="006332B6">
      <w:pPr>
        <w:pStyle w:val="Heading3"/>
      </w:pPr>
      <w:r w:rsidRPr="00EE5075">
        <w:t xml:space="preserve">Mana </w:t>
      </w:r>
      <w:proofErr w:type="spellStart"/>
      <w:r w:rsidRPr="00EE5075">
        <w:t>whakahaere</w:t>
      </w:r>
      <w:proofErr w:type="spellEnd"/>
    </w:p>
    <w:p w14:paraId="0075D825" w14:textId="77777777" w:rsidR="003308C3" w:rsidRPr="00EE5075" w:rsidRDefault="003308C3" w:rsidP="006332B6">
      <w:r w:rsidRPr="00EE5075">
        <w:t xml:space="preserve">Mana </w:t>
      </w:r>
      <w:proofErr w:type="spellStart"/>
      <w:r w:rsidRPr="00EE5075">
        <w:t>whakahaere</w:t>
      </w:r>
      <w:proofErr w:type="spellEnd"/>
      <w:r w:rsidRPr="00EE5075">
        <w:t xml:space="preserve"> reminds us to:</w:t>
      </w:r>
    </w:p>
    <w:p w14:paraId="0075D826" w14:textId="77777777" w:rsidR="003308C3" w:rsidRPr="00EE5075" w:rsidRDefault="003308C3" w:rsidP="006332B6">
      <w:pPr>
        <w:pStyle w:val="Bullet"/>
      </w:pPr>
      <w:r w:rsidRPr="00EE5075">
        <w:t>give people easy access to and oversight of their information wherever possible.</w:t>
      </w:r>
    </w:p>
    <w:p w14:paraId="0075D827" w14:textId="77777777" w:rsidR="003308C3" w:rsidRDefault="003308C3" w:rsidP="006332B6"/>
    <w:p w14:paraId="0075D828" w14:textId="77777777" w:rsidR="006332B6" w:rsidRPr="00EE5075" w:rsidRDefault="006332B6" w:rsidP="006332B6">
      <w:pPr>
        <w:pStyle w:val="Heading3"/>
      </w:pPr>
      <w:proofErr w:type="spellStart"/>
      <w:r w:rsidRPr="00EE5075">
        <w:t>Kaitiakitanga</w:t>
      </w:r>
      <w:proofErr w:type="spellEnd"/>
    </w:p>
    <w:p w14:paraId="0075D829" w14:textId="77777777" w:rsidR="003308C3" w:rsidRPr="00EE5075" w:rsidRDefault="003308C3" w:rsidP="006332B6">
      <w:proofErr w:type="spellStart"/>
      <w:r w:rsidRPr="00EE5075">
        <w:t>Kaitiakitanga</w:t>
      </w:r>
      <w:proofErr w:type="spellEnd"/>
      <w:r w:rsidRPr="00EE5075">
        <w:t xml:space="preserve"> reminds us to:</w:t>
      </w:r>
    </w:p>
    <w:p w14:paraId="0075D82A" w14:textId="77777777" w:rsidR="003308C3" w:rsidRPr="00EE5075" w:rsidRDefault="003308C3" w:rsidP="006332B6">
      <w:pPr>
        <w:pStyle w:val="Bullet"/>
      </w:pPr>
      <w:r w:rsidRPr="00EE5075">
        <w:t>be open and support people’s need to understand</w:t>
      </w:r>
    </w:p>
    <w:p w14:paraId="0075D82B" w14:textId="77777777" w:rsidR="003308C3" w:rsidRPr="00EE5075" w:rsidRDefault="003308C3" w:rsidP="006332B6">
      <w:pPr>
        <w:pStyle w:val="Bullet"/>
      </w:pPr>
      <w:r w:rsidRPr="00EE5075">
        <w:t>keep data and information safe and secure, and respect its value</w:t>
      </w:r>
    </w:p>
    <w:p w14:paraId="0075D82C" w14:textId="77777777" w:rsidR="003308C3" w:rsidRPr="00EE5075" w:rsidRDefault="003308C3" w:rsidP="006332B6">
      <w:pPr>
        <w:pStyle w:val="Bullet"/>
      </w:pPr>
      <w:r w:rsidRPr="00EE5075">
        <w:t>act swiftly in the event of a privacy breach.</w:t>
      </w:r>
    </w:p>
    <w:p w14:paraId="0075D82D" w14:textId="77777777" w:rsidR="003308C3" w:rsidRDefault="003308C3" w:rsidP="006332B6"/>
    <w:p w14:paraId="0075D82E" w14:textId="77777777" w:rsidR="006332B6" w:rsidRPr="00EE5075" w:rsidRDefault="006332B6" w:rsidP="006332B6">
      <w:pPr>
        <w:pStyle w:val="Heading3"/>
      </w:pPr>
      <w:proofErr w:type="spellStart"/>
      <w:r w:rsidRPr="00EE5075">
        <w:t>Mahitahitanga</w:t>
      </w:r>
      <w:proofErr w:type="spellEnd"/>
    </w:p>
    <w:p w14:paraId="0075D82F" w14:textId="77777777" w:rsidR="003308C3" w:rsidRPr="00EE5075" w:rsidRDefault="003308C3" w:rsidP="006332B6">
      <w:proofErr w:type="spellStart"/>
      <w:r w:rsidRPr="00EE5075">
        <w:t>Mahitahitanga</w:t>
      </w:r>
      <w:proofErr w:type="spellEnd"/>
      <w:r w:rsidRPr="00EE5075">
        <w:t xml:space="preserve"> reminds us to:</w:t>
      </w:r>
    </w:p>
    <w:p w14:paraId="0075D830" w14:textId="77777777" w:rsidR="003308C3" w:rsidRPr="00EE5075" w:rsidRDefault="003308C3" w:rsidP="006332B6">
      <w:pPr>
        <w:pStyle w:val="Bullet"/>
      </w:pPr>
      <w:r w:rsidRPr="00EE5075">
        <w:t>confidentially share relevant information between professionals as needed</w:t>
      </w:r>
    </w:p>
    <w:p w14:paraId="0075D831" w14:textId="77777777" w:rsidR="003308C3" w:rsidRPr="00EE5075" w:rsidRDefault="003308C3" w:rsidP="006332B6">
      <w:pPr>
        <w:pStyle w:val="Bullet"/>
      </w:pPr>
      <w:r w:rsidRPr="00EE5075">
        <w:t xml:space="preserve">share (de-identified) data, analysis, </w:t>
      </w:r>
      <w:proofErr w:type="gramStart"/>
      <w:r w:rsidRPr="00EE5075">
        <w:t>results</w:t>
      </w:r>
      <w:proofErr w:type="gramEnd"/>
      <w:r w:rsidRPr="00EE5075">
        <w:t xml:space="preserve"> and research findings to build collective knowledge and improve health and disability services.</w:t>
      </w:r>
    </w:p>
    <w:p w14:paraId="0075D832" w14:textId="77777777" w:rsidR="003308C3" w:rsidRPr="00EE5075" w:rsidRDefault="003308C3" w:rsidP="006332B6">
      <w:pPr>
        <w:pStyle w:val="Heading1"/>
      </w:pPr>
      <w:bookmarkStart w:id="25" w:name="Identifying_what_matters"/>
      <w:bookmarkStart w:id="26" w:name="_Toc89930919"/>
      <w:bookmarkEnd w:id="25"/>
      <w:r w:rsidRPr="006332B6">
        <w:lastRenderedPageBreak/>
        <w:t>Identifying what matters</w:t>
      </w:r>
      <w:bookmarkEnd w:id="26"/>
    </w:p>
    <w:p w14:paraId="0075D833" w14:textId="77777777" w:rsidR="003308C3" w:rsidRPr="00EE5075" w:rsidRDefault="003308C3" w:rsidP="006332B6">
      <w:pPr>
        <w:pStyle w:val="Introductoryparagraph"/>
      </w:pPr>
      <w:r w:rsidRPr="00EE5075">
        <w:t>A key task for the development of this strategy has been to understand the issues, barriers and priorities for consumers and people working in, and providing leadership to, the health and disability sector. We carried out consultation both online and face-to-face through video-conferencing, a digital survey and discussions within existing networks and regular meetings. We converted some planned in-person hui to digital engagements during the COVID-19 response. Our consultation process involved health and disability system organisations, government agencies and consumers.</w:t>
      </w:r>
    </w:p>
    <w:p w14:paraId="0075D834" w14:textId="77777777" w:rsidR="003308C3" w:rsidRPr="00EE5075" w:rsidRDefault="006332B6" w:rsidP="006332B6">
      <w:r>
        <w:rPr>
          <w:noProof/>
          <w:lang w:eastAsia="en-NZ"/>
        </w:rPr>
        <w:drawing>
          <wp:inline distT="0" distB="0" distL="0" distR="0" wp14:anchorId="0075D93D" wp14:editId="391C3E43">
            <wp:extent cx="5130165" cy="1576320"/>
            <wp:effectExtent l="0" t="0" r="0" b="5080"/>
            <wp:docPr id="412" name="Picture 412" descr="1037 New Zealanders, 720 survey responses, 43 in-person or virtual 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descr="1037 New Zealanders, 720 survey responses, 43 in-person or virtual hui"/>
                    <pic:cNvPicPr/>
                  </pic:nvPicPr>
                  <pic:blipFill>
                    <a:blip r:embed="rId27"/>
                    <a:stretch>
                      <a:fillRect/>
                    </a:stretch>
                  </pic:blipFill>
                  <pic:spPr>
                    <a:xfrm>
                      <a:off x="0" y="0"/>
                      <a:ext cx="5130165" cy="1576320"/>
                    </a:xfrm>
                    <a:prstGeom prst="rect">
                      <a:avLst/>
                    </a:prstGeom>
                  </pic:spPr>
                </pic:pic>
              </a:graphicData>
            </a:graphic>
          </wp:inline>
        </w:drawing>
      </w:r>
    </w:p>
    <w:p w14:paraId="0075D835" w14:textId="77777777" w:rsidR="003308C3" w:rsidRPr="00EE5075" w:rsidRDefault="003308C3" w:rsidP="006332B6"/>
    <w:p w14:paraId="0075D836" w14:textId="77777777" w:rsidR="003308C3" w:rsidRPr="00EE5075" w:rsidRDefault="003308C3" w:rsidP="006332B6">
      <w:r w:rsidRPr="00EE5075">
        <w:t>Our consultation identified the following as important requirements in the context of the development of a data and information strategy for health and disability:</w:t>
      </w:r>
    </w:p>
    <w:p w14:paraId="0075D837" w14:textId="77777777" w:rsidR="003308C3" w:rsidRPr="00EE5075" w:rsidRDefault="003308C3" w:rsidP="006332B6">
      <w:pPr>
        <w:pStyle w:val="Bullet"/>
      </w:pPr>
      <w:r w:rsidRPr="00EE5075">
        <w:t xml:space="preserve">a clear focus on improving health outcomes, addressing health inequities (particularly for Māori, Pacific </w:t>
      </w:r>
      <w:proofErr w:type="gramStart"/>
      <w:r w:rsidRPr="00EE5075">
        <w:t>peoples</w:t>
      </w:r>
      <w:proofErr w:type="gramEnd"/>
      <w:r w:rsidRPr="00EE5075">
        <w:t xml:space="preserve"> and disabled people) and providing consumer-centred care</w:t>
      </w:r>
    </w:p>
    <w:p w14:paraId="0075D838" w14:textId="77777777" w:rsidR="003308C3" w:rsidRPr="00EE5075" w:rsidRDefault="003308C3" w:rsidP="006332B6">
      <w:pPr>
        <w:pStyle w:val="Bullet"/>
      </w:pPr>
      <w:r w:rsidRPr="00EE5075">
        <w:t>a need for better quality data and information across the health and disability system</w:t>
      </w:r>
    </w:p>
    <w:p w14:paraId="0075D839" w14:textId="16FBED22" w:rsidR="003308C3" w:rsidRPr="00EE5075" w:rsidRDefault="003308C3" w:rsidP="006332B6">
      <w:pPr>
        <w:pStyle w:val="Bullet"/>
      </w:pPr>
      <w:r w:rsidRPr="00EE5075">
        <w:t>making data more accessible and able to be shared appropriately, and removing information silos</w:t>
      </w:r>
    </w:p>
    <w:p w14:paraId="0075D83A" w14:textId="77777777" w:rsidR="003308C3" w:rsidRPr="00EE5075" w:rsidRDefault="003308C3" w:rsidP="006332B6">
      <w:pPr>
        <w:pStyle w:val="Bullet"/>
      </w:pPr>
      <w:r w:rsidRPr="00EE5075">
        <w:t>improved access to de-identified data for research and innovation, and to develop modern public health and population health initiatives</w:t>
      </w:r>
    </w:p>
    <w:p w14:paraId="0075D83B" w14:textId="77777777" w:rsidR="003308C3" w:rsidRPr="00EE5075" w:rsidRDefault="003308C3" w:rsidP="006332B6">
      <w:pPr>
        <w:pStyle w:val="Bullet"/>
      </w:pPr>
      <w:r w:rsidRPr="00EE5075">
        <w:t>greater collaboration across health and social systems, to enable more effective use of data</w:t>
      </w:r>
    </w:p>
    <w:p w14:paraId="0075D83C" w14:textId="77777777" w:rsidR="003308C3" w:rsidRPr="00EE5075" w:rsidRDefault="003308C3" w:rsidP="006332B6">
      <w:pPr>
        <w:pStyle w:val="Bullet"/>
      </w:pPr>
      <w:r w:rsidRPr="00EE5075">
        <w:t>leadership to establish data governance across the health system, with an emphasis on data sovereignty, including partnering with consumers and Māori</w:t>
      </w:r>
    </w:p>
    <w:p w14:paraId="0075D83D" w14:textId="77777777" w:rsidR="003308C3" w:rsidRPr="00EE5075" w:rsidRDefault="003308C3" w:rsidP="006332B6">
      <w:pPr>
        <w:pStyle w:val="Bullet"/>
      </w:pPr>
      <w:r w:rsidRPr="00EE5075">
        <w:t>more explicit guidance from government agencies on data sharing and accessibility</w:t>
      </w:r>
    </w:p>
    <w:p w14:paraId="0075D83E" w14:textId="77777777" w:rsidR="003308C3" w:rsidRPr="00EE5075" w:rsidRDefault="003308C3" w:rsidP="006332B6">
      <w:pPr>
        <w:pStyle w:val="Bullet"/>
        <w:keepNext/>
      </w:pPr>
      <w:r w:rsidRPr="00EE5075">
        <w:lastRenderedPageBreak/>
        <w:t>a mandate or regulation from government agencies to accelerate interoperability and data accessibility through the implementation of data standards, where applicable</w:t>
      </w:r>
    </w:p>
    <w:p w14:paraId="0075D83F" w14:textId="77777777" w:rsidR="003308C3" w:rsidRPr="00EE5075" w:rsidRDefault="003308C3" w:rsidP="006332B6">
      <w:pPr>
        <w:pStyle w:val="Bullet"/>
      </w:pPr>
      <w:r w:rsidRPr="00EE5075">
        <w:t>support and resourcing for the health and disability workforce to become more data literate, more innovative, better data leaders and more effective at data governance</w:t>
      </w:r>
      <w:r w:rsidR="006332B6">
        <w:t xml:space="preserve"> </w:t>
      </w:r>
      <w:r w:rsidRPr="00EE5075">
        <w:t>and stewardship.</w:t>
      </w:r>
    </w:p>
    <w:p w14:paraId="0075D840" w14:textId="77777777" w:rsidR="003308C3" w:rsidRPr="00EE5075" w:rsidRDefault="003308C3" w:rsidP="006332B6"/>
    <w:p w14:paraId="0075D841" w14:textId="77777777" w:rsidR="003308C3" w:rsidRPr="00EE5075" w:rsidRDefault="003308C3" w:rsidP="001E7F33">
      <w:pPr>
        <w:pStyle w:val="Heading1"/>
      </w:pPr>
      <w:bookmarkStart w:id="27" w:name="Priorities_for_improvement"/>
      <w:bookmarkStart w:id="28" w:name="_Toc89930920"/>
      <w:bookmarkEnd w:id="27"/>
      <w:r w:rsidRPr="001E7F33">
        <w:lastRenderedPageBreak/>
        <w:t>Priorities for improvement</w:t>
      </w:r>
      <w:bookmarkEnd w:id="28"/>
    </w:p>
    <w:p w14:paraId="0075D842" w14:textId="77777777" w:rsidR="003308C3" w:rsidRDefault="003308C3" w:rsidP="001E7F33">
      <w:pPr>
        <w:pStyle w:val="Introductoryparagraph"/>
      </w:pPr>
      <w:r w:rsidRPr="00EE5075">
        <w:t>As a result of the consultation and engagement process, we developed five priority areas for improving data use and management: data foundations, equity and data sovereignty, consumer participation, people and leadership, and data accessibility. These are the focus of this strategy.</w:t>
      </w:r>
    </w:p>
    <w:p w14:paraId="0075D843" w14:textId="77777777" w:rsidR="001E7F33" w:rsidRPr="001E7F33" w:rsidRDefault="001E7F33" w:rsidP="001E7F33">
      <w:r>
        <w:rPr>
          <w:noProof/>
          <w:lang w:eastAsia="en-NZ"/>
        </w:rPr>
        <w:drawing>
          <wp:inline distT="0" distB="0" distL="0" distR="0" wp14:anchorId="0075D93F" wp14:editId="551B7E4E">
            <wp:extent cx="5130165" cy="1085227"/>
            <wp:effectExtent l="0" t="0" r="0" b="635"/>
            <wp:docPr id="413" name="Picture 413" descr="Data foundations, equity and data sovereignty, consumer participation, people and leadership, data and information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413" descr="Data foundations, equity and data sovereignty, consumer participation, people and leadership, data and information accessibility"/>
                    <pic:cNvPicPr/>
                  </pic:nvPicPr>
                  <pic:blipFill>
                    <a:blip r:embed="rId28"/>
                    <a:stretch>
                      <a:fillRect/>
                    </a:stretch>
                  </pic:blipFill>
                  <pic:spPr>
                    <a:xfrm>
                      <a:off x="0" y="0"/>
                      <a:ext cx="5130165" cy="1085227"/>
                    </a:xfrm>
                    <a:prstGeom prst="rect">
                      <a:avLst/>
                    </a:prstGeom>
                  </pic:spPr>
                </pic:pic>
              </a:graphicData>
            </a:graphic>
          </wp:inline>
        </w:drawing>
      </w:r>
    </w:p>
    <w:p w14:paraId="0075D844" w14:textId="77777777" w:rsidR="003308C3" w:rsidRPr="00EE5075" w:rsidRDefault="003308C3" w:rsidP="003308C3"/>
    <w:p w14:paraId="0075D845" w14:textId="77777777" w:rsidR="003308C3" w:rsidRPr="00EE5075" w:rsidRDefault="003308C3" w:rsidP="001E7F33">
      <w:r w:rsidRPr="00EE5075">
        <w:t>The following sections describe these in more detail.</w:t>
      </w:r>
    </w:p>
    <w:p w14:paraId="0075D846" w14:textId="77777777" w:rsidR="003308C3" w:rsidRPr="00EE5075" w:rsidRDefault="003308C3" w:rsidP="001E7F33"/>
    <w:p w14:paraId="0075D847" w14:textId="77777777" w:rsidR="003308C3" w:rsidRPr="00EE5075" w:rsidRDefault="003308C3" w:rsidP="00B52DEF">
      <w:pPr>
        <w:pStyle w:val="Heading2"/>
      </w:pPr>
      <w:bookmarkStart w:id="29" w:name="_TOC_250003"/>
      <w:bookmarkStart w:id="30" w:name="_Toc89930921"/>
      <w:bookmarkEnd w:id="29"/>
      <w:r w:rsidRPr="00EE5075">
        <w:t>Data foundations</w:t>
      </w:r>
      <w:bookmarkEnd w:id="30"/>
    </w:p>
    <w:p w14:paraId="0075D848" w14:textId="77777777" w:rsidR="003308C3" w:rsidRPr="00EE5075" w:rsidRDefault="003308C3" w:rsidP="00B52DEF">
      <w:r w:rsidRPr="00EE5075">
        <w:t>The health and disability sector needs good data foundations to achieve a modern data and information system, including quality national data collections, standards, and data collection and use that enables timely and accurate health research and innovation at national and local levels. During our engagement with the sector, stakeholders raised data quality as an issue requiring immediate action. Improvements</w:t>
      </w:r>
      <w:r w:rsidR="00B52DEF">
        <w:t xml:space="preserve"> </w:t>
      </w:r>
      <w:r w:rsidRPr="00EE5075">
        <w:t>in data quality would support greater interoperability and provide us with insights that could then drive system transformation. Stakeholders saw a need for implementation of data standards within the sector and greater investment in data governance, data infrastructure and management practices.</w:t>
      </w:r>
    </w:p>
    <w:p w14:paraId="0075D849" w14:textId="77777777" w:rsidR="00B52DEF" w:rsidRDefault="00B52DEF" w:rsidP="00B52DEF"/>
    <w:p w14:paraId="0075D84A" w14:textId="77777777" w:rsidR="003308C3" w:rsidRPr="00EE5075" w:rsidRDefault="003308C3" w:rsidP="00B52DEF">
      <w:r w:rsidRPr="00EE5075">
        <w:t xml:space="preserve">Improvements to our approach to managing data and information will ensure that data are more accessible and stored in more consistent formats, enabling data </w:t>
      </w:r>
      <w:proofErr w:type="gramStart"/>
      <w:r w:rsidRPr="00EE5075">
        <w:t>access</w:t>
      </w:r>
      <w:proofErr w:type="gramEnd"/>
      <w:r w:rsidRPr="00EE5075">
        <w:t xml:space="preserve"> and sharing</w:t>
      </w:r>
      <w:r w:rsidR="00B52DEF">
        <w:t xml:space="preserve"> </w:t>
      </w:r>
      <w:r w:rsidRPr="00EE5075">
        <w:t>so the system can develop and use real-time insights for decision-making. The system must</w:t>
      </w:r>
      <w:r w:rsidR="00B52DEF">
        <w:t xml:space="preserve"> </w:t>
      </w:r>
      <w:r w:rsidRPr="00EE5075">
        <w:t xml:space="preserve">ensure data informs performance improvements, new models of care, policy, </w:t>
      </w:r>
      <w:proofErr w:type="gramStart"/>
      <w:r w:rsidRPr="00EE5075">
        <w:t>investment</w:t>
      </w:r>
      <w:proofErr w:type="gramEnd"/>
      <w:r w:rsidRPr="00EE5075">
        <w:t xml:space="preserve"> and funding decisions.</w:t>
      </w:r>
    </w:p>
    <w:p w14:paraId="0075D84B" w14:textId="77777777" w:rsidR="00B52DEF" w:rsidRDefault="00B52DEF" w:rsidP="00B52DEF"/>
    <w:p w14:paraId="0075D84C" w14:textId="77777777" w:rsidR="003308C3" w:rsidRPr="00EE5075" w:rsidRDefault="003308C3" w:rsidP="00B52DEF">
      <w:r w:rsidRPr="00EE5075">
        <w:t>Specifically, there is a need to:</w:t>
      </w:r>
    </w:p>
    <w:p w14:paraId="0075D84D" w14:textId="77777777" w:rsidR="003308C3" w:rsidRPr="00EE5075" w:rsidRDefault="003308C3" w:rsidP="00B52DEF">
      <w:pPr>
        <w:pStyle w:val="Bullet"/>
      </w:pPr>
      <w:r w:rsidRPr="00EE5075">
        <w:t>develop a consistent information management operating model</w:t>
      </w:r>
    </w:p>
    <w:p w14:paraId="0075D84E" w14:textId="77777777" w:rsidR="003308C3" w:rsidRPr="00EE5075" w:rsidRDefault="003308C3" w:rsidP="00B52DEF">
      <w:pPr>
        <w:pStyle w:val="Bullet"/>
      </w:pPr>
      <w:r w:rsidRPr="00EE5075">
        <w:t>accelerate the implementation of data standards</w:t>
      </w:r>
    </w:p>
    <w:p w14:paraId="0075D84F" w14:textId="77777777" w:rsidR="003308C3" w:rsidRPr="00EE5075" w:rsidRDefault="003308C3" w:rsidP="00B52DEF">
      <w:pPr>
        <w:pStyle w:val="Bullet"/>
      </w:pPr>
      <w:r w:rsidRPr="00EE5075">
        <w:t>publish consistent data architecture and models</w:t>
      </w:r>
    </w:p>
    <w:p w14:paraId="0075D850" w14:textId="77777777" w:rsidR="003308C3" w:rsidRPr="00EE5075" w:rsidRDefault="003308C3" w:rsidP="00B52DEF">
      <w:pPr>
        <w:pStyle w:val="Bullet"/>
      </w:pPr>
      <w:r w:rsidRPr="00EE5075">
        <w:t>develop and publish data-sharing frameworks</w:t>
      </w:r>
    </w:p>
    <w:p w14:paraId="0075D851" w14:textId="77777777" w:rsidR="003308C3" w:rsidRPr="00EE5075" w:rsidRDefault="003308C3" w:rsidP="00B52DEF">
      <w:pPr>
        <w:pStyle w:val="Bullet"/>
      </w:pPr>
      <w:r w:rsidRPr="00EE5075">
        <w:t>adopt a data-first approach to procurement whereby data quality, standards and interoperability are prioritised in requirements and selection.</w:t>
      </w:r>
    </w:p>
    <w:p w14:paraId="0075D852" w14:textId="77777777" w:rsidR="003308C3" w:rsidRPr="00EE5075" w:rsidRDefault="003308C3" w:rsidP="00AF1CBB">
      <w:pPr>
        <w:spacing w:before="240"/>
      </w:pPr>
      <w:r w:rsidRPr="00EE5075">
        <w:lastRenderedPageBreak/>
        <w:t>The implementation of cloud technologies and platforms will improve data sharing capabilities and enhance business intelligence, data science and innovation.</w:t>
      </w:r>
    </w:p>
    <w:p w14:paraId="0075D853" w14:textId="77777777" w:rsidR="003308C3" w:rsidRDefault="003308C3" w:rsidP="00B52DEF"/>
    <w:p w14:paraId="0075D854" w14:textId="77777777" w:rsidR="00AF1CBB" w:rsidRPr="00AF1CBB" w:rsidRDefault="00AF1CBB" w:rsidP="00AF1CBB">
      <w:pPr>
        <w:pStyle w:val="Box"/>
      </w:pPr>
      <w:r w:rsidRPr="00AF1CBB">
        <w:t xml:space="preserve">To adopt a consistent approach to the use and deployment of health information technology across New Zealand, the following </w:t>
      </w:r>
      <w:r w:rsidRPr="00AF1CBB">
        <w:rPr>
          <w:b/>
        </w:rPr>
        <w:t>data architecture principles</w:t>
      </w:r>
      <w:r w:rsidRPr="00AF1CBB">
        <w:t xml:space="preserve"> should apply:</w:t>
      </w:r>
    </w:p>
    <w:p w14:paraId="0075D855" w14:textId="77777777" w:rsidR="00AF1CBB" w:rsidRPr="00AF1CBB" w:rsidRDefault="00AF1CBB" w:rsidP="00AF1CBB">
      <w:pPr>
        <w:pStyle w:val="BoxBullet"/>
      </w:pPr>
      <w:r w:rsidRPr="00AF1CBB">
        <w:t>Data is treated as a shared asset/resource: Data is an asset that has value to consumers, health providers and the health and disability system as a whole and is managed accordingly.</w:t>
      </w:r>
    </w:p>
    <w:p w14:paraId="0075D856" w14:textId="77777777" w:rsidR="00AF1CBB" w:rsidRPr="00AF1CBB" w:rsidRDefault="00AF1CBB" w:rsidP="00AF1CBB">
      <w:pPr>
        <w:pStyle w:val="BoxBullet"/>
      </w:pPr>
      <w:r w:rsidRPr="00AF1CBB">
        <w:t>Data is secure and accessible: Data is protected from unauthorised use and disclosure. As well as the traditional aspects of national security classification, this includes protection of sensitive, proprietary and evaluation information. Data is accessible for users to perform their functions.</w:t>
      </w:r>
    </w:p>
    <w:p w14:paraId="0075D857" w14:textId="77777777" w:rsidR="00AF1CBB" w:rsidRPr="00AF1CBB" w:rsidRDefault="00AF1CBB" w:rsidP="00AF1CBB">
      <w:pPr>
        <w:pStyle w:val="BoxBullet"/>
      </w:pPr>
      <w:r w:rsidRPr="00AF1CBB">
        <w:t>Data is understandable: Data is defined consistently throughout the health and disability sector, and users understand what it means.</w:t>
      </w:r>
    </w:p>
    <w:p w14:paraId="0075D858" w14:textId="77777777" w:rsidR="00AF1CBB" w:rsidRPr="00AF1CBB" w:rsidRDefault="00AF1CBB" w:rsidP="00AF1CBB">
      <w:pPr>
        <w:pStyle w:val="BoxBullet"/>
      </w:pPr>
      <w:r w:rsidRPr="00AF1CBB">
        <w:t>Data quality is specified and managed: Data standards specify the qualities of data elements required to meet business process needs, as well as clinical and organisational decision-making. Regular monitoring and measurement ensure compliance with data quality standards.</w:t>
      </w:r>
    </w:p>
    <w:p w14:paraId="0075D859" w14:textId="77777777" w:rsidR="00AF1CBB" w:rsidRPr="00AF1CBB" w:rsidRDefault="00AF1CBB" w:rsidP="00AF1CBB">
      <w:pPr>
        <w:pStyle w:val="BoxBullet"/>
      </w:pPr>
      <w:r w:rsidRPr="00AF1CBB">
        <w:t xml:space="preserve">Data copies are minimised: Any time data is moved or copied, precious time and resources are </w:t>
      </w:r>
      <w:proofErr w:type="gramStart"/>
      <w:r w:rsidRPr="00AF1CBB">
        <w:t>consumed</w:t>
      </w:r>
      <w:proofErr w:type="gramEnd"/>
      <w:r w:rsidRPr="00AF1CBB">
        <w:t xml:space="preserve"> and data fidelity is potentially compromised.</w:t>
      </w:r>
    </w:p>
    <w:p w14:paraId="0075D85A" w14:textId="77777777" w:rsidR="00AF1CBB" w:rsidRPr="00EE5075" w:rsidRDefault="00AF1CBB" w:rsidP="00AF1CBB"/>
    <w:p w14:paraId="0075D85B" w14:textId="77777777" w:rsidR="003308C3" w:rsidRPr="00EE5075" w:rsidRDefault="003308C3" w:rsidP="00AF1CBB">
      <w:pPr>
        <w:pStyle w:val="Heading3"/>
      </w:pPr>
      <w:r w:rsidRPr="00EE5075">
        <w:lastRenderedPageBreak/>
        <w:t>Enablers</w:t>
      </w:r>
    </w:p>
    <w:p w14:paraId="0075D85C" w14:textId="77777777" w:rsidR="003308C3" w:rsidRPr="00EE5075" w:rsidRDefault="003308C3" w:rsidP="00F80292">
      <w:pPr>
        <w:keepNext/>
      </w:pPr>
      <w:r w:rsidRPr="00EE5075">
        <w:t>In the roadmap that accompanies this strategy, the first two years focus on addressing the set of data foundation enablers we need to support a modern health and disability system. We will need to carry out ongoing work to maintain these data foundations.</w:t>
      </w:r>
    </w:p>
    <w:p w14:paraId="0075D85D" w14:textId="77777777" w:rsidR="00AF1CBB" w:rsidRDefault="00AF1CBB" w:rsidP="00F80292">
      <w:pPr>
        <w:keepNext/>
      </w:pPr>
    </w:p>
    <w:p w14:paraId="0075D85E" w14:textId="77777777" w:rsidR="003308C3" w:rsidRPr="00EE5075" w:rsidRDefault="003308C3" w:rsidP="00F80292">
      <w:pPr>
        <w:keepNext/>
      </w:pPr>
      <w:r w:rsidRPr="00EE5075">
        <w:t>We have identified the following enablers for data foundations:</w:t>
      </w:r>
    </w:p>
    <w:p w14:paraId="0075D85F" w14:textId="77777777" w:rsidR="003308C3" w:rsidRDefault="003308C3" w:rsidP="00F80292">
      <w:pPr>
        <w:keepNext/>
      </w:pPr>
    </w:p>
    <w:p w14:paraId="0075D860" w14:textId="77777777" w:rsidR="00AF1CBB" w:rsidRPr="00EE5075" w:rsidRDefault="00AF1CBB" w:rsidP="00AF1CBB">
      <w:r>
        <w:rPr>
          <w:noProof/>
          <w:lang w:eastAsia="en-NZ"/>
        </w:rPr>
        <w:drawing>
          <wp:inline distT="0" distB="0" distL="0" distR="0" wp14:anchorId="0075D941" wp14:editId="130A8D3E">
            <wp:extent cx="5130165" cy="6623175"/>
            <wp:effectExtent l="0" t="0" r="0" b="6350"/>
            <wp:docPr id="414" name="Picture 414" descr="Data strategy and roadmap implementation, data principles, data standards, data architecture, security, privacy, data quality, data enabled health research and innovation, national data collections, registries, business intelligence and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Picture 414" descr="Data strategy and roadmap implementation, data principles, data standards, data architecture, security, privacy, data quality, data enabled health research and innovation, national data collections, registries, business intelligence and analytics"/>
                    <pic:cNvPicPr/>
                  </pic:nvPicPr>
                  <pic:blipFill>
                    <a:blip r:embed="rId29"/>
                    <a:stretch>
                      <a:fillRect/>
                    </a:stretch>
                  </pic:blipFill>
                  <pic:spPr>
                    <a:xfrm>
                      <a:off x="0" y="0"/>
                      <a:ext cx="5130165" cy="6623175"/>
                    </a:xfrm>
                    <a:prstGeom prst="rect">
                      <a:avLst/>
                    </a:prstGeom>
                  </pic:spPr>
                </pic:pic>
              </a:graphicData>
            </a:graphic>
          </wp:inline>
        </w:drawing>
      </w:r>
    </w:p>
    <w:p w14:paraId="0075D861" w14:textId="77777777" w:rsidR="003308C3" w:rsidRPr="00EE5075" w:rsidRDefault="003308C3" w:rsidP="00AF1CBB"/>
    <w:p w14:paraId="0075D862" w14:textId="77777777" w:rsidR="003308C3" w:rsidRPr="00EE5075" w:rsidRDefault="003308C3" w:rsidP="004A5A0A">
      <w:pPr>
        <w:pStyle w:val="BoxHeading"/>
      </w:pPr>
      <w:r w:rsidRPr="00EE5075">
        <w:lastRenderedPageBreak/>
        <w:t>Data strategy and roadmap implementation</w:t>
      </w:r>
    </w:p>
    <w:p w14:paraId="0075D863" w14:textId="77777777" w:rsidR="003308C3" w:rsidRPr="00EE5075" w:rsidRDefault="003308C3" w:rsidP="004A5A0A">
      <w:pPr>
        <w:pStyle w:val="Box"/>
      </w:pPr>
      <w:r w:rsidRPr="00EE5075">
        <w:t>We will establish a national health data and information function to oversee and manage implementation of the strategy and roadmap. This will include new roles and capability at a national level with support at the local level.</w:t>
      </w:r>
    </w:p>
    <w:p w14:paraId="0075D864" w14:textId="77777777" w:rsidR="003308C3" w:rsidRPr="00EE5075" w:rsidRDefault="003308C3" w:rsidP="004A5A0A">
      <w:pPr>
        <w:pStyle w:val="Box"/>
      </w:pPr>
      <w:r w:rsidRPr="00EE5075">
        <w:t>Responsibilities will include:</w:t>
      </w:r>
    </w:p>
    <w:p w14:paraId="0075D865" w14:textId="77777777" w:rsidR="003308C3" w:rsidRPr="00EE5075" w:rsidRDefault="003308C3" w:rsidP="00F80292">
      <w:pPr>
        <w:pStyle w:val="BoxBullet"/>
      </w:pPr>
      <w:r w:rsidRPr="00EE5075">
        <w:t xml:space="preserve">confirming the data and information priorities for Health NZ, the Māori Health Authority, the Ministry of </w:t>
      </w:r>
      <w:proofErr w:type="gramStart"/>
      <w:r w:rsidRPr="00EE5075">
        <w:t>Health</w:t>
      </w:r>
      <w:proofErr w:type="gramEnd"/>
      <w:r w:rsidRPr="00EE5075">
        <w:t xml:space="preserve"> and other key agencies</w:t>
      </w:r>
    </w:p>
    <w:p w14:paraId="0075D866" w14:textId="77777777" w:rsidR="003308C3" w:rsidRPr="00EE5075" w:rsidRDefault="003308C3" w:rsidP="00F80292">
      <w:pPr>
        <w:pStyle w:val="BoxBullet"/>
      </w:pPr>
      <w:r w:rsidRPr="00EE5075">
        <w:t>development of a data and information management operating model that can be reused and scaled across the sector</w:t>
      </w:r>
    </w:p>
    <w:p w14:paraId="0075D867" w14:textId="77777777" w:rsidR="003308C3" w:rsidRPr="00EE5075" w:rsidRDefault="003308C3" w:rsidP="00F80292">
      <w:pPr>
        <w:pStyle w:val="BoxBullet"/>
      </w:pPr>
      <w:r w:rsidRPr="00EE5075">
        <w:t>development and publication of companion documents and activities to support the five themes of this strategy</w:t>
      </w:r>
    </w:p>
    <w:p w14:paraId="0075D868" w14:textId="77777777" w:rsidR="003308C3" w:rsidRPr="00EE5075" w:rsidRDefault="003308C3" w:rsidP="00F80292">
      <w:pPr>
        <w:pStyle w:val="BoxBullet"/>
      </w:pPr>
      <w:r w:rsidRPr="00EE5075">
        <w:t>establishing a sector data and information maturity model and assessments for benchmarking and measuring progress that includes Māori data maturity and makes use of an all-of-government approach (Stats NZ 2021a)</w:t>
      </w:r>
    </w:p>
    <w:p w14:paraId="0075D869" w14:textId="77777777" w:rsidR="003308C3" w:rsidRPr="00EE5075" w:rsidRDefault="003308C3" w:rsidP="00F80292">
      <w:pPr>
        <w:pStyle w:val="BoxBullet"/>
      </w:pPr>
      <w:r w:rsidRPr="00EE5075">
        <w:t>refreshing the roadmap</w:t>
      </w:r>
    </w:p>
    <w:p w14:paraId="0075D86A" w14:textId="77777777" w:rsidR="003308C3" w:rsidRPr="00EE5075" w:rsidRDefault="003308C3" w:rsidP="00F80292">
      <w:pPr>
        <w:pStyle w:val="BoxBullet"/>
      </w:pPr>
      <w:r w:rsidRPr="00EE5075">
        <w:t>establishing sector working groups to support delivery</w:t>
      </w:r>
    </w:p>
    <w:p w14:paraId="0075D86B" w14:textId="77777777" w:rsidR="003308C3" w:rsidRPr="00EE5075" w:rsidRDefault="003308C3" w:rsidP="00F80292">
      <w:pPr>
        <w:pStyle w:val="BoxBullet"/>
      </w:pPr>
      <w:r w:rsidRPr="00EE5075">
        <w:t xml:space="preserve">reviewing, </w:t>
      </w:r>
      <w:proofErr w:type="gramStart"/>
      <w:r w:rsidRPr="00EE5075">
        <w:t>managing</w:t>
      </w:r>
      <w:proofErr w:type="gramEnd"/>
      <w:r w:rsidRPr="00EE5075">
        <w:t xml:space="preserve"> and coordinating the programme of work and delivery targets.</w:t>
      </w:r>
    </w:p>
    <w:p w14:paraId="0075D86C" w14:textId="77777777" w:rsidR="003308C3" w:rsidRPr="00EE5075" w:rsidRDefault="003308C3" w:rsidP="00F80292">
      <w:pPr>
        <w:pStyle w:val="BoxHeading"/>
      </w:pPr>
      <w:r w:rsidRPr="00EE5075">
        <w:t>Data principles</w:t>
      </w:r>
    </w:p>
    <w:p w14:paraId="0075D86D" w14:textId="77777777" w:rsidR="003308C3" w:rsidRPr="00EE5075" w:rsidRDefault="003308C3" w:rsidP="00F80292">
      <w:pPr>
        <w:pStyle w:val="Box"/>
      </w:pPr>
      <w:r w:rsidRPr="00EE5075">
        <w:t>We will support the sector-wide adoption of current data principles, including those outlined in the Data Protection and Use Policy and the data architecture principles. We will develop and publish information management principles.</w:t>
      </w:r>
    </w:p>
    <w:p w14:paraId="0075D86E" w14:textId="77777777" w:rsidR="003308C3" w:rsidRPr="00EE5075" w:rsidRDefault="003308C3" w:rsidP="00F80292">
      <w:pPr>
        <w:pStyle w:val="BoxHeading"/>
      </w:pPr>
      <w:r w:rsidRPr="00EE5075">
        <w:t>Data standards</w:t>
      </w:r>
    </w:p>
    <w:p w14:paraId="0075D86F" w14:textId="77777777" w:rsidR="003308C3" w:rsidRPr="00EE5075" w:rsidRDefault="003308C3" w:rsidP="00F80292">
      <w:pPr>
        <w:pStyle w:val="Box"/>
      </w:pPr>
      <w:r w:rsidRPr="00EE5075">
        <w:t>Data standards specify the qualities of data elements required to meet business process needs and decision-making. We need to undertake regular monitoring, measurement and change management to ensure compliance with data standards.</w:t>
      </w:r>
    </w:p>
    <w:p w14:paraId="0075D870" w14:textId="77777777" w:rsidR="003308C3" w:rsidRPr="00EE5075" w:rsidRDefault="003308C3" w:rsidP="00F80292">
      <w:pPr>
        <w:pStyle w:val="Box"/>
      </w:pPr>
      <w:r w:rsidRPr="00EE5075">
        <w:t>This enabler requires:</w:t>
      </w:r>
    </w:p>
    <w:p w14:paraId="0075D871" w14:textId="77777777" w:rsidR="003308C3" w:rsidRPr="00EE5075" w:rsidRDefault="003308C3" w:rsidP="00F80292">
      <w:pPr>
        <w:pStyle w:val="BoxBullet"/>
      </w:pPr>
      <w:r w:rsidRPr="00EE5075">
        <w:t>the establishment and ongoing maintenance of a national terminology service</w:t>
      </w:r>
    </w:p>
    <w:p w14:paraId="0075D872" w14:textId="77777777" w:rsidR="003308C3" w:rsidRPr="00EE5075" w:rsidRDefault="003308C3" w:rsidP="00F80292">
      <w:pPr>
        <w:pStyle w:val="BoxBullet"/>
      </w:pPr>
      <w:r w:rsidRPr="00EE5075">
        <w:t>increased requirements for the health and disability sector and industry to use HISO and other health information data and interoperability standards</w:t>
      </w:r>
    </w:p>
    <w:p w14:paraId="0075D873" w14:textId="77777777" w:rsidR="003308C3" w:rsidRPr="00EE5075" w:rsidRDefault="003308C3" w:rsidP="00F80292">
      <w:pPr>
        <w:pStyle w:val="BoxBullet"/>
      </w:pPr>
      <w:r w:rsidRPr="00EE5075">
        <w:t>local organisations to implement tools and mechanisms to maintain data standards, and to document and audit data provenance.</w:t>
      </w:r>
    </w:p>
    <w:p w14:paraId="0075D874" w14:textId="77777777" w:rsidR="003308C3" w:rsidRPr="00EE5075" w:rsidRDefault="003308C3" w:rsidP="00F80292">
      <w:pPr>
        <w:pStyle w:val="BoxHeading"/>
      </w:pPr>
      <w:r w:rsidRPr="00EE5075">
        <w:lastRenderedPageBreak/>
        <w:t>Data architecture</w:t>
      </w:r>
    </w:p>
    <w:p w14:paraId="0075D875" w14:textId="77777777" w:rsidR="003308C3" w:rsidRPr="00EE5075" w:rsidRDefault="003308C3" w:rsidP="00F80292">
      <w:pPr>
        <w:pStyle w:val="Box"/>
        <w:keepNext/>
      </w:pPr>
      <w:r w:rsidRPr="00EE5075">
        <w:t xml:space="preserve">We will establish a national health data architecture capability in the national health data and information </w:t>
      </w:r>
      <w:proofErr w:type="gramStart"/>
      <w:r w:rsidRPr="00EE5075">
        <w:t>group, and</w:t>
      </w:r>
      <w:proofErr w:type="gramEnd"/>
      <w:r w:rsidRPr="00EE5075">
        <w:t xml:space="preserve"> develop national tools such as shared platforms and apps to support the health and disability sector.</w:t>
      </w:r>
    </w:p>
    <w:p w14:paraId="0075D876" w14:textId="77777777" w:rsidR="003308C3" w:rsidRPr="00EE5075" w:rsidRDefault="003308C3" w:rsidP="00F80292">
      <w:pPr>
        <w:pStyle w:val="BoxHeading"/>
      </w:pPr>
      <w:r w:rsidRPr="00EE5075">
        <w:t>Security</w:t>
      </w:r>
    </w:p>
    <w:p w14:paraId="0075D877" w14:textId="77777777" w:rsidR="003308C3" w:rsidRPr="00EE5075" w:rsidRDefault="003308C3" w:rsidP="00F80292">
      <w:pPr>
        <w:pStyle w:val="Box"/>
      </w:pPr>
      <w:r w:rsidRPr="00EE5075">
        <w:t xml:space="preserve">We will develop a national catalogue of health data compliant devices, </w:t>
      </w:r>
      <w:proofErr w:type="gramStart"/>
      <w:r w:rsidRPr="00EE5075">
        <w:t>tools</w:t>
      </w:r>
      <w:proofErr w:type="gramEnd"/>
      <w:r w:rsidRPr="00EE5075">
        <w:t xml:space="preserve"> and technology.</w:t>
      </w:r>
    </w:p>
    <w:p w14:paraId="0075D878" w14:textId="77777777" w:rsidR="003308C3" w:rsidRPr="00EE5075" w:rsidRDefault="003308C3" w:rsidP="00F80292">
      <w:pPr>
        <w:pStyle w:val="BoxHeading"/>
      </w:pPr>
      <w:r w:rsidRPr="00EE5075">
        <w:t>Privacy</w:t>
      </w:r>
    </w:p>
    <w:p w14:paraId="0075D879" w14:textId="77777777" w:rsidR="003308C3" w:rsidRPr="00EE5075" w:rsidRDefault="003308C3" w:rsidP="00F80292">
      <w:pPr>
        <w:pStyle w:val="Box"/>
      </w:pPr>
      <w:r w:rsidRPr="00EE5075">
        <w:t>We will continue to implement protections and consumer controls over New Zealanders’ health and disability data and information while ensuring data is safely accessible in the many places it is required.</w:t>
      </w:r>
    </w:p>
    <w:p w14:paraId="0075D87A" w14:textId="77777777" w:rsidR="003308C3" w:rsidRPr="00EE5075" w:rsidRDefault="003308C3" w:rsidP="00F80292">
      <w:pPr>
        <w:pStyle w:val="BoxHeading"/>
      </w:pPr>
      <w:r w:rsidRPr="00EE5075">
        <w:t>Data quality</w:t>
      </w:r>
    </w:p>
    <w:p w14:paraId="0075D87B" w14:textId="77777777" w:rsidR="003308C3" w:rsidRPr="00EE5075" w:rsidRDefault="003308C3" w:rsidP="00F80292">
      <w:pPr>
        <w:pStyle w:val="Box"/>
      </w:pPr>
      <w:r w:rsidRPr="00EE5075">
        <w:t>We will develop a national health data catalogue/dictionary and a framework detailing the minimum standards for data compliance in sector contracts and commissioning arrangements.</w:t>
      </w:r>
    </w:p>
    <w:p w14:paraId="0075D87C" w14:textId="77777777" w:rsidR="003308C3" w:rsidRPr="00EE5075" w:rsidRDefault="003308C3" w:rsidP="00F80292">
      <w:pPr>
        <w:pStyle w:val="BoxHeading"/>
      </w:pPr>
      <w:r w:rsidRPr="00EE5075">
        <w:t>Data enabled health research and innovation</w:t>
      </w:r>
    </w:p>
    <w:p w14:paraId="0075D87D" w14:textId="77777777" w:rsidR="003308C3" w:rsidRPr="00EE5075" w:rsidRDefault="003308C3" w:rsidP="00F80292">
      <w:pPr>
        <w:pStyle w:val="Box"/>
      </w:pPr>
      <w:r w:rsidRPr="00EE5075">
        <w:t>We will establish a data service for researchers and innovators, supporting health care improvements through near real-time data-driven insights.</w:t>
      </w:r>
    </w:p>
    <w:p w14:paraId="0075D87E" w14:textId="77777777" w:rsidR="003308C3" w:rsidRPr="00EE5075" w:rsidRDefault="003308C3" w:rsidP="00F80292">
      <w:pPr>
        <w:pStyle w:val="BoxHeading"/>
      </w:pPr>
      <w:r w:rsidRPr="00EE5075">
        <w:t>National data collections</w:t>
      </w:r>
    </w:p>
    <w:p w14:paraId="0075D87F" w14:textId="77777777" w:rsidR="003308C3" w:rsidRPr="00EE5075" w:rsidRDefault="003308C3" w:rsidP="00F80292">
      <w:pPr>
        <w:pStyle w:val="Box"/>
      </w:pPr>
      <w:r w:rsidRPr="00EE5075">
        <w:t>We will migrate national data collections to a modern national platform designed for data science that is able to efficiently perform machine-learning activities. The platform</w:t>
      </w:r>
      <w:r w:rsidR="00F80292">
        <w:t xml:space="preserve"> </w:t>
      </w:r>
      <w:r w:rsidRPr="00EE5075">
        <w:t xml:space="preserve">will enable the Government to consolidate and transform large data </w:t>
      </w:r>
      <w:proofErr w:type="gramStart"/>
      <w:r w:rsidRPr="00EE5075">
        <w:t>sets</w:t>
      </w:r>
      <w:proofErr w:type="gramEnd"/>
      <w:r w:rsidRPr="00EE5075">
        <w:t xml:space="preserve"> so they are analytics-ready.</w:t>
      </w:r>
    </w:p>
    <w:p w14:paraId="0075D880" w14:textId="77777777" w:rsidR="003308C3" w:rsidRPr="00EE5075" w:rsidRDefault="003308C3" w:rsidP="00F80292">
      <w:pPr>
        <w:pStyle w:val="BoxHeading"/>
      </w:pPr>
      <w:r w:rsidRPr="00EE5075">
        <w:t>Registries</w:t>
      </w:r>
    </w:p>
    <w:p w14:paraId="0075D881" w14:textId="77777777" w:rsidR="003308C3" w:rsidRPr="00EE5075" w:rsidRDefault="003308C3" w:rsidP="00F80292">
      <w:pPr>
        <w:pStyle w:val="Box"/>
      </w:pPr>
      <w:r w:rsidRPr="00EE5075">
        <w:t>We will transition registries into modern domain-specific data services that support service quality assurance and improvement.</w:t>
      </w:r>
    </w:p>
    <w:p w14:paraId="0075D882" w14:textId="77777777" w:rsidR="003308C3" w:rsidRPr="00EE5075" w:rsidRDefault="003308C3" w:rsidP="00F80292">
      <w:pPr>
        <w:pStyle w:val="BoxHeading"/>
      </w:pPr>
      <w:r w:rsidRPr="00EE5075">
        <w:t>Business intelligence and analytics</w:t>
      </w:r>
    </w:p>
    <w:p w14:paraId="0075D883" w14:textId="77777777" w:rsidR="003308C3" w:rsidRPr="00EE5075" w:rsidRDefault="003308C3" w:rsidP="00F80292">
      <w:pPr>
        <w:pStyle w:val="Box"/>
      </w:pPr>
      <w:r w:rsidRPr="00EE5075">
        <w:t xml:space="preserve">We will collaborate across the sector, sharing and scaling tools, </w:t>
      </w:r>
      <w:proofErr w:type="gramStart"/>
      <w:r w:rsidRPr="00EE5075">
        <w:t>platforms</w:t>
      </w:r>
      <w:proofErr w:type="gramEnd"/>
      <w:r w:rsidRPr="00EE5075">
        <w:t xml:space="preserve"> and resources to reduce duplication. We will</w:t>
      </w:r>
      <w:r w:rsidR="00F80292">
        <w:t xml:space="preserve"> p</w:t>
      </w:r>
      <w:r w:rsidRPr="00EE5075">
        <w:t xml:space="preserve">rovide mechanisms for health professionals, researchers, </w:t>
      </w:r>
      <w:proofErr w:type="gramStart"/>
      <w:r w:rsidRPr="00EE5075">
        <w:t>innovators</w:t>
      </w:r>
      <w:proofErr w:type="gramEnd"/>
      <w:r w:rsidRPr="00EE5075">
        <w:t xml:space="preserve"> and decision-makers to access data-driven insights.</w:t>
      </w:r>
    </w:p>
    <w:p w14:paraId="0075D884" w14:textId="77777777" w:rsidR="003308C3" w:rsidRPr="00EE5075" w:rsidRDefault="003308C3" w:rsidP="00F80292"/>
    <w:p w14:paraId="0075D885" w14:textId="77777777" w:rsidR="003308C3" w:rsidRPr="00EE5075" w:rsidRDefault="003308C3" w:rsidP="00F80292">
      <w:pPr>
        <w:pStyle w:val="Heading2"/>
      </w:pPr>
      <w:bookmarkStart w:id="31" w:name="_TOC_250002"/>
      <w:bookmarkStart w:id="32" w:name="_Toc89930922"/>
      <w:r w:rsidRPr="00EE5075">
        <w:t xml:space="preserve">Equity and data </w:t>
      </w:r>
      <w:bookmarkEnd w:id="31"/>
      <w:r w:rsidRPr="00EE5075">
        <w:t>sovereignty</w:t>
      </w:r>
      <w:bookmarkEnd w:id="32"/>
    </w:p>
    <w:p w14:paraId="0075D886" w14:textId="77777777" w:rsidR="003308C3" w:rsidRPr="00EE5075" w:rsidRDefault="003308C3" w:rsidP="00F80292">
      <w:r w:rsidRPr="00EE5075">
        <w:t xml:space="preserve">This strategy supports the partnership between Māori and the Crown, underpinned by </w:t>
      </w:r>
      <w:proofErr w:type="spellStart"/>
      <w:r w:rsidRPr="00EE5075">
        <w:t>Te</w:t>
      </w:r>
      <w:proofErr w:type="spellEnd"/>
      <w:r w:rsidRPr="00EE5075">
        <w:t xml:space="preserve"> </w:t>
      </w:r>
      <w:proofErr w:type="spellStart"/>
      <w:r w:rsidRPr="00EE5075">
        <w:t>Tiriti</w:t>
      </w:r>
      <w:proofErr w:type="spellEnd"/>
      <w:r w:rsidRPr="00EE5075">
        <w:t xml:space="preserve"> o Waitangi. Disparities in health outcomes between Māori and non-Māori have </w:t>
      </w:r>
      <w:r w:rsidRPr="00EE5075">
        <w:lastRenderedPageBreak/>
        <w:t>been the subject of numerous reports ever since the 19th century.</w:t>
      </w:r>
      <w:r w:rsidR="00F80292">
        <w:t xml:space="preserve"> </w:t>
      </w:r>
      <w:r w:rsidRPr="00EE5075">
        <w:t>Good practices for data collection and the use and sharing of information are essential if we want to create a health and disability system that is more equitable.</w:t>
      </w:r>
    </w:p>
    <w:p w14:paraId="0075D887" w14:textId="77777777" w:rsidR="00F80292" w:rsidRDefault="00F80292" w:rsidP="00F80292"/>
    <w:p w14:paraId="0075D888" w14:textId="77777777" w:rsidR="003308C3" w:rsidRPr="00EE5075" w:rsidRDefault="003308C3" w:rsidP="00F80292">
      <w:r w:rsidRPr="00EE5075">
        <w:t>Equity and data sovereignty are individually important themes that affect Māori and other groups in New Zealand. These two themes are intrinsically interlinked; we have therefore combined them into a single priority for the purposes of this strategy.</w:t>
      </w:r>
    </w:p>
    <w:p w14:paraId="0075D889" w14:textId="77777777" w:rsidR="00F80292" w:rsidRDefault="00F80292" w:rsidP="00F80292"/>
    <w:p w14:paraId="0075D88A" w14:textId="77777777" w:rsidR="003308C3" w:rsidRPr="00EE5075" w:rsidRDefault="003308C3" w:rsidP="00F80292">
      <w:r w:rsidRPr="00EE5075">
        <w:t xml:space="preserve">Inequities in health outcomes are prevalent in many specific population groups within New Zealand, including Pacific peoples, disabled people and people living in poverty. We need robust, </w:t>
      </w:r>
      <w:proofErr w:type="gramStart"/>
      <w:r w:rsidRPr="00EE5075">
        <w:t>reliable</w:t>
      </w:r>
      <w:proofErr w:type="gramEnd"/>
      <w:r w:rsidRPr="00EE5075">
        <w:t xml:space="preserve"> and consistent data standards, collection methods, data quality and governance to address these inequities.</w:t>
      </w:r>
    </w:p>
    <w:p w14:paraId="0075D88B" w14:textId="77777777" w:rsidR="00F80292" w:rsidRDefault="00F80292" w:rsidP="00F80292"/>
    <w:p w14:paraId="0075D88C" w14:textId="77777777" w:rsidR="003308C3" w:rsidRPr="00EE5075" w:rsidRDefault="003308C3" w:rsidP="00F80292">
      <w:r w:rsidRPr="00EE5075">
        <w:t xml:space="preserve">One in four New Zealanders has a physical, sensory, learning, mental </w:t>
      </w:r>
      <w:proofErr w:type="gramStart"/>
      <w:r w:rsidRPr="00EE5075">
        <w:t>health</w:t>
      </w:r>
      <w:proofErr w:type="gramEnd"/>
      <w:r w:rsidRPr="00EE5075">
        <w:t xml:space="preserve"> or other impairment. The New Zealand Government</w:t>
      </w:r>
      <w:r w:rsidR="00F80292">
        <w:t xml:space="preserve"> </w:t>
      </w:r>
      <w:r w:rsidRPr="00EE5075">
        <w:t>has committed to collecting better data about disabled people and addressing health inequities between disabled and non-disabled people.</w:t>
      </w:r>
    </w:p>
    <w:p w14:paraId="0075D88D" w14:textId="77777777" w:rsidR="00F80292" w:rsidRDefault="00F80292" w:rsidP="00F80292"/>
    <w:p w14:paraId="0075D88E" w14:textId="77777777" w:rsidR="003308C3" w:rsidRPr="00EE5075" w:rsidRDefault="003308C3" w:rsidP="00F80292">
      <w:r w:rsidRPr="00EE5075">
        <w:t>There is a risk of introducing more inequity into the health and disability system with the introduction of new digital technologies, if not all New Zealanders are able to access these technologies or benefit from them. At the same time, digital solutions</w:t>
      </w:r>
      <w:r w:rsidR="00F80292">
        <w:t xml:space="preserve"> </w:t>
      </w:r>
      <w:r w:rsidRPr="00EE5075">
        <w:t xml:space="preserve">can provide services, data and information that improve equity. The insights we can gain from data and information will help the sector to prioritise opportunities to target inequity and to improve health for those with the poorest outcomes. A </w:t>
      </w:r>
      <w:proofErr w:type="gramStart"/>
      <w:r w:rsidRPr="00EE5075">
        <w:t>key way</w:t>
      </w:r>
      <w:proofErr w:type="gramEnd"/>
      <w:r w:rsidRPr="00EE5075">
        <w:t xml:space="preserve"> we can do this is by partnering with Māori and embracing co-design of programmes of work that aim to ensure Māori have the information needed to make evidence-based decisions. This principle is about collecting the right data for Māori and ensuring that it is available for use by iwi and Māori health providers.</w:t>
      </w:r>
    </w:p>
    <w:p w14:paraId="0075D88F" w14:textId="77777777" w:rsidR="003308C3" w:rsidRPr="00EE5075" w:rsidRDefault="003308C3" w:rsidP="00F80292"/>
    <w:p w14:paraId="0075D890" w14:textId="77777777" w:rsidR="003308C3" w:rsidRPr="00EE5075" w:rsidRDefault="003308C3" w:rsidP="00F80292">
      <w:pPr>
        <w:pStyle w:val="Heading3"/>
      </w:pPr>
      <w:r w:rsidRPr="00EE5075">
        <w:lastRenderedPageBreak/>
        <w:t>Enablers</w:t>
      </w:r>
    </w:p>
    <w:p w14:paraId="0075D891" w14:textId="77777777" w:rsidR="003308C3" w:rsidRPr="00EE5075" w:rsidRDefault="003308C3" w:rsidP="00F80292">
      <w:pPr>
        <w:keepNext/>
      </w:pPr>
      <w:r w:rsidRPr="00EE5075">
        <w:t>We have identified the following enablers for equity and data sovereignty:</w:t>
      </w:r>
    </w:p>
    <w:p w14:paraId="0075D892" w14:textId="77777777" w:rsidR="003308C3" w:rsidRPr="00EE5075" w:rsidRDefault="003308C3" w:rsidP="00F80292">
      <w:pPr>
        <w:keepNext/>
      </w:pPr>
    </w:p>
    <w:p w14:paraId="0075D893" w14:textId="77777777" w:rsidR="003308C3" w:rsidRPr="00EE5075" w:rsidRDefault="00F80292" w:rsidP="003308C3">
      <w:r>
        <w:rPr>
          <w:noProof/>
          <w:lang w:eastAsia="en-NZ"/>
        </w:rPr>
        <w:drawing>
          <wp:inline distT="0" distB="0" distL="0" distR="0" wp14:anchorId="0075D943" wp14:editId="7920EE60">
            <wp:extent cx="5130165" cy="3682099"/>
            <wp:effectExtent l="0" t="0" r="0" b="0"/>
            <wp:docPr id="415" name="Picture 415" descr="Māori data sovereignty, data standards, data neutrality, data governance, partnership and participation, equity of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 415" descr="Māori data sovereignty, data standards, data neutrality, data governance, partnership and participation, equity of access"/>
                    <pic:cNvPicPr/>
                  </pic:nvPicPr>
                  <pic:blipFill>
                    <a:blip r:embed="rId30"/>
                    <a:stretch>
                      <a:fillRect/>
                    </a:stretch>
                  </pic:blipFill>
                  <pic:spPr>
                    <a:xfrm>
                      <a:off x="0" y="0"/>
                      <a:ext cx="5130165" cy="3682099"/>
                    </a:xfrm>
                    <a:prstGeom prst="rect">
                      <a:avLst/>
                    </a:prstGeom>
                  </pic:spPr>
                </pic:pic>
              </a:graphicData>
            </a:graphic>
          </wp:inline>
        </w:drawing>
      </w:r>
    </w:p>
    <w:p w14:paraId="0075D894" w14:textId="77777777" w:rsidR="003308C3" w:rsidRPr="00EE5075" w:rsidRDefault="003308C3" w:rsidP="00F80292"/>
    <w:p w14:paraId="0075D895" w14:textId="77777777" w:rsidR="003308C3" w:rsidRPr="00EE5075" w:rsidRDefault="003308C3" w:rsidP="00F80292">
      <w:pPr>
        <w:pStyle w:val="BoxHeading"/>
      </w:pPr>
      <w:r w:rsidRPr="00EE5075">
        <w:lastRenderedPageBreak/>
        <w:t>Māori data sovereignty</w:t>
      </w:r>
    </w:p>
    <w:p w14:paraId="0075D896" w14:textId="77777777" w:rsidR="003308C3" w:rsidRPr="00EE5075" w:rsidRDefault="003308C3" w:rsidP="00F80292">
      <w:pPr>
        <w:pStyle w:val="Box"/>
        <w:keepNext/>
      </w:pPr>
      <w:r w:rsidRPr="00EE5075">
        <w:t>We will establish a national health data sovereignty engagement framework and a wānanga to define the data and information approach that best works for Māori, by Māori. A Māori data sovereignty education/literacy approach should be included in data literacy initiatives.</w:t>
      </w:r>
    </w:p>
    <w:p w14:paraId="0075D897" w14:textId="77777777" w:rsidR="003308C3" w:rsidRPr="00EE5075" w:rsidRDefault="003308C3" w:rsidP="00F80292">
      <w:pPr>
        <w:pStyle w:val="BoxHeading"/>
      </w:pPr>
      <w:r w:rsidRPr="00EE5075">
        <w:t>Data standards</w:t>
      </w:r>
    </w:p>
    <w:p w14:paraId="0075D898" w14:textId="77777777" w:rsidR="003308C3" w:rsidRPr="00EE5075" w:rsidRDefault="003308C3" w:rsidP="00F80292">
      <w:pPr>
        <w:pStyle w:val="Box"/>
        <w:keepNext/>
      </w:pPr>
      <w:r w:rsidRPr="00EE5075">
        <w:t>We will develop equity measures for data standards in collaboration with HISO and Stats NZ, covering data collection methods and data models that ethically capture data for all New Zealanders.</w:t>
      </w:r>
    </w:p>
    <w:p w14:paraId="0075D899" w14:textId="77777777" w:rsidR="003308C3" w:rsidRPr="00EE5075" w:rsidRDefault="003308C3" w:rsidP="00F80292">
      <w:pPr>
        <w:pStyle w:val="BoxHeading"/>
      </w:pPr>
      <w:r w:rsidRPr="00EE5075">
        <w:t>Data neutrality</w:t>
      </w:r>
    </w:p>
    <w:p w14:paraId="0075D89A" w14:textId="77777777" w:rsidR="003308C3" w:rsidRPr="00EE5075" w:rsidRDefault="003308C3" w:rsidP="00F80292">
      <w:pPr>
        <w:pStyle w:val="Box"/>
        <w:keepNext/>
      </w:pPr>
      <w:r w:rsidRPr="00EE5075">
        <w:t>Organisations and industry have a responsibility to understand, neutralise and mitigate disparities of health care provision and outcomes resulting from data bias and artificial intelligence and machine-learning</w:t>
      </w:r>
      <w:r w:rsidR="00F80292">
        <w:t xml:space="preserve"> </w:t>
      </w:r>
      <w:r w:rsidRPr="00EE5075">
        <w:t>design that may compound the effects of data bias. We will develop resources and training to help address data bias.</w:t>
      </w:r>
    </w:p>
    <w:p w14:paraId="0075D89B" w14:textId="77777777" w:rsidR="003308C3" w:rsidRPr="00EE5075" w:rsidRDefault="003308C3" w:rsidP="00F80292">
      <w:pPr>
        <w:pStyle w:val="BoxHeading"/>
      </w:pPr>
      <w:r w:rsidRPr="00EE5075">
        <w:t>Data governance</w:t>
      </w:r>
    </w:p>
    <w:p w14:paraId="0075D89C" w14:textId="77777777" w:rsidR="003308C3" w:rsidRPr="00EE5075" w:rsidRDefault="003308C3" w:rsidP="00F80292">
      <w:pPr>
        <w:pStyle w:val="Box"/>
        <w:keepNext/>
      </w:pPr>
      <w:r w:rsidRPr="00EE5075">
        <w:t>We will prioritise co-design with Māori on health data governance approaches and decision-making as part of a national health data sovereignty engagement framework.</w:t>
      </w:r>
    </w:p>
    <w:p w14:paraId="0075D89D" w14:textId="77777777" w:rsidR="003308C3" w:rsidRPr="00EE5075" w:rsidRDefault="003308C3" w:rsidP="00F80292">
      <w:pPr>
        <w:pStyle w:val="BoxHeading"/>
      </w:pPr>
      <w:r w:rsidRPr="00EE5075">
        <w:t>Partnership and participation</w:t>
      </w:r>
    </w:p>
    <w:p w14:paraId="0075D89E" w14:textId="77777777" w:rsidR="003308C3" w:rsidRPr="00EE5075" w:rsidRDefault="003308C3" w:rsidP="00F80292">
      <w:pPr>
        <w:pStyle w:val="Box"/>
      </w:pPr>
      <w:r w:rsidRPr="00EE5075">
        <w:t xml:space="preserve">We will assist health organisations to meet their responsibilities to engage with local iwi and community groups, to better understand local requirements, to develop partnerships and to meet their obligations under </w:t>
      </w:r>
      <w:proofErr w:type="spellStart"/>
      <w:r w:rsidRPr="00EE5075">
        <w:t>Te</w:t>
      </w:r>
      <w:proofErr w:type="spellEnd"/>
      <w:r w:rsidRPr="00EE5075">
        <w:t xml:space="preserve"> </w:t>
      </w:r>
      <w:proofErr w:type="spellStart"/>
      <w:r w:rsidRPr="00EE5075">
        <w:t>Tiriti</w:t>
      </w:r>
      <w:proofErr w:type="spellEnd"/>
      <w:r w:rsidRPr="00EE5075">
        <w:t xml:space="preserve"> o Waitangi.</w:t>
      </w:r>
    </w:p>
    <w:p w14:paraId="0075D89F" w14:textId="77777777" w:rsidR="003308C3" w:rsidRPr="00EE5075" w:rsidRDefault="003308C3" w:rsidP="00F80292">
      <w:pPr>
        <w:pStyle w:val="BoxHeading"/>
      </w:pPr>
      <w:r w:rsidRPr="00EE5075">
        <w:t>Equity of access</w:t>
      </w:r>
    </w:p>
    <w:p w14:paraId="0075D8A0" w14:textId="77777777" w:rsidR="003308C3" w:rsidRPr="00EE5075" w:rsidRDefault="003308C3" w:rsidP="00F80292">
      <w:pPr>
        <w:pStyle w:val="Box"/>
      </w:pPr>
      <w:r w:rsidRPr="00EE5075">
        <w:t>We will ensure equitable access to information by addressing issues pertaining to literacy levels, accessibility, mode of delivery and cultural differences.</w:t>
      </w:r>
    </w:p>
    <w:p w14:paraId="0075D8A1" w14:textId="77777777" w:rsidR="003308C3" w:rsidRPr="00EE5075" w:rsidRDefault="003308C3" w:rsidP="003308C3">
      <w:pPr>
        <w:spacing w:line="280" w:lineRule="auto"/>
      </w:pPr>
    </w:p>
    <w:p w14:paraId="0075D8A2" w14:textId="77777777" w:rsidR="003308C3" w:rsidRPr="00EE5075" w:rsidRDefault="003308C3" w:rsidP="00F80292">
      <w:pPr>
        <w:pStyle w:val="Heading2"/>
      </w:pPr>
      <w:bookmarkStart w:id="33" w:name="_TOC_250001"/>
      <w:bookmarkStart w:id="34" w:name="_Toc89930923"/>
      <w:bookmarkEnd w:id="33"/>
      <w:r w:rsidRPr="00EE5075">
        <w:lastRenderedPageBreak/>
        <w:t>Consumer participation</w:t>
      </w:r>
      <w:bookmarkEnd w:id="34"/>
    </w:p>
    <w:p w14:paraId="0075D8A3" w14:textId="77777777" w:rsidR="003308C3" w:rsidRPr="00EE5075" w:rsidRDefault="003308C3" w:rsidP="00C96376">
      <w:pPr>
        <w:keepNext/>
      </w:pPr>
      <w:r w:rsidRPr="00EE5075">
        <w:t>All people should have access to their health records so they can actively manage their own health and wellbeing. Consumer representation in data governance is fundamental to ensuring that our approach to health data management meets consumer expectations.</w:t>
      </w:r>
    </w:p>
    <w:p w14:paraId="0075D8A4" w14:textId="77777777" w:rsidR="00C96376" w:rsidRDefault="00C96376" w:rsidP="00C96376">
      <w:pPr>
        <w:keepNext/>
      </w:pPr>
    </w:p>
    <w:p w14:paraId="0075D8A5" w14:textId="77777777" w:rsidR="003308C3" w:rsidRPr="00EE5075" w:rsidRDefault="003308C3" w:rsidP="00C96376">
      <w:pPr>
        <w:keepNext/>
        <w:keepLines/>
      </w:pPr>
      <w:r w:rsidRPr="00EE5075">
        <w:t>New Zealanders currently have limited access to their own health and disability data and information. Due to the sector’s fragmented and</w:t>
      </w:r>
      <w:r w:rsidR="00C96376">
        <w:t xml:space="preserve"> </w:t>
      </w:r>
      <w:r w:rsidRPr="00EE5075">
        <w:t xml:space="preserve">siloed approach to collecting, </w:t>
      </w:r>
      <w:proofErr w:type="gramStart"/>
      <w:r w:rsidRPr="00EE5075">
        <w:t>sharing</w:t>
      </w:r>
      <w:proofErr w:type="gramEnd"/>
      <w:r w:rsidRPr="00EE5075">
        <w:t xml:space="preserve"> and storing data, people are often asked to repeat their health information to a succession of providers as they navigate the health system. Differences in digital and data literacy, and a growing digital divide, mean that not all people are able to interact digitally with the health and disability system.</w:t>
      </w:r>
    </w:p>
    <w:p w14:paraId="0075D8A6" w14:textId="77777777" w:rsidR="003308C3" w:rsidRPr="00EE5075" w:rsidRDefault="003308C3" w:rsidP="00C96376"/>
    <w:p w14:paraId="0075D8A7" w14:textId="77777777" w:rsidR="003308C3" w:rsidRPr="00EE5075" w:rsidRDefault="003308C3" w:rsidP="00C96376">
      <w:r w:rsidRPr="00EE5075">
        <w:t xml:space="preserve">Improving data literacy is a key step to improving this situation. The health and disability sector should provide consumer-focussed information about how health and disability data is used, making sure to incorporate the perspectives of consumers and their </w:t>
      </w:r>
      <w:proofErr w:type="spellStart"/>
      <w:r w:rsidRPr="00EE5075">
        <w:t>whānau</w:t>
      </w:r>
      <w:proofErr w:type="spellEnd"/>
      <w:r w:rsidRPr="00EE5075">
        <w:t xml:space="preserve"> to show the value of data to health care. People should be able to trust in the quality, security and privacy of their health and disability data, and be able to access, update, contribute to and – as needed – correct their</w:t>
      </w:r>
      <w:r w:rsidR="00C96376">
        <w:t xml:space="preserve"> </w:t>
      </w:r>
      <w:r w:rsidRPr="00EE5075">
        <w:t xml:space="preserve">own health information. People need to be able to authorise or delegate access to their health information (for example, to </w:t>
      </w:r>
      <w:proofErr w:type="spellStart"/>
      <w:r w:rsidRPr="00EE5075">
        <w:t>whānau</w:t>
      </w:r>
      <w:proofErr w:type="spellEnd"/>
      <w:r w:rsidRPr="00EE5075">
        <w:t xml:space="preserve"> members), and see the details of access that has been granted to others. People also need to be able to report on their own health outcomes, through consumer experience and outcome measures.</w:t>
      </w:r>
    </w:p>
    <w:p w14:paraId="0075D8A8" w14:textId="77777777" w:rsidR="003308C3" w:rsidRDefault="003308C3" w:rsidP="003308C3">
      <w:pPr>
        <w:spacing w:line="292" w:lineRule="auto"/>
      </w:pPr>
    </w:p>
    <w:p w14:paraId="0075D8A9" w14:textId="77777777" w:rsidR="00C96376" w:rsidRPr="00EE5075" w:rsidRDefault="00C96376" w:rsidP="00C96376">
      <w:pPr>
        <w:pStyle w:val="Heading3"/>
      </w:pPr>
      <w:r w:rsidRPr="00EE5075">
        <w:t>Enablers</w:t>
      </w:r>
    </w:p>
    <w:p w14:paraId="0075D8AA" w14:textId="77777777" w:rsidR="003308C3" w:rsidRPr="00EE5075" w:rsidRDefault="00C96376" w:rsidP="00C96376">
      <w:r>
        <w:t>W</w:t>
      </w:r>
      <w:r w:rsidR="003308C3" w:rsidRPr="00EE5075">
        <w:t>e have identified the following enablers for consumer participation:</w:t>
      </w:r>
    </w:p>
    <w:p w14:paraId="0075D8AB" w14:textId="77777777" w:rsidR="003308C3" w:rsidRDefault="003308C3" w:rsidP="00C96376"/>
    <w:p w14:paraId="0075D8AC" w14:textId="77777777" w:rsidR="00C96376" w:rsidRDefault="00C96376" w:rsidP="00C96376">
      <w:r>
        <w:rPr>
          <w:noProof/>
          <w:lang w:eastAsia="en-NZ"/>
        </w:rPr>
        <w:drawing>
          <wp:inline distT="0" distB="0" distL="0" distR="0" wp14:anchorId="0075D945" wp14:editId="21234622">
            <wp:extent cx="5130165" cy="3039184"/>
            <wp:effectExtent l="0" t="0" r="0" b="8890"/>
            <wp:docPr id="416" name="Picture 416" descr="Health and data literacy, authorisation and delegation, governance, consumer health data rights, access to health and disability data an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416" descr="Health and data literacy, authorisation and delegation, governance, consumer health data rights, access to health and disability data and information"/>
                    <pic:cNvPicPr/>
                  </pic:nvPicPr>
                  <pic:blipFill>
                    <a:blip r:embed="rId31"/>
                    <a:stretch>
                      <a:fillRect/>
                    </a:stretch>
                  </pic:blipFill>
                  <pic:spPr>
                    <a:xfrm>
                      <a:off x="0" y="0"/>
                      <a:ext cx="5130165" cy="3039184"/>
                    </a:xfrm>
                    <a:prstGeom prst="rect">
                      <a:avLst/>
                    </a:prstGeom>
                  </pic:spPr>
                </pic:pic>
              </a:graphicData>
            </a:graphic>
          </wp:inline>
        </w:drawing>
      </w:r>
    </w:p>
    <w:p w14:paraId="0075D8AD" w14:textId="77777777" w:rsidR="00C96376" w:rsidRPr="00EE5075" w:rsidRDefault="00C96376" w:rsidP="00C96376"/>
    <w:p w14:paraId="0075D8AE" w14:textId="77777777" w:rsidR="003308C3" w:rsidRPr="00EE5075" w:rsidRDefault="003308C3" w:rsidP="00C96376">
      <w:pPr>
        <w:pStyle w:val="BoxHeading"/>
      </w:pPr>
      <w:r w:rsidRPr="00EE5075">
        <w:lastRenderedPageBreak/>
        <w:t>Health and data literacy</w:t>
      </w:r>
    </w:p>
    <w:p w14:paraId="0075D8AF" w14:textId="77777777" w:rsidR="003308C3" w:rsidRPr="00EE5075" w:rsidRDefault="003308C3" w:rsidP="00C96376">
      <w:pPr>
        <w:pStyle w:val="Box"/>
      </w:pPr>
      <w:r w:rsidRPr="00EE5075">
        <w:t>We will provide a multi-channel national health and disability data and information service that enables people to find out how data is used and why, what safeguards are in place, how decisions are made and what they can expect from health professionals and health and disability providers regarding the use of their data. Such a service will ensure transparency and build the public’s support and trust.</w:t>
      </w:r>
    </w:p>
    <w:p w14:paraId="0075D8B0" w14:textId="77777777" w:rsidR="003308C3" w:rsidRPr="00EE5075" w:rsidRDefault="003308C3" w:rsidP="00C96376">
      <w:pPr>
        <w:pStyle w:val="BoxHeading"/>
      </w:pPr>
      <w:r w:rsidRPr="00EE5075">
        <w:t>Authorisation and delegation</w:t>
      </w:r>
    </w:p>
    <w:p w14:paraId="0075D8B1" w14:textId="77777777" w:rsidR="003308C3" w:rsidRPr="00EE5075" w:rsidRDefault="003308C3" w:rsidP="00C96376">
      <w:pPr>
        <w:pStyle w:val="Box"/>
      </w:pPr>
      <w:r w:rsidRPr="00EE5075">
        <w:t>We will develop a way for consumers to manage authorisation of access (and delegated access) to their health data. This will require developing a national authorisation</w:t>
      </w:r>
      <w:r w:rsidR="00C96376">
        <w:t xml:space="preserve"> </w:t>
      </w:r>
      <w:r w:rsidRPr="00EE5075">
        <w:t>and delegation framework and implementing a national digital health identity programme.</w:t>
      </w:r>
    </w:p>
    <w:p w14:paraId="0075D8B2" w14:textId="77777777" w:rsidR="003308C3" w:rsidRPr="00EE5075" w:rsidRDefault="003308C3" w:rsidP="00C96376">
      <w:pPr>
        <w:pStyle w:val="BoxHeading"/>
      </w:pPr>
      <w:r w:rsidRPr="00EE5075">
        <w:t>Governance</w:t>
      </w:r>
    </w:p>
    <w:p w14:paraId="0075D8B3" w14:textId="77777777" w:rsidR="003308C3" w:rsidRPr="00EE5075" w:rsidRDefault="003308C3" w:rsidP="00C96376">
      <w:pPr>
        <w:pStyle w:val="Box"/>
      </w:pPr>
      <w:r w:rsidRPr="00EE5075">
        <w:t>We will provide education and support to encourage greater consumer participation in data governance at local and national levels.</w:t>
      </w:r>
    </w:p>
    <w:p w14:paraId="0075D8B4" w14:textId="77777777" w:rsidR="003308C3" w:rsidRPr="00EE5075" w:rsidRDefault="003308C3" w:rsidP="00C96376">
      <w:pPr>
        <w:pStyle w:val="BoxHeading"/>
      </w:pPr>
      <w:r w:rsidRPr="00EE5075">
        <w:t>Consumer health data rights</w:t>
      </w:r>
    </w:p>
    <w:p w14:paraId="0075D8B5" w14:textId="77777777" w:rsidR="003308C3" w:rsidRPr="00EE5075" w:rsidRDefault="003308C3" w:rsidP="00C96376">
      <w:pPr>
        <w:pStyle w:val="Box"/>
      </w:pPr>
      <w:r w:rsidRPr="00EE5075">
        <w:t>New legislation may be required to establish a health consumer data right and supporting health provider responsibilities. This would</w:t>
      </w:r>
      <w:r w:rsidR="00C96376">
        <w:t xml:space="preserve"> </w:t>
      </w:r>
      <w:r w:rsidRPr="00EE5075">
        <w:t xml:space="preserve">provide the sector with clarity on the question of data ownership and the mandate for data use for system stewardship, </w:t>
      </w:r>
      <w:proofErr w:type="gramStart"/>
      <w:r w:rsidRPr="00EE5075">
        <w:t>research</w:t>
      </w:r>
      <w:proofErr w:type="gramEnd"/>
      <w:r w:rsidRPr="00EE5075">
        <w:t xml:space="preserve"> and innovation.</w:t>
      </w:r>
    </w:p>
    <w:p w14:paraId="0075D8B6" w14:textId="77777777" w:rsidR="003308C3" w:rsidRPr="00EE5075" w:rsidRDefault="003308C3" w:rsidP="00C96376">
      <w:pPr>
        <w:pStyle w:val="BoxHeading"/>
      </w:pPr>
      <w:r w:rsidRPr="00EE5075">
        <w:t>Access to health and disability data and information</w:t>
      </w:r>
    </w:p>
    <w:p w14:paraId="0075D8B7" w14:textId="77777777" w:rsidR="003308C3" w:rsidRPr="00EE5075" w:rsidRDefault="003308C3" w:rsidP="00C96376">
      <w:pPr>
        <w:pStyle w:val="Box"/>
      </w:pPr>
      <w:r w:rsidRPr="00EE5075">
        <w:t>Health providers, policy-makers and industry must provide mechanisms that allow consumers to have full access to all of their health data and information, including all patient notes, test results, images,</w:t>
      </w:r>
      <w:r w:rsidR="00C96376">
        <w:t xml:space="preserve"> </w:t>
      </w:r>
      <w:r w:rsidRPr="00EE5075">
        <w:t>appointments, assessments, letters and reports. Additional legislation may be required for this purpose. Health information contained within electronic systems must be made available free of charge to consumers, and people must be able to update, contribute to and - as needed - correct their own health information.</w:t>
      </w:r>
    </w:p>
    <w:p w14:paraId="0075D8B8" w14:textId="77777777" w:rsidR="003308C3" w:rsidRPr="00EE5075" w:rsidRDefault="003308C3" w:rsidP="00C96376"/>
    <w:p w14:paraId="0075D8B9" w14:textId="77777777" w:rsidR="003308C3" w:rsidRPr="00EE5075" w:rsidRDefault="003308C3" w:rsidP="00C96376">
      <w:pPr>
        <w:pStyle w:val="Heading2"/>
      </w:pPr>
      <w:bookmarkStart w:id="35" w:name="_TOC_250000"/>
      <w:bookmarkStart w:id="36" w:name="_Toc89930924"/>
      <w:bookmarkEnd w:id="35"/>
      <w:r w:rsidRPr="00EE5075">
        <w:lastRenderedPageBreak/>
        <w:t>People and leadership</w:t>
      </w:r>
      <w:bookmarkEnd w:id="36"/>
    </w:p>
    <w:p w14:paraId="0075D8BA" w14:textId="77777777" w:rsidR="003308C3" w:rsidRPr="00EE5075" w:rsidRDefault="003308C3" w:rsidP="00C96376">
      <w:pPr>
        <w:keepNext/>
      </w:pPr>
      <w:r w:rsidRPr="00EE5075">
        <w:t>The health and disability sector requires a workforce skilled in data governance and which uses and respects data as a taonga. Central</w:t>
      </w:r>
      <w:r w:rsidR="00C96376">
        <w:t xml:space="preserve"> </w:t>
      </w:r>
      <w:r w:rsidRPr="00EE5075">
        <w:t>to this is the sector’s responsibility to act in accordance with its role as the kaitiaki, rather than the owner, of health data and information.</w:t>
      </w:r>
    </w:p>
    <w:p w14:paraId="0075D8BB" w14:textId="77777777" w:rsidR="00C96376" w:rsidRDefault="00C96376" w:rsidP="00C96376">
      <w:pPr>
        <w:keepNext/>
      </w:pPr>
    </w:p>
    <w:p w14:paraId="0075D8BC" w14:textId="77777777" w:rsidR="003308C3" w:rsidRPr="00EE5075" w:rsidRDefault="003308C3" w:rsidP="00C96376">
      <w:pPr>
        <w:keepNext/>
        <w:keepLines/>
      </w:pPr>
      <w:r w:rsidRPr="00EE5075">
        <w:t>The Health and Disability System Review (HDSR 2020) advised that for the health and disability system to get the most value from investment in digital transformation, investment will be needed in people as well as processes and technology. The planned shift of much of the health workforce to Health NZ will require accurate workforce data. Investment in building human capability and a data-savvy workforce is essential to creating a data-driven health system. About 220,000 people currently work in the health and disability sector, with varying levels of data literacy. Improving data quality would benefit health leaders relying on evidence for decision-making, increase their confidence in the use of data, and improve the sector’s workforce planning and development.</w:t>
      </w:r>
      <w:r w:rsidR="00C96376">
        <w:t xml:space="preserve"> </w:t>
      </w:r>
      <w:r w:rsidRPr="00EE5075">
        <w:t xml:space="preserve">New and emerging health data roles will also require investment and resourcing, so that we can improve the way we manage, </w:t>
      </w:r>
      <w:proofErr w:type="gramStart"/>
      <w:r w:rsidRPr="00EE5075">
        <w:t>use</w:t>
      </w:r>
      <w:proofErr w:type="gramEnd"/>
      <w:r w:rsidRPr="00EE5075">
        <w:t xml:space="preserve"> and interrogate data. We need to be able to make the most of emerging technologies reliant on rich data sets.</w:t>
      </w:r>
    </w:p>
    <w:p w14:paraId="0075D8BD" w14:textId="77777777" w:rsidR="00C96376" w:rsidRDefault="00C96376" w:rsidP="00C96376"/>
    <w:p w14:paraId="0075D8BE" w14:textId="77777777" w:rsidR="003308C3" w:rsidRPr="00EE5075" w:rsidRDefault="003308C3" w:rsidP="00C96376">
      <w:r w:rsidRPr="00EE5075">
        <w:t>Data and information leadership and governance needs to take both system-wide and local approaches. If we wish to accelerate progress, sharing knowledge and resources, and scaling and reusing tools and capability will be essential.</w:t>
      </w:r>
    </w:p>
    <w:p w14:paraId="0075D8BF" w14:textId="77777777" w:rsidR="003308C3" w:rsidRPr="00EE5075" w:rsidRDefault="003308C3" w:rsidP="00C96376"/>
    <w:p w14:paraId="0075D8C0" w14:textId="77777777" w:rsidR="003308C3" w:rsidRPr="00EE5075" w:rsidRDefault="003308C3" w:rsidP="00C96376">
      <w:r w:rsidRPr="00EE5075">
        <w:t>Specifically, we need to:</w:t>
      </w:r>
    </w:p>
    <w:p w14:paraId="0075D8C1" w14:textId="77777777" w:rsidR="003308C3" w:rsidRPr="00EE5075" w:rsidRDefault="003308C3" w:rsidP="00C96376">
      <w:pPr>
        <w:pStyle w:val="Bullet"/>
      </w:pPr>
      <w:r w:rsidRPr="00EE5075">
        <w:t>work together at a systems level, developing a data governance network to coordinate and collaborate across the health and disability sector</w:t>
      </w:r>
    </w:p>
    <w:p w14:paraId="0075D8C2" w14:textId="77777777" w:rsidR="003308C3" w:rsidRPr="00EE5075" w:rsidRDefault="003308C3" w:rsidP="00C96376">
      <w:pPr>
        <w:pStyle w:val="Bullet"/>
      </w:pPr>
      <w:r w:rsidRPr="00EE5075">
        <w:t>develop rules and guidance on who can</w:t>
      </w:r>
      <w:r w:rsidR="00C96376">
        <w:t xml:space="preserve"> </w:t>
      </w:r>
      <w:r w:rsidRPr="00EE5075">
        <w:t>share and access data and for what purposes, with clarity on decision-making powers and accountabilities</w:t>
      </w:r>
    </w:p>
    <w:p w14:paraId="0075D8C3" w14:textId="77777777" w:rsidR="003308C3" w:rsidRPr="00EE5075" w:rsidRDefault="003308C3" w:rsidP="00C96376">
      <w:pPr>
        <w:pStyle w:val="Bullet"/>
      </w:pPr>
      <w:r w:rsidRPr="00EE5075">
        <w:t>ensure ethical use of data and information for secondary purposes, such as research</w:t>
      </w:r>
    </w:p>
    <w:p w14:paraId="0075D8C4" w14:textId="77777777" w:rsidR="003308C3" w:rsidRPr="00EE5075" w:rsidRDefault="003308C3" w:rsidP="00C96376">
      <w:pPr>
        <w:pStyle w:val="Bullet"/>
      </w:pPr>
      <w:r w:rsidRPr="00EE5075">
        <w:t>develop guidance on how to store, access and manage data with respect for data sovereignty and consumer rights</w:t>
      </w:r>
    </w:p>
    <w:p w14:paraId="0075D8C5" w14:textId="77777777" w:rsidR="003308C3" w:rsidRPr="00EE5075" w:rsidRDefault="003308C3" w:rsidP="00C96376">
      <w:pPr>
        <w:pStyle w:val="Bullet"/>
      </w:pPr>
      <w:r w:rsidRPr="00EE5075">
        <w:t>enable innovation and support the lifecycle from research to innovation to initial adoption and then enable the scaling of this via replication across the system</w:t>
      </w:r>
    </w:p>
    <w:p w14:paraId="0075D8C6" w14:textId="77777777" w:rsidR="003308C3" w:rsidRPr="00EE5075" w:rsidRDefault="003308C3" w:rsidP="00C96376">
      <w:pPr>
        <w:pStyle w:val="Bullet"/>
      </w:pPr>
      <w:r w:rsidRPr="00EE5075">
        <w:t>use data to drive decision-making across the system to support operational performance gains and monitor system performance</w:t>
      </w:r>
    </w:p>
    <w:p w14:paraId="0075D8C7" w14:textId="77777777" w:rsidR="003308C3" w:rsidRPr="00EE5075" w:rsidRDefault="003308C3" w:rsidP="00C96376">
      <w:pPr>
        <w:pStyle w:val="Bullet"/>
      </w:pPr>
      <w:r w:rsidRPr="00EE5075">
        <w:t>improve access to data for innovators and researchers by creating a data service that will help accelerate innovation within</w:t>
      </w:r>
      <w:r w:rsidR="00C96376">
        <w:t xml:space="preserve"> </w:t>
      </w:r>
      <w:r w:rsidRPr="00EE5075">
        <w:t>the sector</w:t>
      </w:r>
    </w:p>
    <w:p w14:paraId="0075D8C8" w14:textId="77777777" w:rsidR="003308C3" w:rsidRPr="00EE5075" w:rsidRDefault="003308C3" w:rsidP="00C96376">
      <w:pPr>
        <w:pStyle w:val="Bullet"/>
      </w:pPr>
      <w:r w:rsidRPr="00EE5075">
        <w:t xml:space="preserve">enhance public trust and confidence by implementing good governance mechanisms, including clear information on good practices, terms of reference, </w:t>
      </w:r>
      <w:proofErr w:type="gramStart"/>
      <w:r w:rsidRPr="00EE5075">
        <w:t>roles</w:t>
      </w:r>
      <w:proofErr w:type="gramEnd"/>
      <w:r w:rsidRPr="00EE5075">
        <w:t xml:space="preserve"> and responsibilities</w:t>
      </w:r>
    </w:p>
    <w:p w14:paraId="0075D8C9" w14:textId="77777777" w:rsidR="003308C3" w:rsidRPr="00EE5075" w:rsidRDefault="003308C3" w:rsidP="00C96376">
      <w:pPr>
        <w:pStyle w:val="Bullet"/>
      </w:pPr>
      <w:r w:rsidRPr="00EE5075">
        <w:t>ensure the participation of and representation from local communities, reflecting diversity and inclusive of consumers, family/</w:t>
      </w:r>
      <w:proofErr w:type="spellStart"/>
      <w:r w:rsidRPr="00EE5075">
        <w:t>whānau</w:t>
      </w:r>
      <w:proofErr w:type="spellEnd"/>
      <w:r w:rsidRPr="00EE5075">
        <w:t xml:space="preserve"> and Māori in data governance and the co-design of data management systems at both national and local levels.</w:t>
      </w:r>
    </w:p>
    <w:p w14:paraId="0075D8CA" w14:textId="77777777" w:rsidR="003308C3" w:rsidRPr="00EE5075" w:rsidRDefault="003308C3" w:rsidP="00C96376"/>
    <w:p w14:paraId="0075D8CB" w14:textId="77777777" w:rsidR="003308C3" w:rsidRPr="00EE5075" w:rsidRDefault="003308C3" w:rsidP="00C96376">
      <w:pPr>
        <w:pStyle w:val="Heading4"/>
      </w:pPr>
      <w:r w:rsidRPr="00EE5075">
        <w:lastRenderedPageBreak/>
        <w:t>Enablers</w:t>
      </w:r>
    </w:p>
    <w:p w14:paraId="0075D8CC" w14:textId="77777777" w:rsidR="003308C3" w:rsidRPr="00EE5075" w:rsidRDefault="003308C3" w:rsidP="00C96376">
      <w:r w:rsidRPr="00EE5075">
        <w:t>We have identified the following enablers for people and leadership:</w:t>
      </w:r>
    </w:p>
    <w:p w14:paraId="0075D8CD" w14:textId="77777777" w:rsidR="003308C3" w:rsidRDefault="003308C3" w:rsidP="00C96376"/>
    <w:p w14:paraId="0075D8CE" w14:textId="77777777" w:rsidR="00C96376" w:rsidRPr="00EE5075" w:rsidRDefault="00C96376" w:rsidP="00C96376">
      <w:r>
        <w:rPr>
          <w:noProof/>
          <w:lang w:eastAsia="en-NZ"/>
        </w:rPr>
        <w:drawing>
          <wp:inline distT="0" distB="0" distL="0" distR="0" wp14:anchorId="0075D947" wp14:editId="596B831C">
            <wp:extent cx="5130165" cy="3672233"/>
            <wp:effectExtent l="0" t="0" r="0" b="4445"/>
            <wp:docPr id="417" name="Picture 417" descr="Health and data literacy, workforce capability and capacity, funding and procurement, operational efficiencies and system performance, governance, policy, frameworks, legislation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Picture 417" descr="Health and data literacy, workforce capability and capacity, funding and procurement, operational efficiencies and system performance, governance, policy, frameworks, legislation and regulation"/>
                    <pic:cNvPicPr/>
                  </pic:nvPicPr>
                  <pic:blipFill>
                    <a:blip r:embed="rId32"/>
                    <a:stretch>
                      <a:fillRect/>
                    </a:stretch>
                  </pic:blipFill>
                  <pic:spPr>
                    <a:xfrm>
                      <a:off x="0" y="0"/>
                      <a:ext cx="5130165" cy="3672233"/>
                    </a:xfrm>
                    <a:prstGeom prst="rect">
                      <a:avLst/>
                    </a:prstGeom>
                  </pic:spPr>
                </pic:pic>
              </a:graphicData>
            </a:graphic>
          </wp:inline>
        </w:drawing>
      </w:r>
    </w:p>
    <w:p w14:paraId="0075D8CF" w14:textId="77777777" w:rsidR="003308C3" w:rsidRPr="00EE5075" w:rsidRDefault="003308C3" w:rsidP="00C96376"/>
    <w:p w14:paraId="0075D8D0" w14:textId="77777777" w:rsidR="003308C3" w:rsidRPr="00EE5075" w:rsidRDefault="003308C3" w:rsidP="00933B29">
      <w:pPr>
        <w:pStyle w:val="BoxHeading"/>
      </w:pPr>
      <w:r w:rsidRPr="00EE5075">
        <w:t>Health and data literacy</w:t>
      </w:r>
    </w:p>
    <w:p w14:paraId="0075D8D1" w14:textId="77777777" w:rsidR="003308C3" w:rsidRPr="00EE5075" w:rsidRDefault="003308C3" w:rsidP="00933B29">
      <w:pPr>
        <w:pStyle w:val="Box"/>
      </w:pPr>
      <w:r w:rsidRPr="00EE5075">
        <w:t>Data literacy is the ability to read, work with, analyse and communicate with data.</w:t>
      </w:r>
      <w:r w:rsidR="00933B29">
        <w:t xml:space="preserve"> </w:t>
      </w:r>
      <w:r w:rsidRPr="00EE5075">
        <w:t xml:space="preserve">Such literacy is a skill that empowers health workers at all levels to ask the right questions of data, build knowledge, make </w:t>
      </w:r>
      <w:proofErr w:type="gramStart"/>
      <w:r w:rsidRPr="00EE5075">
        <w:t>decisions</w:t>
      </w:r>
      <w:proofErr w:type="gramEnd"/>
      <w:r w:rsidRPr="00EE5075">
        <w:t xml:space="preserve"> and communicate with others. We could improve data literacy for health workers through a range of initiatives at all levels, from undergraduate and technical training providers through to local employers or national literacy programmes.</w:t>
      </w:r>
    </w:p>
    <w:p w14:paraId="0075D8D2" w14:textId="77777777" w:rsidR="003308C3" w:rsidRPr="00EE5075" w:rsidRDefault="003308C3" w:rsidP="00933B29">
      <w:pPr>
        <w:pStyle w:val="BoxHeading"/>
      </w:pPr>
      <w:r w:rsidRPr="00EE5075">
        <w:t>Workforce capability and capacity</w:t>
      </w:r>
    </w:p>
    <w:p w14:paraId="0075D8D3" w14:textId="77777777" w:rsidR="003308C3" w:rsidRPr="00EE5075" w:rsidRDefault="003308C3" w:rsidP="00933B29">
      <w:pPr>
        <w:pStyle w:val="Box"/>
      </w:pPr>
      <w:r w:rsidRPr="00EE5075">
        <w:t>New data roles are emerging, and more will be required in the future as the sector matures in its approach to data management. National and local organisations will need to invest</w:t>
      </w:r>
      <w:r w:rsidR="00933B29">
        <w:t xml:space="preserve"> </w:t>
      </w:r>
      <w:r w:rsidRPr="00EE5075">
        <w:t xml:space="preserve">in dedicated data roles to support better information management literacy, </w:t>
      </w:r>
      <w:proofErr w:type="gramStart"/>
      <w:r w:rsidRPr="00EE5075">
        <w:t>practices</w:t>
      </w:r>
      <w:proofErr w:type="gramEnd"/>
      <w:r w:rsidRPr="00EE5075">
        <w:t xml:space="preserve"> and capability.</w:t>
      </w:r>
    </w:p>
    <w:p w14:paraId="0075D8D4" w14:textId="77777777" w:rsidR="003308C3" w:rsidRPr="00EE5075" w:rsidRDefault="003308C3" w:rsidP="00933B29">
      <w:pPr>
        <w:pStyle w:val="BoxHeading"/>
      </w:pPr>
      <w:r w:rsidRPr="00EE5075">
        <w:t>Funding and procurement</w:t>
      </w:r>
    </w:p>
    <w:p w14:paraId="0075D8D5" w14:textId="77777777" w:rsidR="003308C3" w:rsidRPr="00EE5075" w:rsidRDefault="003308C3" w:rsidP="00933B29">
      <w:pPr>
        <w:pStyle w:val="Box"/>
      </w:pPr>
      <w:r w:rsidRPr="00EE5075">
        <w:t>Funding and procurement mechanisms need a data-first approach, making use of existing investment and embedding the approach into health system operations.</w:t>
      </w:r>
    </w:p>
    <w:p w14:paraId="0075D8D6" w14:textId="77777777" w:rsidR="003308C3" w:rsidRPr="00EE5075" w:rsidRDefault="003308C3" w:rsidP="00933B29">
      <w:pPr>
        <w:pStyle w:val="BoxHeading"/>
      </w:pPr>
      <w:r w:rsidRPr="00EE5075">
        <w:lastRenderedPageBreak/>
        <w:t>Operational efficiencies and system performance</w:t>
      </w:r>
    </w:p>
    <w:p w14:paraId="0075D8D7" w14:textId="77777777" w:rsidR="003308C3" w:rsidRPr="00EE5075" w:rsidRDefault="003308C3" w:rsidP="00933B29">
      <w:pPr>
        <w:pStyle w:val="Box"/>
      </w:pPr>
      <w:r w:rsidRPr="00EE5075">
        <w:t xml:space="preserve">Data-informed decision-making could lead to operational improvements and a better ability to monitor the system’s performance. Access to real-time operational data allows business decision-making to happen at </w:t>
      </w:r>
      <w:proofErr w:type="gramStart"/>
      <w:r w:rsidRPr="00EE5075">
        <w:t>pace, and</w:t>
      </w:r>
      <w:proofErr w:type="gramEnd"/>
      <w:r w:rsidRPr="00EE5075">
        <w:t xml:space="preserve"> enables us to monitor and adjust the system in response to changing demands. A whole-of-system view of data will provide us</w:t>
      </w:r>
      <w:r w:rsidR="00933B29">
        <w:t xml:space="preserve"> </w:t>
      </w:r>
      <w:r w:rsidRPr="00EE5075">
        <w:t>with longer-term insights to enable strategic planning and new models of care.</w:t>
      </w:r>
    </w:p>
    <w:p w14:paraId="0075D8D8" w14:textId="77777777" w:rsidR="003308C3" w:rsidRPr="00EE5075" w:rsidRDefault="003308C3" w:rsidP="00933B29">
      <w:pPr>
        <w:pStyle w:val="BoxHeading"/>
      </w:pPr>
      <w:r w:rsidRPr="00EE5075">
        <w:t>Governance</w:t>
      </w:r>
    </w:p>
    <w:p w14:paraId="0075D8D9" w14:textId="77777777" w:rsidR="003308C3" w:rsidRPr="00EE5075" w:rsidRDefault="003308C3" w:rsidP="00933B29">
      <w:pPr>
        <w:pStyle w:val="Box"/>
      </w:pPr>
      <w:r w:rsidRPr="00EE5075">
        <w:t>This strategy and roadmap have identified a need for national and local health data governance councils, for partnership with Māori and consumers and for our systems to be representative of local communities, including Pacific communities.</w:t>
      </w:r>
    </w:p>
    <w:p w14:paraId="0075D8DA" w14:textId="77777777" w:rsidR="003308C3" w:rsidRPr="00EE5075" w:rsidRDefault="003308C3" w:rsidP="00933B29">
      <w:pPr>
        <w:pStyle w:val="Box"/>
      </w:pPr>
      <w:r w:rsidRPr="00EE5075">
        <w:t>Data governance is foundational to ensuring compliance with data standards, architecture, privacy, security and sharing requirements, and for improved collaboration, networking and sharing of scarce resources. Data governance that enables innovation and research through improved access to de-identified or synthetic data will support the development of new models of care and improve the way we deliver health and disability care. We will support our hea</w:t>
      </w:r>
      <w:r w:rsidR="00933B29">
        <w:t>l</w:t>
      </w:r>
      <w:r w:rsidRPr="00EE5075">
        <w:t>th</w:t>
      </w:r>
      <w:r w:rsidR="00933B29">
        <w:t xml:space="preserve"> </w:t>
      </w:r>
      <w:r w:rsidRPr="00EE5075">
        <w:t>data governance through development of a framework that is co-designed with consumers and Māori. We will need to</w:t>
      </w:r>
      <w:r w:rsidR="00933B29">
        <w:t xml:space="preserve"> </w:t>
      </w:r>
      <w:r w:rsidRPr="00EE5075">
        <w:t>implement data governance training at board and executive levels, and for all people on data governance councils.</w:t>
      </w:r>
    </w:p>
    <w:p w14:paraId="0075D8DB" w14:textId="77777777" w:rsidR="003308C3" w:rsidRPr="00EE5075" w:rsidRDefault="003308C3" w:rsidP="00933B29">
      <w:pPr>
        <w:pStyle w:val="BoxHeading"/>
      </w:pPr>
      <w:r w:rsidRPr="00EE5075">
        <w:t xml:space="preserve">Policy, frameworks, </w:t>
      </w:r>
      <w:proofErr w:type="gramStart"/>
      <w:r w:rsidRPr="00EE5075">
        <w:t>legislation</w:t>
      </w:r>
      <w:proofErr w:type="gramEnd"/>
      <w:r w:rsidRPr="00EE5075">
        <w:t xml:space="preserve"> and regulation</w:t>
      </w:r>
    </w:p>
    <w:p w14:paraId="0075D8DC" w14:textId="77777777" w:rsidR="003308C3" w:rsidRPr="00EE5075" w:rsidRDefault="003308C3" w:rsidP="00933B29">
      <w:pPr>
        <w:pStyle w:val="Box"/>
      </w:pPr>
      <w:r w:rsidRPr="00EE5075">
        <w:t>We will work to define the regulatory, legislative and policy changes we need to make to accelerate implementation of</w:t>
      </w:r>
      <w:r w:rsidR="00933B29">
        <w:t xml:space="preserve"> </w:t>
      </w:r>
      <w:r w:rsidRPr="00EE5075">
        <w:t xml:space="preserve">this strategy and its companion roadmap. Legislative changes may be required to support improved data access for consumers and to meet the Crown’s obligations under </w:t>
      </w:r>
      <w:proofErr w:type="spellStart"/>
      <w:r w:rsidRPr="00EE5075">
        <w:t>Te</w:t>
      </w:r>
      <w:proofErr w:type="spellEnd"/>
      <w:r w:rsidRPr="00EE5075">
        <w:t xml:space="preserve"> </w:t>
      </w:r>
      <w:proofErr w:type="spellStart"/>
      <w:r w:rsidRPr="00EE5075">
        <w:t>Tiriti</w:t>
      </w:r>
      <w:proofErr w:type="spellEnd"/>
      <w:r w:rsidRPr="00EE5075">
        <w:t xml:space="preserve"> o Waitangi with respect to health data and data sovereignty.</w:t>
      </w:r>
    </w:p>
    <w:p w14:paraId="0075D8DD" w14:textId="77777777" w:rsidR="003308C3" w:rsidRPr="00EE5075" w:rsidRDefault="003308C3" w:rsidP="00933B29"/>
    <w:p w14:paraId="0075D8DE" w14:textId="77777777" w:rsidR="003308C3" w:rsidRPr="00EE5075" w:rsidRDefault="003308C3" w:rsidP="004A0E25">
      <w:pPr>
        <w:pStyle w:val="Heading2"/>
      </w:pPr>
      <w:bookmarkStart w:id="37" w:name="_Toc89930925"/>
      <w:r w:rsidRPr="00EE5075">
        <w:rPr>
          <w:noProof/>
          <w:lang w:eastAsia="en-NZ"/>
        </w:rPr>
        <w:lastRenderedPageBreak/>
        <mc:AlternateContent>
          <mc:Choice Requires="wps">
            <w:drawing>
              <wp:anchor distT="0" distB="0" distL="114300" distR="114300" simplePos="0" relativeHeight="251743232" behindDoc="0" locked="0" layoutInCell="1" allowOverlap="1" wp14:anchorId="0075D949" wp14:editId="0938C071">
                <wp:simplePos x="0" y="0"/>
                <wp:positionH relativeFrom="page">
                  <wp:posOffset>7560310</wp:posOffset>
                </wp:positionH>
                <wp:positionV relativeFrom="paragraph">
                  <wp:posOffset>-664845</wp:posOffset>
                </wp:positionV>
                <wp:extent cx="0" cy="3786505"/>
                <wp:effectExtent l="6985" t="8890" r="12065" b="5080"/>
                <wp:wrapNone/>
                <wp:docPr id="119" name="Straight Connector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6505"/>
                        </a:xfrm>
                        <a:prstGeom prst="line">
                          <a:avLst/>
                        </a:prstGeom>
                        <a:noFill/>
                        <a:ln w="0">
                          <a:solidFill>
                            <a:srgbClr val="E6E7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2659B" id="Straight Connector 119" o:spid="_x0000_s1026" alt="&quot;&quot;"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3pt,-52.35pt" to="595.3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8x1QEAAJEDAAAOAAAAZHJzL2Uyb0RvYy54bWysU02P0zAQvSPxHyzfadJF2y1R0z20XS4L&#10;VOryA6a2k1g4Hst2m/TfM3a6hYUb4mLNl9+8eWOvHsfesLPyQaOt+XxWcqasQKltW/PvL08flpyF&#10;CFaCQatqflGBP67fv1sNrlJ32KGRyjMCsaEaXM27GF1VFEF0qocwQ6csJRv0PURyfVtIDwOh96a4&#10;K8tFMaCXzqNQIVB0OyX5OuM3jRLxW9MEFZmpOXGL+fT5PKazWK+gaj24TosrDfgHFj1oS01vUFuI&#10;wE5e/wXVa+ExYBNnAvsCm0YLlWegaeblH9McOnAqz0LiBHeTKfw/WPH1vPdMS9rd/BNnFnpa0iF6&#10;0G0X2QatJQnRs5QlrQYXKrqysXufphWjPbhnFD8Cs7jpwLYqc365OIKZpxvFmyvJCY46HocvKKkG&#10;ThGzcGPj+wRJkrAx7+dy248aIxNTUFD048NycV/eZ3SoXi86H+JnhT1LRs2Ntkk6qOD8HGIiAtVr&#10;SQpbfNLG5PUby4bUK4UDGi1TJju+PW6MZ2eg17Nb7B52y2vTN2UJdguhm+pyKpVB5fFkZbY6BXJ3&#10;tSNoM9lEydirREmVSd8jysveJ8ZJLdp75n59o+lh/e7nql8/af0TAAD//wMAUEsDBBQABgAIAAAA&#10;IQDzJYA34QAAAA4BAAAPAAAAZHJzL2Rvd25yZXYueG1sTI9NawIxEIbvBf9DmEJvmqzItm43KyIU&#10;KRS0W6HXuJn9oJvJmkTd/vtGemiP78zDO8/kq9H07ILOd5YkJDMBDKmyuqNGwuHjZfoEzAdFWvWW&#10;UMI3elgVk7tcZdpe6R0vZWhYLCGfKQltCEPGua9aNMrP7IAUd7V1RoUYXcO1U9dYbno+FyLlRnUU&#10;L7RqwE2L1Vd5NhKGrduHdb019Pp2OO2x3n2m5U7Kh/tx/Qws4Bj+YLjpR3UootPRnkl71secLEUa&#10;WQnTRCwegd2Y39lRwmKZpMCLnP9/o/gBAAD//wMAUEsBAi0AFAAGAAgAAAAhALaDOJL+AAAA4QEA&#10;ABMAAAAAAAAAAAAAAAAAAAAAAFtDb250ZW50X1R5cGVzXS54bWxQSwECLQAUAAYACAAAACEAOP0h&#10;/9YAAACUAQAACwAAAAAAAAAAAAAAAAAvAQAAX3JlbHMvLnJlbHNQSwECLQAUAAYACAAAACEAYMmf&#10;MdUBAACRAwAADgAAAAAAAAAAAAAAAAAuAgAAZHJzL2Uyb0RvYy54bWxQSwECLQAUAAYACAAAACEA&#10;8yWAN+EAAAAOAQAADwAAAAAAAAAAAAAAAAAvBAAAZHJzL2Rvd25yZXYueG1sUEsFBgAAAAAEAAQA&#10;8wAAAD0FAAAAAA==&#10;" strokecolor="#e6e7e8" strokeweight="0">
                <w10:wrap anchorx="page"/>
              </v:line>
            </w:pict>
          </mc:Fallback>
        </mc:AlternateContent>
      </w:r>
      <w:r w:rsidRPr="00EE5075">
        <w:t>Data and information accessibility</w:t>
      </w:r>
      <w:bookmarkEnd w:id="37"/>
    </w:p>
    <w:p w14:paraId="0075D8DF" w14:textId="77777777" w:rsidR="003308C3" w:rsidRPr="00EE5075" w:rsidRDefault="003308C3" w:rsidP="004A0E25">
      <w:pPr>
        <w:keepNext/>
      </w:pPr>
      <w:r w:rsidRPr="00EE5075">
        <w:t>Much health and disability data and information is siloed within organisations. While most organisations and providers understand their responsibilities regarding clinical data, they do not see that they have an obligation to routinely</w:t>
      </w:r>
      <w:r w:rsidR="004A0E25">
        <w:t xml:space="preserve"> </w:t>
      </w:r>
      <w:r w:rsidRPr="00EE5075">
        <w:t xml:space="preserve">share data with consumers, other health providers or other services. While some parts of the health system have established mechanisms for sharing data between primary and secondary care, there is little access to health and wellbeing data in the community, for iwi and </w:t>
      </w:r>
      <w:proofErr w:type="spellStart"/>
      <w:r w:rsidRPr="00EE5075">
        <w:t>hapū</w:t>
      </w:r>
      <w:proofErr w:type="spellEnd"/>
      <w:r w:rsidRPr="00EE5075">
        <w:t>, for private providers or social services, or to data held or generated by consumers. Making health data more accessible and useful is fundamental to improving the health outcomes of all New Zealanders.</w:t>
      </w:r>
    </w:p>
    <w:p w14:paraId="0075D8E0" w14:textId="77777777" w:rsidR="003308C3" w:rsidRPr="00EE5075" w:rsidRDefault="003308C3" w:rsidP="004A0E25">
      <w:pPr>
        <w:keepNext/>
      </w:pPr>
    </w:p>
    <w:p w14:paraId="0075D8E1" w14:textId="77777777" w:rsidR="003308C3" w:rsidRPr="00EE5075" w:rsidRDefault="003308C3" w:rsidP="004A0E25">
      <w:pPr>
        <w:keepNext/>
        <w:keepLines/>
      </w:pPr>
      <w:r w:rsidRPr="00EE5075">
        <w:t>We need effective data sharing frameworks, authorisation and delegation frameworks and sector contract requirements, along with</w:t>
      </w:r>
      <w:r w:rsidR="004A0E25">
        <w:t xml:space="preserve"> </w:t>
      </w:r>
      <w:r w:rsidRPr="00EE5075">
        <w:t>mechanisms to better support innovation and research. Improving how the sector manages and codes health data will support data accessibility and interoperability. Much data is currently held in inconsistent formats and code sets. Providing mechanisms to share, reuse and maintain clinical data will support the quality of data being shared, the consistency of reporting and the quality of the insights we can gain through analytics and machine learning.</w:t>
      </w:r>
    </w:p>
    <w:p w14:paraId="0075D8E2" w14:textId="77777777" w:rsidR="003308C3" w:rsidRPr="00EE5075" w:rsidRDefault="003308C3" w:rsidP="004A0E25"/>
    <w:p w14:paraId="0075D8E3" w14:textId="77777777" w:rsidR="003308C3" w:rsidRPr="00EE5075" w:rsidRDefault="003308C3" w:rsidP="004A0E25">
      <w:pPr>
        <w:pStyle w:val="Heading3"/>
      </w:pPr>
      <w:r w:rsidRPr="00EE5075">
        <w:t>Enablers</w:t>
      </w:r>
    </w:p>
    <w:p w14:paraId="0075D8E4" w14:textId="77777777" w:rsidR="003308C3" w:rsidRPr="00EE5075" w:rsidRDefault="003308C3" w:rsidP="004A0E25">
      <w:r w:rsidRPr="00EE5075">
        <w:t>We have identified the following enablers for data and information accessibility:</w:t>
      </w:r>
    </w:p>
    <w:p w14:paraId="0075D8E5" w14:textId="77777777" w:rsidR="003308C3" w:rsidRDefault="003308C3" w:rsidP="004A0E25"/>
    <w:p w14:paraId="0075D8E6" w14:textId="77777777" w:rsidR="004A0E25" w:rsidRPr="00EE5075" w:rsidRDefault="004A0E25" w:rsidP="004A0E25">
      <w:r>
        <w:rPr>
          <w:noProof/>
          <w:lang w:eastAsia="en-NZ"/>
        </w:rPr>
        <w:drawing>
          <wp:inline distT="0" distB="0" distL="0" distR="0" wp14:anchorId="0075D94B" wp14:editId="2A0D06E4">
            <wp:extent cx="5130165" cy="2455464"/>
            <wp:effectExtent l="0" t="0" r="0" b="2540"/>
            <wp:docPr id="418" name="Picture 418" descr="Data availability, data sharing, surfacing data from fragmented and legacy systems, new models of care, population health and operationa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418" descr="Data availability, data sharing, surfacing data from fragmented and legacy systems, new models of care, population health and operational performance"/>
                    <pic:cNvPicPr/>
                  </pic:nvPicPr>
                  <pic:blipFill>
                    <a:blip r:embed="rId33"/>
                    <a:stretch>
                      <a:fillRect/>
                    </a:stretch>
                  </pic:blipFill>
                  <pic:spPr>
                    <a:xfrm>
                      <a:off x="0" y="0"/>
                      <a:ext cx="5130165" cy="2455464"/>
                    </a:xfrm>
                    <a:prstGeom prst="rect">
                      <a:avLst/>
                    </a:prstGeom>
                  </pic:spPr>
                </pic:pic>
              </a:graphicData>
            </a:graphic>
          </wp:inline>
        </w:drawing>
      </w:r>
    </w:p>
    <w:p w14:paraId="0075D8E7" w14:textId="77777777" w:rsidR="003308C3" w:rsidRPr="00EE5075" w:rsidRDefault="003308C3" w:rsidP="004A0E25"/>
    <w:p w14:paraId="0075D8E8" w14:textId="77777777" w:rsidR="003308C3" w:rsidRPr="00EE5075" w:rsidRDefault="003308C3" w:rsidP="004A0E25">
      <w:pPr>
        <w:pStyle w:val="BoxHeading"/>
      </w:pPr>
      <w:r w:rsidRPr="00EE5075">
        <w:lastRenderedPageBreak/>
        <w:t>Data availability</w:t>
      </w:r>
    </w:p>
    <w:p w14:paraId="0075D8E9" w14:textId="77777777" w:rsidR="003308C3" w:rsidRPr="00EE5075" w:rsidRDefault="003308C3" w:rsidP="004A0E25">
      <w:pPr>
        <w:pStyle w:val="Box"/>
        <w:keepNext/>
        <w:keepLines/>
      </w:pPr>
      <w:r w:rsidRPr="00EE5075">
        <w:t xml:space="preserve">The use of a national terminology service will improve data quality at the point of </w:t>
      </w:r>
      <w:proofErr w:type="gramStart"/>
      <w:r w:rsidRPr="00EE5075">
        <w:t>care, and</w:t>
      </w:r>
      <w:proofErr w:type="gramEnd"/>
      <w:r w:rsidRPr="00EE5075">
        <w:t xml:space="preserve"> provide more context to health information for both clinicians and consumers. Providers would need to integrate this service with new applications and platforms through their contract and procurement arrangements.</w:t>
      </w:r>
    </w:p>
    <w:p w14:paraId="0075D8EA" w14:textId="77777777" w:rsidR="003308C3" w:rsidRPr="00EE5075" w:rsidRDefault="003308C3" w:rsidP="004A0E25">
      <w:pPr>
        <w:pStyle w:val="BoxHeading"/>
      </w:pPr>
      <w:r w:rsidRPr="00EE5075">
        <w:t>Data sharing</w:t>
      </w:r>
    </w:p>
    <w:p w14:paraId="0075D8EB" w14:textId="77777777" w:rsidR="003308C3" w:rsidRPr="00EE5075" w:rsidRDefault="003308C3" w:rsidP="004A0E25">
      <w:pPr>
        <w:pStyle w:val="Box"/>
      </w:pPr>
      <w:r w:rsidRPr="00EE5075">
        <w:t>If we want to create an ecosystem in which health data is effectively shared or made appropriately accessible, we will need to develop guidance for the sector, which</w:t>
      </w:r>
      <w:r w:rsidR="004A0E25">
        <w:t xml:space="preserve"> </w:t>
      </w:r>
      <w:r w:rsidRPr="00EE5075">
        <w:t>in turn will require new frameworks. The development and implementation of a new health data sharing and accessibility</w:t>
      </w:r>
      <w:r w:rsidR="004A0E25">
        <w:t xml:space="preserve"> </w:t>
      </w:r>
      <w:r w:rsidRPr="00EE5075">
        <w:t>framework will be critical to making data more accessible in ways that are consistent with public and consumer expectations. We will support new provisions for data sharing and accessibility through changes to contracts and procurement systems and a review of legislation, including the Privacy Act 2020 and Health Information Privacy Code.</w:t>
      </w:r>
    </w:p>
    <w:p w14:paraId="0075D8EC" w14:textId="77777777" w:rsidR="003308C3" w:rsidRPr="00EE5075" w:rsidRDefault="003308C3" w:rsidP="004A0E25">
      <w:pPr>
        <w:pStyle w:val="BoxHeading"/>
      </w:pPr>
      <w:r w:rsidRPr="00EE5075">
        <w:t>Surfacing data from fragmented and legacy systems</w:t>
      </w:r>
    </w:p>
    <w:p w14:paraId="0075D8ED" w14:textId="77777777" w:rsidR="003308C3" w:rsidRPr="00EE5075" w:rsidRDefault="003308C3" w:rsidP="004A0E25">
      <w:pPr>
        <w:pStyle w:val="Box"/>
      </w:pPr>
      <w:r w:rsidRPr="00EE5075">
        <w:t>There is a need for the system to provide access to data rapidly, even where application consolidation and the replacement of legacy systems can only happen in the longer term.</w:t>
      </w:r>
      <w:r w:rsidR="004A0E25">
        <w:t xml:space="preserve"> </w:t>
      </w:r>
      <w:r w:rsidRPr="00EE5075">
        <w:t>We can realise the value from data in the short and medium term by ensuring data can flow from fragmented and legacy systems into modern platforms that provide access for analytical and decision-making purposes.</w:t>
      </w:r>
    </w:p>
    <w:p w14:paraId="0075D8EE" w14:textId="77777777" w:rsidR="003308C3" w:rsidRPr="00EE5075" w:rsidRDefault="003308C3" w:rsidP="004A0E25">
      <w:pPr>
        <w:pStyle w:val="BoxHeading"/>
      </w:pPr>
      <w:r w:rsidRPr="00EE5075">
        <w:t>New models of care, population health and operational performance</w:t>
      </w:r>
    </w:p>
    <w:p w14:paraId="0075D8EF" w14:textId="77777777" w:rsidR="003308C3" w:rsidRPr="00EE5075" w:rsidRDefault="003308C3" w:rsidP="004A0E25">
      <w:pPr>
        <w:pStyle w:val="Box"/>
      </w:pPr>
      <w:r w:rsidRPr="00EE5075">
        <w:t>We need to develop new models of care and population health measures to address inequities in care provision and outcomes and ensure all New Zealanders enjoy good</w:t>
      </w:r>
      <w:r w:rsidR="004A0E25">
        <w:t xml:space="preserve"> </w:t>
      </w:r>
      <w:r w:rsidRPr="00EE5075">
        <w:t>health and wellbeing. We can use the insights we derive from big data sets to improve the health system’s operational performance. We will need to develop access to big data and agreements about access and use.</w:t>
      </w:r>
    </w:p>
    <w:p w14:paraId="0075D8F0" w14:textId="77777777" w:rsidR="003308C3" w:rsidRPr="00EE5075" w:rsidRDefault="003308C3" w:rsidP="004A0E25"/>
    <w:p w14:paraId="0075D8F1" w14:textId="77777777" w:rsidR="003308C3" w:rsidRPr="00EE5075" w:rsidRDefault="003308C3" w:rsidP="007A229F">
      <w:pPr>
        <w:pStyle w:val="Heading1"/>
      </w:pPr>
      <w:bookmarkStart w:id="38" w:name="Next_steps"/>
      <w:bookmarkStart w:id="39" w:name="_Toc89930926"/>
      <w:bookmarkEnd w:id="38"/>
      <w:r w:rsidRPr="007A229F">
        <w:lastRenderedPageBreak/>
        <w:t>Next steps</w:t>
      </w:r>
      <w:bookmarkEnd w:id="39"/>
    </w:p>
    <w:p w14:paraId="0075D8F2" w14:textId="77777777" w:rsidR="003308C3" w:rsidRPr="00EE5075" w:rsidRDefault="003308C3" w:rsidP="00B4107F">
      <w:pPr>
        <w:pStyle w:val="Introductoryparagraph"/>
      </w:pPr>
      <w:r w:rsidRPr="00EE5075">
        <w:t>Improving the sector’s governance, use and sharing of data and information will require a high degree of collaboration across organisations, nationally and locally.</w:t>
      </w:r>
      <w:r w:rsidR="00B4107F">
        <w:t xml:space="preserve"> </w:t>
      </w:r>
      <w:r w:rsidRPr="00EE5075">
        <w:t>If health data is the bedrock of the health and disability system, then the priority areas outlined in this strategy are its essential components.</w:t>
      </w:r>
    </w:p>
    <w:p w14:paraId="0075D8F3" w14:textId="77777777" w:rsidR="003308C3" w:rsidRPr="00EE5075" w:rsidRDefault="003308C3" w:rsidP="00B4107F">
      <w:r w:rsidRPr="00EE5075">
        <w:t>The accompanying roadmap outlines actions and timeframes for operationalising this strategy.</w:t>
      </w:r>
    </w:p>
    <w:p w14:paraId="0075D8F4" w14:textId="77777777" w:rsidR="003308C3" w:rsidRPr="00EE5075" w:rsidRDefault="003308C3" w:rsidP="00B4107F"/>
    <w:p w14:paraId="0075D8F5" w14:textId="77777777" w:rsidR="003308C3" w:rsidRPr="00EE5075" w:rsidRDefault="003308C3" w:rsidP="00257B2B">
      <w:pPr>
        <w:pStyle w:val="Heading1"/>
      </w:pPr>
      <w:bookmarkStart w:id="40" w:name="References"/>
      <w:bookmarkStart w:id="41" w:name="_Toc89930927"/>
      <w:bookmarkEnd w:id="40"/>
      <w:r w:rsidRPr="00257B2B">
        <w:lastRenderedPageBreak/>
        <w:t>References</w:t>
      </w:r>
      <w:bookmarkEnd w:id="41"/>
    </w:p>
    <w:p w14:paraId="0075D8F6" w14:textId="77777777" w:rsidR="003308C3" w:rsidRPr="00EE5075" w:rsidRDefault="003308C3" w:rsidP="00257B2B">
      <w:pPr>
        <w:pStyle w:val="References"/>
      </w:pPr>
      <w:r w:rsidRPr="00EE5075">
        <w:t xml:space="preserve">Beehive. 2021. Major reforms will make healthcare accessible for all </w:t>
      </w:r>
      <w:proofErr w:type="spellStart"/>
      <w:r w:rsidRPr="00EE5075">
        <w:t>NZers</w:t>
      </w:r>
      <w:proofErr w:type="spellEnd"/>
      <w:r w:rsidRPr="00EE5075">
        <w:t xml:space="preserve">. URL: </w:t>
      </w:r>
      <w:hyperlink r:id="rId34">
        <w:r w:rsidRPr="00257B2B">
          <w:rPr>
            <w:rStyle w:val="Hyperlink"/>
          </w:rPr>
          <w:t>https://www.beehive.govt.nz/</w:t>
        </w:r>
      </w:hyperlink>
      <w:r w:rsidRPr="00257B2B">
        <w:rPr>
          <w:rStyle w:val="Hyperlink"/>
        </w:rPr>
        <w:t xml:space="preserve"> release/major-reforms-will-make-healthcare-accessible-all-</w:t>
      </w:r>
      <w:proofErr w:type="spellStart"/>
      <w:r w:rsidRPr="00257B2B">
        <w:rPr>
          <w:rStyle w:val="Hyperlink"/>
        </w:rPr>
        <w:t>nzers</w:t>
      </w:r>
      <w:proofErr w:type="spellEnd"/>
      <w:r w:rsidRPr="00EE5075">
        <w:rPr>
          <w:color w:val="002E6E"/>
        </w:rPr>
        <w:t xml:space="preserve"> </w:t>
      </w:r>
      <w:r w:rsidRPr="00EE5075">
        <w:t>(accessed 28 June 2021).</w:t>
      </w:r>
    </w:p>
    <w:p w14:paraId="0075D8F7" w14:textId="77777777" w:rsidR="003308C3" w:rsidRPr="00EE5075" w:rsidRDefault="003308C3" w:rsidP="00257B2B">
      <w:pPr>
        <w:pStyle w:val="References"/>
      </w:pPr>
      <w:r w:rsidRPr="00EE5075">
        <w:t xml:space="preserve">Data Futures Partnership. 2019. </w:t>
      </w:r>
      <w:r w:rsidRPr="00EE5075">
        <w:rPr>
          <w:i/>
        </w:rPr>
        <w:t xml:space="preserve">Trusted Data Use in Aotearoa New Zealand Guidelines. </w:t>
      </w:r>
      <w:r w:rsidRPr="00EE5075">
        <w:t>Wellington: Data Futures Partnership.</w:t>
      </w:r>
    </w:p>
    <w:p w14:paraId="0075D8F8" w14:textId="77777777" w:rsidR="003308C3" w:rsidRPr="00EE5075" w:rsidRDefault="003308C3" w:rsidP="00257B2B">
      <w:pPr>
        <w:pStyle w:val="References"/>
      </w:pPr>
      <w:r w:rsidRPr="00EE5075">
        <w:t>Department of Prime Minister and Cabinet (DPMC). 2021. The new health system.</w:t>
      </w:r>
      <w:r w:rsidR="00257B2B">
        <w:t xml:space="preserve"> </w:t>
      </w:r>
      <w:r w:rsidRPr="00EE5075">
        <w:t xml:space="preserve">URL: </w:t>
      </w:r>
      <w:hyperlink r:id="rId35">
        <w:r w:rsidRPr="00257B2B">
          <w:rPr>
            <w:rStyle w:val="Hyperlink"/>
          </w:rPr>
          <w:t>https://dpmc.govt.nz/our-business-units/transition-unit/response-health-and-disability-</w:t>
        </w:r>
      </w:hyperlink>
      <w:hyperlink r:id="rId36">
        <w:r w:rsidRPr="00257B2B">
          <w:rPr>
            <w:rStyle w:val="Hyperlink"/>
          </w:rPr>
          <w:t>system-review/information</w:t>
        </w:r>
        <w:r w:rsidRPr="00257B2B">
          <w:t xml:space="preserve"> </w:t>
        </w:r>
      </w:hyperlink>
      <w:r w:rsidRPr="00EE5075">
        <w:t>(accessed 28 June 2021).</w:t>
      </w:r>
    </w:p>
    <w:p w14:paraId="0075D8F9" w14:textId="77777777" w:rsidR="00257B2B" w:rsidRDefault="003308C3" w:rsidP="00257B2B">
      <w:pPr>
        <w:pStyle w:val="References"/>
      </w:pPr>
      <w:r w:rsidRPr="00EE5075">
        <w:t xml:space="preserve">Durie M. 1994. </w:t>
      </w:r>
      <w:proofErr w:type="spellStart"/>
      <w:r w:rsidRPr="00EE5075">
        <w:rPr>
          <w:i/>
        </w:rPr>
        <w:t>Whaiora</w:t>
      </w:r>
      <w:proofErr w:type="spellEnd"/>
      <w:r w:rsidRPr="00EE5075">
        <w:rPr>
          <w:i/>
        </w:rPr>
        <w:t xml:space="preserve">: Maori Health Development. </w:t>
      </w:r>
      <w:r w:rsidRPr="00EE5075">
        <w:t>Auckland: Oxford University Press.</w:t>
      </w:r>
    </w:p>
    <w:p w14:paraId="0075D8FA" w14:textId="77777777" w:rsidR="003308C3" w:rsidRPr="00EE5075" w:rsidRDefault="003308C3" w:rsidP="00257B2B">
      <w:pPr>
        <w:pStyle w:val="References"/>
      </w:pPr>
      <w:proofErr w:type="spellStart"/>
      <w:r w:rsidRPr="00EE5075">
        <w:t>Gwee</w:t>
      </w:r>
      <w:proofErr w:type="spellEnd"/>
      <w:r w:rsidRPr="00EE5075">
        <w:t xml:space="preserve"> S. 2021. </w:t>
      </w:r>
      <w:r w:rsidRPr="00257B2B">
        <w:rPr>
          <w:i/>
        </w:rPr>
        <w:t xml:space="preserve">The </w:t>
      </w:r>
      <w:r w:rsidR="00257B2B" w:rsidRPr="00257B2B">
        <w:rPr>
          <w:i/>
        </w:rPr>
        <w:t>I</w:t>
      </w:r>
      <w:r w:rsidRPr="00257B2B">
        <w:rPr>
          <w:i/>
        </w:rPr>
        <w:t xml:space="preserve">mportance of </w:t>
      </w:r>
      <w:r w:rsidR="00257B2B" w:rsidRPr="00257B2B">
        <w:rPr>
          <w:i/>
        </w:rPr>
        <w:t>I</w:t>
      </w:r>
      <w:r w:rsidRPr="00257B2B">
        <w:rPr>
          <w:i/>
        </w:rPr>
        <w:t xml:space="preserve">ncreasing </w:t>
      </w:r>
      <w:r w:rsidR="00257B2B" w:rsidRPr="00257B2B">
        <w:rPr>
          <w:i/>
        </w:rPr>
        <w:t>A</w:t>
      </w:r>
      <w:r w:rsidRPr="00257B2B">
        <w:rPr>
          <w:i/>
        </w:rPr>
        <w:t xml:space="preserve">ccess to </w:t>
      </w:r>
      <w:r w:rsidR="00257B2B" w:rsidRPr="00257B2B">
        <w:rPr>
          <w:i/>
        </w:rPr>
        <w:t>H</w:t>
      </w:r>
      <w:r w:rsidRPr="00257B2B">
        <w:rPr>
          <w:i/>
        </w:rPr>
        <w:t xml:space="preserve">igh-quality </w:t>
      </w:r>
      <w:r w:rsidR="00257B2B" w:rsidRPr="00257B2B">
        <w:rPr>
          <w:i/>
        </w:rPr>
        <w:t>H</w:t>
      </w:r>
      <w:r w:rsidRPr="00257B2B">
        <w:rPr>
          <w:i/>
        </w:rPr>
        <w:t xml:space="preserve">ealth </w:t>
      </w:r>
      <w:r w:rsidR="00257B2B" w:rsidRPr="00257B2B">
        <w:rPr>
          <w:i/>
        </w:rPr>
        <w:t>D</w:t>
      </w:r>
      <w:r w:rsidRPr="00257B2B">
        <w:rPr>
          <w:i/>
        </w:rPr>
        <w:t>ata</w:t>
      </w:r>
      <w:r w:rsidRPr="00EE5075">
        <w:t>.</w:t>
      </w:r>
      <w:r w:rsidR="00257B2B">
        <w:t xml:space="preserve"> </w:t>
      </w:r>
      <w:r w:rsidRPr="00EE5075">
        <w:t xml:space="preserve">URL: </w:t>
      </w:r>
      <w:hyperlink r:id="rId37">
        <w:r w:rsidRPr="00257B2B">
          <w:rPr>
            <w:rStyle w:val="Hyperlink"/>
          </w:rPr>
          <w:t>https://www.oecd-forum.org/posts/the-importance-of-increasing-access-to-high-quality-</w:t>
        </w:r>
      </w:hyperlink>
      <w:hyperlink r:id="rId38">
        <w:r w:rsidRPr="00257B2B">
          <w:rPr>
            <w:rStyle w:val="Hyperlink"/>
          </w:rPr>
          <w:t>health-data</w:t>
        </w:r>
        <w:r w:rsidRPr="00257B2B">
          <w:t xml:space="preserve"> </w:t>
        </w:r>
      </w:hyperlink>
      <w:r w:rsidRPr="00EE5075">
        <w:t>(accessed 15 June 2021).</w:t>
      </w:r>
    </w:p>
    <w:p w14:paraId="0075D8FB" w14:textId="77777777" w:rsidR="003308C3" w:rsidRPr="00EE5075" w:rsidRDefault="003308C3" w:rsidP="00257B2B">
      <w:pPr>
        <w:pStyle w:val="References"/>
      </w:pPr>
      <w:r w:rsidRPr="00EE5075">
        <w:t xml:space="preserve">HDSR. 2020. </w:t>
      </w:r>
      <w:r w:rsidRPr="00257B2B">
        <w:rPr>
          <w:i/>
        </w:rPr>
        <w:t xml:space="preserve">Health and Disability System Review: Final Report: </w:t>
      </w:r>
      <w:proofErr w:type="spellStart"/>
      <w:r w:rsidRPr="00257B2B">
        <w:rPr>
          <w:i/>
        </w:rPr>
        <w:t>Pūrongo</w:t>
      </w:r>
      <w:proofErr w:type="spellEnd"/>
      <w:r w:rsidRPr="00257B2B">
        <w:rPr>
          <w:i/>
        </w:rPr>
        <w:t xml:space="preserve"> </w:t>
      </w:r>
      <w:proofErr w:type="spellStart"/>
      <w:r w:rsidRPr="00257B2B">
        <w:rPr>
          <w:i/>
        </w:rPr>
        <w:t>Whakamutunga</w:t>
      </w:r>
      <w:proofErr w:type="spellEnd"/>
      <w:r w:rsidRPr="00EE5075">
        <w:t>. Wellington: Health and Disability System Review.</w:t>
      </w:r>
    </w:p>
    <w:p w14:paraId="0075D8FC" w14:textId="77777777" w:rsidR="003308C3" w:rsidRPr="00EE5075" w:rsidRDefault="003308C3" w:rsidP="00257B2B">
      <w:pPr>
        <w:pStyle w:val="References"/>
      </w:pPr>
      <w:r w:rsidRPr="00EE5075">
        <w:t xml:space="preserve">Health, Quality &amp; Safety Commission New Zealand. 2011. </w:t>
      </w:r>
      <w:r w:rsidRPr="00257B2B">
        <w:rPr>
          <w:i/>
        </w:rPr>
        <w:t>The Triple Aim</w:t>
      </w:r>
      <w:r w:rsidRPr="00EE5075">
        <w:t xml:space="preserve">. URL: </w:t>
      </w:r>
      <w:hyperlink r:id="rId39">
        <w:r w:rsidRPr="00257B2B">
          <w:rPr>
            <w:rStyle w:val="Hyperlink"/>
          </w:rPr>
          <w:t>https://www.hqsc.govt.nz/</w:t>
        </w:r>
      </w:hyperlink>
      <w:hyperlink r:id="rId40">
        <w:r w:rsidRPr="00257B2B">
          <w:rPr>
            <w:rStyle w:val="Hyperlink"/>
          </w:rPr>
          <w:t>news-and-events/news/126/</w:t>
        </w:r>
        <w:r w:rsidRPr="00257B2B">
          <w:t xml:space="preserve"> </w:t>
        </w:r>
      </w:hyperlink>
      <w:r w:rsidRPr="00EE5075">
        <w:t>(accessed 15 June 2021).</w:t>
      </w:r>
    </w:p>
    <w:p w14:paraId="0075D8FD" w14:textId="77777777" w:rsidR="003308C3" w:rsidRPr="00EE5075" w:rsidRDefault="003308C3" w:rsidP="00257B2B">
      <w:pPr>
        <w:pStyle w:val="References"/>
      </w:pPr>
      <w:r w:rsidRPr="00EE5075">
        <w:t xml:space="preserve">Ministry of Business, Innovation and Employment. 2020. </w:t>
      </w:r>
      <w:r w:rsidRPr="00257B2B">
        <w:rPr>
          <w:i/>
        </w:rPr>
        <w:t xml:space="preserve">Consumer </w:t>
      </w:r>
      <w:r w:rsidR="00257B2B">
        <w:rPr>
          <w:i/>
        </w:rPr>
        <w:t>D</w:t>
      </w:r>
      <w:r w:rsidRPr="00257B2B">
        <w:rPr>
          <w:i/>
        </w:rPr>
        <w:t xml:space="preserve">ata </w:t>
      </w:r>
      <w:r w:rsidR="00257B2B">
        <w:rPr>
          <w:i/>
        </w:rPr>
        <w:t>R</w:t>
      </w:r>
      <w:r w:rsidRPr="00257B2B">
        <w:rPr>
          <w:i/>
        </w:rPr>
        <w:t>ight</w:t>
      </w:r>
      <w:r w:rsidRPr="00EE5075">
        <w:t xml:space="preserve">. URL: </w:t>
      </w:r>
      <w:hyperlink r:id="rId41">
        <w:r w:rsidRPr="00257B2B">
          <w:rPr>
            <w:rStyle w:val="Hyperlink"/>
          </w:rPr>
          <w:t>https://www.mbie.govt.</w:t>
        </w:r>
      </w:hyperlink>
      <w:r w:rsidRPr="00257B2B">
        <w:rPr>
          <w:rStyle w:val="Hyperlink"/>
        </w:rPr>
        <w:t xml:space="preserve"> </w:t>
      </w:r>
      <w:hyperlink r:id="rId42">
        <w:r w:rsidRPr="00257B2B">
          <w:rPr>
            <w:rStyle w:val="Hyperlink"/>
          </w:rPr>
          <w:t>nz/business-and-employment/business/competition-regulation-and-policy/consumer-data-right</w:t>
        </w:r>
      </w:hyperlink>
      <w:r w:rsidRPr="00257B2B">
        <w:rPr>
          <w:rStyle w:val="Hyperlink"/>
        </w:rPr>
        <w:t>/</w:t>
      </w:r>
      <w:r w:rsidRPr="00EE5075">
        <w:t xml:space="preserve"> (accessed 15 June 2021).</w:t>
      </w:r>
    </w:p>
    <w:p w14:paraId="0075D8FE" w14:textId="77777777" w:rsidR="003308C3" w:rsidRPr="00EE5075" w:rsidRDefault="003308C3" w:rsidP="00257B2B">
      <w:pPr>
        <w:pStyle w:val="References"/>
      </w:pPr>
      <w:r w:rsidRPr="00EE5075">
        <w:t xml:space="preserve">Minister of Health. 2016. </w:t>
      </w:r>
      <w:r w:rsidRPr="00EE5075">
        <w:rPr>
          <w:i/>
        </w:rPr>
        <w:t xml:space="preserve">New Zealand Health Strategy: Future direction. </w:t>
      </w:r>
      <w:r w:rsidRPr="00EE5075">
        <w:t>Wellington: Ministry of Health.</w:t>
      </w:r>
    </w:p>
    <w:p w14:paraId="0075D8FF" w14:textId="77777777" w:rsidR="003308C3" w:rsidRPr="00EE5075" w:rsidRDefault="003308C3" w:rsidP="00257B2B">
      <w:pPr>
        <w:pStyle w:val="References"/>
      </w:pPr>
      <w:r w:rsidRPr="00EE5075">
        <w:t xml:space="preserve">Ministry of Health. 2014. </w:t>
      </w:r>
      <w:r w:rsidRPr="00257B2B">
        <w:rPr>
          <w:i/>
        </w:rPr>
        <w:t xml:space="preserve">He Korowai </w:t>
      </w:r>
      <w:proofErr w:type="spellStart"/>
      <w:r w:rsidRPr="00257B2B">
        <w:rPr>
          <w:i/>
        </w:rPr>
        <w:t>Oranga</w:t>
      </w:r>
      <w:proofErr w:type="spellEnd"/>
      <w:r w:rsidRPr="00EE5075">
        <w:t xml:space="preserve">. URL: </w:t>
      </w:r>
      <w:hyperlink r:id="rId43">
        <w:r w:rsidRPr="00257B2B">
          <w:rPr>
            <w:rStyle w:val="Hyperlink"/>
          </w:rPr>
          <w:t>https://www.health.govt.nz/our-work/populations/</w:t>
        </w:r>
      </w:hyperlink>
      <w:hyperlink r:id="rId44">
        <w:r w:rsidRPr="00257B2B">
          <w:rPr>
            <w:rStyle w:val="Hyperlink"/>
          </w:rPr>
          <w:t>maori-health/he-korowai-oranga</w:t>
        </w:r>
        <w:r w:rsidRPr="00257B2B">
          <w:t xml:space="preserve"> </w:t>
        </w:r>
      </w:hyperlink>
      <w:r w:rsidRPr="00EE5075">
        <w:t>(accessed 15 June 2021).</w:t>
      </w:r>
    </w:p>
    <w:p w14:paraId="0075D900" w14:textId="77777777" w:rsidR="003308C3" w:rsidRPr="00EE5075" w:rsidRDefault="003308C3" w:rsidP="00257B2B">
      <w:pPr>
        <w:pStyle w:val="References"/>
      </w:pPr>
      <w:r w:rsidRPr="00EE5075">
        <w:t xml:space="preserve">Ministry of Health. 2019a. </w:t>
      </w:r>
      <w:r w:rsidRPr="00257B2B">
        <w:rPr>
          <w:i/>
        </w:rPr>
        <w:t>Digital Health Strategic Framework</w:t>
      </w:r>
      <w:r w:rsidRPr="00EE5075">
        <w:t xml:space="preserve">. URL: </w:t>
      </w:r>
      <w:hyperlink r:id="rId45">
        <w:r w:rsidRPr="00257B2B">
          <w:rPr>
            <w:rStyle w:val="Hyperlink"/>
          </w:rPr>
          <w:t>https://www.health.govt.nz/our-</w:t>
        </w:r>
      </w:hyperlink>
      <w:hyperlink r:id="rId46">
        <w:r w:rsidRPr="00257B2B">
          <w:rPr>
            <w:rStyle w:val="Hyperlink"/>
          </w:rPr>
          <w:t>work/digital-health/digital-health-strategic-framework</w:t>
        </w:r>
        <w:r w:rsidRPr="00257B2B">
          <w:t xml:space="preserve"> </w:t>
        </w:r>
      </w:hyperlink>
      <w:r w:rsidRPr="00EE5075">
        <w:t>(accessed 15 June 2021).</w:t>
      </w:r>
    </w:p>
    <w:p w14:paraId="0075D901" w14:textId="77777777" w:rsidR="003308C3" w:rsidRPr="00EE5075" w:rsidRDefault="003308C3" w:rsidP="00257B2B">
      <w:pPr>
        <w:pStyle w:val="References"/>
      </w:pPr>
      <w:r w:rsidRPr="00EE5075">
        <w:t xml:space="preserve">Ministry of Health. 2019b. Vision for health technology. URL: </w:t>
      </w:r>
      <w:hyperlink r:id="rId47">
        <w:r w:rsidRPr="00257B2B">
          <w:rPr>
            <w:rStyle w:val="Hyperlink"/>
          </w:rPr>
          <w:t>https://www.health.govt.nz/our-work/</w:t>
        </w:r>
      </w:hyperlink>
      <w:hyperlink r:id="rId48">
        <w:r w:rsidRPr="00257B2B">
          <w:rPr>
            <w:rStyle w:val="Hyperlink"/>
          </w:rPr>
          <w:t>digital-health/vision-health-technology</w:t>
        </w:r>
        <w:r w:rsidRPr="00257B2B">
          <w:t xml:space="preserve"> </w:t>
        </w:r>
      </w:hyperlink>
      <w:r w:rsidRPr="00EE5075">
        <w:t>(accessed 15 June 2021).</w:t>
      </w:r>
    </w:p>
    <w:p w14:paraId="0075D902" w14:textId="77777777" w:rsidR="003308C3" w:rsidRPr="00EE5075" w:rsidRDefault="003308C3" w:rsidP="00257B2B">
      <w:pPr>
        <w:pStyle w:val="References"/>
      </w:pPr>
      <w:r w:rsidRPr="00EE5075">
        <w:t xml:space="preserve">Ministry of Health. 2020a. </w:t>
      </w:r>
      <w:r w:rsidRPr="00257B2B">
        <w:rPr>
          <w:i/>
        </w:rPr>
        <w:t>Annual Report for the Year Ended 30 June 2020: Ministry of Health</w:t>
      </w:r>
      <w:r w:rsidRPr="00EE5075">
        <w:t>.</w:t>
      </w:r>
      <w:r w:rsidR="00257B2B">
        <w:t xml:space="preserve"> </w:t>
      </w:r>
      <w:r w:rsidRPr="00EE5075">
        <w:t>Wellington: Ministry of Health.</w:t>
      </w:r>
    </w:p>
    <w:p w14:paraId="0075D903" w14:textId="77777777" w:rsidR="003308C3" w:rsidRPr="00EE5075" w:rsidRDefault="003308C3" w:rsidP="00257B2B">
      <w:pPr>
        <w:pStyle w:val="References"/>
      </w:pPr>
      <w:r w:rsidRPr="00EE5075">
        <w:t xml:space="preserve">Ministry of Health. 2020b. </w:t>
      </w:r>
      <w:r w:rsidRPr="00257B2B">
        <w:rPr>
          <w:i/>
        </w:rPr>
        <w:t>HISO 10083:2020 Interoperability roadmap: Driving the shift to a fully interoperable digital health ecosystem</w:t>
      </w:r>
      <w:r w:rsidRPr="00EE5075">
        <w:t>. Wellington: Ministry of Health.</w:t>
      </w:r>
    </w:p>
    <w:p w14:paraId="0075D904" w14:textId="77777777" w:rsidR="003308C3" w:rsidRPr="00EE5075" w:rsidRDefault="003308C3" w:rsidP="00257B2B">
      <w:pPr>
        <w:pStyle w:val="References"/>
      </w:pPr>
      <w:r w:rsidRPr="00EE5075">
        <w:t xml:space="preserve">Ministry of Health. 2020c. </w:t>
      </w:r>
      <w:r w:rsidRPr="00257B2B">
        <w:rPr>
          <w:i/>
        </w:rPr>
        <w:t xml:space="preserve">The National Asset Management Programme for </w:t>
      </w:r>
      <w:r w:rsidR="00257B2B">
        <w:rPr>
          <w:i/>
        </w:rPr>
        <w:t>D</w:t>
      </w:r>
      <w:r w:rsidRPr="00257B2B">
        <w:rPr>
          <w:i/>
        </w:rPr>
        <w:t xml:space="preserve">istrict </w:t>
      </w:r>
      <w:r w:rsidR="00257B2B">
        <w:rPr>
          <w:i/>
        </w:rPr>
        <w:t>H</w:t>
      </w:r>
      <w:r w:rsidRPr="00257B2B">
        <w:rPr>
          <w:i/>
        </w:rPr>
        <w:t xml:space="preserve">ealth </w:t>
      </w:r>
      <w:r w:rsidR="00257B2B">
        <w:rPr>
          <w:i/>
        </w:rPr>
        <w:t>B</w:t>
      </w:r>
      <w:r w:rsidRPr="00257B2B">
        <w:rPr>
          <w:i/>
        </w:rPr>
        <w:t>oards. Report 1: The current-state assessment</w:t>
      </w:r>
      <w:r w:rsidRPr="00EE5075">
        <w:t>. Wellington: Ministry of Health.</w:t>
      </w:r>
    </w:p>
    <w:p w14:paraId="0075D905" w14:textId="77777777" w:rsidR="003308C3" w:rsidRPr="00EE5075" w:rsidRDefault="003308C3" w:rsidP="00257B2B">
      <w:pPr>
        <w:pStyle w:val="References"/>
        <w:keepNext/>
      </w:pPr>
      <w:r w:rsidRPr="00EE5075">
        <w:lastRenderedPageBreak/>
        <w:t xml:space="preserve">Ministry of Health. 2020d. </w:t>
      </w:r>
      <w:proofErr w:type="spellStart"/>
      <w:r w:rsidRPr="00EE5075">
        <w:rPr>
          <w:i/>
        </w:rPr>
        <w:t>Whakamaua</w:t>
      </w:r>
      <w:proofErr w:type="spellEnd"/>
      <w:r w:rsidRPr="00EE5075">
        <w:rPr>
          <w:i/>
        </w:rPr>
        <w:t xml:space="preserve">: Māori Health Action Plan 2020–2025. </w:t>
      </w:r>
      <w:r w:rsidRPr="00EE5075">
        <w:t>Wellington: Ministry of Health.</w:t>
      </w:r>
    </w:p>
    <w:p w14:paraId="0075D906" w14:textId="77777777" w:rsidR="003308C3" w:rsidRPr="00EE5075" w:rsidRDefault="003308C3" w:rsidP="00257B2B">
      <w:pPr>
        <w:pStyle w:val="References"/>
      </w:pPr>
      <w:r w:rsidRPr="00EE5075">
        <w:t xml:space="preserve">Ministry of Health. 2020e. </w:t>
      </w:r>
      <w:r w:rsidRPr="00257B2B">
        <w:rPr>
          <w:i/>
        </w:rPr>
        <w:t xml:space="preserve">Ola </w:t>
      </w:r>
      <w:proofErr w:type="spellStart"/>
      <w:r w:rsidRPr="00257B2B">
        <w:rPr>
          <w:i/>
        </w:rPr>
        <w:t>Manuia</w:t>
      </w:r>
      <w:proofErr w:type="spellEnd"/>
      <w:r w:rsidRPr="00257B2B">
        <w:rPr>
          <w:i/>
        </w:rPr>
        <w:t>: Pacific Health and Wellbeing Action Plan</w:t>
      </w:r>
      <w:r w:rsidR="00257B2B">
        <w:rPr>
          <w:i/>
        </w:rPr>
        <w:br/>
      </w:r>
      <w:r w:rsidRPr="00257B2B">
        <w:rPr>
          <w:i/>
        </w:rPr>
        <w:t>2020–2025</w:t>
      </w:r>
      <w:r w:rsidRPr="00EE5075">
        <w:t>. Wellington: Ministry of Health.</w:t>
      </w:r>
    </w:p>
    <w:p w14:paraId="0075D907" w14:textId="77777777" w:rsidR="003308C3" w:rsidRPr="00EE5075" w:rsidRDefault="003308C3" w:rsidP="00257B2B">
      <w:pPr>
        <w:pStyle w:val="References"/>
      </w:pPr>
      <w:r w:rsidRPr="00EE5075">
        <w:t xml:space="preserve">Ministry of Social Development. 2016. </w:t>
      </w:r>
      <w:r w:rsidRPr="00EE5075">
        <w:rPr>
          <w:i/>
        </w:rPr>
        <w:t xml:space="preserve">New Zealand Disability Strategy 2016–2026. </w:t>
      </w:r>
      <w:r w:rsidRPr="00EE5075">
        <w:t>Wellington: Office for Disability Issues.</w:t>
      </w:r>
    </w:p>
    <w:p w14:paraId="0075D908" w14:textId="77777777" w:rsidR="003308C3" w:rsidRPr="00EE5075" w:rsidRDefault="003308C3" w:rsidP="00257B2B">
      <w:pPr>
        <w:pStyle w:val="References"/>
      </w:pPr>
      <w:r w:rsidRPr="00EE5075">
        <w:t xml:space="preserve">NZ Tech. 2021. </w:t>
      </w:r>
      <w:r w:rsidRPr="00257B2B">
        <w:rPr>
          <w:i/>
        </w:rPr>
        <w:t xml:space="preserve">Digital </w:t>
      </w:r>
      <w:r w:rsidR="00257B2B">
        <w:rPr>
          <w:i/>
        </w:rPr>
        <w:t>S</w:t>
      </w:r>
      <w:r w:rsidRPr="00257B2B">
        <w:rPr>
          <w:i/>
        </w:rPr>
        <w:t xml:space="preserve">kills for our </w:t>
      </w:r>
      <w:r w:rsidR="00257B2B">
        <w:rPr>
          <w:i/>
        </w:rPr>
        <w:t>D</w:t>
      </w:r>
      <w:r w:rsidRPr="00257B2B">
        <w:rPr>
          <w:i/>
        </w:rPr>
        <w:t xml:space="preserve">igital </w:t>
      </w:r>
      <w:r w:rsidR="00257B2B">
        <w:rPr>
          <w:i/>
        </w:rPr>
        <w:t>F</w:t>
      </w:r>
      <w:r w:rsidRPr="00257B2B">
        <w:rPr>
          <w:i/>
        </w:rPr>
        <w:t>uture</w:t>
      </w:r>
      <w:r w:rsidRPr="00EE5075">
        <w:t xml:space="preserve">. URL: </w:t>
      </w:r>
      <w:hyperlink r:id="rId49">
        <w:r w:rsidRPr="00257B2B">
          <w:rPr>
            <w:rStyle w:val="Hyperlink"/>
          </w:rPr>
          <w:t>https://nztech.org.nz/reports/digital-skills-for-our-</w:t>
        </w:r>
      </w:hyperlink>
      <w:hyperlink r:id="rId50">
        <w:r w:rsidRPr="00257B2B">
          <w:rPr>
            <w:rStyle w:val="Hyperlink"/>
          </w:rPr>
          <w:t>digital-future/</w:t>
        </w:r>
        <w:r w:rsidRPr="00257B2B">
          <w:t xml:space="preserve"> </w:t>
        </w:r>
      </w:hyperlink>
      <w:r w:rsidRPr="00EE5075">
        <w:t>(accessed 15</w:t>
      </w:r>
      <w:r w:rsidR="00257B2B">
        <w:t> </w:t>
      </w:r>
      <w:r w:rsidRPr="00EE5075">
        <w:t>June 2021).</w:t>
      </w:r>
    </w:p>
    <w:p w14:paraId="0075D909" w14:textId="77777777" w:rsidR="003308C3" w:rsidRPr="00EE5075" w:rsidRDefault="003308C3" w:rsidP="00257B2B">
      <w:pPr>
        <w:pStyle w:val="References"/>
      </w:pPr>
      <w:r w:rsidRPr="00EE5075">
        <w:t xml:space="preserve">Office of the National Coordinator for Health Information Technology (United States). 2020. </w:t>
      </w:r>
      <w:r w:rsidRPr="00E57A0E">
        <w:rPr>
          <w:i/>
        </w:rPr>
        <w:t>21st Century Cures Act: Interoperability, Information Blocking, and the ONC Health IT Certification Program</w:t>
      </w:r>
      <w:r w:rsidRPr="00EE5075">
        <w:t xml:space="preserve">. </w:t>
      </w:r>
      <w:hyperlink r:id="rId51">
        <w:r w:rsidRPr="00E57A0E">
          <w:rPr>
            <w:rStyle w:val="Hyperlink"/>
          </w:rPr>
          <w:t>https://www.healthit.gov/curesrule/</w:t>
        </w:r>
        <w:r w:rsidRPr="00EE5075">
          <w:rPr>
            <w:color w:val="002E6E"/>
          </w:rPr>
          <w:t xml:space="preserve"> </w:t>
        </w:r>
      </w:hyperlink>
      <w:r w:rsidRPr="00EE5075">
        <w:t>(accessed 15</w:t>
      </w:r>
      <w:r w:rsidR="00E57A0E">
        <w:t> </w:t>
      </w:r>
      <w:r w:rsidRPr="00EE5075">
        <w:t>June 2021).</w:t>
      </w:r>
    </w:p>
    <w:p w14:paraId="0075D90A" w14:textId="77777777" w:rsidR="003308C3" w:rsidRPr="00EE5075" w:rsidRDefault="003308C3" w:rsidP="00E57A0E">
      <w:pPr>
        <w:pStyle w:val="References"/>
      </w:pPr>
      <w:r w:rsidRPr="00EE5075">
        <w:t xml:space="preserve">Social Wellbeing Agency. 2019. </w:t>
      </w:r>
      <w:r w:rsidRPr="00EE5075">
        <w:rPr>
          <w:i/>
        </w:rPr>
        <w:t xml:space="preserve">Data Protection and Use Policy. </w:t>
      </w:r>
      <w:r w:rsidRPr="00EE5075">
        <w:t>Wellington: Social Wellbeing Agency.</w:t>
      </w:r>
    </w:p>
    <w:p w14:paraId="0075D90B" w14:textId="77777777" w:rsidR="003308C3" w:rsidRPr="00EE5075" w:rsidRDefault="003308C3" w:rsidP="00257B2B">
      <w:pPr>
        <w:pStyle w:val="References"/>
      </w:pPr>
      <w:r w:rsidRPr="00EE5075">
        <w:t xml:space="preserve">Stats NZ. 2018. Data </w:t>
      </w:r>
      <w:r w:rsidR="00E57A0E">
        <w:t>S</w:t>
      </w:r>
      <w:r w:rsidRPr="00EE5075">
        <w:t xml:space="preserve">trategy and </w:t>
      </w:r>
      <w:r w:rsidR="00E57A0E">
        <w:t>R</w:t>
      </w:r>
      <w:r w:rsidRPr="00EE5075">
        <w:t xml:space="preserve">oadmap for New Zealand. URL: </w:t>
      </w:r>
      <w:hyperlink r:id="rId52">
        <w:r w:rsidRPr="00E57A0E">
          <w:rPr>
            <w:rStyle w:val="Hyperlink"/>
          </w:rPr>
          <w:t>https://www.data.govt.nz/about/</w:t>
        </w:r>
      </w:hyperlink>
      <w:hyperlink r:id="rId53">
        <w:r w:rsidRPr="00E57A0E">
          <w:rPr>
            <w:rStyle w:val="Hyperlink"/>
          </w:rPr>
          <w:t>data-strategy-and-roadmap-setting-the-direction-for-new-zealands-data/data-strategy-and-</w:t>
        </w:r>
      </w:hyperlink>
      <w:hyperlink r:id="rId54">
        <w:r w:rsidRPr="00E57A0E">
          <w:rPr>
            <w:rStyle w:val="Hyperlink"/>
          </w:rPr>
          <w:t>roadmap/</w:t>
        </w:r>
        <w:r w:rsidRPr="00E57A0E">
          <w:t xml:space="preserve"> </w:t>
        </w:r>
      </w:hyperlink>
      <w:r w:rsidRPr="00EE5075">
        <w:t>(accessed 15 June 2021).</w:t>
      </w:r>
    </w:p>
    <w:p w14:paraId="0075D90C" w14:textId="77777777" w:rsidR="003308C3" w:rsidRPr="00EE5075" w:rsidRDefault="003308C3" w:rsidP="00E57A0E">
      <w:pPr>
        <w:pStyle w:val="References"/>
      </w:pPr>
      <w:r w:rsidRPr="00EE5075">
        <w:t xml:space="preserve">Stats NZ. 2020. </w:t>
      </w:r>
      <w:r w:rsidRPr="00E57A0E">
        <w:rPr>
          <w:i/>
        </w:rPr>
        <w:t>COVID-19 Lessons Learnt: Recommendations for improving the resilience of New Zealand’s government data system</w:t>
      </w:r>
      <w:r w:rsidRPr="00EE5075">
        <w:t>. Wellington: Stats NZ.</w:t>
      </w:r>
    </w:p>
    <w:p w14:paraId="0075D90D" w14:textId="77777777" w:rsidR="003308C3" w:rsidRPr="00EE5075" w:rsidRDefault="003308C3" w:rsidP="00257B2B">
      <w:pPr>
        <w:pStyle w:val="References"/>
      </w:pPr>
      <w:r w:rsidRPr="00EE5075">
        <w:t xml:space="preserve">Stats NZ. 2021a. </w:t>
      </w:r>
      <w:r w:rsidRPr="00E57A0E">
        <w:rPr>
          <w:i/>
        </w:rPr>
        <w:t xml:space="preserve">Mana </w:t>
      </w:r>
      <w:proofErr w:type="spellStart"/>
      <w:r w:rsidRPr="00E57A0E">
        <w:rPr>
          <w:i/>
        </w:rPr>
        <w:t>Ōrite</w:t>
      </w:r>
      <w:proofErr w:type="spellEnd"/>
      <w:r w:rsidRPr="00E57A0E">
        <w:rPr>
          <w:i/>
        </w:rPr>
        <w:t xml:space="preserve"> Relationship Agreement</w:t>
      </w:r>
      <w:r w:rsidRPr="00EE5075">
        <w:t xml:space="preserve">. URL: </w:t>
      </w:r>
      <w:hyperlink r:id="rId55">
        <w:r w:rsidRPr="00E57A0E">
          <w:rPr>
            <w:rStyle w:val="Hyperlink"/>
          </w:rPr>
          <w:t>https://www.stats.govt.nz/about-us/what-</w:t>
        </w:r>
      </w:hyperlink>
      <w:hyperlink r:id="rId56">
        <w:r w:rsidRPr="00E57A0E">
          <w:rPr>
            <w:rStyle w:val="Hyperlink"/>
          </w:rPr>
          <w:t>we-do/mana-orite-relationship-agreement/</w:t>
        </w:r>
        <w:r w:rsidRPr="00E57A0E">
          <w:t xml:space="preserve"> </w:t>
        </w:r>
      </w:hyperlink>
      <w:r w:rsidRPr="00EE5075">
        <w:t>(accessed 28 June 2021).</w:t>
      </w:r>
    </w:p>
    <w:p w14:paraId="0075D90E" w14:textId="77777777" w:rsidR="003308C3" w:rsidRPr="00E57A0E" w:rsidRDefault="003308C3" w:rsidP="00E57A0E">
      <w:pPr>
        <w:pStyle w:val="References"/>
        <w:rPr>
          <w:szCs w:val="21"/>
        </w:rPr>
      </w:pPr>
      <w:r w:rsidRPr="00E57A0E">
        <w:rPr>
          <w:szCs w:val="21"/>
        </w:rPr>
        <w:t xml:space="preserve">Stats NZ. 2021b. </w:t>
      </w:r>
      <w:r w:rsidRPr="00E57A0E">
        <w:rPr>
          <w:i/>
          <w:szCs w:val="21"/>
        </w:rPr>
        <w:t xml:space="preserve">Government Data Strategy and Roadmap 2021. </w:t>
      </w:r>
      <w:r w:rsidRPr="00E57A0E">
        <w:rPr>
          <w:szCs w:val="21"/>
        </w:rPr>
        <w:t xml:space="preserve">URL: </w:t>
      </w:r>
      <w:hyperlink r:id="rId57">
        <w:r w:rsidRPr="00E57A0E">
          <w:rPr>
            <w:rStyle w:val="Hyperlink"/>
          </w:rPr>
          <w:t>https://www.data.govt.nz/docs/</w:t>
        </w:r>
      </w:hyperlink>
      <w:hyperlink r:id="rId58">
        <w:r w:rsidRPr="00E57A0E">
          <w:rPr>
            <w:rStyle w:val="Hyperlink"/>
          </w:rPr>
          <w:t>data-strategy-and-roadmap-for-new-zealand-2021/</w:t>
        </w:r>
        <w:r w:rsidRPr="00E57A0E">
          <w:t xml:space="preserve"> </w:t>
        </w:r>
      </w:hyperlink>
      <w:r w:rsidRPr="00E57A0E">
        <w:rPr>
          <w:szCs w:val="21"/>
        </w:rPr>
        <w:t>(accessed 15 September 2021).</w:t>
      </w:r>
    </w:p>
    <w:p w14:paraId="0075D90F" w14:textId="77777777" w:rsidR="003308C3" w:rsidRPr="00EE5075" w:rsidRDefault="003308C3" w:rsidP="00257B2B">
      <w:pPr>
        <w:pStyle w:val="References"/>
      </w:pPr>
      <w:proofErr w:type="spellStart"/>
      <w:r w:rsidRPr="00EE5075">
        <w:t>Te</w:t>
      </w:r>
      <w:proofErr w:type="spellEnd"/>
      <w:r w:rsidRPr="00EE5075">
        <w:t xml:space="preserve"> Mana </w:t>
      </w:r>
      <w:proofErr w:type="spellStart"/>
      <w:r w:rsidRPr="00EE5075">
        <w:t>Raraunga</w:t>
      </w:r>
      <w:proofErr w:type="spellEnd"/>
      <w:r w:rsidRPr="00EE5075">
        <w:t xml:space="preserve">. 2016. </w:t>
      </w:r>
      <w:proofErr w:type="spellStart"/>
      <w:r w:rsidRPr="00E57A0E">
        <w:rPr>
          <w:i/>
        </w:rPr>
        <w:t>Te</w:t>
      </w:r>
      <w:proofErr w:type="spellEnd"/>
      <w:r w:rsidRPr="00E57A0E">
        <w:rPr>
          <w:i/>
        </w:rPr>
        <w:t xml:space="preserve"> Mana </w:t>
      </w:r>
      <w:proofErr w:type="spellStart"/>
      <w:r w:rsidRPr="00E57A0E">
        <w:rPr>
          <w:i/>
        </w:rPr>
        <w:t>Raraunga</w:t>
      </w:r>
      <w:proofErr w:type="spellEnd"/>
      <w:r w:rsidRPr="00E57A0E">
        <w:rPr>
          <w:i/>
        </w:rPr>
        <w:t xml:space="preserve"> Māori Data Sovereignty Network Charter</w:t>
      </w:r>
      <w:r w:rsidRPr="00EE5075">
        <w:t xml:space="preserve">. URL: </w:t>
      </w:r>
      <w:hyperlink r:id="rId59">
        <w:r w:rsidRPr="00E57A0E">
          <w:rPr>
            <w:rStyle w:val="Hyperlink"/>
          </w:rPr>
          <w:t>https://www.temanararaunga.maori.nz/</w:t>
        </w:r>
        <w:r w:rsidRPr="00EE5075">
          <w:rPr>
            <w:color w:val="002E6E"/>
          </w:rPr>
          <w:t xml:space="preserve"> </w:t>
        </w:r>
      </w:hyperlink>
      <w:r w:rsidRPr="00EE5075">
        <w:t>(accessed 15 June 2021).</w:t>
      </w:r>
    </w:p>
    <w:p w14:paraId="0075D910" w14:textId="77777777" w:rsidR="003308C3" w:rsidRPr="00EE5075" w:rsidRDefault="003308C3" w:rsidP="00257B2B">
      <w:pPr>
        <w:pStyle w:val="References"/>
      </w:pPr>
      <w:r w:rsidRPr="00EE5075">
        <w:t xml:space="preserve">Understanding Patient Data. 2017. </w:t>
      </w:r>
      <w:r w:rsidRPr="00E57A0E">
        <w:rPr>
          <w:i/>
        </w:rPr>
        <w:t xml:space="preserve">Introducing </w:t>
      </w:r>
      <w:r w:rsidR="00E57A0E">
        <w:rPr>
          <w:i/>
        </w:rPr>
        <w:t>P</w:t>
      </w:r>
      <w:r w:rsidRPr="00E57A0E">
        <w:rPr>
          <w:i/>
        </w:rPr>
        <w:t xml:space="preserve">atient </w:t>
      </w:r>
      <w:r w:rsidR="00E57A0E">
        <w:rPr>
          <w:i/>
        </w:rPr>
        <w:t>D</w:t>
      </w:r>
      <w:r w:rsidRPr="00E57A0E">
        <w:rPr>
          <w:i/>
        </w:rPr>
        <w:t>ata</w:t>
      </w:r>
      <w:r w:rsidRPr="00EE5075">
        <w:t xml:space="preserve">. URL: </w:t>
      </w:r>
      <w:hyperlink r:id="rId60">
        <w:r w:rsidRPr="00E57A0E">
          <w:rPr>
            <w:rStyle w:val="Hyperlink"/>
          </w:rPr>
          <w:t>https://understandingpatientdata.org.uk/</w:t>
        </w:r>
      </w:hyperlink>
      <w:r w:rsidRPr="00EE5075">
        <w:rPr>
          <w:color w:val="002E6E"/>
        </w:rPr>
        <w:t xml:space="preserve"> </w:t>
      </w:r>
      <w:r w:rsidRPr="00EE5075">
        <w:t>(accessed 15 June 2021).</w:t>
      </w:r>
    </w:p>
    <w:p w14:paraId="0075D911" w14:textId="77777777" w:rsidR="003308C3" w:rsidRPr="00EE5075" w:rsidRDefault="003308C3" w:rsidP="00E57A0E">
      <w:pPr>
        <w:pStyle w:val="References"/>
      </w:pPr>
      <w:r w:rsidRPr="00EE5075">
        <w:t xml:space="preserve">Waitangi Tribunal. 2019. </w:t>
      </w:r>
      <w:r w:rsidRPr="00E57A0E">
        <w:rPr>
          <w:i/>
        </w:rPr>
        <w:t>Hauora: Report on Stage One of the Health Services and Outcomes Kaupapa Inquiry: WAI 2575</w:t>
      </w:r>
      <w:r w:rsidRPr="00EE5075">
        <w:t>. Lower Hutt: Legislation Direct.</w:t>
      </w:r>
    </w:p>
    <w:p w14:paraId="0075D912" w14:textId="77777777" w:rsidR="003308C3" w:rsidRDefault="003308C3" w:rsidP="00E57A0E"/>
    <w:p w14:paraId="0075D913" w14:textId="77777777" w:rsidR="004731D2" w:rsidRPr="004731D2" w:rsidRDefault="004731D2" w:rsidP="004731D2">
      <w:pPr>
        <w:pStyle w:val="Heading1"/>
      </w:pPr>
      <w:bookmarkStart w:id="42" w:name="_Toc89930928"/>
      <w:r w:rsidRPr="004731D2">
        <w:lastRenderedPageBreak/>
        <w:t>Appendix</w:t>
      </w:r>
      <w:r w:rsidR="002065A7">
        <w:t xml:space="preserve"> </w:t>
      </w:r>
      <w:r w:rsidRPr="004731D2">
        <w:t>A:</w:t>
      </w:r>
      <w:r w:rsidR="002065A7">
        <w:t xml:space="preserve"> </w:t>
      </w:r>
      <w:r w:rsidRPr="004731D2">
        <w:t>Challenges and opportunities</w:t>
      </w:r>
      <w:bookmarkEnd w:id="42"/>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3402"/>
        <w:gridCol w:w="3402"/>
        <w:gridCol w:w="1276"/>
      </w:tblGrid>
      <w:tr w:rsidR="003308C3" w:rsidRPr="002065A7" w14:paraId="0075D917" w14:textId="77777777" w:rsidTr="002065A7">
        <w:trPr>
          <w:cantSplit/>
        </w:trPr>
        <w:tc>
          <w:tcPr>
            <w:tcW w:w="3402" w:type="dxa"/>
            <w:tcBorders>
              <w:top w:val="nil"/>
              <w:bottom w:val="nil"/>
            </w:tcBorders>
            <w:shd w:val="clear" w:color="auto" w:fill="D9D9D9" w:themeFill="background1" w:themeFillShade="D9"/>
          </w:tcPr>
          <w:p w14:paraId="0075D914" w14:textId="77777777" w:rsidR="003308C3" w:rsidRPr="002065A7" w:rsidRDefault="003308C3" w:rsidP="002065A7">
            <w:pPr>
              <w:pStyle w:val="TableText"/>
              <w:ind w:right="113"/>
              <w:rPr>
                <w:b/>
              </w:rPr>
            </w:pPr>
            <w:r w:rsidRPr="002065A7">
              <w:rPr>
                <w:b/>
              </w:rPr>
              <w:t>Current state</w:t>
            </w:r>
          </w:p>
        </w:tc>
        <w:tc>
          <w:tcPr>
            <w:tcW w:w="3402" w:type="dxa"/>
            <w:tcBorders>
              <w:top w:val="nil"/>
              <w:bottom w:val="nil"/>
            </w:tcBorders>
            <w:shd w:val="clear" w:color="auto" w:fill="D9D9D9" w:themeFill="background1" w:themeFillShade="D9"/>
          </w:tcPr>
          <w:p w14:paraId="0075D915" w14:textId="77777777" w:rsidR="003308C3" w:rsidRPr="002065A7" w:rsidRDefault="003308C3" w:rsidP="002065A7">
            <w:pPr>
              <w:pStyle w:val="TableText"/>
              <w:ind w:right="113"/>
              <w:rPr>
                <w:b/>
              </w:rPr>
            </w:pPr>
            <w:r w:rsidRPr="002065A7">
              <w:rPr>
                <w:b/>
              </w:rPr>
              <w:t>Future state</w:t>
            </w:r>
          </w:p>
        </w:tc>
        <w:tc>
          <w:tcPr>
            <w:tcW w:w="1276" w:type="dxa"/>
            <w:tcBorders>
              <w:top w:val="nil"/>
              <w:bottom w:val="nil"/>
            </w:tcBorders>
            <w:shd w:val="clear" w:color="auto" w:fill="D9D9D9" w:themeFill="background1" w:themeFillShade="D9"/>
          </w:tcPr>
          <w:p w14:paraId="0075D916" w14:textId="77777777" w:rsidR="003308C3" w:rsidRPr="002065A7" w:rsidRDefault="003308C3" w:rsidP="002065A7">
            <w:pPr>
              <w:pStyle w:val="TableText"/>
              <w:rPr>
                <w:b/>
              </w:rPr>
            </w:pPr>
            <w:r w:rsidRPr="002065A7">
              <w:rPr>
                <w:b/>
              </w:rPr>
              <w:t>Outcomes</w:t>
            </w:r>
          </w:p>
        </w:tc>
      </w:tr>
      <w:tr w:rsidR="002065A7" w:rsidRPr="00EE5075" w14:paraId="0075D91B" w14:textId="77777777" w:rsidTr="002065A7">
        <w:trPr>
          <w:cantSplit/>
        </w:trPr>
        <w:tc>
          <w:tcPr>
            <w:tcW w:w="3402" w:type="dxa"/>
            <w:tcBorders>
              <w:top w:val="nil"/>
            </w:tcBorders>
            <w:shd w:val="clear" w:color="auto" w:fill="auto"/>
          </w:tcPr>
          <w:p w14:paraId="0075D918" w14:textId="77777777" w:rsidR="002065A7" w:rsidRPr="00EE5075" w:rsidRDefault="002065A7" w:rsidP="002065A7">
            <w:pPr>
              <w:pStyle w:val="TableText"/>
              <w:ind w:right="113"/>
            </w:pPr>
            <w:r w:rsidRPr="00EE5075">
              <w:t>Health data and information is siloed and</w:t>
            </w:r>
            <w:r>
              <w:t xml:space="preserve"> </w:t>
            </w:r>
            <w:r w:rsidRPr="00EE5075">
              <w:t>difficult to access, share or use for real-time</w:t>
            </w:r>
            <w:r>
              <w:t xml:space="preserve"> </w:t>
            </w:r>
            <w:r w:rsidRPr="00EE5075">
              <w:t>insights</w:t>
            </w:r>
          </w:p>
        </w:tc>
        <w:tc>
          <w:tcPr>
            <w:tcW w:w="3402" w:type="dxa"/>
            <w:tcBorders>
              <w:top w:val="nil"/>
            </w:tcBorders>
            <w:shd w:val="clear" w:color="auto" w:fill="auto"/>
          </w:tcPr>
          <w:p w14:paraId="0075D919" w14:textId="77777777" w:rsidR="002065A7" w:rsidRPr="00EE5075" w:rsidRDefault="002065A7" w:rsidP="002065A7">
            <w:pPr>
              <w:pStyle w:val="TableText"/>
              <w:ind w:right="113"/>
            </w:pPr>
            <w:r w:rsidRPr="00EE5075">
              <w:t>Health data and information is accessible</w:t>
            </w:r>
            <w:r>
              <w:t xml:space="preserve"> </w:t>
            </w:r>
            <w:r w:rsidRPr="00EE5075">
              <w:t>and available in consistent formats,</w:t>
            </w:r>
            <w:r>
              <w:t xml:space="preserve"> </w:t>
            </w:r>
            <w:r w:rsidRPr="00EE5075">
              <w:t>enabling synchronous data sharing and</w:t>
            </w:r>
            <w:r>
              <w:t xml:space="preserve"> </w:t>
            </w:r>
            <w:r w:rsidRPr="00EE5075">
              <w:t>real-time insights and decision-making.</w:t>
            </w:r>
            <w:r>
              <w:t xml:space="preserve"> </w:t>
            </w:r>
            <w:r w:rsidRPr="00EE5075">
              <w:t>System performance improvements, new</w:t>
            </w:r>
            <w:r>
              <w:t xml:space="preserve"> </w:t>
            </w:r>
            <w:r w:rsidRPr="00EE5075">
              <w:t xml:space="preserve">models of care, policy, </w:t>
            </w:r>
            <w:proofErr w:type="gramStart"/>
            <w:r w:rsidRPr="00EE5075">
              <w:t>investment</w:t>
            </w:r>
            <w:proofErr w:type="gramEnd"/>
            <w:r w:rsidRPr="00EE5075">
              <w:t xml:space="preserve"> and</w:t>
            </w:r>
            <w:r>
              <w:t xml:space="preserve"> </w:t>
            </w:r>
            <w:r w:rsidRPr="00EE5075">
              <w:t>funding decisions are data-driven</w:t>
            </w:r>
            <w:r>
              <w:t>.</w:t>
            </w:r>
          </w:p>
        </w:tc>
        <w:tc>
          <w:tcPr>
            <w:tcW w:w="1276" w:type="dxa"/>
            <w:vMerge w:val="restart"/>
            <w:tcBorders>
              <w:top w:val="nil"/>
            </w:tcBorders>
            <w:shd w:val="clear" w:color="auto" w:fill="auto"/>
          </w:tcPr>
          <w:p w14:paraId="0075D91A" w14:textId="77777777" w:rsidR="002065A7" w:rsidRPr="00EE5075" w:rsidRDefault="002065A7" w:rsidP="002065A7">
            <w:pPr>
              <w:pStyle w:val="TableText"/>
            </w:pPr>
            <w:r w:rsidRPr="00EE5075">
              <w:t xml:space="preserve">Improved quality, </w:t>
            </w:r>
            <w:proofErr w:type="gramStart"/>
            <w:r w:rsidRPr="00EE5075">
              <w:t>safety</w:t>
            </w:r>
            <w:proofErr w:type="gramEnd"/>
            <w:r w:rsidRPr="00EE5075">
              <w:t xml:space="preserve"> and experience of care</w:t>
            </w:r>
          </w:p>
        </w:tc>
      </w:tr>
      <w:tr w:rsidR="002065A7" w:rsidRPr="00EE5075" w14:paraId="0075D91F" w14:textId="77777777" w:rsidTr="002065A7">
        <w:trPr>
          <w:cantSplit/>
        </w:trPr>
        <w:tc>
          <w:tcPr>
            <w:tcW w:w="3402" w:type="dxa"/>
            <w:shd w:val="clear" w:color="auto" w:fill="auto"/>
          </w:tcPr>
          <w:p w14:paraId="0075D91C" w14:textId="77777777" w:rsidR="002065A7" w:rsidRPr="00EE5075" w:rsidRDefault="002065A7" w:rsidP="002065A7">
            <w:pPr>
              <w:pStyle w:val="TableText"/>
              <w:ind w:right="113"/>
            </w:pPr>
            <w:r w:rsidRPr="00EE5075">
              <w:t>Data is not readily available for research,</w:t>
            </w:r>
            <w:r>
              <w:t xml:space="preserve"> </w:t>
            </w:r>
            <w:proofErr w:type="gramStart"/>
            <w:r w:rsidRPr="00EE5075">
              <w:t>analytics</w:t>
            </w:r>
            <w:proofErr w:type="gramEnd"/>
            <w:r w:rsidRPr="00EE5075">
              <w:t xml:space="preserve"> or innovation</w:t>
            </w:r>
          </w:p>
        </w:tc>
        <w:tc>
          <w:tcPr>
            <w:tcW w:w="3402" w:type="dxa"/>
            <w:shd w:val="clear" w:color="auto" w:fill="auto"/>
          </w:tcPr>
          <w:p w14:paraId="0075D91D" w14:textId="77777777" w:rsidR="002065A7" w:rsidRPr="00EE5075" w:rsidRDefault="002065A7" w:rsidP="002065A7">
            <w:pPr>
              <w:pStyle w:val="TableText"/>
              <w:ind w:right="113"/>
            </w:pPr>
            <w:r w:rsidRPr="00EE5075">
              <w:t>Data sets are available, supported by</w:t>
            </w:r>
            <w:r>
              <w:t xml:space="preserve"> </w:t>
            </w:r>
            <w:r w:rsidRPr="00EE5075">
              <w:t>guidance on accessibility and governance</w:t>
            </w:r>
            <w:r>
              <w:t>.</w:t>
            </w:r>
          </w:p>
        </w:tc>
        <w:tc>
          <w:tcPr>
            <w:tcW w:w="1276" w:type="dxa"/>
            <w:vMerge/>
            <w:shd w:val="clear" w:color="auto" w:fill="auto"/>
          </w:tcPr>
          <w:p w14:paraId="0075D91E" w14:textId="77777777" w:rsidR="002065A7" w:rsidRPr="00EE5075" w:rsidRDefault="002065A7" w:rsidP="002065A7">
            <w:pPr>
              <w:pStyle w:val="TableText"/>
              <w:rPr>
                <w:sz w:val="2"/>
                <w:szCs w:val="2"/>
              </w:rPr>
            </w:pPr>
          </w:p>
        </w:tc>
      </w:tr>
      <w:tr w:rsidR="002065A7" w:rsidRPr="00EE5075" w14:paraId="0075D923" w14:textId="77777777" w:rsidTr="002065A7">
        <w:trPr>
          <w:cantSplit/>
        </w:trPr>
        <w:tc>
          <w:tcPr>
            <w:tcW w:w="3402" w:type="dxa"/>
            <w:shd w:val="clear" w:color="auto" w:fill="auto"/>
          </w:tcPr>
          <w:p w14:paraId="0075D920" w14:textId="77777777" w:rsidR="002065A7" w:rsidRPr="00EE5075" w:rsidRDefault="002065A7" w:rsidP="002065A7">
            <w:pPr>
              <w:pStyle w:val="TableText"/>
              <w:ind w:right="113"/>
            </w:pPr>
            <w:r w:rsidRPr="00EE5075">
              <w:t>Health care professionals cannot access a</w:t>
            </w:r>
            <w:r>
              <w:t xml:space="preserve"> </w:t>
            </w:r>
            <w:r w:rsidRPr="00EE5075">
              <w:t>person’s complete health care record</w:t>
            </w:r>
          </w:p>
        </w:tc>
        <w:tc>
          <w:tcPr>
            <w:tcW w:w="3402" w:type="dxa"/>
            <w:shd w:val="clear" w:color="auto" w:fill="auto"/>
          </w:tcPr>
          <w:p w14:paraId="0075D921" w14:textId="77777777" w:rsidR="002065A7" w:rsidRPr="00EE5075" w:rsidRDefault="002065A7" w:rsidP="002065A7">
            <w:pPr>
              <w:pStyle w:val="TableText"/>
              <w:ind w:right="113"/>
            </w:pPr>
            <w:r w:rsidRPr="00EE5075">
              <w:t>Complete health records, including</w:t>
            </w:r>
            <w:r>
              <w:t xml:space="preserve"> </w:t>
            </w:r>
            <w:r w:rsidRPr="00EE5075">
              <w:t>contextual information as relevant from other agencies, are available when needed</w:t>
            </w:r>
            <w:r>
              <w:t>.</w:t>
            </w:r>
          </w:p>
        </w:tc>
        <w:tc>
          <w:tcPr>
            <w:tcW w:w="1276" w:type="dxa"/>
            <w:vMerge/>
            <w:shd w:val="clear" w:color="auto" w:fill="auto"/>
          </w:tcPr>
          <w:p w14:paraId="0075D922" w14:textId="77777777" w:rsidR="002065A7" w:rsidRPr="00EE5075" w:rsidRDefault="002065A7" w:rsidP="002065A7">
            <w:pPr>
              <w:pStyle w:val="TableText"/>
              <w:rPr>
                <w:sz w:val="2"/>
                <w:szCs w:val="2"/>
              </w:rPr>
            </w:pPr>
          </w:p>
        </w:tc>
      </w:tr>
      <w:tr w:rsidR="002065A7" w:rsidRPr="00EE5075" w14:paraId="0075D927" w14:textId="77777777" w:rsidTr="002065A7">
        <w:trPr>
          <w:cantSplit/>
        </w:trPr>
        <w:tc>
          <w:tcPr>
            <w:tcW w:w="3402" w:type="dxa"/>
            <w:shd w:val="clear" w:color="auto" w:fill="auto"/>
          </w:tcPr>
          <w:p w14:paraId="0075D924" w14:textId="77777777" w:rsidR="002065A7" w:rsidRPr="00EE5075" w:rsidRDefault="002065A7" w:rsidP="002065A7">
            <w:pPr>
              <w:pStyle w:val="TableText"/>
              <w:ind w:right="113"/>
            </w:pPr>
            <w:r w:rsidRPr="00EE5075">
              <w:t>People cannot access or contribute to their</w:t>
            </w:r>
            <w:r>
              <w:t xml:space="preserve"> </w:t>
            </w:r>
            <w:r w:rsidRPr="00EE5075">
              <w:t>own health records, and they have limited</w:t>
            </w:r>
            <w:r>
              <w:t xml:space="preserve"> </w:t>
            </w:r>
            <w:r w:rsidRPr="00EE5075">
              <w:t>ability to access health care themselves or</w:t>
            </w:r>
            <w:r>
              <w:t xml:space="preserve"> </w:t>
            </w:r>
            <w:r w:rsidRPr="00EE5075">
              <w:t xml:space="preserve">to consent to data sharing with </w:t>
            </w:r>
            <w:proofErr w:type="spellStart"/>
            <w:r w:rsidRPr="00EE5075">
              <w:t>whānau</w:t>
            </w:r>
            <w:proofErr w:type="spellEnd"/>
            <w:r w:rsidRPr="00EE5075">
              <w:t xml:space="preserve"> and</w:t>
            </w:r>
            <w:r>
              <w:t xml:space="preserve"> </w:t>
            </w:r>
            <w:r w:rsidRPr="00EE5075">
              <w:t>care providers</w:t>
            </w:r>
          </w:p>
        </w:tc>
        <w:tc>
          <w:tcPr>
            <w:tcW w:w="3402" w:type="dxa"/>
            <w:shd w:val="clear" w:color="auto" w:fill="auto"/>
          </w:tcPr>
          <w:p w14:paraId="0075D925" w14:textId="77777777" w:rsidR="002065A7" w:rsidRPr="00EE5075" w:rsidRDefault="002065A7" w:rsidP="002065A7">
            <w:pPr>
              <w:pStyle w:val="TableText"/>
              <w:ind w:right="113"/>
            </w:pPr>
            <w:r w:rsidRPr="00EE5075">
              <w:t>People actively participate in their</w:t>
            </w:r>
            <w:r>
              <w:t xml:space="preserve"> </w:t>
            </w:r>
            <w:r w:rsidRPr="00EE5075">
              <w:t>own health care. They can access and</w:t>
            </w:r>
            <w:r>
              <w:t xml:space="preserve"> </w:t>
            </w:r>
            <w:r w:rsidRPr="00EE5075">
              <w:t>contribute to their own health records.</w:t>
            </w:r>
            <w:r>
              <w:t xml:space="preserve"> </w:t>
            </w:r>
            <w:r w:rsidRPr="00EE5075">
              <w:t>They are able to schedule, manage and</w:t>
            </w:r>
            <w:r>
              <w:t xml:space="preserve"> </w:t>
            </w:r>
            <w:r w:rsidRPr="00EE5075">
              <w:t>access care</w:t>
            </w:r>
            <w:r>
              <w:t>.</w:t>
            </w:r>
          </w:p>
        </w:tc>
        <w:tc>
          <w:tcPr>
            <w:tcW w:w="1276" w:type="dxa"/>
            <w:vMerge/>
            <w:shd w:val="clear" w:color="auto" w:fill="auto"/>
          </w:tcPr>
          <w:p w14:paraId="0075D926" w14:textId="77777777" w:rsidR="002065A7" w:rsidRPr="00EE5075" w:rsidRDefault="002065A7" w:rsidP="002065A7">
            <w:pPr>
              <w:pStyle w:val="TableText"/>
              <w:rPr>
                <w:sz w:val="2"/>
                <w:szCs w:val="2"/>
              </w:rPr>
            </w:pPr>
          </w:p>
        </w:tc>
      </w:tr>
      <w:tr w:rsidR="002065A7" w:rsidRPr="00EE5075" w14:paraId="0075D92B" w14:textId="77777777" w:rsidTr="002065A7">
        <w:trPr>
          <w:cantSplit/>
        </w:trPr>
        <w:tc>
          <w:tcPr>
            <w:tcW w:w="3402" w:type="dxa"/>
            <w:shd w:val="clear" w:color="auto" w:fill="auto"/>
          </w:tcPr>
          <w:p w14:paraId="0075D928" w14:textId="77777777" w:rsidR="002065A7" w:rsidRPr="00EE5075" w:rsidRDefault="002065A7" w:rsidP="002065A7">
            <w:pPr>
              <w:pStyle w:val="TableText"/>
              <w:ind w:right="113"/>
            </w:pPr>
            <w:r w:rsidRPr="00EE5075">
              <w:t>Aging infrastructure and investment is not</w:t>
            </w:r>
            <w:r>
              <w:t xml:space="preserve"> </w:t>
            </w:r>
            <w:r w:rsidRPr="00EE5075">
              <w:t>coordinated, collaborative or consistent,</w:t>
            </w:r>
            <w:r>
              <w:t xml:space="preserve"> </w:t>
            </w:r>
            <w:r w:rsidRPr="00EE5075">
              <w:t>affecting our ability to aggregate and analyse data</w:t>
            </w:r>
          </w:p>
        </w:tc>
        <w:tc>
          <w:tcPr>
            <w:tcW w:w="3402" w:type="dxa"/>
            <w:shd w:val="clear" w:color="auto" w:fill="auto"/>
          </w:tcPr>
          <w:p w14:paraId="0075D929" w14:textId="77777777" w:rsidR="002065A7" w:rsidRPr="00EE5075" w:rsidRDefault="002065A7" w:rsidP="002065A7">
            <w:pPr>
              <w:pStyle w:val="TableText"/>
              <w:ind w:right="113"/>
            </w:pPr>
            <w:r w:rsidRPr="00EE5075">
              <w:t>Accelerated adoption of cloud technologies</w:t>
            </w:r>
            <w:r>
              <w:t xml:space="preserve"> </w:t>
            </w:r>
            <w:r w:rsidRPr="00EE5075">
              <w:t>results in efficiencies, collaboration at scale,</w:t>
            </w:r>
            <w:r>
              <w:t xml:space="preserve"> </w:t>
            </w:r>
            <w:r w:rsidRPr="00EE5075">
              <w:t>and coordinated change</w:t>
            </w:r>
            <w:r>
              <w:t>.</w:t>
            </w:r>
          </w:p>
        </w:tc>
        <w:tc>
          <w:tcPr>
            <w:tcW w:w="1276" w:type="dxa"/>
            <w:shd w:val="clear" w:color="auto" w:fill="auto"/>
          </w:tcPr>
          <w:p w14:paraId="0075D92A" w14:textId="77777777" w:rsidR="002065A7" w:rsidRPr="00EE5075" w:rsidRDefault="002065A7" w:rsidP="002065A7">
            <w:pPr>
              <w:pStyle w:val="TableText"/>
            </w:pPr>
            <w:r w:rsidRPr="00EE5075">
              <w:t>Best value</w:t>
            </w:r>
            <w:r>
              <w:t xml:space="preserve"> </w:t>
            </w:r>
            <w:r w:rsidRPr="00EE5075">
              <w:t>for public</w:t>
            </w:r>
            <w:r>
              <w:t xml:space="preserve"> </w:t>
            </w:r>
            <w:r w:rsidRPr="00EE5075">
              <w:t>health system resources</w:t>
            </w:r>
          </w:p>
        </w:tc>
      </w:tr>
      <w:tr w:rsidR="002065A7" w:rsidRPr="00EE5075" w14:paraId="0075D92F" w14:textId="77777777" w:rsidTr="002065A7">
        <w:trPr>
          <w:cantSplit/>
        </w:trPr>
        <w:tc>
          <w:tcPr>
            <w:tcW w:w="3402" w:type="dxa"/>
            <w:shd w:val="clear" w:color="auto" w:fill="auto"/>
          </w:tcPr>
          <w:p w14:paraId="0075D92C" w14:textId="77777777" w:rsidR="002065A7" w:rsidRPr="00EE5075" w:rsidRDefault="002065A7" w:rsidP="002065A7">
            <w:pPr>
              <w:pStyle w:val="TableText"/>
              <w:ind w:right="113"/>
            </w:pPr>
            <w:r w:rsidRPr="00EE5075">
              <w:t>Health workforce shortages and a deficit</w:t>
            </w:r>
            <w:r>
              <w:t xml:space="preserve"> </w:t>
            </w:r>
            <w:r w:rsidRPr="00EE5075">
              <w:t>in skilled leaders and data specialists</w:t>
            </w:r>
            <w:r>
              <w:t xml:space="preserve"> </w:t>
            </w:r>
            <w:r w:rsidRPr="00EE5075">
              <w:t>contribute to a lack of sector-wide</w:t>
            </w:r>
            <w:r>
              <w:t xml:space="preserve"> </w:t>
            </w:r>
            <w:r w:rsidRPr="00EE5075">
              <w:t>capability and capacity to manage,</w:t>
            </w:r>
            <w:r>
              <w:t xml:space="preserve"> </w:t>
            </w:r>
            <w:proofErr w:type="gramStart"/>
            <w:r w:rsidRPr="00EE5075">
              <w:t>govern</w:t>
            </w:r>
            <w:proofErr w:type="gramEnd"/>
            <w:r w:rsidRPr="00EE5075">
              <w:t xml:space="preserve"> and use data effectively</w:t>
            </w:r>
          </w:p>
        </w:tc>
        <w:tc>
          <w:tcPr>
            <w:tcW w:w="3402" w:type="dxa"/>
            <w:shd w:val="clear" w:color="auto" w:fill="auto"/>
          </w:tcPr>
          <w:p w14:paraId="0075D92D" w14:textId="77777777" w:rsidR="002065A7" w:rsidRPr="00EE5075" w:rsidRDefault="002065A7" w:rsidP="002065A7">
            <w:pPr>
              <w:pStyle w:val="TableText"/>
              <w:ind w:right="113"/>
            </w:pPr>
            <w:r w:rsidRPr="00EE5075">
              <w:t>A skilled and proficient health workforce</w:t>
            </w:r>
            <w:r>
              <w:t xml:space="preserve"> </w:t>
            </w:r>
            <w:r w:rsidRPr="00EE5075">
              <w:t xml:space="preserve">governs, </w:t>
            </w:r>
            <w:proofErr w:type="gramStart"/>
            <w:r w:rsidRPr="00EE5075">
              <w:t>uses</w:t>
            </w:r>
            <w:proofErr w:type="gramEnd"/>
            <w:r w:rsidRPr="00EE5075">
              <w:t xml:space="preserve"> and respects data as</w:t>
            </w:r>
            <w:r>
              <w:t xml:space="preserve"> </w:t>
            </w:r>
            <w:r w:rsidRPr="00EE5075">
              <w:t>a taonga. As new data management</w:t>
            </w:r>
            <w:r>
              <w:t xml:space="preserve"> </w:t>
            </w:r>
            <w:r w:rsidRPr="00EE5075">
              <w:t>professions emerge, the health sector is</w:t>
            </w:r>
            <w:r>
              <w:t xml:space="preserve"> </w:t>
            </w:r>
            <w:r w:rsidRPr="00EE5075">
              <w:t xml:space="preserve">seen as an aspirational place to </w:t>
            </w:r>
            <w:proofErr w:type="gramStart"/>
            <w:r w:rsidRPr="00EE5075">
              <w:t>work, and</w:t>
            </w:r>
            <w:proofErr w:type="gramEnd"/>
            <w:r w:rsidRPr="00EE5075">
              <w:t xml:space="preserve"> attracts and retains highly capable talent</w:t>
            </w:r>
            <w:r>
              <w:t>.</w:t>
            </w:r>
          </w:p>
        </w:tc>
        <w:tc>
          <w:tcPr>
            <w:tcW w:w="1276" w:type="dxa"/>
            <w:shd w:val="clear" w:color="auto" w:fill="auto"/>
          </w:tcPr>
          <w:p w14:paraId="0075D92E" w14:textId="77777777" w:rsidR="002065A7" w:rsidRPr="00EE5075" w:rsidRDefault="002065A7" w:rsidP="002065A7">
            <w:pPr>
              <w:pStyle w:val="TableText"/>
              <w:rPr>
                <w:rFonts w:ascii="Times New Roman"/>
              </w:rPr>
            </w:pPr>
          </w:p>
        </w:tc>
      </w:tr>
      <w:tr w:rsidR="002065A7" w:rsidRPr="00EE5075" w14:paraId="0075D933" w14:textId="77777777" w:rsidTr="002065A7">
        <w:trPr>
          <w:cantSplit/>
        </w:trPr>
        <w:tc>
          <w:tcPr>
            <w:tcW w:w="3402" w:type="dxa"/>
            <w:shd w:val="clear" w:color="auto" w:fill="auto"/>
          </w:tcPr>
          <w:p w14:paraId="0075D930" w14:textId="77777777" w:rsidR="002065A7" w:rsidRPr="00EE5075" w:rsidRDefault="002065A7" w:rsidP="002065A7">
            <w:pPr>
              <w:pStyle w:val="TableText"/>
              <w:ind w:right="113"/>
            </w:pPr>
            <w:r w:rsidRPr="00EE5075">
              <w:t>There is a risk of introducing more inequity</w:t>
            </w:r>
            <w:r>
              <w:t xml:space="preserve"> </w:t>
            </w:r>
            <w:r w:rsidRPr="00EE5075">
              <w:t>into the system with new technology and</w:t>
            </w:r>
            <w:r>
              <w:t xml:space="preserve"> </w:t>
            </w:r>
            <w:r w:rsidRPr="00EE5075">
              <w:t>advances in the use of data, and existing</w:t>
            </w:r>
            <w:r>
              <w:t xml:space="preserve"> </w:t>
            </w:r>
            <w:r w:rsidRPr="00EE5075">
              <w:t>inequities in care and outcomes persist</w:t>
            </w:r>
          </w:p>
        </w:tc>
        <w:tc>
          <w:tcPr>
            <w:tcW w:w="3402" w:type="dxa"/>
            <w:shd w:val="clear" w:color="auto" w:fill="auto"/>
          </w:tcPr>
          <w:p w14:paraId="0075D931" w14:textId="77777777" w:rsidR="002065A7" w:rsidRPr="00EE5075" w:rsidRDefault="002065A7" w:rsidP="002065A7">
            <w:pPr>
              <w:pStyle w:val="TableText"/>
              <w:ind w:right="113"/>
            </w:pPr>
            <w:r w:rsidRPr="00EE5075">
              <w:t xml:space="preserve">Equity is measured, </w:t>
            </w:r>
            <w:proofErr w:type="gramStart"/>
            <w:r w:rsidRPr="00EE5075">
              <w:t>understood</w:t>
            </w:r>
            <w:proofErr w:type="gramEnd"/>
            <w:r w:rsidRPr="00EE5075">
              <w:t xml:space="preserve"> and</w:t>
            </w:r>
            <w:r>
              <w:t xml:space="preserve"> </w:t>
            </w:r>
            <w:r w:rsidRPr="00EE5075">
              <w:t>addressed at a system-wide level and at</w:t>
            </w:r>
            <w:r>
              <w:t xml:space="preserve"> </w:t>
            </w:r>
            <w:r w:rsidRPr="00EE5075">
              <w:t>a personal level with consumers. Māori</w:t>
            </w:r>
            <w:r>
              <w:t xml:space="preserve"> </w:t>
            </w:r>
            <w:r w:rsidRPr="00EE5075">
              <w:t>and consumers are active participants in</w:t>
            </w:r>
            <w:r>
              <w:t xml:space="preserve"> </w:t>
            </w:r>
            <w:r w:rsidRPr="00EE5075">
              <w:t>data governance, and their contributions</w:t>
            </w:r>
            <w:r>
              <w:t xml:space="preserve"> </w:t>
            </w:r>
            <w:r w:rsidRPr="00EE5075">
              <w:t>create more effective data management</w:t>
            </w:r>
            <w:r>
              <w:t>.</w:t>
            </w:r>
          </w:p>
        </w:tc>
        <w:tc>
          <w:tcPr>
            <w:tcW w:w="1276" w:type="dxa"/>
            <w:shd w:val="clear" w:color="auto" w:fill="auto"/>
          </w:tcPr>
          <w:p w14:paraId="0075D932" w14:textId="77777777" w:rsidR="002065A7" w:rsidRPr="00EE5075" w:rsidRDefault="002065A7" w:rsidP="002065A7">
            <w:pPr>
              <w:pStyle w:val="TableText"/>
            </w:pPr>
            <w:r w:rsidRPr="00EE5075">
              <w:t>Improved</w:t>
            </w:r>
            <w:r>
              <w:t xml:space="preserve"> </w:t>
            </w:r>
            <w:r w:rsidRPr="00EE5075">
              <w:t>health and</w:t>
            </w:r>
            <w:r>
              <w:t xml:space="preserve"> </w:t>
            </w:r>
            <w:r w:rsidRPr="00EE5075">
              <w:t>equity for all</w:t>
            </w:r>
            <w:r>
              <w:t xml:space="preserve"> </w:t>
            </w:r>
            <w:r w:rsidRPr="00EE5075">
              <w:t>populations</w:t>
            </w:r>
          </w:p>
        </w:tc>
      </w:tr>
    </w:tbl>
    <w:p w14:paraId="0075D934" w14:textId="77777777" w:rsidR="00770FEA" w:rsidRPr="00EE5075" w:rsidRDefault="00770FEA" w:rsidP="002065A7"/>
    <w:sectPr w:rsidR="00770FEA" w:rsidRPr="00EE5075" w:rsidSect="002B7BEC">
      <w:footerReference w:type="even" r:id="rId61"/>
      <w:footerReference w:type="default" r:id="rId62"/>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5D950" w14:textId="77777777" w:rsidR="0073159A" w:rsidRDefault="0073159A">
      <w:r>
        <w:separator/>
      </w:r>
    </w:p>
    <w:p w14:paraId="0075D951" w14:textId="77777777" w:rsidR="0073159A" w:rsidRDefault="0073159A"/>
  </w:endnote>
  <w:endnote w:type="continuationSeparator" w:id="0">
    <w:p w14:paraId="0075D952" w14:textId="77777777" w:rsidR="0073159A" w:rsidRDefault="0073159A">
      <w:r>
        <w:continuationSeparator/>
      </w:r>
    </w:p>
    <w:p w14:paraId="0075D953" w14:textId="77777777" w:rsidR="0073159A" w:rsidRDefault="0073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58" w14:textId="77777777" w:rsidR="00257B2B" w:rsidRPr="00581136" w:rsidRDefault="00257B2B"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0075D959" w14:textId="77777777" w:rsidR="00257B2B" w:rsidRPr="005A79E5" w:rsidRDefault="00257B2B">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257B2B" w14:paraId="0075D977" w14:textId="77777777" w:rsidTr="006E2886">
      <w:trPr>
        <w:cantSplit/>
      </w:trPr>
      <w:tc>
        <w:tcPr>
          <w:tcW w:w="675" w:type="dxa"/>
          <w:vAlign w:val="center"/>
        </w:tcPr>
        <w:p w14:paraId="0075D975" w14:textId="77777777" w:rsidR="00257B2B" w:rsidRPr="00931466" w:rsidRDefault="00257B2B"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0FEA">
            <w:rPr>
              <w:rStyle w:val="PageNumber"/>
              <w:noProof/>
            </w:rPr>
            <w:t>28</w:t>
          </w:r>
          <w:r w:rsidRPr="00931466">
            <w:rPr>
              <w:rStyle w:val="PageNumber"/>
            </w:rPr>
            <w:fldChar w:fldCharType="end"/>
          </w:r>
        </w:p>
      </w:tc>
      <w:tc>
        <w:tcPr>
          <w:tcW w:w="9072" w:type="dxa"/>
          <w:vAlign w:val="center"/>
        </w:tcPr>
        <w:p w14:paraId="0075D976" w14:textId="77777777" w:rsidR="00257B2B" w:rsidRDefault="00257B2B" w:rsidP="001E171F">
          <w:pPr>
            <w:pStyle w:val="RectoFooter"/>
            <w:ind w:left="-108"/>
            <w:jc w:val="left"/>
          </w:pPr>
          <w:r>
            <w:t>data and informa</w:t>
          </w:r>
          <w:r w:rsidR="001E171F">
            <w:t>t</w:t>
          </w:r>
          <w:r>
            <w:t>ion strategy for health and disability</w:t>
          </w:r>
        </w:p>
      </w:tc>
    </w:tr>
  </w:tbl>
  <w:p w14:paraId="0075D978" w14:textId="77777777" w:rsidR="00257B2B" w:rsidRPr="00571223" w:rsidRDefault="00257B2B"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57B2B" w14:paraId="0075D97B" w14:textId="77777777" w:rsidTr="006E2886">
      <w:trPr>
        <w:cantSplit/>
      </w:trPr>
      <w:tc>
        <w:tcPr>
          <w:tcW w:w="8080" w:type="dxa"/>
          <w:vAlign w:val="center"/>
        </w:tcPr>
        <w:p w14:paraId="0075D979" w14:textId="77777777" w:rsidR="00257B2B" w:rsidRDefault="00257B2B" w:rsidP="003308C3">
          <w:pPr>
            <w:pStyle w:val="RectoFooter"/>
          </w:pPr>
          <w:r>
            <w:t>data and information strategy for health and disability</w:t>
          </w:r>
        </w:p>
      </w:tc>
      <w:tc>
        <w:tcPr>
          <w:tcW w:w="709" w:type="dxa"/>
          <w:vAlign w:val="center"/>
        </w:tcPr>
        <w:p w14:paraId="0075D97A" w14:textId="77777777" w:rsidR="00257B2B" w:rsidRPr="00931466" w:rsidRDefault="00257B2B"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0FEA">
            <w:rPr>
              <w:rStyle w:val="PageNumber"/>
              <w:noProof/>
            </w:rPr>
            <w:t>27</w:t>
          </w:r>
          <w:r w:rsidRPr="00931466">
            <w:rPr>
              <w:rStyle w:val="PageNumber"/>
            </w:rPr>
            <w:fldChar w:fldCharType="end"/>
          </w:r>
        </w:p>
      </w:tc>
    </w:tr>
  </w:tbl>
  <w:p w14:paraId="0075D97C" w14:textId="77777777" w:rsidR="00257B2B" w:rsidRPr="00581EB8" w:rsidRDefault="00257B2B"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5A" w14:textId="77777777" w:rsidR="00257B2B" w:rsidRDefault="00257B2B"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5B" w14:textId="77777777" w:rsidR="00257B2B" w:rsidRDefault="00257B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257B2B" w14:paraId="0075D960" w14:textId="77777777" w:rsidTr="006E2886">
      <w:trPr>
        <w:cantSplit/>
      </w:trPr>
      <w:tc>
        <w:tcPr>
          <w:tcW w:w="709" w:type="dxa"/>
          <w:vAlign w:val="center"/>
        </w:tcPr>
        <w:p w14:paraId="0075D95E" w14:textId="77777777" w:rsidR="00257B2B" w:rsidRPr="00931466" w:rsidRDefault="00257B2B"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0FEA">
            <w:rPr>
              <w:rStyle w:val="PageNumber"/>
              <w:noProof/>
            </w:rPr>
            <w:t>iv</w:t>
          </w:r>
          <w:r w:rsidRPr="00931466">
            <w:rPr>
              <w:rStyle w:val="PageNumber"/>
            </w:rPr>
            <w:fldChar w:fldCharType="end"/>
          </w:r>
        </w:p>
      </w:tc>
      <w:tc>
        <w:tcPr>
          <w:tcW w:w="8080" w:type="dxa"/>
          <w:vAlign w:val="center"/>
        </w:tcPr>
        <w:p w14:paraId="0075D95F" w14:textId="77777777" w:rsidR="00257B2B" w:rsidRDefault="00257B2B" w:rsidP="003308C3">
          <w:pPr>
            <w:pStyle w:val="RectoFooter"/>
            <w:jc w:val="left"/>
          </w:pPr>
          <w:r>
            <w:t>data and information strategy for health and disability</w:t>
          </w:r>
        </w:p>
      </w:tc>
    </w:tr>
  </w:tbl>
  <w:p w14:paraId="0075D961" w14:textId="77777777" w:rsidR="00257B2B" w:rsidRPr="00571223" w:rsidRDefault="00257B2B"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57B2B" w14:paraId="0075D964" w14:textId="77777777" w:rsidTr="006B62E6">
      <w:trPr>
        <w:cantSplit/>
      </w:trPr>
      <w:tc>
        <w:tcPr>
          <w:tcW w:w="8080" w:type="dxa"/>
          <w:vAlign w:val="center"/>
        </w:tcPr>
        <w:p w14:paraId="0075D962" w14:textId="77777777" w:rsidR="00257B2B" w:rsidRDefault="00257B2B" w:rsidP="003308C3">
          <w:pPr>
            <w:pStyle w:val="RectoFooter"/>
          </w:pPr>
          <w:r>
            <w:t>data and information strategy for health and disability</w:t>
          </w:r>
        </w:p>
      </w:tc>
      <w:tc>
        <w:tcPr>
          <w:tcW w:w="709" w:type="dxa"/>
          <w:vAlign w:val="center"/>
        </w:tcPr>
        <w:p w14:paraId="0075D963" w14:textId="77777777" w:rsidR="00257B2B" w:rsidRPr="00931466" w:rsidRDefault="00257B2B"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0FEA">
            <w:rPr>
              <w:rStyle w:val="PageNumber"/>
              <w:noProof/>
            </w:rPr>
            <w:t>iii</w:t>
          </w:r>
          <w:r w:rsidRPr="00931466">
            <w:rPr>
              <w:rStyle w:val="PageNumber"/>
            </w:rPr>
            <w:fldChar w:fldCharType="end"/>
          </w:r>
        </w:p>
      </w:tc>
    </w:tr>
  </w:tbl>
  <w:p w14:paraId="0075D965" w14:textId="77777777" w:rsidR="00257B2B" w:rsidRPr="00581EB8" w:rsidRDefault="00257B2B"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257B2B" w14:paraId="0075D96A" w14:textId="77777777" w:rsidTr="00D662F8">
      <w:trPr>
        <w:cantSplit/>
      </w:trPr>
      <w:tc>
        <w:tcPr>
          <w:tcW w:w="709" w:type="dxa"/>
          <w:vAlign w:val="center"/>
        </w:tcPr>
        <w:p w14:paraId="0075D968" w14:textId="77777777" w:rsidR="00257B2B" w:rsidRPr="00931466" w:rsidRDefault="00257B2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065A7">
            <w:rPr>
              <w:rStyle w:val="PageNumber"/>
              <w:noProof/>
            </w:rPr>
            <w:t>vi</w:t>
          </w:r>
          <w:r w:rsidRPr="00931466">
            <w:rPr>
              <w:rStyle w:val="PageNumber"/>
            </w:rPr>
            <w:fldChar w:fldCharType="end"/>
          </w:r>
        </w:p>
      </w:tc>
      <w:tc>
        <w:tcPr>
          <w:tcW w:w="8080" w:type="dxa"/>
          <w:vAlign w:val="center"/>
        </w:tcPr>
        <w:p w14:paraId="0075D969" w14:textId="77777777" w:rsidR="00257B2B" w:rsidRDefault="00257B2B" w:rsidP="00117F59">
          <w:pPr>
            <w:pStyle w:val="RectoFooter"/>
            <w:jc w:val="left"/>
          </w:pPr>
          <w:r>
            <w:t>[title]: [subhead]</w:t>
          </w:r>
        </w:p>
      </w:tc>
    </w:tr>
  </w:tbl>
  <w:p w14:paraId="0075D96B" w14:textId="77777777" w:rsidR="00257B2B" w:rsidRPr="00571223" w:rsidRDefault="00257B2B"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57B2B" w14:paraId="0075D96E" w14:textId="77777777" w:rsidTr="006E2886">
      <w:trPr>
        <w:cantSplit/>
      </w:trPr>
      <w:tc>
        <w:tcPr>
          <w:tcW w:w="8080" w:type="dxa"/>
          <w:vAlign w:val="center"/>
        </w:tcPr>
        <w:p w14:paraId="0075D96C" w14:textId="77777777" w:rsidR="00257B2B" w:rsidRDefault="00257B2B" w:rsidP="003308C3">
          <w:pPr>
            <w:pStyle w:val="RectoFooter"/>
          </w:pPr>
          <w:r>
            <w:t>data and information strategy for health and disability</w:t>
          </w:r>
        </w:p>
      </w:tc>
      <w:tc>
        <w:tcPr>
          <w:tcW w:w="709" w:type="dxa"/>
          <w:vAlign w:val="center"/>
        </w:tcPr>
        <w:p w14:paraId="0075D96D" w14:textId="77777777" w:rsidR="00257B2B" w:rsidRPr="00931466" w:rsidRDefault="00257B2B"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0FEA">
            <w:rPr>
              <w:rStyle w:val="PageNumber"/>
              <w:noProof/>
            </w:rPr>
            <w:t>v</w:t>
          </w:r>
          <w:r w:rsidRPr="00931466">
            <w:rPr>
              <w:rStyle w:val="PageNumber"/>
            </w:rPr>
            <w:fldChar w:fldCharType="end"/>
          </w:r>
        </w:p>
      </w:tc>
    </w:tr>
  </w:tbl>
  <w:p w14:paraId="0075D96F" w14:textId="77777777" w:rsidR="00257B2B" w:rsidRPr="00581EB8" w:rsidRDefault="00257B2B"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70" w14:textId="77777777" w:rsidR="00257B2B" w:rsidRPr="00571223" w:rsidRDefault="00257B2B"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257B2B" w14:paraId="0075D973" w14:textId="77777777" w:rsidTr="006E2886">
      <w:trPr>
        <w:cantSplit/>
      </w:trPr>
      <w:tc>
        <w:tcPr>
          <w:tcW w:w="675" w:type="dxa"/>
          <w:vAlign w:val="center"/>
        </w:tcPr>
        <w:p w14:paraId="0075D971" w14:textId="77777777" w:rsidR="00257B2B" w:rsidRPr="00931466" w:rsidRDefault="00257B2B"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70FEA">
            <w:rPr>
              <w:rStyle w:val="PageNumber"/>
              <w:noProof/>
            </w:rPr>
            <w:t>xii</w:t>
          </w:r>
          <w:r w:rsidRPr="00931466">
            <w:rPr>
              <w:rStyle w:val="PageNumber"/>
            </w:rPr>
            <w:fldChar w:fldCharType="end"/>
          </w:r>
        </w:p>
      </w:tc>
      <w:tc>
        <w:tcPr>
          <w:tcW w:w="9072" w:type="dxa"/>
          <w:vAlign w:val="center"/>
        </w:tcPr>
        <w:p w14:paraId="0075D972" w14:textId="77777777" w:rsidR="00257B2B" w:rsidRDefault="00257B2B" w:rsidP="000B2FFC">
          <w:pPr>
            <w:pStyle w:val="RectoFooter"/>
            <w:jc w:val="left"/>
          </w:pPr>
          <w:r>
            <w:t>data and information strategy for health and disability</w:t>
          </w:r>
        </w:p>
      </w:tc>
    </w:tr>
  </w:tbl>
  <w:p w14:paraId="0075D974" w14:textId="77777777" w:rsidR="00257B2B" w:rsidRPr="00571223" w:rsidRDefault="00257B2B"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D94D" w14:textId="77777777" w:rsidR="0073159A" w:rsidRPr="00A26E6B" w:rsidRDefault="0073159A" w:rsidP="00A26E6B"/>
  </w:footnote>
  <w:footnote w:type="continuationSeparator" w:id="0">
    <w:p w14:paraId="0075D94E" w14:textId="77777777" w:rsidR="0073159A" w:rsidRDefault="0073159A">
      <w:r>
        <w:continuationSeparator/>
      </w:r>
    </w:p>
    <w:p w14:paraId="0075D94F" w14:textId="77777777" w:rsidR="0073159A" w:rsidRDefault="00731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257B2B" w14:paraId="0075D956" w14:textId="77777777" w:rsidTr="005A79E5">
      <w:trPr>
        <w:cantSplit/>
      </w:trPr>
      <w:tc>
        <w:tcPr>
          <w:tcW w:w="5210" w:type="dxa"/>
        </w:tcPr>
        <w:p w14:paraId="0075D954" w14:textId="77777777" w:rsidR="00257B2B" w:rsidRDefault="00257B2B" w:rsidP="008814E8">
          <w:pPr>
            <w:pStyle w:val="Header"/>
          </w:pPr>
          <w:r>
            <w:rPr>
              <w:noProof/>
              <w:lang w:eastAsia="en-NZ"/>
            </w:rPr>
            <w:drawing>
              <wp:inline distT="0" distB="0" distL="0" distR="0" wp14:anchorId="0075D97D" wp14:editId="3E4983EA">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075D955" w14:textId="77777777" w:rsidR="00257B2B" w:rsidRDefault="00257B2B" w:rsidP="008814E8">
          <w:pPr>
            <w:pStyle w:val="Header"/>
            <w:jc w:val="right"/>
          </w:pPr>
          <w:r>
            <w:rPr>
              <w:noProof/>
              <w:lang w:eastAsia="en-NZ"/>
            </w:rPr>
            <w:drawing>
              <wp:inline distT="0" distB="0" distL="0" distR="0" wp14:anchorId="0075D97F" wp14:editId="0B3C04F3">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075D957" w14:textId="77777777" w:rsidR="00257B2B" w:rsidRDefault="00257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5C" w14:textId="77777777" w:rsidR="00257B2B" w:rsidRDefault="00257B2B"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5D" w14:textId="77777777" w:rsidR="00257B2B" w:rsidRDefault="00257B2B"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66" w14:textId="77777777" w:rsidR="00257B2B" w:rsidRDefault="00257B2B"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D967" w14:textId="77777777" w:rsidR="00257B2B" w:rsidRDefault="00257B2B"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AB4A8C"/>
    <w:multiLevelType w:val="hybridMultilevel"/>
    <w:tmpl w:val="5C964522"/>
    <w:lvl w:ilvl="0" w:tplc="C0CE338A">
      <w:numFmt w:val="bullet"/>
      <w:lvlText w:val="•"/>
      <w:lvlJc w:val="left"/>
      <w:pPr>
        <w:ind w:left="552" w:hanging="284"/>
      </w:pPr>
      <w:rPr>
        <w:rFonts w:ascii="Arial" w:eastAsia="Arial" w:hAnsi="Arial" w:cs="Arial" w:hint="default"/>
        <w:color w:val="231F20"/>
        <w:w w:val="117"/>
        <w:sz w:val="20"/>
        <w:szCs w:val="20"/>
        <w:lang w:val="en-US" w:eastAsia="en-US" w:bidi="en-US"/>
      </w:rPr>
    </w:lvl>
    <w:lvl w:ilvl="1" w:tplc="90360D3E">
      <w:numFmt w:val="bullet"/>
      <w:lvlText w:val="•"/>
      <w:lvlJc w:val="left"/>
      <w:pPr>
        <w:ind w:left="1133" w:hanging="284"/>
      </w:pPr>
      <w:rPr>
        <w:rFonts w:ascii="Arial" w:eastAsia="Arial" w:hAnsi="Arial" w:cs="Arial" w:hint="default"/>
        <w:color w:val="231F20"/>
        <w:w w:val="117"/>
        <w:sz w:val="20"/>
        <w:szCs w:val="20"/>
        <w:lang w:val="en-US" w:eastAsia="en-US" w:bidi="en-US"/>
      </w:rPr>
    </w:lvl>
    <w:lvl w:ilvl="2" w:tplc="53F435A8">
      <w:numFmt w:val="bullet"/>
      <w:lvlText w:val="•"/>
      <w:lvlJc w:val="left"/>
      <w:pPr>
        <w:ind w:left="1420" w:hanging="284"/>
      </w:pPr>
      <w:rPr>
        <w:rFonts w:hint="default"/>
        <w:lang w:val="en-US" w:eastAsia="en-US" w:bidi="en-US"/>
      </w:rPr>
    </w:lvl>
    <w:lvl w:ilvl="3" w:tplc="CBB44974">
      <w:numFmt w:val="bullet"/>
      <w:lvlText w:val="•"/>
      <w:lvlJc w:val="left"/>
      <w:pPr>
        <w:ind w:left="1233" w:hanging="284"/>
      </w:pPr>
      <w:rPr>
        <w:rFonts w:hint="default"/>
        <w:lang w:val="en-US" w:eastAsia="en-US" w:bidi="en-US"/>
      </w:rPr>
    </w:lvl>
    <w:lvl w:ilvl="4" w:tplc="7F148A1C">
      <w:numFmt w:val="bullet"/>
      <w:lvlText w:val="•"/>
      <w:lvlJc w:val="left"/>
      <w:pPr>
        <w:ind w:left="1046" w:hanging="284"/>
      </w:pPr>
      <w:rPr>
        <w:rFonts w:hint="default"/>
        <w:lang w:val="en-US" w:eastAsia="en-US" w:bidi="en-US"/>
      </w:rPr>
    </w:lvl>
    <w:lvl w:ilvl="5" w:tplc="FBC42F84">
      <w:numFmt w:val="bullet"/>
      <w:lvlText w:val="•"/>
      <w:lvlJc w:val="left"/>
      <w:pPr>
        <w:ind w:left="859" w:hanging="284"/>
      </w:pPr>
      <w:rPr>
        <w:rFonts w:hint="default"/>
        <w:lang w:val="en-US" w:eastAsia="en-US" w:bidi="en-US"/>
      </w:rPr>
    </w:lvl>
    <w:lvl w:ilvl="6" w:tplc="61009800">
      <w:numFmt w:val="bullet"/>
      <w:lvlText w:val="•"/>
      <w:lvlJc w:val="left"/>
      <w:pPr>
        <w:ind w:left="672" w:hanging="284"/>
      </w:pPr>
      <w:rPr>
        <w:rFonts w:hint="default"/>
        <w:lang w:val="en-US" w:eastAsia="en-US" w:bidi="en-US"/>
      </w:rPr>
    </w:lvl>
    <w:lvl w:ilvl="7" w:tplc="A1B408A4">
      <w:numFmt w:val="bullet"/>
      <w:lvlText w:val="•"/>
      <w:lvlJc w:val="left"/>
      <w:pPr>
        <w:ind w:left="485" w:hanging="284"/>
      </w:pPr>
      <w:rPr>
        <w:rFonts w:hint="default"/>
        <w:lang w:val="en-US" w:eastAsia="en-US" w:bidi="en-US"/>
      </w:rPr>
    </w:lvl>
    <w:lvl w:ilvl="8" w:tplc="B8A4255C">
      <w:numFmt w:val="bullet"/>
      <w:lvlText w:val="•"/>
      <w:lvlJc w:val="left"/>
      <w:pPr>
        <w:ind w:left="298" w:hanging="284"/>
      </w:pPr>
      <w:rPr>
        <w:rFonts w:hint="default"/>
        <w:lang w:val="en-US" w:eastAsia="en-US" w:bidi="en-US"/>
      </w:rPr>
    </w:lvl>
  </w:abstractNum>
  <w:abstractNum w:abstractNumId="13"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4"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9"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3571239"/>
    <w:multiLevelType w:val="hybridMultilevel"/>
    <w:tmpl w:val="A67671A2"/>
    <w:lvl w:ilvl="0" w:tplc="F864C0F4">
      <w:numFmt w:val="bullet"/>
      <w:lvlText w:val="•"/>
      <w:lvlJc w:val="left"/>
      <w:pPr>
        <w:ind w:left="1133" w:hanging="284"/>
      </w:pPr>
      <w:rPr>
        <w:rFonts w:ascii="Arial" w:eastAsia="Arial" w:hAnsi="Arial" w:cs="Arial" w:hint="default"/>
        <w:color w:val="231F20"/>
        <w:w w:val="117"/>
        <w:sz w:val="20"/>
        <w:szCs w:val="20"/>
        <w:lang w:val="en-US" w:eastAsia="en-US" w:bidi="en-US"/>
      </w:rPr>
    </w:lvl>
    <w:lvl w:ilvl="1" w:tplc="D58269DC">
      <w:numFmt w:val="bullet"/>
      <w:lvlText w:val="•"/>
      <w:lvlJc w:val="left"/>
      <w:pPr>
        <w:ind w:left="1604" w:hanging="284"/>
      </w:pPr>
      <w:rPr>
        <w:rFonts w:hint="default"/>
        <w:lang w:val="en-US" w:eastAsia="en-US" w:bidi="en-US"/>
      </w:rPr>
    </w:lvl>
    <w:lvl w:ilvl="2" w:tplc="8594DEFC">
      <w:numFmt w:val="bullet"/>
      <w:lvlText w:val="•"/>
      <w:lvlJc w:val="left"/>
      <w:pPr>
        <w:ind w:left="2069" w:hanging="284"/>
      </w:pPr>
      <w:rPr>
        <w:rFonts w:hint="default"/>
        <w:lang w:val="en-US" w:eastAsia="en-US" w:bidi="en-US"/>
      </w:rPr>
    </w:lvl>
    <w:lvl w:ilvl="3" w:tplc="EC541C12">
      <w:numFmt w:val="bullet"/>
      <w:lvlText w:val="•"/>
      <w:lvlJc w:val="left"/>
      <w:pPr>
        <w:ind w:left="2533" w:hanging="284"/>
      </w:pPr>
      <w:rPr>
        <w:rFonts w:hint="default"/>
        <w:lang w:val="en-US" w:eastAsia="en-US" w:bidi="en-US"/>
      </w:rPr>
    </w:lvl>
    <w:lvl w:ilvl="4" w:tplc="46AA4838">
      <w:numFmt w:val="bullet"/>
      <w:lvlText w:val="•"/>
      <w:lvlJc w:val="left"/>
      <w:pPr>
        <w:ind w:left="2998" w:hanging="284"/>
      </w:pPr>
      <w:rPr>
        <w:rFonts w:hint="default"/>
        <w:lang w:val="en-US" w:eastAsia="en-US" w:bidi="en-US"/>
      </w:rPr>
    </w:lvl>
    <w:lvl w:ilvl="5" w:tplc="17BE54B8">
      <w:numFmt w:val="bullet"/>
      <w:lvlText w:val="•"/>
      <w:lvlJc w:val="left"/>
      <w:pPr>
        <w:ind w:left="3462" w:hanging="284"/>
      </w:pPr>
      <w:rPr>
        <w:rFonts w:hint="default"/>
        <w:lang w:val="en-US" w:eastAsia="en-US" w:bidi="en-US"/>
      </w:rPr>
    </w:lvl>
    <w:lvl w:ilvl="6" w:tplc="AE36D028">
      <w:numFmt w:val="bullet"/>
      <w:lvlText w:val="•"/>
      <w:lvlJc w:val="left"/>
      <w:pPr>
        <w:ind w:left="3927" w:hanging="284"/>
      </w:pPr>
      <w:rPr>
        <w:rFonts w:hint="default"/>
        <w:lang w:val="en-US" w:eastAsia="en-US" w:bidi="en-US"/>
      </w:rPr>
    </w:lvl>
    <w:lvl w:ilvl="7" w:tplc="4B02EE12">
      <w:numFmt w:val="bullet"/>
      <w:lvlText w:val="•"/>
      <w:lvlJc w:val="left"/>
      <w:pPr>
        <w:ind w:left="4391" w:hanging="284"/>
      </w:pPr>
      <w:rPr>
        <w:rFonts w:hint="default"/>
        <w:lang w:val="en-US" w:eastAsia="en-US" w:bidi="en-US"/>
      </w:rPr>
    </w:lvl>
    <w:lvl w:ilvl="8" w:tplc="E4BEDC16">
      <w:numFmt w:val="bullet"/>
      <w:lvlText w:val="•"/>
      <w:lvlJc w:val="left"/>
      <w:pPr>
        <w:ind w:left="4856" w:hanging="284"/>
      </w:pPr>
      <w:rPr>
        <w:rFonts w:hint="default"/>
        <w:lang w:val="en-US" w:eastAsia="en-US" w:bidi="en-US"/>
      </w:rPr>
    </w:lvl>
  </w:abstractNum>
  <w:abstractNum w:abstractNumId="26"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9A735E9"/>
    <w:multiLevelType w:val="hybridMultilevel"/>
    <w:tmpl w:val="E7B832E0"/>
    <w:lvl w:ilvl="0" w:tplc="38687240">
      <w:start w:val="1"/>
      <w:numFmt w:val="decimal"/>
      <w:lvlText w:val="%1."/>
      <w:lvlJc w:val="left"/>
      <w:pPr>
        <w:ind w:left="1275" w:hanging="426"/>
      </w:pPr>
      <w:rPr>
        <w:rFonts w:ascii="Arial" w:eastAsia="Arial" w:hAnsi="Arial" w:cs="Arial" w:hint="default"/>
        <w:b/>
        <w:bCs/>
        <w:color w:val="231F20"/>
        <w:w w:val="74"/>
        <w:sz w:val="20"/>
        <w:szCs w:val="20"/>
        <w:lang w:val="en-US" w:eastAsia="en-US" w:bidi="en-US"/>
      </w:rPr>
    </w:lvl>
    <w:lvl w:ilvl="1" w:tplc="9A30BDAE">
      <w:numFmt w:val="bullet"/>
      <w:lvlText w:val="•"/>
      <w:lvlJc w:val="left"/>
      <w:pPr>
        <w:ind w:left="2342" w:hanging="426"/>
      </w:pPr>
      <w:rPr>
        <w:rFonts w:hint="default"/>
        <w:lang w:val="en-US" w:eastAsia="en-US" w:bidi="en-US"/>
      </w:rPr>
    </w:lvl>
    <w:lvl w:ilvl="2" w:tplc="5588AE0A">
      <w:numFmt w:val="bullet"/>
      <w:lvlText w:val="•"/>
      <w:lvlJc w:val="left"/>
      <w:pPr>
        <w:ind w:left="3405" w:hanging="426"/>
      </w:pPr>
      <w:rPr>
        <w:rFonts w:hint="default"/>
        <w:lang w:val="en-US" w:eastAsia="en-US" w:bidi="en-US"/>
      </w:rPr>
    </w:lvl>
    <w:lvl w:ilvl="3" w:tplc="6030AEF6">
      <w:numFmt w:val="bullet"/>
      <w:lvlText w:val="•"/>
      <w:lvlJc w:val="left"/>
      <w:pPr>
        <w:ind w:left="4467" w:hanging="426"/>
      </w:pPr>
      <w:rPr>
        <w:rFonts w:hint="default"/>
        <w:lang w:val="en-US" w:eastAsia="en-US" w:bidi="en-US"/>
      </w:rPr>
    </w:lvl>
    <w:lvl w:ilvl="4" w:tplc="C4360806">
      <w:numFmt w:val="bullet"/>
      <w:lvlText w:val="•"/>
      <w:lvlJc w:val="left"/>
      <w:pPr>
        <w:ind w:left="5530" w:hanging="426"/>
      </w:pPr>
      <w:rPr>
        <w:rFonts w:hint="default"/>
        <w:lang w:val="en-US" w:eastAsia="en-US" w:bidi="en-US"/>
      </w:rPr>
    </w:lvl>
    <w:lvl w:ilvl="5" w:tplc="15DC1C44">
      <w:numFmt w:val="bullet"/>
      <w:lvlText w:val="•"/>
      <w:lvlJc w:val="left"/>
      <w:pPr>
        <w:ind w:left="6592" w:hanging="426"/>
      </w:pPr>
      <w:rPr>
        <w:rFonts w:hint="default"/>
        <w:lang w:val="en-US" w:eastAsia="en-US" w:bidi="en-US"/>
      </w:rPr>
    </w:lvl>
    <w:lvl w:ilvl="6" w:tplc="D6C01D18">
      <w:numFmt w:val="bullet"/>
      <w:lvlText w:val="•"/>
      <w:lvlJc w:val="left"/>
      <w:pPr>
        <w:ind w:left="7655" w:hanging="426"/>
      </w:pPr>
      <w:rPr>
        <w:rFonts w:hint="default"/>
        <w:lang w:val="en-US" w:eastAsia="en-US" w:bidi="en-US"/>
      </w:rPr>
    </w:lvl>
    <w:lvl w:ilvl="7" w:tplc="899CAC44">
      <w:numFmt w:val="bullet"/>
      <w:lvlText w:val="•"/>
      <w:lvlJc w:val="left"/>
      <w:pPr>
        <w:ind w:left="8717" w:hanging="426"/>
      </w:pPr>
      <w:rPr>
        <w:rFonts w:hint="default"/>
        <w:lang w:val="en-US" w:eastAsia="en-US" w:bidi="en-US"/>
      </w:rPr>
    </w:lvl>
    <w:lvl w:ilvl="8" w:tplc="322053E8">
      <w:numFmt w:val="bullet"/>
      <w:lvlText w:val="•"/>
      <w:lvlJc w:val="left"/>
      <w:pPr>
        <w:ind w:left="9780" w:hanging="426"/>
      </w:pPr>
      <w:rPr>
        <w:rFonts w:hint="default"/>
        <w:lang w:val="en-US" w:eastAsia="en-US" w:bidi="en-US"/>
      </w:rPr>
    </w:lvl>
  </w:abstractNum>
  <w:abstractNum w:abstractNumId="34"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4F736F"/>
    <w:multiLevelType w:val="hybridMultilevel"/>
    <w:tmpl w:val="53BCD942"/>
    <w:lvl w:ilvl="0" w:tplc="4C2ED510">
      <w:numFmt w:val="bullet"/>
      <w:lvlText w:val="•"/>
      <w:lvlJc w:val="left"/>
      <w:pPr>
        <w:ind w:left="643" w:hanging="360"/>
      </w:pPr>
      <w:rPr>
        <w:rFonts w:ascii="Arial" w:eastAsia="Arial" w:hAnsi="Arial" w:cs="Arial" w:hint="default"/>
        <w:color w:val="231F20"/>
        <w:w w:val="114"/>
        <w:sz w:val="20"/>
        <w:szCs w:val="20"/>
        <w:lang w:val="en-US" w:eastAsia="en-US" w:bidi="en-US"/>
      </w:rPr>
    </w:lvl>
    <w:lvl w:ilvl="1" w:tplc="3FCA8906">
      <w:numFmt w:val="bullet"/>
      <w:lvlText w:val="•"/>
      <w:lvlJc w:val="left"/>
      <w:pPr>
        <w:ind w:left="1596" w:hanging="360"/>
      </w:pPr>
      <w:rPr>
        <w:rFonts w:hint="default"/>
        <w:lang w:val="en-US" w:eastAsia="en-US" w:bidi="en-US"/>
      </w:rPr>
    </w:lvl>
    <w:lvl w:ilvl="2" w:tplc="4204FAD2">
      <w:numFmt w:val="bullet"/>
      <w:lvlText w:val="•"/>
      <w:lvlJc w:val="left"/>
      <w:pPr>
        <w:ind w:left="2552" w:hanging="360"/>
      </w:pPr>
      <w:rPr>
        <w:rFonts w:hint="default"/>
        <w:lang w:val="en-US" w:eastAsia="en-US" w:bidi="en-US"/>
      </w:rPr>
    </w:lvl>
    <w:lvl w:ilvl="3" w:tplc="D5328E5E">
      <w:numFmt w:val="bullet"/>
      <w:lvlText w:val="•"/>
      <w:lvlJc w:val="left"/>
      <w:pPr>
        <w:ind w:left="3509" w:hanging="360"/>
      </w:pPr>
      <w:rPr>
        <w:rFonts w:hint="default"/>
        <w:lang w:val="en-US" w:eastAsia="en-US" w:bidi="en-US"/>
      </w:rPr>
    </w:lvl>
    <w:lvl w:ilvl="4" w:tplc="224E8E90">
      <w:numFmt w:val="bullet"/>
      <w:lvlText w:val="•"/>
      <w:lvlJc w:val="left"/>
      <w:pPr>
        <w:ind w:left="4465" w:hanging="360"/>
      </w:pPr>
      <w:rPr>
        <w:rFonts w:hint="default"/>
        <w:lang w:val="en-US" w:eastAsia="en-US" w:bidi="en-US"/>
      </w:rPr>
    </w:lvl>
    <w:lvl w:ilvl="5" w:tplc="D6EA648A">
      <w:numFmt w:val="bullet"/>
      <w:lvlText w:val="•"/>
      <w:lvlJc w:val="left"/>
      <w:pPr>
        <w:ind w:left="5422" w:hanging="360"/>
      </w:pPr>
      <w:rPr>
        <w:rFonts w:hint="default"/>
        <w:lang w:val="en-US" w:eastAsia="en-US" w:bidi="en-US"/>
      </w:rPr>
    </w:lvl>
    <w:lvl w:ilvl="6" w:tplc="5A4ED6DE">
      <w:numFmt w:val="bullet"/>
      <w:lvlText w:val="•"/>
      <w:lvlJc w:val="left"/>
      <w:pPr>
        <w:ind w:left="6378" w:hanging="360"/>
      </w:pPr>
      <w:rPr>
        <w:rFonts w:hint="default"/>
        <w:lang w:val="en-US" w:eastAsia="en-US" w:bidi="en-US"/>
      </w:rPr>
    </w:lvl>
    <w:lvl w:ilvl="7" w:tplc="B6C67120">
      <w:numFmt w:val="bullet"/>
      <w:lvlText w:val="•"/>
      <w:lvlJc w:val="left"/>
      <w:pPr>
        <w:ind w:left="7335" w:hanging="360"/>
      </w:pPr>
      <w:rPr>
        <w:rFonts w:hint="default"/>
        <w:lang w:val="en-US" w:eastAsia="en-US" w:bidi="en-US"/>
      </w:rPr>
    </w:lvl>
    <w:lvl w:ilvl="8" w:tplc="7194A144">
      <w:numFmt w:val="bullet"/>
      <w:lvlText w:val="•"/>
      <w:lvlJc w:val="left"/>
      <w:pPr>
        <w:ind w:left="8291" w:hanging="360"/>
      </w:pPr>
      <w:rPr>
        <w:rFonts w:hint="default"/>
        <w:lang w:val="en-US" w:eastAsia="en-US" w:bidi="en-US"/>
      </w:rPr>
    </w:lvl>
  </w:abstractNum>
  <w:abstractNum w:abstractNumId="43"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5"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4"/>
  </w:num>
  <w:num w:numId="2">
    <w:abstractNumId w:val="22"/>
  </w:num>
  <w:num w:numId="3">
    <w:abstractNumId w:val="23"/>
  </w:num>
  <w:num w:numId="4">
    <w:abstractNumId w:val="4"/>
  </w:num>
  <w:num w:numId="5">
    <w:abstractNumId w:val="1"/>
  </w:num>
  <w:num w:numId="6">
    <w:abstractNumId w:val="28"/>
  </w:num>
  <w:num w:numId="7">
    <w:abstractNumId w:val="37"/>
  </w:num>
  <w:num w:numId="8">
    <w:abstractNumId w:val="3"/>
  </w:num>
  <w:num w:numId="9">
    <w:abstractNumId w:val="38"/>
  </w:num>
  <w:num w:numId="10">
    <w:abstractNumId w:val="30"/>
  </w:num>
  <w:num w:numId="11">
    <w:abstractNumId w:val="16"/>
  </w:num>
  <w:num w:numId="12">
    <w:abstractNumId w:val="21"/>
  </w:num>
  <w:num w:numId="13">
    <w:abstractNumId w:val="0"/>
  </w:num>
  <w:num w:numId="14">
    <w:abstractNumId w:val="13"/>
  </w:num>
  <w:num w:numId="15">
    <w:abstractNumId w:val="19"/>
  </w:num>
  <w:num w:numId="16">
    <w:abstractNumId w:val="31"/>
  </w:num>
  <w:num w:numId="17">
    <w:abstractNumId w:val="8"/>
  </w:num>
  <w:num w:numId="18">
    <w:abstractNumId w:val="15"/>
  </w:num>
  <w:num w:numId="19">
    <w:abstractNumId w:val="9"/>
  </w:num>
  <w:num w:numId="20">
    <w:abstractNumId w:val="6"/>
  </w:num>
  <w:num w:numId="21">
    <w:abstractNumId w:val="41"/>
  </w:num>
  <w:num w:numId="22">
    <w:abstractNumId w:val="14"/>
  </w:num>
  <w:num w:numId="23">
    <w:abstractNumId w:val="39"/>
  </w:num>
  <w:num w:numId="24">
    <w:abstractNumId w:val="2"/>
  </w:num>
  <w:num w:numId="25">
    <w:abstractNumId w:val="7"/>
  </w:num>
  <w:num w:numId="26">
    <w:abstractNumId w:val="5"/>
  </w:num>
  <w:num w:numId="27">
    <w:abstractNumId w:val="34"/>
  </w:num>
  <w:num w:numId="28">
    <w:abstractNumId w:val="40"/>
  </w:num>
  <w:num w:numId="29">
    <w:abstractNumId w:val="18"/>
  </w:num>
  <w:num w:numId="30">
    <w:abstractNumId w:val="11"/>
  </w:num>
  <w:num w:numId="31">
    <w:abstractNumId w:val="29"/>
  </w:num>
  <w:num w:numId="32">
    <w:abstractNumId w:val="20"/>
  </w:num>
  <w:num w:numId="33">
    <w:abstractNumId w:val="45"/>
  </w:num>
  <w:num w:numId="34">
    <w:abstractNumId w:val="17"/>
  </w:num>
  <w:num w:numId="35">
    <w:abstractNumId w:val="36"/>
  </w:num>
  <w:num w:numId="36">
    <w:abstractNumId w:val="32"/>
  </w:num>
  <w:num w:numId="37">
    <w:abstractNumId w:val="43"/>
  </w:num>
  <w:num w:numId="38">
    <w:abstractNumId w:val="35"/>
  </w:num>
  <w:num w:numId="39">
    <w:abstractNumId w:val="24"/>
  </w:num>
  <w:num w:numId="40">
    <w:abstractNumId w:val="26"/>
  </w:num>
  <w:num w:numId="41">
    <w:abstractNumId w:val="10"/>
  </w:num>
  <w:num w:numId="42">
    <w:abstractNumId w:val="27"/>
  </w:num>
  <w:num w:numId="43">
    <w:abstractNumId w:val="12"/>
  </w:num>
  <w:num w:numId="44">
    <w:abstractNumId w:val="25"/>
  </w:num>
  <w:num w:numId="45">
    <w:abstractNumId w:val="42"/>
  </w:num>
  <w:num w:numId="46">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17AD"/>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9767F"/>
    <w:rsid w:val="000A0158"/>
    <w:rsid w:val="000A373D"/>
    <w:rsid w:val="000A41ED"/>
    <w:rsid w:val="000B0730"/>
    <w:rsid w:val="000B2FFC"/>
    <w:rsid w:val="000C522F"/>
    <w:rsid w:val="000D19F4"/>
    <w:rsid w:val="000D58DD"/>
    <w:rsid w:val="000F1F42"/>
    <w:rsid w:val="000F2AE2"/>
    <w:rsid w:val="000F2BFF"/>
    <w:rsid w:val="00102063"/>
    <w:rsid w:val="0010541C"/>
    <w:rsid w:val="00105770"/>
    <w:rsid w:val="00106F93"/>
    <w:rsid w:val="00111D50"/>
    <w:rsid w:val="00113B8E"/>
    <w:rsid w:val="00116E74"/>
    <w:rsid w:val="00117F59"/>
    <w:rsid w:val="0012053C"/>
    <w:rsid w:val="00122363"/>
    <w:rsid w:val="00125D45"/>
    <w:rsid w:val="001342C7"/>
    <w:rsid w:val="0013585C"/>
    <w:rsid w:val="001358C1"/>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3B9C"/>
    <w:rsid w:val="001B4BF8"/>
    <w:rsid w:val="001B7B14"/>
    <w:rsid w:val="001C4326"/>
    <w:rsid w:val="001C665E"/>
    <w:rsid w:val="001D3541"/>
    <w:rsid w:val="001D3E4E"/>
    <w:rsid w:val="001E171F"/>
    <w:rsid w:val="001E254A"/>
    <w:rsid w:val="001E7386"/>
    <w:rsid w:val="001E7F33"/>
    <w:rsid w:val="001F45A7"/>
    <w:rsid w:val="001F5E27"/>
    <w:rsid w:val="0020027C"/>
    <w:rsid w:val="002005EB"/>
    <w:rsid w:val="00201A01"/>
    <w:rsid w:val="002065A7"/>
    <w:rsid w:val="0020754B"/>
    <w:rsid w:val="002104D3"/>
    <w:rsid w:val="00213A33"/>
    <w:rsid w:val="0021763B"/>
    <w:rsid w:val="00232E9F"/>
    <w:rsid w:val="00245748"/>
    <w:rsid w:val="00246DB1"/>
    <w:rsid w:val="00247555"/>
    <w:rsid w:val="002476B5"/>
    <w:rsid w:val="002520CC"/>
    <w:rsid w:val="00253ECF"/>
    <w:rsid w:val="00254044"/>
    <w:rsid w:val="002546A1"/>
    <w:rsid w:val="002575E8"/>
    <w:rsid w:val="00257B2B"/>
    <w:rsid w:val="00257EF1"/>
    <w:rsid w:val="002616D7"/>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5544"/>
    <w:rsid w:val="002F7213"/>
    <w:rsid w:val="0030382F"/>
    <w:rsid w:val="0030408D"/>
    <w:rsid w:val="003060E4"/>
    <w:rsid w:val="003160E7"/>
    <w:rsid w:val="0031739E"/>
    <w:rsid w:val="00317DA3"/>
    <w:rsid w:val="003212F4"/>
    <w:rsid w:val="00321381"/>
    <w:rsid w:val="003235C6"/>
    <w:rsid w:val="003308C3"/>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1495"/>
    <w:rsid w:val="00413021"/>
    <w:rsid w:val="004130C6"/>
    <w:rsid w:val="00414C35"/>
    <w:rsid w:val="004171B7"/>
    <w:rsid w:val="004301C6"/>
    <w:rsid w:val="00430EC3"/>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31D2"/>
    <w:rsid w:val="00476B21"/>
    <w:rsid w:val="004852AB"/>
    <w:rsid w:val="00487C04"/>
    <w:rsid w:val="004907E1"/>
    <w:rsid w:val="00494C8E"/>
    <w:rsid w:val="004A035B"/>
    <w:rsid w:val="004A0E25"/>
    <w:rsid w:val="004A2108"/>
    <w:rsid w:val="004A38D7"/>
    <w:rsid w:val="004A5A0A"/>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37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0127"/>
    <w:rsid w:val="00571223"/>
    <w:rsid w:val="005763E0"/>
    <w:rsid w:val="00581136"/>
    <w:rsid w:val="00581EB8"/>
    <w:rsid w:val="005839E7"/>
    <w:rsid w:val="0058437F"/>
    <w:rsid w:val="005A27CA"/>
    <w:rsid w:val="005A43BD"/>
    <w:rsid w:val="005A79E5"/>
    <w:rsid w:val="005B721C"/>
    <w:rsid w:val="005C6DEB"/>
    <w:rsid w:val="005D034C"/>
    <w:rsid w:val="005E226E"/>
    <w:rsid w:val="005E2636"/>
    <w:rsid w:val="006015D7"/>
    <w:rsid w:val="00601B21"/>
    <w:rsid w:val="006041F0"/>
    <w:rsid w:val="00605C6D"/>
    <w:rsid w:val="006120CA"/>
    <w:rsid w:val="0061443A"/>
    <w:rsid w:val="00624174"/>
    <w:rsid w:val="00626CF8"/>
    <w:rsid w:val="006314AF"/>
    <w:rsid w:val="006332B6"/>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6CF4"/>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3159A"/>
    <w:rsid w:val="00742B90"/>
    <w:rsid w:val="0074434D"/>
    <w:rsid w:val="00752E53"/>
    <w:rsid w:val="007570C4"/>
    <w:rsid w:val="007605B8"/>
    <w:rsid w:val="00770FEA"/>
    <w:rsid w:val="00771B1E"/>
    <w:rsid w:val="00773C95"/>
    <w:rsid w:val="0078171E"/>
    <w:rsid w:val="0078658E"/>
    <w:rsid w:val="007920E2"/>
    <w:rsid w:val="0079566E"/>
    <w:rsid w:val="00795B34"/>
    <w:rsid w:val="007A067F"/>
    <w:rsid w:val="007A229F"/>
    <w:rsid w:val="007B1770"/>
    <w:rsid w:val="007B4D3E"/>
    <w:rsid w:val="007B7C70"/>
    <w:rsid w:val="007B7DEB"/>
    <w:rsid w:val="007C0449"/>
    <w:rsid w:val="007C43B6"/>
    <w:rsid w:val="007C50C8"/>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5E03"/>
    <w:rsid w:val="00926083"/>
    <w:rsid w:val="00926D08"/>
    <w:rsid w:val="00930D08"/>
    <w:rsid w:val="00931466"/>
    <w:rsid w:val="00932D69"/>
    <w:rsid w:val="00933B2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5DD9"/>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C25"/>
    <w:rsid w:val="00A56DCC"/>
    <w:rsid w:val="00A625E8"/>
    <w:rsid w:val="00A63DFF"/>
    <w:rsid w:val="00A64496"/>
    <w:rsid w:val="00A6490D"/>
    <w:rsid w:val="00A67033"/>
    <w:rsid w:val="00A7415D"/>
    <w:rsid w:val="00A80363"/>
    <w:rsid w:val="00A80939"/>
    <w:rsid w:val="00A83E9D"/>
    <w:rsid w:val="00A87C05"/>
    <w:rsid w:val="00A9169D"/>
    <w:rsid w:val="00A93598"/>
    <w:rsid w:val="00A96810"/>
    <w:rsid w:val="00A97A3A"/>
    <w:rsid w:val="00AA240C"/>
    <w:rsid w:val="00AB0332"/>
    <w:rsid w:val="00AC101C"/>
    <w:rsid w:val="00AD4CF1"/>
    <w:rsid w:val="00AD5988"/>
    <w:rsid w:val="00AD6293"/>
    <w:rsid w:val="00AE1643"/>
    <w:rsid w:val="00AE16AF"/>
    <w:rsid w:val="00AF1CBB"/>
    <w:rsid w:val="00AF372E"/>
    <w:rsid w:val="00AF7800"/>
    <w:rsid w:val="00B00CF5"/>
    <w:rsid w:val="00B072E0"/>
    <w:rsid w:val="00B1007E"/>
    <w:rsid w:val="00B13D41"/>
    <w:rsid w:val="00B253F6"/>
    <w:rsid w:val="00B26675"/>
    <w:rsid w:val="00B305DB"/>
    <w:rsid w:val="00B332F8"/>
    <w:rsid w:val="00B3492B"/>
    <w:rsid w:val="00B4107F"/>
    <w:rsid w:val="00B4646F"/>
    <w:rsid w:val="00B52DEF"/>
    <w:rsid w:val="00B55C7D"/>
    <w:rsid w:val="00B5630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B5530"/>
    <w:rsid w:val="00BC03EE"/>
    <w:rsid w:val="00BC24CE"/>
    <w:rsid w:val="00BC59F1"/>
    <w:rsid w:val="00BD1FE5"/>
    <w:rsid w:val="00BD488E"/>
    <w:rsid w:val="00BE662C"/>
    <w:rsid w:val="00BF3DE1"/>
    <w:rsid w:val="00BF4843"/>
    <w:rsid w:val="00BF5205"/>
    <w:rsid w:val="00C05132"/>
    <w:rsid w:val="00C12508"/>
    <w:rsid w:val="00C23728"/>
    <w:rsid w:val="00C3026C"/>
    <w:rsid w:val="00C313A9"/>
    <w:rsid w:val="00C347C8"/>
    <w:rsid w:val="00C358E4"/>
    <w:rsid w:val="00C418EE"/>
    <w:rsid w:val="00C43D4F"/>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6376"/>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17F47"/>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0CD9"/>
    <w:rsid w:val="00E31509"/>
    <w:rsid w:val="00E33238"/>
    <w:rsid w:val="00E33934"/>
    <w:rsid w:val="00E376B7"/>
    <w:rsid w:val="00E42F5D"/>
    <w:rsid w:val="00E4486C"/>
    <w:rsid w:val="00E460B6"/>
    <w:rsid w:val="00E511D5"/>
    <w:rsid w:val="00E53A9F"/>
    <w:rsid w:val="00E57349"/>
    <w:rsid w:val="00E57A0E"/>
    <w:rsid w:val="00E60249"/>
    <w:rsid w:val="00E62238"/>
    <w:rsid w:val="00E65269"/>
    <w:rsid w:val="00E712F3"/>
    <w:rsid w:val="00E76D66"/>
    <w:rsid w:val="00EA796A"/>
    <w:rsid w:val="00EB1856"/>
    <w:rsid w:val="00EB491B"/>
    <w:rsid w:val="00EC50CE"/>
    <w:rsid w:val="00EC5B34"/>
    <w:rsid w:val="00ED021E"/>
    <w:rsid w:val="00ED323C"/>
    <w:rsid w:val="00EE2D5C"/>
    <w:rsid w:val="00EE4ADE"/>
    <w:rsid w:val="00EE4DE8"/>
    <w:rsid w:val="00EE5075"/>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1A66"/>
    <w:rsid w:val="00F7421E"/>
    <w:rsid w:val="00F801BA"/>
    <w:rsid w:val="00F80292"/>
    <w:rsid w:val="00F807AD"/>
    <w:rsid w:val="00F9366A"/>
    <w:rsid w:val="00F946C9"/>
    <w:rsid w:val="00FA0EA5"/>
    <w:rsid w:val="00FA68C7"/>
    <w:rsid w:val="00FA74EE"/>
    <w:rsid w:val="00FB0A5B"/>
    <w:rsid w:val="00FB1B8E"/>
    <w:rsid w:val="00FC3711"/>
    <w:rsid w:val="00FC46E7"/>
    <w:rsid w:val="00FC5D25"/>
    <w:rsid w:val="00FC6717"/>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75D708"/>
  <w15:docId w15:val="{3ADF9512-D801-47D6-ACBE-3850F2FD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411495"/>
    <w:pPr>
      <w:pageBreakBefore/>
      <w:spacing w:after="360"/>
      <w:outlineLvl w:val="0"/>
    </w:pPr>
    <w:rPr>
      <w:b/>
      <w:color w:val="23305D"/>
      <w:spacing w:val="-10"/>
      <w:sz w:val="64"/>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11495"/>
    <w:rPr>
      <w:rFonts w:ascii="Segoe UI" w:hAnsi="Segoe UI"/>
      <w:b/>
      <w:color w:val="23305D"/>
      <w:spacing w:val="-10"/>
      <w:sz w:val="64"/>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0127"/>
    <w:pPr>
      <w:spacing w:line="216" w:lineRule="auto"/>
      <w:ind w:right="1701"/>
    </w:pPr>
    <w:rPr>
      <w:rFonts w:ascii="Segoe UI Black" w:hAnsi="Segoe UI Black" w:cs="Lucida Sans Unicode"/>
      <w:b/>
      <w:sz w:val="48"/>
      <w:szCs w:val="72"/>
    </w:rPr>
  </w:style>
  <w:style w:type="character" w:customStyle="1" w:styleId="TitleChar">
    <w:name w:val="Title Char"/>
    <w:link w:val="Title"/>
    <w:rsid w:val="00570127"/>
    <w:rPr>
      <w:rFonts w:ascii="Segoe UI Black" w:hAnsi="Segoe UI Black" w:cs="Lucida Sans Unicode"/>
      <w:b/>
      <w:sz w:val="48"/>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F71A66"/>
    <w:pPr>
      <w:spacing w:before="840"/>
      <w:ind w:right="1701"/>
    </w:pPr>
    <w:rPr>
      <w:rFonts w:ascii="Segoe UI Semibold" w:hAnsi="Segoe UI Semibold" w:cs="Segoe UI Semibold"/>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EE5075"/>
    <w:pPr>
      <w:spacing w:after="240" w:line="228" w:lineRule="auto"/>
    </w:pPr>
    <w:rPr>
      <w:rFonts w:ascii="Segoe UI Light" w:hAnsi="Segoe UI Light"/>
      <w:color w:val="404040" w:themeColor="text1" w:themeTint="BF"/>
      <w:sz w:val="28"/>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TableParagraph">
    <w:name w:val="Table Paragraph"/>
    <w:basedOn w:val="Normal"/>
    <w:uiPriority w:val="1"/>
    <w:qFormat/>
    <w:rsid w:val="003308C3"/>
    <w:pPr>
      <w:widowControl w:val="0"/>
      <w:autoSpaceDE w:val="0"/>
      <w:autoSpaceDN w:val="0"/>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6.png"/><Relationship Id="rId39" Type="http://schemas.openxmlformats.org/officeDocument/2006/relationships/hyperlink" Target="https://www.hqsc.govt.nz/news-and-events/news/126/" TargetMode="External"/><Relationship Id="rId21" Type="http://schemas.openxmlformats.org/officeDocument/2006/relationships/footer" Target="footer6.xml"/><Relationship Id="rId34" Type="http://schemas.openxmlformats.org/officeDocument/2006/relationships/hyperlink" Target="http://www.beehive.govt.nz/" TargetMode="External"/><Relationship Id="rId42" Type="http://schemas.openxmlformats.org/officeDocument/2006/relationships/hyperlink" Target="https://www.mbie.govt.nz/business-and-employment/business/competition-regulation-and-policy/consumer-data-right" TargetMode="External"/><Relationship Id="rId47" Type="http://schemas.openxmlformats.org/officeDocument/2006/relationships/hyperlink" Target="https://www.health.govt.nz/our-work/digital-health/vision-health-technology" TargetMode="External"/><Relationship Id="rId50" Type="http://schemas.openxmlformats.org/officeDocument/2006/relationships/hyperlink" Target="https://nztech.org.nz/reports/digital-skills-for-our-digital-future/" TargetMode="External"/><Relationship Id="rId55" Type="http://schemas.openxmlformats.org/officeDocument/2006/relationships/hyperlink" Target="https://www.stats.govt.nz/about-us/what-we-do/mana-orite-relationship-agreemen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9.png"/><Relationship Id="rId41" Type="http://schemas.openxmlformats.org/officeDocument/2006/relationships/hyperlink" Target="https://www.mbie.govt.nz/business-and-employment/business/competition-regulation-and-policy/consumer-data-right" TargetMode="External"/><Relationship Id="rId54" Type="http://schemas.openxmlformats.org/officeDocument/2006/relationships/hyperlink" Target="https://www.data.govt.nz/about/data-strategy-and-roadmap-setting-the-direction-for-new-zealands-data/data-strategy-and-roadmap/"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footer" Target="footer9.xml"/><Relationship Id="rId32" Type="http://schemas.openxmlformats.org/officeDocument/2006/relationships/image" Target="media/image12.png"/><Relationship Id="rId37" Type="http://schemas.openxmlformats.org/officeDocument/2006/relationships/hyperlink" Target="https://www.oecd-forum.org/posts/the-importance-of-increasing-access-to-high-quality-health-data" TargetMode="External"/><Relationship Id="rId40" Type="http://schemas.openxmlformats.org/officeDocument/2006/relationships/hyperlink" Target="https://www.hqsc.govt.nz/news-and-events/news/126/" TargetMode="External"/><Relationship Id="rId45" Type="http://schemas.openxmlformats.org/officeDocument/2006/relationships/hyperlink" Target="https://www.health.govt.nz/our-work/digital-health/digital-health-strategic-framework" TargetMode="External"/><Relationship Id="rId53" Type="http://schemas.openxmlformats.org/officeDocument/2006/relationships/hyperlink" Target="https://www.data.govt.nz/about/data-strategy-and-roadmap-setting-the-direction-for-new-zealands-data/data-strategy-and-roadmap/" TargetMode="External"/><Relationship Id="rId58" Type="http://schemas.openxmlformats.org/officeDocument/2006/relationships/hyperlink" Target="https://www.data.govt.nz/docs/data-strategy-and-roadmap-for-new-zealand-202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image" Target="media/image8.png"/><Relationship Id="rId36" Type="http://schemas.openxmlformats.org/officeDocument/2006/relationships/hyperlink" Target="https://dpmc.govt.nz/our-business-units/transition-unit/response-health-and-disability-system-review/information" TargetMode="External"/><Relationship Id="rId49" Type="http://schemas.openxmlformats.org/officeDocument/2006/relationships/hyperlink" Target="https://nztech.org.nz/reports/digital-skills-for-our-digital-future/" TargetMode="External"/><Relationship Id="rId57" Type="http://schemas.openxmlformats.org/officeDocument/2006/relationships/hyperlink" Target="https://www.data.govt.nz/docs/data-strategy-and-roadmap-for-new-zealand-2021/" TargetMode="External"/><Relationship Id="rId61" Type="http://schemas.openxmlformats.org/officeDocument/2006/relationships/footer" Target="footer10.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image" Target="media/image11.png"/><Relationship Id="rId44" Type="http://schemas.openxmlformats.org/officeDocument/2006/relationships/hyperlink" Target="https://www.health.govt.nz/our-work/populations/maori-health/he-korowai-oranga" TargetMode="External"/><Relationship Id="rId52" Type="http://schemas.openxmlformats.org/officeDocument/2006/relationships/hyperlink" Target="https://www.data.govt.nz/about/data-strategy-and-roadmap-setting-the-direction-for-new-zealands-data/data-strategy-and-roadmap/" TargetMode="External"/><Relationship Id="rId60" Type="http://schemas.openxmlformats.org/officeDocument/2006/relationships/hyperlink" Target="https://understandingpatientdata.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s://dpmc.govt.nz/our-business-units/transition-unit/response-health-and-disability-system-review/information" TargetMode="External"/><Relationship Id="rId43" Type="http://schemas.openxmlformats.org/officeDocument/2006/relationships/hyperlink" Target="https://www.health.govt.nz/our-work/populations/maori-health/he-korowai-oranga" TargetMode="External"/><Relationship Id="rId48" Type="http://schemas.openxmlformats.org/officeDocument/2006/relationships/hyperlink" Target="https://www.health.govt.nz/our-work/digital-health/vision-health-technology" TargetMode="External"/><Relationship Id="rId56" Type="http://schemas.openxmlformats.org/officeDocument/2006/relationships/hyperlink" Target="https://www.stats.govt.nz/about-us/what-we-do/mana-orite-relationship-agreement/"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healthit.gov/curesrul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s://www.oecd-forum.org/posts/the-importance-of-increasing-access-to-high-quality-health-data" TargetMode="External"/><Relationship Id="rId46" Type="http://schemas.openxmlformats.org/officeDocument/2006/relationships/hyperlink" Target="https://www.health.govt.nz/our-work/digital-health/digital-health-strategic-framework" TargetMode="External"/><Relationship Id="rId59" Type="http://schemas.openxmlformats.org/officeDocument/2006/relationships/hyperlink" Target="https://www.temanararaunga.maori.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05F7-E91D-4795-97DC-759A6888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51</TotalTime>
  <Pages>41</Pages>
  <Words>10625</Words>
  <Characters>60564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Information Strategy for Health and Disability: Stronger evidence, better decisions, improved health and wellbeing</dc:title>
  <dc:creator>Ministry of Health</dc:creator>
  <cp:lastModifiedBy>Ministry of Health</cp:lastModifiedBy>
  <cp:revision>16</cp:revision>
  <cp:lastPrinted>2015-11-17T05:02:00Z</cp:lastPrinted>
  <dcterms:created xsi:type="dcterms:W3CDTF">2021-12-08T19:31:00Z</dcterms:created>
  <dcterms:modified xsi:type="dcterms:W3CDTF">2021-12-09T01:07:00Z</dcterms:modified>
</cp:coreProperties>
</file>