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4227" w14:textId="5F4B11A2" w:rsidR="00184A48" w:rsidRPr="003C2095" w:rsidRDefault="00616A39" w:rsidP="0086489C">
      <w:pPr>
        <w:pStyle w:val="Title"/>
        <w:spacing w:before="600"/>
        <w:rPr>
          <w:rFonts w:ascii="Segoe UI" w:hAnsi="Segoe UI" w:cs="Segoe UI"/>
          <w:b/>
          <w:bCs/>
          <w:color w:val="EC633C"/>
        </w:rPr>
      </w:pPr>
      <w:bookmarkStart w:id="0" w:name="_Toc66693253"/>
      <w:bookmarkStart w:id="1" w:name="_Toc67385416"/>
      <w:r w:rsidRPr="003C2095">
        <w:rPr>
          <w:rFonts w:ascii="Segoe UI" w:hAnsi="Segoe UI" w:cs="Segoe UI"/>
          <w:b/>
          <w:bCs/>
          <w:noProof/>
          <w:color w:val="EC633C"/>
        </w:rPr>
        <w:drawing>
          <wp:anchor distT="0" distB="0" distL="114300" distR="114300" simplePos="0" relativeHeight="251658241" behindDoc="1" locked="0" layoutInCell="1" allowOverlap="1" wp14:anchorId="0583C8D1" wp14:editId="7FAC143E">
            <wp:simplePos x="0" y="0"/>
            <wp:positionH relativeFrom="margin">
              <wp:align>right</wp:align>
            </wp:positionH>
            <wp:positionV relativeFrom="paragraph">
              <wp:posOffset>1644650</wp:posOffset>
            </wp:positionV>
            <wp:extent cx="1056005" cy="5588635"/>
            <wp:effectExtent l="0" t="0" r="0" b="0"/>
            <wp:wrapTight wrapText="bothSides">
              <wp:wrapPolygon edited="0">
                <wp:start x="0" y="0"/>
                <wp:lineTo x="0" y="21499"/>
                <wp:lineTo x="21041" y="21499"/>
                <wp:lineTo x="21041" y="0"/>
                <wp:lineTo x="0" y="0"/>
              </wp:wrapPolygon>
            </wp:wrapTight>
            <wp:docPr id="5" name="Picture 4">
              <a:extLst xmlns:a="http://schemas.openxmlformats.org/drawingml/2006/main">
                <a:ext uri="{FF2B5EF4-FFF2-40B4-BE49-F238E27FC236}">
                  <a16:creationId xmlns:a16="http://schemas.microsoft.com/office/drawing/2014/main" id="{9AC7FE61-E0CD-4894-93B0-79298F5079C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C7FE61-E0CD-4894-93B0-79298F5079CE}"/>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56005" cy="5588635"/>
                    </a:xfrm>
                    <a:prstGeom prst="rect">
                      <a:avLst/>
                    </a:prstGeom>
                  </pic:spPr>
                </pic:pic>
              </a:graphicData>
            </a:graphic>
            <wp14:sizeRelH relativeFrom="page">
              <wp14:pctWidth>0</wp14:pctWidth>
            </wp14:sizeRelH>
            <wp14:sizeRelV relativeFrom="page">
              <wp14:pctHeight>0</wp14:pctHeight>
            </wp14:sizeRelV>
          </wp:anchor>
        </w:drawing>
      </w:r>
      <w:r w:rsidR="00184A48" w:rsidRPr="003C2095">
        <w:rPr>
          <w:rFonts w:ascii="Segoe UI" w:hAnsi="Segoe UI" w:cs="Segoe UI"/>
          <w:b/>
          <w:bCs/>
          <w:color w:val="EC633C"/>
        </w:rPr>
        <w:t xml:space="preserve">COVID-19 Māori Vaccine and Immunisation </w:t>
      </w:r>
      <w:r w:rsidR="00DB2CF3" w:rsidRPr="003C2095">
        <w:rPr>
          <w:rFonts w:ascii="Segoe UI" w:hAnsi="Segoe UI" w:cs="Segoe UI"/>
          <w:b/>
          <w:bCs/>
          <w:color w:val="EC633C"/>
        </w:rPr>
        <w:t>Plan</w:t>
      </w:r>
      <w:bookmarkEnd w:id="0"/>
      <w:bookmarkEnd w:id="1"/>
    </w:p>
    <w:p w14:paraId="5B8184BB" w14:textId="77777777" w:rsidR="0086489C" w:rsidRDefault="0086489C" w:rsidP="0086489C">
      <w:pPr>
        <w:pStyle w:val="Subtitle"/>
        <w:rPr>
          <w:rFonts w:ascii="Segoe UI" w:hAnsi="Segoe UI" w:cs="Segoe UI"/>
          <w:b/>
          <w:bCs/>
          <w:sz w:val="28"/>
          <w:szCs w:val="28"/>
        </w:rPr>
      </w:pPr>
      <w:bookmarkStart w:id="2" w:name="_Toc66269389"/>
      <w:bookmarkStart w:id="3" w:name="_Toc66273440"/>
      <w:bookmarkStart w:id="4" w:name="_Toc66286198"/>
      <w:bookmarkStart w:id="5" w:name="_Toc66693254"/>
      <w:bookmarkStart w:id="6" w:name="_Toc67385417"/>
    </w:p>
    <w:p w14:paraId="3E4CBCA4" w14:textId="2FEC55FF" w:rsidR="00184A48" w:rsidRPr="0086489C" w:rsidRDefault="00184A48" w:rsidP="0086489C">
      <w:pPr>
        <w:pStyle w:val="Subtitle"/>
        <w:rPr>
          <w:rFonts w:ascii="Segoe UI" w:hAnsi="Segoe UI" w:cs="Segoe UI"/>
          <w:b/>
          <w:bCs/>
          <w:sz w:val="28"/>
          <w:szCs w:val="28"/>
        </w:rPr>
      </w:pPr>
      <w:r w:rsidRPr="0086489C">
        <w:rPr>
          <w:rFonts w:ascii="Segoe UI" w:hAnsi="Segoe UI" w:cs="Segoe UI"/>
          <w:b/>
          <w:bCs/>
          <w:sz w:val="28"/>
          <w:szCs w:val="28"/>
        </w:rPr>
        <w:t>Supplementary to the Updated</w:t>
      </w:r>
      <w:r w:rsidR="0086489C">
        <w:br/>
      </w:r>
      <w:r w:rsidRPr="0086489C">
        <w:rPr>
          <w:rFonts w:ascii="Segoe UI" w:hAnsi="Segoe UI" w:cs="Segoe UI"/>
          <w:b/>
          <w:bCs/>
          <w:sz w:val="28"/>
          <w:szCs w:val="28"/>
        </w:rPr>
        <w:t>COVID-19 Māori Health Response Plan</w:t>
      </w:r>
      <w:bookmarkEnd w:id="2"/>
      <w:bookmarkEnd w:id="3"/>
      <w:bookmarkEnd w:id="4"/>
      <w:bookmarkEnd w:id="5"/>
      <w:bookmarkEnd w:id="6"/>
      <w:r w:rsidRPr="0086489C">
        <w:rPr>
          <w:rFonts w:ascii="Segoe UI" w:hAnsi="Segoe UI" w:cs="Segoe UI"/>
          <w:b/>
          <w:bCs/>
          <w:sz w:val="28"/>
          <w:szCs w:val="28"/>
        </w:rPr>
        <w:t xml:space="preserve"> </w:t>
      </w:r>
    </w:p>
    <w:p w14:paraId="20EDBDC4" w14:textId="316F74B0" w:rsidR="00184A48" w:rsidRPr="00716360" w:rsidRDefault="00184A48" w:rsidP="0086489C">
      <w:pPr>
        <w:ind w:right="1655"/>
      </w:pPr>
    </w:p>
    <w:p w14:paraId="5B95C80A" w14:textId="77777777" w:rsidR="00184A48" w:rsidRPr="00716360" w:rsidRDefault="00184A48" w:rsidP="0086489C">
      <w:pPr>
        <w:ind w:right="1655"/>
      </w:pPr>
    </w:p>
    <w:p w14:paraId="4A289E73" w14:textId="4D6462BA" w:rsidR="00184A48" w:rsidRPr="00716360" w:rsidRDefault="00850B31" w:rsidP="0086489C">
      <w:pPr>
        <w:ind w:right="1655"/>
        <w:rPr>
          <w:b/>
        </w:rPr>
      </w:pPr>
      <w:r>
        <w:rPr>
          <w:b/>
        </w:rPr>
        <w:t>2021</w:t>
      </w:r>
    </w:p>
    <w:p w14:paraId="13538775" w14:textId="77777777" w:rsidR="00184A48" w:rsidRPr="00716360" w:rsidRDefault="00184A48" w:rsidP="0086489C">
      <w:pPr>
        <w:ind w:right="1655"/>
        <w:rPr>
          <w:b/>
        </w:rPr>
      </w:pPr>
    </w:p>
    <w:p w14:paraId="068059A4" w14:textId="77777777" w:rsidR="00184A48" w:rsidRPr="00716360" w:rsidRDefault="00184A48" w:rsidP="0086489C">
      <w:pPr>
        <w:ind w:right="1655"/>
        <w:rPr>
          <w:b/>
        </w:rPr>
      </w:pPr>
    </w:p>
    <w:p w14:paraId="04FB9CA8" w14:textId="77777777" w:rsidR="00184A48" w:rsidRPr="00716360" w:rsidRDefault="00184A48" w:rsidP="0086489C">
      <w:pPr>
        <w:ind w:right="1655"/>
        <w:rPr>
          <w:b/>
        </w:rPr>
      </w:pPr>
      <w:bookmarkStart w:id="7" w:name="_GoBack"/>
      <w:bookmarkEnd w:id="7"/>
    </w:p>
    <w:p w14:paraId="43B595B9" w14:textId="77777777" w:rsidR="00184A48" w:rsidRPr="00716360" w:rsidRDefault="00184A48" w:rsidP="0086489C">
      <w:pPr>
        <w:ind w:right="1655"/>
        <w:rPr>
          <w:b/>
        </w:rPr>
      </w:pPr>
    </w:p>
    <w:p w14:paraId="6E45BB64" w14:textId="523ED650" w:rsidR="00184A48" w:rsidRPr="0086489C" w:rsidRDefault="00184A48" w:rsidP="0086489C">
      <w:pPr>
        <w:ind w:right="1655"/>
        <w:rPr>
          <w:b/>
        </w:rPr>
      </w:pPr>
      <w:r w:rsidRPr="00716360">
        <w:rPr>
          <w:b/>
        </w:rPr>
        <w:t xml:space="preserve">COVID-19 Māori Vaccine and Immunisation </w:t>
      </w:r>
      <w:r w:rsidR="00DB2CF3" w:rsidRPr="00716360">
        <w:rPr>
          <w:b/>
        </w:rPr>
        <w:t>Plan</w:t>
      </w:r>
    </w:p>
    <w:p w14:paraId="0432DBB9" w14:textId="77777777" w:rsidR="00184A48" w:rsidRPr="00716360" w:rsidRDefault="00184A48" w:rsidP="00184A48">
      <w:r w:rsidRPr="00716360">
        <w:br w:type="page"/>
      </w:r>
    </w:p>
    <w:p w14:paraId="2E240D5E" w14:textId="77777777" w:rsidR="00184A48" w:rsidRPr="00716360" w:rsidRDefault="00184A48" w:rsidP="00184A48">
      <w:bookmarkStart w:id="8" w:name="_Toc44583218"/>
    </w:p>
    <w:p w14:paraId="38219BBA" w14:textId="77777777" w:rsidR="00184A48" w:rsidRPr="00716360" w:rsidRDefault="00184A48" w:rsidP="00184A48"/>
    <w:p w14:paraId="7C5FFA78" w14:textId="77777777" w:rsidR="00184A48" w:rsidRPr="00716360" w:rsidRDefault="00184A48" w:rsidP="00184A48"/>
    <w:p w14:paraId="0918CDE0" w14:textId="77777777" w:rsidR="00184A48" w:rsidRPr="00716360" w:rsidRDefault="00184A48" w:rsidP="00184A48"/>
    <w:p w14:paraId="179EBCA8" w14:textId="77777777" w:rsidR="00184A48" w:rsidRPr="00716360" w:rsidRDefault="00184A48" w:rsidP="00184A48"/>
    <w:p w14:paraId="3FB827F0" w14:textId="77777777" w:rsidR="00184A48" w:rsidRPr="00716360" w:rsidRDefault="00184A48" w:rsidP="00184A48"/>
    <w:p w14:paraId="16E0F0CA" w14:textId="77777777" w:rsidR="00184A48" w:rsidRPr="00716360" w:rsidRDefault="00184A48" w:rsidP="00184A48"/>
    <w:p w14:paraId="4E823D9D" w14:textId="77777777" w:rsidR="00184A48" w:rsidRPr="00716360" w:rsidRDefault="00184A48" w:rsidP="00184A48"/>
    <w:p w14:paraId="75828DC4" w14:textId="77777777" w:rsidR="00184A48" w:rsidRPr="00716360" w:rsidRDefault="00184A48" w:rsidP="00184A48"/>
    <w:p w14:paraId="2C85A153" w14:textId="77777777" w:rsidR="00184A48" w:rsidRPr="00716360" w:rsidRDefault="00184A48" w:rsidP="00184A48"/>
    <w:p w14:paraId="1D8AB037" w14:textId="77777777" w:rsidR="00184A48" w:rsidRPr="00716360" w:rsidRDefault="00184A48" w:rsidP="00184A48"/>
    <w:p w14:paraId="6C96F742" w14:textId="77777777" w:rsidR="00184A48" w:rsidRPr="00716360" w:rsidRDefault="00184A48" w:rsidP="00184A48"/>
    <w:p w14:paraId="7698918A" w14:textId="77777777" w:rsidR="00184A48" w:rsidRPr="00716360" w:rsidRDefault="00184A48" w:rsidP="00184A48"/>
    <w:p w14:paraId="561450FE" w14:textId="77777777" w:rsidR="00184A48" w:rsidRPr="00716360" w:rsidRDefault="00184A48" w:rsidP="00184A48"/>
    <w:p w14:paraId="647415D6" w14:textId="77777777" w:rsidR="00184A48" w:rsidRPr="00716360" w:rsidRDefault="00184A48" w:rsidP="00184A48"/>
    <w:p w14:paraId="54768C5B" w14:textId="77777777" w:rsidR="00184A48" w:rsidRPr="00716360" w:rsidRDefault="00184A48" w:rsidP="00184A48"/>
    <w:p w14:paraId="7B89F856" w14:textId="17FB0FC9" w:rsidR="00850B31" w:rsidRPr="00C05132" w:rsidRDefault="00850B31" w:rsidP="00850B31">
      <w:pPr>
        <w:pStyle w:val="Imprint"/>
        <w:spacing w:before="1200"/>
        <w:rPr>
          <w:rFonts w:cs="Segoe UI"/>
        </w:rPr>
      </w:pPr>
      <w:bookmarkStart w:id="9" w:name="_Toc67385418"/>
      <w:r w:rsidRPr="00C05132">
        <w:rPr>
          <w:rFonts w:cs="Segoe UI"/>
        </w:rPr>
        <w:t xml:space="preserve">Citation: Ministry of Health. </w:t>
      </w:r>
      <w:r>
        <w:rPr>
          <w:rFonts w:cs="Segoe UI"/>
        </w:rPr>
        <w:t>2021</w:t>
      </w:r>
      <w:r w:rsidRPr="00C05132">
        <w:rPr>
          <w:rFonts w:cs="Segoe UI"/>
        </w:rPr>
        <w:t xml:space="preserve">. </w:t>
      </w:r>
      <w:r>
        <w:rPr>
          <w:rFonts w:cs="Segoe UI"/>
          <w:i/>
        </w:rPr>
        <w:t>COVID-19</w:t>
      </w:r>
      <w:r w:rsidRPr="00850B31">
        <w:rPr>
          <w:rFonts w:cs="Segoe UI"/>
          <w:i/>
        </w:rPr>
        <w:t xml:space="preserve"> Māori</w:t>
      </w:r>
      <w:r>
        <w:rPr>
          <w:rFonts w:cs="Segoe UI"/>
          <w:i/>
        </w:rPr>
        <w:t xml:space="preserve"> Vaccine and Immunisation Plan: Supplementary to the Updated COVID-19 </w:t>
      </w:r>
      <w:r w:rsidRPr="00850B31">
        <w:rPr>
          <w:rFonts w:cs="Segoe UI"/>
          <w:i/>
        </w:rPr>
        <w:t>Māori Health Response Plan</w:t>
      </w:r>
      <w:r w:rsidRPr="00C05132">
        <w:rPr>
          <w:rFonts w:cs="Segoe UI"/>
        </w:rPr>
        <w:t>. Wellington: Ministry of Health.</w:t>
      </w:r>
    </w:p>
    <w:p w14:paraId="7708FA18" w14:textId="79784C46" w:rsidR="00850B31" w:rsidRDefault="00850B31" w:rsidP="00850B31">
      <w:pPr>
        <w:pStyle w:val="Imprint"/>
      </w:pPr>
      <w:r>
        <w:t>Published in March 2021 by the Ministry of Health</w:t>
      </w:r>
      <w:r>
        <w:br/>
        <w:t>PO Box 5013, Wellington 6140, New Zealand</w:t>
      </w:r>
    </w:p>
    <w:p w14:paraId="2E6F587D" w14:textId="1F905B62" w:rsidR="00850B31" w:rsidRPr="009C0F2D" w:rsidRDefault="00850B31" w:rsidP="00850B31">
      <w:pPr>
        <w:pStyle w:val="Imprint"/>
      </w:pPr>
      <w:r>
        <w:t xml:space="preserve">ISBN </w:t>
      </w:r>
      <w:r w:rsidR="000B55BB" w:rsidRPr="0054425E">
        <w:t>978-1-99-100700-1</w:t>
      </w:r>
      <w:r>
        <w:t xml:space="preserve"> (online)</w:t>
      </w:r>
      <w:r>
        <w:br/>
      </w:r>
      <w:r w:rsidRPr="009C0F2D">
        <w:t xml:space="preserve">HP </w:t>
      </w:r>
      <w:r w:rsidR="00061FFD">
        <w:t>7629</w:t>
      </w:r>
    </w:p>
    <w:p w14:paraId="00A2914D" w14:textId="77777777" w:rsidR="00850B31" w:rsidRDefault="00850B31" w:rsidP="00850B31">
      <w:r>
        <w:rPr>
          <w:noProof/>
          <w:lang w:eastAsia="en-NZ"/>
        </w:rPr>
        <w:drawing>
          <wp:inline distT="0" distB="0" distL="0" distR="0" wp14:anchorId="264BEB44" wp14:editId="4E56028B">
            <wp:extent cx="1413163" cy="576330"/>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7ACDAEF" w14:textId="77777777" w:rsidR="00850B31" w:rsidRDefault="00850B31" w:rsidP="00850B31">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850B31" w:rsidRPr="00A63DFF" w14:paraId="3B8959D4" w14:textId="77777777" w:rsidTr="00E3354A">
        <w:trPr>
          <w:cantSplit/>
        </w:trPr>
        <w:tc>
          <w:tcPr>
            <w:tcW w:w="1526" w:type="dxa"/>
          </w:tcPr>
          <w:p w14:paraId="3D580A39" w14:textId="77777777" w:rsidR="00850B31" w:rsidRPr="00A63DFF" w:rsidRDefault="00850B31" w:rsidP="00E3354A">
            <w:pPr>
              <w:rPr>
                <w:rFonts w:cs="Segoe UI"/>
                <w:sz w:val="15"/>
                <w:szCs w:val="15"/>
              </w:rPr>
            </w:pPr>
            <w:r w:rsidRPr="00A63DFF">
              <w:rPr>
                <w:rFonts w:cs="Segoe UI"/>
                <w:b/>
                <w:noProof/>
                <w:sz w:val="15"/>
                <w:szCs w:val="15"/>
                <w:lang w:eastAsia="en-NZ"/>
              </w:rPr>
              <w:drawing>
                <wp:inline distT="0" distB="0" distL="0" distR="0" wp14:anchorId="50369541" wp14:editId="5908C68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8CF469" w14:textId="77777777" w:rsidR="00850B31" w:rsidRPr="00A63DFF" w:rsidRDefault="00850B31" w:rsidP="00E3354A">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1F47F342" w14:textId="77777777" w:rsidR="00850B31" w:rsidRPr="001F45A7" w:rsidRDefault="00850B31" w:rsidP="00850B31"/>
    <w:p w14:paraId="1F442FF0" w14:textId="77777777" w:rsidR="00184A48" w:rsidRPr="00716360" w:rsidRDefault="00184A48" w:rsidP="00184A48">
      <w:pPr>
        <w:pStyle w:val="Heading1"/>
      </w:pPr>
      <w:r w:rsidRPr="003C2095">
        <w:lastRenderedPageBreak/>
        <w:t>Executive</w:t>
      </w:r>
      <w:r w:rsidRPr="00716360">
        <w:t xml:space="preserve"> summary</w:t>
      </w:r>
      <w:bookmarkEnd w:id="8"/>
      <w:bookmarkEnd w:id="9"/>
    </w:p>
    <w:p w14:paraId="15EFC1F0" w14:textId="247097F4" w:rsidR="00184A48" w:rsidRPr="00716360" w:rsidRDefault="00184A48" w:rsidP="00184A48">
      <w:pPr>
        <w:pStyle w:val="ListParagraph"/>
        <w:spacing w:before="60" w:after="120" w:line="276" w:lineRule="auto"/>
        <w:ind w:left="284"/>
        <w:contextualSpacing w:val="0"/>
      </w:pPr>
      <w:r w:rsidRPr="00716360">
        <w:t>Th</w:t>
      </w:r>
      <w:r w:rsidR="00720BFF">
        <w:t>e COVID-19 Māori Vaccine and Immunisation Plan</w:t>
      </w:r>
      <w:r w:rsidR="00DA55ED" w:rsidRPr="00716360">
        <w:t xml:space="preserve"> </w:t>
      </w:r>
      <w:r w:rsidR="00720BFF">
        <w:t xml:space="preserve">(the plan) </w:t>
      </w:r>
      <w:r w:rsidR="00DA55ED" w:rsidRPr="00716360">
        <w:t xml:space="preserve">builds on the </w:t>
      </w:r>
      <w:hyperlink r:id="rId14" w:history="1">
        <w:r w:rsidR="00DA55ED" w:rsidRPr="00716360">
          <w:rPr>
            <w:rStyle w:val="Hyperlink"/>
          </w:rPr>
          <w:t>Updated COVID-19 Māori Health Response Plan</w:t>
        </w:r>
      </w:hyperlink>
      <w:r w:rsidR="00DA55ED" w:rsidRPr="00716360">
        <w:rPr>
          <w:rStyle w:val="Hyperlink"/>
        </w:rPr>
        <w:t xml:space="preserve"> </w:t>
      </w:r>
      <w:r w:rsidR="00DA55ED" w:rsidRPr="00716360">
        <w:t xml:space="preserve">implemented in 2020. In particular, the plan outlines key initiatives that will be undertaken to ensure that the COVID-19 Vaccine and Immunisation Programme addresses its </w:t>
      </w:r>
      <w:r w:rsidRPr="00716360">
        <w:t xml:space="preserve">obligations under </w:t>
      </w:r>
      <w:proofErr w:type="spellStart"/>
      <w:r w:rsidRPr="00716360">
        <w:t>Te</w:t>
      </w:r>
      <w:proofErr w:type="spellEnd"/>
      <w:r w:rsidRPr="00716360">
        <w:t xml:space="preserve"> </w:t>
      </w:r>
      <w:proofErr w:type="spellStart"/>
      <w:r w:rsidRPr="00716360">
        <w:t>Tiriti</w:t>
      </w:r>
      <w:proofErr w:type="spellEnd"/>
      <w:r w:rsidRPr="00716360">
        <w:t xml:space="preserve"> o Waitangi</w:t>
      </w:r>
      <w:r w:rsidR="00720BFF">
        <w:t xml:space="preserve"> </w:t>
      </w:r>
      <w:r w:rsidRPr="00716360">
        <w:t>and support</w:t>
      </w:r>
      <w:r w:rsidR="00DA55ED" w:rsidRPr="00716360">
        <w:t>s</w:t>
      </w:r>
      <w:r w:rsidRPr="00716360">
        <w:t xml:space="preserve"> Māori health and</w:t>
      </w:r>
      <w:r w:rsidR="00DA55ED" w:rsidRPr="00716360">
        <w:t xml:space="preserve"> equity</w:t>
      </w:r>
      <w:r w:rsidRPr="00716360">
        <w:t xml:space="preserve">. </w:t>
      </w:r>
      <w:r w:rsidR="00FF2E72" w:rsidRPr="00D2687E">
        <w:rPr>
          <w:b/>
          <w:bCs/>
        </w:rPr>
        <w:t xml:space="preserve">Appendix </w:t>
      </w:r>
      <w:r w:rsidR="00E3460D">
        <w:rPr>
          <w:b/>
          <w:bCs/>
        </w:rPr>
        <w:t>O</w:t>
      </w:r>
      <w:r w:rsidR="00FF2E72" w:rsidRPr="00D2687E">
        <w:rPr>
          <w:b/>
          <w:bCs/>
        </w:rPr>
        <w:t>ne</w:t>
      </w:r>
      <w:r w:rsidR="00FF2E72">
        <w:t xml:space="preserve"> provides an</w:t>
      </w:r>
      <w:r w:rsidR="00601892">
        <w:t xml:space="preserve"> over</w:t>
      </w:r>
      <w:r w:rsidR="00D15743">
        <w:t>view</w:t>
      </w:r>
      <w:r w:rsidR="00601892">
        <w:t xml:space="preserve"> of the </w:t>
      </w:r>
      <w:r w:rsidR="00425137">
        <w:t xml:space="preserve">COVID-19 Māori </w:t>
      </w:r>
      <w:r w:rsidR="00D2687E">
        <w:t>Vaccine and Immunisation approach.</w:t>
      </w:r>
    </w:p>
    <w:p w14:paraId="29EFCD0F" w14:textId="0ECF2544" w:rsidR="00184A48" w:rsidRPr="00716360" w:rsidRDefault="00184A48" w:rsidP="00184A48">
      <w:pPr>
        <w:pStyle w:val="ListParagraph"/>
        <w:spacing w:before="60" w:after="120" w:line="276" w:lineRule="auto"/>
        <w:ind w:left="284"/>
        <w:contextualSpacing w:val="0"/>
      </w:pPr>
      <w:r w:rsidRPr="00716360">
        <w:t xml:space="preserve">The COVID-19 response has been a collective effort involving </w:t>
      </w:r>
      <w:proofErr w:type="spellStart"/>
      <w:r w:rsidRPr="00716360">
        <w:t>hapū</w:t>
      </w:r>
      <w:proofErr w:type="spellEnd"/>
      <w:r w:rsidRPr="00716360">
        <w:t xml:space="preserve">, iwi, </w:t>
      </w:r>
      <w:proofErr w:type="spellStart"/>
      <w:r w:rsidR="007413A8" w:rsidRPr="00716360">
        <w:t>hapori</w:t>
      </w:r>
      <w:proofErr w:type="spellEnd"/>
      <w:r w:rsidRPr="00716360">
        <w:t xml:space="preserve"> Māori (Māori communities), and the wider health and disability </w:t>
      </w:r>
      <w:r w:rsidRPr="00716360">
        <w:rPr>
          <w:rFonts w:eastAsia="Cambria" w:cs="Segoe UI"/>
          <w:iCs/>
          <w:shd w:val="clear" w:color="auto" w:fill="FFFFFF" w:themeFill="background1"/>
          <w:lang w:val="en-AU"/>
        </w:rPr>
        <w:t>provider</w:t>
      </w:r>
      <w:r w:rsidRPr="00716360">
        <w:t xml:space="preserve"> network, along with the wider health and disability system, workforce and broader government. The achievements and progress made are the result of collaboration and </w:t>
      </w:r>
      <w:proofErr w:type="spellStart"/>
      <w:r w:rsidRPr="00716360">
        <w:t>kotahitanga</w:t>
      </w:r>
      <w:proofErr w:type="spellEnd"/>
      <w:r w:rsidRPr="00716360">
        <w:t xml:space="preserve">. </w:t>
      </w:r>
    </w:p>
    <w:p w14:paraId="6F9A8D1E" w14:textId="3A8D874F" w:rsidR="00184A48" w:rsidRPr="00716360" w:rsidRDefault="00184A48" w:rsidP="00184A48">
      <w:pPr>
        <w:pStyle w:val="ListParagraph"/>
        <w:spacing w:before="60" w:after="120" w:line="276" w:lineRule="auto"/>
        <w:ind w:left="284"/>
        <w:contextualSpacing w:val="0"/>
      </w:pPr>
      <w:r w:rsidRPr="00716360">
        <w:t xml:space="preserve">It is imperative the Ministry of Health (the Ministry) continues to encourage and enable this unified effort as part of the </w:t>
      </w:r>
      <w:hyperlink r:id="rId15" w:history="1">
        <w:r w:rsidRPr="00716360">
          <w:rPr>
            <w:rStyle w:val="Hyperlink"/>
          </w:rPr>
          <w:t>COVID-19 Elimination Strategy for Aotearoa New Zealand</w:t>
        </w:r>
      </w:hyperlink>
      <w:r w:rsidR="00DE62CA">
        <w:t xml:space="preserve">. </w:t>
      </w:r>
      <w:r w:rsidRPr="00716360">
        <w:rPr>
          <w:rFonts w:eastAsia="Cambria" w:cs="Segoe UI"/>
          <w:iCs/>
          <w:shd w:val="clear" w:color="auto" w:fill="FFFFFF" w:themeFill="background1"/>
          <w:lang w:val="en-AU"/>
        </w:rPr>
        <w:t xml:space="preserve">The successful delivery of </w:t>
      </w:r>
      <w:r w:rsidRPr="00716360">
        <w:t>the COVID-19 Vaccine and Immunisation Programme</w:t>
      </w:r>
      <w:r w:rsidRPr="00716360" w:rsidDel="006B602B">
        <w:t xml:space="preserve"> </w:t>
      </w:r>
      <w:r w:rsidRPr="00716360">
        <w:t xml:space="preserve">will be critical to meeting the objectives of the Elimination Strategy. </w:t>
      </w:r>
    </w:p>
    <w:p w14:paraId="17249B7B" w14:textId="77777777" w:rsidR="00184A48" w:rsidRPr="00716360" w:rsidRDefault="00184A48" w:rsidP="00184A48">
      <w:pPr>
        <w:pStyle w:val="ListParagraph"/>
        <w:ind w:left="284"/>
      </w:pPr>
      <w:r w:rsidRPr="00716360">
        <w:t xml:space="preserve">The Ministry is committed to fulfilling its obligations under </w:t>
      </w:r>
      <w:hyperlink r:id="rId16" w:history="1">
        <w:proofErr w:type="spellStart"/>
        <w:r w:rsidRPr="00716360">
          <w:rPr>
            <w:rStyle w:val="Hyperlink"/>
          </w:rPr>
          <w:t>Te</w:t>
        </w:r>
        <w:proofErr w:type="spellEnd"/>
        <w:r w:rsidRPr="00716360">
          <w:rPr>
            <w:rStyle w:val="Hyperlink"/>
          </w:rPr>
          <w:t xml:space="preserve"> </w:t>
        </w:r>
        <w:proofErr w:type="spellStart"/>
        <w:r w:rsidRPr="00716360">
          <w:rPr>
            <w:rStyle w:val="Hyperlink"/>
          </w:rPr>
          <w:t>Tiriti</w:t>
        </w:r>
        <w:proofErr w:type="spellEnd"/>
        <w:r w:rsidRPr="00716360">
          <w:rPr>
            <w:rStyle w:val="Hyperlink"/>
          </w:rPr>
          <w:t xml:space="preserve"> o Waitangi</w:t>
        </w:r>
      </w:hyperlink>
      <w:r w:rsidRPr="00716360">
        <w:t xml:space="preserve"> as part of the COVID-19 Maori health response, including through the delivery of the Programme. This document outlines key initiatives incorporated across the Programme that ensures </w:t>
      </w:r>
      <w:proofErr w:type="spellStart"/>
      <w:r w:rsidRPr="00716360">
        <w:t>Te</w:t>
      </w:r>
      <w:proofErr w:type="spellEnd"/>
      <w:r w:rsidRPr="00716360">
        <w:t xml:space="preserve"> </w:t>
      </w:r>
      <w:proofErr w:type="spellStart"/>
      <w:r w:rsidRPr="00716360">
        <w:t>Tiriti</w:t>
      </w:r>
      <w:proofErr w:type="spellEnd"/>
      <w:r w:rsidRPr="00716360">
        <w:t xml:space="preserve"> o Waitangi and Māori health equity remain at the centre of the vaccination roll-out. These initiatives include: </w:t>
      </w:r>
    </w:p>
    <w:p w14:paraId="726D8098"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governance and partnership</w:t>
      </w:r>
    </w:p>
    <w:p w14:paraId="6DEB28EC"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targeted vaccination approach</w:t>
      </w:r>
    </w:p>
    <w:p w14:paraId="718DE08A"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Māori health and disability provider support</w:t>
      </w:r>
    </w:p>
    <w:p w14:paraId="6AEC033E" w14:textId="784ACF29"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workforce development</w:t>
      </w:r>
    </w:p>
    <w:p w14:paraId="7B455E20"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tailored communications. </w:t>
      </w:r>
    </w:p>
    <w:p w14:paraId="2F38F487" w14:textId="02CCD06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The Programme will help to manage the impact of COVID-19 on whānau, </w:t>
      </w:r>
      <w:proofErr w:type="spellStart"/>
      <w:r w:rsidRPr="00716360">
        <w:rPr>
          <w:rFonts w:eastAsia="Cambria" w:cs="Segoe UI"/>
          <w:iCs/>
          <w:shd w:val="clear" w:color="auto" w:fill="FFFFFF" w:themeFill="background1"/>
          <w:lang w:val="en-AU"/>
        </w:rPr>
        <w:t>hapū</w:t>
      </w:r>
      <w:proofErr w:type="spellEnd"/>
      <w:r w:rsidRPr="00716360">
        <w:rPr>
          <w:rFonts w:eastAsia="Cambria" w:cs="Segoe UI"/>
          <w:iCs/>
          <w:shd w:val="clear" w:color="auto" w:fill="FFFFFF" w:themeFill="background1"/>
          <w:lang w:val="en-AU"/>
        </w:rPr>
        <w:t xml:space="preserve">, iwi and </w:t>
      </w:r>
      <w:proofErr w:type="spellStart"/>
      <w:r w:rsidR="007413A8" w:rsidRPr="00716360">
        <w:rPr>
          <w:rFonts w:eastAsia="Cambria" w:cs="Segoe UI"/>
          <w:iCs/>
          <w:shd w:val="clear" w:color="auto" w:fill="FFFFFF" w:themeFill="background1"/>
          <w:lang w:val="en-AU"/>
        </w:rPr>
        <w:t>hapori</w:t>
      </w:r>
      <w:proofErr w:type="spellEnd"/>
      <w:r w:rsidRPr="00716360">
        <w:rPr>
          <w:rFonts w:eastAsia="Cambria" w:cs="Segoe UI"/>
          <w:iCs/>
          <w:shd w:val="clear" w:color="auto" w:fill="FFFFFF" w:themeFill="background1"/>
          <w:lang w:val="en-AU"/>
        </w:rPr>
        <w:t xml:space="preserve"> Māori. This is because it helps us to:</w:t>
      </w:r>
    </w:p>
    <w:p w14:paraId="37099F1C"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actively protect people from the potential harm of contracting COVID-19 </w:t>
      </w:r>
    </w:p>
    <w:p w14:paraId="0729B444"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potentially reduce the risk of transmission in the community</w:t>
      </w:r>
    </w:p>
    <w:p w14:paraId="65F545EE" w14:textId="77777777" w:rsidR="00184A48" w:rsidRPr="00716360" w:rsidRDefault="00184A48" w:rsidP="00184A48">
      <w:pPr>
        <w:pStyle w:val="ListParagraph"/>
        <w:numPr>
          <w:ilvl w:val="0"/>
          <w:numId w:val="2"/>
        </w:numPr>
        <w:spacing w:before="60" w:after="120" w:line="276" w:lineRule="auto"/>
        <w:contextualSpacing w:val="0"/>
      </w:pPr>
      <w:r w:rsidRPr="00716360">
        <w:rPr>
          <w:rFonts w:eastAsia="Cambria" w:cs="Segoe UI"/>
          <w:iCs/>
          <w:shd w:val="clear" w:color="auto" w:fill="FFFFFF" w:themeFill="background1"/>
          <w:lang w:val="en-AU"/>
        </w:rPr>
        <w:t>support the health and disability system’s readiness and resilience if there is an outbreak, both by vaccinating certain health workers early and by vaccinating the groups most at risk of severe illness if they contract COVID-19.</w:t>
      </w:r>
    </w:p>
    <w:p w14:paraId="0D88A244" w14:textId="5D0BBDBD" w:rsidR="00184A48" w:rsidRPr="00716360" w:rsidRDefault="00184A48" w:rsidP="00184A48">
      <w:pPr>
        <w:pStyle w:val="ListParagraph"/>
        <w:spacing w:before="60" w:after="120" w:line="276" w:lineRule="auto"/>
        <w:ind w:left="284"/>
      </w:pPr>
      <w:r w:rsidRPr="00716360">
        <w:t xml:space="preserve">This document is supplementary to the </w:t>
      </w:r>
      <w:hyperlink r:id="rId17" w:history="1">
        <w:r w:rsidRPr="00716360">
          <w:rPr>
            <w:rStyle w:val="Hyperlink"/>
          </w:rPr>
          <w:t>Updated COVID-19 Māori Health Response Plan</w:t>
        </w:r>
      </w:hyperlink>
      <w:r w:rsidR="00DA445F">
        <w:t>. Bo</w:t>
      </w:r>
      <w:r w:rsidR="00E129EE">
        <w:t xml:space="preserve">th documents </w:t>
      </w:r>
      <w:r w:rsidRPr="00716360">
        <w:t>will be updated</w:t>
      </w:r>
      <w:r w:rsidR="00E129EE">
        <w:t xml:space="preserve"> as necessary</w:t>
      </w:r>
      <w:r w:rsidRPr="00716360">
        <w:t xml:space="preserve"> to reflect any changes to the Government’s broader approach to COVID-19 response. </w:t>
      </w:r>
    </w:p>
    <w:p w14:paraId="4DC5C645" w14:textId="77777777" w:rsidR="00184A48" w:rsidRPr="00716360" w:rsidRDefault="00184A48" w:rsidP="00184A48">
      <w:pPr>
        <w:pStyle w:val="Heading2"/>
      </w:pPr>
      <w:bookmarkStart w:id="10" w:name="_Toc44583219"/>
      <w:bookmarkStart w:id="11" w:name="_Toc66269391"/>
      <w:bookmarkStart w:id="12" w:name="_Toc66273442"/>
      <w:bookmarkStart w:id="13" w:name="_Toc66286200"/>
      <w:bookmarkStart w:id="14" w:name="_Toc66693256"/>
      <w:bookmarkStart w:id="15" w:name="_Toc67385419"/>
      <w:r w:rsidRPr="00716360">
        <w:lastRenderedPageBreak/>
        <w:t>Further information</w:t>
      </w:r>
      <w:bookmarkEnd w:id="10"/>
      <w:bookmarkEnd w:id="11"/>
      <w:bookmarkEnd w:id="12"/>
      <w:bookmarkEnd w:id="13"/>
      <w:bookmarkEnd w:id="14"/>
      <w:bookmarkEnd w:id="15"/>
      <w:r w:rsidRPr="00716360">
        <w:t xml:space="preserve"> </w:t>
      </w:r>
    </w:p>
    <w:p w14:paraId="37542E6B" w14:textId="77777777" w:rsidR="00184A48" w:rsidRPr="00716360" w:rsidRDefault="00184A48" w:rsidP="00184A48">
      <w:pPr>
        <w:pStyle w:val="ListParagraph"/>
        <w:spacing w:before="60" w:after="120" w:line="276" w:lineRule="auto"/>
        <w:ind w:left="284"/>
      </w:pPr>
      <w:r w:rsidRPr="00716360">
        <w:t xml:space="preserve">For more information about the Māori health COVID-19 response, please go to </w:t>
      </w:r>
      <w:hyperlink r:id="rId18" w:history="1">
        <w:r w:rsidRPr="00716360">
          <w:rPr>
            <w:rStyle w:val="Hyperlink"/>
          </w:rPr>
          <w:t>https://www.health.govt.nz/</w:t>
        </w:r>
      </w:hyperlink>
      <w:r w:rsidRPr="00716360">
        <w:t xml:space="preserve">. </w:t>
      </w:r>
    </w:p>
    <w:p w14:paraId="3385812F" w14:textId="77777777" w:rsidR="00184A48" w:rsidRPr="00716360" w:rsidRDefault="00184A48" w:rsidP="00184A48">
      <w:pPr>
        <w:pStyle w:val="ListParagraph"/>
        <w:spacing w:before="60" w:after="120" w:line="276" w:lineRule="auto"/>
        <w:ind w:left="284"/>
      </w:pPr>
    </w:p>
    <w:p w14:paraId="117F077D" w14:textId="2F3D6DAA" w:rsidR="00184A48" w:rsidRPr="00716360" w:rsidRDefault="00184A48" w:rsidP="0086489C">
      <w:pPr>
        <w:pStyle w:val="ListParagraph"/>
        <w:spacing w:before="60" w:after="120" w:line="276" w:lineRule="auto"/>
        <w:ind w:left="284"/>
      </w:pPr>
      <w:r w:rsidRPr="00716360">
        <w:t xml:space="preserve">For the latest </w:t>
      </w:r>
      <w:r w:rsidRPr="00716360">
        <w:rPr>
          <w:rFonts w:eastAsia="Cambria" w:cs="Segoe UI"/>
          <w:iCs/>
          <w:shd w:val="clear" w:color="auto" w:fill="FFFFFF" w:themeFill="background1"/>
          <w:lang w:val="en-AU"/>
        </w:rPr>
        <w:t>updates</w:t>
      </w:r>
      <w:r w:rsidRPr="00716360">
        <w:t xml:space="preserve"> and information on the COVID-19 response, please go to </w:t>
      </w:r>
      <w:hyperlink r:id="rId19" w:history="1">
        <w:r w:rsidRPr="00716360">
          <w:rPr>
            <w:rStyle w:val="Hyperlink"/>
          </w:rPr>
          <w:t>https://covid19.govt.nz/</w:t>
        </w:r>
      </w:hyperlink>
      <w:r w:rsidRPr="00716360">
        <w:t xml:space="preserve">. </w:t>
      </w:r>
    </w:p>
    <w:sdt>
      <w:sdtPr>
        <w:rPr>
          <w:rFonts w:ascii="Segoe UI" w:eastAsiaTheme="minorHAnsi" w:hAnsi="Segoe UI" w:cstheme="minorBidi"/>
          <w:color w:val="auto"/>
          <w:sz w:val="21"/>
          <w:szCs w:val="22"/>
          <w:lang w:val="en-NZ"/>
        </w:rPr>
        <w:id w:val="-1026710762"/>
        <w:docPartObj>
          <w:docPartGallery w:val="Table of Contents"/>
          <w:docPartUnique/>
        </w:docPartObj>
      </w:sdtPr>
      <w:sdtEndPr>
        <w:rPr>
          <w:b/>
          <w:bCs/>
          <w:noProof/>
        </w:rPr>
      </w:sdtEndPr>
      <w:sdtContent>
        <w:p w14:paraId="514F0B6B" w14:textId="77777777" w:rsidR="00184A48" w:rsidRPr="00716360" w:rsidRDefault="00184A48" w:rsidP="00184A48">
          <w:pPr>
            <w:pStyle w:val="TOCHeading"/>
            <w:rPr>
              <w:rStyle w:val="Heading1Char"/>
            </w:rPr>
          </w:pPr>
          <w:r w:rsidRPr="00716360">
            <w:rPr>
              <w:rStyle w:val="Heading1Char"/>
            </w:rPr>
            <w:t>Contents</w:t>
          </w:r>
        </w:p>
        <w:p w14:paraId="5B965D25" w14:textId="7A3B3721" w:rsidR="00DD157F" w:rsidRDefault="00184A48">
          <w:pPr>
            <w:pStyle w:val="TOC1"/>
            <w:rPr>
              <w:rFonts w:asciiTheme="minorHAnsi" w:eastAsiaTheme="minorEastAsia" w:hAnsiTheme="minorHAnsi"/>
              <w:noProof/>
              <w:sz w:val="22"/>
              <w:lang w:eastAsia="en-NZ"/>
            </w:rPr>
          </w:pPr>
          <w:r w:rsidRPr="00716360">
            <w:fldChar w:fldCharType="begin"/>
          </w:r>
          <w:r w:rsidRPr="00716360">
            <w:instrText xml:space="preserve"> TOC \o "1-3" \h \z \u </w:instrText>
          </w:r>
          <w:r w:rsidRPr="00716360">
            <w:fldChar w:fldCharType="separate"/>
          </w:r>
          <w:hyperlink w:anchor="_Toc67385416" w:history="1">
            <w:r w:rsidR="00DD157F" w:rsidRPr="00AD7E26">
              <w:rPr>
                <w:rStyle w:val="Hyperlink"/>
                <w:noProof/>
              </w:rPr>
              <w:t>COVID-19 Māori Vaccine and Immunisation Plan</w:t>
            </w:r>
            <w:r w:rsidR="00DD157F">
              <w:rPr>
                <w:noProof/>
                <w:webHidden/>
              </w:rPr>
              <w:tab/>
            </w:r>
            <w:r w:rsidR="00DD157F">
              <w:rPr>
                <w:noProof/>
                <w:webHidden/>
              </w:rPr>
              <w:fldChar w:fldCharType="begin"/>
            </w:r>
            <w:r w:rsidR="00DD157F">
              <w:rPr>
                <w:noProof/>
                <w:webHidden/>
              </w:rPr>
              <w:instrText xml:space="preserve"> PAGEREF _Toc67385416 \h </w:instrText>
            </w:r>
            <w:r w:rsidR="00DD157F">
              <w:rPr>
                <w:noProof/>
                <w:webHidden/>
              </w:rPr>
            </w:r>
            <w:r w:rsidR="00DD157F">
              <w:rPr>
                <w:noProof/>
                <w:webHidden/>
              </w:rPr>
              <w:fldChar w:fldCharType="separate"/>
            </w:r>
            <w:r w:rsidR="00AA17AE">
              <w:rPr>
                <w:noProof/>
                <w:webHidden/>
              </w:rPr>
              <w:t>1</w:t>
            </w:r>
            <w:r w:rsidR="00DD157F">
              <w:rPr>
                <w:noProof/>
                <w:webHidden/>
              </w:rPr>
              <w:fldChar w:fldCharType="end"/>
            </w:r>
          </w:hyperlink>
        </w:p>
        <w:p w14:paraId="7C1A3F34" w14:textId="100E704C" w:rsidR="00DD157F" w:rsidRDefault="00AA17AE">
          <w:pPr>
            <w:pStyle w:val="TOC1"/>
            <w:rPr>
              <w:rFonts w:asciiTheme="minorHAnsi" w:eastAsiaTheme="minorEastAsia" w:hAnsiTheme="minorHAnsi"/>
              <w:noProof/>
              <w:sz w:val="22"/>
              <w:lang w:eastAsia="en-NZ"/>
            </w:rPr>
          </w:pPr>
          <w:hyperlink w:anchor="_Toc67385418" w:history="1">
            <w:r w:rsidR="00DD157F" w:rsidRPr="00AD7E26">
              <w:rPr>
                <w:rStyle w:val="Hyperlink"/>
                <w:noProof/>
              </w:rPr>
              <w:t>Executive summary</w:t>
            </w:r>
            <w:r w:rsidR="00DD157F">
              <w:rPr>
                <w:noProof/>
                <w:webHidden/>
              </w:rPr>
              <w:tab/>
            </w:r>
            <w:r w:rsidR="00DD157F">
              <w:rPr>
                <w:noProof/>
                <w:webHidden/>
              </w:rPr>
              <w:fldChar w:fldCharType="begin"/>
            </w:r>
            <w:r w:rsidR="00DD157F">
              <w:rPr>
                <w:noProof/>
                <w:webHidden/>
              </w:rPr>
              <w:instrText xml:space="preserve"> PAGEREF _Toc67385418 \h </w:instrText>
            </w:r>
            <w:r w:rsidR="00DD157F">
              <w:rPr>
                <w:noProof/>
                <w:webHidden/>
              </w:rPr>
            </w:r>
            <w:r w:rsidR="00DD157F">
              <w:rPr>
                <w:noProof/>
                <w:webHidden/>
              </w:rPr>
              <w:fldChar w:fldCharType="separate"/>
            </w:r>
            <w:r>
              <w:rPr>
                <w:noProof/>
                <w:webHidden/>
              </w:rPr>
              <w:t>2</w:t>
            </w:r>
            <w:r w:rsidR="00DD157F">
              <w:rPr>
                <w:noProof/>
                <w:webHidden/>
              </w:rPr>
              <w:fldChar w:fldCharType="end"/>
            </w:r>
          </w:hyperlink>
        </w:p>
        <w:p w14:paraId="571B8047" w14:textId="590FB65F" w:rsidR="00DD157F" w:rsidRDefault="00AA17AE">
          <w:pPr>
            <w:pStyle w:val="TOC1"/>
            <w:rPr>
              <w:rFonts w:asciiTheme="minorHAnsi" w:eastAsiaTheme="minorEastAsia" w:hAnsiTheme="minorHAnsi"/>
              <w:noProof/>
              <w:sz w:val="22"/>
              <w:lang w:eastAsia="en-NZ"/>
            </w:rPr>
          </w:pPr>
          <w:hyperlink w:anchor="_Toc67385420" w:history="1">
            <w:r w:rsidR="00DD157F" w:rsidRPr="00AD7E26">
              <w:rPr>
                <w:rStyle w:val="Hyperlink"/>
                <w:noProof/>
              </w:rPr>
              <w:t>The COVID-19 Vaccine and Immunisation Programme</w:t>
            </w:r>
            <w:r w:rsidR="00DD157F">
              <w:rPr>
                <w:noProof/>
                <w:webHidden/>
              </w:rPr>
              <w:tab/>
            </w:r>
            <w:r w:rsidR="00DD157F">
              <w:rPr>
                <w:noProof/>
                <w:webHidden/>
              </w:rPr>
              <w:fldChar w:fldCharType="begin"/>
            </w:r>
            <w:r w:rsidR="00DD157F">
              <w:rPr>
                <w:noProof/>
                <w:webHidden/>
              </w:rPr>
              <w:instrText xml:space="preserve"> PAGEREF _Toc67385420 \h </w:instrText>
            </w:r>
            <w:r w:rsidR="00DD157F">
              <w:rPr>
                <w:noProof/>
                <w:webHidden/>
              </w:rPr>
            </w:r>
            <w:r w:rsidR="00DD157F">
              <w:rPr>
                <w:noProof/>
                <w:webHidden/>
              </w:rPr>
              <w:fldChar w:fldCharType="separate"/>
            </w:r>
            <w:r>
              <w:rPr>
                <w:noProof/>
                <w:webHidden/>
              </w:rPr>
              <w:t>6</w:t>
            </w:r>
            <w:r w:rsidR="00DD157F">
              <w:rPr>
                <w:noProof/>
                <w:webHidden/>
              </w:rPr>
              <w:fldChar w:fldCharType="end"/>
            </w:r>
          </w:hyperlink>
        </w:p>
        <w:p w14:paraId="24BFBA15" w14:textId="4C111989" w:rsidR="00DD157F" w:rsidRDefault="00AA17AE">
          <w:pPr>
            <w:pStyle w:val="TOC1"/>
            <w:rPr>
              <w:rFonts w:asciiTheme="minorHAnsi" w:eastAsiaTheme="minorEastAsia" w:hAnsiTheme="minorHAnsi"/>
              <w:noProof/>
              <w:sz w:val="22"/>
              <w:lang w:eastAsia="en-NZ"/>
            </w:rPr>
          </w:pPr>
          <w:hyperlink w:anchor="_Toc67385422" w:history="1">
            <w:r w:rsidR="00DD157F" w:rsidRPr="00AD7E26">
              <w:rPr>
                <w:rStyle w:val="Hyperlink"/>
                <w:noProof/>
              </w:rPr>
              <w:t>Monitoring progress</w:t>
            </w:r>
            <w:r w:rsidR="00DD157F">
              <w:rPr>
                <w:noProof/>
                <w:webHidden/>
              </w:rPr>
              <w:tab/>
            </w:r>
            <w:r w:rsidR="00DD157F">
              <w:rPr>
                <w:noProof/>
                <w:webHidden/>
              </w:rPr>
              <w:fldChar w:fldCharType="begin"/>
            </w:r>
            <w:r w:rsidR="00DD157F">
              <w:rPr>
                <w:noProof/>
                <w:webHidden/>
              </w:rPr>
              <w:instrText xml:space="preserve"> PAGEREF _Toc67385422 \h </w:instrText>
            </w:r>
            <w:r w:rsidR="00DD157F">
              <w:rPr>
                <w:noProof/>
                <w:webHidden/>
              </w:rPr>
            </w:r>
            <w:r w:rsidR="00DD157F">
              <w:rPr>
                <w:noProof/>
                <w:webHidden/>
              </w:rPr>
              <w:fldChar w:fldCharType="separate"/>
            </w:r>
            <w:r>
              <w:rPr>
                <w:noProof/>
                <w:webHidden/>
              </w:rPr>
              <w:t>12</w:t>
            </w:r>
            <w:r w:rsidR="00DD157F">
              <w:rPr>
                <w:noProof/>
                <w:webHidden/>
              </w:rPr>
              <w:fldChar w:fldCharType="end"/>
            </w:r>
          </w:hyperlink>
        </w:p>
        <w:p w14:paraId="782E4D9B" w14:textId="6CA2B849" w:rsidR="00DD157F" w:rsidRDefault="00AA17AE">
          <w:pPr>
            <w:pStyle w:val="TOC1"/>
            <w:rPr>
              <w:rFonts w:asciiTheme="minorHAnsi" w:eastAsiaTheme="minorEastAsia" w:hAnsiTheme="minorHAnsi"/>
              <w:noProof/>
              <w:sz w:val="22"/>
              <w:lang w:eastAsia="en-NZ"/>
            </w:rPr>
          </w:pPr>
          <w:hyperlink w:anchor="_Toc67385424" w:history="1">
            <w:r w:rsidR="00DD157F" w:rsidRPr="00AD7E26">
              <w:rPr>
                <w:rStyle w:val="Hyperlink"/>
                <w:noProof/>
              </w:rPr>
              <w:t>Appendix One</w:t>
            </w:r>
            <w:r w:rsidR="00DD157F">
              <w:rPr>
                <w:noProof/>
                <w:webHidden/>
              </w:rPr>
              <w:tab/>
            </w:r>
            <w:r w:rsidR="00DD157F">
              <w:rPr>
                <w:noProof/>
                <w:webHidden/>
              </w:rPr>
              <w:fldChar w:fldCharType="begin"/>
            </w:r>
            <w:r w:rsidR="00DD157F">
              <w:rPr>
                <w:noProof/>
                <w:webHidden/>
              </w:rPr>
              <w:instrText xml:space="preserve"> PAGEREF _Toc67385424 \h </w:instrText>
            </w:r>
            <w:r w:rsidR="00DD157F">
              <w:rPr>
                <w:noProof/>
                <w:webHidden/>
              </w:rPr>
            </w:r>
            <w:r w:rsidR="00DD157F">
              <w:rPr>
                <w:noProof/>
                <w:webHidden/>
              </w:rPr>
              <w:fldChar w:fldCharType="separate"/>
            </w:r>
            <w:r>
              <w:rPr>
                <w:noProof/>
                <w:webHidden/>
              </w:rPr>
              <w:t>15</w:t>
            </w:r>
            <w:r w:rsidR="00DD157F">
              <w:rPr>
                <w:noProof/>
                <w:webHidden/>
              </w:rPr>
              <w:fldChar w:fldCharType="end"/>
            </w:r>
          </w:hyperlink>
        </w:p>
        <w:p w14:paraId="23642580" w14:textId="3620B270" w:rsidR="00DD157F" w:rsidRDefault="00AA17AE">
          <w:pPr>
            <w:pStyle w:val="TOC1"/>
            <w:rPr>
              <w:rFonts w:asciiTheme="minorHAnsi" w:eastAsiaTheme="minorEastAsia" w:hAnsiTheme="minorHAnsi"/>
              <w:noProof/>
              <w:sz w:val="22"/>
              <w:lang w:eastAsia="en-NZ"/>
            </w:rPr>
          </w:pPr>
          <w:hyperlink w:anchor="_Toc67385425" w:history="1">
            <w:r w:rsidR="00DD157F" w:rsidRPr="00AD7E26">
              <w:rPr>
                <w:rStyle w:val="Hyperlink"/>
                <w:noProof/>
              </w:rPr>
              <w:t>Appendix Two</w:t>
            </w:r>
            <w:r w:rsidR="00DD157F">
              <w:rPr>
                <w:noProof/>
                <w:webHidden/>
              </w:rPr>
              <w:tab/>
            </w:r>
            <w:r w:rsidR="00DD157F">
              <w:rPr>
                <w:noProof/>
                <w:webHidden/>
              </w:rPr>
              <w:fldChar w:fldCharType="begin"/>
            </w:r>
            <w:r w:rsidR="00DD157F">
              <w:rPr>
                <w:noProof/>
                <w:webHidden/>
              </w:rPr>
              <w:instrText xml:space="preserve"> PAGEREF _Toc67385425 \h </w:instrText>
            </w:r>
            <w:r w:rsidR="00DD157F">
              <w:rPr>
                <w:noProof/>
                <w:webHidden/>
              </w:rPr>
            </w:r>
            <w:r w:rsidR="00DD157F">
              <w:rPr>
                <w:noProof/>
                <w:webHidden/>
              </w:rPr>
              <w:fldChar w:fldCharType="separate"/>
            </w:r>
            <w:r>
              <w:rPr>
                <w:noProof/>
                <w:webHidden/>
              </w:rPr>
              <w:t>16</w:t>
            </w:r>
            <w:r w:rsidR="00DD157F">
              <w:rPr>
                <w:noProof/>
                <w:webHidden/>
              </w:rPr>
              <w:fldChar w:fldCharType="end"/>
            </w:r>
          </w:hyperlink>
        </w:p>
        <w:p w14:paraId="53FF7272" w14:textId="4A8859EA" w:rsidR="00DD157F" w:rsidRDefault="00AA17AE">
          <w:pPr>
            <w:pStyle w:val="TOC1"/>
            <w:rPr>
              <w:rFonts w:asciiTheme="minorHAnsi" w:eastAsiaTheme="minorEastAsia" w:hAnsiTheme="minorHAnsi"/>
              <w:noProof/>
              <w:sz w:val="22"/>
              <w:lang w:eastAsia="en-NZ"/>
            </w:rPr>
          </w:pPr>
          <w:hyperlink w:anchor="_Toc67385426" w:history="1">
            <w:r w:rsidR="00DD157F" w:rsidRPr="00AD7E26">
              <w:rPr>
                <w:rStyle w:val="Hyperlink"/>
                <w:noProof/>
              </w:rPr>
              <w:t>Appendix Three</w:t>
            </w:r>
            <w:r w:rsidR="00DD157F">
              <w:rPr>
                <w:noProof/>
                <w:webHidden/>
              </w:rPr>
              <w:tab/>
            </w:r>
            <w:r w:rsidR="00DD157F">
              <w:rPr>
                <w:noProof/>
                <w:webHidden/>
              </w:rPr>
              <w:fldChar w:fldCharType="begin"/>
            </w:r>
            <w:r w:rsidR="00DD157F">
              <w:rPr>
                <w:noProof/>
                <w:webHidden/>
              </w:rPr>
              <w:instrText xml:space="preserve"> PAGEREF _Toc67385426 \h </w:instrText>
            </w:r>
            <w:r w:rsidR="00DD157F">
              <w:rPr>
                <w:noProof/>
                <w:webHidden/>
              </w:rPr>
            </w:r>
            <w:r w:rsidR="00DD157F">
              <w:rPr>
                <w:noProof/>
                <w:webHidden/>
              </w:rPr>
              <w:fldChar w:fldCharType="separate"/>
            </w:r>
            <w:r>
              <w:rPr>
                <w:noProof/>
                <w:webHidden/>
              </w:rPr>
              <w:t>18</w:t>
            </w:r>
            <w:r w:rsidR="00DD157F">
              <w:rPr>
                <w:noProof/>
                <w:webHidden/>
              </w:rPr>
              <w:fldChar w:fldCharType="end"/>
            </w:r>
          </w:hyperlink>
        </w:p>
        <w:p w14:paraId="0CDFA6E3" w14:textId="7CCBBDCD" w:rsidR="00184A48" w:rsidRPr="00716360" w:rsidRDefault="00184A48" w:rsidP="00184A48">
          <w:r w:rsidRPr="00716360">
            <w:rPr>
              <w:b/>
              <w:bCs/>
              <w:noProof/>
            </w:rPr>
            <w:fldChar w:fldCharType="end"/>
          </w:r>
        </w:p>
      </w:sdtContent>
    </w:sdt>
    <w:p w14:paraId="7B1201BE" w14:textId="77777777" w:rsidR="00184A48" w:rsidRPr="00716360" w:rsidRDefault="00184A48" w:rsidP="00184A48">
      <w:pPr>
        <w:pStyle w:val="Heading1"/>
      </w:pPr>
      <w:bookmarkStart w:id="16" w:name="_Toc67385420"/>
      <w:r w:rsidRPr="00716360">
        <w:lastRenderedPageBreak/>
        <w:t>The COVID-19 Vaccine and Immunisation Programme</w:t>
      </w:r>
      <w:bookmarkEnd w:id="16"/>
    </w:p>
    <w:p w14:paraId="7CD9C776" w14:textId="0E45628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The </w:t>
      </w:r>
      <w:hyperlink r:id="rId20" w:history="1">
        <w:r w:rsidRPr="00716360">
          <w:rPr>
            <w:rStyle w:val="Hyperlink"/>
            <w:rFonts w:eastAsia="Cambria" w:cs="Segoe UI"/>
            <w:iCs/>
            <w:shd w:val="clear" w:color="auto" w:fill="FFFFFF" w:themeFill="background1"/>
            <w:lang w:val="en-AU"/>
          </w:rPr>
          <w:t>COVID-19 Elimination Strategy for Aotearoa New Zealand</w:t>
        </w:r>
      </w:hyperlink>
      <w:r w:rsidRPr="00716360">
        <w:rPr>
          <w:rFonts w:eastAsia="Cambria" w:cs="Segoe UI"/>
          <w:iCs/>
          <w:shd w:val="clear" w:color="auto" w:fill="FFFFFF" w:themeFill="background1"/>
          <w:lang w:val="en-AU"/>
        </w:rPr>
        <w:t xml:space="preserve"> (the Elimination Strategy) can be described as four pillars – </w:t>
      </w:r>
      <w:r w:rsidR="001D14A7">
        <w:rPr>
          <w:rFonts w:eastAsia="Cambria" w:cs="Segoe UI"/>
          <w:i/>
          <w:shd w:val="clear" w:color="auto" w:fill="FFFFFF" w:themeFill="background1"/>
          <w:lang w:val="en-AU"/>
        </w:rPr>
        <w:t>border controls, robust case detection and surveillance, effective contact tracing and quarantine, and strong community support of control measures</w:t>
      </w:r>
      <w:r w:rsidR="001D14A7">
        <w:rPr>
          <w:rFonts w:eastAsia="Cambria" w:cs="Segoe UI"/>
          <w:iCs/>
          <w:shd w:val="clear" w:color="auto" w:fill="FFFFFF" w:themeFill="background1"/>
          <w:lang w:val="en-AU"/>
        </w:rPr>
        <w:t xml:space="preserve">. </w:t>
      </w:r>
      <w:r w:rsidRPr="00716360">
        <w:rPr>
          <w:rFonts w:eastAsia="Cambria" w:cs="Segoe UI"/>
          <w:iCs/>
          <w:shd w:val="clear" w:color="auto" w:fill="FFFFFF" w:themeFill="background1"/>
          <w:lang w:val="en-AU"/>
        </w:rPr>
        <w:t xml:space="preserve">Each pillar describes a range of public health measures and controls that will help us to mitigate and manage the risk of COVID-19. </w:t>
      </w:r>
    </w:p>
    <w:p w14:paraId="49C5FA5E" w14:textId="75F8897A" w:rsidR="00184A48" w:rsidRPr="00716360" w:rsidRDefault="00184A48" w:rsidP="00184A48">
      <w:pPr>
        <w:pStyle w:val="ListParagraph"/>
        <w:spacing w:before="60" w:after="120" w:line="276" w:lineRule="auto"/>
        <w:ind w:left="284"/>
        <w:contextualSpacing w:val="0"/>
        <w:rPr>
          <w:color w:val="000000"/>
          <w:shd w:val="clear" w:color="auto" w:fill="FFFFFF"/>
          <w:lang w:val="en-AU"/>
        </w:rPr>
      </w:pPr>
      <w:r w:rsidRPr="00716360">
        <w:rPr>
          <w:rFonts w:eastAsia="Cambria" w:cs="Segoe UI"/>
          <w:iCs/>
          <w:shd w:val="clear" w:color="auto" w:fill="FFFFFF" w:themeFill="background1"/>
          <w:lang w:val="en-AU"/>
        </w:rPr>
        <w:t xml:space="preserve">The COVID-19 </w:t>
      </w:r>
      <w:r w:rsidRPr="00716360">
        <w:rPr>
          <w:color w:val="000000"/>
          <w:shd w:val="clear" w:color="auto" w:fill="FFFFFF"/>
          <w:lang w:val="en-AU"/>
        </w:rPr>
        <w:t>Vaccine and Immunisations Programme (the Programme) is a key part of the Elimination Strategy, as it will help to m</w:t>
      </w:r>
      <w:r w:rsidR="001D14A7">
        <w:rPr>
          <w:color w:val="000000"/>
          <w:shd w:val="clear" w:color="auto" w:fill="FFFFFF"/>
          <w:lang w:val="en-AU"/>
        </w:rPr>
        <w:t>itigat</w:t>
      </w:r>
      <w:r w:rsidRPr="00716360">
        <w:rPr>
          <w:color w:val="000000"/>
          <w:shd w:val="clear" w:color="auto" w:fill="FFFFFF"/>
          <w:lang w:val="en-AU"/>
        </w:rPr>
        <w:t>e the impact o</w:t>
      </w:r>
      <w:r w:rsidR="0000402C" w:rsidRPr="00716360">
        <w:rPr>
          <w:color w:val="000000"/>
          <w:shd w:val="clear" w:color="auto" w:fill="FFFFFF"/>
          <w:lang w:val="en-AU"/>
        </w:rPr>
        <w:t>f</w:t>
      </w:r>
      <w:r w:rsidRPr="00716360">
        <w:rPr>
          <w:color w:val="000000"/>
          <w:shd w:val="clear" w:color="auto" w:fill="FFFFFF"/>
          <w:lang w:val="en-AU"/>
        </w:rPr>
        <w:t xml:space="preserve"> COVID-19 on whānau, </w:t>
      </w:r>
      <w:proofErr w:type="spellStart"/>
      <w:r w:rsidRPr="00716360">
        <w:rPr>
          <w:color w:val="000000"/>
          <w:shd w:val="clear" w:color="auto" w:fill="FFFFFF"/>
          <w:lang w:val="en-AU"/>
        </w:rPr>
        <w:t>hapū</w:t>
      </w:r>
      <w:proofErr w:type="spellEnd"/>
      <w:r w:rsidRPr="00716360">
        <w:rPr>
          <w:color w:val="000000"/>
          <w:shd w:val="clear" w:color="auto" w:fill="FFFFFF"/>
          <w:lang w:val="en-AU"/>
        </w:rPr>
        <w:t xml:space="preserve">, iwi, </w:t>
      </w:r>
      <w:proofErr w:type="spellStart"/>
      <w:r w:rsidR="007413A8" w:rsidRPr="00716360">
        <w:rPr>
          <w:color w:val="000000"/>
          <w:shd w:val="clear" w:color="auto" w:fill="FFFFFF"/>
          <w:lang w:val="en-AU"/>
        </w:rPr>
        <w:t>hapori</w:t>
      </w:r>
      <w:proofErr w:type="spellEnd"/>
      <w:r w:rsidRPr="00716360">
        <w:rPr>
          <w:color w:val="000000"/>
          <w:shd w:val="clear" w:color="auto" w:fill="FFFFFF"/>
          <w:lang w:val="en-AU"/>
        </w:rPr>
        <w:t xml:space="preserve"> Māori and our response systems by: </w:t>
      </w:r>
    </w:p>
    <w:p w14:paraId="4B22D5C5" w14:textId="77777777" w:rsidR="00184A48" w:rsidRPr="00716360" w:rsidRDefault="00184A48" w:rsidP="00184A48">
      <w:pPr>
        <w:pStyle w:val="ListParagraph"/>
        <w:numPr>
          <w:ilvl w:val="0"/>
          <w:numId w:val="6"/>
        </w:numPr>
        <w:spacing w:before="60" w:after="120" w:line="276" w:lineRule="auto"/>
        <w:contextualSpacing w:val="0"/>
        <w:rPr>
          <w:color w:val="000000"/>
          <w:shd w:val="clear" w:color="auto" w:fill="FFFFFF"/>
          <w:lang w:val="en-AU"/>
        </w:rPr>
      </w:pPr>
      <w:r w:rsidRPr="00716360">
        <w:rPr>
          <w:color w:val="000000"/>
          <w:shd w:val="clear" w:color="auto" w:fill="FFFFFF"/>
          <w:lang w:val="en-AU"/>
        </w:rPr>
        <w:t xml:space="preserve">protecting people from the potential harm of contracting COVID-19 </w:t>
      </w:r>
    </w:p>
    <w:p w14:paraId="126FB671" w14:textId="2CF1878A" w:rsidR="00184A48" w:rsidRPr="00716360" w:rsidRDefault="00184A48" w:rsidP="00184A48">
      <w:pPr>
        <w:pStyle w:val="ListParagraph"/>
        <w:numPr>
          <w:ilvl w:val="0"/>
          <w:numId w:val="6"/>
        </w:numPr>
        <w:spacing w:before="60" w:after="120" w:line="276" w:lineRule="auto"/>
        <w:contextualSpacing w:val="0"/>
        <w:rPr>
          <w:color w:val="000000"/>
          <w:shd w:val="clear" w:color="auto" w:fill="FFFFFF"/>
          <w:lang w:val="en-AU"/>
        </w:rPr>
      </w:pPr>
      <w:r w:rsidRPr="00716360">
        <w:rPr>
          <w:color w:val="000000"/>
          <w:shd w:val="clear" w:color="auto" w:fill="FFFFFF"/>
          <w:lang w:val="en-AU"/>
        </w:rPr>
        <w:t>potentially reducing the risk of transmission in the community</w:t>
      </w:r>
    </w:p>
    <w:p w14:paraId="62B6D8A7" w14:textId="77777777" w:rsidR="00184A48" w:rsidRPr="00716360" w:rsidRDefault="00184A48" w:rsidP="00184A48">
      <w:pPr>
        <w:pStyle w:val="ListParagraph"/>
        <w:numPr>
          <w:ilvl w:val="0"/>
          <w:numId w:val="6"/>
        </w:numPr>
        <w:spacing w:before="60" w:after="120" w:line="276" w:lineRule="auto"/>
        <w:contextualSpacing w:val="0"/>
        <w:rPr>
          <w:color w:val="000000"/>
          <w:shd w:val="clear" w:color="auto" w:fill="FFFFFF"/>
          <w:lang w:val="en-AU"/>
        </w:rPr>
      </w:pPr>
      <w:r w:rsidRPr="00716360">
        <w:rPr>
          <w:color w:val="000000"/>
          <w:shd w:val="clear" w:color="auto" w:fill="FFFFFF"/>
          <w:lang w:val="en-AU"/>
        </w:rPr>
        <w:t xml:space="preserve">supporting the health and disability system’s readiness and resilience if there is an outbreak, both by vaccinating certain health workers early and by vaccinating the groups most at risk of severe illness if they contract COVID-19. </w:t>
      </w:r>
    </w:p>
    <w:p w14:paraId="1BA26313" w14:textId="764A2089" w:rsidR="00184A48" w:rsidRPr="00716360" w:rsidRDefault="00184A48" w:rsidP="00184A48">
      <w:pPr>
        <w:spacing w:before="60" w:after="120" w:line="276" w:lineRule="auto"/>
        <w:ind w:left="284"/>
        <w:rPr>
          <w:color w:val="000000"/>
          <w:shd w:val="clear" w:color="auto" w:fill="FFFFFF"/>
          <w:lang w:val="en-AU"/>
        </w:rPr>
      </w:pPr>
      <w:r w:rsidRPr="00716360">
        <w:rPr>
          <w:rFonts w:eastAsia="Cambria" w:cs="Segoe UI"/>
          <w:iCs/>
          <w:shd w:val="clear" w:color="auto" w:fill="FFFFFF" w:themeFill="background1"/>
          <w:lang w:val="en-AU"/>
        </w:rPr>
        <w:t xml:space="preserve">The health and disability system </w:t>
      </w:r>
      <w:proofErr w:type="gramStart"/>
      <w:r w:rsidRPr="00716360">
        <w:rPr>
          <w:rFonts w:eastAsia="Cambria" w:cs="Segoe UI"/>
          <w:iCs/>
          <w:shd w:val="clear" w:color="auto" w:fill="FFFFFF" w:themeFill="background1"/>
          <w:lang w:val="en-AU"/>
        </w:rPr>
        <w:t>is</w:t>
      </w:r>
      <w:proofErr w:type="gramEnd"/>
      <w:r w:rsidRPr="00716360">
        <w:rPr>
          <w:rFonts w:eastAsia="Cambria" w:cs="Segoe UI"/>
          <w:iCs/>
          <w:shd w:val="clear" w:color="auto" w:fill="FFFFFF" w:themeFill="background1"/>
          <w:lang w:val="en-AU"/>
        </w:rPr>
        <w:t xml:space="preserve"> committed to upholding and honouring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Tiriti</w:t>
      </w:r>
      <w:proofErr w:type="spellEnd"/>
      <w:r w:rsidRPr="00716360">
        <w:rPr>
          <w:rFonts w:eastAsia="Cambria" w:cs="Segoe UI"/>
          <w:iCs/>
          <w:shd w:val="clear" w:color="auto" w:fill="FFFFFF" w:themeFill="background1"/>
          <w:lang w:val="en-AU"/>
        </w:rPr>
        <w:t xml:space="preserve"> o Waitangi</w:t>
      </w:r>
      <w:r w:rsidR="00F108D9">
        <w:rPr>
          <w:rFonts w:eastAsia="Cambria" w:cs="Segoe UI"/>
          <w:iCs/>
          <w:shd w:val="clear" w:color="auto" w:fill="FFFFFF" w:themeFill="background1"/>
          <w:lang w:val="en-AU"/>
        </w:rPr>
        <w:t xml:space="preserve"> (</w:t>
      </w:r>
      <w:proofErr w:type="spellStart"/>
      <w:r w:rsidR="00F108D9">
        <w:rPr>
          <w:rFonts w:eastAsia="Cambria" w:cs="Segoe UI"/>
          <w:iCs/>
          <w:shd w:val="clear" w:color="auto" w:fill="FFFFFF" w:themeFill="background1"/>
          <w:lang w:val="en-AU"/>
        </w:rPr>
        <w:t>te</w:t>
      </w:r>
      <w:proofErr w:type="spellEnd"/>
      <w:r w:rsidR="00F108D9">
        <w:rPr>
          <w:rFonts w:eastAsia="Cambria" w:cs="Segoe UI"/>
          <w:iCs/>
          <w:shd w:val="clear" w:color="auto" w:fill="FFFFFF" w:themeFill="background1"/>
          <w:lang w:val="en-AU"/>
        </w:rPr>
        <w:t xml:space="preserve"> </w:t>
      </w:r>
      <w:proofErr w:type="spellStart"/>
      <w:r w:rsidR="00F108D9">
        <w:rPr>
          <w:rFonts w:eastAsia="Cambria" w:cs="Segoe UI"/>
          <w:iCs/>
          <w:shd w:val="clear" w:color="auto" w:fill="FFFFFF" w:themeFill="background1"/>
          <w:lang w:val="en-AU"/>
        </w:rPr>
        <w:t>Tiriti</w:t>
      </w:r>
      <w:proofErr w:type="spellEnd"/>
      <w:r w:rsidR="00F108D9">
        <w:rPr>
          <w:rFonts w:eastAsia="Cambria" w:cs="Segoe UI"/>
          <w:iCs/>
          <w:shd w:val="clear" w:color="auto" w:fill="FFFFFF" w:themeFill="background1"/>
          <w:lang w:val="en-AU"/>
        </w:rPr>
        <w:t>)</w:t>
      </w:r>
      <w:r w:rsidRPr="00716360">
        <w:rPr>
          <w:rFonts w:eastAsia="Cambria" w:cs="Segoe UI"/>
          <w:iCs/>
          <w:shd w:val="clear" w:color="auto" w:fill="FFFFFF" w:themeFill="background1"/>
          <w:lang w:val="en-AU"/>
        </w:rPr>
        <w:t xml:space="preserve">, including in the design and delivery of the Programme. The Ministry of Health’s (the Ministry) </w:t>
      </w:r>
      <w:hyperlink r:id="rId21" w:history="1">
        <w:proofErr w:type="spellStart"/>
        <w:r w:rsidRPr="00716360">
          <w:rPr>
            <w:rStyle w:val="Hyperlink"/>
            <w:rFonts w:eastAsia="Cambria" w:cs="Segoe UI"/>
            <w:iCs/>
            <w:shd w:val="clear" w:color="auto" w:fill="FFFFFF" w:themeFill="background1"/>
            <w:lang w:val="en-AU"/>
          </w:rPr>
          <w:t>Te</w:t>
        </w:r>
        <w:proofErr w:type="spellEnd"/>
        <w:r w:rsidRPr="00716360">
          <w:rPr>
            <w:rStyle w:val="Hyperlink"/>
            <w:rFonts w:eastAsia="Cambria" w:cs="Segoe UI"/>
            <w:iCs/>
            <w:shd w:val="clear" w:color="auto" w:fill="FFFFFF" w:themeFill="background1"/>
            <w:lang w:val="en-AU"/>
          </w:rPr>
          <w:t xml:space="preserve"> </w:t>
        </w:r>
        <w:proofErr w:type="spellStart"/>
        <w:r w:rsidRPr="00716360">
          <w:rPr>
            <w:rStyle w:val="Hyperlink"/>
            <w:rFonts w:eastAsia="Cambria" w:cs="Segoe UI"/>
            <w:iCs/>
            <w:shd w:val="clear" w:color="auto" w:fill="FFFFFF" w:themeFill="background1"/>
            <w:lang w:val="en-AU"/>
          </w:rPr>
          <w:t>Tiriti</w:t>
        </w:r>
        <w:proofErr w:type="spellEnd"/>
        <w:r w:rsidRPr="00716360">
          <w:rPr>
            <w:rStyle w:val="Hyperlink"/>
            <w:rFonts w:eastAsia="Cambria" w:cs="Segoe UI"/>
            <w:iCs/>
            <w:shd w:val="clear" w:color="auto" w:fill="FFFFFF" w:themeFill="background1"/>
            <w:lang w:val="en-AU"/>
          </w:rPr>
          <w:t xml:space="preserve"> o Waitangi Framework</w:t>
        </w:r>
      </w:hyperlink>
      <w:r w:rsidRPr="00716360">
        <w:rPr>
          <w:rFonts w:eastAsia="Cambria" w:cs="Segoe UI"/>
          <w:iCs/>
          <w:shd w:val="clear" w:color="auto" w:fill="FFFFFF" w:themeFill="background1"/>
          <w:lang w:val="en-AU"/>
        </w:rPr>
        <w:t xml:space="preserve"> and </w:t>
      </w:r>
      <w:hyperlink r:id="rId22" w:history="1">
        <w:r w:rsidRPr="00716360">
          <w:rPr>
            <w:rStyle w:val="Hyperlink"/>
            <w:rFonts w:eastAsia="Cambria" w:cs="Segoe UI"/>
            <w:iCs/>
            <w:shd w:val="clear" w:color="auto" w:fill="FFFFFF" w:themeFill="background1"/>
            <w:lang w:val="en-AU"/>
          </w:rPr>
          <w:t>Whakamaua: the Māori Health Action Plan 2020-2025</w:t>
        </w:r>
      </w:hyperlink>
      <w:r w:rsidRPr="00716360">
        <w:rPr>
          <w:rFonts w:eastAsia="Cambria" w:cs="Segoe UI"/>
          <w:iCs/>
          <w:shd w:val="clear" w:color="auto" w:fill="FFFFFF" w:themeFill="background1"/>
          <w:lang w:val="en-AU"/>
        </w:rPr>
        <w:t xml:space="preserve"> have guided the development of the Programme and how it will be delivered. Honouring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Tiriti</w:t>
      </w:r>
      <w:proofErr w:type="spellEnd"/>
      <w:r w:rsidRPr="00716360">
        <w:rPr>
          <w:rFonts w:eastAsia="Cambria" w:cs="Segoe UI"/>
          <w:iCs/>
          <w:shd w:val="clear" w:color="auto" w:fill="FFFFFF" w:themeFill="background1"/>
          <w:lang w:val="en-AU"/>
        </w:rPr>
        <w:t xml:space="preserve"> o Waitangi and ensuring equitable outcomes is fundamental to the success of the Programme. </w:t>
      </w:r>
    </w:p>
    <w:p w14:paraId="3FBF92AA" w14:textId="1B8F6142" w:rsidR="00184A48" w:rsidRPr="00716360" w:rsidRDefault="00184A48" w:rsidP="00184A48">
      <w:pPr>
        <w:pStyle w:val="ListParagraph"/>
        <w:spacing w:before="60" w:after="120" w:line="276" w:lineRule="auto"/>
        <w:ind w:left="284"/>
        <w:contextualSpacing w:val="0"/>
        <w:rPr>
          <w:rFonts w:eastAsiaTheme="majorEastAsia" w:cstheme="majorBidi"/>
          <w:b/>
          <w:color w:val="000000" w:themeColor="text1"/>
          <w:sz w:val="28"/>
          <w:szCs w:val="26"/>
        </w:rPr>
      </w:pPr>
      <w:r w:rsidRPr="00716360">
        <w:rPr>
          <w:rFonts w:eastAsiaTheme="majorEastAsia" w:cstheme="majorBidi"/>
          <w:b/>
          <w:color w:val="000000" w:themeColor="text1"/>
          <w:sz w:val="28"/>
          <w:szCs w:val="26"/>
        </w:rPr>
        <w:t>The COVID-19 Vaccine and Immunisation Programme</w:t>
      </w:r>
    </w:p>
    <w:p w14:paraId="638975E8" w14:textId="74CE7792" w:rsidR="003F5130"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The overarching goal of the Programme is to ensure as many people receive the vaccine as early as possible, whilst upholding the Crown’s obligations under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Tiriti</w:t>
      </w:r>
      <w:proofErr w:type="spellEnd"/>
      <w:r w:rsidRPr="00716360">
        <w:rPr>
          <w:rFonts w:eastAsia="Cambria" w:cs="Segoe UI"/>
          <w:iCs/>
          <w:shd w:val="clear" w:color="auto" w:fill="FFFFFF" w:themeFill="background1"/>
          <w:lang w:val="en-AU"/>
        </w:rPr>
        <w:t xml:space="preserve"> o Waitangi</w:t>
      </w:r>
      <w:r w:rsidR="00244EA1" w:rsidRPr="00716360">
        <w:rPr>
          <w:rFonts w:eastAsia="Cambria" w:cs="Segoe UI"/>
          <w:iCs/>
          <w:shd w:val="clear" w:color="auto" w:fill="FFFFFF" w:themeFill="background1"/>
          <w:lang w:val="en-AU"/>
        </w:rPr>
        <w:t xml:space="preserve">. The Ministry’s </w:t>
      </w:r>
      <w:proofErr w:type="spellStart"/>
      <w:r w:rsidR="00244EA1" w:rsidRPr="00716360">
        <w:rPr>
          <w:rFonts w:eastAsia="Cambria" w:cs="Segoe UI"/>
          <w:iCs/>
          <w:shd w:val="clear" w:color="auto" w:fill="FFFFFF" w:themeFill="background1"/>
          <w:lang w:val="en-AU"/>
        </w:rPr>
        <w:t>Tiriti</w:t>
      </w:r>
      <w:proofErr w:type="spellEnd"/>
      <w:r w:rsidR="00244EA1" w:rsidRPr="00716360">
        <w:rPr>
          <w:rFonts w:eastAsia="Cambria" w:cs="Segoe UI"/>
          <w:iCs/>
          <w:shd w:val="clear" w:color="auto" w:fill="FFFFFF" w:themeFill="background1"/>
          <w:lang w:val="en-AU"/>
        </w:rPr>
        <w:t xml:space="preserve"> obligations are outlined through</w:t>
      </w:r>
      <w:r w:rsidR="003F5130" w:rsidRPr="00716360">
        <w:rPr>
          <w:rFonts w:eastAsia="Cambria" w:cs="Segoe UI"/>
          <w:iCs/>
          <w:shd w:val="clear" w:color="auto" w:fill="FFFFFF" w:themeFill="background1"/>
          <w:lang w:val="en-AU"/>
        </w:rPr>
        <w:t xml:space="preserve"> the </w:t>
      </w:r>
      <w:r w:rsidR="00244EA1" w:rsidRPr="00716360">
        <w:rPr>
          <w:rFonts w:eastAsia="Cambria" w:cs="Segoe UI"/>
          <w:iCs/>
          <w:shd w:val="clear" w:color="auto" w:fill="FFFFFF" w:themeFill="background1"/>
          <w:lang w:val="en-AU"/>
        </w:rPr>
        <w:t xml:space="preserve">Waitangi Tribunals’ </w:t>
      </w:r>
      <w:hyperlink r:id="rId23" w:history="1">
        <w:r w:rsidR="00244EA1" w:rsidRPr="00716360">
          <w:rPr>
            <w:rStyle w:val="Hyperlink"/>
            <w:rFonts w:eastAsia="Cambria" w:cs="Segoe UI"/>
            <w:iCs/>
            <w:shd w:val="clear" w:color="auto" w:fill="FFFFFF" w:themeFill="background1"/>
            <w:lang w:val="en-AU"/>
          </w:rPr>
          <w:t>WAI2575 Hauora Report</w:t>
        </w:r>
      </w:hyperlink>
      <w:r w:rsidR="00244EA1" w:rsidRPr="00716360">
        <w:rPr>
          <w:rFonts w:eastAsia="Cambria" w:cs="Segoe UI"/>
          <w:iCs/>
          <w:shd w:val="clear" w:color="auto" w:fill="FFFFFF" w:themeFill="background1"/>
          <w:lang w:val="en-AU"/>
        </w:rPr>
        <w:t xml:space="preserve"> and are guided by the principles of </w:t>
      </w:r>
      <w:r w:rsidR="00244EA1" w:rsidRPr="00716360">
        <w:rPr>
          <w:rFonts w:eastAsia="Cambria" w:cs="Segoe UI"/>
          <w:b/>
          <w:bCs/>
          <w:iCs/>
          <w:shd w:val="clear" w:color="auto" w:fill="FFFFFF" w:themeFill="background1"/>
          <w:lang w:val="en-AU"/>
        </w:rPr>
        <w:t>equity</w:t>
      </w:r>
      <w:r w:rsidR="00244EA1" w:rsidRPr="00716360">
        <w:rPr>
          <w:rFonts w:eastAsia="Cambria" w:cs="Segoe UI"/>
          <w:iCs/>
          <w:shd w:val="clear" w:color="auto" w:fill="FFFFFF" w:themeFill="background1"/>
          <w:lang w:val="en-AU"/>
        </w:rPr>
        <w:t xml:space="preserve">, </w:t>
      </w:r>
      <w:r w:rsidR="00244EA1" w:rsidRPr="00716360">
        <w:rPr>
          <w:rFonts w:eastAsia="Cambria" w:cs="Segoe UI"/>
          <w:b/>
          <w:bCs/>
          <w:iCs/>
          <w:shd w:val="clear" w:color="auto" w:fill="FFFFFF" w:themeFill="background1"/>
          <w:lang w:val="en-AU"/>
        </w:rPr>
        <w:t>active protection</w:t>
      </w:r>
      <w:r w:rsidR="00244EA1" w:rsidRPr="00716360">
        <w:rPr>
          <w:rFonts w:eastAsia="Cambria" w:cs="Segoe UI"/>
          <w:iCs/>
          <w:shd w:val="clear" w:color="auto" w:fill="FFFFFF" w:themeFill="background1"/>
          <w:lang w:val="en-AU"/>
        </w:rPr>
        <w:t xml:space="preserve">, </w:t>
      </w:r>
      <w:r w:rsidR="00244EA1" w:rsidRPr="00716360">
        <w:rPr>
          <w:rFonts w:eastAsia="Cambria" w:cs="Segoe UI"/>
          <w:b/>
          <w:bCs/>
          <w:iCs/>
          <w:shd w:val="clear" w:color="auto" w:fill="FFFFFF" w:themeFill="background1"/>
          <w:lang w:val="en-AU"/>
        </w:rPr>
        <w:t>options</w:t>
      </w:r>
      <w:r w:rsidR="00244EA1" w:rsidRPr="00716360">
        <w:rPr>
          <w:rFonts w:eastAsia="Cambria" w:cs="Segoe UI"/>
          <w:iCs/>
          <w:shd w:val="clear" w:color="auto" w:fill="FFFFFF" w:themeFill="background1"/>
          <w:lang w:val="en-AU"/>
        </w:rPr>
        <w:t xml:space="preserve">, </w:t>
      </w:r>
      <w:r w:rsidR="00244EA1" w:rsidRPr="00716360">
        <w:rPr>
          <w:rFonts w:eastAsia="Cambria" w:cs="Segoe UI"/>
          <w:b/>
          <w:bCs/>
          <w:iCs/>
          <w:shd w:val="clear" w:color="auto" w:fill="FFFFFF" w:themeFill="background1"/>
          <w:lang w:val="en-AU"/>
        </w:rPr>
        <w:t>partnership</w:t>
      </w:r>
      <w:r w:rsidR="00244EA1" w:rsidRPr="00716360">
        <w:rPr>
          <w:rFonts w:eastAsia="Cambria" w:cs="Segoe UI"/>
          <w:iCs/>
          <w:shd w:val="clear" w:color="auto" w:fill="FFFFFF" w:themeFill="background1"/>
          <w:lang w:val="en-AU"/>
        </w:rPr>
        <w:t xml:space="preserve">, and </w:t>
      </w:r>
      <w:proofErr w:type="spellStart"/>
      <w:r w:rsidR="00244EA1" w:rsidRPr="00716360">
        <w:rPr>
          <w:rFonts w:eastAsia="Cambria" w:cs="Segoe UI"/>
          <w:b/>
          <w:bCs/>
          <w:iCs/>
          <w:shd w:val="clear" w:color="auto" w:fill="FFFFFF" w:themeFill="background1"/>
          <w:lang w:val="en-AU"/>
        </w:rPr>
        <w:t>tino</w:t>
      </w:r>
      <w:proofErr w:type="spellEnd"/>
      <w:r w:rsidR="00244EA1" w:rsidRPr="00716360">
        <w:rPr>
          <w:rFonts w:eastAsia="Cambria" w:cs="Segoe UI"/>
          <w:b/>
          <w:bCs/>
          <w:iCs/>
          <w:shd w:val="clear" w:color="auto" w:fill="FFFFFF" w:themeFill="background1"/>
          <w:lang w:val="en-AU"/>
        </w:rPr>
        <w:t xml:space="preserve"> rangatiratanga</w:t>
      </w:r>
      <w:r w:rsidR="00244EA1" w:rsidRPr="00716360">
        <w:rPr>
          <w:rFonts w:eastAsia="Cambria" w:cs="Segoe UI"/>
          <w:iCs/>
          <w:shd w:val="clear" w:color="auto" w:fill="FFFFFF" w:themeFill="background1"/>
          <w:lang w:val="en-AU"/>
        </w:rPr>
        <w:t xml:space="preserve">. </w:t>
      </w:r>
    </w:p>
    <w:p w14:paraId="1899D62F" w14:textId="00E929F4" w:rsidR="00697553" w:rsidRPr="00716360" w:rsidRDefault="00991FD7" w:rsidP="00697553">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Within the context of the Programme, the Ministry needs to:</w:t>
      </w:r>
    </w:p>
    <w:p w14:paraId="60BA9A4B" w14:textId="06713CAC" w:rsidR="00697553" w:rsidRPr="00716360" w:rsidRDefault="00697553" w:rsidP="00697553">
      <w:pPr>
        <w:pStyle w:val="ListParagraph"/>
        <w:numPr>
          <w:ilvl w:val="0"/>
          <w:numId w:val="7"/>
        </w:numPr>
        <w:spacing w:before="60" w:after="120" w:line="276" w:lineRule="auto"/>
        <w:ind w:left="1003" w:hanging="357"/>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prioritis</w:t>
      </w:r>
      <w:r w:rsidR="00991FD7" w:rsidRPr="00716360">
        <w:rPr>
          <w:rFonts w:eastAsia="Cambria" w:cs="Segoe UI"/>
          <w:iCs/>
          <w:shd w:val="clear" w:color="auto" w:fill="FFFFFF" w:themeFill="background1"/>
          <w:lang w:val="en-AU"/>
        </w:rPr>
        <w:t xml:space="preserve">e </w:t>
      </w:r>
      <w:r w:rsidRPr="00716360">
        <w:rPr>
          <w:rFonts w:eastAsia="Cambria" w:cs="Segoe UI"/>
          <w:b/>
          <w:bCs/>
          <w:iCs/>
          <w:shd w:val="clear" w:color="auto" w:fill="FFFFFF" w:themeFill="background1"/>
          <w:lang w:val="en-AU"/>
        </w:rPr>
        <w:t>equitable</w:t>
      </w:r>
      <w:r w:rsidRPr="00716360">
        <w:rPr>
          <w:rFonts w:eastAsia="Cambria" w:cs="Segoe UI"/>
          <w:iCs/>
          <w:shd w:val="clear" w:color="auto" w:fill="FFFFFF" w:themeFill="background1"/>
          <w:lang w:val="en-AU"/>
        </w:rPr>
        <w:t xml:space="preserve"> health and wellbeing outcomes, including vaccination uptake, for Māori</w:t>
      </w:r>
    </w:p>
    <w:p w14:paraId="71BE2B8D" w14:textId="18F15014" w:rsidR="00697553" w:rsidRPr="00716360" w:rsidRDefault="00697553" w:rsidP="00697553">
      <w:pPr>
        <w:pStyle w:val="ListParagraph"/>
        <w:numPr>
          <w:ilvl w:val="0"/>
          <w:numId w:val="7"/>
        </w:numPr>
        <w:spacing w:before="60" w:after="120" w:line="276" w:lineRule="auto"/>
        <w:ind w:left="1003" w:hanging="357"/>
        <w:contextualSpacing w:val="0"/>
        <w:rPr>
          <w:rFonts w:eastAsia="Cambria" w:cs="Segoe UI"/>
          <w:iCs/>
          <w:shd w:val="clear" w:color="auto" w:fill="FFFFFF" w:themeFill="background1"/>
          <w:lang w:val="en-AU"/>
        </w:rPr>
      </w:pPr>
      <w:r w:rsidRPr="00716360">
        <w:rPr>
          <w:rFonts w:eastAsia="Cambria" w:cs="Segoe UI"/>
          <w:b/>
          <w:bCs/>
          <w:iCs/>
          <w:shd w:val="clear" w:color="auto" w:fill="FFFFFF" w:themeFill="background1"/>
          <w:lang w:val="en-AU"/>
        </w:rPr>
        <w:t>partner</w:t>
      </w:r>
      <w:r w:rsidRPr="00716360">
        <w:rPr>
          <w:rFonts w:eastAsia="Cambria" w:cs="Segoe UI"/>
          <w:iCs/>
          <w:shd w:val="clear" w:color="auto" w:fill="FFFFFF" w:themeFill="background1"/>
          <w:lang w:val="en-AU"/>
        </w:rPr>
        <w:t xml:space="preserve"> with Māori across Māori communities and all levels of the Programme and wider health and disability system</w:t>
      </w:r>
    </w:p>
    <w:p w14:paraId="2799A72D" w14:textId="6837CB06" w:rsidR="00697553" w:rsidRPr="00716360" w:rsidRDefault="00697553" w:rsidP="00697553">
      <w:pPr>
        <w:pStyle w:val="ListParagraph"/>
        <w:numPr>
          <w:ilvl w:val="0"/>
          <w:numId w:val="7"/>
        </w:numPr>
        <w:spacing w:before="60" w:after="120" w:line="276" w:lineRule="auto"/>
        <w:ind w:left="1003" w:hanging="357"/>
        <w:contextualSpacing w:val="0"/>
        <w:rPr>
          <w:rFonts w:eastAsia="Cambria" w:cs="Segoe UI"/>
          <w:iCs/>
          <w:shd w:val="clear" w:color="auto" w:fill="FFFFFF" w:themeFill="background1"/>
          <w:lang w:val="en-AU"/>
        </w:rPr>
      </w:pPr>
      <w:r w:rsidRPr="00716360">
        <w:rPr>
          <w:rFonts w:eastAsia="Cambria" w:cs="Segoe UI"/>
          <w:b/>
          <w:bCs/>
          <w:iCs/>
          <w:shd w:val="clear" w:color="auto" w:fill="FFFFFF" w:themeFill="background1"/>
          <w:lang w:val="en-AU"/>
        </w:rPr>
        <w:t>actively protect</w:t>
      </w:r>
      <w:r w:rsidRPr="00716360">
        <w:rPr>
          <w:rFonts w:eastAsia="Cambria" w:cs="Segoe UI"/>
          <w:iCs/>
          <w:shd w:val="clear" w:color="auto" w:fill="FFFFFF" w:themeFill="background1"/>
          <w:lang w:val="en-AU"/>
        </w:rPr>
        <w:t xml:space="preserve"> Māori health and wellbeing through implementation</w:t>
      </w:r>
      <w:r w:rsidR="00056D29" w:rsidRPr="00716360">
        <w:rPr>
          <w:rFonts w:eastAsia="Cambria" w:cs="Segoe UI"/>
          <w:iCs/>
          <w:shd w:val="clear" w:color="auto" w:fill="FFFFFF" w:themeFill="background1"/>
          <w:lang w:val="en-AU"/>
        </w:rPr>
        <w:t xml:space="preserve"> and monitoring</w:t>
      </w:r>
      <w:r w:rsidRPr="00716360">
        <w:rPr>
          <w:rFonts w:eastAsia="Cambria" w:cs="Segoe UI"/>
          <w:iCs/>
          <w:shd w:val="clear" w:color="auto" w:fill="FFFFFF" w:themeFill="background1"/>
          <w:lang w:val="en-AU"/>
        </w:rPr>
        <w:t xml:space="preserve"> of the Programme</w:t>
      </w:r>
    </w:p>
    <w:p w14:paraId="4CAF3300" w14:textId="4B0AC9C6" w:rsidR="00697553" w:rsidRPr="00716360" w:rsidRDefault="00697553" w:rsidP="00697553">
      <w:pPr>
        <w:pStyle w:val="ListParagraph"/>
        <w:numPr>
          <w:ilvl w:val="0"/>
          <w:numId w:val="7"/>
        </w:numPr>
        <w:spacing w:before="60" w:after="120" w:line="276" w:lineRule="auto"/>
        <w:ind w:left="1003" w:hanging="357"/>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lastRenderedPageBreak/>
        <w:t>recogn</w:t>
      </w:r>
      <w:r w:rsidR="00991FD7" w:rsidRPr="00716360">
        <w:rPr>
          <w:rFonts w:eastAsia="Cambria" w:cs="Segoe UI"/>
          <w:iCs/>
          <w:shd w:val="clear" w:color="auto" w:fill="FFFFFF" w:themeFill="background1"/>
          <w:lang w:val="en-AU"/>
        </w:rPr>
        <w:t>ise</w:t>
      </w:r>
      <w:r w:rsidRPr="00716360">
        <w:rPr>
          <w:rFonts w:eastAsia="Cambria" w:cs="Segoe UI"/>
          <w:iCs/>
          <w:shd w:val="clear" w:color="auto" w:fill="FFFFFF" w:themeFill="background1"/>
          <w:lang w:val="en-AU"/>
        </w:rPr>
        <w:t xml:space="preserve"> Māori </w:t>
      </w:r>
      <w:proofErr w:type="spellStart"/>
      <w:r w:rsidRPr="00716360">
        <w:rPr>
          <w:rFonts w:eastAsia="Cambria" w:cs="Segoe UI"/>
          <w:b/>
          <w:bCs/>
          <w:iCs/>
          <w:shd w:val="clear" w:color="auto" w:fill="FFFFFF" w:themeFill="background1"/>
          <w:lang w:val="en-AU"/>
        </w:rPr>
        <w:t>tino</w:t>
      </w:r>
      <w:proofErr w:type="spellEnd"/>
      <w:r w:rsidRPr="00716360">
        <w:rPr>
          <w:rFonts w:eastAsia="Cambria" w:cs="Segoe UI"/>
          <w:b/>
          <w:bCs/>
          <w:iCs/>
          <w:shd w:val="clear" w:color="auto" w:fill="FFFFFF" w:themeFill="background1"/>
          <w:lang w:val="en-AU"/>
        </w:rPr>
        <w:t xml:space="preserve"> rangatiratanga</w:t>
      </w:r>
      <w:r w:rsidRPr="00716360">
        <w:rPr>
          <w:rFonts w:eastAsia="Cambria" w:cs="Segoe UI"/>
          <w:iCs/>
          <w:shd w:val="clear" w:color="auto" w:fill="FFFFFF" w:themeFill="background1"/>
          <w:lang w:val="en-AU"/>
        </w:rPr>
        <w:t xml:space="preserve"> and self-determination in </w:t>
      </w:r>
      <w:r w:rsidR="00714453" w:rsidRPr="00716360">
        <w:rPr>
          <w:rFonts w:eastAsia="Cambria" w:cs="Segoe UI"/>
          <w:iCs/>
          <w:shd w:val="clear" w:color="auto" w:fill="FFFFFF" w:themeFill="background1"/>
          <w:lang w:val="en-AU"/>
        </w:rPr>
        <w:t xml:space="preserve">developing and </w:t>
      </w:r>
      <w:r w:rsidRPr="00716360">
        <w:rPr>
          <w:rFonts w:eastAsia="Cambria" w:cs="Segoe UI"/>
          <w:iCs/>
          <w:shd w:val="clear" w:color="auto" w:fill="FFFFFF" w:themeFill="background1"/>
          <w:lang w:val="en-AU"/>
        </w:rPr>
        <w:t>engaging with the Programme</w:t>
      </w:r>
    </w:p>
    <w:p w14:paraId="7844760A" w14:textId="7FAE6CA7" w:rsidR="00697553" w:rsidRPr="00716360" w:rsidRDefault="00697553" w:rsidP="00697553">
      <w:pPr>
        <w:pStyle w:val="ListParagraph"/>
        <w:numPr>
          <w:ilvl w:val="0"/>
          <w:numId w:val="7"/>
        </w:numPr>
        <w:spacing w:before="60" w:after="120" w:line="276" w:lineRule="auto"/>
        <w:ind w:left="1003" w:hanging="357"/>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enabl</w:t>
      </w:r>
      <w:r w:rsidR="00991FD7" w:rsidRPr="00716360">
        <w:rPr>
          <w:rFonts w:eastAsia="Cambria" w:cs="Segoe UI"/>
          <w:iCs/>
          <w:shd w:val="clear" w:color="auto" w:fill="FFFFFF" w:themeFill="background1"/>
          <w:lang w:val="en-AU"/>
        </w:rPr>
        <w:t>e</w:t>
      </w:r>
      <w:r w:rsidRPr="00716360">
        <w:rPr>
          <w:rFonts w:eastAsia="Cambria" w:cs="Segoe UI"/>
          <w:iCs/>
          <w:shd w:val="clear" w:color="auto" w:fill="FFFFFF" w:themeFill="background1"/>
          <w:lang w:val="en-AU"/>
        </w:rPr>
        <w:t xml:space="preserve"> </w:t>
      </w:r>
      <w:r w:rsidRPr="00716360">
        <w:rPr>
          <w:rFonts w:eastAsia="Cambria" w:cs="Segoe UI"/>
          <w:b/>
          <w:bCs/>
          <w:iCs/>
          <w:shd w:val="clear" w:color="auto" w:fill="FFFFFF" w:themeFill="background1"/>
          <w:lang w:val="en-AU"/>
        </w:rPr>
        <w:t xml:space="preserve">options </w:t>
      </w:r>
      <w:r w:rsidRPr="00716360">
        <w:rPr>
          <w:rFonts w:eastAsia="Cambria" w:cs="Segoe UI"/>
          <w:iCs/>
          <w:shd w:val="clear" w:color="auto" w:fill="FFFFFF" w:themeFill="background1"/>
          <w:lang w:val="en-AU"/>
        </w:rPr>
        <w:t xml:space="preserve">for Māori through adequately resourcing Māori health providers and ensuring non-Māori health providers are equipped to support whānau Māori. </w:t>
      </w:r>
    </w:p>
    <w:p w14:paraId="580874DD" w14:textId="5B744C9F" w:rsidR="00697553" w:rsidRPr="00716360" w:rsidRDefault="00F740DB" w:rsidP="00697553">
      <w:pPr>
        <w:pStyle w:val="ListParagraph"/>
        <w:spacing w:before="60" w:after="120" w:line="276" w:lineRule="auto"/>
        <w:ind w:left="284"/>
        <w:contextualSpacing w:val="0"/>
      </w:pPr>
      <w:r>
        <w:rPr>
          <w:rFonts w:eastAsia="Cambria" w:cs="Segoe UI"/>
          <w:iCs/>
          <w:shd w:val="clear" w:color="auto" w:fill="FFFFFF" w:themeFill="background1"/>
          <w:lang w:val="en-AU"/>
        </w:rPr>
        <w:t>In addition to th</w:t>
      </w:r>
      <w:r w:rsidR="008E7577">
        <w:rPr>
          <w:rFonts w:eastAsia="Cambria" w:cs="Segoe UI"/>
          <w:iCs/>
          <w:shd w:val="clear" w:color="auto" w:fill="FFFFFF" w:themeFill="background1"/>
          <w:lang w:val="en-AU"/>
        </w:rPr>
        <w:t xml:space="preserve">is expression of </w:t>
      </w:r>
      <w:proofErr w:type="spellStart"/>
      <w:r w:rsidR="008E7577">
        <w:rPr>
          <w:rFonts w:eastAsia="Cambria" w:cs="Segoe UI"/>
          <w:iCs/>
          <w:shd w:val="clear" w:color="auto" w:fill="FFFFFF" w:themeFill="background1"/>
          <w:lang w:val="en-AU"/>
        </w:rPr>
        <w:t>Te</w:t>
      </w:r>
      <w:proofErr w:type="spellEnd"/>
      <w:r w:rsidR="008E7577">
        <w:rPr>
          <w:rFonts w:eastAsia="Cambria" w:cs="Segoe UI"/>
          <w:iCs/>
          <w:shd w:val="clear" w:color="auto" w:fill="FFFFFF" w:themeFill="background1"/>
          <w:lang w:val="en-AU"/>
        </w:rPr>
        <w:t xml:space="preserve"> </w:t>
      </w:r>
      <w:proofErr w:type="spellStart"/>
      <w:r w:rsidR="008E7577">
        <w:rPr>
          <w:rFonts w:eastAsia="Cambria" w:cs="Segoe UI"/>
          <w:iCs/>
          <w:shd w:val="clear" w:color="auto" w:fill="FFFFFF" w:themeFill="background1"/>
          <w:lang w:val="en-AU"/>
        </w:rPr>
        <w:t>Tiriti</w:t>
      </w:r>
      <w:proofErr w:type="spellEnd"/>
      <w:r w:rsidR="008E7577">
        <w:rPr>
          <w:rFonts w:eastAsia="Cambria" w:cs="Segoe UI"/>
          <w:iCs/>
          <w:shd w:val="clear" w:color="auto" w:fill="FFFFFF" w:themeFill="background1"/>
          <w:lang w:val="en-AU"/>
        </w:rPr>
        <w:t>, t</w:t>
      </w:r>
      <w:r w:rsidR="00697553" w:rsidRPr="00716360">
        <w:rPr>
          <w:rFonts w:eastAsia="Cambria" w:cs="Segoe UI"/>
          <w:iCs/>
          <w:shd w:val="clear" w:color="auto" w:fill="FFFFFF" w:themeFill="background1"/>
          <w:lang w:val="en-AU"/>
        </w:rPr>
        <w:t>he Programme</w:t>
      </w:r>
      <w:r w:rsidR="008E7577">
        <w:rPr>
          <w:rFonts w:eastAsia="Cambria" w:cs="Segoe UI"/>
          <w:iCs/>
          <w:shd w:val="clear" w:color="auto" w:fill="FFFFFF" w:themeFill="background1"/>
          <w:lang w:val="en-AU"/>
        </w:rPr>
        <w:t xml:space="preserve">’s design and delivery </w:t>
      </w:r>
      <w:r w:rsidR="00C020AA">
        <w:rPr>
          <w:rFonts w:eastAsia="Cambria" w:cs="Segoe UI"/>
          <w:iCs/>
          <w:shd w:val="clear" w:color="auto" w:fill="FFFFFF" w:themeFill="background1"/>
          <w:lang w:val="en-AU"/>
        </w:rPr>
        <w:t>is</w:t>
      </w:r>
      <w:r w:rsidR="008E7577">
        <w:rPr>
          <w:rFonts w:eastAsia="Cambria" w:cs="Segoe UI"/>
          <w:iCs/>
          <w:shd w:val="clear" w:color="auto" w:fill="FFFFFF" w:themeFill="background1"/>
          <w:lang w:val="en-AU"/>
        </w:rPr>
        <w:t xml:space="preserve"> centred around the</w:t>
      </w:r>
      <w:r w:rsidR="007D616B">
        <w:rPr>
          <w:rFonts w:eastAsia="Cambria" w:cs="Segoe UI"/>
          <w:iCs/>
          <w:shd w:val="clear" w:color="auto" w:fill="FFFFFF" w:themeFill="background1"/>
          <w:lang w:val="en-AU"/>
        </w:rPr>
        <w:t xml:space="preserve"> principles </w:t>
      </w:r>
      <w:r w:rsidR="006D6044">
        <w:rPr>
          <w:rFonts w:eastAsia="Cambria" w:cs="Segoe UI"/>
          <w:iCs/>
          <w:shd w:val="clear" w:color="auto" w:fill="FFFFFF" w:themeFill="background1"/>
          <w:lang w:val="en-AU"/>
        </w:rPr>
        <w:t>of</w:t>
      </w:r>
      <w:r w:rsidR="00697553" w:rsidRPr="00716360">
        <w:rPr>
          <w:rFonts w:eastAsia="Cambria" w:cs="Segoe UI"/>
          <w:iCs/>
          <w:shd w:val="clear" w:color="auto" w:fill="FFFFFF" w:themeFill="background1"/>
          <w:lang w:val="en-AU"/>
        </w:rPr>
        <w:t xml:space="preserve"> </w:t>
      </w:r>
      <w:r w:rsidR="00697553" w:rsidRPr="00716360">
        <w:rPr>
          <w:rFonts w:eastAsia="Cambria" w:cs="Segoe UI"/>
          <w:b/>
          <w:bCs/>
          <w:iCs/>
          <w:shd w:val="clear" w:color="auto" w:fill="FFFFFF" w:themeFill="background1"/>
          <w:lang w:val="en-AU"/>
        </w:rPr>
        <w:t>legacy</w:t>
      </w:r>
      <w:r w:rsidR="00697553" w:rsidRPr="00716360">
        <w:rPr>
          <w:rFonts w:eastAsia="Cambria" w:cs="Segoe UI"/>
          <w:iCs/>
          <w:shd w:val="clear" w:color="auto" w:fill="FFFFFF" w:themeFill="background1"/>
          <w:lang w:val="en-AU"/>
        </w:rPr>
        <w:t xml:space="preserve">, </w:t>
      </w:r>
      <w:r w:rsidR="00697553" w:rsidRPr="00716360">
        <w:rPr>
          <w:rFonts w:eastAsia="Cambria" w:cs="Segoe UI"/>
          <w:b/>
          <w:bCs/>
          <w:iCs/>
          <w:shd w:val="clear" w:color="auto" w:fill="FFFFFF" w:themeFill="background1"/>
          <w:lang w:val="en-AU"/>
        </w:rPr>
        <w:t>wellbeing,</w:t>
      </w:r>
      <w:r w:rsidR="00697553" w:rsidRPr="00716360">
        <w:rPr>
          <w:rFonts w:eastAsia="Cambria" w:cs="Segoe UI"/>
          <w:iCs/>
          <w:shd w:val="clear" w:color="auto" w:fill="FFFFFF" w:themeFill="background1"/>
          <w:lang w:val="en-AU"/>
        </w:rPr>
        <w:t xml:space="preserve"> and </w:t>
      </w:r>
      <w:r w:rsidR="00697553" w:rsidRPr="00716360">
        <w:rPr>
          <w:rFonts w:eastAsia="Cambria" w:cs="Segoe UI"/>
          <w:b/>
          <w:bCs/>
          <w:iCs/>
          <w:shd w:val="clear" w:color="auto" w:fill="FFFFFF" w:themeFill="background1"/>
          <w:lang w:val="en-AU"/>
        </w:rPr>
        <w:t>equity</w:t>
      </w:r>
      <w:r w:rsidR="00697553" w:rsidRPr="00716360">
        <w:rPr>
          <w:rFonts w:eastAsia="Cambria" w:cs="Segoe UI"/>
          <w:iCs/>
          <w:shd w:val="clear" w:color="auto" w:fill="FFFFFF" w:themeFill="background1"/>
          <w:lang w:val="en-AU"/>
        </w:rPr>
        <w:t xml:space="preserve">. These principles speak to the need to support a holistic approach that will contribute to a stronger, more aligned health and disability system, whilst recognising the differential health outcomes across population groups. </w:t>
      </w:r>
    </w:p>
    <w:p w14:paraId="29517DDC"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The Ministry is investing directly into Māori initiatives to ensure that the programme is effective, equitable, and </w:t>
      </w:r>
      <w:proofErr w:type="spellStart"/>
      <w:r w:rsidRPr="00716360">
        <w:rPr>
          <w:rFonts w:eastAsia="Cambria" w:cs="Segoe UI"/>
          <w:iCs/>
          <w:shd w:val="clear" w:color="auto" w:fill="FFFFFF" w:themeFill="background1"/>
          <w:lang w:val="en-AU"/>
        </w:rPr>
        <w:t>Tiriti</w:t>
      </w:r>
      <w:proofErr w:type="spellEnd"/>
      <w:r w:rsidRPr="00716360">
        <w:rPr>
          <w:rFonts w:eastAsia="Cambria" w:cs="Segoe UI"/>
          <w:iCs/>
          <w:shd w:val="clear" w:color="auto" w:fill="FFFFFF" w:themeFill="background1"/>
          <w:lang w:val="en-AU"/>
        </w:rPr>
        <w:t xml:space="preserve"> compliant. These key initiatives include:</w:t>
      </w:r>
    </w:p>
    <w:p w14:paraId="3656372A"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governance and partnership</w:t>
      </w:r>
    </w:p>
    <w:p w14:paraId="248F22B9"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targeted vaccination approach</w:t>
      </w:r>
    </w:p>
    <w:p w14:paraId="2233CC3B"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Māori health and disability provider support</w:t>
      </w:r>
    </w:p>
    <w:p w14:paraId="382EAFAD" w14:textId="64B9399B"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workforce development</w:t>
      </w:r>
    </w:p>
    <w:p w14:paraId="72165B2F" w14:textId="77777777" w:rsidR="00184A48" w:rsidRPr="00716360" w:rsidRDefault="00184A48" w:rsidP="00184A48">
      <w:pPr>
        <w:pStyle w:val="ListParagraph"/>
        <w:numPr>
          <w:ilvl w:val="0"/>
          <w:numId w:val="2"/>
        </w:numPr>
        <w:spacing w:before="60" w:after="120" w:line="276" w:lineRule="auto"/>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tailored communications.</w:t>
      </w:r>
    </w:p>
    <w:p w14:paraId="5EB50405" w14:textId="77777777" w:rsidR="00184A48" w:rsidRPr="00716360" w:rsidRDefault="00184A48" w:rsidP="00184A48">
      <w:pPr>
        <w:pStyle w:val="ListParagraph"/>
        <w:spacing w:before="60" w:after="120" w:line="276" w:lineRule="auto"/>
        <w:ind w:left="284"/>
        <w:rPr>
          <w:rFonts w:eastAsia="Cambria" w:cs="Segoe UI"/>
          <w:shd w:val="clear" w:color="auto" w:fill="FFFFFF" w:themeFill="background1"/>
          <w:lang w:val="en-AU"/>
        </w:rPr>
      </w:pPr>
      <w:r w:rsidRPr="00716360">
        <w:rPr>
          <w:rFonts w:eastAsia="Cambria" w:cs="Segoe UI"/>
          <w:iCs/>
          <w:shd w:val="clear" w:color="auto" w:fill="FFFFFF" w:themeFill="background1"/>
          <w:lang w:val="en-AU"/>
        </w:rPr>
        <w:t xml:space="preserve">Each of these are detailed further in the next section. </w:t>
      </w:r>
    </w:p>
    <w:p w14:paraId="61682E06" w14:textId="77777777" w:rsidR="00184A48" w:rsidRPr="00716360" w:rsidRDefault="00184A48" w:rsidP="00184A48">
      <w:pPr>
        <w:pStyle w:val="Heading2"/>
      </w:pPr>
      <w:bookmarkStart w:id="17" w:name="_Toc66273448"/>
      <w:bookmarkStart w:id="18" w:name="_Toc66286202"/>
      <w:bookmarkStart w:id="19" w:name="_Toc66693258"/>
      <w:bookmarkStart w:id="20" w:name="_Toc67385421"/>
      <w:r w:rsidRPr="00716360">
        <w:t>Key Māori health initiatives</w:t>
      </w:r>
      <w:bookmarkEnd w:id="17"/>
      <w:bookmarkEnd w:id="18"/>
      <w:bookmarkEnd w:id="19"/>
      <w:bookmarkEnd w:id="20"/>
    </w:p>
    <w:p w14:paraId="74BA7FD5"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This section outlines the key initiatives that are incorporated across the Programme to ensure equitable outcomes for Māori and the fulfilment of </w:t>
      </w:r>
      <w:proofErr w:type="spellStart"/>
      <w:r w:rsidRPr="00716360">
        <w:rPr>
          <w:rFonts w:eastAsia="Cambria" w:cs="Segoe UI"/>
          <w:iCs/>
          <w:shd w:val="clear" w:color="auto" w:fill="FFFFFF" w:themeFill="background1"/>
          <w:lang w:val="en-AU"/>
        </w:rPr>
        <w:t>Tiriti</w:t>
      </w:r>
      <w:proofErr w:type="spellEnd"/>
      <w:r w:rsidRPr="00716360">
        <w:rPr>
          <w:rFonts w:eastAsia="Cambria" w:cs="Segoe UI"/>
          <w:iCs/>
          <w:shd w:val="clear" w:color="auto" w:fill="FFFFFF" w:themeFill="background1"/>
          <w:lang w:val="en-AU"/>
        </w:rPr>
        <w:t xml:space="preserve"> obligations. These have been developed based on existing insights about what has worked well for Māori across the COVID-19 response. The outcomes, objectives and priority areas for action from Whakamaua have also informed these initiatives. </w:t>
      </w:r>
    </w:p>
    <w:p w14:paraId="31C6FE8C" w14:textId="77777777" w:rsidR="00184A48" w:rsidRPr="00716360" w:rsidRDefault="00184A48" w:rsidP="00850B31">
      <w:pPr>
        <w:pStyle w:val="Heading3"/>
      </w:pPr>
      <w:r w:rsidRPr="00716360">
        <w:t>Governance and partnership</w:t>
      </w:r>
    </w:p>
    <w:p w14:paraId="3A20178D" w14:textId="34A4F964" w:rsidR="00184A48" w:rsidRPr="00716360" w:rsidRDefault="00184A48" w:rsidP="00184A48">
      <w:pPr>
        <w:spacing w:before="60" w:after="120" w:line="276" w:lineRule="auto"/>
        <w:ind w:left="284"/>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Māori leadership and participation in governance is a significant enabler for </w:t>
      </w:r>
      <w:proofErr w:type="spellStart"/>
      <w:r w:rsidRPr="00716360">
        <w:rPr>
          <w:rFonts w:eastAsia="Cambria" w:cs="Segoe UI"/>
          <w:iCs/>
          <w:shd w:val="clear" w:color="auto" w:fill="FFFFFF" w:themeFill="background1"/>
          <w:lang w:val="en-AU"/>
        </w:rPr>
        <w:t>tino</w:t>
      </w:r>
      <w:proofErr w:type="spellEnd"/>
      <w:r w:rsidRPr="00716360">
        <w:rPr>
          <w:rFonts w:eastAsia="Cambria" w:cs="Segoe UI"/>
          <w:iCs/>
          <w:shd w:val="clear" w:color="auto" w:fill="FFFFFF" w:themeFill="background1"/>
          <w:lang w:val="en-AU"/>
        </w:rPr>
        <w:t xml:space="preserve"> rangatiratanga and Māori health and wellbeing. A </w:t>
      </w:r>
      <w:hyperlink r:id="rId24" w:history="1">
        <w:r w:rsidRPr="00716360">
          <w:rPr>
            <w:rStyle w:val="Hyperlink"/>
            <w:rFonts w:eastAsia="Cambria" w:cs="Segoe UI"/>
            <w:iCs/>
            <w:shd w:val="clear" w:color="auto" w:fill="FFFFFF" w:themeFill="background1"/>
            <w:lang w:val="en-AU"/>
          </w:rPr>
          <w:t>recent study</w:t>
        </w:r>
      </w:hyperlink>
      <w:r w:rsidRPr="00716360">
        <w:rPr>
          <w:rFonts w:eastAsia="Cambria" w:cs="Segoe UI"/>
          <w:iCs/>
          <w:shd w:val="clear" w:color="auto" w:fill="FFFFFF" w:themeFill="background1"/>
          <w:lang w:val="en-AU"/>
        </w:rPr>
        <w:t xml:space="preserve"> by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Pūtahitanga</w:t>
      </w:r>
      <w:proofErr w:type="spellEnd"/>
      <w:r w:rsidRPr="00716360">
        <w:rPr>
          <w:rFonts w:eastAsia="Cambria" w:cs="Segoe UI"/>
          <w:iCs/>
          <w:shd w:val="clear" w:color="auto" w:fill="FFFFFF" w:themeFill="background1"/>
          <w:lang w:val="en-AU"/>
        </w:rPr>
        <w:t xml:space="preserve"> o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Waipounamu</w:t>
      </w:r>
      <w:proofErr w:type="spellEnd"/>
      <w:r w:rsidRPr="00716360">
        <w:rPr>
          <w:rFonts w:eastAsia="Cambria" w:cs="Segoe UI"/>
          <w:iCs/>
          <w:shd w:val="clear" w:color="auto" w:fill="FFFFFF" w:themeFill="background1"/>
          <w:lang w:val="en-AU"/>
        </w:rPr>
        <w:t xml:space="preserve"> indicated the success of the Manaaki20 COVID-19 response was partly due to the leadership displayed by Māori communities and organisations that mobilised immediately during the first outbreak of COVID-19 (more information on the </w:t>
      </w:r>
      <w:r w:rsidR="009977B2">
        <w:rPr>
          <w:rFonts w:eastAsia="Cambria" w:cs="Segoe UI"/>
          <w:iCs/>
          <w:shd w:val="clear" w:color="auto" w:fill="FFFFFF" w:themeFill="background1"/>
          <w:lang w:val="en-AU"/>
        </w:rPr>
        <w:t>s</w:t>
      </w:r>
      <w:r w:rsidRPr="00716360">
        <w:rPr>
          <w:rFonts w:eastAsia="Cambria" w:cs="Segoe UI"/>
          <w:iCs/>
          <w:shd w:val="clear" w:color="auto" w:fill="FFFFFF" w:themeFill="background1"/>
          <w:lang w:val="en-AU"/>
        </w:rPr>
        <w:t xml:space="preserve">trength of </w:t>
      </w:r>
      <w:proofErr w:type="spellStart"/>
      <w:r w:rsidR="007413A8" w:rsidRPr="00716360">
        <w:rPr>
          <w:rFonts w:eastAsia="Cambria" w:cs="Segoe UI"/>
          <w:iCs/>
          <w:shd w:val="clear" w:color="auto" w:fill="FFFFFF" w:themeFill="background1"/>
          <w:lang w:val="en-AU"/>
        </w:rPr>
        <w:t>hapori</w:t>
      </w:r>
      <w:proofErr w:type="spellEnd"/>
      <w:r w:rsidRPr="00716360">
        <w:rPr>
          <w:rFonts w:eastAsia="Cambria" w:cs="Segoe UI"/>
          <w:iCs/>
          <w:shd w:val="clear" w:color="auto" w:fill="FFFFFF" w:themeFill="background1"/>
          <w:lang w:val="en-AU"/>
        </w:rPr>
        <w:t xml:space="preserve"> Māori is attached at </w:t>
      </w:r>
      <w:r w:rsidRPr="00716360">
        <w:rPr>
          <w:rFonts w:eastAsia="Cambria" w:cs="Segoe UI"/>
          <w:b/>
          <w:bCs/>
          <w:iCs/>
          <w:shd w:val="clear" w:color="auto" w:fill="FFFFFF" w:themeFill="background1"/>
          <w:lang w:val="en-AU"/>
        </w:rPr>
        <w:t xml:space="preserve">Appendix </w:t>
      </w:r>
      <w:r w:rsidR="00136418">
        <w:rPr>
          <w:rFonts w:eastAsia="Cambria" w:cs="Segoe UI"/>
          <w:b/>
          <w:bCs/>
          <w:iCs/>
          <w:shd w:val="clear" w:color="auto" w:fill="FFFFFF" w:themeFill="background1"/>
          <w:lang w:val="en-AU"/>
        </w:rPr>
        <w:t>Two</w:t>
      </w:r>
      <w:r w:rsidRPr="00716360">
        <w:rPr>
          <w:rFonts w:eastAsia="Cambria" w:cs="Segoe UI"/>
          <w:iCs/>
          <w:shd w:val="clear" w:color="auto" w:fill="FFFFFF" w:themeFill="background1"/>
          <w:lang w:val="en-AU"/>
        </w:rPr>
        <w:t>).</w:t>
      </w:r>
    </w:p>
    <w:p w14:paraId="7C345C21" w14:textId="3A25F5AE" w:rsidR="00184A48" w:rsidRPr="00716360" w:rsidRDefault="00184A48" w:rsidP="00184A48">
      <w:pPr>
        <w:spacing w:before="60" w:after="120" w:line="276" w:lineRule="auto"/>
        <w:ind w:left="284"/>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The Ministry is committed to ensuring consultation and seeking advice from key Māori stakeholders and representatives from across Aotearoa New Zealand (Aotearoa) as part of process. This includes working closely with a broad range of</w:t>
      </w:r>
      <w:r w:rsidR="00F73CA2" w:rsidRPr="00716360">
        <w:rPr>
          <w:rFonts w:eastAsia="Cambria" w:cs="Segoe UI"/>
          <w:iCs/>
          <w:shd w:val="clear" w:color="auto" w:fill="FFFFFF" w:themeFill="background1"/>
          <w:lang w:val="en-AU"/>
        </w:rPr>
        <w:t xml:space="preserve"> iwi and</w:t>
      </w:r>
      <w:r w:rsidRPr="00716360">
        <w:rPr>
          <w:rFonts w:eastAsia="Cambria" w:cs="Segoe UI"/>
          <w:iCs/>
          <w:shd w:val="clear" w:color="auto" w:fill="FFFFFF" w:themeFill="background1"/>
          <w:lang w:val="en-AU"/>
        </w:rPr>
        <w:t xml:space="preserve"> Māori representatives at every level of the Programme, such as the Immunisation Implementation Advisory Group (IIAG), the Māori Monitoring Group (MMG), Māori clinicians and sector representatives, Māori providers, </w:t>
      </w:r>
      <w:r w:rsidR="00F73CA2" w:rsidRPr="00716360">
        <w:rPr>
          <w:rFonts w:eastAsia="Cambria" w:cs="Segoe UI"/>
          <w:iCs/>
          <w:shd w:val="clear" w:color="auto" w:fill="FFFFFF" w:themeFill="background1"/>
          <w:lang w:val="en-AU"/>
        </w:rPr>
        <w:t xml:space="preserve">and </w:t>
      </w:r>
      <w:r w:rsidRPr="00716360">
        <w:rPr>
          <w:rFonts w:eastAsia="Cambria" w:cs="Segoe UI"/>
          <w:iCs/>
          <w:shd w:val="clear" w:color="auto" w:fill="FFFFFF" w:themeFill="background1"/>
          <w:lang w:val="en-AU"/>
        </w:rPr>
        <w:t xml:space="preserve">Māori communications experts, </w:t>
      </w:r>
      <w:r w:rsidR="00F73CA2" w:rsidRPr="00716360">
        <w:rPr>
          <w:rFonts w:eastAsia="Cambria" w:cs="Segoe UI"/>
          <w:iCs/>
          <w:shd w:val="clear" w:color="auto" w:fill="FFFFFF" w:themeFill="background1"/>
          <w:lang w:val="en-AU"/>
        </w:rPr>
        <w:t>including the iwi communications network.</w:t>
      </w:r>
      <w:r w:rsidRPr="00716360">
        <w:rPr>
          <w:rFonts w:eastAsia="Cambria" w:cs="Segoe UI"/>
          <w:iCs/>
          <w:shd w:val="clear" w:color="auto" w:fill="FFFFFF" w:themeFill="background1"/>
          <w:lang w:val="en-AU"/>
        </w:rPr>
        <w:t xml:space="preserve"> </w:t>
      </w:r>
    </w:p>
    <w:p w14:paraId="7FBF4B01"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lastRenderedPageBreak/>
        <w:t xml:space="preserve">To ensure an equitable response in what could be a rapidly changing environment, we know that allowing flexibility and agility in our own planning and design is a necessity. The Ministry will continue to work closely with Māori stakeholders who have the skills, expertise and knowledge to provide advice and guidance in all areas of the Programme, </w:t>
      </w:r>
      <w:proofErr w:type="gramStart"/>
      <w:r w:rsidRPr="00716360">
        <w:rPr>
          <w:rFonts w:eastAsia="Cambria" w:cs="Segoe UI"/>
          <w:iCs/>
          <w:shd w:val="clear" w:color="auto" w:fill="FFFFFF" w:themeFill="background1"/>
          <w:lang w:val="en-AU"/>
        </w:rPr>
        <w:t>in particular service</w:t>
      </w:r>
      <w:proofErr w:type="gramEnd"/>
      <w:r w:rsidRPr="00716360">
        <w:rPr>
          <w:rFonts w:eastAsia="Cambria" w:cs="Segoe UI"/>
          <w:iCs/>
          <w:shd w:val="clear" w:color="auto" w:fill="FFFFFF" w:themeFill="background1"/>
          <w:lang w:val="en-AU"/>
        </w:rPr>
        <w:t xml:space="preserve"> delivery and implementation. </w:t>
      </w:r>
    </w:p>
    <w:p w14:paraId="4B18AEE2" w14:textId="77777777" w:rsidR="00EA669F" w:rsidRPr="00716360" w:rsidRDefault="00EA669F" w:rsidP="00850B31">
      <w:pPr>
        <w:pStyle w:val="Heading3"/>
      </w:pPr>
      <w:r w:rsidRPr="00716360">
        <w:t>Provider support</w:t>
      </w:r>
    </w:p>
    <w:p w14:paraId="41D11BF9" w14:textId="6F36540B" w:rsidR="00C42A8A" w:rsidRPr="00716360" w:rsidRDefault="00A1792C" w:rsidP="00C42A8A">
      <w:pPr>
        <w:pStyle w:val="ListParagraph"/>
        <w:spacing w:before="60" w:after="120" w:line="276" w:lineRule="auto"/>
        <w:ind w:left="284"/>
        <w:contextualSpacing w:val="0"/>
      </w:pPr>
      <w:r w:rsidRPr="00716360">
        <w:t xml:space="preserve">The Ministry will be working closely with Māori health providers to ensure they are resourced and supported to deliver targeted and tailored service delivery. </w:t>
      </w:r>
      <w:r w:rsidR="00C42A8A" w:rsidRPr="00716360">
        <w:rPr>
          <w:rFonts w:eastAsia="Cambria" w:cs="Segoe UI"/>
          <w:iCs/>
          <w:shd w:val="clear" w:color="auto" w:fill="FFFFFF" w:themeFill="background1"/>
          <w:lang w:val="en-AU"/>
        </w:rPr>
        <w:t>The ‘</w:t>
      </w:r>
      <w:r w:rsidR="00C42A8A" w:rsidRPr="00716360">
        <w:rPr>
          <w:rFonts w:eastAsia="Cambria" w:cs="Segoe UI"/>
          <w:i/>
          <w:shd w:val="clear" w:color="auto" w:fill="FFFFFF" w:themeFill="background1"/>
          <w:lang w:val="en-AU"/>
        </w:rPr>
        <w:t>2020 Māori Influenza Vaccination Programme</w:t>
      </w:r>
      <w:r w:rsidR="00C42A8A" w:rsidRPr="00716360">
        <w:rPr>
          <w:rFonts w:eastAsia="Cambria" w:cs="Segoe UI"/>
          <w:iCs/>
          <w:shd w:val="clear" w:color="auto" w:fill="FFFFFF" w:themeFill="background1"/>
          <w:lang w:val="en-AU"/>
        </w:rPr>
        <w:t xml:space="preserve"> </w:t>
      </w:r>
      <w:r w:rsidR="00C42A8A" w:rsidRPr="00716360">
        <w:rPr>
          <w:rFonts w:eastAsia="Cambria" w:cs="Segoe UI"/>
          <w:i/>
          <w:shd w:val="clear" w:color="auto" w:fill="FFFFFF" w:themeFill="background1"/>
          <w:lang w:val="en-AU"/>
        </w:rPr>
        <w:t>– More than just a jab’</w:t>
      </w:r>
      <w:r w:rsidR="00C42A8A" w:rsidRPr="00716360">
        <w:rPr>
          <w:rFonts w:eastAsia="Cambria" w:cs="Segoe UI"/>
          <w:iCs/>
          <w:shd w:val="clear" w:color="auto" w:fill="FFFFFF" w:themeFill="background1"/>
          <w:lang w:val="en-AU"/>
        </w:rPr>
        <w:t xml:space="preserve"> evaluation demonstrates that</w:t>
      </w:r>
      <w:r w:rsidR="00920936" w:rsidRPr="00716360">
        <w:rPr>
          <w:rFonts w:eastAsia="Cambria" w:cs="Segoe UI"/>
          <w:iCs/>
          <w:shd w:val="clear" w:color="auto" w:fill="FFFFFF" w:themeFill="background1"/>
          <w:lang w:val="en-AU"/>
        </w:rPr>
        <w:t xml:space="preserve"> increasing</w:t>
      </w:r>
      <w:r w:rsidR="00C42A8A" w:rsidRPr="00716360">
        <w:rPr>
          <w:rFonts w:eastAsia="Cambria" w:cs="Segoe UI"/>
          <w:iCs/>
          <w:shd w:val="clear" w:color="auto" w:fill="FFFFFF" w:themeFill="background1"/>
          <w:lang w:val="en-AU"/>
        </w:rPr>
        <w:t xml:space="preserve"> equitable outcomes for Māori is possible if </w:t>
      </w:r>
      <w:r w:rsidR="00AD618F" w:rsidRPr="00716360">
        <w:rPr>
          <w:rFonts w:eastAsia="Cambria" w:cs="Segoe UI"/>
          <w:iCs/>
          <w:shd w:val="clear" w:color="auto" w:fill="FFFFFF" w:themeFill="background1"/>
          <w:lang w:val="en-AU"/>
        </w:rPr>
        <w:t xml:space="preserve">providers are supported </w:t>
      </w:r>
      <w:r w:rsidR="00A54C3F">
        <w:rPr>
          <w:rFonts w:eastAsia="Cambria" w:cs="Segoe UI"/>
          <w:iCs/>
          <w:shd w:val="clear" w:color="auto" w:fill="FFFFFF" w:themeFill="background1"/>
          <w:lang w:val="en-AU"/>
        </w:rPr>
        <w:t xml:space="preserve">to </w:t>
      </w:r>
      <w:r w:rsidRPr="00716360">
        <w:rPr>
          <w:rFonts w:eastAsia="Cambria" w:cs="Segoe UI"/>
          <w:iCs/>
          <w:shd w:val="clear" w:color="auto" w:fill="FFFFFF" w:themeFill="background1"/>
          <w:lang w:val="en-AU"/>
        </w:rPr>
        <w:t xml:space="preserve">deliver services to Māori </w:t>
      </w:r>
      <w:r w:rsidR="0007422E" w:rsidRPr="00716360">
        <w:rPr>
          <w:rFonts w:eastAsia="Cambria" w:cs="Segoe UI"/>
          <w:iCs/>
          <w:shd w:val="clear" w:color="auto" w:fill="FFFFFF" w:themeFill="background1"/>
          <w:lang w:val="en-AU"/>
        </w:rPr>
        <w:t>in a way that recognises the additional barriers many Māori may face</w:t>
      </w:r>
      <w:r w:rsidR="00AD618F" w:rsidRPr="00716360">
        <w:rPr>
          <w:rFonts w:eastAsia="Cambria" w:cs="Segoe UI"/>
          <w:iCs/>
          <w:shd w:val="clear" w:color="auto" w:fill="FFFFFF" w:themeFill="background1"/>
          <w:lang w:val="en-AU"/>
        </w:rPr>
        <w:t xml:space="preserve"> </w:t>
      </w:r>
      <w:r w:rsidR="00C42A8A" w:rsidRPr="00716360">
        <w:rPr>
          <w:rFonts w:eastAsia="Cambria" w:cs="Segoe UI"/>
          <w:iCs/>
          <w:shd w:val="clear" w:color="auto" w:fill="FFFFFF" w:themeFill="background1"/>
          <w:lang w:val="en-AU"/>
        </w:rPr>
        <w:t xml:space="preserve">in </w:t>
      </w:r>
      <w:r w:rsidR="0007422E" w:rsidRPr="00716360">
        <w:rPr>
          <w:rFonts w:eastAsia="Cambria" w:cs="Segoe UI"/>
          <w:iCs/>
          <w:shd w:val="clear" w:color="auto" w:fill="FFFFFF" w:themeFill="background1"/>
          <w:lang w:val="en-AU"/>
        </w:rPr>
        <w:t xml:space="preserve">accessing the vaccine. </w:t>
      </w:r>
      <w:r w:rsidR="003752DE" w:rsidRPr="00716360">
        <w:rPr>
          <w:rFonts w:eastAsia="Cambria" w:cs="Segoe UI"/>
          <w:iCs/>
          <w:shd w:val="clear" w:color="auto" w:fill="FFFFFF" w:themeFill="background1"/>
          <w:lang w:val="en-AU"/>
        </w:rPr>
        <w:t>These learnings will be crucial to ensuring the Programme’s delivery is</w:t>
      </w:r>
      <w:r w:rsidR="00C42A8A" w:rsidRPr="00716360">
        <w:rPr>
          <w:rFonts w:eastAsia="Cambria" w:cs="Segoe UI"/>
          <w:iCs/>
          <w:shd w:val="clear" w:color="auto" w:fill="FFFFFF" w:themeFill="background1"/>
          <w:lang w:val="en-AU"/>
        </w:rPr>
        <w:t xml:space="preserve"> responsive to Māori </w:t>
      </w:r>
      <w:r w:rsidR="00AD618F" w:rsidRPr="00716360">
        <w:rPr>
          <w:rFonts w:eastAsia="Cambria" w:cs="Segoe UI"/>
          <w:iCs/>
          <w:shd w:val="clear" w:color="auto" w:fill="FFFFFF" w:themeFill="background1"/>
          <w:lang w:val="en-AU"/>
        </w:rPr>
        <w:t xml:space="preserve">health </w:t>
      </w:r>
      <w:r w:rsidR="00C42A8A" w:rsidRPr="00716360">
        <w:rPr>
          <w:rFonts w:eastAsia="Cambria" w:cs="Segoe UI"/>
          <w:iCs/>
          <w:shd w:val="clear" w:color="auto" w:fill="FFFFFF" w:themeFill="background1"/>
          <w:lang w:val="en-AU"/>
        </w:rPr>
        <w:t xml:space="preserve">aspirations (an outline of the </w:t>
      </w:r>
      <w:r w:rsidR="005B4C4C" w:rsidRPr="00716360">
        <w:rPr>
          <w:rFonts w:eastAsia="Cambria" w:cs="Segoe UI"/>
          <w:iCs/>
          <w:shd w:val="clear" w:color="auto" w:fill="FFFFFF" w:themeFill="background1"/>
          <w:lang w:val="en-AU"/>
        </w:rPr>
        <w:t>Māori Influenza Vaccination Programme</w:t>
      </w:r>
      <w:r w:rsidR="00C42A8A" w:rsidRPr="00716360">
        <w:rPr>
          <w:rFonts w:eastAsia="Cambria" w:cs="Segoe UI"/>
          <w:iCs/>
          <w:shd w:val="clear" w:color="auto" w:fill="FFFFFF" w:themeFill="background1"/>
          <w:lang w:val="en-AU"/>
        </w:rPr>
        <w:t xml:space="preserve"> is attached as </w:t>
      </w:r>
      <w:r w:rsidR="00C42A8A" w:rsidRPr="00716360">
        <w:rPr>
          <w:rFonts w:eastAsia="Cambria" w:cs="Segoe UI"/>
          <w:b/>
          <w:bCs/>
          <w:iCs/>
          <w:shd w:val="clear" w:color="auto" w:fill="FFFFFF" w:themeFill="background1"/>
          <w:lang w:val="en-AU"/>
        </w:rPr>
        <w:t>Appendix T</w:t>
      </w:r>
      <w:r w:rsidR="00136418">
        <w:rPr>
          <w:rFonts w:eastAsia="Cambria" w:cs="Segoe UI"/>
          <w:b/>
          <w:bCs/>
          <w:iCs/>
          <w:shd w:val="clear" w:color="auto" w:fill="FFFFFF" w:themeFill="background1"/>
          <w:lang w:val="en-AU"/>
        </w:rPr>
        <w:t>hree</w:t>
      </w:r>
      <w:r w:rsidR="00C42A8A" w:rsidRPr="00716360">
        <w:rPr>
          <w:rFonts w:eastAsia="Cambria" w:cs="Segoe UI"/>
          <w:iCs/>
          <w:shd w:val="clear" w:color="auto" w:fill="FFFFFF" w:themeFill="background1"/>
          <w:lang w:val="en-AU"/>
        </w:rPr>
        <w:t xml:space="preserve">). </w:t>
      </w:r>
    </w:p>
    <w:p w14:paraId="0CFA040D" w14:textId="1FF62AB5" w:rsidR="00EA669F" w:rsidRPr="00716360" w:rsidRDefault="00EA669F" w:rsidP="00850B31">
      <w:pPr>
        <w:pStyle w:val="Heading5"/>
      </w:pPr>
      <w:r w:rsidRPr="00716360">
        <w:t>Preparedness</w:t>
      </w:r>
    </w:p>
    <w:p w14:paraId="6E7A0FB5" w14:textId="77777777" w:rsidR="00EA669F" w:rsidRPr="00716360" w:rsidRDefault="00EA669F" w:rsidP="00EA669F">
      <w:pPr>
        <w:pStyle w:val="ListParagraph"/>
        <w:spacing w:before="60" w:after="120" w:line="276" w:lineRule="auto"/>
        <w:ind w:left="284"/>
        <w:contextualSpacing w:val="0"/>
      </w:pPr>
      <w:r w:rsidRPr="00716360">
        <w:t xml:space="preserve">Māori health providers have been critical to the success of the COVID-19 response, so far. The Ministry recognises that an effective and equitable vaccination programme will require well-resourced and well-prepared providers. To support provider preparedness, the Ministry has ring-fenced an initial $11 million of funding to support providers in preparing to implement the Programme across their communities, including options to provide holistic care to whānau. </w:t>
      </w:r>
    </w:p>
    <w:p w14:paraId="5BB97A4E" w14:textId="77777777" w:rsidR="00EA669F" w:rsidRPr="00716360" w:rsidRDefault="00EA669F" w:rsidP="00EA669F">
      <w:pPr>
        <w:pStyle w:val="ListParagraph"/>
        <w:spacing w:before="60" w:after="120" w:line="276" w:lineRule="auto"/>
        <w:ind w:left="284"/>
        <w:contextualSpacing w:val="0"/>
      </w:pPr>
      <w:r w:rsidRPr="00716360">
        <w:t xml:space="preserve">The funding will ensure that there is base-level operational infrastructure in place to support the roll-out of the Programme and allow providers to prepare for any contingency planning that may needed due to the evolving nature of COVID-19. Investing in infrastructure contributes to the legacy of the programme, as it will build the capability and capacity of the Māori health sector for future immunisations and outreach programmes. </w:t>
      </w:r>
    </w:p>
    <w:p w14:paraId="675CA5A5" w14:textId="3AA59180" w:rsidR="00EA669F" w:rsidRPr="00716360" w:rsidRDefault="00EA669F" w:rsidP="0086489C">
      <w:pPr>
        <w:pStyle w:val="ListParagraph"/>
        <w:spacing w:before="60" w:after="120" w:line="276" w:lineRule="auto"/>
        <w:ind w:left="284"/>
        <w:contextualSpacing w:val="0"/>
        <w:rPr>
          <w:sz w:val="20"/>
          <w:szCs w:val="20"/>
        </w:rPr>
      </w:pPr>
      <w:r w:rsidRPr="00716360">
        <w:t xml:space="preserve">An additional $24.5 million is being allocated to develop a COVID-19 Māori </w:t>
      </w:r>
      <w:r w:rsidR="002107DE">
        <w:t>v</w:t>
      </w:r>
      <w:r w:rsidRPr="00716360">
        <w:t>accine support service</w:t>
      </w:r>
      <w:r w:rsidR="009E4525">
        <w:t>. This funding</w:t>
      </w:r>
      <w:r w:rsidR="00B736FE">
        <w:t xml:space="preserve"> will</w:t>
      </w:r>
      <w:r w:rsidRPr="00716360">
        <w:t xml:space="preserve"> support </w:t>
      </w:r>
      <w:r w:rsidR="00B736FE">
        <w:t xml:space="preserve">and empower </w:t>
      </w:r>
      <w:r w:rsidR="002D6E42">
        <w:t xml:space="preserve">whānau </w:t>
      </w:r>
      <w:r w:rsidR="00B736FE">
        <w:t xml:space="preserve">by providing </w:t>
      </w:r>
      <w:r w:rsidRPr="00716360">
        <w:rPr>
          <w:sz w:val="20"/>
          <w:szCs w:val="20"/>
        </w:rPr>
        <w:t>national, regional, and local community presence across the vaccine lifecycle</w:t>
      </w:r>
      <w:r w:rsidR="0016047D">
        <w:rPr>
          <w:sz w:val="20"/>
          <w:szCs w:val="20"/>
        </w:rPr>
        <w:t xml:space="preserve">, ensuring </w:t>
      </w:r>
      <w:r w:rsidR="00DE681B">
        <w:rPr>
          <w:sz w:val="20"/>
          <w:szCs w:val="20"/>
        </w:rPr>
        <w:t xml:space="preserve">whānau are informed and can easily access the vaccination services. </w:t>
      </w:r>
    </w:p>
    <w:p w14:paraId="684BA9B8" w14:textId="77777777" w:rsidR="00EA669F" w:rsidRPr="00716360" w:rsidRDefault="00EA669F" w:rsidP="00850B31">
      <w:pPr>
        <w:pStyle w:val="Heading5"/>
      </w:pPr>
      <w:r w:rsidRPr="00716360">
        <w:t>Delivery</w:t>
      </w:r>
    </w:p>
    <w:p w14:paraId="7673E37B" w14:textId="77777777" w:rsidR="00C22961" w:rsidRDefault="00EA669F" w:rsidP="00EA669F">
      <w:pPr>
        <w:pStyle w:val="ListParagraph"/>
        <w:spacing w:before="60" w:after="120" w:line="276" w:lineRule="auto"/>
        <w:ind w:left="284"/>
        <w:contextualSpacing w:val="0"/>
      </w:pPr>
      <w:r w:rsidRPr="00716360">
        <w:t xml:space="preserve">Supporting providers will be particularly important in the delivery of vaccine services. Funding to support providers to undertake vaccinations will be additional to the $11 million for preparedness and $24.5 million to establish a support service. </w:t>
      </w:r>
    </w:p>
    <w:p w14:paraId="39BADE92" w14:textId="08BE7835" w:rsidR="00EA669F" w:rsidRDefault="00EA669F" w:rsidP="00EA669F">
      <w:pPr>
        <w:pStyle w:val="ListParagraph"/>
        <w:spacing w:before="60" w:after="120" w:line="276" w:lineRule="auto"/>
        <w:ind w:left="284"/>
        <w:contextualSpacing w:val="0"/>
      </w:pPr>
      <w:r w:rsidRPr="00716360">
        <w:t xml:space="preserve">Providers hold unique relationships with their communities and, we saw through the MIVP, that innovative, whānau-centred outreach services increase the number of Māori who receive vaccinations. Providers delivering the vaccine on the ground will need adequate resourcing to ensure they can reach whānau where they are or bring whānau to the clinics – it needs to be easy for people to access the vaccine. </w:t>
      </w:r>
    </w:p>
    <w:p w14:paraId="0E1634CA" w14:textId="606EA6EA" w:rsidR="001710ED" w:rsidRPr="00716360" w:rsidRDefault="001710ED" w:rsidP="00EA669F">
      <w:pPr>
        <w:pStyle w:val="ListParagraph"/>
        <w:spacing w:before="60" w:after="120" w:line="276" w:lineRule="auto"/>
        <w:ind w:left="284"/>
        <w:contextualSpacing w:val="0"/>
      </w:pPr>
      <w:r>
        <w:lastRenderedPageBreak/>
        <w:t xml:space="preserve">In addition to the funding, 40,000 vaccines have been ring-fenced for Māori and Pacific health providers. Early access to the vaccine will ensure these providers can </w:t>
      </w:r>
      <w:r w:rsidR="00F31184">
        <w:t xml:space="preserve">proactively </w:t>
      </w:r>
      <w:r>
        <w:t xml:space="preserve">begin protecting those most at risk of severe outcomes </w:t>
      </w:r>
      <w:r w:rsidR="00F31184">
        <w:t>from COVID-19.</w:t>
      </w:r>
    </w:p>
    <w:p w14:paraId="68AD70A7" w14:textId="77777777" w:rsidR="00184A48" w:rsidRPr="00716360" w:rsidRDefault="00184A48" w:rsidP="00850B31">
      <w:pPr>
        <w:pStyle w:val="Heading3"/>
      </w:pPr>
      <w:r w:rsidRPr="00716360">
        <w:t>Targeted vaccination approach</w:t>
      </w:r>
    </w:p>
    <w:p w14:paraId="60C7AA48" w14:textId="6D16A2B6"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The Government has purchased enough COVID-19 vaccines for everyone</w:t>
      </w:r>
      <w:r w:rsidR="00196385">
        <w:rPr>
          <w:rFonts w:eastAsia="Cambria" w:cs="Segoe UI"/>
          <w:iCs/>
          <w:shd w:val="clear" w:color="auto" w:fill="FFFFFF" w:themeFill="background1"/>
          <w:lang w:val="en-AU"/>
        </w:rPr>
        <w:t xml:space="preserve"> that is eligible</w:t>
      </w:r>
      <w:r w:rsidRPr="00716360">
        <w:rPr>
          <w:rFonts w:eastAsia="Cambria" w:cs="Segoe UI"/>
          <w:iCs/>
          <w:shd w:val="clear" w:color="auto" w:fill="FFFFFF" w:themeFill="background1"/>
          <w:lang w:val="en-AU"/>
        </w:rPr>
        <w:t xml:space="preserve"> to access over time. However, while supplies are initially limited there will be a need to target specific population groups and communities who are at increased risk – of exposure or transmission, or likely to experience severe health outcomes if they contracted COVID-19. </w:t>
      </w:r>
    </w:p>
    <w:p w14:paraId="66DC7069" w14:textId="6C9B7C36"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This will require an initial approach that is targeted and tailored, and as supply increases the scope of vaccination will broaden. The roll-out will </w:t>
      </w:r>
      <w:r w:rsidR="00924877" w:rsidRPr="00716360">
        <w:rPr>
          <w:rFonts w:eastAsia="Cambria" w:cs="Segoe UI"/>
          <w:iCs/>
          <w:shd w:val="clear" w:color="auto" w:fill="FFFFFF" w:themeFill="background1"/>
          <w:lang w:val="en-AU"/>
        </w:rPr>
        <w:t xml:space="preserve">be progressed across </w:t>
      </w:r>
      <w:r w:rsidR="00C158B4" w:rsidRPr="00716360">
        <w:rPr>
          <w:rFonts w:eastAsia="Cambria" w:cs="Segoe UI"/>
          <w:iCs/>
          <w:shd w:val="clear" w:color="auto" w:fill="FFFFFF" w:themeFill="background1"/>
          <w:lang w:val="en-AU"/>
        </w:rPr>
        <w:t xml:space="preserve">four groups, </w:t>
      </w:r>
      <w:r w:rsidRPr="00716360">
        <w:rPr>
          <w:rFonts w:eastAsia="Cambria" w:cs="Segoe UI"/>
          <w:iCs/>
          <w:shd w:val="clear" w:color="auto" w:fill="FFFFFF" w:themeFill="background1"/>
          <w:lang w:val="en-AU"/>
        </w:rPr>
        <w:t>start</w:t>
      </w:r>
      <w:r w:rsidR="00C158B4" w:rsidRPr="00716360">
        <w:rPr>
          <w:rFonts w:eastAsia="Cambria" w:cs="Segoe UI"/>
          <w:iCs/>
          <w:shd w:val="clear" w:color="auto" w:fill="FFFFFF" w:themeFill="background1"/>
          <w:lang w:val="en-AU"/>
        </w:rPr>
        <w:t>ing</w:t>
      </w:r>
      <w:r w:rsidRPr="00716360">
        <w:rPr>
          <w:rFonts w:eastAsia="Cambria" w:cs="Segoe UI"/>
          <w:iCs/>
          <w:shd w:val="clear" w:color="auto" w:fill="FFFFFF" w:themeFill="background1"/>
          <w:lang w:val="en-AU"/>
        </w:rPr>
        <w:t xml:space="preserve"> with those that are at the highest risk of infection and transmission (such as border workers and frontline health staff) and then look to target those that are at risk of severe outcomes if they contract COVID-19. </w:t>
      </w:r>
    </w:p>
    <w:p w14:paraId="4EC2AB20" w14:textId="1DC85E6D" w:rsidR="00FB77AB" w:rsidRPr="00716360" w:rsidRDefault="00FB77AB" w:rsidP="00C42A8A">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Ensuring that equitable approaches are consistent across these groups will be critical in </w:t>
      </w:r>
      <w:r w:rsidR="000C113B" w:rsidRPr="00716360">
        <w:rPr>
          <w:rFonts w:eastAsia="Cambria" w:cs="Segoe UI"/>
          <w:iCs/>
          <w:shd w:val="clear" w:color="auto" w:fill="FFFFFF" w:themeFill="background1"/>
          <w:lang w:val="en-AU"/>
        </w:rPr>
        <w:t>the success of the Programme</w:t>
      </w:r>
      <w:r w:rsidR="00365D28" w:rsidRPr="00716360">
        <w:rPr>
          <w:rFonts w:eastAsia="Cambria" w:cs="Segoe UI"/>
          <w:iCs/>
          <w:shd w:val="clear" w:color="auto" w:fill="FFFFFF" w:themeFill="background1"/>
          <w:lang w:val="en-AU"/>
        </w:rPr>
        <w:t xml:space="preserve">, </w:t>
      </w:r>
      <w:proofErr w:type="gramStart"/>
      <w:r w:rsidR="00365D28" w:rsidRPr="00716360">
        <w:rPr>
          <w:rFonts w:eastAsia="Cambria" w:cs="Segoe UI"/>
          <w:iCs/>
          <w:shd w:val="clear" w:color="auto" w:fill="FFFFFF" w:themeFill="background1"/>
          <w:lang w:val="en-AU"/>
        </w:rPr>
        <w:t>in particular as</w:t>
      </w:r>
      <w:proofErr w:type="gramEnd"/>
      <w:r w:rsidR="00365D28" w:rsidRPr="00716360">
        <w:rPr>
          <w:rFonts w:eastAsia="Cambria" w:cs="Segoe UI"/>
          <w:iCs/>
          <w:shd w:val="clear" w:color="auto" w:fill="FFFFFF" w:themeFill="background1"/>
          <w:lang w:val="en-AU"/>
        </w:rPr>
        <w:t xml:space="preserve"> we move to the wider population groups</w:t>
      </w:r>
      <w:r w:rsidRPr="00716360">
        <w:rPr>
          <w:rFonts w:eastAsia="Cambria" w:cs="Segoe UI"/>
          <w:iCs/>
          <w:shd w:val="clear" w:color="auto" w:fill="FFFFFF" w:themeFill="background1"/>
          <w:lang w:val="en-AU"/>
        </w:rPr>
        <w:t xml:space="preserve">. A core mechanism for this will be the additional support and resourcing for providers, as outlined above. </w:t>
      </w:r>
      <w:r w:rsidR="00937FEA" w:rsidRPr="00716360">
        <w:rPr>
          <w:rFonts w:eastAsia="Cambria" w:cs="Segoe UI"/>
          <w:iCs/>
          <w:shd w:val="clear" w:color="auto" w:fill="FFFFFF" w:themeFill="background1"/>
          <w:lang w:val="en-AU"/>
        </w:rPr>
        <w:t>Māori health and disability providers have strong community netw</w:t>
      </w:r>
      <w:r w:rsidR="009242A7" w:rsidRPr="00716360">
        <w:rPr>
          <w:rFonts w:eastAsia="Cambria" w:cs="Segoe UI"/>
          <w:iCs/>
          <w:shd w:val="clear" w:color="auto" w:fill="FFFFFF" w:themeFill="background1"/>
          <w:lang w:val="en-AU"/>
        </w:rPr>
        <w:t>o</w:t>
      </w:r>
      <w:r w:rsidR="00937FEA" w:rsidRPr="00716360">
        <w:rPr>
          <w:rFonts w:eastAsia="Cambria" w:cs="Segoe UI"/>
          <w:iCs/>
          <w:shd w:val="clear" w:color="auto" w:fill="FFFFFF" w:themeFill="background1"/>
          <w:lang w:val="en-AU"/>
        </w:rPr>
        <w:t>rks</w:t>
      </w:r>
      <w:r w:rsidR="00432C01" w:rsidRPr="00716360">
        <w:rPr>
          <w:rFonts w:eastAsia="Cambria" w:cs="Segoe UI"/>
          <w:iCs/>
          <w:shd w:val="clear" w:color="auto" w:fill="FFFFFF" w:themeFill="background1"/>
          <w:lang w:val="en-AU"/>
        </w:rPr>
        <w:t xml:space="preserve"> and e</w:t>
      </w:r>
      <w:r w:rsidR="000906EE" w:rsidRPr="00716360">
        <w:rPr>
          <w:rFonts w:eastAsia="Cambria" w:cs="Segoe UI"/>
          <w:iCs/>
          <w:shd w:val="clear" w:color="auto" w:fill="FFFFFF" w:themeFill="background1"/>
          <w:lang w:val="en-AU"/>
        </w:rPr>
        <w:t xml:space="preserve">nabling </w:t>
      </w:r>
      <w:r w:rsidR="00432C01" w:rsidRPr="00716360">
        <w:rPr>
          <w:rFonts w:eastAsia="Cambria" w:cs="Segoe UI"/>
          <w:iCs/>
          <w:shd w:val="clear" w:color="auto" w:fill="FFFFFF" w:themeFill="background1"/>
          <w:lang w:val="en-AU"/>
        </w:rPr>
        <w:t xml:space="preserve">these </w:t>
      </w:r>
      <w:r w:rsidR="00A311E1" w:rsidRPr="00716360">
        <w:rPr>
          <w:rFonts w:eastAsia="Cambria" w:cs="Segoe UI"/>
          <w:iCs/>
          <w:shd w:val="clear" w:color="auto" w:fill="FFFFFF" w:themeFill="background1"/>
          <w:lang w:val="en-AU"/>
        </w:rPr>
        <w:t>provide</w:t>
      </w:r>
      <w:r w:rsidR="00432C01" w:rsidRPr="00716360">
        <w:rPr>
          <w:rFonts w:eastAsia="Cambria" w:cs="Segoe UI"/>
          <w:iCs/>
          <w:shd w:val="clear" w:color="auto" w:fill="FFFFFF" w:themeFill="background1"/>
          <w:lang w:val="en-AU"/>
        </w:rPr>
        <w:t>rs</w:t>
      </w:r>
      <w:r w:rsidR="00A311E1" w:rsidRPr="00716360">
        <w:rPr>
          <w:rFonts w:eastAsia="Cambria" w:cs="Segoe UI"/>
          <w:iCs/>
          <w:shd w:val="clear" w:color="auto" w:fill="FFFFFF" w:themeFill="background1"/>
          <w:lang w:val="en-AU"/>
        </w:rPr>
        <w:t xml:space="preserve"> </w:t>
      </w:r>
      <w:r w:rsidR="000906EE" w:rsidRPr="00716360">
        <w:rPr>
          <w:rFonts w:eastAsia="Cambria" w:cs="Segoe UI"/>
          <w:iCs/>
          <w:shd w:val="clear" w:color="auto" w:fill="FFFFFF" w:themeFill="background1"/>
          <w:lang w:val="en-AU"/>
        </w:rPr>
        <w:t>to spearhead the roll-out</w:t>
      </w:r>
      <w:r w:rsidR="00404AA1" w:rsidRPr="00716360">
        <w:rPr>
          <w:rFonts w:eastAsia="Cambria" w:cs="Segoe UI"/>
          <w:iCs/>
          <w:shd w:val="clear" w:color="auto" w:fill="FFFFFF" w:themeFill="background1"/>
          <w:lang w:val="en-AU"/>
        </w:rPr>
        <w:t>, including deciding on models of care,</w:t>
      </w:r>
      <w:r w:rsidR="000906EE" w:rsidRPr="00716360">
        <w:rPr>
          <w:rFonts w:eastAsia="Cambria" w:cs="Segoe UI"/>
          <w:iCs/>
          <w:shd w:val="clear" w:color="auto" w:fill="FFFFFF" w:themeFill="background1"/>
          <w:lang w:val="en-AU"/>
        </w:rPr>
        <w:t xml:space="preserve"> </w:t>
      </w:r>
      <w:r w:rsidR="00432C01" w:rsidRPr="00716360">
        <w:rPr>
          <w:rFonts w:eastAsia="Cambria" w:cs="Segoe UI"/>
          <w:iCs/>
          <w:shd w:val="clear" w:color="auto" w:fill="FFFFFF" w:themeFill="background1"/>
          <w:lang w:val="en-AU"/>
        </w:rPr>
        <w:t xml:space="preserve">will drive equitable delivery and uptake of the vaccine amongst whānau, </w:t>
      </w:r>
      <w:proofErr w:type="spellStart"/>
      <w:r w:rsidR="00432C01" w:rsidRPr="00716360">
        <w:rPr>
          <w:rFonts w:eastAsia="Cambria" w:cs="Segoe UI"/>
          <w:iCs/>
          <w:shd w:val="clear" w:color="auto" w:fill="FFFFFF" w:themeFill="background1"/>
          <w:lang w:val="en-AU"/>
        </w:rPr>
        <w:t>hapū</w:t>
      </w:r>
      <w:proofErr w:type="spellEnd"/>
      <w:r w:rsidR="00432C01" w:rsidRPr="00716360">
        <w:rPr>
          <w:rFonts w:eastAsia="Cambria" w:cs="Segoe UI"/>
          <w:iCs/>
          <w:shd w:val="clear" w:color="auto" w:fill="FFFFFF" w:themeFill="background1"/>
          <w:lang w:val="en-AU"/>
        </w:rPr>
        <w:t xml:space="preserve">, iwi, and wider </w:t>
      </w:r>
      <w:proofErr w:type="spellStart"/>
      <w:r w:rsidR="00C42A8A" w:rsidRPr="00716360">
        <w:rPr>
          <w:rFonts w:eastAsia="Cambria" w:cs="Segoe UI"/>
          <w:iCs/>
          <w:shd w:val="clear" w:color="auto" w:fill="FFFFFF" w:themeFill="background1"/>
          <w:lang w:val="en-AU"/>
        </w:rPr>
        <w:t>hapori</w:t>
      </w:r>
      <w:proofErr w:type="spellEnd"/>
      <w:r w:rsidR="00432C01" w:rsidRPr="00716360">
        <w:rPr>
          <w:rFonts w:eastAsia="Cambria" w:cs="Segoe UI"/>
          <w:iCs/>
          <w:shd w:val="clear" w:color="auto" w:fill="FFFFFF" w:themeFill="background1"/>
          <w:lang w:val="en-AU"/>
        </w:rPr>
        <w:t xml:space="preserve">. </w:t>
      </w:r>
    </w:p>
    <w:p w14:paraId="31D14755" w14:textId="77777777" w:rsidR="00184A48" w:rsidRPr="00716360" w:rsidRDefault="00184A48" w:rsidP="00184A48">
      <w:pPr>
        <w:pStyle w:val="Heading5"/>
        <w:rPr>
          <w:rFonts w:eastAsia="Cambria"/>
          <w:shd w:val="clear" w:color="auto" w:fill="FFFFFF" w:themeFill="background1"/>
          <w:lang w:val="en-AU"/>
        </w:rPr>
      </w:pPr>
      <w:r w:rsidRPr="00716360">
        <w:rPr>
          <w:rFonts w:eastAsia="Cambria"/>
          <w:shd w:val="clear" w:color="auto" w:fill="FFFFFF" w:themeFill="background1"/>
          <w:lang w:val="en-AU"/>
        </w:rPr>
        <w:t xml:space="preserve">Group 1: Border workers </w:t>
      </w:r>
    </w:p>
    <w:p w14:paraId="44AA63E4" w14:textId="76EE5C34" w:rsidR="00184A48" w:rsidRPr="00716360" w:rsidRDefault="000E72C2" w:rsidP="00184A48">
      <w:pPr>
        <w:pStyle w:val="ListParagraph"/>
        <w:spacing w:before="60" w:after="120" w:line="276" w:lineRule="auto"/>
        <w:ind w:left="284"/>
        <w:contextualSpacing w:val="0"/>
      </w:pPr>
      <w:r w:rsidRPr="00716360">
        <w:rPr>
          <w:rFonts w:eastAsia="Cambria" w:cs="Segoe UI"/>
          <w:iCs/>
          <w:shd w:val="clear" w:color="auto" w:fill="FFFFFF" w:themeFill="background1"/>
          <w:lang w:val="en-AU"/>
        </w:rPr>
        <w:t xml:space="preserve">Group one consists of our 50,000 border and MIQ workers, their households contacts and the people they live with. </w:t>
      </w:r>
      <w:r w:rsidR="00184A48" w:rsidRPr="00716360">
        <w:rPr>
          <w:rFonts w:eastAsia="Cambria" w:cs="Segoe UI"/>
          <w:iCs/>
          <w:shd w:val="clear" w:color="auto" w:fill="FFFFFF" w:themeFill="background1"/>
          <w:lang w:val="en-AU"/>
        </w:rPr>
        <w:t>F</w:t>
      </w:r>
      <w:proofErr w:type="spellStart"/>
      <w:r w:rsidR="00184A48" w:rsidRPr="00716360">
        <w:t>ocusing</w:t>
      </w:r>
      <w:proofErr w:type="spellEnd"/>
      <w:r w:rsidR="00184A48" w:rsidRPr="00716360">
        <w:t xml:space="preserve"> on border workers and MIQ staff promotes wellbeing and equitable outcomes by providing the first line of defence against the virus and enhancing the protection in place for everyone in New Zealand. This group is at greatest risk of infection and transmission because of their proximity to cases coming through the border and ensuring they are protected from contracting COVID-19 will form a security net around the country. </w:t>
      </w:r>
    </w:p>
    <w:p w14:paraId="57C6FDC4" w14:textId="77777777" w:rsidR="00184A48" w:rsidRPr="00716360" w:rsidRDefault="00184A48" w:rsidP="00184A48">
      <w:pPr>
        <w:pStyle w:val="Heading5"/>
        <w:rPr>
          <w:rFonts w:eastAsia="Cambria"/>
          <w:shd w:val="clear" w:color="auto" w:fill="FFFFFF" w:themeFill="background1"/>
          <w:lang w:val="en-AU"/>
        </w:rPr>
      </w:pPr>
      <w:r w:rsidRPr="00716360">
        <w:rPr>
          <w:rFonts w:eastAsia="Cambria"/>
          <w:shd w:val="clear" w:color="auto" w:fill="FFFFFF" w:themeFill="background1"/>
          <w:lang w:val="en-AU"/>
        </w:rPr>
        <w:t>Group 2: Frontline (non-border workers) and people in high-risk settings or locations</w:t>
      </w:r>
    </w:p>
    <w:p w14:paraId="08021D2D" w14:textId="77777777" w:rsidR="00184A48" w:rsidRPr="00716360" w:rsidRDefault="00184A48" w:rsidP="00184A48">
      <w:pPr>
        <w:pStyle w:val="ListParagraph"/>
        <w:spacing w:before="60" w:after="120" w:line="276" w:lineRule="auto"/>
        <w:ind w:left="284"/>
        <w:contextualSpacing w:val="0"/>
      </w:pPr>
      <w:r w:rsidRPr="00716360">
        <w:t xml:space="preserve">While vaccine supply remains limited, the Programme will continue to focus on groups who are at increased risk of exposure and transmission of COVID-19. This means focusing on other areas of the health workforce, </w:t>
      </w:r>
      <w:proofErr w:type="gramStart"/>
      <w:r w:rsidRPr="00716360">
        <w:t>in particular workforces</w:t>
      </w:r>
      <w:proofErr w:type="gramEnd"/>
      <w:r w:rsidRPr="00716360">
        <w:t xml:space="preserve"> that regularly engage with vulnerable people, such as staff working in COVID-19 testing stations. </w:t>
      </w:r>
    </w:p>
    <w:p w14:paraId="5425FA13" w14:textId="491A6A50" w:rsidR="00184A48" w:rsidRPr="00716360" w:rsidRDefault="00184A48" w:rsidP="00184A48">
      <w:pPr>
        <w:pStyle w:val="ListParagraph"/>
        <w:spacing w:before="60" w:after="120" w:line="276" w:lineRule="auto"/>
        <w:ind w:left="284"/>
        <w:contextualSpacing w:val="0"/>
      </w:pPr>
      <w:r w:rsidRPr="00716360">
        <w:t xml:space="preserve">The Programme will then look to vaccinate groups living in settings or locations that are ‘high risk’, this includes people in long-term residential care where a high proportion of residents are at-risk of severe outcomes (such as aged residential care (ARC) facilities). In parallel with this, to account for the underrepresentation of Māori in ARC facilities, Māori health providers will offer vaccination to </w:t>
      </w:r>
      <w:proofErr w:type="spellStart"/>
      <w:r w:rsidRPr="00716360">
        <w:t>k</w:t>
      </w:r>
      <w:r w:rsidR="00B20DEF">
        <w:t>oroua</w:t>
      </w:r>
      <w:proofErr w:type="spellEnd"/>
      <w:r w:rsidR="00B20DEF">
        <w:t xml:space="preserve"> and kuia</w:t>
      </w:r>
      <w:r w:rsidRPr="00716360">
        <w:t xml:space="preserve"> aged 65+ and to people with co-morbidities. </w:t>
      </w:r>
    </w:p>
    <w:p w14:paraId="4FF7839E" w14:textId="65E5D94B" w:rsidR="00184A48" w:rsidRPr="00716360" w:rsidRDefault="00184A48" w:rsidP="00184A48">
      <w:pPr>
        <w:pStyle w:val="ListParagraph"/>
        <w:spacing w:before="60" w:after="120" w:line="276" w:lineRule="auto"/>
        <w:ind w:left="284"/>
        <w:contextualSpacing w:val="0"/>
      </w:pPr>
      <w:r w:rsidRPr="00716360">
        <w:t>Th</w:t>
      </w:r>
      <w:r w:rsidR="00EF43DB" w:rsidRPr="00716360">
        <w:t xml:space="preserve">is roll-out </w:t>
      </w:r>
      <w:r w:rsidRPr="00716360">
        <w:t xml:space="preserve">will begin in the Counties Manukau DHB region, with subsequent roll-out to other regions as vaccine supply increases. This region has been identified due to its proximity to the border, number of MIQs in the area, and the recent resurgence cases in the area. </w:t>
      </w:r>
    </w:p>
    <w:p w14:paraId="3DCE0C4E" w14:textId="3B249862" w:rsidR="00987D4A" w:rsidRPr="00716360" w:rsidRDefault="00987D4A" w:rsidP="00EA7FFD">
      <w:pPr>
        <w:pStyle w:val="Heading5"/>
        <w:rPr>
          <w:rFonts w:eastAsia="Cambria"/>
          <w:shd w:val="clear" w:color="auto" w:fill="FFFFFF" w:themeFill="background1"/>
          <w:lang w:val="en-AU"/>
        </w:rPr>
      </w:pPr>
      <w:r w:rsidRPr="00716360">
        <w:rPr>
          <w:rFonts w:eastAsia="Cambria"/>
          <w:shd w:val="clear" w:color="auto" w:fill="FFFFFF" w:themeFill="background1"/>
          <w:lang w:val="en-AU"/>
        </w:rPr>
        <w:lastRenderedPageBreak/>
        <w:t>Group 3</w:t>
      </w:r>
      <w:r w:rsidR="00EA7FFD" w:rsidRPr="00716360">
        <w:rPr>
          <w:rFonts w:eastAsia="Cambria"/>
          <w:shd w:val="clear" w:color="auto" w:fill="FFFFFF" w:themeFill="background1"/>
          <w:lang w:val="en-AU"/>
        </w:rPr>
        <w:t>: Priority populations</w:t>
      </w:r>
      <w:r w:rsidR="003C1096" w:rsidRPr="00716360">
        <w:rPr>
          <w:rFonts w:eastAsia="Cambria"/>
          <w:shd w:val="clear" w:color="auto" w:fill="FFFFFF" w:themeFill="background1"/>
          <w:lang w:val="en-AU"/>
        </w:rPr>
        <w:t xml:space="preserve"> / Group 4: Everyone else</w:t>
      </w:r>
    </w:p>
    <w:p w14:paraId="0A2E9803" w14:textId="5A3986CD" w:rsidR="00EA7FFD" w:rsidRPr="00716360" w:rsidRDefault="00A5677D" w:rsidP="003D64F9">
      <w:pPr>
        <w:pStyle w:val="ListParagraph"/>
        <w:spacing w:before="60" w:after="120" w:line="276" w:lineRule="auto"/>
        <w:ind w:left="284"/>
        <w:contextualSpacing w:val="0"/>
        <w:rPr>
          <w:lang w:val="en-AU"/>
        </w:rPr>
      </w:pPr>
      <w:r w:rsidRPr="00716360">
        <w:rPr>
          <w:lang w:val="en-AU"/>
        </w:rPr>
        <w:t xml:space="preserve">Following this, </w:t>
      </w:r>
      <w:r w:rsidR="00EB1AA1" w:rsidRPr="00716360">
        <w:rPr>
          <w:lang w:val="en-AU"/>
        </w:rPr>
        <w:t>the roll-out will move to the wider priority population groups</w:t>
      </w:r>
      <w:r w:rsidR="003C1096" w:rsidRPr="00716360">
        <w:rPr>
          <w:lang w:val="en-AU"/>
        </w:rPr>
        <w:t xml:space="preserve"> – those who are at high-risk of severe outcomes if they catch COVID-19. This includes </w:t>
      </w:r>
      <w:proofErr w:type="spellStart"/>
      <w:r w:rsidR="00B20DEF">
        <w:rPr>
          <w:lang w:val="en-AU"/>
        </w:rPr>
        <w:t>koroua</w:t>
      </w:r>
      <w:proofErr w:type="spellEnd"/>
      <w:r w:rsidR="00B20DEF">
        <w:rPr>
          <w:lang w:val="en-AU"/>
        </w:rPr>
        <w:t xml:space="preserve"> and kuia</w:t>
      </w:r>
      <w:r w:rsidR="00EB1AA1" w:rsidRPr="00716360">
        <w:rPr>
          <w:lang w:val="en-AU"/>
        </w:rPr>
        <w:t xml:space="preserve"> and those with co-morbidities</w:t>
      </w:r>
      <w:r w:rsidR="00FA3745" w:rsidRPr="00716360">
        <w:rPr>
          <w:lang w:val="en-AU"/>
        </w:rPr>
        <w:t xml:space="preserve"> living outside of the Counties Manukau district. </w:t>
      </w:r>
    </w:p>
    <w:p w14:paraId="2081500D" w14:textId="2C7C705E" w:rsidR="004038A7" w:rsidRPr="00716360" w:rsidRDefault="00916EC8" w:rsidP="00FB77AB">
      <w:pPr>
        <w:pStyle w:val="ListParagraph"/>
        <w:spacing w:before="60" w:after="120" w:line="276" w:lineRule="auto"/>
        <w:ind w:left="284"/>
        <w:contextualSpacing w:val="0"/>
        <w:rPr>
          <w:lang w:val="en-AU"/>
        </w:rPr>
      </w:pPr>
      <w:r w:rsidRPr="00716360">
        <w:rPr>
          <w:lang w:val="en-AU"/>
        </w:rPr>
        <w:t>Once th</w:t>
      </w:r>
      <w:r w:rsidR="00D50358" w:rsidRPr="00716360">
        <w:rPr>
          <w:lang w:val="en-AU"/>
        </w:rPr>
        <w:t xml:space="preserve">ose that are at the highest risk of mortality and morbidity </w:t>
      </w:r>
      <w:r w:rsidR="00C147E3" w:rsidRPr="00716360">
        <w:rPr>
          <w:lang w:val="en-AU"/>
        </w:rPr>
        <w:t xml:space="preserve">from COVID-19 </w:t>
      </w:r>
      <w:r w:rsidR="00D50358" w:rsidRPr="00716360">
        <w:rPr>
          <w:lang w:val="en-AU"/>
        </w:rPr>
        <w:t xml:space="preserve">have been vaccinated, the Programme will look to immunise </w:t>
      </w:r>
      <w:r w:rsidR="00A1306B" w:rsidRPr="00716360">
        <w:rPr>
          <w:lang w:val="en-AU"/>
        </w:rPr>
        <w:t xml:space="preserve">the wider population. </w:t>
      </w:r>
    </w:p>
    <w:p w14:paraId="4D9688EA" w14:textId="77777777" w:rsidR="00184A48" w:rsidRPr="00716360" w:rsidRDefault="00184A48" w:rsidP="00850B31">
      <w:pPr>
        <w:pStyle w:val="Heading3"/>
      </w:pPr>
      <w:r w:rsidRPr="00716360">
        <w:t>Workforce development</w:t>
      </w:r>
    </w:p>
    <w:p w14:paraId="230F53AC" w14:textId="77777777" w:rsidR="00184A48" w:rsidRPr="00716360" w:rsidRDefault="00184A48" w:rsidP="00184A48">
      <w:pPr>
        <w:pStyle w:val="ListParagraph"/>
        <w:spacing w:before="60" w:after="120" w:line="276" w:lineRule="auto"/>
        <w:ind w:left="284"/>
        <w:contextualSpacing w:val="0"/>
      </w:pPr>
      <w:r w:rsidRPr="00716360">
        <w:t xml:space="preserve">The successful delivery of the Programme will heavily rely on having a workforce that is capable and representative of the population they are immunising. Increasing the vaccinator workforce capacity began in the initial lockdown period in 2020, with the Immunisation Advisory Centre’s (IMAC) free vaccinator course. Currently, New Zealand has around 11,000 vaccinators. </w:t>
      </w:r>
    </w:p>
    <w:p w14:paraId="1E09BF15" w14:textId="77777777" w:rsidR="00184A48" w:rsidRPr="00716360" w:rsidRDefault="00184A48" w:rsidP="00184A48">
      <w:pPr>
        <w:pStyle w:val="ListParagraph"/>
        <w:spacing w:before="60" w:after="120" w:line="276" w:lineRule="auto"/>
        <w:ind w:left="284"/>
        <w:contextualSpacing w:val="0"/>
      </w:pPr>
      <w:r w:rsidRPr="00716360">
        <w:rPr>
          <w:rFonts w:cs="Segoe UI"/>
          <w:szCs w:val="20"/>
        </w:rPr>
        <w:t xml:space="preserve">The Ministry has dedicated $1.5 million to workforce funding Māori health providers, and their staff. This funding will assist in providing core training for </w:t>
      </w:r>
      <w:proofErr w:type="spellStart"/>
      <w:r w:rsidRPr="00716360">
        <w:rPr>
          <w:rFonts w:cs="Segoe UI"/>
          <w:szCs w:val="20"/>
        </w:rPr>
        <w:t>kaimahi</w:t>
      </w:r>
      <w:proofErr w:type="spellEnd"/>
      <w:r w:rsidRPr="00716360">
        <w:rPr>
          <w:rFonts w:cs="Segoe UI"/>
          <w:szCs w:val="20"/>
        </w:rPr>
        <w:t xml:space="preserve"> Māori, including immunisation, vaccines, cultural competency, media training, and other core skills to support the COVID-19 vaccine support service. </w:t>
      </w:r>
    </w:p>
    <w:p w14:paraId="38CC3B8B" w14:textId="1D109826" w:rsidR="00474088" w:rsidRDefault="00184A48" w:rsidP="001108F5">
      <w:pPr>
        <w:pStyle w:val="ListParagraph"/>
        <w:spacing w:before="60" w:after="120" w:line="276" w:lineRule="auto"/>
        <w:ind w:left="284"/>
        <w:contextualSpacing w:val="0"/>
      </w:pPr>
      <w:r w:rsidRPr="00716360">
        <w:t xml:space="preserve">To ensure this workforce can respond to Māori needs and can provide clinically and culturally safe services, the Ministry has commissioned IMAC to develop </w:t>
      </w:r>
      <w:proofErr w:type="spellStart"/>
      <w:r w:rsidRPr="00716360">
        <w:t>kaupapa</w:t>
      </w:r>
      <w:proofErr w:type="spellEnd"/>
      <w:r w:rsidRPr="00716360">
        <w:t xml:space="preserve"> Māori vaccinator training in partnership with a Māori health organisation. This training will focus on the holistic wellbeing of the patient and consider the broader cultural factors surrounding whānau Māori. Additionally, the workforce development strategy is considering how we can draw on already existing workforces that have strong Māori representation, including the non-regulated health workforce such as our </w:t>
      </w:r>
      <w:proofErr w:type="spellStart"/>
      <w:r w:rsidRPr="00716360">
        <w:t>Kaiāwhina</w:t>
      </w:r>
      <w:proofErr w:type="spellEnd"/>
      <w:r w:rsidRPr="00716360">
        <w:t xml:space="preserve">. </w:t>
      </w:r>
      <w:r w:rsidR="00CB08E5">
        <w:t>T</w:t>
      </w:r>
      <w:r w:rsidR="00B64C56">
        <w:t xml:space="preserve">his </w:t>
      </w:r>
      <w:r w:rsidR="00F66C02">
        <w:t>will be integral for</w:t>
      </w:r>
      <w:r w:rsidR="00CB08E5">
        <w:t xml:space="preserve"> increasing the capacity of the vaccinator workforce and for</w:t>
      </w:r>
      <w:r w:rsidR="00F66C02">
        <w:t xml:space="preserve"> providing cultural </w:t>
      </w:r>
      <w:r w:rsidR="00CB08E5">
        <w:t>support to whānau</w:t>
      </w:r>
      <w:r w:rsidR="00514CBC">
        <w:t xml:space="preserve"> Māori</w:t>
      </w:r>
      <w:r w:rsidR="00474088">
        <w:t>.</w:t>
      </w:r>
    </w:p>
    <w:p w14:paraId="01C43876" w14:textId="32A9D7E5" w:rsidR="00407D50" w:rsidRPr="00716360" w:rsidRDefault="00CB08E5" w:rsidP="001108F5">
      <w:pPr>
        <w:pStyle w:val="ListParagraph"/>
        <w:spacing w:before="60" w:after="120" w:line="276" w:lineRule="auto"/>
        <w:ind w:left="284"/>
        <w:contextualSpacing w:val="0"/>
      </w:pPr>
      <w:r>
        <w:t xml:space="preserve"> </w:t>
      </w:r>
      <w:r w:rsidR="00184A48" w:rsidRPr="00716360">
        <w:t>Utilising the non-regulated workforce will contribute to a stronger health and disability system in the long-term, as it will contribute to a more diverse and culturally responsive health workforce overall and provide important development opportunities for the non-regulated workforce.</w:t>
      </w:r>
    </w:p>
    <w:p w14:paraId="1755D412" w14:textId="77777777" w:rsidR="00184A48" w:rsidRPr="00716360" w:rsidRDefault="00184A48" w:rsidP="00850B31">
      <w:pPr>
        <w:pStyle w:val="Heading3"/>
      </w:pPr>
      <w:r w:rsidRPr="00716360">
        <w:t>Whānau-centred communications</w:t>
      </w:r>
    </w:p>
    <w:p w14:paraId="52B581FE" w14:textId="4B7D9B39" w:rsidR="00184A48" w:rsidRPr="00716360" w:rsidRDefault="00184A48" w:rsidP="00184A48">
      <w:pPr>
        <w:pStyle w:val="ListParagraph"/>
        <w:spacing w:before="60" w:after="120" w:line="276" w:lineRule="auto"/>
        <w:ind w:left="284"/>
        <w:contextualSpacing w:val="0"/>
      </w:pPr>
      <w:bookmarkStart w:id="21" w:name="_Hlk66268438"/>
      <w:r w:rsidRPr="00716360">
        <w:t xml:space="preserve">A critical success factor of the 2020 </w:t>
      </w:r>
      <w:r w:rsidR="00407D50" w:rsidRPr="00716360">
        <w:t>COVID</w:t>
      </w:r>
      <w:r w:rsidRPr="00716360">
        <w:t xml:space="preserve">-19 Māori health response </w:t>
      </w:r>
      <w:r w:rsidR="00407D50" w:rsidRPr="00716360">
        <w:t>has been</w:t>
      </w:r>
      <w:r w:rsidRPr="00716360">
        <w:t xml:space="preserve"> the targeted and tailored communications campaign. The campaign was developed in a uniquely ‘by Māori, for Māori’ approach whereby Māori communications professionals in government collaborated with iwi communications professionals throughout the country to design and deliver content that resonated strongly with Māori communities.  </w:t>
      </w:r>
    </w:p>
    <w:p w14:paraId="1848C3BE" w14:textId="545664B1" w:rsidR="00184A48" w:rsidRPr="00716360" w:rsidRDefault="00184A48" w:rsidP="00184A48">
      <w:pPr>
        <w:pStyle w:val="ListParagraph"/>
        <w:spacing w:before="60" w:after="120" w:line="276" w:lineRule="auto"/>
        <w:ind w:left="284"/>
        <w:contextualSpacing w:val="0"/>
        <w:rPr>
          <w:rFonts w:asciiTheme="minorHAnsi" w:hAnsiTheme="minorHAnsi"/>
          <w:sz w:val="22"/>
        </w:rPr>
      </w:pPr>
      <w:r w:rsidRPr="00716360">
        <w:t xml:space="preserve">The campaign utilised channels, messaging, and community champions that Māori communities could relate to. Because of this, whānau Māori could hear their own voices and see themselves reflected in the campaign content. It is important that the Programme builds off the strength of the initial campaign. </w:t>
      </w:r>
      <w:r w:rsidR="005828F8">
        <w:t xml:space="preserve">At their peak, the campaign videos reached </w:t>
      </w:r>
      <w:r w:rsidR="0076088B">
        <w:t xml:space="preserve">11 </w:t>
      </w:r>
      <w:r w:rsidR="005828F8">
        <w:t xml:space="preserve">million people. </w:t>
      </w:r>
    </w:p>
    <w:p w14:paraId="18214321" w14:textId="6A551341" w:rsidR="00184A48" w:rsidRPr="00716360" w:rsidRDefault="00184A48" w:rsidP="00850B31">
      <w:pPr>
        <w:pStyle w:val="ListParagraph"/>
        <w:spacing w:before="60" w:after="120" w:line="276" w:lineRule="auto"/>
        <w:ind w:left="284"/>
        <w:contextualSpacing w:val="0"/>
      </w:pPr>
      <w:r w:rsidRPr="00716360">
        <w:lastRenderedPageBreak/>
        <w:t xml:space="preserve">To do this, the Ministry has allocated an initial $2 million to provide tailored communications to whānau, </w:t>
      </w:r>
      <w:proofErr w:type="spellStart"/>
      <w:r w:rsidRPr="00716360">
        <w:t>hapū</w:t>
      </w:r>
      <w:proofErr w:type="spellEnd"/>
      <w:r w:rsidRPr="00716360">
        <w:t xml:space="preserve">, iwi, and the Māori health sector. Additionally, the Ministry is working closely with iwi communications professionals and </w:t>
      </w:r>
      <w:r w:rsidR="0076088B">
        <w:t>has engaged</w:t>
      </w:r>
      <w:r w:rsidRPr="00716360">
        <w:t xml:space="preserve"> a Māori creative agency to develop targeted communications materials that will raise awareness and increase education about the COVID-19 vaccine and the wider programme. The aim here is to increase trust and confidence in the health and disability system for whānau Māori, and address concerns around vaccine hesitancy and safety.</w:t>
      </w:r>
      <w:bookmarkEnd w:id="21"/>
      <w:r w:rsidRPr="00716360">
        <w:br w:type="page"/>
      </w:r>
    </w:p>
    <w:p w14:paraId="4F19103F" w14:textId="77777777" w:rsidR="00184A48" w:rsidRPr="00716360" w:rsidRDefault="00184A48" w:rsidP="00184A48">
      <w:pPr>
        <w:pStyle w:val="Heading1"/>
      </w:pPr>
      <w:bookmarkStart w:id="22" w:name="_Toc67385422"/>
      <w:r w:rsidRPr="00716360">
        <w:lastRenderedPageBreak/>
        <w:t>Monitoring progress</w:t>
      </w:r>
      <w:bookmarkEnd w:id="22"/>
    </w:p>
    <w:p w14:paraId="0F9110C3" w14:textId="151E7799" w:rsidR="00184A48" w:rsidRPr="00716360" w:rsidRDefault="00184A48" w:rsidP="00184A48">
      <w:pPr>
        <w:pStyle w:val="ListParagraph"/>
        <w:spacing w:before="60" w:after="120" w:line="276" w:lineRule="auto"/>
        <w:ind w:left="284"/>
        <w:contextualSpacing w:val="0"/>
      </w:pPr>
      <w:r w:rsidRPr="00716360">
        <w:t xml:space="preserve">The Updated COVID-19 Māori Health Response Plan included a </w:t>
      </w:r>
      <w:r w:rsidR="001D3F78" w:rsidRPr="00716360">
        <w:t>monitoring framework</w:t>
      </w:r>
      <w:r w:rsidRPr="00716360">
        <w:t xml:space="preserve"> to ensure we focused on the right things and did them well. This framework has guided the whole of system monitoring over the last 9 months on the impact for Māori from COVID-19. Regular reports have been provided to the Māori Monitoring Group (MMG) to inform their discussions and their advice to the Ministry. The MMG discussed updates and insights at meetings and identified </w:t>
      </w:r>
      <w:r w:rsidRPr="00716360">
        <w:rPr>
          <w:rFonts w:eastAsia="Cambria" w:cs="Segoe UI"/>
          <w:iCs/>
          <w:shd w:val="clear" w:color="auto" w:fill="FFFFFF" w:themeFill="background1"/>
          <w:lang w:val="en-AU"/>
        </w:rPr>
        <w:t>further</w:t>
      </w:r>
      <w:r w:rsidRPr="00716360">
        <w:t xml:space="preserve"> lines of enquiry. Additional areas for enquiry have included the delivery of maternity services to Māori over the higher alert levels, trends in the number of cases of rheumatic fever for Māori, information on waiting times for Māori, among others.</w:t>
      </w:r>
    </w:p>
    <w:p w14:paraId="25CDFC4E" w14:textId="77777777" w:rsidR="00850B31" w:rsidRDefault="00184A48" w:rsidP="00184A48">
      <w:pPr>
        <w:pStyle w:val="ListParagraph"/>
        <w:spacing w:before="60" w:after="120" w:line="276" w:lineRule="auto"/>
        <w:ind w:left="284"/>
        <w:contextualSpacing w:val="0"/>
        <w:sectPr w:rsidR="00850B31" w:rsidSect="00214AFA">
          <w:headerReference w:type="default" r:id="rId25"/>
          <w:footerReference w:type="default" r:id="rId26"/>
          <w:pgSz w:w="11906" w:h="16838" w:code="9"/>
          <w:pgMar w:top="1440" w:right="1440" w:bottom="1440" w:left="1440" w:header="0" w:footer="0" w:gutter="0"/>
          <w:cols w:space="708"/>
          <w:docGrid w:linePitch="360"/>
        </w:sectPr>
      </w:pPr>
      <w:r w:rsidRPr="00716360">
        <w:t xml:space="preserve">As we move into the COVID-19 Vaccine and Immunisations Programme, the monitoring framework </w:t>
      </w:r>
      <w:r w:rsidR="001D3F78" w:rsidRPr="00716360">
        <w:t xml:space="preserve">(see </w:t>
      </w:r>
      <w:r w:rsidR="001D3F78" w:rsidRPr="00716360">
        <w:rPr>
          <w:b/>
          <w:bCs/>
        </w:rPr>
        <w:t xml:space="preserve">Table </w:t>
      </w:r>
      <w:r w:rsidR="001D3F78" w:rsidRPr="00716360">
        <w:t xml:space="preserve">1) </w:t>
      </w:r>
      <w:r w:rsidRPr="00716360">
        <w:t>has been updated to reflect changes in the overall approach and the new immunisation focus area.</w:t>
      </w:r>
    </w:p>
    <w:p w14:paraId="77AED774" w14:textId="77777777" w:rsidR="00184A48" w:rsidRPr="00716360" w:rsidRDefault="00184A48" w:rsidP="00184A48">
      <w:pPr>
        <w:pStyle w:val="Heading5"/>
        <w:tabs>
          <w:tab w:val="left" w:pos="851"/>
        </w:tabs>
        <w:ind w:left="851" w:hanging="851"/>
      </w:pPr>
      <w:r w:rsidRPr="00716360">
        <w:lastRenderedPageBreak/>
        <w:t>Table 1:</w:t>
      </w:r>
      <w:r w:rsidRPr="00716360">
        <w:tab/>
        <w:t>Updated monitoring framework</w:t>
      </w:r>
    </w:p>
    <w:tbl>
      <w:tblPr>
        <w:tblStyle w:val="TableGrid"/>
        <w:tblW w:w="5000" w:type="pct"/>
        <w:tblLook w:val="04A0" w:firstRow="1" w:lastRow="0" w:firstColumn="1" w:lastColumn="0" w:noHBand="0" w:noVBand="1"/>
      </w:tblPr>
      <w:tblGrid>
        <w:gridCol w:w="1414"/>
        <w:gridCol w:w="3839"/>
        <w:gridCol w:w="3763"/>
      </w:tblGrid>
      <w:tr w:rsidR="00184A48" w:rsidRPr="00716360" w14:paraId="2DD659C2" w14:textId="77777777" w:rsidTr="00611301">
        <w:trPr>
          <w:cantSplit/>
          <w:trHeight w:val="440"/>
          <w:tblHeader/>
        </w:trPr>
        <w:tc>
          <w:tcPr>
            <w:tcW w:w="784" w:type="pct"/>
            <w:shd w:val="clear" w:color="auto" w:fill="EC633C"/>
          </w:tcPr>
          <w:p w14:paraId="098C6645" w14:textId="77777777" w:rsidR="00184A48" w:rsidRPr="00716360" w:rsidRDefault="00184A48" w:rsidP="00BF7EBA">
            <w:pPr>
              <w:spacing w:before="120" w:after="120" w:line="259" w:lineRule="auto"/>
              <w:rPr>
                <w:b/>
                <w:sz w:val="18"/>
                <w:szCs w:val="18"/>
              </w:rPr>
            </w:pPr>
            <w:r w:rsidRPr="00716360">
              <w:rPr>
                <w:b/>
                <w:sz w:val="18"/>
                <w:szCs w:val="18"/>
              </w:rPr>
              <w:t>Monitoring component</w:t>
            </w:r>
          </w:p>
        </w:tc>
        <w:tc>
          <w:tcPr>
            <w:tcW w:w="2129" w:type="pct"/>
            <w:shd w:val="clear" w:color="auto" w:fill="EC633C"/>
          </w:tcPr>
          <w:p w14:paraId="6A3C128C" w14:textId="77777777" w:rsidR="00184A48" w:rsidRPr="00716360" w:rsidRDefault="00184A48" w:rsidP="00BF7EBA">
            <w:pPr>
              <w:spacing w:before="120" w:after="120" w:line="259" w:lineRule="auto"/>
              <w:rPr>
                <w:b/>
                <w:sz w:val="18"/>
                <w:szCs w:val="18"/>
              </w:rPr>
            </w:pPr>
            <w:r w:rsidRPr="00716360">
              <w:rPr>
                <w:b/>
                <w:sz w:val="18"/>
                <w:szCs w:val="18"/>
              </w:rPr>
              <w:t xml:space="preserve">Sources and type of data </w:t>
            </w:r>
          </w:p>
        </w:tc>
        <w:tc>
          <w:tcPr>
            <w:tcW w:w="2087" w:type="pct"/>
            <w:shd w:val="clear" w:color="auto" w:fill="EC633C"/>
          </w:tcPr>
          <w:p w14:paraId="1DA06884" w14:textId="77777777" w:rsidR="00184A48" w:rsidRPr="00716360" w:rsidRDefault="00184A48" w:rsidP="00BF7EBA">
            <w:pPr>
              <w:spacing w:before="120" w:after="120" w:line="259" w:lineRule="auto"/>
              <w:rPr>
                <w:b/>
                <w:sz w:val="18"/>
                <w:szCs w:val="18"/>
              </w:rPr>
            </w:pPr>
            <w:r w:rsidRPr="00716360">
              <w:rPr>
                <w:b/>
                <w:sz w:val="18"/>
                <w:szCs w:val="18"/>
              </w:rPr>
              <w:t>Why this is important?</w:t>
            </w:r>
          </w:p>
        </w:tc>
      </w:tr>
      <w:tr w:rsidR="00184A48" w:rsidRPr="00716360" w14:paraId="60EA6EAF" w14:textId="77777777" w:rsidTr="00BF7EBA">
        <w:trPr>
          <w:cantSplit/>
        </w:trPr>
        <w:tc>
          <w:tcPr>
            <w:tcW w:w="784" w:type="pct"/>
            <w:shd w:val="clear" w:color="auto" w:fill="F0E7D7"/>
          </w:tcPr>
          <w:p w14:paraId="133E3E19" w14:textId="77777777" w:rsidR="00184A48" w:rsidRPr="00716360" w:rsidRDefault="00184A48" w:rsidP="00BF7EBA">
            <w:pPr>
              <w:spacing w:before="120" w:after="120" w:line="259" w:lineRule="auto"/>
              <w:rPr>
                <w:sz w:val="18"/>
                <w:szCs w:val="18"/>
              </w:rPr>
            </w:pPr>
            <w:r w:rsidRPr="00716360">
              <w:rPr>
                <w:sz w:val="18"/>
                <w:szCs w:val="18"/>
              </w:rPr>
              <w:t>Surveillance</w:t>
            </w:r>
          </w:p>
        </w:tc>
        <w:tc>
          <w:tcPr>
            <w:tcW w:w="2129" w:type="pct"/>
          </w:tcPr>
          <w:p w14:paraId="55E0F7A8" w14:textId="77777777" w:rsidR="00184A48" w:rsidRPr="00716360" w:rsidRDefault="00184A48" w:rsidP="00BF7EBA">
            <w:pPr>
              <w:spacing w:before="120" w:after="120" w:line="259" w:lineRule="auto"/>
              <w:rPr>
                <w:sz w:val="18"/>
                <w:szCs w:val="18"/>
              </w:rPr>
            </w:pPr>
            <w:r w:rsidRPr="00716360">
              <w:rPr>
                <w:sz w:val="18"/>
                <w:szCs w:val="18"/>
              </w:rPr>
              <w:t xml:space="preserve">Ethnicity and geography data across: </w:t>
            </w:r>
          </w:p>
          <w:p w14:paraId="3289D92D" w14:textId="77777777" w:rsidR="00184A48" w:rsidRPr="00716360" w:rsidRDefault="00184A48" w:rsidP="00BF7EBA">
            <w:pPr>
              <w:numPr>
                <w:ilvl w:val="0"/>
                <w:numId w:val="3"/>
              </w:numPr>
              <w:spacing w:before="120" w:after="120" w:line="259" w:lineRule="auto"/>
              <w:ind w:left="340" w:hanging="244"/>
              <w:rPr>
                <w:sz w:val="18"/>
                <w:szCs w:val="18"/>
              </w:rPr>
            </w:pPr>
            <w:r w:rsidRPr="00716360">
              <w:rPr>
                <w:sz w:val="18"/>
                <w:szCs w:val="18"/>
              </w:rPr>
              <w:t>confirmed and probable cases</w:t>
            </w:r>
          </w:p>
          <w:p w14:paraId="6D5D5176" w14:textId="77777777" w:rsidR="00184A48" w:rsidRPr="00716360" w:rsidRDefault="00184A48" w:rsidP="00BF7EBA">
            <w:pPr>
              <w:numPr>
                <w:ilvl w:val="0"/>
                <w:numId w:val="3"/>
              </w:numPr>
              <w:spacing w:before="120" w:after="120" w:line="259" w:lineRule="auto"/>
              <w:ind w:left="340" w:hanging="244"/>
              <w:rPr>
                <w:sz w:val="18"/>
                <w:szCs w:val="18"/>
              </w:rPr>
            </w:pPr>
            <w:r w:rsidRPr="00716360">
              <w:rPr>
                <w:sz w:val="18"/>
                <w:szCs w:val="18"/>
              </w:rPr>
              <w:t>testing – positive and negative</w:t>
            </w:r>
          </w:p>
          <w:p w14:paraId="300B0BF6" w14:textId="77777777" w:rsidR="00184A48" w:rsidRPr="00716360" w:rsidRDefault="00184A48" w:rsidP="00BF7EBA">
            <w:pPr>
              <w:numPr>
                <w:ilvl w:val="0"/>
                <w:numId w:val="3"/>
              </w:numPr>
              <w:spacing w:before="120" w:after="120" w:line="259" w:lineRule="auto"/>
              <w:ind w:left="340" w:hanging="244"/>
              <w:rPr>
                <w:sz w:val="18"/>
                <w:szCs w:val="18"/>
              </w:rPr>
            </w:pPr>
            <w:r w:rsidRPr="00716360">
              <w:rPr>
                <w:sz w:val="18"/>
                <w:szCs w:val="18"/>
              </w:rPr>
              <w:t xml:space="preserve">close contact tracing </w:t>
            </w:r>
          </w:p>
          <w:p w14:paraId="32D6AC04" w14:textId="77777777" w:rsidR="00184A48" w:rsidRPr="00716360" w:rsidRDefault="00184A48" w:rsidP="00BF7EBA">
            <w:pPr>
              <w:numPr>
                <w:ilvl w:val="0"/>
                <w:numId w:val="3"/>
              </w:numPr>
              <w:spacing w:before="120" w:after="120" w:line="259" w:lineRule="auto"/>
              <w:ind w:left="340" w:hanging="244"/>
              <w:rPr>
                <w:sz w:val="18"/>
                <w:szCs w:val="18"/>
              </w:rPr>
            </w:pPr>
            <w:r w:rsidRPr="00716360">
              <w:rPr>
                <w:sz w:val="18"/>
                <w:szCs w:val="18"/>
              </w:rPr>
              <w:t>economic and social support for people</w:t>
            </w:r>
            <w:r w:rsidRPr="00716360">
              <w:rPr>
                <w:rStyle w:val="FootnoteReference"/>
                <w:sz w:val="18"/>
                <w:szCs w:val="18"/>
              </w:rPr>
              <w:footnoteReference w:id="2"/>
            </w:r>
          </w:p>
          <w:p w14:paraId="7091F283" w14:textId="77777777" w:rsidR="00184A48" w:rsidRPr="00716360" w:rsidRDefault="00184A48" w:rsidP="00BF7EBA">
            <w:pPr>
              <w:numPr>
                <w:ilvl w:val="0"/>
                <w:numId w:val="3"/>
              </w:numPr>
              <w:spacing w:before="120" w:after="120" w:line="259" w:lineRule="auto"/>
              <w:ind w:left="340" w:hanging="244"/>
              <w:rPr>
                <w:sz w:val="18"/>
                <w:szCs w:val="18"/>
              </w:rPr>
            </w:pPr>
            <w:r w:rsidRPr="00716360">
              <w:rPr>
                <w:sz w:val="18"/>
                <w:szCs w:val="18"/>
              </w:rPr>
              <w:t>COVID-19 specific hospitalisations</w:t>
            </w:r>
          </w:p>
          <w:p w14:paraId="2A117C5C"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influenza vaccination access coverage</w:t>
            </w:r>
          </w:p>
        </w:tc>
        <w:tc>
          <w:tcPr>
            <w:tcW w:w="2087" w:type="pct"/>
          </w:tcPr>
          <w:p w14:paraId="7BDC9721"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 xml:space="preserve">To maintain close oversight of the impact of COVID-19 on Māori communities </w:t>
            </w:r>
          </w:p>
          <w:p w14:paraId="589ED8A7"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 xml:space="preserve">To inform internal strategy and planning of the COVID-19 Māori health response </w:t>
            </w:r>
          </w:p>
        </w:tc>
      </w:tr>
      <w:tr w:rsidR="00184A48" w:rsidRPr="00716360" w14:paraId="653D93F1" w14:textId="77777777" w:rsidTr="00BF7EBA">
        <w:trPr>
          <w:cantSplit/>
        </w:trPr>
        <w:tc>
          <w:tcPr>
            <w:tcW w:w="784" w:type="pct"/>
            <w:shd w:val="clear" w:color="auto" w:fill="F0E7D7"/>
          </w:tcPr>
          <w:p w14:paraId="1CA51E9F" w14:textId="77777777" w:rsidR="00184A48" w:rsidRPr="00716360" w:rsidRDefault="00184A48" w:rsidP="00BF7EBA">
            <w:pPr>
              <w:spacing w:before="120" w:after="120" w:line="259" w:lineRule="auto"/>
              <w:rPr>
                <w:sz w:val="18"/>
                <w:szCs w:val="18"/>
              </w:rPr>
            </w:pPr>
            <w:r w:rsidRPr="00716360">
              <w:rPr>
                <w:sz w:val="18"/>
                <w:szCs w:val="18"/>
              </w:rPr>
              <w:t>Monitoring of system performance</w:t>
            </w:r>
          </w:p>
        </w:tc>
        <w:tc>
          <w:tcPr>
            <w:tcW w:w="2129" w:type="pct"/>
          </w:tcPr>
          <w:p w14:paraId="05947496" w14:textId="77777777" w:rsidR="00184A48" w:rsidRPr="00716360" w:rsidRDefault="00184A48" w:rsidP="00BF7EBA">
            <w:pPr>
              <w:spacing w:before="120" w:after="120" w:line="259" w:lineRule="auto"/>
              <w:rPr>
                <w:sz w:val="18"/>
                <w:szCs w:val="18"/>
              </w:rPr>
            </w:pPr>
            <w:r w:rsidRPr="00716360">
              <w:rPr>
                <w:sz w:val="18"/>
                <w:szCs w:val="18"/>
              </w:rPr>
              <w:t xml:space="preserve">Ethnicity and geography data across: </w:t>
            </w:r>
          </w:p>
          <w:p w14:paraId="2B494229"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utilisation of inpatient and outpatient services, including:</w:t>
            </w:r>
          </w:p>
          <w:p w14:paraId="347BE40E" w14:textId="77777777" w:rsidR="00184A48" w:rsidRPr="00716360" w:rsidRDefault="00184A48" w:rsidP="00BF7EBA">
            <w:pPr>
              <w:numPr>
                <w:ilvl w:val="1"/>
                <w:numId w:val="3"/>
              </w:numPr>
              <w:spacing w:before="120" w:after="120" w:line="259" w:lineRule="auto"/>
              <w:ind w:left="671" w:hanging="283"/>
              <w:rPr>
                <w:sz w:val="18"/>
                <w:szCs w:val="18"/>
              </w:rPr>
            </w:pPr>
            <w:r w:rsidRPr="00716360">
              <w:rPr>
                <w:sz w:val="18"/>
                <w:szCs w:val="18"/>
              </w:rPr>
              <w:t>ambulatory sensitive hospitalisations</w:t>
            </w:r>
          </w:p>
          <w:p w14:paraId="0FE8B9AA" w14:textId="77777777" w:rsidR="00184A48" w:rsidRPr="00716360" w:rsidRDefault="00184A48" w:rsidP="00BF7EBA">
            <w:pPr>
              <w:numPr>
                <w:ilvl w:val="1"/>
                <w:numId w:val="3"/>
              </w:numPr>
              <w:spacing w:before="120" w:after="120" w:line="259" w:lineRule="auto"/>
              <w:ind w:left="671" w:hanging="283"/>
              <w:rPr>
                <w:sz w:val="18"/>
                <w:szCs w:val="18"/>
              </w:rPr>
            </w:pPr>
            <w:r w:rsidRPr="00716360">
              <w:rPr>
                <w:sz w:val="18"/>
                <w:szCs w:val="18"/>
              </w:rPr>
              <w:t>attendances at emergency departments</w:t>
            </w:r>
          </w:p>
          <w:p w14:paraId="6E277AA8" w14:textId="77777777" w:rsidR="00184A48" w:rsidRPr="00716360" w:rsidRDefault="00184A48" w:rsidP="00BF7EBA">
            <w:pPr>
              <w:numPr>
                <w:ilvl w:val="1"/>
                <w:numId w:val="3"/>
              </w:numPr>
              <w:spacing w:before="120" w:after="120" w:line="259" w:lineRule="auto"/>
              <w:ind w:left="671" w:hanging="283"/>
              <w:rPr>
                <w:sz w:val="18"/>
                <w:szCs w:val="18"/>
              </w:rPr>
            </w:pPr>
            <w:r w:rsidRPr="00716360">
              <w:rPr>
                <w:sz w:val="18"/>
                <w:szCs w:val="18"/>
              </w:rPr>
              <w:t>utilisation of outpatient services</w:t>
            </w:r>
          </w:p>
          <w:p w14:paraId="7B997F4E" w14:textId="77777777" w:rsidR="00184A48" w:rsidRPr="00716360" w:rsidRDefault="00184A48" w:rsidP="00BF7EBA">
            <w:pPr>
              <w:numPr>
                <w:ilvl w:val="1"/>
                <w:numId w:val="3"/>
              </w:numPr>
              <w:spacing w:before="120" w:after="120" w:line="259" w:lineRule="auto"/>
              <w:ind w:left="671" w:hanging="283"/>
              <w:rPr>
                <w:sz w:val="18"/>
                <w:szCs w:val="18"/>
              </w:rPr>
            </w:pPr>
            <w:r w:rsidRPr="00716360">
              <w:rPr>
                <w:sz w:val="18"/>
                <w:szCs w:val="18"/>
              </w:rPr>
              <w:t>missed appointment rates for outpatient services</w:t>
            </w:r>
            <w:r w:rsidRPr="00716360">
              <w:rPr>
                <w:rStyle w:val="FootnoteReference"/>
                <w:sz w:val="18"/>
                <w:szCs w:val="18"/>
              </w:rPr>
              <w:footnoteReference w:id="3"/>
            </w:r>
          </w:p>
          <w:p w14:paraId="4AB5D257"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utilisation of community care services (</w:t>
            </w:r>
            <w:proofErr w:type="spellStart"/>
            <w:r w:rsidRPr="00716360">
              <w:rPr>
                <w:sz w:val="18"/>
                <w:szCs w:val="18"/>
              </w:rPr>
              <w:t>eg</w:t>
            </w:r>
            <w:proofErr w:type="spellEnd"/>
            <w:r w:rsidRPr="00716360">
              <w:rPr>
                <w:sz w:val="18"/>
                <w:szCs w:val="18"/>
              </w:rPr>
              <w:t>, pharmaceuticals, childhood immunisations)</w:t>
            </w:r>
          </w:p>
          <w:p w14:paraId="3C5328F3"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psychosocial insights</w:t>
            </w:r>
            <w:r w:rsidRPr="00716360">
              <w:rPr>
                <w:rStyle w:val="FootnoteReference"/>
                <w:sz w:val="18"/>
                <w:szCs w:val="18"/>
              </w:rPr>
              <w:footnoteReference w:id="4"/>
            </w:r>
          </w:p>
        </w:tc>
        <w:tc>
          <w:tcPr>
            <w:tcW w:w="2087" w:type="pct"/>
          </w:tcPr>
          <w:p w14:paraId="5D56C7D8"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To maintain oversight of potential impact of COVID-19 on Māori access to services</w:t>
            </w:r>
          </w:p>
        </w:tc>
      </w:tr>
      <w:tr w:rsidR="00184A48" w:rsidRPr="00716360" w14:paraId="718EAD3F" w14:textId="77777777" w:rsidTr="00BF7EBA">
        <w:trPr>
          <w:cantSplit/>
        </w:trPr>
        <w:tc>
          <w:tcPr>
            <w:tcW w:w="784" w:type="pct"/>
            <w:shd w:val="clear" w:color="auto" w:fill="F0E7D7"/>
          </w:tcPr>
          <w:p w14:paraId="066162AA" w14:textId="77777777" w:rsidR="00184A48" w:rsidRPr="00716360" w:rsidRDefault="00184A48" w:rsidP="00BF7EBA">
            <w:pPr>
              <w:spacing w:before="120" w:after="120" w:line="259" w:lineRule="auto"/>
              <w:rPr>
                <w:sz w:val="18"/>
                <w:szCs w:val="18"/>
              </w:rPr>
            </w:pPr>
            <w:r w:rsidRPr="00716360">
              <w:rPr>
                <w:sz w:val="18"/>
                <w:szCs w:val="18"/>
              </w:rPr>
              <w:t xml:space="preserve">Māori-specific COVID-19 actions </w:t>
            </w:r>
          </w:p>
        </w:tc>
        <w:tc>
          <w:tcPr>
            <w:tcW w:w="2129" w:type="pct"/>
          </w:tcPr>
          <w:p w14:paraId="6112CCA0"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 xml:space="preserve">Insights from contracts, including outcomes and outputs </w:t>
            </w:r>
          </w:p>
          <w:p w14:paraId="29411129"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Qualitative insights from Māori communities and Māori health and disability service providers</w:t>
            </w:r>
          </w:p>
        </w:tc>
        <w:tc>
          <w:tcPr>
            <w:tcW w:w="2087" w:type="pct"/>
          </w:tcPr>
          <w:p w14:paraId="403C0F1C"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 xml:space="preserve">To track the progress and impact of investment </w:t>
            </w:r>
          </w:p>
          <w:p w14:paraId="5B1C8E5F" w14:textId="77777777" w:rsidR="00184A48" w:rsidRPr="00716360" w:rsidRDefault="00184A48" w:rsidP="00BF7EBA">
            <w:pPr>
              <w:numPr>
                <w:ilvl w:val="0"/>
                <w:numId w:val="3"/>
              </w:numPr>
              <w:spacing w:before="120" w:after="120" w:line="259" w:lineRule="auto"/>
              <w:ind w:left="341" w:hanging="244"/>
              <w:rPr>
                <w:sz w:val="18"/>
                <w:szCs w:val="18"/>
              </w:rPr>
            </w:pPr>
            <w:r w:rsidRPr="00716360">
              <w:rPr>
                <w:sz w:val="18"/>
                <w:szCs w:val="18"/>
              </w:rPr>
              <w:t xml:space="preserve">To enable accountability to the Ministry for delivering on COVID-19 response actions </w:t>
            </w:r>
          </w:p>
        </w:tc>
      </w:tr>
      <w:tr w:rsidR="00184A48" w:rsidRPr="00716360" w14:paraId="43CA8D7F" w14:textId="77777777" w:rsidTr="00BF7EBA">
        <w:trPr>
          <w:cantSplit/>
        </w:trPr>
        <w:tc>
          <w:tcPr>
            <w:tcW w:w="784" w:type="pct"/>
            <w:shd w:val="clear" w:color="auto" w:fill="F0E7D7"/>
          </w:tcPr>
          <w:p w14:paraId="099948D2" w14:textId="77777777" w:rsidR="00184A48" w:rsidRPr="00716360" w:rsidRDefault="00184A48" w:rsidP="00BF7EBA">
            <w:pPr>
              <w:spacing w:before="120" w:after="120"/>
              <w:rPr>
                <w:sz w:val="18"/>
                <w:szCs w:val="18"/>
              </w:rPr>
            </w:pPr>
            <w:r w:rsidRPr="00716360">
              <w:rPr>
                <w:sz w:val="18"/>
                <w:szCs w:val="18"/>
              </w:rPr>
              <w:t>COVID-19 immunisation</w:t>
            </w:r>
          </w:p>
        </w:tc>
        <w:tc>
          <w:tcPr>
            <w:tcW w:w="2129" w:type="pct"/>
          </w:tcPr>
          <w:p w14:paraId="588B4860" w14:textId="77777777" w:rsidR="00184A48" w:rsidRPr="00716360" w:rsidRDefault="00184A48" w:rsidP="00BF7EBA">
            <w:pPr>
              <w:spacing w:before="120" w:after="120" w:line="259" w:lineRule="auto"/>
              <w:rPr>
                <w:sz w:val="18"/>
                <w:szCs w:val="18"/>
              </w:rPr>
            </w:pPr>
            <w:r w:rsidRPr="00716360">
              <w:rPr>
                <w:sz w:val="18"/>
                <w:szCs w:val="18"/>
              </w:rPr>
              <w:t xml:space="preserve">Ethnicity, age and geography data across: </w:t>
            </w:r>
          </w:p>
          <w:p w14:paraId="72646B88" w14:textId="77777777" w:rsidR="00184A48" w:rsidRPr="00716360" w:rsidRDefault="00184A48" w:rsidP="00BF7EBA">
            <w:pPr>
              <w:numPr>
                <w:ilvl w:val="0"/>
                <w:numId w:val="3"/>
              </w:numPr>
              <w:spacing w:before="120" w:after="120"/>
              <w:ind w:left="341" w:hanging="244"/>
              <w:rPr>
                <w:sz w:val="18"/>
                <w:szCs w:val="18"/>
              </w:rPr>
            </w:pPr>
            <w:r w:rsidRPr="00716360">
              <w:rPr>
                <w:sz w:val="18"/>
                <w:szCs w:val="18"/>
              </w:rPr>
              <w:t>Number of COVID-19 immunisations delivered</w:t>
            </w:r>
          </w:p>
          <w:p w14:paraId="117E2663" w14:textId="77777777" w:rsidR="00184A48" w:rsidRPr="00716360" w:rsidRDefault="00184A48" w:rsidP="00BF7EBA">
            <w:pPr>
              <w:numPr>
                <w:ilvl w:val="0"/>
                <w:numId w:val="3"/>
              </w:numPr>
              <w:spacing w:before="120" w:after="120"/>
              <w:ind w:left="341" w:hanging="244"/>
              <w:rPr>
                <w:sz w:val="18"/>
                <w:szCs w:val="18"/>
              </w:rPr>
            </w:pPr>
            <w:r w:rsidRPr="00716360">
              <w:rPr>
                <w:sz w:val="18"/>
                <w:szCs w:val="18"/>
              </w:rPr>
              <w:t>Proportion of the population who has completed the first and second doses of the vaccine</w:t>
            </w:r>
          </w:p>
        </w:tc>
        <w:tc>
          <w:tcPr>
            <w:tcW w:w="2087" w:type="pct"/>
          </w:tcPr>
          <w:p w14:paraId="2F935FAF" w14:textId="77777777" w:rsidR="00184A48" w:rsidRPr="00716360" w:rsidRDefault="00184A48" w:rsidP="00BF7EBA">
            <w:pPr>
              <w:numPr>
                <w:ilvl w:val="0"/>
                <w:numId w:val="3"/>
              </w:numPr>
              <w:spacing w:before="120" w:after="120"/>
              <w:ind w:left="341" w:hanging="244"/>
              <w:rPr>
                <w:sz w:val="18"/>
                <w:szCs w:val="18"/>
              </w:rPr>
            </w:pPr>
            <w:r w:rsidRPr="00716360">
              <w:rPr>
                <w:sz w:val="18"/>
                <w:szCs w:val="18"/>
              </w:rPr>
              <w:t>To track the progress of the immunisation roll-out for the Māori population</w:t>
            </w:r>
          </w:p>
        </w:tc>
      </w:tr>
    </w:tbl>
    <w:p w14:paraId="4CA32192" w14:textId="77777777" w:rsidR="00184A48" w:rsidRPr="00716360" w:rsidRDefault="00184A48" w:rsidP="00184A48">
      <w:pPr>
        <w:pStyle w:val="ListParagraph"/>
        <w:spacing w:before="60" w:after="120" w:line="276" w:lineRule="auto"/>
        <w:ind w:left="284"/>
        <w:contextualSpacing w:val="0"/>
      </w:pPr>
      <w:r w:rsidRPr="00716360">
        <w:lastRenderedPageBreak/>
        <w:t>The roll-out of the Programme has created an opportunity to update and enhance the information collected and reported by the Ministry. Firstly, the Ministry is committed to collecting or updating ethnicity information during the immunisation visits, in accordance with the Ethnicity Data Protocols.</w:t>
      </w:r>
      <w:r w:rsidRPr="00716360">
        <w:rPr>
          <w:rStyle w:val="FootnoteReference"/>
        </w:rPr>
        <w:footnoteReference w:id="5"/>
      </w:r>
      <w:r w:rsidRPr="00716360">
        <w:t xml:space="preserve"> This will enable accurate reporting on the immunisation programme roll out for Māori, as well has having flow on benefits for other reporting by ethnicity.</w:t>
      </w:r>
    </w:p>
    <w:p w14:paraId="294BAF1D" w14:textId="77777777" w:rsidR="00184A48" w:rsidRPr="00716360" w:rsidRDefault="00184A48" w:rsidP="00184A48">
      <w:pPr>
        <w:pStyle w:val="ListParagraph"/>
        <w:spacing w:before="60" w:after="120" w:line="276" w:lineRule="auto"/>
        <w:ind w:left="284"/>
      </w:pPr>
      <w:r w:rsidRPr="00716360">
        <w:t xml:space="preserve">In addition, the new data system for COVID-19 immunisation presents an opportunity to collect iwi affiliation. Implementing iwi affiliation data collection is intended to further improve Māori health and well-being through more informed decision making. Any collection, access to, sharing and use of iwi affiliation data will respect and maintain the trust and confidence of those who provide the data. The Ministry is will work closely with iwi representatives, under the framework the Mana </w:t>
      </w:r>
      <w:proofErr w:type="spellStart"/>
      <w:r w:rsidRPr="00716360">
        <w:t>Ōrite</w:t>
      </w:r>
      <w:proofErr w:type="spellEnd"/>
      <w:r w:rsidRPr="00716360">
        <w:t xml:space="preserve"> Relationship Agreement,</w:t>
      </w:r>
      <w:r w:rsidRPr="00716360">
        <w:rPr>
          <w:rStyle w:val="FootnoteReference"/>
        </w:rPr>
        <w:footnoteReference w:id="6"/>
      </w:r>
      <w:r w:rsidRPr="00716360">
        <w:t xml:space="preserve"> to achieve these aims.</w:t>
      </w:r>
    </w:p>
    <w:p w14:paraId="5789B38A" w14:textId="77777777" w:rsidR="00184A48" w:rsidRPr="00716360" w:rsidRDefault="00184A48" w:rsidP="00184A48">
      <w:pPr>
        <w:pStyle w:val="Heading3"/>
      </w:pPr>
      <w:bookmarkStart w:id="23" w:name="_Toc66286204"/>
      <w:bookmarkStart w:id="24" w:name="_Toc66693260"/>
      <w:bookmarkStart w:id="25" w:name="_Toc67385423"/>
      <w:r w:rsidRPr="00716360">
        <w:t>Next steps</w:t>
      </w:r>
      <w:bookmarkEnd w:id="23"/>
      <w:bookmarkEnd w:id="24"/>
      <w:bookmarkEnd w:id="25"/>
      <w:r w:rsidRPr="00716360">
        <w:t xml:space="preserve"> </w:t>
      </w:r>
    </w:p>
    <w:p w14:paraId="58B9A453" w14:textId="77777777" w:rsidR="00184A48" w:rsidRPr="00716360" w:rsidRDefault="00184A48" w:rsidP="00184A48">
      <w:pPr>
        <w:ind w:left="284"/>
      </w:pPr>
      <w:r w:rsidRPr="00716360">
        <w:t xml:space="preserve">The Ministry will continue to report regularly to the COVID-19 Māori Monitoring Group on the above monitoring framework. To build on this, the Ministry will also provide an update on the actions included in the Updated COVID-19 Māori Health Response Plan. </w:t>
      </w:r>
    </w:p>
    <w:p w14:paraId="64E1F345" w14:textId="77777777" w:rsidR="00184A48" w:rsidRPr="00716360" w:rsidRDefault="00184A48" w:rsidP="00184A48">
      <w:pPr>
        <w:ind w:left="284"/>
      </w:pPr>
      <w:r w:rsidRPr="00716360">
        <w:t xml:space="preserve">The monitoring framework for Whakamaua: Māori Health Action Plan 2020-2025 will report on the progress of that plan, which covers Māori health development more broadly. </w:t>
      </w:r>
    </w:p>
    <w:p w14:paraId="4B3E8637" w14:textId="77777777" w:rsidR="00184A48" w:rsidRPr="00716360" w:rsidRDefault="00184A48" w:rsidP="00184A48">
      <w:pPr>
        <w:ind w:left="284"/>
      </w:pPr>
    </w:p>
    <w:p w14:paraId="2A6BE27A" w14:textId="77777777" w:rsidR="004C1A0A" w:rsidRDefault="004C1A0A">
      <w:pPr>
        <w:rPr>
          <w:rFonts w:eastAsiaTheme="majorEastAsia" w:cstheme="majorBidi"/>
          <w:b/>
          <w:color w:val="EC633C"/>
          <w:sz w:val="56"/>
          <w:szCs w:val="32"/>
        </w:rPr>
        <w:sectPr w:rsidR="004C1A0A" w:rsidSect="00214AFA">
          <w:pgSz w:w="11906" w:h="16838" w:code="9"/>
          <w:pgMar w:top="1440" w:right="1440" w:bottom="1440" w:left="1440" w:header="0" w:footer="0" w:gutter="0"/>
          <w:cols w:space="708"/>
          <w:docGrid w:linePitch="360"/>
        </w:sectPr>
      </w:pPr>
    </w:p>
    <w:p w14:paraId="3EC639AD" w14:textId="2B2C1FB6" w:rsidR="00D2687E" w:rsidRPr="0078615B" w:rsidRDefault="004C1A0A" w:rsidP="004C1A0A">
      <w:pPr>
        <w:pStyle w:val="Heading1"/>
      </w:pPr>
      <w:bookmarkStart w:id="26" w:name="_Toc67385424"/>
      <w:r w:rsidRPr="0078615B">
        <w:rPr>
          <w:noProof/>
          <w:sz w:val="44"/>
          <w:szCs w:val="22"/>
        </w:rPr>
        <w:lastRenderedPageBreak/>
        <w:drawing>
          <wp:anchor distT="0" distB="0" distL="114300" distR="114300" simplePos="0" relativeHeight="251659265" behindDoc="0" locked="0" layoutInCell="1" allowOverlap="1" wp14:anchorId="25556469" wp14:editId="3578A16A">
            <wp:simplePos x="0" y="0"/>
            <wp:positionH relativeFrom="column">
              <wp:posOffset>38100</wp:posOffset>
            </wp:positionH>
            <wp:positionV relativeFrom="paragraph">
              <wp:posOffset>600075</wp:posOffset>
            </wp:positionV>
            <wp:extent cx="8524875" cy="5115560"/>
            <wp:effectExtent l="0" t="0" r="9525" b="8890"/>
            <wp:wrapSquare wrapText="bothSides"/>
            <wp:docPr id="2" name="Picture 2" descr="The COVID-19 Vaccine Programme Māori Implementation Strategy&#10;The COVID-19 vaccine programme is equitable for Māori. Whanau, hapu and iwi can make confident and informed decisions. Safety is the first priority for the vaccine. A whanau-centred approach makes it easy for whanau, hapu and iwi to get vaccinated. All Māori, including those who can't be vaccinated, are protected from COVID-19. Partnership between government agencies, DBs, Māori providers, Māori experts and iwi to support the roll out of vaccinations to approximately 589,644 Māori aged 16 years and over. Active protection for border and MIQ staff, health workforce, kuia, koroua and those with long term health conditions or people with a disability and the general Māori population. Options in a range of urban and rural locations including hospitals, GP or Hauora, mahi, pharmacies, community clinics, marae and mobile units.&#10;&#10;Equity: Equitable and dedicated funding to Māori Health Providers to prepare for COVID-19 roll out programme - $11m funding. Infrastructure requirements - digital and event logistics; workforce capacity - additional workforce requirements within provider settings (additional to vaccinators). Community based vaccine service support - $24.5m funding. Health workforce - $1.5m funding; Iwi communications - $2m funding, 40,000 COVID-19 vaccine doses to Māori and Pasifika providers. Additional funding requirements for delivery of COVID-19 vaccination to be determined.&#10;&#10;Workforce: Vaccinator workforce training to include Māori vaccinators and Māori cultural capability and awareness. COVID-19 surge workforce - individuals who are willing to be vaccinators, including retired health professionals. Use of other regulated workforce who may be able to vaccinate with little or no change to their current mahi. Upskill kaiawhina to provide support to vaccinators. Community based vaccine service support. Vaccine navigators to support vaccinators to identify and work with intergenerational whanau, remote locations and hard to reach areas. Vaccine coordinators to support roll out of vaccine programme across communities. Vaccine support network to enable local vaccinators to work cohesively and collectively together. Vaccine champions to promote importance of vaccine. Site logistics support. Administrators - greetings, support for signing in and answering questions. Trained medics, security and crowd control, traffic management, onsite translators, cleaning staff. &#10;&#10;Tino Rangatiratanga: Dedicated CIR for COVID-19 vaccination roll out: CIR that captures information on who has been vaccinated, including their location and ethnicity. Ethnicity data collection to ensure accurate data about vaccinations among Māori whanau, hapu and iwi is captured and health providers and iwi can identify where to focus their attention. Monitoring of vaccine roll out in Māori communities. Monitor the delivery of the COVID-19 vaccine programme so that DHBs are able to support health providers to increase local COVID-19 vaccine programme if required. &#10;&#10;Options: temporary sites: Mahi, marae, community pop-up clinics, mobile units, residential care settings. Border and MIQ staff and their whanau, frontline community workers, kuia and koroua, people with long term health condittions, people with a disability, whanau living in rural locations. Community sites. Health care facilities, pharmacies, GP and Hauora clinics. Kuia and koroua, those with long term health conditions, people with a disability, all whanau. Fixed sites: Hospitals, frontline health care workers. Fixed community vaccination centres, community vaccination centres. Kuia and koroua, those with long-term health conditions, people with a disability, all whanau. Supported by policy, clinical, digital, patient experience, equity and communications and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āori COVID-19 Vaccine and Immunsiation Approach.PNG"/>
                    <pic:cNvPicPr/>
                  </pic:nvPicPr>
                  <pic:blipFill>
                    <a:blip r:embed="rId27">
                      <a:extLst>
                        <a:ext uri="{28A0092B-C50C-407E-A947-70E740481C1C}">
                          <a14:useLocalDpi xmlns:a14="http://schemas.microsoft.com/office/drawing/2010/main" val="0"/>
                        </a:ext>
                      </a:extLst>
                    </a:blip>
                    <a:stretch>
                      <a:fillRect/>
                    </a:stretch>
                  </pic:blipFill>
                  <pic:spPr>
                    <a:xfrm>
                      <a:off x="0" y="0"/>
                      <a:ext cx="8524875" cy="5115560"/>
                    </a:xfrm>
                    <a:prstGeom prst="rect">
                      <a:avLst/>
                    </a:prstGeom>
                  </pic:spPr>
                </pic:pic>
              </a:graphicData>
            </a:graphic>
            <wp14:sizeRelH relativeFrom="margin">
              <wp14:pctWidth>0</wp14:pctWidth>
            </wp14:sizeRelH>
            <wp14:sizeRelV relativeFrom="margin">
              <wp14:pctHeight>0</wp14:pctHeight>
            </wp14:sizeRelV>
          </wp:anchor>
        </w:drawing>
      </w:r>
      <w:r w:rsidR="0078615B" w:rsidRPr="0078615B">
        <w:rPr>
          <w:sz w:val="44"/>
          <w:szCs w:val="22"/>
        </w:rPr>
        <w:t>Appendix One</w:t>
      </w:r>
      <w:bookmarkEnd w:id="26"/>
    </w:p>
    <w:p w14:paraId="29FB3D74" w14:textId="56C94356" w:rsidR="004C1A0A" w:rsidRDefault="004C1A0A" w:rsidP="00D2687E">
      <w:pPr>
        <w:pStyle w:val="Heading1"/>
        <w:sectPr w:rsidR="004C1A0A" w:rsidSect="004C1A0A">
          <w:pgSz w:w="16838" w:h="11906" w:orient="landscape" w:code="9"/>
          <w:pgMar w:top="1440" w:right="1440" w:bottom="1440" w:left="1440" w:header="0" w:footer="0" w:gutter="0"/>
          <w:cols w:space="708"/>
          <w:docGrid w:linePitch="360"/>
        </w:sectPr>
      </w:pPr>
    </w:p>
    <w:p w14:paraId="6310D855" w14:textId="143C5229" w:rsidR="00D2687E" w:rsidRPr="0078615B" w:rsidRDefault="00D2687E" w:rsidP="00D2687E">
      <w:pPr>
        <w:pStyle w:val="Heading1"/>
        <w:rPr>
          <w:sz w:val="44"/>
          <w:szCs w:val="22"/>
        </w:rPr>
      </w:pPr>
      <w:bookmarkStart w:id="27" w:name="_Toc67385425"/>
      <w:r w:rsidRPr="0078615B">
        <w:rPr>
          <w:sz w:val="44"/>
          <w:szCs w:val="22"/>
        </w:rPr>
        <w:lastRenderedPageBreak/>
        <w:t>Appendix Two</w:t>
      </w:r>
      <w:bookmarkEnd w:id="27"/>
    </w:p>
    <w:p w14:paraId="69C29FBF" w14:textId="7568565E" w:rsidR="00184A48" w:rsidRPr="00716360" w:rsidRDefault="00184A48" w:rsidP="00184A48">
      <w:pPr>
        <w:rPr>
          <w:i/>
          <w:iCs/>
          <w:sz w:val="22"/>
          <w:szCs w:val="24"/>
        </w:rPr>
      </w:pPr>
      <w:r w:rsidRPr="00716360">
        <w:rPr>
          <w:i/>
          <w:iCs/>
          <w:sz w:val="22"/>
          <w:szCs w:val="24"/>
        </w:rPr>
        <w:t xml:space="preserve">The strength of </w:t>
      </w:r>
      <w:proofErr w:type="spellStart"/>
      <w:r w:rsidR="007413A8" w:rsidRPr="00716360">
        <w:rPr>
          <w:i/>
          <w:iCs/>
          <w:sz w:val="22"/>
          <w:szCs w:val="24"/>
        </w:rPr>
        <w:t>hapori</w:t>
      </w:r>
      <w:proofErr w:type="spellEnd"/>
      <w:r w:rsidRPr="00716360">
        <w:rPr>
          <w:i/>
          <w:iCs/>
          <w:sz w:val="22"/>
          <w:szCs w:val="24"/>
        </w:rPr>
        <w:t xml:space="preserve"> Māori</w:t>
      </w:r>
    </w:p>
    <w:p w14:paraId="6A7760B7"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The COVID-19 response has, for the most part, been successful in protecting Māori whānau, </w:t>
      </w:r>
      <w:proofErr w:type="spellStart"/>
      <w:r w:rsidRPr="00716360">
        <w:rPr>
          <w:rFonts w:eastAsia="Cambria" w:cs="Segoe UI"/>
          <w:iCs/>
          <w:shd w:val="clear" w:color="auto" w:fill="FFFFFF" w:themeFill="background1"/>
          <w:lang w:val="en-AU"/>
        </w:rPr>
        <w:t>hapū</w:t>
      </w:r>
      <w:proofErr w:type="spellEnd"/>
      <w:r w:rsidRPr="00716360">
        <w:rPr>
          <w:rFonts w:eastAsia="Cambria" w:cs="Segoe UI"/>
          <w:iCs/>
          <w:shd w:val="clear" w:color="auto" w:fill="FFFFFF" w:themeFill="background1"/>
          <w:lang w:val="en-AU"/>
        </w:rPr>
        <w:t>, and iwi (see figure 1). At an overall level, the rate of infection for Māori has remained at around half the rate observed for non-Māori. There are currently no active community cases of COVID-19 amongst Māori.</w:t>
      </w:r>
      <w:r w:rsidRPr="00716360">
        <w:rPr>
          <w:rStyle w:val="FootnoteReference"/>
          <w:rFonts w:eastAsia="Cambria" w:cs="Segoe UI"/>
          <w:iCs/>
          <w:shd w:val="clear" w:color="auto" w:fill="FFFFFF" w:themeFill="background1"/>
          <w:lang w:val="en-AU"/>
        </w:rPr>
        <w:footnoteReference w:id="7"/>
      </w:r>
    </w:p>
    <w:p w14:paraId="00C62FC4"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lang w:val="en-AU"/>
        </w:rPr>
      </w:pPr>
      <w:r w:rsidRPr="00716360">
        <w:rPr>
          <w:rFonts w:eastAsia="Cambria" w:cs="Segoe UI"/>
          <w:iCs/>
          <w:shd w:val="clear" w:color="auto" w:fill="FFFFFF" w:themeFill="background1"/>
          <w:lang w:val="en-AU"/>
        </w:rPr>
        <w:t xml:space="preserve">A research report commissioned by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Pūtahitanga</w:t>
      </w:r>
      <w:proofErr w:type="spellEnd"/>
      <w:r w:rsidRPr="00716360">
        <w:rPr>
          <w:rFonts w:eastAsia="Cambria" w:cs="Segoe UI"/>
          <w:iCs/>
          <w:shd w:val="clear" w:color="auto" w:fill="FFFFFF" w:themeFill="background1"/>
          <w:lang w:val="en-AU"/>
        </w:rPr>
        <w:t xml:space="preserve"> o </w:t>
      </w:r>
      <w:proofErr w:type="spellStart"/>
      <w:r w:rsidRPr="00716360">
        <w:rPr>
          <w:rFonts w:eastAsia="Cambria" w:cs="Segoe UI"/>
          <w:iCs/>
          <w:shd w:val="clear" w:color="auto" w:fill="FFFFFF" w:themeFill="background1"/>
          <w:lang w:val="en-AU"/>
        </w:rPr>
        <w:t>te</w:t>
      </w:r>
      <w:proofErr w:type="spellEnd"/>
      <w:r w:rsidRPr="00716360">
        <w:rPr>
          <w:rFonts w:eastAsia="Cambria" w:cs="Segoe UI"/>
          <w:iCs/>
          <w:shd w:val="clear" w:color="auto" w:fill="FFFFFF" w:themeFill="background1"/>
          <w:lang w:val="en-AU"/>
        </w:rPr>
        <w:t xml:space="preserve"> </w:t>
      </w:r>
      <w:proofErr w:type="spellStart"/>
      <w:r w:rsidRPr="00716360">
        <w:rPr>
          <w:rFonts w:eastAsia="Cambria" w:cs="Segoe UI"/>
          <w:iCs/>
          <w:shd w:val="clear" w:color="auto" w:fill="FFFFFF" w:themeFill="background1"/>
          <w:lang w:val="en-AU"/>
        </w:rPr>
        <w:t>Waipounamu</w:t>
      </w:r>
      <w:proofErr w:type="spellEnd"/>
      <w:r w:rsidRPr="00716360">
        <w:rPr>
          <w:rFonts w:eastAsia="Cambria" w:cs="Segoe UI"/>
          <w:iCs/>
          <w:shd w:val="clear" w:color="auto" w:fill="FFFFFF" w:themeFill="background1"/>
          <w:lang w:val="en-AU"/>
        </w:rPr>
        <w:t xml:space="preserve"> indicated that this success was</w:t>
      </w:r>
      <w:proofErr w:type="gramStart"/>
      <w:r w:rsidRPr="00716360">
        <w:rPr>
          <w:rFonts w:eastAsia="Cambria" w:cs="Segoe UI"/>
          <w:iCs/>
          <w:shd w:val="clear" w:color="auto" w:fill="FFFFFF" w:themeFill="background1"/>
          <w:lang w:val="en-AU"/>
        </w:rPr>
        <w:t>, in particular, due</w:t>
      </w:r>
      <w:proofErr w:type="gramEnd"/>
      <w:r w:rsidRPr="00716360">
        <w:rPr>
          <w:rFonts w:eastAsia="Cambria" w:cs="Segoe UI"/>
          <w:iCs/>
          <w:shd w:val="clear" w:color="auto" w:fill="FFFFFF" w:themeFill="background1"/>
          <w:lang w:val="en-AU"/>
        </w:rPr>
        <w:t xml:space="preserve"> to the leadership displayed by Māori communities and organisations that mobilised immediately during the first outbreak of COVID-19. Māori</w:t>
      </w:r>
      <w:r w:rsidRPr="00716360">
        <w:rPr>
          <w:rFonts w:eastAsia="Cambria" w:cs="Segoe UI"/>
          <w:iCs/>
          <w:shd w:val="clear" w:color="auto" w:fill="FFFFFF" w:themeFill="background1"/>
        </w:rPr>
        <w:t xml:space="preserve"> health </w:t>
      </w:r>
      <w:r w:rsidRPr="00716360">
        <w:rPr>
          <w:rFonts w:eastAsia="Cambria" w:cs="Segoe UI"/>
          <w:iCs/>
          <w:shd w:val="clear" w:color="auto" w:fill="FFFFFF" w:themeFill="background1"/>
          <w:lang w:val="en-AU"/>
        </w:rPr>
        <w:t xml:space="preserve">providers and iwi organisations capitalised on their strong network connections provide holistic care where it was needed, when it was needed. </w:t>
      </w:r>
    </w:p>
    <w:p w14:paraId="4E23192A" w14:textId="77777777" w:rsidR="00184A48" w:rsidRPr="00716360" w:rsidRDefault="00184A48" w:rsidP="00184A48">
      <w:pPr>
        <w:pStyle w:val="ListParagraph"/>
        <w:spacing w:before="60" w:after="120" w:line="276" w:lineRule="auto"/>
        <w:ind w:left="284"/>
        <w:contextualSpacing w:val="0"/>
        <w:rPr>
          <w:rFonts w:eastAsia="Cambria" w:cs="Segoe UI"/>
          <w:iCs/>
          <w:shd w:val="clear" w:color="auto" w:fill="FFFFFF" w:themeFill="background1"/>
        </w:rPr>
      </w:pPr>
      <w:r w:rsidRPr="00716360">
        <w:rPr>
          <w:rFonts w:eastAsia="Cambria" w:cs="Segoe UI"/>
          <w:iCs/>
          <w:shd w:val="clear" w:color="auto" w:fill="FFFFFF" w:themeFill="background1"/>
        </w:rPr>
        <w:t>The pandemic has required the Ministry to meaningfully partner with iwi and Māori organisations and establish more permissive relationships. The research report highlighted this as a ‘welcome demonstration of trust and recognition of the unique value of iwi and Māori partners’</w:t>
      </w:r>
      <w:r w:rsidRPr="00716360">
        <w:rPr>
          <w:rStyle w:val="FootnoteReference"/>
          <w:rFonts w:eastAsia="Cambria" w:cs="Segoe UI"/>
          <w:iCs/>
          <w:shd w:val="clear" w:color="auto" w:fill="FFFFFF" w:themeFill="background1"/>
        </w:rPr>
        <w:footnoteReference w:id="8"/>
      </w:r>
      <w:r w:rsidRPr="00716360">
        <w:rPr>
          <w:rFonts w:eastAsia="Cambria" w:cs="Segoe UI"/>
          <w:iCs/>
          <w:shd w:val="clear" w:color="auto" w:fill="FFFFFF" w:themeFill="background1"/>
        </w:rPr>
        <w:t>.</w:t>
      </w:r>
    </w:p>
    <w:p w14:paraId="33894B7C" w14:textId="0C65DD77" w:rsidR="00184A48" w:rsidRPr="00716360" w:rsidRDefault="00184A48" w:rsidP="00184A48">
      <w:pPr>
        <w:pStyle w:val="ListParagraph"/>
        <w:spacing w:before="60" w:after="120" w:line="276" w:lineRule="auto"/>
        <w:ind w:left="284"/>
        <w:contextualSpacing w:val="0"/>
      </w:pPr>
      <w:r w:rsidRPr="00716360">
        <w:rPr>
          <w:rFonts w:eastAsia="Cambria" w:cs="Segoe UI"/>
          <w:iCs/>
          <w:shd w:val="clear" w:color="auto" w:fill="FFFFFF" w:themeFill="background1"/>
          <w:lang w:val="en-AU"/>
        </w:rPr>
        <w:t xml:space="preserve">The Human Rights Commission (the Commission) indicated that a core success of the initial COVID-19 response was the practical examples of partnering between Māori and the Crown – for example at the </w:t>
      </w:r>
      <w:proofErr w:type="spellStart"/>
      <w:r w:rsidRPr="00716360">
        <w:rPr>
          <w:rFonts w:eastAsia="Cambria" w:cs="Segoe UI"/>
          <w:iCs/>
          <w:shd w:val="clear" w:color="auto" w:fill="FFFFFF" w:themeFill="background1"/>
          <w:lang w:val="en-AU"/>
        </w:rPr>
        <w:t>rāhui</w:t>
      </w:r>
      <w:proofErr w:type="spellEnd"/>
      <w:r w:rsidRPr="00716360">
        <w:rPr>
          <w:rFonts w:eastAsia="Cambria" w:cs="Segoe UI"/>
          <w:iCs/>
          <w:shd w:val="clear" w:color="auto" w:fill="FFFFFF" w:themeFill="background1"/>
          <w:lang w:val="en-AU"/>
        </w:rPr>
        <w:t xml:space="preserve"> checkpoints. The Commission </w:t>
      </w:r>
      <w:hyperlink r:id="rId28" w:history="1">
        <w:r w:rsidRPr="00716360">
          <w:rPr>
            <w:rStyle w:val="Hyperlink"/>
            <w:rFonts w:eastAsia="Cambria" w:cs="Segoe UI"/>
            <w:iCs/>
            <w:shd w:val="clear" w:color="auto" w:fill="FFFFFF" w:themeFill="background1"/>
            <w:lang w:val="en-AU"/>
          </w:rPr>
          <w:t>recommended</w:t>
        </w:r>
      </w:hyperlink>
      <w:r w:rsidRPr="00716360">
        <w:rPr>
          <w:rStyle w:val="FootnoteReference"/>
          <w:rFonts w:eastAsia="Cambria" w:cs="Segoe UI"/>
          <w:iCs/>
          <w:shd w:val="clear" w:color="auto" w:fill="FFFFFF" w:themeFill="background1"/>
          <w:lang w:val="en-AU"/>
        </w:rPr>
        <w:footnoteReference w:id="9"/>
      </w:r>
      <w:r w:rsidRPr="00716360">
        <w:rPr>
          <w:rFonts w:eastAsia="Cambria" w:cs="Segoe UI"/>
          <w:iCs/>
          <w:shd w:val="clear" w:color="auto" w:fill="FFFFFF" w:themeFill="background1"/>
          <w:lang w:val="en-AU"/>
        </w:rPr>
        <w:t xml:space="preserve"> that the Ministry build on these gains and continues to partner with Māori stakeholders across the health and disability sector and recognise that community organisations understand their community’s needs and are best placed to provide ongoing, equitable care to whānau Māori. </w:t>
      </w:r>
    </w:p>
    <w:p w14:paraId="35219037" w14:textId="77777777" w:rsidR="00184A48" w:rsidRPr="00716360" w:rsidRDefault="00184A48" w:rsidP="00184A48">
      <w:pPr>
        <w:pStyle w:val="Heading5"/>
        <w:tabs>
          <w:tab w:val="left" w:pos="993"/>
        </w:tabs>
        <w:ind w:left="993" w:hanging="993"/>
        <w:rPr>
          <w:rFonts w:asciiTheme="majorHAnsi" w:hAnsiTheme="majorHAnsi"/>
        </w:rPr>
      </w:pPr>
      <w:r w:rsidRPr="00716360">
        <w:lastRenderedPageBreak/>
        <w:t>Figure 1:</w:t>
      </w:r>
      <w:r w:rsidRPr="00716360">
        <w:tab/>
        <w:t>Confirmed and probable cases, Māori and non-Māori, crude rate per 100,000 people to 2 February 2021</w:t>
      </w:r>
    </w:p>
    <w:p w14:paraId="63A66259" w14:textId="77777777" w:rsidR="00184A48" w:rsidRPr="00716360" w:rsidRDefault="00184A48" w:rsidP="00184A48">
      <w:r w:rsidRPr="00716360">
        <w:rPr>
          <w:noProof/>
        </w:rPr>
        <w:drawing>
          <wp:inline distT="0" distB="0" distL="0" distR="0" wp14:anchorId="5A3D16FC" wp14:editId="16C577AD">
            <wp:extent cx="6134100" cy="2533650"/>
            <wp:effectExtent l="0" t="0" r="0" b="0"/>
            <wp:docPr id="27" name="Chart 27" descr="This chart shows that case of COVID-19 increased in March and April of 2020 and leveled off afterward, with more cases in non-Māori than in Māori.">
              <a:extLst xmlns:a="http://schemas.openxmlformats.org/drawingml/2006/main">
                <a:ext uri="{FF2B5EF4-FFF2-40B4-BE49-F238E27FC236}">
                  <a16:creationId xmlns:a16="http://schemas.microsoft.com/office/drawing/2014/main" id="{F7A59375-39A6-421A-B684-98EFDAAF4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17DE68" w14:textId="77777777" w:rsidR="00184A48" w:rsidRPr="00716360" w:rsidRDefault="00184A48" w:rsidP="00184A48">
      <w:pPr>
        <w:rPr>
          <w:i/>
          <w:iCs/>
          <w:sz w:val="22"/>
          <w:szCs w:val="24"/>
        </w:rPr>
      </w:pPr>
      <w:r w:rsidRPr="00716360">
        <w:rPr>
          <w:i/>
          <w:iCs/>
          <w:sz w:val="22"/>
          <w:szCs w:val="24"/>
        </w:rPr>
        <w:br w:type="page"/>
      </w:r>
    </w:p>
    <w:p w14:paraId="0BBBE8BE" w14:textId="6ACB566A" w:rsidR="00184A48" w:rsidRPr="0078615B" w:rsidRDefault="00184A48" w:rsidP="00184A48">
      <w:pPr>
        <w:pStyle w:val="Heading1"/>
        <w:rPr>
          <w:sz w:val="44"/>
          <w:szCs w:val="22"/>
        </w:rPr>
      </w:pPr>
      <w:bookmarkStart w:id="28" w:name="_Toc67385426"/>
      <w:r w:rsidRPr="0078615B">
        <w:rPr>
          <w:sz w:val="44"/>
          <w:szCs w:val="22"/>
        </w:rPr>
        <w:lastRenderedPageBreak/>
        <w:t xml:space="preserve">Appendix </w:t>
      </w:r>
      <w:r w:rsidR="00BF7EBA" w:rsidRPr="0078615B">
        <w:rPr>
          <w:sz w:val="44"/>
          <w:szCs w:val="22"/>
        </w:rPr>
        <w:t>T</w:t>
      </w:r>
      <w:r w:rsidR="00D2687E" w:rsidRPr="0078615B">
        <w:rPr>
          <w:sz w:val="44"/>
          <w:szCs w:val="22"/>
        </w:rPr>
        <w:t>hree</w:t>
      </w:r>
      <w:bookmarkEnd w:id="28"/>
    </w:p>
    <w:p w14:paraId="42DC73E7" w14:textId="77777777" w:rsidR="00184A48" w:rsidRPr="00716360" w:rsidRDefault="00184A48" w:rsidP="00184A48">
      <w:pPr>
        <w:rPr>
          <w:i/>
          <w:iCs/>
          <w:sz w:val="22"/>
          <w:szCs w:val="24"/>
        </w:rPr>
      </w:pPr>
      <w:r w:rsidRPr="00716360">
        <w:rPr>
          <w:i/>
          <w:iCs/>
          <w:sz w:val="22"/>
          <w:szCs w:val="24"/>
        </w:rPr>
        <w:t xml:space="preserve">The Māori Influenza Vaccination Programme </w:t>
      </w:r>
    </w:p>
    <w:p w14:paraId="1E5730B6" w14:textId="77777777" w:rsidR="00184A48" w:rsidRPr="00716360" w:rsidRDefault="00184A48" w:rsidP="00184A48">
      <w:pPr>
        <w:pStyle w:val="ListParagraph"/>
        <w:spacing w:before="60" w:after="120" w:line="276" w:lineRule="auto"/>
        <w:ind w:left="284"/>
        <w:rPr>
          <w:color w:val="000000"/>
          <w:sz w:val="20"/>
          <w:shd w:val="clear" w:color="auto" w:fill="FFFFFF"/>
          <w:lang w:val="en-AU"/>
        </w:rPr>
      </w:pPr>
      <w:r w:rsidRPr="00716360">
        <w:rPr>
          <w:color w:val="000000"/>
          <w:shd w:val="clear" w:color="auto" w:fill="FFFFFF"/>
          <w:lang w:val="en-AU"/>
        </w:rPr>
        <w:t xml:space="preserve">The Māori Influenza Vaccination Programme (MIVP) was first announced in April 2020 as part of the Initial COVID-19 Māori Health Response Plan. The MIVP’s objective was to increase access to the influenza vaccine for Māori groups entitled to free vaccinations, particularly kaumātua aged 65 and over. MIVP aimed to do this by increasing access to the influenza vaccine through outreach services, including ‘pop-up clinics’ at local venues such as marae, ‘drive-through vaccine stations’, mobile clinics and other innovative services. </w:t>
      </w:r>
    </w:p>
    <w:p w14:paraId="11F4725D" w14:textId="77777777" w:rsidR="00184A48" w:rsidRPr="00716360" w:rsidRDefault="00184A48" w:rsidP="00184A48">
      <w:pPr>
        <w:pStyle w:val="ListParagraph"/>
        <w:spacing w:before="60" w:after="120" w:line="276" w:lineRule="auto"/>
        <w:ind w:left="284"/>
        <w:rPr>
          <w:color w:val="000000"/>
          <w:shd w:val="clear" w:color="auto" w:fill="FFFFFF"/>
          <w:lang w:val="en-AU"/>
        </w:rPr>
      </w:pPr>
      <w:r w:rsidRPr="00716360">
        <w:rPr>
          <w:color w:val="000000"/>
          <w:shd w:val="clear" w:color="auto" w:fill="FFFFFF"/>
          <w:lang w:val="en-AU"/>
        </w:rPr>
        <w:t>An independent evaluation</w:t>
      </w:r>
      <w:r w:rsidRPr="00716360">
        <w:rPr>
          <w:rStyle w:val="FootnoteReference"/>
          <w:color w:val="000000"/>
          <w:shd w:val="clear" w:color="auto" w:fill="FFFFFF"/>
          <w:lang w:val="en-AU"/>
        </w:rPr>
        <w:footnoteReference w:id="10"/>
      </w:r>
      <w:r w:rsidRPr="00716360">
        <w:rPr>
          <w:color w:val="000000"/>
          <w:shd w:val="clear" w:color="auto" w:fill="FFFFFF"/>
          <w:lang w:val="en-AU"/>
        </w:rPr>
        <w:t xml:space="preserve"> of the MIVP found that overall, the MIVP made a worthwhile and valuable contribution to improving health outcomes for Māori as follows:</w:t>
      </w:r>
    </w:p>
    <w:p w14:paraId="69D40EC2" w14:textId="77777777" w:rsidR="00184A48" w:rsidRPr="00716360" w:rsidRDefault="00184A48" w:rsidP="00184A48">
      <w:pPr>
        <w:pStyle w:val="ListParagraph"/>
        <w:numPr>
          <w:ilvl w:val="0"/>
          <w:numId w:val="4"/>
        </w:numPr>
        <w:spacing w:before="60" w:after="120" w:line="276" w:lineRule="auto"/>
        <w:rPr>
          <w:color w:val="000000"/>
          <w:shd w:val="clear" w:color="auto" w:fill="FFFFFF"/>
          <w:lang w:val="en-AU"/>
        </w:rPr>
      </w:pPr>
      <w:r w:rsidRPr="00716360">
        <w:rPr>
          <w:color w:val="000000"/>
          <w:shd w:val="clear" w:color="auto" w:fill="FFFFFF"/>
          <w:lang w:val="en-AU"/>
        </w:rPr>
        <w:t>The National Immunisation Register recorded significantly higher vaccination rates for Māori than in previous years (see figure 2)</w:t>
      </w:r>
    </w:p>
    <w:p w14:paraId="0747126E" w14:textId="77777777" w:rsidR="00184A48" w:rsidRPr="00716360" w:rsidRDefault="00184A48" w:rsidP="00184A48">
      <w:pPr>
        <w:pStyle w:val="ListParagraph"/>
        <w:numPr>
          <w:ilvl w:val="0"/>
          <w:numId w:val="4"/>
        </w:numPr>
        <w:spacing w:before="60" w:after="120" w:line="276" w:lineRule="auto"/>
        <w:rPr>
          <w:color w:val="000000"/>
          <w:shd w:val="clear" w:color="auto" w:fill="FFFFFF"/>
          <w:lang w:val="en-AU"/>
        </w:rPr>
      </w:pPr>
      <w:r w:rsidRPr="00716360">
        <w:rPr>
          <w:color w:val="000000"/>
          <w:shd w:val="clear" w:color="auto" w:fill="FFFFFF"/>
          <w:lang w:val="en-AU"/>
        </w:rPr>
        <w:t>Influenza vaccination rates for Māori 65+ increased from 45.8% in 2019 to 59.0% in 2020.  This was significant given the small improvement observed between 2015 and 2019</w:t>
      </w:r>
    </w:p>
    <w:p w14:paraId="4C9AB34B" w14:textId="77777777" w:rsidR="00184A48" w:rsidRPr="00716360" w:rsidRDefault="00184A48" w:rsidP="00184A48">
      <w:pPr>
        <w:pStyle w:val="ListParagraph"/>
        <w:numPr>
          <w:ilvl w:val="0"/>
          <w:numId w:val="4"/>
        </w:numPr>
        <w:spacing w:before="60" w:after="120" w:line="276" w:lineRule="auto"/>
        <w:ind w:left="1003" w:hanging="357"/>
        <w:contextualSpacing w:val="0"/>
        <w:rPr>
          <w:color w:val="000000"/>
          <w:shd w:val="clear" w:color="auto" w:fill="FFFFFF"/>
          <w:lang w:val="en-AU"/>
        </w:rPr>
      </w:pPr>
      <w:r w:rsidRPr="00716360">
        <w:rPr>
          <w:color w:val="000000"/>
          <w:shd w:val="clear" w:color="auto" w:fill="FFFFFF"/>
          <w:lang w:val="en-AU"/>
        </w:rPr>
        <w:t xml:space="preserve">The overall influenza equity gap for Māori 65+ reduced in 2020 from -12.1% to -8.4%. </w:t>
      </w:r>
    </w:p>
    <w:p w14:paraId="65DD19F6" w14:textId="77777777" w:rsidR="00184A48" w:rsidRPr="00716360" w:rsidRDefault="00184A48" w:rsidP="00184A48">
      <w:pPr>
        <w:pStyle w:val="ListParagraph"/>
        <w:spacing w:before="60" w:after="120" w:line="276" w:lineRule="auto"/>
        <w:ind w:left="284"/>
        <w:rPr>
          <w:rFonts w:eastAsia="Times New Roman"/>
          <w:color w:val="000000"/>
          <w:shd w:val="clear" w:color="auto" w:fill="FFFFFF"/>
          <w:lang w:val="en-AU"/>
        </w:rPr>
      </w:pPr>
      <w:r w:rsidRPr="00716360">
        <w:rPr>
          <w:color w:val="000000"/>
          <w:shd w:val="clear" w:color="auto" w:fill="FFFFFF"/>
          <w:lang w:val="en-AU"/>
        </w:rPr>
        <w:t xml:space="preserve">In addition, the evaluation identified three core strategies that made a difference for whānau Māori: </w:t>
      </w:r>
    </w:p>
    <w:p w14:paraId="6E39EAC6" w14:textId="60784B55" w:rsidR="00184A48" w:rsidRPr="00716360" w:rsidRDefault="00184A48" w:rsidP="00184A48">
      <w:pPr>
        <w:pStyle w:val="ListParagraph"/>
        <w:numPr>
          <w:ilvl w:val="0"/>
          <w:numId w:val="5"/>
        </w:numPr>
        <w:spacing w:line="252" w:lineRule="auto"/>
      </w:pPr>
      <w:r w:rsidRPr="00716360">
        <w:t>Mobilising services to go into the community</w:t>
      </w:r>
    </w:p>
    <w:p w14:paraId="3EF0AA29" w14:textId="06128B97" w:rsidR="00184A48" w:rsidRPr="00716360" w:rsidRDefault="00184A48" w:rsidP="00184A48">
      <w:pPr>
        <w:pStyle w:val="ListParagraph"/>
        <w:numPr>
          <w:ilvl w:val="0"/>
          <w:numId w:val="5"/>
        </w:numPr>
        <w:spacing w:line="252" w:lineRule="auto"/>
      </w:pPr>
      <w:r w:rsidRPr="00716360">
        <w:t>Taking a whānau-centred approach</w:t>
      </w:r>
    </w:p>
    <w:p w14:paraId="31BCC707" w14:textId="77777777" w:rsidR="00184A48" w:rsidRPr="00716360" w:rsidRDefault="00184A48" w:rsidP="00184A48">
      <w:pPr>
        <w:pStyle w:val="ListParagraph"/>
        <w:numPr>
          <w:ilvl w:val="0"/>
          <w:numId w:val="5"/>
        </w:numPr>
        <w:spacing w:before="60" w:line="252" w:lineRule="auto"/>
        <w:contextualSpacing w:val="0"/>
      </w:pPr>
      <w:r w:rsidRPr="00716360">
        <w:t>Focusing on Māori workforce capability and capacity.</w:t>
      </w:r>
    </w:p>
    <w:p w14:paraId="06723B56" w14:textId="77777777" w:rsidR="00850B31" w:rsidRDefault="00184A48" w:rsidP="00850B31">
      <w:pPr>
        <w:pStyle w:val="ListParagraph"/>
        <w:spacing w:before="60" w:after="120" w:line="276" w:lineRule="auto"/>
        <w:ind w:left="284"/>
        <w:rPr>
          <w:color w:val="000000"/>
          <w:shd w:val="clear" w:color="auto" w:fill="FFFFFF"/>
          <w:lang w:val="en-AU"/>
        </w:rPr>
        <w:sectPr w:rsidR="00850B31" w:rsidSect="004C1A0A">
          <w:pgSz w:w="11906" w:h="16838" w:code="9"/>
          <w:pgMar w:top="1440" w:right="1440" w:bottom="1440" w:left="1440" w:header="0" w:footer="0" w:gutter="0"/>
          <w:cols w:space="708"/>
          <w:docGrid w:linePitch="360"/>
        </w:sectPr>
      </w:pPr>
      <w:r w:rsidRPr="00716360">
        <w:rPr>
          <w:color w:val="000000"/>
          <w:shd w:val="clear" w:color="auto" w:fill="FFFFFF"/>
          <w:lang w:val="en-AU"/>
        </w:rPr>
        <w:t xml:space="preserve">The critical learning was that the delivery of vaccinations is ‘more than just a jab’. Continuing to integrate the above learnings into the Programme will be critical to its success. The Ministry is considering how the evaluation and subsequent insights can be fully applied within the Programme, to build responsiveness to Māori and to ensure it caters to holistic whānau needs. </w:t>
      </w:r>
    </w:p>
    <w:p w14:paraId="056E304F" w14:textId="6FD540FD" w:rsidR="00184A48" w:rsidRPr="00365A9E" w:rsidRDefault="00184A48" w:rsidP="00365A9E">
      <w:pPr>
        <w:pStyle w:val="Heading5"/>
        <w:tabs>
          <w:tab w:val="left" w:pos="993"/>
        </w:tabs>
        <w:ind w:left="993" w:hanging="993"/>
        <w:rPr>
          <w:rFonts w:asciiTheme="majorHAnsi" w:hAnsiTheme="majorHAnsi"/>
        </w:rPr>
      </w:pPr>
      <w:r w:rsidRPr="00716360">
        <w:lastRenderedPageBreak/>
        <w:t>Figure 2:</w:t>
      </w:r>
      <w:r w:rsidRPr="00716360">
        <w:tab/>
        <w:t>Cumulative proportion of people aged 65 years and above vaccinated against influenza by ethnicity, 2019–2020</w:t>
      </w:r>
    </w:p>
    <w:p w14:paraId="7750998F" w14:textId="2B5BA57B" w:rsidR="00C30813" w:rsidRDefault="00184A48">
      <w:r w:rsidRPr="00716360">
        <w:rPr>
          <w:noProof/>
        </w:rPr>
        <w:drawing>
          <wp:anchor distT="0" distB="0" distL="114300" distR="114300" simplePos="0" relativeHeight="251658240" behindDoc="0" locked="0" layoutInCell="1" allowOverlap="1" wp14:anchorId="5F5C9B7A" wp14:editId="03F7780C">
            <wp:simplePos x="0" y="0"/>
            <wp:positionH relativeFrom="column">
              <wp:posOffset>0</wp:posOffset>
            </wp:positionH>
            <wp:positionV relativeFrom="paragraph">
              <wp:posOffset>1270</wp:posOffset>
            </wp:positionV>
            <wp:extent cx="5731510" cy="2955263"/>
            <wp:effectExtent l="0" t="0" r="2540" b="0"/>
            <wp:wrapSquare wrapText="bothSides"/>
            <wp:docPr id="28" name="Picture 28" descr="This graph shows that most people from all groups were vaccinated against influenza by about the 24th week of the year in 2019 and by the 16th week of the year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2955263"/>
                    </a:xfrm>
                    <a:prstGeom prst="rect">
                      <a:avLst/>
                    </a:prstGeom>
                    <a:noFill/>
                    <a:ln>
                      <a:noFill/>
                    </a:ln>
                  </pic:spPr>
                </pic:pic>
              </a:graphicData>
            </a:graphic>
          </wp:anchor>
        </w:drawing>
      </w:r>
    </w:p>
    <w:sectPr w:rsidR="00C30813" w:rsidSect="004C1A0A">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FC5A" w14:textId="77777777" w:rsidR="00CE524D" w:rsidRDefault="00CE524D" w:rsidP="00184A48">
      <w:pPr>
        <w:spacing w:after="0" w:line="240" w:lineRule="auto"/>
      </w:pPr>
      <w:r>
        <w:separator/>
      </w:r>
    </w:p>
  </w:endnote>
  <w:endnote w:type="continuationSeparator" w:id="0">
    <w:p w14:paraId="0D83A861" w14:textId="77777777" w:rsidR="00CE524D" w:rsidRDefault="00CE524D" w:rsidP="00184A48">
      <w:pPr>
        <w:spacing w:after="0" w:line="240" w:lineRule="auto"/>
      </w:pPr>
      <w:r>
        <w:continuationSeparator/>
      </w:r>
    </w:p>
  </w:endnote>
  <w:endnote w:type="continuationNotice" w:id="1">
    <w:p w14:paraId="279B03CD" w14:textId="77777777" w:rsidR="00CE524D" w:rsidRDefault="00CE5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08931"/>
      <w:docPartObj>
        <w:docPartGallery w:val="Page Numbers (Bottom of Page)"/>
        <w:docPartUnique/>
      </w:docPartObj>
    </w:sdtPr>
    <w:sdtEndPr>
      <w:rPr>
        <w:noProof/>
      </w:rPr>
    </w:sdtEndPr>
    <w:sdtContent>
      <w:p w14:paraId="59B6AC47" w14:textId="77777777" w:rsidR="00214AFA" w:rsidRDefault="00184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BFE34" w14:textId="77777777" w:rsidR="00214AFA" w:rsidRDefault="00214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32EC" w14:textId="77777777" w:rsidR="00CE524D" w:rsidRDefault="00CE524D" w:rsidP="00184A48">
      <w:pPr>
        <w:spacing w:after="0" w:line="240" w:lineRule="auto"/>
      </w:pPr>
      <w:r>
        <w:separator/>
      </w:r>
    </w:p>
  </w:footnote>
  <w:footnote w:type="continuationSeparator" w:id="0">
    <w:p w14:paraId="49286F1B" w14:textId="77777777" w:rsidR="00CE524D" w:rsidRDefault="00CE524D" w:rsidP="00184A48">
      <w:pPr>
        <w:spacing w:after="0" w:line="240" w:lineRule="auto"/>
      </w:pPr>
      <w:r>
        <w:continuationSeparator/>
      </w:r>
    </w:p>
  </w:footnote>
  <w:footnote w:type="continuationNotice" w:id="1">
    <w:p w14:paraId="100CD20E" w14:textId="77777777" w:rsidR="00CE524D" w:rsidRDefault="00CE524D">
      <w:pPr>
        <w:spacing w:after="0" w:line="240" w:lineRule="auto"/>
      </w:pPr>
    </w:p>
  </w:footnote>
  <w:footnote w:id="2">
    <w:p w14:paraId="57CF4CF1" w14:textId="77777777" w:rsidR="00184A48" w:rsidRDefault="00184A48" w:rsidP="00184A48">
      <w:pPr>
        <w:pStyle w:val="FootnoteText"/>
      </w:pPr>
      <w:r>
        <w:rPr>
          <w:rStyle w:val="FootnoteReference"/>
        </w:rPr>
        <w:footnoteRef/>
      </w:r>
      <w:r>
        <w:t xml:space="preserve"> The original focus area of support for people in self-isolation and quarantine was based on the assumption of large number of people isolating in the community. This focused changed once community elimination was achieved.</w:t>
      </w:r>
    </w:p>
  </w:footnote>
  <w:footnote w:id="3">
    <w:p w14:paraId="46C78E12" w14:textId="77777777" w:rsidR="00184A48" w:rsidRDefault="00184A48" w:rsidP="00184A48">
      <w:pPr>
        <w:pStyle w:val="FootnoteText"/>
      </w:pPr>
      <w:r>
        <w:rPr>
          <w:rStyle w:val="FootnoteReference"/>
        </w:rPr>
        <w:footnoteRef/>
      </w:r>
      <w:r>
        <w:t xml:space="preserve"> Note the Ministry’s preference for the neutral term ‘missed appointment’ rather than ‘did not attend’ which places sole responsibility on the service user.</w:t>
      </w:r>
    </w:p>
  </w:footnote>
  <w:footnote w:id="4">
    <w:p w14:paraId="70A21E2E" w14:textId="77777777" w:rsidR="00184A48" w:rsidRDefault="00184A48" w:rsidP="00184A48">
      <w:pPr>
        <w:pStyle w:val="FootnoteText"/>
      </w:pPr>
      <w:r>
        <w:rPr>
          <w:rStyle w:val="FootnoteReference"/>
        </w:rPr>
        <w:footnoteRef/>
      </w:r>
      <w:r>
        <w:t xml:space="preserve"> Note that the specific psychosocial survey has ended. However, this data will now be collected as part of the wider New Zealand Health Survey</w:t>
      </w:r>
    </w:p>
  </w:footnote>
  <w:footnote w:id="5">
    <w:p w14:paraId="166CBC28" w14:textId="77777777" w:rsidR="00184A48" w:rsidRDefault="00184A48" w:rsidP="00184A48">
      <w:pPr>
        <w:pStyle w:val="FootnoteText"/>
      </w:pPr>
      <w:r>
        <w:rPr>
          <w:rStyle w:val="FootnoteReference"/>
        </w:rPr>
        <w:footnoteRef/>
      </w:r>
      <w:r>
        <w:t xml:space="preserve"> </w:t>
      </w:r>
      <w:r w:rsidRPr="00AA184C">
        <w:t>HISO 10001:2017 Ethnicity Data Protocols</w:t>
      </w:r>
      <w:r>
        <w:t xml:space="preserve"> </w:t>
      </w:r>
      <w:hyperlink r:id="rId1" w:history="1">
        <w:r w:rsidRPr="00020226">
          <w:rPr>
            <w:rStyle w:val="Hyperlink"/>
          </w:rPr>
          <w:t>https://www.health.govt.nz/publication/hiso-100012017-ethnicity-data-protocols</w:t>
        </w:r>
      </w:hyperlink>
      <w:r>
        <w:t xml:space="preserve"> </w:t>
      </w:r>
    </w:p>
  </w:footnote>
  <w:footnote w:id="6">
    <w:p w14:paraId="647AFE4E" w14:textId="77777777" w:rsidR="00184A48" w:rsidRDefault="00184A48" w:rsidP="00184A48">
      <w:pPr>
        <w:pStyle w:val="FootnoteText"/>
      </w:pPr>
      <w:r>
        <w:rPr>
          <w:rStyle w:val="FootnoteReference"/>
        </w:rPr>
        <w:footnoteRef/>
      </w:r>
      <w:r>
        <w:t xml:space="preserve"> </w:t>
      </w:r>
      <w:hyperlink r:id="rId2" w:history="1">
        <w:r w:rsidRPr="00020226">
          <w:rPr>
            <w:rStyle w:val="Hyperlink"/>
          </w:rPr>
          <w:t>https://www.stats.govt.nz/about-us/what-we-do/mana-orite-relationship-agreement/</w:t>
        </w:r>
      </w:hyperlink>
      <w:r>
        <w:t xml:space="preserve"> </w:t>
      </w:r>
    </w:p>
  </w:footnote>
  <w:footnote w:id="7">
    <w:p w14:paraId="5D7AE3E1" w14:textId="77777777" w:rsidR="00184A48" w:rsidRDefault="00184A48" w:rsidP="00184A48">
      <w:pPr>
        <w:pStyle w:val="FootnoteText"/>
      </w:pPr>
      <w:r>
        <w:rPr>
          <w:rStyle w:val="FootnoteReference"/>
        </w:rPr>
        <w:footnoteRef/>
      </w:r>
      <w:r>
        <w:t xml:space="preserve"> As at 9 March 2021.  For updates see: </w:t>
      </w:r>
      <w:hyperlink r:id="rId3" w:history="1">
        <w:r w:rsidRPr="002A12BF">
          <w:rPr>
            <w:rStyle w:val="Hyperlink"/>
          </w:rPr>
          <w:t>https://www.health.govt.nz/our-work/diseases-and-conditions/covid-19-novel-coronavirus/covid-19-data-and-statistics/covid-19-current-cases</w:t>
        </w:r>
      </w:hyperlink>
      <w:r>
        <w:t xml:space="preserve"> </w:t>
      </w:r>
    </w:p>
  </w:footnote>
  <w:footnote w:id="8">
    <w:p w14:paraId="4E851E02" w14:textId="77777777" w:rsidR="00184A48" w:rsidRDefault="00184A48" w:rsidP="00184A48">
      <w:pPr>
        <w:pStyle w:val="FootnoteText"/>
      </w:pPr>
      <w:r>
        <w:rPr>
          <w:rStyle w:val="FootnoteReference"/>
        </w:rPr>
        <w:footnoteRef/>
      </w:r>
      <w:r>
        <w:t xml:space="preserve"> Savage, C., Goldsmith, L., Standring, K., Quinn, S., Selwyn, S., Kus-Harbord, L., and Hynds, A. (2020) Manaaki 20; Inform, Prepare, Uplift. Research into the COVID-19 Response Plan for Te Pūtahitanga o Te Waipounamu. Ihi Research. P. 66.</w:t>
      </w:r>
    </w:p>
  </w:footnote>
  <w:footnote w:id="9">
    <w:p w14:paraId="63DD0273" w14:textId="77777777" w:rsidR="00184A48" w:rsidRPr="00D41664" w:rsidRDefault="00184A48" w:rsidP="00184A48">
      <w:pPr>
        <w:rPr>
          <w:sz w:val="17"/>
          <w:szCs w:val="20"/>
        </w:rPr>
      </w:pPr>
      <w:r>
        <w:rPr>
          <w:rStyle w:val="FootnoteReference"/>
        </w:rPr>
        <w:footnoteRef/>
      </w:r>
      <w:r>
        <w:t xml:space="preserve"> </w:t>
      </w:r>
      <w:r w:rsidRPr="00D41664">
        <w:rPr>
          <w:sz w:val="17"/>
          <w:szCs w:val="20"/>
        </w:rPr>
        <w:t>Human Rights Commission. 2020. Human Rights and Te Tiriti o Waitangi: COVID-19 and Alert Level 4 in Aotearoa New Zealand. Wellington, Human Rights Commission</w:t>
      </w:r>
    </w:p>
    <w:p w14:paraId="30B3D9CF" w14:textId="77777777" w:rsidR="00184A48" w:rsidRDefault="00184A48" w:rsidP="00184A48">
      <w:pPr>
        <w:pStyle w:val="FootnoteText"/>
      </w:pPr>
    </w:p>
  </w:footnote>
  <w:footnote w:id="10">
    <w:p w14:paraId="7EB7A07A" w14:textId="77777777" w:rsidR="00184A48" w:rsidRDefault="00184A48" w:rsidP="00184A48">
      <w:pPr>
        <w:pStyle w:val="FootnoteText"/>
      </w:pPr>
      <w:r>
        <w:rPr>
          <w:rStyle w:val="FootnoteReference"/>
        </w:rPr>
        <w:footnoteRef/>
      </w:r>
      <w:r>
        <w:t xml:space="preserve"> </w:t>
      </w:r>
      <w:r>
        <w:rPr>
          <w:szCs w:val="17"/>
        </w:rPr>
        <w:t>Wehipeihana, N., Sebire, K. W., Spee, K. &amp; Oakden, J. (2020). More than just a jab: Evaluation of the Māori influenza vaccination programme as part of the COVID-19 Māori health response. Wellington: Ministry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AABE" w14:textId="77777777" w:rsidR="00214AFA" w:rsidRDefault="00214A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6489C" w14:paraId="0EF897DE" w14:textId="77777777" w:rsidTr="00E3354A">
      <w:trPr>
        <w:cantSplit/>
      </w:trPr>
      <w:tc>
        <w:tcPr>
          <w:tcW w:w="5210" w:type="dxa"/>
        </w:tcPr>
        <w:p w14:paraId="25A2AD86" w14:textId="764354D8" w:rsidR="0086489C" w:rsidRDefault="0086489C" w:rsidP="0086489C">
          <w:pPr>
            <w:pStyle w:val="Header"/>
          </w:pPr>
        </w:p>
      </w:tc>
      <w:tc>
        <w:tcPr>
          <w:tcW w:w="4429" w:type="dxa"/>
          <w:vAlign w:val="center"/>
        </w:tcPr>
        <w:p w14:paraId="6CE7AD84" w14:textId="19EA0143" w:rsidR="0086489C" w:rsidRDefault="0086489C" w:rsidP="0086489C">
          <w:pPr>
            <w:pStyle w:val="Header"/>
            <w:jc w:val="right"/>
          </w:pPr>
        </w:p>
      </w:tc>
    </w:tr>
  </w:tbl>
  <w:p w14:paraId="20492772" w14:textId="77777777" w:rsidR="00214AFA" w:rsidRDefault="00214A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55EA"/>
    <w:multiLevelType w:val="hybridMultilevel"/>
    <w:tmpl w:val="D2827A86"/>
    <w:lvl w:ilvl="0" w:tplc="01346AC0">
      <w:numFmt w:val="bullet"/>
      <w:lvlText w:val="-"/>
      <w:lvlJc w:val="left"/>
      <w:pPr>
        <w:ind w:left="644" w:hanging="360"/>
      </w:pPr>
      <w:rPr>
        <w:rFonts w:ascii="Segoe UI" w:eastAsia="Cambria" w:hAnsi="Segoe UI" w:cs="Segoe U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15:restartNumberingAfterBreak="0">
    <w:nsid w:val="22F5382A"/>
    <w:multiLevelType w:val="hybridMultilevel"/>
    <w:tmpl w:val="BCDE401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3174597C"/>
    <w:multiLevelType w:val="multilevel"/>
    <w:tmpl w:val="C6182462"/>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15:restartNumberingAfterBreak="0">
    <w:nsid w:val="3DDC6AFF"/>
    <w:multiLevelType w:val="hybridMultilevel"/>
    <w:tmpl w:val="0C964F1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4ECD41A9"/>
    <w:multiLevelType w:val="hybridMultilevel"/>
    <w:tmpl w:val="8970190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57966088"/>
    <w:multiLevelType w:val="hybridMultilevel"/>
    <w:tmpl w:val="2F7E4EC4"/>
    <w:lvl w:ilvl="0" w:tplc="1409000F">
      <w:start w:val="1"/>
      <w:numFmt w:val="decimal"/>
      <w:lvlText w:val="%1."/>
      <w:lvlJc w:val="left"/>
      <w:pPr>
        <w:ind w:left="1440" w:hanging="720"/>
      </w:p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6D7C6FC9"/>
    <w:multiLevelType w:val="hybridMultilevel"/>
    <w:tmpl w:val="93B6330A"/>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7" w15:restartNumberingAfterBreak="0">
    <w:nsid w:val="796600EB"/>
    <w:multiLevelType w:val="hybridMultilevel"/>
    <w:tmpl w:val="F41460F8"/>
    <w:lvl w:ilvl="0" w:tplc="14090001">
      <w:start w:val="1"/>
      <w:numFmt w:val="bullet"/>
      <w:lvlText w:val=""/>
      <w:lvlJc w:val="left"/>
      <w:pPr>
        <w:ind w:left="502" w:hanging="360"/>
      </w:pPr>
      <w:rPr>
        <w:rFonts w:ascii="Symbol" w:hAnsi="Symbol" w:hint="default"/>
      </w:rPr>
    </w:lvl>
    <w:lvl w:ilvl="1" w:tplc="12C0CE2E">
      <w:start w:val="1"/>
      <w:numFmt w:val="bullet"/>
      <w:lvlText w:val="–"/>
      <w:lvlJc w:val="left"/>
      <w:pPr>
        <w:ind w:left="1440" w:hanging="360"/>
      </w:pPr>
      <w:rPr>
        <w:rFonts w:ascii="Arial" w:hAnsi="Arial" w:hint="default"/>
        <w:sz w:val="20"/>
        <w:szCs w:val="18"/>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pPr>
          <w:ind w:left="851" w:hanging="851"/>
        </w:pPr>
        <w:rPr>
          <w:rFonts w:hint="default"/>
          <w:b w:val="0"/>
          <w:i w:val="0"/>
          <w:color w:val="auto"/>
        </w:rPr>
      </w:lvl>
    </w:lvlOverride>
    <w:lvlOverride w:ilvl="1">
      <w:lvl w:ilvl="1">
        <w:start w:val="1"/>
        <w:numFmt w:val="lowerLetter"/>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abstractNumId w:val="4"/>
  </w:num>
  <w:num w:numId="3">
    <w:abstractNumId w:val="7"/>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48"/>
    <w:rsid w:val="0000402C"/>
    <w:rsid w:val="000041A5"/>
    <w:rsid w:val="00056D29"/>
    <w:rsid w:val="00061FFD"/>
    <w:rsid w:val="0007422E"/>
    <w:rsid w:val="000817E3"/>
    <w:rsid w:val="000906EE"/>
    <w:rsid w:val="000B55BB"/>
    <w:rsid w:val="000C113B"/>
    <w:rsid w:val="000E72C2"/>
    <w:rsid w:val="001108F5"/>
    <w:rsid w:val="00127BF0"/>
    <w:rsid w:val="00136418"/>
    <w:rsid w:val="001561CE"/>
    <w:rsid w:val="0016047D"/>
    <w:rsid w:val="001710ED"/>
    <w:rsid w:val="00184A48"/>
    <w:rsid w:val="00186BF6"/>
    <w:rsid w:val="00196385"/>
    <w:rsid w:val="001B71B0"/>
    <w:rsid w:val="001D14A7"/>
    <w:rsid w:val="001D3F78"/>
    <w:rsid w:val="001E479E"/>
    <w:rsid w:val="001F5D7B"/>
    <w:rsid w:val="002052A6"/>
    <w:rsid w:val="002107DE"/>
    <w:rsid w:val="00214AFA"/>
    <w:rsid w:val="00244EA1"/>
    <w:rsid w:val="002624AE"/>
    <w:rsid w:val="002D6E42"/>
    <w:rsid w:val="0032586C"/>
    <w:rsid w:val="00353F17"/>
    <w:rsid w:val="00365A9E"/>
    <w:rsid w:val="00365D28"/>
    <w:rsid w:val="003752DE"/>
    <w:rsid w:val="00391782"/>
    <w:rsid w:val="00397219"/>
    <w:rsid w:val="003C1096"/>
    <w:rsid w:val="003C2095"/>
    <w:rsid w:val="003C59CA"/>
    <w:rsid w:val="003D64F9"/>
    <w:rsid w:val="003F5130"/>
    <w:rsid w:val="004038A7"/>
    <w:rsid w:val="00404AA1"/>
    <w:rsid w:val="00407D50"/>
    <w:rsid w:val="00425137"/>
    <w:rsid w:val="00425165"/>
    <w:rsid w:val="00432C01"/>
    <w:rsid w:val="00474088"/>
    <w:rsid w:val="004C1A0A"/>
    <w:rsid w:val="004E0DC1"/>
    <w:rsid w:val="00514CBC"/>
    <w:rsid w:val="0054425E"/>
    <w:rsid w:val="005828F8"/>
    <w:rsid w:val="005B0228"/>
    <w:rsid w:val="005B4C4C"/>
    <w:rsid w:val="005C1012"/>
    <w:rsid w:val="005C31CA"/>
    <w:rsid w:val="00601892"/>
    <w:rsid w:val="00611301"/>
    <w:rsid w:val="00616A39"/>
    <w:rsid w:val="00647B07"/>
    <w:rsid w:val="00697553"/>
    <w:rsid w:val="006C7FB8"/>
    <w:rsid w:val="006D6044"/>
    <w:rsid w:val="00714453"/>
    <w:rsid w:val="00716360"/>
    <w:rsid w:val="00720BFF"/>
    <w:rsid w:val="007413A8"/>
    <w:rsid w:val="00745B0D"/>
    <w:rsid w:val="0076088B"/>
    <w:rsid w:val="00771AB1"/>
    <w:rsid w:val="0078615B"/>
    <w:rsid w:val="007D616B"/>
    <w:rsid w:val="00850B31"/>
    <w:rsid w:val="0086489C"/>
    <w:rsid w:val="008E4674"/>
    <w:rsid w:val="008E7577"/>
    <w:rsid w:val="00916EC8"/>
    <w:rsid w:val="00920936"/>
    <w:rsid w:val="009242A7"/>
    <w:rsid w:val="00924877"/>
    <w:rsid w:val="00937FEA"/>
    <w:rsid w:val="00987D4A"/>
    <w:rsid w:val="00991FD7"/>
    <w:rsid w:val="009977B2"/>
    <w:rsid w:val="009E4525"/>
    <w:rsid w:val="00A1035E"/>
    <w:rsid w:val="00A1306B"/>
    <w:rsid w:val="00A1792C"/>
    <w:rsid w:val="00A311E1"/>
    <w:rsid w:val="00A33722"/>
    <w:rsid w:val="00A54C3F"/>
    <w:rsid w:val="00A54D2D"/>
    <w:rsid w:val="00A5677D"/>
    <w:rsid w:val="00AA17AE"/>
    <w:rsid w:val="00AD618F"/>
    <w:rsid w:val="00B05B67"/>
    <w:rsid w:val="00B20DEF"/>
    <w:rsid w:val="00B64C56"/>
    <w:rsid w:val="00B736FE"/>
    <w:rsid w:val="00B747C0"/>
    <w:rsid w:val="00BF7EBA"/>
    <w:rsid w:val="00C020AA"/>
    <w:rsid w:val="00C147E3"/>
    <w:rsid w:val="00C158B4"/>
    <w:rsid w:val="00C22961"/>
    <w:rsid w:val="00C30813"/>
    <w:rsid w:val="00C42A8A"/>
    <w:rsid w:val="00CB08E5"/>
    <w:rsid w:val="00CC3366"/>
    <w:rsid w:val="00CE524D"/>
    <w:rsid w:val="00D15743"/>
    <w:rsid w:val="00D20DE3"/>
    <w:rsid w:val="00D2687E"/>
    <w:rsid w:val="00D418CF"/>
    <w:rsid w:val="00D50358"/>
    <w:rsid w:val="00D63CB0"/>
    <w:rsid w:val="00D75C04"/>
    <w:rsid w:val="00DA445F"/>
    <w:rsid w:val="00DA55ED"/>
    <w:rsid w:val="00DB2CF3"/>
    <w:rsid w:val="00DD157F"/>
    <w:rsid w:val="00DE62CA"/>
    <w:rsid w:val="00DE681B"/>
    <w:rsid w:val="00E129EE"/>
    <w:rsid w:val="00E3460D"/>
    <w:rsid w:val="00E50FE1"/>
    <w:rsid w:val="00E86218"/>
    <w:rsid w:val="00EA669F"/>
    <w:rsid w:val="00EA7C77"/>
    <w:rsid w:val="00EA7FFD"/>
    <w:rsid w:val="00EB1AA1"/>
    <w:rsid w:val="00EB6105"/>
    <w:rsid w:val="00EF43DB"/>
    <w:rsid w:val="00F108D9"/>
    <w:rsid w:val="00F31184"/>
    <w:rsid w:val="00F66C02"/>
    <w:rsid w:val="00F73CA2"/>
    <w:rsid w:val="00F740DB"/>
    <w:rsid w:val="00F95533"/>
    <w:rsid w:val="00FA3745"/>
    <w:rsid w:val="00FB281F"/>
    <w:rsid w:val="00FB77AB"/>
    <w:rsid w:val="00FE1FCD"/>
    <w:rsid w:val="00FF2E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37E9A"/>
  <w15:chartTrackingRefBased/>
  <w15:docId w15:val="{795EDEAB-FAB6-441F-AE2E-7AD3CE9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48"/>
    <w:rPr>
      <w:rFonts w:ascii="Segoe UI" w:hAnsi="Segoe UI"/>
      <w:sz w:val="21"/>
    </w:rPr>
  </w:style>
  <w:style w:type="paragraph" w:styleId="Heading1">
    <w:name w:val="heading 1"/>
    <w:basedOn w:val="Normal"/>
    <w:next w:val="Normal"/>
    <w:link w:val="Heading1Char"/>
    <w:uiPriority w:val="9"/>
    <w:qFormat/>
    <w:rsid w:val="00184A48"/>
    <w:pPr>
      <w:keepNext/>
      <w:keepLines/>
      <w:pageBreakBefore/>
      <w:spacing w:before="480" w:after="240"/>
      <w:outlineLvl w:val="0"/>
    </w:pPr>
    <w:rPr>
      <w:rFonts w:eastAsiaTheme="majorEastAsia" w:cstheme="majorBidi"/>
      <w:b/>
      <w:color w:val="EC633C"/>
      <w:sz w:val="56"/>
      <w:szCs w:val="32"/>
    </w:rPr>
  </w:style>
  <w:style w:type="paragraph" w:styleId="Heading2">
    <w:name w:val="heading 2"/>
    <w:basedOn w:val="Normal"/>
    <w:next w:val="Normal"/>
    <w:link w:val="Heading2Char"/>
    <w:uiPriority w:val="9"/>
    <w:unhideWhenUsed/>
    <w:qFormat/>
    <w:rsid w:val="00184A48"/>
    <w:pPr>
      <w:keepNext/>
      <w:keepLines/>
      <w:spacing w:before="280" w:after="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184A48"/>
    <w:pPr>
      <w:keepNext/>
      <w:keepLines/>
      <w:spacing w:before="160" w:after="120"/>
      <w:outlineLvl w:val="2"/>
    </w:pPr>
    <w:rPr>
      <w:rFonts w:eastAsiaTheme="majorEastAsia" w:cstheme="majorBidi"/>
      <w:b/>
      <w:i/>
      <w:szCs w:val="24"/>
    </w:rPr>
  </w:style>
  <w:style w:type="paragraph" w:styleId="Heading5">
    <w:name w:val="heading 5"/>
    <w:basedOn w:val="Normal"/>
    <w:next w:val="Normal"/>
    <w:link w:val="Heading5Char"/>
    <w:uiPriority w:val="9"/>
    <w:unhideWhenUsed/>
    <w:qFormat/>
    <w:rsid w:val="00184A48"/>
    <w:pPr>
      <w:keepNext/>
      <w:keepLines/>
      <w:spacing w:before="16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A48"/>
    <w:rPr>
      <w:rFonts w:ascii="Segoe UI" w:eastAsiaTheme="majorEastAsia" w:hAnsi="Segoe UI" w:cstheme="majorBidi"/>
      <w:b/>
      <w:color w:val="EC633C"/>
      <w:sz w:val="56"/>
      <w:szCs w:val="32"/>
    </w:rPr>
  </w:style>
  <w:style w:type="character" w:customStyle="1" w:styleId="Heading2Char">
    <w:name w:val="Heading 2 Char"/>
    <w:basedOn w:val="DefaultParagraphFont"/>
    <w:link w:val="Heading2"/>
    <w:uiPriority w:val="9"/>
    <w:rsid w:val="00184A48"/>
    <w:rPr>
      <w:rFonts w:ascii="Segoe UI" w:eastAsiaTheme="majorEastAsia" w:hAnsi="Segoe UI" w:cstheme="majorBidi"/>
      <w:b/>
      <w:color w:val="000000" w:themeColor="text1"/>
      <w:sz w:val="28"/>
      <w:szCs w:val="26"/>
    </w:rPr>
  </w:style>
  <w:style w:type="character" w:customStyle="1" w:styleId="Heading3Char">
    <w:name w:val="Heading 3 Char"/>
    <w:basedOn w:val="DefaultParagraphFont"/>
    <w:link w:val="Heading3"/>
    <w:uiPriority w:val="9"/>
    <w:rsid w:val="00184A48"/>
    <w:rPr>
      <w:rFonts w:ascii="Segoe UI" w:eastAsiaTheme="majorEastAsia" w:hAnsi="Segoe UI" w:cstheme="majorBidi"/>
      <w:b/>
      <w:i/>
      <w:sz w:val="21"/>
      <w:szCs w:val="24"/>
    </w:rPr>
  </w:style>
  <w:style w:type="character" w:customStyle="1" w:styleId="Heading5Char">
    <w:name w:val="Heading 5 Char"/>
    <w:basedOn w:val="DefaultParagraphFont"/>
    <w:link w:val="Heading5"/>
    <w:uiPriority w:val="9"/>
    <w:rsid w:val="00184A48"/>
    <w:rPr>
      <w:rFonts w:ascii="Segoe UI" w:eastAsiaTheme="majorEastAsia" w:hAnsi="Segoe UI" w:cstheme="majorBidi"/>
      <w:b/>
      <w:color w:val="000000" w:themeColor="text1"/>
      <w:sz w:val="21"/>
    </w:rPr>
  </w:style>
  <w:style w:type="paragraph" w:styleId="ListParagraph">
    <w:name w:val="List Paragraph"/>
    <w:aliases w:val="List Paragraph numbered,Body,Level 3,List Paragraph1,List Bullet indent,Bullet,SJ No.Paras,Bullet Normal,Recommendation,standard lewis,Bullet Heading,Colorful List - Accent 11,AP Bullet Normal,List 1,Other List,Unordered List Paragraph,L"/>
    <w:basedOn w:val="Normal"/>
    <w:link w:val="ListParagraphChar"/>
    <w:uiPriority w:val="34"/>
    <w:qFormat/>
    <w:rsid w:val="00184A48"/>
    <w:pPr>
      <w:ind w:left="720"/>
      <w:contextualSpacing/>
    </w:pPr>
  </w:style>
  <w:style w:type="character" w:customStyle="1" w:styleId="ListParagraphChar">
    <w:name w:val="List Paragraph Char"/>
    <w:aliases w:val="List Paragraph numbered Char,Body Char,Level 3 Char,List Paragraph1 Char,List Bullet indent Char,Bullet Char,SJ No.Paras Char,Bullet Normal Char,Recommendation Char,standard lewis Char,Bullet Heading Char,AP Bullet Normal Char,L Char"/>
    <w:link w:val="ListParagraph"/>
    <w:uiPriority w:val="34"/>
    <w:qFormat/>
    <w:locked/>
    <w:rsid w:val="00184A48"/>
    <w:rPr>
      <w:rFonts w:ascii="Segoe UI" w:hAnsi="Segoe UI"/>
      <w:sz w:val="21"/>
    </w:rPr>
  </w:style>
  <w:style w:type="table" w:styleId="TableGrid">
    <w:name w:val="Table Grid"/>
    <w:basedOn w:val="TableNormal"/>
    <w:uiPriority w:val="39"/>
    <w:rsid w:val="0018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A48"/>
    <w:rPr>
      <w:sz w:val="16"/>
      <w:szCs w:val="16"/>
    </w:rPr>
  </w:style>
  <w:style w:type="paragraph" w:styleId="CommentText">
    <w:name w:val="annotation text"/>
    <w:basedOn w:val="Normal"/>
    <w:link w:val="CommentTextChar"/>
    <w:uiPriority w:val="99"/>
    <w:unhideWhenUsed/>
    <w:rsid w:val="00184A48"/>
    <w:pPr>
      <w:spacing w:line="240" w:lineRule="auto"/>
    </w:pPr>
    <w:rPr>
      <w:sz w:val="20"/>
      <w:szCs w:val="20"/>
    </w:rPr>
  </w:style>
  <w:style w:type="character" w:customStyle="1" w:styleId="CommentTextChar">
    <w:name w:val="Comment Text Char"/>
    <w:basedOn w:val="DefaultParagraphFont"/>
    <w:link w:val="CommentText"/>
    <w:uiPriority w:val="99"/>
    <w:rsid w:val="00184A48"/>
    <w:rPr>
      <w:rFonts w:ascii="Segoe UI" w:hAnsi="Segoe UI"/>
      <w:sz w:val="20"/>
      <w:szCs w:val="20"/>
    </w:rPr>
  </w:style>
  <w:style w:type="paragraph" w:styleId="Header">
    <w:name w:val="header"/>
    <w:basedOn w:val="Normal"/>
    <w:link w:val="HeaderChar"/>
    <w:unhideWhenUsed/>
    <w:qFormat/>
    <w:rsid w:val="0018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A48"/>
    <w:rPr>
      <w:rFonts w:ascii="Segoe UI" w:hAnsi="Segoe UI"/>
      <w:sz w:val="21"/>
    </w:rPr>
  </w:style>
  <w:style w:type="paragraph" w:styleId="Footer">
    <w:name w:val="footer"/>
    <w:basedOn w:val="Normal"/>
    <w:link w:val="FooterChar"/>
    <w:uiPriority w:val="99"/>
    <w:unhideWhenUsed/>
    <w:rsid w:val="0018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A48"/>
    <w:rPr>
      <w:rFonts w:ascii="Segoe UI" w:hAnsi="Segoe UI"/>
      <w:sz w:val="21"/>
    </w:rPr>
  </w:style>
  <w:style w:type="paragraph" w:styleId="FootnoteText">
    <w:name w:val="footnote text"/>
    <w:basedOn w:val="Normal"/>
    <w:link w:val="FootnoteTextChar"/>
    <w:uiPriority w:val="99"/>
    <w:unhideWhenUsed/>
    <w:rsid w:val="00184A48"/>
    <w:pPr>
      <w:spacing w:after="0" w:line="240" w:lineRule="auto"/>
    </w:pPr>
    <w:rPr>
      <w:sz w:val="17"/>
      <w:szCs w:val="20"/>
    </w:rPr>
  </w:style>
  <w:style w:type="character" w:customStyle="1" w:styleId="FootnoteTextChar">
    <w:name w:val="Footnote Text Char"/>
    <w:basedOn w:val="DefaultParagraphFont"/>
    <w:link w:val="FootnoteText"/>
    <w:uiPriority w:val="99"/>
    <w:rsid w:val="00184A48"/>
    <w:rPr>
      <w:rFonts w:ascii="Segoe UI" w:hAnsi="Segoe UI"/>
      <w:sz w:val="17"/>
      <w:szCs w:val="20"/>
    </w:rPr>
  </w:style>
  <w:style w:type="character" w:styleId="FootnoteReference">
    <w:name w:val="footnote reference"/>
    <w:basedOn w:val="DefaultParagraphFont"/>
    <w:uiPriority w:val="99"/>
    <w:semiHidden/>
    <w:unhideWhenUsed/>
    <w:rsid w:val="00184A48"/>
    <w:rPr>
      <w:vertAlign w:val="superscript"/>
    </w:rPr>
  </w:style>
  <w:style w:type="paragraph" w:styleId="TOCHeading">
    <w:name w:val="TOC Heading"/>
    <w:basedOn w:val="Heading1"/>
    <w:next w:val="Normal"/>
    <w:uiPriority w:val="39"/>
    <w:unhideWhenUsed/>
    <w:qFormat/>
    <w:rsid w:val="00184A48"/>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4A48"/>
    <w:pPr>
      <w:tabs>
        <w:tab w:val="right" w:leader="dot" w:pos="9016"/>
      </w:tabs>
      <w:spacing w:after="100"/>
    </w:pPr>
  </w:style>
  <w:style w:type="character" w:styleId="Hyperlink">
    <w:name w:val="Hyperlink"/>
    <w:basedOn w:val="DefaultParagraphFont"/>
    <w:uiPriority w:val="99"/>
    <w:unhideWhenUsed/>
    <w:rsid w:val="00184A48"/>
    <w:rPr>
      <w:color w:val="0563C1" w:themeColor="hyperlink"/>
      <w:u w:val="single"/>
    </w:rPr>
  </w:style>
  <w:style w:type="paragraph" w:customStyle="1" w:styleId="ReportBody2-MOH">
    <w:name w:val="Report Body 2 - MOH"/>
    <w:basedOn w:val="Normal"/>
    <w:qFormat/>
    <w:rsid w:val="00184A48"/>
    <w:pPr>
      <w:spacing w:before="120" w:after="120" w:line="240" w:lineRule="auto"/>
      <w:ind w:left="1276" w:right="284" w:hanging="425"/>
    </w:pPr>
    <w:rPr>
      <w:rFonts w:eastAsia="Times New Roman" w:cs="Arial"/>
      <w:kern w:val="22"/>
      <w:sz w:val="22"/>
      <w:lang w:eastAsia="en-NZ"/>
    </w:rPr>
  </w:style>
  <w:style w:type="paragraph" w:styleId="TOC2">
    <w:name w:val="toc 2"/>
    <w:basedOn w:val="Normal"/>
    <w:next w:val="Normal"/>
    <w:autoRedefine/>
    <w:uiPriority w:val="39"/>
    <w:unhideWhenUsed/>
    <w:rsid w:val="00184A48"/>
    <w:pPr>
      <w:spacing w:after="100"/>
      <w:ind w:left="210"/>
    </w:pPr>
  </w:style>
  <w:style w:type="paragraph" w:styleId="TOC3">
    <w:name w:val="toc 3"/>
    <w:basedOn w:val="Normal"/>
    <w:next w:val="Normal"/>
    <w:autoRedefine/>
    <w:uiPriority w:val="39"/>
    <w:unhideWhenUsed/>
    <w:rsid w:val="00184A48"/>
    <w:pPr>
      <w:spacing w:after="100"/>
      <w:ind w:left="420"/>
    </w:pPr>
  </w:style>
  <w:style w:type="paragraph" w:styleId="BalloonText">
    <w:name w:val="Balloon Text"/>
    <w:basedOn w:val="Normal"/>
    <w:link w:val="BalloonTextChar"/>
    <w:uiPriority w:val="99"/>
    <w:semiHidden/>
    <w:unhideWhenUsed/>
    <w:rsid w:val="00184A48"/>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84A48"/>
    <w:rPr>
      <w:rFonts w:ascii="Segoe UI" w:hAnsi="Segoe UI" w:cs="Segoe UI"/>
      <w:sz w:val="18"/>
      <w:szCs w:val="18"/>
    </w:rPr>
  </w:style>
  <w:style w:type="character" w:styleId="UnresolvedMention">
    <w:name w:val="Unresolved Mention"/>
    <w:basedOn w:val="DefaultParagraphFont"/>
    <w:uiPriority w:val="99"/>
    <w:semiHidden/>
    <w:unhideWhenUsed/>
    <w:rsid w:val="00184A48"/>
    <w:rPr>
      <w:color w:val="605E5C"/>
      <w:shd w:val="clear" w:color="auto" w:fill="E1DFDD"/>
    </w:rPr>
  </w:style>
  <w:style w:type="character" w:styleId="FollowedHyperlink">
    <w:name w:val="FollowedHyperlink"/>
    <w:basedOn w:val="DefaultParagraphFont"/>
    <w:uiPriority w:val="99"/>
    <w:semiHidden/>
    <w:unhideWhenUsed/>
    <w:rsid w:val="00DA55ED"/>
    <w:rPr>
      <w:color w:val="954F72" w:themeColor="followedHyperlink"/>
      <w:u w:val="single"/>
    </w:rPr>
  </w:style>
  <w:style w:type="paragraph" w:customStyle="1" w:styleId="Imprint">
    <w:name w:val="Imprint"/>
    <w:basedOn w:val="Normal"/>
    <w:next w:val="Normal"/>
    <w:qFormat/>
    <w:rsid w:val="00850B31"/>
    <w:pPr>
      <w:spacing w:after="240" w:line="240" w:lineRule="auto"/>
    </w:pPr>
    <w:rPr>
      <w:rFonts w:eastAsia="Times New Roman" w:cs="Times New Roman"/>
      <w:sz w:val="20"/>
      <w:szCs w:val="20"/>
      <w:lang w:eastAsia="en-GB"/>
    </w:rPr>
  </w:style>
  <w:style w:type="paragraph" w:styleId="Title">
    <w:name w:val="Title"/>
    <w:basedOn w:val="Normal"/>
    <w:next w:val="Normal"/>
    <w:link w:val="TitleChar"/>
    <w:uiPriority w:val="10"/>
    <w:qFormat/>
    <w:rsid w:val="008648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8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89C"/>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648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ealth.govt.n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govt.nz/system/files/documents/pages/whakamaua-tiriti-o-waitangi-framework-a3-aug2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govt.nz/system/files/documents/publications/updated-covid-19-maori-health-response-plan-jul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t.nz/system/files/documents/pages/whakamaua-tiriti-o-waitangi-framework-a3-aug20.pdf" TargetMode="External"/><Relationship Id="rId20" Type="http://schemas.openxmlformats.org/officeDocument/2006/relationships/hyperlink" Target="https://www.health.govt.nz/our-work/diseases-and-conditions/covid-19-novel-coronavirus/covid-19-response-planning/covid-19-elimination-strategy-aotearoa-new-zealand"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tic1.squarespace.com/static/548669c2e4b0e9c86a08b3ca/t/5f9b4db7dedb8646ae53b4ba/1604013589963/Research+into+the+COVID-19+Response+Pla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response-planning/covid-19-elimination-strategy-aotearoa-new-zealand" TargetMode="External"/><Relationship Id="rId23" Type="http://schemas.openxmlformats.org/officeDocument/2006/relationships/hyperlink" Target="https://forms.justice.govt.nz/search/Documents/WT/wt_DOC_152801817/Hauora%20W.pdf" TargetMode="External"/><Relationship Id="rId28" Type="http://schemas.openxmlformats.org/officeDocument/2006/relationships/hyperlink" Target="https://www.hrc.co.nz/files/6615/8819/4763/Human_Rights_and_Te_Tiriti_o_Waitangi-_COVID-19_and_Alert_Level_4_FINAL.pdf" TargetMode="External"/><Relationship Id="rId10" Type="http://schemas.openxmlformats.org/officeDocument/2006/relationships/endnotes" Target="endnotes.xml"/><Relationship Id="rId19" Type="http://schemas.openxmlformats.org/officeDocument/2006/relationships/hyperlink" Target="https://covid19.govt.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system/files/documents/publications/updated-covid-19-maori-health-response-plan-jul20.pdf" TargetMode="External"/><Relationship Id="rId22" Type="http://schemas.openxmlformats.org/officeDocument/2006/relationships/hyperlink" Target="https://www.health.govt.nz/system/files/documents/publications/whakamaua-maori-health-action-plan-2020-2025-2.pdf" TargetMode="External"/><Relationship Id="rId27" Type="http://schemas.openxmlformats.org/officeDocument/2006/relationships/image" Target="media/image4.PNG"/><Relationship Id="rId30"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diseases-and-conditions/covid-19-novel-coronavirus/covid-19-data-and-statistics/covid-19-current-cases" TargetMode="External"/><Relationship Id="rId2" Type="http://schemas.openxmlformats.org/officeDocument/2006/relationships/hyperlink" Target="https://www.stats.govt.nz/about-us/what-we-do/mana-orite-relationship-agreement/" TargetMode="External"/><Relationship Id="rId1" Type="http://schemas.openxmlformats.org/officeDocument/2006/relationships/hyperlink" Target="https://www.health.govt.nz/publication/hiso-100012017-ethnicity-data-protocol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mohgovtnz-my.sharepoint.com/personal/peter_himona_health_govt_nz/Documents/Desktop/Excel/cases_by_ethnicity_timese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628415176679138E-2"/>
          <c:y val="5.2660604477395331E-2"/>
          <c:w val="0.9022637450555222"/>
          <c:h val="0.55467248835868921"/>
        </c:manualLayout>
      </c:layout>
      <c:lineChart>
        <c:grouping val="standard"/>
        <c:varyColors val="0"/>
        <c:ser>
          <c:idx val="0"/>
          <c:order val="0"/>
          <c:tx>
            <c:strRef>
              <c:f>cases_by_ethnicity_timeseries!$O$2</c:f>
              <c:strCache>
                <c:ptCount val="1"/>
                <c:pt idx="0">
                  <c:v>Māori</c:v>
                </c:pt>
              </c:strCache>
            </c:strRef>
          </c:tx>
          <c:spPr>
            <a:ln w="28575" cap="rnd">
              <a:solidFill>
                <a:schemeClr val="accent1"/>
              </a:solidFill>
              <a:round/>
            </a:ln>
            <a:effectLst/>
          </c:spPr>
          <c:marker>
            <c:symbol val="none"/>
          </c:marker>
          <c:cat>
            <c:numRef>
              <c:f>cases_by_ethnicity_timeseries!$N$3:$N$267</c:f>
              <c:numCache>
                <c:formatCode>m/d/yyyy</c:formatCode>
                <c:ptCount val="265"/>
                <c:pt idx="0">
                  <c:v>43887</c:v>
                </c:pt>
                <c:pt idx="1">
                  <c:v>43892</c:v>
                </c:pt>
                <c:pt idx="2">
                  <c:v>43894</c:v>
                </c:pt>
                <c:pt idx="3">
                  <c:v>43895</c:v>
                </c:pt>
                <c:pt idx="4">
                  <c:v>43896</c:v>
                </c:pt>
                <c:pt idx="5">
                  <c:v>43902</c:v>
                </c:pt>
                <c:pt idx="6">
                  <c:v>43903</c:v>
                </c:pt>
                <c:pt idx="7">
                  <c:v>43904</c:v>
                </c:pt>
                <c:pt idx="8">
                  <c:v>43905</c:v>
                </c:pt>
                <c:pt idx="9">
                  <c:v>43906</c:v>
                </c:pt>
                <c:pt idx="10">
                  <c:v>43907</c:v>
                </c:pt>
                <c:pt idx="11">
                  <c:v>43908</c:v>
                </c:pt>
                <c:pt idx="12">
                  <c:v>43909</c:v>
                </c:pt>
                <c:pt idx="13">
                  <c:v>43910</c:v>
                </c:pt>
                <c:pt idx="14">
                  <c:v>43911</c:v>
                </c:pt>
                <c:pt idx="15">
                  <c:v>43912</c:v>
                </c:pt>
                <c:pt idx="16">
                  <c:v>43913</c:v>
                </c:pt>
                <c:pt idx="17">
                  <c:v>43914</c:v>
                </c:pt>
                <c:pt idx="18">
                  <c:v>43915</c:v>
                </c:pt>
                <c:pt idx="19">
                  <c:v>43916</c:v>
                </c:pt>
                <c:pt idx="20">
                  <c:v>43917</c:v>
                </c:pt>
                <c:pt idx="21">
                  <c:v>43918</c:v>
                </c:pt>
                <c:pt idx="22">
                  <c:v>43919</c:v>
                </c:pt>
                <c:pt idx="23">
                  <c:v>43920</c:v>
                </c:pt>
                <c:pt idx="24">
                  <c:v>43921</c:v>
                </c:pt>
                <c:pt idx="25">
                  <c:v>43922</c:v>
                </c:pt>
                <c:pt idx="26">
                  <c:v>43923</c:v>
                </c:pt>
                <c:pt idx="27">
                  <c:v>43924</c:v>
                </c:pt>
                <c:pt idx="28">
                  <c:v>43925</c:v>
                </c:pt>
                <c:pt idx="29">
                  <c:v>43926</c:v>
                </c:pt>
                <c:pt idx="30">
                  <c:v>43927</c:v>
                </c:pt>
                <c:pt idx="31">
                  <c:v>43928</c:v>
                </c:pt>
                <c:pt idx="32">
                  <c:v>43929</c:v>
                </c:pt>
                <c:pt idx="33">
                  <c:v>43930</c:v>
                </c:pt>
                <c:pt idx="34">
                  <c:v>43931</c:v>
                </c:pt>
                <c:pt idx="35">
                  <c:v>43932</c:v>
                </c:pt>
                <c:pt idx="36">
                  <c:v>43933</c:v>
                </c:pt>
                <c:pt idx="37">
                  <c:v>43934</c:v>
                </c:pt>
                <c:pt idx="38">
                  <c:v>43935</c:v>
                </c:pt>
                <c:pt idx="39">
                  <c:v>43936</c:v>
                </c:pt>
                <c:pt idx="40">
                  <c:v>43937</c:v>
                </c:pt>
                <c:pt idx="41">
                  <c:v>43938</c:v>
                </c:pt>
                <c:pt idx="42">
                  <c:v>43939</c:v>
                </c:pt>
                <c:pt idx="43">
                  <c:v>43940</c:v>
                </c:pt>
                <c:pt idx="44">
                  <c:v>43941</c:v>
                </c:pt>
                <c:pt idx="45">
                  <c:v>43942</c:v>
                </c:pt>
                <c:pt idx="46">
                  <c:v>43943</c:v>
                </c:pt>
                <c:pt idx="47">
                  <c:v>43944</c:v>
                </c:pt>
                <c:pt idx="48">
                  <c:v>43945</c:v>
                </c:pt>
                <c:pt idx="49">
                  <c:v>43946</c:v>
                </c:pt>
                <c:pt idx="50">
                  <c:v>43947</c:v>
                </c:pt>
                <c:pt idx="51">
                  <c:v>43948</c:v>
                </c:pt>
                <c:pt idx="52">
                  <c:v>43949</c:v>
                </c:pt>
                <c:pt idx="53">
                  <c:v>43950</c:v>
                </c:pt>
                <c:pt idx="54">
                  <c:v>43951</c:v>
                </c:pt>
                <c:pt idx="55">
                  <c:v>43952</c:v>
                </c:pt>
                <c:pt idx="56">
                  <c:v>43954</c:v>
                </c:pt>
                <c:pt idx="57">
                  <c:v>43956</c:v>
                </c:pt>
                <c:pt idx="58">
                  <c:v>43957</c:v>
                </c:pt>
                <c:pt idx="59">
                  <c:v>43958</c:v>
                </c:pt>
                <c:pt idx="60">
                  <c:v>43959</c:v>
                </c:pt>
                <c:pt idx="61">
                  <c:v>43960</c:v>
                </c:pt>
                <c:pt idx="62">
                  <c:v>43961</c:v>
                </c:pt>
                <c:pt idx="63">
                  <c:v>43965</c:v>
                </c:pt>
                <c:pt idx="64">
                  <c:v>43966</c:v>
                </c:pt>
                <c:pt idx="65">
                  <c:v>43973</c:v>
                </c:pt>
                <c:pt idx="66">
                  <c:v>43998</c:v>
                </c:pt>
                <c:pt idx="67">
                  <c:v>43999</c:v>
                </c:pt>
                <c:pt idx="68">
                  <c:v>44001</c:v>
                </c:pt>
                <c:pt idx="69">
                  <c:v>44002</c:v>
                </c:pt>
                <c:pt idx="70">
                  <c:v>44003</c:v>
                </c:pt>
                <c:pt idx="71">
                  <c:v>44004</c:v>
                </c:pt>
                <c:pt idx="72">
                  <c:v>44005</c:v>
                </c:pt>
                <c:pt idx="73">
                  <c:v>44006</c:v>
                </c:pt>
                <c:pt idx="74">
                  <c:v>44007</c:v>
                </c:pt>
                <c:pt idx="75">
                  <c:v>44008</c:v>
                </c:pt>
                <c:pt idx="76">
                  <c:v>44009</c:v>
                </c:pt>
                <c:pt idx="77">
                  <c:v>44010</c:v>
                </c:pt>
                <c:pt idx="78">
                  <c:v>44011</c:v>
                </c:pt>
                <c:pt idx="79">
                  <c:v>44013</c:v>
                </c:pt>
                <c:pt idx="80">
                  <c:v>44014</c:v>
                </c:pt>
                <c:pt idx="81">
                  <c:v>44017</c:v>
                </c:pt>
                <c:pt idx="82">
                  <c:v>44018</c:v>
                </c:pt>
                <c:pt idx="83">
                  <c:v>44019</c:v>
                </c:pt>
                <c:pt idx="84">
                  <c:v>44020</c:v>
                </c:pt>
                <c:pt idx="85">
                  <c:v>44021</c:v>
                </c:pt>
                <c:pt idx="86">
                  <c:v>44023</c:v>
                </c:pt>
                <c:pt idx="87">
                  <c:v>44025</c:v>
                </c:pt>
                <c:pt idx="88">
                  <c:v>44026</c:v>
                </c:pt>
                <c:pt idx="89">
                  <c:v>44028</c:v>
                </c:pt>
                <c:pt idx="90">
                  <c:v>44029</c:v>
                </c:pt>
                <c:pt idx="91">
                  <c:v>44030</c:v>
                </c:pt>
                <c:pt idx="92">
                  <c:v>44031</c:v>
                </c:pt>
                <c:pt idx="93">
                  <c:v>44032</c:v>
                </c:pt>
                <c:pt idx="94">
                  <c:v>44036</c:v>
                </c:pt>
                <c:pt idx="95">
                  <c:v>44039</c:v>
                </c:pt>
                <c:pt idx="96">
                  <c:v>44040</c:v>
                </c:pt>
                <c:pt idx="97">
                  <c:v>44041</c:v>
                </c:pt>
                <c:pt idx="98">
                  <c:v>44043</c:v>
                </c:pt>
                <c:pt idx="99">
                  <c:v>44044</c:v>
                </c:pt>
                <c:pt idx="100">
                  <c:v>44045</c:v>
                </c:pt>
                <c:pt idx="101">
                  <c:v>44047</c:v>
                </c:pt>
                <c:pt idx="102">
                  <c:v>44054</c:v>
                </c:pt>
                <c:pt idx="103">
                  <c:v>44055</c:v>
                </c:pt>
                <c:pt idx="104">
                  <c:v>44056</c:v>
                </c:pt>
                <c:pt idx="105">
                  <c:v>44057</c:v>
                </c:pt>
                <c:pt idx="106">
                  <c:v>44058</c:v>
                </c:pt>
                <c:pt idx="107">
                  <c:v>44059</c:v>
                </c:pt>
                <c:pt idx="108">
                  <c:v>44060</c:v>
                </c:pt>
                <c:pt idx="109">
                  <c:v>44061</c:v>
                </c:pt>
                <c:pt idx="110">
                  <c:v>44062</c:v>
                </c:pt>
                <c:pt idx="111">
                  <c:v>44063</c:v>
                </c:pt>
                <c:pt idx="112">
                  <c:v>44064</c:v>
                </c:pt>
                <c:pt idx="113">
                  <c:v>44065</c:v>
                </c:pt>
                <c:pt idx="114">
                  <c:v>44066</c:v>
                </c:pt>
                <c:pt idx="115">
                  <c:v>44067</c:v>
                </c:pt>
                <c:pt idx="116">
                  <c:v>44068</c:v>
                </c:pt>
                <c:pt idx="117">
                  <c:v>44069</c:v>
                </c:pt>
                <c:pt idx="118">
                  <c:v>44070</c:v>
                </c:pt>
                <c:pt idx="119">
                  <c:v>44071</c:v>
                </c:pt>
                <c:pt idx="120">
                  <c:v>44072</c:v>
                </c:pt>
                <c:pt idx="121">
                  <c:v>44073</c:v>
                </c:pt>
                <c:pt idx="122">
                  <c:v>44074</c:v>
                </c:pt>
                <c:pt idx="123">
                  <c:v>44075</c:v>
                </c:pt>
                <c:pt idx="124">
                  <c:v>44076</c:v>
                </c:pt>
                <c:pt idx="125">
                  <c:v>44077</c:v>
                </c:pt>
                <c:pt idx="126">
                  <c:v>44078</c:v>
                </c:pt>
                <c:pt idx="127">
                  <c:v>44079</c:v>
                </c:pt>
                <c:pt idx="128">
                  <c:v>44080</c:v>
                </c:pt>
                <c:pt idx="129">
                  <c:v>44081</c:v>
                </c:pt>
                <c:pt idx="130">
                  <c:v>44082</c:v>
                </c:pt>
                <c:pt idx="131">
                  <c:v>44083</c:v>
                </c:pt>
                <c:pt idx="132">
                  <c:v>44084</c:v>
                </c:pt>
                <c:pt idx="133">
                  <c:v>44085</c:v>
                </c:pt>
                <c:pt idx="134">
                  <c:v>44086</c:v>
                </c:pt>
                <c:pt idx="135">
                  <c:v>44087</c:v>
                </c:pt>
                <c:pt idx="136">
                  <c:v>44088</c:v>
                </c:pt>
                <c:pt idx="137">
                  <c:v>44090</c:v>
                </c:pt>
                <c:pt idx="138">
                  <c:v>44092</c:v>
                </c:pt>
                <c:pt idx="139">
                  <c:v>44093</c:v>
                </c:pt>
                <c:pt idx="140">
                  <c:v>44095</c:v>
                </c:pt>
                <c:pt idx="141">
                  <c:v>44096</c:v>
                </c:pt>
                <c:pt idx="142">
                  <c:v>44097</c:v>
                </c:pt>
                <c:pt idx="143">
                  <c:v>44098</c:v>
                </c:pt>
                <c:pt idx="144">
                  <c:v>44099</c:v>
                </c:pt>
                <c:pt idx="145">
                  <c:v>44100</c:v>
                </c:pt>
                <c:pt idx="146">
                  <c:v>44101</c:v>
                </c:pt>
                <c:pt idx="147">
                  <c:v>44102</c:v>
                </c:pt>
                <c:pt idx="148">
                  <c:v>44104</c:v>
                </c:pt>
                <c:pt idx="149">
                  <c:v>44105</c:v>
                </c:pt>
                <c:pt idx="150">
                  <c:v>44106</c:v>
                </c:pt>
                <c:pt idx="151">
                  <c:v>44107</c:v>
                </c:pt>
                <c:pt idx="152">
                  <c:v>44108</c:v>
                </c:pt>
                <c:pt idx="153">
                  <c:v>44109</c:v>
                </c:pt>
                <c:pt idx="154">
                  <c:v>44110</c:v>
                </c:pt>
                <c:pt idx="155">
                  <c:v>44111</c:v>
                </c:pt>
                <c:pt idx="156">
                  <c:v>44112</c:v>
                </c:pt>
                <c:pt idx="157">
                  <c:v>44113</c:v>
                </c:pt>
                <c:pt idx="158">
                  <c:v>44115</c:v>
                </c:pt>
                <c:pt idx="159">
                  <c:v>44116</c:v>
                </c:pt>
                <c:pt idx="160">
                  <c:v>44117</c:v>
                </c:pt>
                <c:pt idx="161">
                  <c:v>44118</c:v>
                </c:pt>
                <c:pt idx="162">
                  <c:v>44119</c:v>
                </c:pt>
                <c:pt idx="163">
                  <c:v>44120</c:v>
                </c:pt>
                <c:pt idx="164">
                  <c:v>44121</c:v>
                </c:pt>
                <c:pt idx="165">
                  <c:v>44122</c:v>
                </c:pt>
                <c:pt idx="166">
                  <c:v>44123</c:v>
                </c:pt>
                <c:pt idx="167">
                  <c:v>44124</c:v>
                </c:pt>
                <c:pt idx="168">
                  <c:v>44125</c:v>
                </c:pt>
                <c:pt idx="169">
                  <c:v>44126</c:v>
                </c:pt>
                <c:pt idx="170">
                  <c:v>44127</c:v>
                </c:pt>
                <c:pt idx="171">
                  <c:v>44129</c:v>
                </c:pt>
                <c:pt idx="172">
                  <c:v>44130</c:v>
                </c:pt>
                <c:pt idx="173">
                  <c:v>44131</c:v>
                </c:pt>
                <c:pt idx="174">
                  <c:v>44132</c:v>
                </c:pt>
                <c:pt idx="175">
                  <c:v>44133</c:v>
                </c:pt>
                <c:pt idx="176">
                  <c:v>44134</c:v>
                </c:pt>
                <c:pt idx="177">
                  <c:v>44135</c:v>
                </c:pt>
                <c:pt idx="178">
                  <c:v>44136</c:v>
                </c:pt>
                <c:pt idx="179">
                  <c:v>44137</c:v>
                </c:pt>
                <c:pt idx="180">
                  <c:v>44138</c:v>
                </c:pt>
                <c:pt idx="181">
                  <c:v>44139</c:v>
                </c:pt>
                <c:pt idx="182">
                  <c:v>44140</c:v>
                </c:pt>
                <c:pt idx="183">
                  <c:v>44141</c:v>
                </c:pt>
                <c:pt idx="184">
                  <c:v>44142</c:v>
                </c:pt>
                <c:pt idx="185">
                  <c:v>44143</c:v>
                </c:pt>
                <c:pt idx="186">
                  <c:v>44144</c:v>
                </c:pt>
                <c:pt idx="187">
                  <c:v>44145</c:v>
                </c:pt>
                <c:pt idx="188">
                  <c:v>44146</c:v>
                </c:pt>
                <c:pt idx="189">
                  <c:v>44147</c:v>
                </c:pt>
                <c:pt idx="190">
                  <c:v>44148</c:v>
                </c:pt>
                <c:pt idx="191">
                  <c:v>44149</c:v>
                </c:pt>
                <c:pt idx="192">
                  <c:v>44150</c:v>
                </c:pt>
                <c:pt idx="193">
                  <c:v>44151</c:v>
                </c:pt>
                <c:pt idx="194">
                  <c:v>44152</c:v>
                </c:pt>
                <c:pt idx="195">
                  <c:v>44153</c:v>
                </c:pt>
                <c:pt idx="196">
                  <c:v>44154</c:v>
                </c:pt>
                <c:pt idx="197">
                  <c:v>44155</c:v>
                </c:pt>
                <c:pt idx="198">
                  <c:v>44156</c:v>
                </c:pt>
                <c:pt idx="199">
                  <c:v>44157</c:v>
                </c:pt>
                <c:pt idx="200">
                  <c:v>44158</c:v>
                </c:pt>
                <c:pt idx="201">
                  <c:v>44159</c:v>
                </c:pt>
                <c:pt idx="202">
                  <c:v>44160</c:v>
                </c:pt>
                <c:pt idx="203">
                  <c:v>44161</c:v>
                </c:pt>
                <c:pt idx="204">
                  <c:v>44162</c:v>
                </c:pt>
                <c:pt idx="205">
                  <c:v>44163</c:v>
                </c:pt>
                <c:pt idx="206">
                  <c:v>44164</c:v>
                </c:pt>
                <c:pt idx="207">
                  <c:v>44165</c:v>
                </c:pt>
                <c:pt idx="208">
                  <c:v>44166</c:v>
                </c:pt>
                <c:pt idx="209">
                  <c:v>44167</c:v>
                </c:pt>
                <c:pt idx="210">
                  <c:v>44168</c:v>
                </c:pt>
                <c:pt idx="211">
                  <c:v>44169</c:v>
                </c:pt>
                <c:pt idx="212">
                  <c:v>44171</c:v>
                </c:pt>
                <c:pt idx="213">
                  <c:v>44172</c:v>
                </c:pt>
                <c:pt idx="214">
                  <c:v>44173</c:v>
                </c:pt>
                <c:pt idx="215">
                  <c:v>44174</c:v>
                </c:pt>
                <c:pt idx="216">
                  <c:v>44175</c:v>
                </c:pt>
                <c:pt idx="217">
                  <c:v>44176</c:v>
                </c:pt>
                <c:pt idx="218">
                  <c:v>44177</c:v>
                </c:pt>
                <c:pt idx="219">
                  <c:v>44179</c:v>
                </c:pt>
                <c:pt idx="220">
                  <c:v>44181</c:v>
                </c:pt>
                <c:pt idx="221">
                  <c:v>44182</c:v>
                </c:pt>
                <c:pt idx="222">
                  <c:v>44183</c:v>
                </c:pt>
                <c:pt idx="223">
                  <c:v>44184</c:v>
                </c:pt>
                <c:pt idx="224">
                  <c:v>44185</c:v>
                </c:pt>
                <c:pt idx="225">
                  <c:v>44186</c:v>
                </c:pt>
                <c:pt idx="226">
                  <c:v>44187</c:v>
                </c:pt>
                <c:pt idx="227">
                  <c:v>44188</c:v>
                </c:pt>
                <c:pt idx="228">
                  <c:v>44189</c:v>
                </c:pt>
                <c:pt idx="229">
                  <c:v>44190</c:v>
                </c:pt>
                <c:pt idx="230">
                  <c:v>44191</c:v>
                </c:pt>
                <c:pt idx="231">
                  <c:v>44192</c:v>
                </c:pt>
                <c:pt idx="232">
                  <c:v>44193</c:v>
                </c:pt>
                <c:pt idx="233">
                  <c:v>44194</c:v>
                </c:pt>
                <c:pt idx="234">
                  <c:v>44195</c:v>
                </c:pt>
                <c:pt idx="235">
                  <c:v>44196</c:v>
                </c:pt>
                <c:pt idx="236">
                  <c:v>44197</c:v>
                </c:pt>
                <c:pt idx="237">
                  <c:v>44198</c:v>
                </c:pt>
                <c:pt idx="238">
                  <c:v>44199</c:v>
                </c:pt>
                <c:pt idx="239">
                  <c:v>44200</c:v>
                </c:pt>
                <c:pt idx="240">
                  <c:v>44201</c:v>
                </c:pt>
                <c:pt idx="241">
                  <c:v>44202</c:v>
                </c:pt>
                <c:pt idx="242">
                  <c:v>44203</c:v>
                </c:pt>
                <c:pt idx="243">
                  <c:v>44204</c:v>
                </c:pt>
                <c:pt idx="244">
                  <c:v>44205</c:v>
                </c:pt>
                <c:pt idx="245">
                  <c:v>44206</c:v>
                </c:pt>
                <c:pt idx="246">
                  <c:v>44207</c:v>
                </c:pt>
                <c:pt idx="247">
                  <c:v>44208</c:v>
                </c:pt>
                <c:pt idx="248">
                  <c:v>44209</c:v>
                </c:pt>
                <c:pt idx="249">
                  <c:v>44210</c:v>
                </c:pt>
                <c:pt idx="250">
                  <c:v>44211</c:v>
                </c:pt>
                <c:pt idx="251">
                  <c:v>44212</c:v>
                </c:pt>
                <c:pt idx="252">
                  <c:v>44213</c:v>
                </c:pt>
                <c:pt idx="253">
                  <c:v>44214</c:v>
                </c:pt>
                <c:pt idx="254">
                  <c:v>44215</c:v>
                </c:pt>
                <c:pt idx="255">
                  <c:v>44216</c:v>
                </c:pt>
                <c:pt idx="256">
                  <c:v>44217</c:v>
                </c:pt>
                <c:pt idx="257">
                  <c:v>44218</c:v>
                </c:pt>
                <c:pt idx="258">
                  <c:v>44219</c:v>
                </c:pt>
                <c:pt idx="259">
                  <c:v>44220</c:v>
                </c:pt>
                <c:pt idx="260">
                  <c:v>44221</c:v>
                </c:pt>
                <c:pt idx="261">
                  <c:v>44222</c:v>
                </c:pt>
                <c:pt idx="262">
                  <c:v>44223</c:v>
                </c:pt>
                <c:pt idx="263">
                  <c:v>44224</c:v>
                </c:pt>
                <c:pt idx="264">
                  <c:v>44225</c:v>
                </c:pt>
              </c:numCache>
            </c:numRef>
          </c:cat>
          <c:val>
            <c:numRef>
              <c:f>cases_by_ethnicity_timeseries!$O$3:$O$267</c:f>
              <c:numCache>
                <c:formatCode>0.0</c:formatCode>
                <c:ptCount val="265"/>
                <c:pt idx="0">
                  <c:v>0</c:v>
                </c:pt>
                <c:pt idx="1">
                  <c:v>0</c:v>
                </c:pt>
                <c:pt idx="2">
                  <c:v>0</c:v>
                </c:pt>
                <c:pt idx="3">
                  <c:v>0</c:v>
                </c:pt>
                <c:pt idx="4">
                  <c:v>0</c:v>
                </c:pt>
                <c:pt idx="5">
                  <c:v>0</c:v>
                </c:pt>
                <c:pt idx="6">
                  <c:v>0</c:v>
                </c:pt>
                <c:pt idx="7">
                  <c:v>0</c:v>
                </c:pt>
                <c:pt idx="8">
                  <c:v>0</c:v>
                </c:pt>
                <c:pt idx="9">
                  <c:v>0</c:v>
                </c:pt>
                <c:pt idx="10">
                  <c:v>0.12077878158365139</c:v>
                </c:pt>
                <c:pt idx="11">
                  <c:v>0.12077878158365139</c:v>
                </c:pt>
                <c:pt idx="12">
                  <c:v>0.12077878158365139</c:v>
                </c:pt>
                <c:pt idx="13">
                  <c:v>0.24155756316730279</c:v>
                </c:pt>
                <c:pt idx="14">
                  <c:v>0.24155756316730279</c:v>
                </c:pt>
                <c:pt idx="15">
                  <c:v>0.36233634475095416</c:v>
                </c:pt>
                <c:pt idx="16">
                  <c:v>0.48311512633460557</c:v>
                </c:pt>
                <c:pt idx="17">
                  <c:v>1.2077878158365138</c:v>
                </c:pt>
                <c:pt idx="18">
                  <c:v>1.4493453790038167</c:v>
                </c:pt>
                <c:pt idx="19">
                  <c:v>1.9324605053384223</c:v>
                </c:pt>
                <c:pt idx="20">
                  <c:v>2.7779119764239817</c:v>
                </c:pt>
                <c:pt idx="21">
                  <c:v>3.1402483211749361</c:v>
                </c:pt>
                <c:pt idx="22">
                  <c:v>4.3480361370114498</c:v>
                </c:pt>
                <c:pt idx="23">
                  <c:v>5.314266389680661</c:v>
                </c:pt>
                <c:pt idx="24">
                  <c:v>6.8843905502681295</c:v>
                </c:pt>
                <c:pt idx="25">
                  <c:v>7.9713995845209915</c:v>
                </c:pt>
                <c:pt idx="26">
                  <c:v>8.4545147108555962</c:v>
                </c:pt>
                <c:pt idx="27">
                  <c:v>9.2999661819411568</c:v>
                </c:pt>
                <c:pt idx="28">
                  <c:v>10.870090342528623</c:v>
                </c:pt>
                <c:pt idx="29">
                  <c:v>11.715541813614184</c:v>
                </c:pt>
                <c:pt idx="30">
                  <c:v>12.319435721532441</c:v>
                </c:pt>
                <c:pt idx="31">
                  <c:v>13.044108411034349</c:v>
                </c:pt>
                <c:pt idx="32">
                  <c:v>13.164887192618002</c:v>
                </c:pt>
                <c:pt idx="33">
                  <c:v>13.889559882119908</c:v>
                </c:pt>
                <c:pt idx="34">
                  <c:v>13.889559882119908</c:v>
                </c:pt>
                <c:pt idx="35">
                  <c:v>14.131117445287213</c:v>
                </c:pt>
                <c:pt idx="36">
                  <c:v>14.251896226870862</c:v>
                </c:pt>
                <c:pt idx="37">
                  <c:v>14.372675008454515</c:v>
                </c:pt>
                <c:pt idx="38">
                  <c:v>14.735011353205469</c:v>
                </c:pt>
                <c:pt idx="39">
                  <c:v>15.097347697956424</c:v>
                </c:pt>
                <c:pt idx="40">
                  <c:v>15.218126479540073</c:v>
                </c:pt>
                <c:pt idx="41">
                  <c:v>15.338905261123726</c:v>
                </c:pt>
                <c:pt idx="42">
                  <c:v>15.338905261123726</c:v>
                </c:pt>
                <c:pt idx="43">
                  <c:v>15.459684042707378</c:v>
                </c:pt>
                <c:pt idx="44">
                  <c:v>15.459684042707378</c:v>
                </c:pt>
                <c:pt idx="45">
                  <c:v>15.459684042707378</c:v>
                </c:pt>
                <c:pt idx="46">
                  <c:v>15.459684042707378</c:v>
                </c:pt>
                <c:pt idx="47">
                  <c:v>15.459684042707378</c:v>
                </c:pt>
                <c:pt idx="48">
                  <c:v>15.70124160587468</c:v>
                </c:pt>
                <c:pt idx="49">
                  <c:v>15.70124160587468</c:v>
                </c:pt>
                <c:pt idx="50">
                  <c:v>15.70124160587468</c:v>
                </c:pt>
                <c:pt idx="51">
                  <c:v>15.70124160587468</c:v>
                </c:pt>
                <c:pt idx="52">
                  <c:v>15.70124160587468</c:v>
                </c:pt>
                <c:pt idx="53">
                  <c:v>15.70124160587468</c:v>
                </c:pt>
                <c:pt idx="54">
                  <c:v>15.70124160587468</c:v>
                </c:pt>
                <c:pt idx="55">
                  <c:v>15.70124160587468</c:v>
                </c:pt>
                <c:pt idx="56">
                  <c:v>15.70124160587468</c:v>
                </c:pt>
                <c:pt idx="57">
                  <c:v>15.70124160587468</c:v>
                </c:pt>
                <c:pt idx="58">
                  <c:v>15.70124160587468</c:v>
                </c:pt>
                <c:pt idx="59">
                  <c:v>15.70124160587468</c:v>
                </c:pt>
                <c:pt idx="60">
                  <c:v>15.70124160587468</c:v>
                </c:pt>
                <c:pt idx="61">
                  <c:v>15.70124160587468</c:v>
                </c:pt>
                <c:pt idx="62">
                  <c:v>15.70124160587468</c:v>
                </c:pt>
                <c:pt idx="63">
                  <c:v>15.70124160587468</c:v>
                </c:pt>
                <c:pt idx="64">
                  <c:v>15.70124160587468</c:v>
                </c:pt>
                <c:pt idx="65">
                  <c:v>15.70124160587468</c:v>
                </c:pt>
                <c:pt idx="66">
                  <c:v>15.70124160587468</c:v>
                </c:pt>
                <c:pt idx="67">
                  <c:v>15.70124160587468</c:v>
                </c:pt>
                <c:pt idx="68">
                  <c:v>15.70124160587468</c:v>
                </c:pt>
                <c:pt idx="69">
                  <c:v>15.70124160587468</c:v>
                </c:pt>
                <c:pt idx="70">
                  <c:v>15.70124160587468</c:v>
                </c:pt>
                <c:pt idx="71">
                  <c:v>15.70124160587468</c:v>
                </c:pt>
                <c:pt idx="72">
                  <c:v>15.70124160587468</c:v>
                </c:pt>
                <c:pt idx="73">
                  <c:v>15.70124160587468</c:v>
                </c:pt>
                <c:pt idx="74">
                  <c:v>15.70124160587468</c:v>
                </c:pt>
                <c:pt idx="75">
                  <c:v>15.70124160587468</c:v>
                </c:pt>
                <c:pt idx="76">
                  <c:v>15.70124160587468</c:v>
                </c:pt>
                <c:pt idx="77">
                  <c:v>15.70124160587468</c:v>
                </c:pt>
                <c:pt idx="78">
                  <c:v>15.70124160587468</c:v>
                </c:pt>
                <c:pt idx="79">
                  <c:v>15.70124160587468</c:v>
                </c:pt>
                <c:pt idx="80">
                  <c:v>15.70124160587468</c:v>
                </c:pt>
                <c:pt idx="81">
                  <c:v>15.70124160587468</c:v>
                </c:pt>
                <c:pt idx="82">
                  <c:v>15.70124160587468</c:v>
                </c:pt>
                <c:pt idx="83">
                  <c:v>15.70124160587468</c:v>
                </c:pt>
                <c:pt idx="84">
                  <c:v>15.70124160587468</c:v>
                </c:pt>
                <c:pt idx="85">
                  <c:v>15.70124160587468</c:v>
                </c:pt>
                <c:pt idx="86">
                  <c:v>15.70124160587468</c:v>
                </c:pt>
                <c:pt idx="87">
                  <c:v>15.70124160587468</c:v>
                </c:pt>
                <c:pt idx="88">
                  <c:v>15.70124160587468</c:v>
                </c:pt>
                <c:pt idx="89">
                  <c:v>15.70124160587468</c:v>
                </c:pt>
                <c:pt idx="90">
                  <c:v>15.822020387458332</c:v>
                </c:pt>
                <c:pt idx="91">
                  <c:v>15.822020387458332</c:v>
                </c:pt>
                <c:pt idx="92">
                  <c:v>15.822020387458332</c:v>
                </c:pt>
                <c:pt idx="93">
                  <c:v>15.822020387458332</c:v>
                </c:pt>
                <c:pt idx="94">
                  <c:v>15.942799169041983</c:v>
                </c:pt>
                <c:pt idx="95">
                  <c:v>15.942799169041983</c:v>
                </c:pt>
                <c:pt idx="96">
                  <c:v>15.942799169041983</c:v>
                </c:pt>
                <c:pt idx="97">
                  <c:v>15.942799169041983</c:v>
                </c:pt>
                <c:pt idx="98">
                  <c:v>15.942799169041983</c:v>
                </c:pt>
                <c:pt idx="99">
                  <c:v>15.942799169041983</c:v>
                </c:pt>
                <c:pt idx="100">
                  <c:v>15.942799169041983</c:v>
                </c:pt>
                <c:pt idx="101">
                  <c:v>15.942799169041983</c:v>
                </c:pt>
                <c:pt idx="102">
                  <c:v>15.942799169041983</c:v>
                </c:pt>
                <c:pt idx="103">
                  <c:v>16.546693076960238</c:v>
                </c:pt>
                <c:pt idx="104">
                  <c:v>16.909029421711192</c:v>
                </c:pt>
                <c:pt idx="105">
                  <c:v>16.909029421711192</c:v>
                </c:pt>
                <c:pt idx="106">
                  <c:v>16.909029421711192</c:v>
                </c:pt>
                <c:pt idx="107">
                  <c:v>17.029808203294845</c:v>
                </c:pt>
                <c:pt idx="108">
                  <c:v>17.029808203294845</c:v>
                </c:pt>
                <c:pt idx="109">
                  <c:v>17.150586984878494</c:v>
                </c:pt>
                <c:pt idx="110">
                  <c:v>17.271365766462146</c:v>
                </c:pt>
                <c:pt idx="111">
                  <c:v>17.271365766462146</c:v>
                </c:pt>
                <c:pt idx="112">
                  <c:v>17.392144548045799</c:v>
                </c:pt>
                <c:pt idx="113">
                  <c:v>17.512923329629448</c:v>
                </c:pt>
                <c:pt idx="114">
                  <c:v>17.6337021112131</c:v>
                </c:pt>
                <c:pt idx="115">
                  <c:v>17.996038455964058</c:v>
                </c:pt>
                <c:pt idx="116">
                  <c:v>18.23759601913136</c:v>
                </c:pt>
                <c:pt idx="117">
                  <c:v>18.720711145465966</c:v>
                </c:pt>
                <c:pt idx="118">
                  <c:v>19.203826271800569</c:v>
                </c:pt>
                <c:pt idx="119">
                  <c:v>19.807720179718824</c:v>
                </c:pt>
                <c:pt idx="120">
                  <c:v>19.928498961302477</c:v>
                </c:pt>
                <c:pt idx="121">
                  <c:v>20.170056524469782</c:v>
                </c:pt>
                <c:pt idx="122">
                  <c:v>20.170056524469782</c:v>
                </c:pt>
                <c:pt idx="123">
                  <c:v>20.170056524469782</c:v>
                </c:pt>
                <c:pt idx="124">
                  <c:v>20.411614087637084</c:v>
                </c:pt>
                <c:pt idx="125">
                  <c:v>20.653171650804389</c:v>
                </c:pt>
                <c:pt idx="126">
                  <c:v>20.653171650804389</c:v>
                </c:pt>
                <c:pt idx="127">
                  <c:v>21.015507995555343</c:v>
                </c:pt>
                <c:pt idx="128">
                  <c:v>21.136286777138992</c:v>
                </c:pt>
                <c:pt idx="129">
                  <c:v>21.136286777138992</c:v>
                </c:pt>
                <c:pt idx="130">
                  <c:v>21.498623121889946</c:v>
                </c:pt>
                <c:pt idx="131">
                  <c:v>21.498623121889946</c:v>
                </c:pt>
                <c:pt idx="132">
                  <c:v>21.498623121889946</c:v>
                </c:pt>
                <c:pt idx="133">
                  <c:v>21.740180685057247</c:v>
                </c:pt>
                <c:pt idx="134">
                  <c:v>21.740180685057247</c:v>
                </c:pt>
                <c:pt idx="135">
                  <c:v>21.740180685057247</c:v>
                </c:pt>
                <c:pt idx="136">
                  <c:v>21.740180685057247</c:v>
                </c:pt>
                <c:pt idx="137">
                  <c:v>21.740180685057247</c:v>
                </c:pt>
                <c:pt idx="138">
                  <c:v>21.740180685057247</c:v>
                </c:pt>
                <c:pt idx="139">
                  <c:v>21.740180685057247</c:v>
                </c:pt>
                <c:pt idx="140">
                  <c:v>21.740180685057247</c:v>
                </c:pt>
                <c:pt idx="141">
                  <c:v>21.740180685057247</c:v>
                </c:pt>
                <c:pt idx="142">
                  <c:v>21.8609594666409</c:v>
                </c:pt>
                <c:pt idx="143">
                  <c:v>21.981738248224552</c:v>
                </c:pt>
                <c:pt idx="144">
                  <c:v>21.981738248224552</c:v>
                </c:pt>
                <c:pt idx="145">
                  <c:v>21.981738248224552</c:v>
                </c:pt>
                <c:pt idx="146">
                  <c:v>21.981738248224552</c:v>
                </c:pt>
                <c:pt idx="147">
                  <c:v>22.102517029808201</c:v>
                </c:pt>
                <c:pt idx="148">
                  <c:v>22.102517029808201</c:v>
                </c:pt>
                <c:pt idx="149">
                  <c:v>22.102517029808201</c:v>
                </c:pt>
                <c:pt idx="150">
                  <c:v>22.102517029808201</c:v>
                </c:pt>
                <c:pt idx="151">
                  <c:v>22.102517029808201</c:v>
                </c:pt>
                <c:pt idx="152">
                  <c:v>22.102517029808201</c:v>
                </c:pt>
                <c:pt idx="153">
                  <c:v>22.102517029808201</c:v>
                </c:pt>
                <c:pt idx="154">
                  <c:v>22.102517029808201</c:v>
                </c:pt>
                <c:pt idx="155">
                  <c:v>22.102517029808201</c:v>
                </c:pt>
                <c:pt idx="156">
                  <c:v>22.102517029808201</c:v>
                </c:pt>
                <c:pt idx="157">
                  <c:v>22.102517029808201</c:v>
                </c:pt>
                <c:pt idx="158">
                  <c:v>22.102517029808201</c:v>
                </c:pt>
                <c:pt idx="159">
                  <c:v>22.102517029808201</c:v>
                </c:pt>
                <c:pt idx="160">
                  <c:v>22.102517029808201</c:v>
                </c:pt>
                <c:pt idx="161">
                  <c:v>22.102517029808201</c:v>
                </c:pt>
                <c:pt idx="162">
                  <c:v>22.102517029808201</c:v>
                </c:pt>
                <c:pt idx="163">
                  <c:v>22.102517029808201</c:v>
                </c:pt>
                <c:pt idx="164">
                  <c:v>22.102517029808201</c:v>
                </c:pt>
                <c:pt idx="165">
                  <c:v>22.102517029808201</c:v>
                </c:pt>
                <c:pt idx="166">
                  <c:v>22.102517029808201</c:v>
                </c:pt>
                <c:pt idx="167">
                  <c:v>22.102517029808201</c:v>
                </c:pt>
                <c:pt idx="168">
                  <c:v>22.102517029808201</c:v>
                </c:pt>
                <c:pt idx="169">
                  <c:v>22.102517029808201</c:v>
                </c:pt>
                <c:pt idx="170">
                  <c:v>22.102517029808201</c:v>
                </c:pt>
                <c:pt idx="171">
                  <c:v>22.102517029808201</c:v>
                </c:pt>
                <c:pt idx="172">
                  <c:v>22.102517029808201</c:v>
                </c:pt>
                <c:pt idx="173">
                  <c:v>22.102517029808201</c:v>
                </c:pt>
                <c:pt idx="174">
                  <c:v>22.102517029808201</c:v>
                </c:pt>
                <c:pt idx="175">
                  <c:v>22.102517029808201</c:v>
                </c:pt>
                <c:pt idx="176">
                  <c:v>22.102517029808201</c:v>
                </c:pt>
                <c:pt idx="177">
                  <c:v>22.223295811391854</c:v>
                </c:pt>
                <c:pt idx="178">
                  <c:v>22.223295811391854</c:v>
                </c:pt>
                <c:pt idx="179">
                  <c:v>22.223295811391854</c:v>
                </c:pt>
                <c:pt idx="180">
                  <c:v>22.223295811391854</c:v>
                </c:pt>
                <c:pt idx="181">
                  <c:v>22.223295811391854</c:v>
                </c:pt>
                <c:pt idx="182">
                  <c:v>22.223295811391854</c:v>
                </c:pt>
                <c:pt idx="183">
                  <c:v>22.223295811391854</c:v>
                </c:pt>
                <c:pt idx="184">
                  <c:v>22.223295811391854</c:v>
                </c:pt>
                <c:pt idx="185">
                  <c:v>22.223295811391854</c:v>
                </c:pt>
                <c:pt idx="186">
                  <c:v>22.223295811391854</c:v>
                </c:pt>
                <c:pt idx="187">
                  <c:v>22.223295811391854</c:v>
                </c:pt>
                <c:pt idx="188">
                  <c:v>22.344074592975506</c:v>
                </c:pt>
                <c:pt idx="189">
                  <c:v>22.344074592975506</c:v>
                </c:pt>
                <c:pt idx="190">
                  <c:v>22.344074592975506</c:v>
                </c:pt>
                <c:pt idx="191">
                  <c:v>22.344074592975506</c:v>
                </c:pt>
                <c:pt idx="192">
                  <c:v>22.464853374559159</c:v>
                </c:pt>
                <c:pt idx="193">
                  <c:v>22.464853374559159</c:v>
                </c:pt>
                <c:pt idx="194">
                  <c:v>22.464853374559159</c:v>
                </c:pt>
                <c:pt idx="195">
                  <c:v>22.70641093772646</c:v>
                </c:pt>
                <c:pt idx="196">
                  <c:v>22.70641093772646</c:v>
                </c:pt>
                <c:pt idx="197">
                  <c:v>22.827189719310113</c:v>
                </c:pt>
                <c:pt idx="198">
                  <c:v>22.827189719310113</c:v>
                </c:pt>
                <c:pt idx="199">
                  <c:v>22.827189719310113</c:v>
                </c:pt>
                <c:pt idx="200">
                  <c:v>22.827189719310113</c:v>
                </c:pt>
                <c:pt idx="201">
                  <c:v>22.827189719310113</c:v>
                </c:pt>
                <c:pt idx="202">
                  <c:v>22.827189719310113</c:v>
                </c:pt>
                <c:pt idx="203">
                  <c:v>22.827189719310113</c:v>
                </c:pt>
                <c:pt idx="204">
                  <c:v>22.947968500893765</c:v>
                </c:pt>
                <c:pt idx="205">
                  <c:v>22.947968500893765</c:v>
                </c:pt>
                <c:pt idx="206">
                  <c:v>22.947968500893765</c:v>
                </c:pt>
                <c:pt idx="207">
                  <c:v>22.947968500893765</c:v>
                </c:pt>
                <c:pt idx="208">
                  <c:v>22.947968500893765</c:v>
                </c:pt>
                <c:pt idx="209">
                  <c:v>22.947968500893765</c:v>
                </c:pt>
                <c:pt idx="210">
                  <c:v>22.947968500893765</c:v>
                </c:pt>
                <c:pt idx="211">
                  <c:v>22.947968500893765</c:v>
                </c:pt>
                <c:pt idx="212">
                  <c:v>22.947968500893765</c:v>
                </c:pt>
                <c:pt idx="213">
                  <c:v>22.947968500893765</c:v>
                </c:pt>
                <c:pt idx="214">
                  <c:v>22.947968500893765</c:v>
                </c:pt>
                <c:pt idx="215">
                  <c:v>22.947968500893765</c:v>
                </c:pt>
                <c:pt idx="216">
                  <c:v>22.947968500893765</c:v>
                </c:pt>
                <c:pt idx="217">
                  <c:v>22.947968500893765</c:v>
                </c:pt>
                <c:pt idx="218">
                  <c:v>22.947968500893765</c:v>
                </c:pt>
                <c:pt idx="219">
                  <c:v>22.947968500893765</c:v>
                </c:pt>
                <c:pt idx="220">
                  <c:v>22.947968500893765</c:v>
                </c:pt>
                <c:pt idx="221">
                  <c:v>22.947968500893765</c:v>
                </c:pt>
                <c:pt idx="222">
                  <c:v>22.947968500893765</c:v>
                </c:pt>
                <c:pt idx="223">
                  <c:v>22.947968500893765</c:v>
                </c:pt>
                <c:pt idx="224">
                  <c:v>22.947968500893765</c:v>
                </c:pt>
                <c:pt idx="225">
                  <c:v>22.947968500893765</c:v>
                </c:pt>
                <c:pt idx="226">
                  <c:v>22.947968500893765</c:v>
                </c:pt>
                <c:pt idx="227">
                  <c:v>22.947968500893765</c:v>
                </c:pt>
                <c:pt idx="228">
                  <c:v>22.947968500893765</c:v>
                </c:pt>
                <c:pt idx="229">
                  <c:v>22.947968500893765</c:v>
                </c:pt>
                <c:pt idx="230">
                  <c:v>22.947968500893765</c:v>
                </c:pt>
                <c:pt idx="231">
                  <c:v>22.947968500893765</c:v>
                </c:pt>
                <c:pt idx="232">
                  <c:v>23.068747282477414</c:v>
                </c:pt>
                <c:pt idx="233">
                  <c:v>23.068747282477414</c:v>
                </c:pt>
                <c:pt idx="234">
                  <c:v>23.189526064061067</c:v>
                </c:pt>
                <c:pt idx="235">
                  <c:v>23.189526064061067</c:v>
                </c:pt>
                <c:pt idx="236">
                  <c:v>23.310304845644719</c:v>
                </c:pt>
                <c:pt idx="237">
                  <c:v>23.310304845644719</c:v>
                </c:pt>
                <c:pt idx="238">
                  <c:v>23.310304845644719</c:v>
                </c:pt>
                <c:pt idx="239">
                  <c:v>23.310304845644719</c:v>
                </c:pt>
                <c:pt idx="240">
                  <c:v>23.310304845644719</c:v>
                </c:pt>
                <c:pt idx="241">
                  <c:v>23.310304845644719</c:v>
                </c:pt>
                <c:pt idx="242">
                  <c:v>23.310304845644719</c:v>
                </c:pt>
                <c:pt idx="243">
                  <c:v>23.310304845644719</c:v>
                </c:pt>
                <c:pt idx="244">
                  <c:v>23.310304845644719</c:v>
                </c:pt>
                <c:pt idx="245">
                  <c:v>23.310304845644719</c:v>
                </c:pt>
                <c:pt idx="246">
                  <c:v>23.431083627228368</c:v>
                </c:pt>
                <c:pt idx="247">
                  <c:v>23.431083627228368</c:v>
                </c:pt>
                <c:pt idx="248">
                  <c:v>23.431083627228368</c:v>
                </c:pt>
                <c:pt idx="249">
                  <c:v>23.431083627228368</c:v>
                </c:pt>
                <c:pt idx="250">
                  <c:v>23.551862408812021</c:v>
                </c:pt>
                <c:pt idx="251">
                  <c:v>23.551862408812021</c:v>
                </c:pt>
                <c:pt idx="252">
                  <c:v>23.551862408812021</c:v>
                </c:pt>
                <c:pt idx="253">
                  <c:v>23.551862408812021</c:v>
                </c:pt>
                <c:pt idx="254">
                  <c:v>23.551862408812021</c:v>
                </c:pt>
                <c:pt idx="255">
                  <c:v>23.551862408812021</c:v>
                </c:pt>
                <c:pt idx="256">
                  <c:v>23.672641190395669</c:v>
                </c:pt>
                <c:pt idx="257">
                  <c:v>23.793419971979322</c:v>
                </c:pt>
                <c:pt idx="258">
                  <c:v>23.793419971979322</c:v>
                </c:pt>
                <c:pt idx="259">
                  <c:v>23.793419971979322</c:v>
                </c:pt>
                <c:pt idx="260">
                  <c:v>23.793419971979322</c:v>
                </c:pt>
                <c:pt idx="261">
                  <c:v>23.793419971979322</c:v>
                </c:pt>
                <c:pt idx="262">
                  <c:v>23.793419971979322</c:v>
                </c:pt>
                <c:pt idx="263">
                  <c:v>23.793419971979322</c:v>
                </c:pt>
                <c:pt idx="264">
                  <c:v>23.793419971979322</c:v>
                </c:pt>
              </c:numCache>
            </c:numRef>
          </c:val>
          <c:smooth val="0"/>
          <c:extLst>
            <c:ext xmlns:c16="http://schemas.microsoft.com/office/drawing/2014/chart" uri="{C3380CC4-5D6E-409C-BE32-E72D297353CC}">
              <c16:uniqueId val="{00000000-0E5C-4754-840A-8F3DA0D5530C}"/>
            </c:ext>
          </c:extLst>
        </c:ser>
        <c:ser>
          <c:idx val="1"/>
          <c:order val="1"/>
          <c:tx>
            <c:strRef>
              <c:f>cases_by_ethnicity_timeseries!$P$2</c:f>
              <c:strCache>
                <c:ptCount val="1"/>
                <c:pt idx="0">
                  <c:v>Non-Māori</c:v>
                </c:pt>
              </c:strCache>
            </c:strRef>
          </c:tx>
          <c:spPr>
            <a:ln w="28575" cap="rnd">
              <a:solidFill>
                <a:schemeClr val="accent2"/>
              </a:solidFill>
              <a:round/>
            </a:ln>
            <a:effectLst/>
          </c:spPr>
          <c:marker>
            <c:symbol val="none"/>
          </c:marker>
          <c:cat>
            <c:numRef>
              <c:f>cases_by_ethnicity_timeseries!$N$3:$N$267</c:f>
              <c:numCache>
                <c:formatCode>m/d/yyyy</c:formatCode>
                <c:ptCount val="265"/>
                <c:pt idx="0">
                  <c:v>43887</c:v>
                </c:pt>
                <c:pt idx="1">
                  <c:v>43892</c:v>
                </c:pt>
                <c:pt idx="2">
                  <c:v>43894</c:v>
                </c:pt>
                <c:pt idx="3">
                  <c:v>43895</c:v>
                </c:pt>
                <c:pt idx="4">
                  <c:v>43896</c:v>
                </c:pt>
                <c:pt idx="5">
                  <c:v>43902</c:v>
                </c:pt>
                <c:pt idx="6">
                  <c:v>43903</c:v>
                </c:pt>
                <c:pt idx="7">
                  <c:v>43904</c:v>
                </c:pt>
                <c:pt idx="8">
                  <c:v>43905</c:v>
                </c:pt>
                <c:pt idx="9">
                  <c:v>43906</c:v>
                </c:pt>
                <c:pt idx="10">
                  <c:v>43907</c:v>
                </c:pt>
                <c:pt idx="11">
                  <c:v>43908</c:v>
                </c:pt>
                <c:pt idx="12">
                  <c:v>43909</c:v>
                </c:pt>
                <c:pt idx="13">
                  <c:v>43910</c:v>
                </c:pt>
                <c:pt idx="14">
                  <c:v>43911</c:v>
                </c:pt>
                <c:pt idx="15">
                  <c:v>43912</c:v>
                </c:pt>
                <c:pt idx="16">
                  <c:v>43913</c:v>
                </c:pt>
                <c:pt idx="17">
                  <c:v>43914</c:v>
                </c:pt>
                <c:pt idx="18">
                  <c:v>43915</c:v>
                </c:pt>
                <c:pt idx="19">
                  <c:v>43916</c:v>
                </c:pt>
                <c:pt idx="20">
                  <c:v>43917</c:v>
                </c:pt>
                <c:pt idx="21">
                  <c:v>43918</c:v>
                </c:pt>
                <c:pt idx="22">
                  <c:v>43919</c:v>
                </c:pt>
                <c:pt idx="23">
                  <c:v>43920</c:v>
                </c:pt>
                <c:pt idx="24">
                  <c:v>43921</c:v>
                </c:pt>
                <c:pt idx="25">
                  <c:v>43922</c:v>
                </c:pt>
                <c:pt idx="26">
                  <c:v>43923</c:v>
                </c:pt>
                <c:pt idx="27">
                  <c:v>43924</c:v>
                </c:pt>
                <c:pt idx="28">
                  <c:v>43925</c:v>
                </c:pt>
                <c:pt idx="29">
                  <c:v>43926</c:v>
                </c:pt>
                <c:pt idx="30">
                  <c:v>43927</c:v>
                </c:pt>
                <c:pt idx="31">
                  <c:v>43928</c:v>
                </c:pt>
                <c:pt idx="32">
                  <c:v>43929</c:v>
                </c:pt>
                <c:pt idx="33">
                  <c:v>43930</c:v>
                </c:pt>
                <c:pt idx="34">
                  <c:v>43931</c:v>
                </c:pt>
                <c:pt idx="35">
                  <c:v>43932</c:v>
                </c:pt>
                <c:pt idx="36">
                  <c:v>43933</c:v>
                </c:pt>
                <c:pt idx="37">
                  <c:v>43934</c:v>
                </c:pt>
                <c:pt idx="38">
                  <c:v>43935</c:v>
                </c:pt>
                <c:pt idx="39">
                  <c:v>43936</c:v>
                </c:pt>
                <c:pt idx="40">
                  <c:v>43937</c:v>
                </c:pt>
                <c:pt idx="41">
                  <c:v>43938</c:v>
                </c:pt>
                <c:pt idx="42">
                  <c:v>43939</c:v>
                </c:pt>
                <c:pt idx="43">
                  <c:v>43940</c:v>
                </c:pt>
                <c:pt idx="44">
                  <c:v>43941</c:v>
                </c:pt>
                <c:pt idx="45">
                  <c:v>43942</c:v>
                </c:pt>
                <c:pt idx="46">
                  <c:v>43943</c:v>
                </c:pt>
                <c:pt idx="47">
                  <c:v>43944</c:v>
                </c:pt>
                <c:pt idx="48">
                  <c:v>43945</c:v>
                </c:pt>
                <c:pt idx="49">
                  <c:v>43946</c:v>
                </c:pt>
                <c:pt idx="50">
                  <c:v>43947</c:v>
                </c:pt>
                <c:pt idx="51">
                  <c:v>43948</c:v>
                </c:pt>
                <c:pt idx="52">
                  <c:v>43949</c:v>
                </c:pt>
                <c:pt idx="53">
                  <c:v>43950</c:v>
                </c:pt>
                <c:pt idx="54">
                  <c:v>43951</c:v>
                </c:pt>
                <c:pt idx="55">
                  <c:v>43952</c:v>
                </c:pt>
                <c:pt idx="56">
                  <c:v>43954</c:v>
                </c:pt>
                <c:pt idx="57">
                  <c:v>43956</c:v>
                </c:pt>
                <c:pt idx="58">
                  <c:v>43957</c:v>
                </c:pt>
                <c:pt idx="59">
                  <c:v>43958</c:v>
                </c:pt>
                <c:pt idx="60">
                  <c:v>43959</c:v>
                </c:pt>
                <c:pt idx="61">
                  <c:v>43960</c:v>
                </c:pt>
                <c:pt idx="62">
                  <c:v>43961</c:v>
                </c:pt>
                <c:pt idx="63">
                  <c:v>43965</c:v>
                </c:pt>
                <c:pt idx="64">
                  <c:v>43966</c:v>
                </c:pt>
                <c:pt idx="65">
                  <c:v>43973</c:v>
                </c:pt>
                <c:pt idx="66">
                  <c:v>43998</c:v>
                </c:pt>
                <c:pt idx="67">
                  <c:v>43999</c:v>
                </c:pt>
                <c:pt idx="68">
                  <c:v>44001</c:v>
                </c:pt>
                <c:pt idx="69">
                  <c:v>44002</c:v>
                </c:pt>
                <c:pt idx="70">
                  <c:v>44003</c:v>
                </c:pt>
                <c:pt idx="71">
                  <c:v>44004</c:v>
                </c:pt>
                <c:pt idx="72">
                  <c:v>44005</c:v>
                </c:pt>
                <c:pt idx="73">
                  <c:v>44006</c:v>
                </c:pt>
                <c:pt idx="74">
                  <c:v>44007</c:v>
                </c:pt>
                <c:pt idx="75">
                  <c:v>44008</c:v>
                </c:pt>
                <c:pt idx="76">
                  <c:v>44009</c:v>
                </c:pt>
                <c:pt idx="77">
                  <c:v>44010</c:v>
                </c:pt>
                <c:pt idx="78">
                  <c:v>44011</c:v>
                </c:pt>
                <c:pt idx="79">
                  <c:v>44013</c:v>
                </c:pt>
                <c:pt idx="80">
                  <c:v>44014</c:v>
                </c:pt>
                <c:pt idx="81">
                  <c:v>44017</c:v>
                </c:pt>
                <c:pt idx="82">
                  <c:v>44018</c:v>
                </c:pt>
                <c:pt idx="83">
                  <c:v>44019</c:v>
                </c:pt>
                <c:pt idx="84">
                  <c:v>44020</c:v>
                </c:pt>
                <c:pt idx="85">
                  <c:v>44021</c:v>
                </c:pt>
                <c:pt idx="86">
                  <c:v>44023</c:v>
                </c:pt>
                <c:pt idx="87">
                  <c:v>44025</c:v>
                </c:pt>
                <c:pt idx="88">
                  <c:v>44026</c:v>
                </c:pt>
                <c:pt idx="89">
                  <c:v>44028</c:v>
                </c:pt>
                <c:pt idx="90">
                  <c:v>44029</c:v>
                </c:pt>
                <c:pt idx="91">
                  <c:v>44030</c:v>
                </c:pt>
                <c:pt idx="92">
                  <c:v>44031</c:v>
                </c:pt>
                <c:pt idx="93">
                  <c:v>44032</c:v>
                </c:pt>
                <c:pt idx="94">
                  <c:v>44036</c:v>
                </c:pt>
                <c:pt idx="95">
                  <c:v>44039</c:v>
                </c:pt>
                <c:pt idx="96">
                  <c:v>44040</c:v>
                </c:pt>
                <c:pt idx="97">
                  <c:v>44041</c:v>
                </c:pt>
                <c:pt idx="98">
                  <c:v>44043</c:v>
                </c:pt>
                <c:pt idx="99">
                  <c:v>44044</c:v>
                </c:pt>
                <c:pt idx="100">
                  <c:v>44045</c:v>
                </c:pt>
                <c:pt idx="101">
                  <c:v>44047</c:v>
                </c:pt>
                <c:pt idx="102">
                  <c:v>44054</c:v>
                </c:pt>
                <c:pt idx="103">
                  <c:v>44055</c:v>
                </c:pt>
                <c:pt idx="104">
                  <c:v>44056</c:v>
                </c:pt>
                <c:pt idx="105">
                  <c:v>44057</c:v>
                </c:pt>
                <c:pt idx="106">
                  <c:v>44058</c:v>
                </c:pt>
                <c:pt idx="107">
                  <c:v>44059</c:v>
                </c:pt>
                <c:pt idx="108">
                  <c:v>44060</c:v>
                </c:pt>
                <c:pt idx="109">
                  <c:v>44061</c:v>
                </c:pt>
                <c:pt idx="110">
                  <c:v>44062</c:v>
                </c:pt>
                <c:pt idx="111">
                  <c:v>44063</c:v>
                </c:pt>
                <c:pt idx="112">
                  <c:v>44064</c:v>
                </c:pt>
                <c:pt idx="113">
                  <c:v>44065</c:v>
                </c:pt>
                <c:pt idx="114">
                  <c:v>44066</c:v>
                </c:pt>
                <c:pt idx="115">
                  <c:v>44067</c:v>
                </c:pt>
                <c:pt idx="116">
                  <c:v>44068</c:v>
                </c:pt>
                <c:pt idx="117">
                  <c:v>44069</c:v>
                </c:pt>
                <c:pt idx="118">
                  <c:v>44070</c:v>
                </c:pt>
                <c:pt idx="119">
                  <c:v>44071</c:v>
                </c:pt>
                <c:pt idx="120">
                  <c:v>44072</c:v>
                </c:pt>
                <c:pt idx="121">
                  <c:v>44073</c:v>
                </c:pt>
                <c:pt idx="122">
                  <c:v>44074</c:v>
                </c:pt>
                <c:pt idx="123">
                  <c:v>44075</c:v>
                </c:pt>
                <c:pt idx="124">
                  <c:v>44076</c:v>
                </c:pt>
                <c:pt idx="125">
                  <c:v>44077</c:v>
                </c:pt>
                <c:pt idx="126">
                  <c:v>44078</c:v>
                </c:pt>
                <c:pt idx="127">
                  <c:v>44079</c:v>
                </c:pt>
                <c:pt idx="128">
                  <c:v>44080</c:v>
                </c:pt>
                <c:pt idx="129">
                  <c:v>44081</c:v>
                </c:pt>
                <c:pt idx="130">
                  <c:v>44082</c:v>
                </c:pt>
                <c:pt idx="131">
                  <c:v>44083</c:v>
                </c:pt>
                <c:pt idx="132">
                  <c:v>44084</c:v>
                </c:pt>
                <c:pt idx="133">
                  <c:v>44085</c:v>
                </c:pt>
                <c:pt idx="134">
                  <c:v>44086</c:v>
                </c:pt>
                <c:pt idx="135">
                  <c:v>44087</c:v>
                </c:pt>
                <c:pt idx="136">
                  <c:v>44088</c:v>
                </c:pt>
                <c:pt idx="137">
                  <c:v>44090</c:v>
                </c:pt>
                <c:pt idx="138">
                  <c:v>44092</c:v>
                </c:pt>
                <c:pt idx="139">
                  <c:v>44093</c:v>
                </c:pt>
                <c:pt idx="140">
                  <c:v>44095</c:v>
                </c:pt>
                <c:pt idx="141">
                  <c:v>44096</c:v>
                </c:pt>
                <c:pt idx="142">
                  <c:v>44097</c:v>
                </c:pt>
                <c:pt idx="143">
                  <c:v>44098</c:v>
                </c:pt>
                <c:pt idx="144">
                  <c:v>44099</c:v>
                </c:pt>
                <c:pt idx="145">
                  <c:v>44100</c:v>
                </c:pt>
                <c:pt idx="146">
                  <c:v>44101</c:v>
                </c:pt>
                <c:pt idx="147">
                  <c:v>44102</c:v>
                </c:pt>
                <c:pt idx="148">
                  <c:v>44104</c:v>
                </c:pt>
                <c:pt idx="149">
                  <c:v>44105</c:v>
                </c:pt>
                <c:pt idx="150">
                  <c:v>44106</c:v>
                </c:pt>
                <c:pt idx="151">
                  <c:v>44107</c:v>
                </c:pt>
                <c:pt idx="152">
                  <c:v>44108</c:v>
                </c:pt>
                <c:pt idx="153">
                  <c:v>44109</c:v>
                </c:pt>
                <c:pt idx="154">
                  <c:v>44110</c:v>
                </c:pt>
                <c:pt idx="155">
                  <c:v>44111</c:v>
                </c:pt>
                <c:pt idx="156">
                  <c:v>44112</c:v>
                </c:pt>
                <c:pt idx="157">
                  <c:v>44113</c:v>
                </c:pt>
                <c:pt idx="158">
                  <c:v>44115</c:v>
                </c:pt>
                <c:pt idx="159">
                  <c:v>44116</c:v>
                </c:pt>
                <c:pt idx="160">
                  <c:v>44117</c:v>
                </c:pt>
                <c:pt idx="161">
                  <c:v>44118</c:v>
                </c:pt>
                <c:pt idx="162">
                  <c:v>44119</c:v>
                </c:pt>
                <c:pt idx="163">
                  <c:v>44120</c:v>
                </c:pt>
                <c:pt idx="164">
                  <c:v>44121</c:v>
                </c:pt>
                <c:pt idx="165">
                  <c:v>44122</c:v>
                </c:pt>
                <c:pt idx="166">
                  <c:v>44123</c:v>
                </c:pt>
                <c:pt idx="167">
                  <c:v>44124</c:v>
                </c:pt>
                <c:pt idx="168">
                  <c:v>44125</c:v>
                </c:pt>
                <c:pt idx="169">
                  <c:v>44126</c:v>
                </c:pt>
                <c:pt idx="170">
                  <c:v>44127</c:v>
                </c:pt>
                <c:pt idx="171">
                  <c:v>44129</c:v>
                </c:pt>
                <c:pt idx="172">
                  <c:v>44130</c:v>
                </c:pt>
                <c:pt idx="173">
                  <c:v>44131</c:v>
                </c:pt>
                <c:pt idx="174">
                  <c:v>44132</c:v>
                </c:pt>
                <c:pt idx="175">
                  <c:v>44133</c:v>
                </c:pt>
                <c:pt idx="176">
                  <c:v>44134</c:v>
                </c:pt>
                <c:pt idx="177">
                  <c:v>44135</c:v>
                </c:pt>
                <c:pt idx="178">
                  <c:v>44136</c:v>
                </c:pt>
                <c:pt idx="179">
                  <c:v>44137</c:v>
                </c:pt>
                <c:pt idx="180">
                  <c:v>44138</c:v>
                </c:pt>
                <c:pt idx="181">
                  <c:v>44139</c:v>
                </c:pt>
                <c:pt idx="182">
                  <c:v>44140</c:v>
                </c:pt>
                <c:pt idx="183">
                  <c:v>44141</c:v>
                </c:pt>
                <c:pt idx="184">
                  <c:v>44142</c:v>
                </c:pt>
                <c:pt idx="185">
                  <c:v>44143</c:v>
                </c:pt>
                <c:pt idx="186">
                  <c:v>44144</c:v>
                </c:pt>
                <c:pt idx="187">
                  <c:v>44145</c:v>
                </c:pt>
                <c:pt idx="188">
                  <c:v>44146</c:v>
                </c:pt>
                <c:pt idx="189">
                  <c:v>44147</c:v>
                </c:pt>
                <c:pt idx="190">
                  <c:v>44148</c:v>
                </c:pt>
                <c:pt idx="191">
                  <c:v>44149</c:v>
                </c:pt>
                <c:pt idx="192">
                  <c:v>44150</c:v>
                </c:pt>
                <c:pt idx="193">
                  <c:v>44151</c:v>
                </c:pt>
                <c:pt idx="194">
                  <c:v>44152</c:v>
                </c:pt>
                <c:pt idx="195">
                  <c:v>44153</c:v>
                </c:pt>
                <c:pt idx="196">
                  <c:v>44154</c:v>
                </c:pt>
                <c:pt idx="197">
                  <c:v>44155</c:v>
                </c:pt>
                <c:pt idx="198">
                  <c:v>44156</c:v>
                </c:pt>
                <c:pt idx="199">
                  <c:v>44157</c:v>
                </c:pt>
                <c:pt idx="200">
                  <c:v>44158</c:v>
                </c:pt>
                <c:pt idx="201">
                  <c:v>44159</c:v>
                </c:pt>
                <c:pt idx="202">
                  <c:v>44160</c:v>
                </c:pt>
                <c:pt idx="203">
                  <c:v>44161</c:v>
                </c:pt>
                <c:pt idx="204">
                  <c:v>44162</c:v>
                </c:pt>
                <c:pt idx="205">
                  <c:v>44163</c:v>
                </c:pt>
                <c:pt idx="206">
                  <c:v>44164</c:v>
                </c:pt>
                <c:pt idx="207">
                  <c:v>44165</c:v>
                </c:pt>
                <c:pt idx="208">
                  <c:v>44166</c:v>
                </c:pt>
                <c:pt idx="209">
                  <c:v>44167</c:v>
                </c:pt>
                <c:pt idx="210">
                  <c:v>44168</c:v>
                </c:pt>
                <c:pt idx="211">
                  <c:v>44169</c:v>
                </c:pt>
                <c:pt idx="212">
                  <c:v>44171</c:v>
                </c:pt>
                <c:pt idx="213">
                  <c:v>44172</c:v>
                </c:pt>
                <c:pt idx="214">
                  <c:v>44173</c:v>
                </c:pt>
                <c:pt idx="215">
                  <c:v>44174</c:v>
                </c:pt>
                <c:pt idx="216">
                  <c:v>44175</c:v>
                </c:pt>
                <c:pt idx="217">
                  <c:v>44176</c:v>
                </c:pt>
                <c:pt idx="218">
                  <c:v>44177</c:v>
                </c:pt>
                <c:pt idx="219">
                  <c:v>44179</c:v>
                </c:pt>
                <c:pt idx="220">
                  <c:v>44181</c:v>
                </c:pt>
                <c:pt idx="221">
                  <c:v>44182</c:v>
                </c:pt>
                <c:pt idx="222">
                  <c:v>44183</c:v>
                </c:pt>
                <c:pt idx="223">
                  <c:v>44184</c:v>
                </c:pt>
                <c:pt idx="224">
                  <c:v>44185</c:v>
                </c:pt>
                <c:pt idx="225">
                  <c:v>44186</c:v>
                </c:pt>
                <c:pt idx="226">
                  <c:v>44187</c:v>
                </c:pt>
                <c:pt idx="227">
                  <c:v>44188</c:v>
                </c:pt>
                <c:pt idx="228">
                  <c:v>44189</c:v>
                </c:pt>
                <c:pt idx="229">
                  <c:v>44190</c:v>
                </c:pt>
                <c:pt idx="230">
                  <c:v>44191</c:v>
                </c:pt>
                <c:pt idx="231">
                  <c:v>44192</c:v>
                </c:pt>
                <c:pt idx="232">
                  <c:v>44193</c:v>
                </c:pt>
                <c:pt idx="233">
                  <c:v>44194</c:v>
                </c:pt>
                <c:pt idx="234">
                  <c:v>44195</c:v>
                </c:pt>
                <c:pt idx="235">
                  <c:v>44196</c:v>
                </c:pt>
                <c:pt idx="236">
                  <c:v>44197</c:v>
                </c:pt>
                <c:pt idx="237">
                  <c:v>44198</c:v>
                </c:pt>
                <c:pt idx="238">
                  <c:v>44199</c:v>
                </c:pt>
                <c:pt idx="239">
                  <c:v>44200</c:v>
                </c:pt>
                <c:pt idx="240">
                  <c:v>44201</c:v>
                </c:pt>
                <c:pt idx="241">
                  <c:v>44202</c:v>
                </c:pt>
                <c:pt idx="242">
                  <c:v>44203</c:v>
                </c:pt>
                <c:pt idx="243">
                  <c:v>44204</c:v>
                </c:pt>
                <c:pt idx="244">
                  <c:v>44205</c:v>
                </c:pt>
                <c:pt idx="245">
                  <c:v>44206</c:v>
                </c:pt>
                <c:pt idx="246">
                  <c:v>44207</c:v>
                </c:pt>
                <c:pt idx="247">
                  <c:v>44208</c:v>
                </c:pt>
                <c:pt idx="248">
                  <c:v>44209</c:v>
                </c:pt>
                <c:pt idx="249">
                  <c:v>44210</c:v>
                </c:pt>
                <c:pt idx="250">
                  <c:v>44211</c:v>
                </c:pt>
                <c:pt idx="251">
                  <c:v>44212</c:v>
                </c:pt>
                <c:pt idx="252">
                  <c:v>44213</c:v>
                </c:pt>
                <c:pt idx="253">
                  <c:v>44214</c:v>
                </c:pt>
                <c:pt idx="254">
                  <c:v>44215</c:v>
                </c:pt>
                <c:pt idx="255">
                  <c:v>44216</c:v>
                </c:pt>
                <c:pt idx="256">
                  <c:v>44217</c:v>
                </c:pt>
                <c:pt idx="257">
                  <c:v>44218</c:v>
                </c:pt>
                <c:pt idx="258">
                  <c:v>44219</c:v>
                </c:pt>
                <c:pt idx="259">
                  <c:v>44220</c:v>
                </c:pt>
                <c:pt idx="260">
                  <c:v>44221</c:v>
                </c:pt>
                <c:pt idx="261">
                  <c:v>44222</c:v>
                </c:pt>
                <c:pt idx="262">
                  <c:v>44223</c:v>
                </c:pt>
                <c:pt idx="263">
                  <c:v>44224</c:v>
                </c:pt>
                <c:pt idx="264">
                  <c:v>44225</c:v>
                </c:pt>
              </c:numCache>
            </c:numRef>
          </c:cat>
          <c:val>
            <c:numRef>
              <c:f>cases_by_ethnicity_timeseries!$P$3:$P$267</c:f>
              <c:numCache>
                <c:formatCode>0.0</c:formatCode>
                <c:ptCount val="265"/>
                <c:pt idx="0">
                  <c:v>2.4057169457498799E-2</c:v>
                </c:pt>
                <c:pt idx="1">
                  <c:v>4.8114338914997598E-2</c:v>
                </c:pt>
                <c:pt idx="2">
                  <c:v>9.6228677829995196E-2</c:v>
                </c:pt>
                <c:pt idx="3">
                  <c:v>0.14434301674499281</c:v>
                </c:pt>
                <c:pt idx="4">
                  <c:v>0.16840018620249159</c:v>
                </c:pt>
                <c:pt idx="5">
                  <c:v>0.19245735565999039</c:v>
                </c:pt>
                <c:pt idx="6">
                  <c:v>0.21651452511748923</c:v>
                </c:pt>
                <c:pt idx="7">
                  <c:v>0.240571694574988</c:v>
                </c:pt>
                <c:pt idx="8">
                  <c:v>0.26462886403248681</c:v>
                </c:pt>
                <c:pt idx="9">
                  <c:v>0.43302905023497845</c:v>
                </c:pt>
                <c:pt idx="10">
                  <c:v>0.69765791426746515</c:v>
                </c:pt>
                <c:pt idx="11">
                  <c:v>0.81794376155495929</c:v>
                </c:pt>
                <c:pt idx="12">
                  <c:v>1.2509728117899377</c:v>
                </c:pt>
                <c:pt idx="13">
                  <c:v>1.4915445063649257</c:v>
                </c:pt>
                <c:pt idx="14">
                  <c:v>2.0689165733448971</c:v>
                </c:pt>
                <c:pt idx="15">
                  <c:v>3.1033748600173454</c:v>
                </c:pt>
                <c:pt idx="16">
                  <c:v>4.0656616383172972</c:v>
                </c:pt>
                <c:pt idx="17">
                  <c:v>5.3166344501072347</c:v>
                </c:pt>
                <c:pt idx="18">
                  <c:v>7.2893223456221365</c:v>
                </c:pt>
                <c:pt idx="19">
                  <c:v>9.0936100549345458</c:v>
                </c:pt>
                <c:pt idx="20">
                  <c:v>10.729497578044466</c:v>
                </c:pt>
                <c:pt idx="21">
                  <c:v>12.389442270611882</c:v>
                </c:pt>
                <c:pt idx="22">
                  <c:v>13.929101115891804</c:v>
                </c:pt>
                <c:pt idx="23">
                  <c:v>14.987616572021754</c:v>
                </c:pt>
                <c:pt idx="24">
                  <c:v>16.527275417301677</c:v>
                </c:pt>
                <c:pt idx="25">
                  <c:v>18.066934262581597</c:v>
                </c:pt>
                <c:pt idx="26">
                  <c:v>19.943393480266504</c:v>
                </c:pt>
                <c:pt idx="27">
                  <c:v>21.579281003376423</c:v>
                </c:pt>
                <c:pt idx="28">
                  <c:v>23.118939848656346</c:v>
                </c:pt>
                <c:pt idx="29">
                  <c:v>24.63454152447877</c:v>
                </c:pt>
                <c:pt idx="30">
                  <c:v>25.789285658438715</c:v>
                </c:pt>
                <c:pt idx="31">
                  <c:v>26.535057911621177</c:v>
                </c:pt>
                <c:pt idx="32">
                  <c:v>27.184601486973641</c:v>
                </c:pt>
                <c:pt idx="33">
                  <c:v>28.098773926358596</c:v>
                </c:pt>
                <c:pt idx="34">
                  <c:v>28.748317501711067</c:v>
                </c:pt>
                <c:pt idx="35">
                  <c:v>29.30163239923354</c:v>
                </c:pt>
                <c:pt idx="36">
                  <c:v>29.758718618926018</c:v>
                </c:pt>
                <c:pt idx="37">
                  <c:v>29.999290313501003</c:v>
                </c:pt>
                <c:pt idx="38">
                  <c:v>30.312033516448487</c:v>
                </c:pt>
                <c:pt idx="39">
                  <c:v>30.50449087210848</c:v>
                </c:pt>
                <c:pt idx="40">
                  <c:v>30.889405583428463</c:v>
                </c:pt>
                <c:pt idx="41">
                  <c:v>31.154034447460944</c:v>
                </c:pt>
                <c:pt idx="42">
                  <c:v>31.394606142035936</c:v>
                </c:pt>
                <c:pt idx="43">
                  <c:v>31.611120667153422</c:v>
                </c:pt>
                <c:pt idx="44">
                  <c:v>31.683292175525921</c:v>
                </c:pt>
                <c:pt idx="45">
                  <c:v>31.827635192270911</c:v>
                </c:pt>
                <c:pt idx="46">
                  <c:v>31.947921039558405</c:v>
                </c:pt>
                <c:pt idx="47">
                  <c:v>32.0682068868459</c:v>
                </c:pt>
                <c:pt idx="48">
                  <c:v>32.164435564675898</c:v>
                </c:pt>
                <c:pt idx="49">
                  <c:v>32.308778581420889</c:v>
                </c:pt>
                <c:pt idx="50">
                  <c:v>32.380950089793387</c:v>
                </c:pt>
                <c:pt idx="51">
                  <c:v>32.453121598165879</c:v>
                </c:pt>
                <c:pt idx="52">
                  <c:v>32.477178767623379</c:v>
                </c:pt>
                <c:pt idx="53">
                  <c:v>32.525293106538378</c:v>
                </c:pt>
                <c:pt idx="54">
                  <c:v>32.597464614910876</c:v>
                </c:pt>
                <c:pt idx="55">
                  <c:v>32.741807631655867</c:v>
                </c:pt>
                <c:pt idx="56">
                  <c:v>32.765864801113366</c:v>
                </c:pt>
                <c:pt idx="57">
                  <c:v>32.813979140028366</c:v>
                </c:pt>
                <c:pt idx="58">
                  <c:v>32.862093478943358</c:v>
                </c:pt>
                <c:pt idx="59">
                  <c:v>32.886150648400857</c:v>
                </c:pt>
                <c:pt idx="60">
                  <c:v>32.910207817858357</c:v>
                </c:pt>
                <c:pt idx="61">
                  <c:v>32.934264987315856</c:v>
                </c:pt>
                <c:pt idx="62">
                  <c:v>33.006436495688355</c:v>
                </c:pt>
                <c:pt idx="63">
                  <c:v>33.030493665145848</c:v>
                </c:pt>
                <c:pt idx="64">
                  <c:v>33.054550834603354</c:v>
                </c:pt>
                <c:pt idx="65">
                  <c:v>33.078608004060847</c:v>
                </c:pt>
                <c:pt idx="66">
                  <c:v>33.126722342975846</c:v>
                </c:pt>
                <c:pt idx="67">
                  <c:v>33.150779512433346</c:v>
                </c:pt>
                <c:pt idx="68">
                  <c:v>33.198893851348345</c:v>
                </c:pt>
                <c:pt idx="69">
                  <c:v>33.222951020805844</c:v>
                </c:pt>
                <c:pt idx="70">
                  <c:v>33.295122529178336</c:v>
                </c:pt>
                <c:pt idx="71">
                  <c:v>33.343236868093335</c:v>
                </c:pt>
                <c:pt idx="72">
                  <c:v>33.367294037550835</c:v>
                </c:pt>
                <c:pt idx="73">
                  <c:v>33.439465545923333</c:v>
                </c:pt>
                <c:pt idx="74">
                  <c:v>33.463522715380833</c:v>
                </c:pt>
                <c:pt idx="75">
                  <c:v>33.487579884838325</c:v>
                </c:pt>
                <c:pt idx="76">
                  <c:v>33.607865732125823</c:v>
                </c:pt>
                <c:pt idx="77">
                  <c:v>33.631922901583323</c:v>
                </c:pt>
                <c:pt idx="78">
                  <c:v>33.655980071040815</c:v>
                </c:pt>
                <c:pt idx="79">
                  <c:v>33.680037240498322</c:v>
                </c:pt>
                <c:pt idx="80">
                  <c:v>33.704094409955815</c:v>
                </c:pt>
                <c:pt idx="81">
                  <c:v>33.77626591832832</c:v>
                </c:pt>
                <c:pt idx="82">
                  <c:v>33.848437426700812</c:v>
                </c:pt>
                <c:pt idx="83">
                  <c:v>33.896551765615811</c:v>
                </c:pt>
                <c:pt idx="84">
                  <c:v>33.94466610453081</c:v>
                </c:pt>
                <c:pt idx="85">
                  <c:v>34.016837612903302</c:v>
                </c:pt>
                <c:pt idx="86">
                  <c:v>34.040894782360802</c:v>
                </c:pt>
                <c:pt idx="87">
                  <c:v>34.064951951818301</c:v>
                </c:pt>
                <c:pt idx="88">
                  <c:v>34.1371234601908</c:v>
                </c:pt>
                <c:pt idx="89">
                  <c:v>34.161180629648292</c:v>
                </c:pt>
                <c:pt idx="90">
                  <c:v>34.185237799105799</c:v>
                </c:pt>
                <c:pt idx="91">
                  <c:v>34.233352138020791</c:v>
                </c:pt>
                <c:pt idx="92">
                  <c:v>34.257409307478291</c:v>
                </c:pt>
                <c:pt idx="93">
                  <c:v>34.28146647693579</c:v>
                </c:pt>
                <c:pt idx="94">
                  <c:v>34.28146647693579</c:v>
                </c:pt>
                <c:pt idx="95">
                  <c:v>34.329580815850782</c:v>
                </c:pt>
                <c:pt idx="96">
                  <c:v>34.353637985308289</c:v>
                </c:pt>
                <c:pt idx="97">
                  <c:v>34.377695154765782</c:v>
                </c:pt>
                <c:pt idx="98">
                  <c:v>34.425809493680781</c:v>
                </c:pt>
                <c:pt idx="99">
                  <c:v>34.47392383259578</c:v>
                </c:pt>
                <c:pt idx="100">
                  <c:v>34.546095340968279</c:v>
                </c:pt>
                <c:pt idx="101">
                  <c:v>34.594209679883278</c:v>
                </c:pt>
                <c:pt idx="102">
                  <c:v>34.714495527170769</c:v>
                </c:pt>
                <c:pt idx="103">
                  <c:v>34.955067221745757</c:v>
                </c:pt>
                <c:pt idx="104">
                  <c:v>35.171581746863247</c:v>
                </c:pt>
                <c:pt idx="105">
                  <c:v>35.291867594150737</c:v>
                </c:pt>
                <c:pt idx="106">
                  <c:v>35.628667966555724</c:v>
                </c:pt>
                <c:pt idx="107">
                  <c:v>35.893296830588213</c:v>
                </c:pt>
                <c:pt idx="108">
                  <c:v>36.109811355705702</c:v>
                </c:pt>
                <c:pt idx="109">
                  <c:v>36.350383050280691</c:v>
                </c:pt>
                <c:pt idx="110">
                  <c:v>36.446611728110682</c:v>
                </c:pt>
                <c:pt idx="111">
                  <c:v>36.615011914313179</c:v>
                </c:pt>
                <c:pt idx="112">
                  <c:v>36.759354931058162</c:v>
                </c:pt>
                <c:pt idx="113">
                  <c:v>36.831526439430661</c:v>
                </c:pt>
                <c:pt idx="114">
                  <c:v>36.999926625633151</c:v>
                </c:pt>
                <c:pt idx="115">
                  <c:v>37.096155303463149</c:v>
                </c:pt>
                <c:pt idx="116">
                  <c:v>37.144269642378148</c:v>
                </c:pt>
                <c:pt idx="117">
                  <c:v>37.21644115075064</c:v>
                </c:pt>
                <c:pt idx="118">
                  <c:v>37.264555489665639</c:v>
                </c:pt>
                <c:pt idx="119">
                  <c:v>37.577298692613127</c:v>
                </c:pt>
                <c:pt idx="120">
                  <c:v>37.649470200985625</c:v>
                </c:pt>
                <c:pt idx="121">
                  <c:v>37.721641709358117</c:v>
                </c:pt>
                <c:pt idx="122">
                  <c:v>38.058442081763104</c:v>
                </c:pt>
                <c:pt idx="123">
                  <c:v>38.202785098508095</c:v>
                </c:pt>
                <c:pt idx="124">
                  <c:v>38.274956606880593</c:v>
                </c:pt>
                <c:pt idx="125">
                  <c:v>38.299013776338086</c:v>
                </c:pt>
                <c:pt idx="126">
                  <c:v>38.419299623625584</c:v>
                </c:pt>
                <c:pt idx="127">
                  <c:v>38.515528301455575</c:v>
                </c:pt>
                <c:pt idx="128">
                  <c:v>38.563642640370574</c:v>
                </c:pt>
                <c:pt idx="129">
                  <c:v>38.707985657115572</c:v>
                </c:pt>
                <c:pt idx="130">
                  <c:v>38.78015716548807</c:v>
                </c:pt>
                <c:pt idx="131">
                  <c:v>38.852328673860562</c:v>
                </c:pt>
                <c:pt idx="132">
                  <c:v>38.900443012775561</c:v>
                </c:pt>
                <c:pt idx="133">
                  <c:v>38.900443012775561</c:v>
                </c:pt>
                <c:pt idx="134">
                  <c:v>38.94855735169056</c:v>
                </c:pt>
                <c:pt idx="135">
                  <c:v>38.972614521148053</c:v>
                </c:pt>
                <c:pt idx="136">
                  <c:v>39.092900368435551</c:v>
                </c:pt>
                <c:pt idx="137">
                  <c:v>39.381586401925532</c:v>
                </c:pt>
                <c:pt idx="138">
                  <c:v>39.453757910298037</c:v>
                </c:pt>
                <c:pt idx="139">
                  <c:v>39.525929418670529</c:v>
                </c:pt>
                <c:pt idx="140">
                  <c:v>39.549986588128029</c:v>
                </c:pt>
                <c:pt idx="141">
                  <c:v>39.622158096500527</c:v>
                </c:pt>
                <c:pt idx="142">
                  <c:v>39.670272435415527</c:v>
                </c:pt>
                <c:pt idx="143">
                  <c:v>39.694329604873019</c:v>
                </c:pt>
                <c:pt idx="144">
                  <c:v>39.718386774330519</c:v>
                </c:pt>
                <c:pt idx="145">
                  <c:v>39.766501113245518</c:v>
                </c:pt>
                <c:pt idx="146">
                  <c:v>39.814615452160517</c:v>
                </c:pt>
                <c:pt idx="147">
                  <c:v>39.814615452160517</c:v>
                </c:pt>
                <c:pt idx="148">
                  <c:v>39.958958468905507</c:v>
                </c:pt>
                <c:pt idx="149">
                  <c:v>40.103301485650498</c:v>
                </c:pt>
                <c:pt idx="150">
                  <c:v>40.151415824565497</c:v>
                </c:pt>
                <c:pt idx="151">
                  <c:v>40.247644502395495</c:v>
                </c:pt>
                <c:pt idx="152">
                  <c:v>40.295758841310494</c:v>
                </c:pt>
                <c:pt idx="153">
                  <c:v>40.367930349682986</c:v>
                </c:pt>
                <c:pt idx="154">
                  <c:v>40.416044688597985</c:v>
                </c:pt>
                <c:pt idx="155">
                  <c:v>40.488216196970484</c:v>
                </c:pt>
                <c:pt idx="156">
                  <c:v>40.560387705342976</c:v>
                </c:pt>
                <c:pt idx="157">
                  <c:v>40.656616383172974</c:v>
                </c:pt>
                <c:pt idx="158">
                  <c:v>40.704730722087973</c:v>
                </c:pt>
                <c:pt idx="159">
                  <c:v>40.728787891545466</c:v>
                </c:pt>
                <c:pt idx="160">
                  <c:v>40.776902230460465</c:v>
                </c:pt>
                <c:pt idx="161">
                  <c:v>40.800959399917964</c:v>
                </c:pt>
                <c:pt idx="162">
                  <c:v>40.921245247205462</c:v>
                </c:pt>
                <c:pt idx="163">
                  <c:v>40.945302416662955</c:v>
                </c:pt>
                <c:pt idx="164">
                  <c:v>41.041531094492953</c:v>
                </c:pt>
                <c:pt idx="165">
                  <c:v>41.065588263950453</c:v>
                </c:pt>
                <c:pt idx="166">
                  <c:v>41.089645433407952</c:v>
                </c:pt>
                <c:pt idx="167">
                  <c:v>41.618903161472922</c:v>
                </c:pt>
                <c:pt idx="168">
                  <c:v>41.71513183930292</c:v>
                </c:pt>
                <c:pt idx="169">
                  <c:v>41.787303347675419</c:v>
                </c:pt>
                <c:pt idx="170">
                  <c:v>42.22033239791039</c:v>
                </c:pt>
                <c:pt idx="171">
                  <c:v>42.316561075740388</c:v>
                </c:pt>
                <c:pt idx="172">
                  <c:v>42.340618245197888</c:v>
                </c:pt>
                <c:pt idx="173">
                  <c:v>42.412789753570387</c:v>
                </c:pt>
                <c:pt idx="174">
                  <c:v>42.557132770315377</c:v>
                </c:pt>
                <c:pt idx="175">
                  <c:v>42.581189939772877</c:v>
                </c:pt>
                <c:pt idx="176">
                  <c:v>42.725532956517867</c:v>
                </c:pt>
                <c:pt idx="177">
                  <c:v>42.821761634347865</c:v>
                </c:pt>
                <c:pt idx="178">
                  <c:v>42.893933142720357</c:v>
                </c:pt>
                <c:pt idx="179">
                  <c:v>43.014218990007855</c:v>
                </c:pt>
                <c:pt idx="180">
                  <c:v>43.038276159465354</c:v>
                </c:pt>
                <c:pt idx="181">
                  <c:v>43.110447667837846</c:v>
                </c:pt>
                <c:pt idx="182">
                  <c:v>43.134504837295353</c:v>
                </c:pt>
                <c:pt idx="183">
                  <c:v>43.158562006752845</c:v>
                </c:pt>
                <c:pt idx="184">
                  <c:v>43.302905023497843</c:v>
                </c:pt>
                <c:pt idx="185">
                  <c:v>43.326962192955342</c:v>
                </c:pt>
                <c:pt idx="186">
                  <c:v>43.423190870785334</c:v>
                </c:pt>
                <c:pt idx="187">
                  <c:v>43.447248040242833</c:v>
                </c:pt>
                <c:pt idx="188">
                  <c:v>43.495362379157832</c:v>
                </c:pt>
                <c:pt idx="189">
                  <c:v>43.591591056987831</c:v>
                </c:pt>
                <c:pt idx="190">
                  <c:v>43.663762565360322</c:v>
                </c:pt>
                <c:pt idx="191">
                  <c:v>43.735934073732821</c:v>
                </c:pt>
                <c:pt idx="192">
                  <c:v>43.735934073732821</c:v>
                </c:pt>
                <c:pt idx="193">
                  <c:v>43.808105582105313</c:v>
                </c:pt>
                <c:pt idx="194">
                  <c:v>43.832162751562812</c:v>
                </c:pt>
                <c:pt idx="195">
                  <c:v>43.976505768307803</c:v>
                </c:pt>
                <c:pt idx="196">
                  <c:v>44.000562937765309</c:v>
                </c:pt>
                <c:pt idx="197">
                  <c:v>44.072734446137801</c:v>
                </c:pt>
                <c:pt idx="198">
                  <c:v>44.217077462882798</c:v>
                </c:pt>
                <c:pt idx="199">
                  <c:v>44.265191801797798</c:v>
                </c:pt>
                <c:pt idx="200">
                  <c:v>44.48170632691528</c:v>
                </c:pt>
                <c:pt idx="201">
                  <c:v>44.553877835287778</c:v>
                </c:pt>
                <c:pt idx="202">
                  <c:v>44.577935004745278</c:v>
                </c:pt>
                <c:pt idx="203">
                  <c:v>44.746335190947768</c:v>
                </c:pt>
                <c:pt idx="204">
                  <c:v>44.794449529862767</c:v>
                </c:pt>
                <c:pt idx="205">
                  <c:v>44.890678207692766</c:v>
                </c:pt>
                <c:pt idx="206">
                  <c:v>44.962849716065257</c:v>
                </c:pt>
                <c:pt idx="207">
                  <c:v>45.083135563352755</c:v>
                </c:pt>
                <c:pt idx="208">
                  <c:v>45.155307071725247</c:v>
                </c:pt>
                <c:pt idx="209">
                  <c:v>45.179364241182746</c:v>
                </c:pt>
                <c:pt idx="210">
                  <c:v>45.251535749555245</c:v>
                </c:pt>
                <c:pt idx="211">
                  <c:v>45.468050274672734</c:v>
                </c:pt>
                <c:pt idx="212">
                  <c:v>45.516164613587733</c:v>
                </c:pt>
                <c:pt idx="213">
                  <c:v>45.636450460875224</c:v>
                </c:pt>
                <c:pt idx="214">
                  <c:v>45.684564799790223</c:v>
                </c:pt>
                <c:pt idx="215">
                  <c:v>45.732679138705215</c:v>
                </c:pt>
                <c:pt idx="216">
                  <c:v>45.804850647077714</c:v>
                </c:pt>
                <c:pt idx="217">
                  <c:v>45.828907816535214</c:v>
                </c:pt>
                <c:pt idx="218">
                  <c:v>45.949193663822705</c:v>
                </c:pt>
                <c:pt idx="219">
                  <c:v>46.045422341652703</c:v>
                </c:pt>
                <c:pt idx="220">
                  <c:v>46.141651019482701</c:v>
                </c:pt>
                <c:pt idx="221">
                  <c:v>46.237879697312692</c:v>
                </c:pt>
                <c:pt idx="222">
                  <c:v>46.285994036227692</c:v>
                </c:pt>
                <c:pt idx="223">
                  <c:v>46.454394222430182</c:v>
                </c:pt>
                <c:pt idx="224">
                  <c:v>46.55062290026018</c:v>
                </c:pt>
                <c:pt idx="225">
                  <c:v>46.646851578090178</c:v>
                </c:pt>
                <c:pt idx="226">
                  <c:v>46.69496591700517</c:v>
                </c:pt>
                <c:pt idx="227">
                  <c:v>46.743080255920169</c:v>
                </c:pt>
                <c:pt idx="228">
                  <c:v>46.88742327266516</c:v>
                </c:pt>
                <c:pt idx="229">
                  <c:v>46.935537611580159</c:v>
                </c:pt>
                <c:pt idx="230">
                  <c:v>47.007709119952658</c:v>
                </c:pt>
                <c:pt idx="231">
                  <c:v>47.079880628325149</c:v>
                </c:pt>
                <c:pt idx="232">
                  <c:v>47.200166475612647</c:v>
                </c:pt>
                <c:pt idx="233">
                  <c:v>47.272337983985146</c:v>
                </c:pt>
                <c:pt idx="234">
                  <c:v>47.416681000730136</c:v>
                </c:pt>
                <c:pt idx="235">
                  <c:v>47.488852509102628</c:v>
                </c:pt>
                <c:pt idx="236">
                  <c:v>47.609138356390126</c:v>
                </c:pt>
                <c:pt idx="237">
                  <c:v>47.801595712050116</c:v>
                </c:pt>
                <c:pt idx="238">
                  <c:v>47.873767220422614</c:v>
                </c:pt>
                <c:pt idx="239">
                  <c:v>47.897824389880114</c:v>
                </c:pt>
                <c:pt idx="240">
                  <c:v>47.945938728795106</c:v>
                </c:pt>
                <c:pt idx="241">
                  <c:v>47.994053067710105</c:v>
                </c:pt>
                <c:pt idx="242">
                  <c:v>48.427082117945083</c:v>
                </c:pt>
                <c:pt idx="243">
                  <c:v>48.523310795775082</c:v>
                </c:pt>
                <c:pt idx="244">
                  <c:v>48.715768151435071</c:v>
                </c:pt>
                <c:pt idx="245">
                  <c:v>48.932282676552553</c:v>
                </c:pt>
                <c:pt idx="246">
                  <c:v>49.052568523840051</c:v>
                </c:pt>
                <c:pt idx="247">
                  <c:v>49.100682862755043</c:v>
                </c:pt>
                <c:pt idx="248">
                  <c:v>49.29314021841504</c:v>
                </c:pt>
                <c:pt idx="249">
                  <c:v>49.43748323516003</c:v>
                </c:pt>
                <c:pt idx="250">
                  <c:v>49.557769082447528</c:v>
                </c:pt>
                <c:pt idx="251">
                  <c:v>49.678054929735019</c:v>
                </c:pt>
                <c:pt idx="252">
                  <c:v>49.726169268650018</c:v>
                </c:pt>
                <c:pt idx="253">
                  <c:v>49.77428360756501</c:v>
                </c:pt>
                <c:pt idx="254">
                  <c:v>49.822397946480017</c:v>
                </c:pt>
                <c:pt idx="255">
                  <c:v>49.918626624310015</c:v>
                </c:pt>
                <c:pt idx="256">
                  <c:v>49.990798132682507</c:v>
                </c:pt>
                <c:pt idx="257">
                  <c:v>50.038912471597506</c:v>
                </c:pt>
                <c:pt idx="258">
                  <c:v>50.183255488342489</c:v>
                </c:pt>
                <c:pt idx="259">
                  <c:v>50.327598505087494</c:v>
                </c:pt>
                <c:pt idx="260">
                  <c:v>50.351655674544986</c:v>
                </c:pt>
                <c:pt idx="261">
                  <c:v>50.399770013459985</c:v>
                </c:pt>
                <c:pt idx="262">
                  <c:v>50.520055860747476</c:v>
                </c:pt>
                <c:pt idx="263">
                  <c:v>50.640341708034974</c:v>
                </c:pt>
                <c:pt idx="264">
                  <c:v>50.688456046949966</c:v>
                </c:pt>
              </c:numCache>
            </c:numRef>
          </c:val>
          <c:smooth val="0"/>
          <c:extLst>
            <c:ext xmlns:c16="http://schemas.microsoft.com/office/drawing/2014/chart" uri="{C3380CC4-5D6E-409C-BE32-E72D297353CC}">
              <c16:uniqueId val="{00000001-0E5C-4754-840A-8F3DA0D5530C}"/>
            </c:ext>
          </c:extLst>
        </c:ser>
        <c:dLbls>
          <c:showLegendKey val="0"/>
          <c:showVal val="0"/>
          <c:showCatName val="0"/>
          <c:showSerName val="0"/>
          <c:showPercent val="0"/>
          <c:showBubbleSize val="0"/>
        </c:dLbls>
        <c:smooth val="0"/>
        <c:axId val="486396536"/>
        <c:axId val="486391616"/>
      </c:lineChart>
      <c:dateAx>
        <c:axId val="4863965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91616"/>
        <c:crosses val="autoZero"/>
        <c:auto val="1"/>
        <c:lblOffset val="100"/>
        <c:baseTimeUnit val="days"/>
      </c:dateAx>
      <c:valAx>
        <c:axId val="48639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39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B2D9-2C05-4AC4-BB41-9A5C6C39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60766-68E0-4710-B3AF-7D1C3AF4CE6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4aea5d07-0eb0-44bf-96eb-22637babf967"/>
    <ds:schemaRef ds:uri="2ffa5dc2-4451-4ee2-b115-33f870a805e6"/>
    <ds:schemaRef ds:uri="http://www.w3.org/XML/1998/namespace"/>
  </ds:schemaRefs>
</ds:datastoreItem>
</file>

<file path=customXml/itemProps3.xml><?xml version="1.0" encoding="utf-8"?>
<ds:datastoreItem xmlns:ds="http://schemas.openxmlformats.org/officeDocument/2006/customXml" ds:itemID="{2AA0D826-1754-46F6-92C8-212AD391C1AB}">
  <ds:schemaRefs>
    <ds:schemaRef ds:uri="http://schemas.microsoft.com/sharepoint/v3/contenttype/forms"/>
  </ds:schemaRefs>
</ds:datastoreItem>
</file>

<file path=customXml/itemProps4.xml><?xml version="1.0" encoding="utf-8"?>
<ds:datastoreItem xmlns:ds="http://schemas.openxmlformats.org/officeDocument/2006/customXml" ds:itemID="{E71EB62F-FA58-4AD8-B4D4-85AD6B34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27789</CharactersWithSpaces>
  <SharedDoc>false</SharedDoc>
  <HLinks>
    <vt:vector size="114" baseType="variant">
      <vt:variant>
        <vt:i4>5308424</vt:i4>
      </vt:variant>
      <vt:variant>
        <vt:i4>66</vt:i4>
      </vt:variant>
      <vt:variant>
        <vt:i4>0</vt:i4>
      </vt:variant>
      <vt:variant>
        <vt:i4>5</vt:i4>
      </vt:variant>
      <vt:variant>
        <vt:lpwstr>https://www.hrc.co.nz/files/6615/8819/4763/Human_Rights_and_Te_Tiriti_o_Waitangi-_COVID-19_and_Alert_Level_4_FINAL.pdf</vt:lpwstr>
      </vt:variant>
      <vt:variant>
        <vt:lpwstr/>
      </vt:variant>
      <vt:variant>
        <vt:i4>7012392</vt:i4>
      </vt:variant>
      <vt:variant>
        <vt:i4>63</vt:i4>
      </vt:variant>
      <vt:variant>
        <vt:i4>0</vt:i4>
      </vt:variant>
      <vt:variant>
        <vt:i4>5</vt:i4>
      </vt:variant>
      <vt:variant>
        <vt:lpwstr>https://static1.squarespace.com/static/548669c2e4b0e9c86a08b3ca/t/5f9b4db7dedb8646ae53b4ba/1604013589963/Research+into+the+COVID-19+Response+Plan+.pdf</vt:lpwstr>
      </vt:variant>
      <vt:variant>
        <vt:lpwstr/>
      </vt:variant>
      <vt:variant>
        <vt:i4>4194371</vt:i4>
      </vt:variant>
      <vt:variant>
        <vt:i4>60</vt:i4>
      </vt:variant>
      <vt:variant>
        <vt:i4>0</vt:i4>
      </vt:variant>
      <vt:variant>
        <vt:i4>5</vt:i4>
      </vt:variant>
      <vt:variant>
        <vt:lpwstr>https://www.health.govt.nz/system/files/documents/publications/whakamaua-maori-health-action-plan-2020-2025-2.pdf</vt:lpwstr>
      </vt:variant>
      <vt:variant>
        <vt:lpwstr/>
      </vt:variant>
      <vt:variant>
        <vt:i4>2818163</vt:i4>
      </vt:variant>
      <vt:variant>
        <vt:i4>57</vt:i4>
      </vt:variant>
      <vt:variant>
        <vt:i4>0</vt:i4>
      </vt:variant>
      <vt:variant>
        <vt:i4>5</vt:i4>
      </vt:variant>
      <vt:variant>
        <vt:lpwstr>https://www.health.govt.nz/system/files/documents/pages/whakamaua-tiriti-o-waitangi-framework-a3-aug20.pdf</vt:lpwstr>
      </vt:variant>
      <vt:variant>
        <vt:lpwstr/>
      </vt:variant>
      <vt:variant>
        <vt:i4>851993</vt:i4>
      </vt:variant>
      <vt:variant>
        <vt:i4>54</vt:i4>
      </vt:variant>
      <vt:variant>
        <vt:i4>0</vt:i4>
      </vt:variant>
      <vt:variant>
        <vt:i4>5</vt:i4>
      </vt:variant>
      <vt:variant>
        <vt:lpwstr>https://www.health.govt.nz/our-work/diseases-and-conditions/covid-19-novel-coronavirus/covid-19-response-planning/covid-19-elimination-strategy-aotearoa-new-zealand</vt:lpwstr>
      </vt:variant>
      <vt:variant>
        <vt:lpwstr/>
      </vt:variant>
      <vt:variant>
        <vt:i4>1900594</vt:i4>
      </vt:variant>
      <vt:variant>
        <vt:i4>47</vt:i4>
      </vt:variant>
      <vt:variant>
        <vt:i4>0</vt:i4>
      </vt:variant>
      <vt:variant>
        <vt:i4>5</vt:i4>
      </vt:variant>
      <vt:variant>
        <vt:lpwstr/>
      </vt:variant>
      <vt:variant>
        <vt:lpwstr>_Toc66286206</vt:lpwstr>
      </vt:variant>
      <vt:variant>
        <vt:i4>1966130</vt:i4>
      </vt:variant>
      <vt:variant>
        <vt:i4>41</vt:i4>
      </vt:variant>
      <vt:variant>
        <vt:i4>0</vt:i4>
      </vt:variant>
      <vt:variant>
        <vt:i4>5</vt:i4>
      </vt:variant>
      <vt:variant>
        <vt:lpwstr/>
      </vt:variant>
      <vt:variant>
        <vt:lpwstr>_Toc66286205</vt:lpwstr>
      </vt:variant>
      <vt:variant>
        <vt:i4>1572914</vt:i4>
      </vt:variant>
      <vt:variant>
        <vt:i4>35</vt:i4>
      </vt:variant>
      <vt:variant>
        <vt:i4>0</vt:i4>
      </vt:variant>
      <vt:variant>
        <vt:i4>5</vt:i4>
      </vt:variant>
      <vt:variant>
        <vt:lpwstr/>
      </vt:variant>
      <vt:variant>
        <vt:lpwstr>_Toc66286203</vt:lpwstr>
      </vt:variant>
      <vt:variant>
        <vt:i4>1703986</vt:i4>
      </vt:variant>
      <vt:variant>
        <vt:i4>29</vt:i4>
      </vt:variant>
      <vt:variant>
        <vt:i4>0</vt:i4>
      </vt:variant>
      <vt:variant>
        <vt:i4>5</vt:i4>
      </vt:variant>
      <vt:variant>
        <vt:lpwstr/>
      </vt:variant>
      <vt:variant>
        <vt:lpwstr>_Toc66286201</vt:lpwstr>
      </vt:variant>
      <vt:variant>
        <vt:i4>1114171</vt:i4>
      </vt:variant>
      <vt:variant>
        <vt:i4>23</vt:i4>
      </vt:variant>
      <vt:variant>
        <vt:i4>0</vt:i4>
      </vt:variant>
      <vt:variant>
        <vt:i4>5</vt:i4>
      </vt:variant>
      <vt:variant>
        <vt:lpwstr/>
      </vt:variant>
      <vt:variant>
        <vt:lpwstr>_Toc66286199</vt:lpwstr>
      </vt:variant>
      <vt:variant>
        <vt:i4>2031675</vt:i4>
      </vt:variant>
      <vt:variant>
        <vt:i4>17</vt:i4>
      </vt:variant>
      <vt:variant>
        <vt:i4>0</vt:i4>
      </vt:variant>
      <vt:variant>
        <vt:i4>5</vt:i4>
      </vt:variant>
      <vt:variant>
        <vt:lpwstr/>
      </vt:variant>
      <vt:variant>
        <vt:lpwstr>_Toc66286197</vt:lpwstr>
      </vt:variant>
      <vt:variant>
        <vt:i4>5374029</vt:i4>
      </vt:variant>
      <vt:variant>
        <vt:i4>12</vt:i4>
      </vt:variant>
      <vt:variant>
        <vt:i4>0</vt:i4>
      </vt:variant>
      <vt:variant>
        <vt:i4>5</vt:i4>
      </vt:variant>
      <vt:variant>
        <vt:lpwstr>https://covid19.govt.nz/</vt:lpwstr>
      </vt:variant>
      <vt:variant>
        <vt:lpwstr/>
      </vt:variant>
      <vt:variant>
        <vt:i4>7077990</vt:i4>
      </vt:variant>
      <vt:variant>
        <vt:i4>9</vt:i4>
      </vt:variant>
      <vt:variant>
        <vt:i4>0</vt:i4>
      </vt:variant>
      <vt:variant>
        <vt:i4>5</vt:i4>
      </vt:variant>
      <vt:variant>
        <vt:lpwstr>https://www.health.govt.nz/</vt:lpwstr>
      </vt:variant>
      <vt:variant>
        <vt:lpwstr/>
      </vt:variant>
      <vt:variant>
        <vt:i4>1179722</vt:i4>
      </vt:variant>
      <vt:variant>
        <vt:i4>6</vt:i4>
      </vt:variant>
      <vt:variant>
        <vt:i4>0</vt:i4>
      </vt:variant>
      <vt:variant>
        <vt:i4>5</vt:i4>
      </vt:variant>
      <vt:variant>
        <vt:lpwstr>https://www.health.govt.nz/system/files/documents/publications/updated-covid-19-maori-health-response-plan-jul20.pdf</vt:lpwstr>
      </vt:variant>
      <vt:variant>
        <vt:lpwstr/>
      </vt:variant>
      <vt:variant>
        <vt:i4>2818163</vt:i4>
      </vt:variant>
      <vt:variant>
        <vt:i4>3</vt:i4>
      </vt:variant>
      <vt:variant>
        <vt:i4>0</vt:i4>
      </vt:variant>
      <vt:variant>
        <vt:i4>5</vt:i4>
      </vt:variant>
      <vt:variant>
        <vt:lpwstr>https://www.health.govt.nz/system/files/documents/pages/whakamaua-tiriti-o-waitangi-framework-a3-aug20.pdf</vt:lpwstr>
      </vt:variant>
      <vt:variant>
        <vt:lpwstr/>
      </vt:variant>
      <vt:variant>
        <vt:i4>851993</vt:i4>
      </vt:variant>
      <vt:variant>
        <vt:i4>0</vt:i4>
      </vt:variant>
      <vt:variant>
        <vt:i4>0</vt:i4>
      </vt:variant>
      <vt:variant>
        <vt:i4>5</vt:i4>
      </vt:variant>
      <vt:variant>
        <vt:lpwstr>https://www.health.govt.nz/our-work/diseases-and-conditions/covid-19-novel-coronavirus/covid-19-response-planning/covid-19-elimination-strategy-aotearoa-new-zealand</vt:lpwstr>
      </vt:variant>
      <vt:variant>
        <vt:lpwstr/>
      </vt:variant>
      <vt:variant>
        <vt:i4>2752571</vt:i4>
      </vt:variant>
      <vt:variant>
        <vt:i4>6</vt:i4>
      </vt:variant>
      <vt:variant>
        <vt:i4>0</vt:i4>
      </vt:variant>
      <vt:variant>
        <vt:i4>5</vt:i4>
      </vt:variant>
      <vt:variant>
        <vt:lpwstr>https://www.health.govt.nz/our-work/diseases-and-conditions/covid-19-novel-coronavirus/covid-19-data-and-statistics/covid-19-current-cases</vt:lpwstr>
      </vt:variant>
      <vt:variant>
        <vt:lpwstr/>
      </vt:variant>
      <vt:variant>
        <vt:i4>2031636</vt:i4>
      </vt:variant>
      <vt:variant>
        <vt:i4>3</vt:i4>
      </vt:variant>
      <vt:variant>
        <vt:i4>0</vt:i4>
      </vt:variant>
      <vt:variant>
        <vt:i4>5</vt:i4>
      </vt:variant>
      <vt:variant>
        <vt:lpwstr>https://www.stats.govt.nz/about-us/what-we-do/mana-orite-relationship-agreement/</vt:lpwstr>
      </vt:variant>
      <vt:variant>
        <vt:lpwstr/>
      </vt:variant>
      <vt:variant>
        <vt:i4>2424950</vt:i4>
      </vt:variant>
      <vt:variant>
        <vt:i4>0</vt:i4>
      </vt:variant>
      <vt:variant>
        <vt:i4>0</vt:i4>
      </vt:variant>
      <vt:variant>
        <vt:i4>5</vt:i4>
      </vt:variant>
      <vt:variant>
        <vt:lpwstr>https://www.health.govt.nz/publication/hiso-100012017-ethnicity-data-protocols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Geneva Ruppert-Wise</cp:lastModifiedBy>
  <cp:revision>8</cp:revision>
  <cp:lastPrinted>2021-03-22T22:49:00Z</cp:lastPrinted>
  <dcterms:created xsi:type="dcterms:W3CDTF">2021-03-22T22:42:00Z</dcterms:created>
  <dcterms:modified xsi:type="dcterms:W3CDTF">2021-03-22T22:50:00Z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