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59FBD" w14:textId="11156BAB" w:rsidR="00896135" w:rsidRDefault="00896135" w:rsidP="00896135">
      <w:bookmarkStart w:id="0" w:name="_GoBack"/>
      <w:bookmarkEnd w:id="0"/>
    </w:p>
    <w:p w14:paraId="400DF27F" w14:textId="77777777" w:rsidR="00896135" w:rsidRPr="00926083" w:rsidRDefault="00896135" w:rsidP="00896135">
      <w:pPr>
        <w:pStyle w:val="Title"/>
      </w:pPr>
      <w:r>
        <w:t>The cost and value of employment in the health and disability sector</w:t>
      </w:r>
    </w:p>
    <w:p w14:paraId="721CCDFF" w14:textId="77777777" w:rsidR="00896135" w:rsidRDefault="00896135" w:rsidP="00896135">
      <w:pPr>
        <w:pStyle w:val="Subhead"/>
      </w:pPr>
      <w:r>
        <w:t>Report prepared for the Health Workforce Advisory Board by the Health Workforce Directorate</w:t>
      </w:r>
    </w:p>
    <w:p w14:paraId="5617A400" w14:textId="18568832" w:rsidR="00896135" w:rsidRDefault="00896135" w:rsidP="00896135">
      <w:pPr>
        <w:pStyle w:val="Year"/>
      </w:pPr>
      <w:r>
        <w:t xml:space="preserve"> </w:t>
      </w:r>
      <w:r w:rsidR="006C1E67">
        <w:t xml:space="preserve">October </w:t>
      </w:r>
      <w:r>
        <w:t>2020</w:t>
      </w:r>
    </w:p>
    <w:p w14:paraId="63FB7149" w14:textId="77777777" w:rsidR="00896135" w:rsidRPr="00C201A0" w:rsidRDefault="00896135" w:rsidP="00896135">
      <w:pPr>
        <w:pStyle w:val="Subhead"/>
        <w:sectPr w:rsidR="00896135" w:rsidRPr="00C201A0" w:rsidSect="00AA2D7C">
          <w:headerReference w:type="default" r:id="rId11"/>
          <w:pgSz w:w="11907" w:h="16834" w:code="9"/>
          <w:pgMar w:top="5670" w:right="1134" w:bottom="1134" w:left="1134" w:header="567" w:footer="851" w:gutter="0"/>
          <w:pgNumType w:start="1"/>
          <w:cols w:space="720"/>
        </w:sectPr>
      </w:pPr>
    </w:p>
    <w:p w14:paraId="6BD1C220" w14:textId="77777777" w:rsidR="00896135" w:rsidRPr="00A053D0" w:rsidRDefault="00896135" w:rsidP="00DA11AC">
      <w:pPr>
        <w:pStyle w:val="Heading3"/>
      </w:pPr>
      <w:r w:rsidRPr="00A053D0">
        <w:lastRenderedPageBreak/>
        <w:t>Acknowledgements</w:t>
      </w:r>
    </w:p>
    <w:p w14:paraId="69112F59" w14:textId="19A950DE" w:rsidR="00896135" w:rsidRPr="00D62718" w:rsidRDefault="00896135" w:rsidP="00DA11AC">
      <w:pPr>
        <w:rPr>
          <w:rFonts w:cs="Segoe UI"/>
          <w:sz w:val="20"/>
        </w:rPr>
      </w:pPr>
      <w:r w:rsidRPr="00D62718">
        <w:rPr>
          <w:rFonts w:cs="Segoe UI"/>
          <w:sz w:val="20"/>
        </w:rPr>
        <w:t xml:space="preserve">This report was prepared by </w:t>
      </w:r>
      <w:r w:rsidR="001F3C2E">
        <w:rPr>
          <w:rFonts w:cs="Segoe UI"/>
          <w:sz w:val="20"/>
        </w:rPr>
        <w:t xml:space="preserve">the </w:t>
      </w:r>
      <w:r w:rsidRPr="00D62718">
        <w:rPr>
          <w:rFonts w:cs="Segoe UI"/>
          <w:sz w:val="20"/>
        </w:rPr>
        <w:t xml:space="preserve">Health Workforce Directorate </w:t>
      </w:r>
    </w:p>
    <w:p w14:paraId="51A9278B" w14:textId="64799E0F" w:rsidR="00E036B4" w:rsidRPr="00C05132" w:rsidRDefault="00896135" w:rsidP="00C17E76">
      <w:pPr>
        <w:rPr>
          <w:rFonts w:cs="Segoe UI"/>
          <w:sz w:val="20"/>
        </w:rPr>
      </w:pPr>
      <w:r w:rsidRPr="00D62718">
        <w:rPr>
          <w:rFonts w:cs="Segoe UI"/>
          <w:sz w:val="20"/>
        </w:rPr>
        <w:t>for the Health Workforce Advisory Board.</w:t>
      </w:r>
    </w:p>
    <w:p w14:paraId="44BE0365" w14:textId="70673DC0" w:rsidR="00B73C47" w:rsidRPr="001F07CC" w:rsidRDefault="00B73C47" w:rsidP="00C17E76">
      <w:pPr>
        <w:pStyle w:val="Imprint"/>
        <w:spacing w:before="1200"/>
      </w:pPr>
      <w:r w:rsidRPr="001F07CC">
        <w:t xml:space="preserve">Citation: Ministry of Health. 2020. </w:t>
      </w:r>
      <w:r w:rsidR="00841494" w:rsidRPr="00841494">
        <w:rPr>
          <w:i/>
        </w:rPr>
        <w:t>The cost and value of employment in the health and disability sector</w:t>
      </w:r>
      <w:r w:rsidRPr="001F07CC">
        <w:t>. Wellington: Ministry of Health.</w:t>
      </w:r>
    </w:p>
    <w:p w14:paraId="48951029" w14:textId="77777777" w:rsidR="00B73C47" w:rsidRPr="001F07CC" w:rsidRDefault="00B73C47" w:rsidP="00B73C47">
      <w:pPr>
        <w:pStyle w:val="Imprint"/>
      </w:pPr>
      <w:r w:rsidRPr="001F07CC">
        <w:t>Published in November 2020 by the Ministry of Health</w:t>
      </w:r>
      <w:r w:rsidRPr="001F07CC">
        <w:br/>
        <w:t>PO Box 5013, Wellington 6140, New Zealand</w:t>
      </w:r>
    </w:p>
    <w:p w14:paraId="70A5A5CD" w14:textId="7A1D2154" w:rsidR="00896135" w:rsidRPr="00C17E76" w:rsidRDefault="00B73C47" w:rsidP="00E64A30">
      <w:pPr>
        <w:pStyle w:val="Imprint"/>
        <w:spacing w:after="0"/>
        <w:rPr>
          <w:rFonts w:cs="Segoe UI"/>
        </w:rPr>
      </w:pPr>
      <w:r w:rsidRPr="001F07CC">
        <w:rPr>
          <w:rFonts w:cs="Segoe UI"/>
        </w:rPr>
        <w:t xml:space="preserve">ISBN </w:t>
      </w:r>
      <w:r w:rsidR="00BB50D3" w:rsidRPr="00C17E76">
        <w:rPr>
          <w:rFonts w:cs="Segoe UI"/>
        </w:rPr>
        <w:t>978-1-99-002967-7</w:t>
      </w:r>
      <w:r w:rsidR="00BB50D3" w:rsidRPr="001F07CC">
        <w:rPr>
          <w:rFonts w:cs="Segoe UI"/>
        </w:rPr>
        <w:t xml:space="preserve"> </w:t>
      </w:r>
      <w:r w:rsidRPr="001F07CC">
        <w:rPr>
          <w:rFonts w:cs="Segoe UI"/>
        </w:rPr>
        <w:t>(online)</w:t>
      </w:r>
      <w:r w:rsidRPr="001F07CC">
        <w:rPr>
          <w:rFonts w:cs="Segoe UI"/>
        </w:rPr>
        <w:br/>
        <w:t xml:space="preserve">HP </w:t>
      </w:r>
      <w:r>
        <w:rPr>
          <w:rFonts w:cs="Segoe UI"/>
        </w:rPr>
        <w:t>751</w:t>
      </w:r>
      <w:r w:rsidR="00841494">
        <w:rPr>
          <w:rFonts w:cs="Segoe UI"/>
        </w:rPr>
        <w:t>3</w:t>
      </w:r>
    </w:p>
    <w:p w14:paraId="4A83B9B5" w14:textId="2725DCE8" w:rsidR="00896135" w:rsidRDefault="00896135" w:rsidP="00E64A30">
      <w:pPr>
        <w:spacing w:before="360"/>
      </w:pPr>
      <w:r>
        <w:rPr>
          <w:noProof/>
          <w:lang w:eastAsia="en-NZ"/>
        </w:rPr>
        <w:drawing>
          <wp:inline distT="0" distB="0" distL="0" distR="0" wp14:anchorId="4643B3AC" wp14:editId="577BEF90">
            <wp:extent cx="1412875" cy="581025"/>
            <wp:effectExtent l="0" t="0" r="0" b="9525"/>
            <wp:docPr id="20" name="Picture 20"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412875" cy="581025"/>
                    </a:xfrm>
                    <a:prstGeom prst="rect">
                      <a:avLst/>
                    </a:prstGeom>
                    <a:noFill/>
                    <a:ln>
                      <a:noFill/>
                    </a:ln>
                  </pic:spPr>
                </pic:pic>
              </a:graphicData>
            </a:graphic>
          </wp:inline>
        </w:drawing>
      </w:r>
    </w:p>
    <w:p w14:paraId="72986E65" w14:textId="5F0EFC1F" w:rsidR="0036629E" w:rsidRDefault="0036629E" w:rsidP="0036629E">
      <w:pPr>
        <w:pStyle w:val="Imprint"/>
        <w:spacing w:before="240" w:after="480"/>
      </w:pPr>
      <w:r>
        <w:t xml:space="preserve">This document is available at </w:t>
      </w:r>
      <w:r w:rsidRPr="00BE6A2C">
        <w:t>health.govt.nz</w:t>
      </w:r>
    </w:p>
    <w:tbl>
      <w:tblPr>
        <w:tblW w:w="0" w:type="auto"/>
        <w:tblLayout w:type="fixed"/>
        <w:tblLook w:val="04A0" w:firstRow="1" w:lastRow="0" w:firstColumn="1" w:lastColumn="0" w:noHBand="0" w:noVBand="1"/>
      </w:tblPr>
      <w:tblGrid>
        <w:gridCol w:w="1526"/>
        <w:gridCol w:w="6061"/>
      </w:tblGrid>
      <w:tr w:rsidR="00896135" w:rsidRPr="00A63DFF" w14:paraId="45B8F054" w14:textId="77777777" w:rsidTr="00AA2D7C">
        <w:trPr>
          <w:cantSplit/>
        </w:trPr>
        <w:tc>
          <w:tcPr>
            <w:tcW w:w="1526" w:type="dxa"/>
            <w:shd w:val="clear" w:color="auto" w:fill="auto"/>
          </w:tcPr>
          <w:p w14:paraId="3A782E85" w14:textId="77777777" w:rsidR="00896135" w:rsidRPr="00A053D0" w:rsidRDefault="00896135" w:rsidP="00AA2D7C">
            <w:pPr>
              <w:spacing w:line="264" w:lineRule="auto"/>
              <w:rPr>
                <w:rFonts w:cs="Segoe UI"/>
                <w:sz w:val="15"/>
                <w:szCs w:val="15"/>
              </w:rPr>
            </w:pPr>
            <w:r>
              <w:rPr>
                <w:rFonts w:cs="Segoe UI"/>
                <w:b/>
                <w:noProof/>
                <w:sz w:val="15"/>
                <w:szCs w:val="15"/>
                <w:lang w:eastAsia="en-NZ"/>
              </w:rPr>
              <w:drawing>
                <wp:inline distT="0" distB="0" distL="0" distR="0" wp14:anchorId="6797682B" wp14:editId="3684181B">
                  <wp:extent cx="811530" cy="288290"/>
                  <wp:effectExtent l="0" t="0" r="7620" b="0"/>
                  <wp:docPr id="19" name="Picture 19"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1530" cy="288290"/>
                          </a:xfrm>
                          <a:prstGeom prst="rect">
                            <a:avLst/>
                          </a:prstGeom>
                          <a:noFill/>
                          <a:ln>
                            <a:noFill/>
                          </a:ln>
                        </pic:spPr>
                      </pic:pic>
                    </a:graphicData>
                  </a:graphic>
                </wp:inline>
              </w:drawing>
            </w:r>
          </w:p>
        </w:tc>
        <w:tc>
          <w:tcPr>
            <w:tcW w:w="6061" w:type="dxa"/>
            <w:shd w:val="clear" w:color="auto" w:fill="auto"/>
          </w:tcPr>
          <w:p w14:paraId="2F9D6F05" w14:textId="77777777" w:rsidR="00896135" w:rsidRPr="00A053D0" w:rsidRDefault="00896135" w:rsidP="00AA2D7C">
            <w:pPr>
              <w:spacing w:line="264" w:lineRule="auto"/>
              <w:rPr>
                <w:rFonts w:cs="Segoe UI"/>
                <w:sz w:val="15"/>
                <w:szCs w:val="15"/>
              </w:rPr>
            </w:pPr>
            <w:r w:rsidRPr="00A053D0">
              <w:rPr>
                <w:rFonts w:cs="Segoe UI"/>
                <w:sz w:val="15"/>
                <w:szCs w:val="15"/>
              </w:rPr>
              <w:t xml:space="preserve">This work is licensed under the Creative Commons Attribution 4.0 International licence. </w:t>
            </w:r>
            <w:proofErr w:type="gramStart"/>
            <w:r w:rsidRPr="00A053D0">
              <w:rPr>
                <w:rFonts w:cs="Segoe UI"/>
                <w:sz w:val="15"/>
                <w:szCs w:val="15"/>
              </w:rPr>
              <w:t xml:space="preserve">In essence, </w:t>
            </w:r>
            <w:r w:rsidRPr="00A053D0">
              <w:rPr>
                <w:rFonts w:cs="Segoe UI"/>
                <w:bCs/>
                <w:sz w:val="15"/>
                <w:szCs w:val="15"/>
              </w:rPr>
              <w:t>you</w:t>
            </w:r>
            <w:proofErr w:type="gramEnd"/>
            <w:r w:rsidRPr="00A053D0">
              <w:rPr>
                <w:rFonts w:cs="Segoe UI"/>
                <w:bCs/>
                <w:sz w:val="15"/>
                <w:szCs w:val="15"/>
              </w:rPr>
              <w:t xml:space="preserve"> are free to: </w:t>
            </w:r>
            <w:r w:rsidRPr="00A053D0">
              <w:rPr>
                <w:rFonts w:cs="Segoe UI"/>
                <w:sz w:val="15"/>
                <w:szCs w:val="15"/>
              </w:rPr>
              <w:t xml:space="preserve">share ie, copy and redistribute the material in any medium or format; adapt ie, remix, transform and build upon the material. </w:t>
            </w:r>
            <w:r w:rsidRPr="00A053D0">
              <w:rPr>
                <w:rFonts w:cs="Segoe UI"/>
                <w:bCs/>
                <w:sz w:val="15"/>
                <w:szCs w:val="15"/>
              </w:rPr>
              <w:t>You must give appropriate credit, provide a link to the licence and indicate if changes were made.</w:t>
            </w:r>
          </w:p>
        </w:tc>
      </w:tr>
    </w:tbl>
    <w:p w14:paraId="62E8945D" w14:textId="77777777" w:rsidR="00896135" w:rsidRPr="001F45A7" w:rsidRDefault="00896135" w:rsidP="00896135"/>
    <w:p w14:paraId="0F90A96D" w14:textId="77777777" w:rsidR="00896135" w:rsidRDefault="00896135" w:rsidP="00896135">
      <w:pPr>
        <w:jc w:val="center"/>
        <w:sectPr w:rsidR="00896135" w:rsidSect="00AA2D7C">
          <w:headerReference w:type="default" r:id="rId14"/>
          <w:footerReference w:type="even" r:id="rId15"/>
          <w:footerReference w:type="default" r:id="rId16"/>
          <w:pgSz w:w="11907" w:h="16834" w:code="9"/>
          <w:pgMar w:top="1701" w:right="2268" w:bottom="1134" w:left="2268" w:header="0" w:footer="0" w:gutter="0"/>
          <w:cols w:space="720"/>
          <w:vAlign w:val="bottom"/>
        </w:sectPr>
      </w:pPr>
    </w:p>
    <w:p w14:paraId="3BC074D1" w14:textId="77777777" w:rsidR="00896135" w:rsidRDefault="00896135" w:rsidP="00896135">
      <w:pPr>
        <w:pStyle w:val="IntroHead"/>
      </w:pPr>
      <w:bookmarkStart w:id="1" w:name="_Toc405792991"/>
      <w:bookmarkStart w:id="2" w:name="_Toc405793224"/>
      <w:r>
        <w:lastRenderedPageBreak/>
        <w:t>Contents</w:t>
      </w:r>
      <w:bookmarkEnd w:id="1"/>
      <w:bookmarkEnd w:id="2"/>
    </w:p>
    <w:p w14:paraId="2DAEBDFD" w14:textId="58A6C88F" w:rsidR="001A4960" w:rsidRDefault="001A4960">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54706211" w:history="1">
        <w:r w:rsidRPr="00297130">
          <w:rPr>
            <w:rStyle w:val="Hyperlink"/>
            <w:noProof/>
          </w:rPr>
          <w:t>Summary</w:t>
        </w:r>
        <w:r>
          <w:rPr>
            <w:noProof/>
            <w:webHidden/>
          </w:rPr>
          <w:tab/>
        </w:r>
        <w:r>
          <w:rPr>
            <w:noProof/>
            <w:webHidden/>
          </w:rPr>
          <w:fldChar w:fldCharType="begin"/>
        </w:r>
        <w:r>
          <w:rPr>
            <w:noProof/>
            <w:webHidden/>
          </w:rPr>
          <w:instrText xml:space="preserve"> PAGEREF _Toc54706211 \h </w:instrText>
        </w:r>
        <w:r>
          <w:rPr>
            <w:noProof/>
            <w:webHidden/>
          </w:rPr>
        </w:r>
        <w:r>
          <w:rPr>
            <w:noProof/>
            <w:webHidden/>
          </w:rPr>
          <w:fldChar w:fldCharType="separate"/>
        </w:r>
        <w:r w:rsidR="00884C99">
          <w:rPr>
            <w:noProof/>
            <w:webHidden/>
          </w:rPr>
          <w:t>1</w:t>
        </w:r>
        <w:r>
          <w:rPr>
            <w:noProof/>
            <w:webHidden/>
          </w:rPr>
          <w:fldChar w:fldCharType="end"/>
        </w:r>
      </w:hyperlink>
    </w:p>
    <w:p w14:paraId="23BB65EF" w14:textId="6EC2F027" w:rsidR="001A4960" w:rsidRDefault="00884C99">
      <w:pPr>
        <w:pStyle w:val="TOC2"/>
        <w:rPr>
          <w:rFonts w:asciiTheme="minorHAnsi" w:eastAsiaTheme="minorEastAsia" w:hAnsiTheme="minorHAnsi" w:cstheme="minorBidi"/>
          <w:noProof/>
          <w:szCs w:val="22"/>
          <w:lang w:eastAsia="en-NZ"/>
        </w:rPr>
      </w:pPr>
      <w:hyperlink w:anchor="_Toc54706212" w:history="1">
        <w:r w:rsidR="001A4960" w:rsidRPr="00297130">
          <w:rPr>
            <w:rStyle w:val="Hyperlink"/>
            <w:rFonts w:eastAsia="Arial Unicode MS"/>
            <w:noProof/>
          </w:rPr>
          <w:t>New Zealand health and disability workforce</w:t>
        </w:r>
        <w:r w:rsidR="001A4960">
          <w:rPr>
            <w:noProof/>
            <w:webHidden/>
          </w:rPr>
          <w:tab/>
        </w:r>
        <w:r w:rsidR="001A4960">
          <w:rPr>
            <w:noProof/>
            <w:webHidden/>
          </w:rPr>
          <w:fldChar w:fldCharType="begin"/>
        </w:r>
        <w:r w:rsidR="001A4960">
          <w:rPr>
            <w:noProof/>
            <w:webHidden/>
          </w:rPr>
          <w:instrText xml:space="preserve"> PAGEREF _Toc54706212 \h </w:instrText>
        </w:r>
        <w:r w:rsidR="001A4960">
          <w:rPr>
            <w:noProof/>
            <w:webHidden/>
          </w:rPr>
        </w:r>
        <w:r w:rsidR="001A4960">
          <w:rPr>
            <w:noProof/>
            <w:webHidden/>
          </w:rPr>
          <w:fldChar w:fldCharType="separate"/>
        </w:r>
        <w:r>
          <w:rPr>
            <w:noProof/>
            <w:webHidden/>
          </w:rPr>
          <w:t>1</w:t>
        </w:r>
        <w:r w:rsidR="001A4960">
          <w:rPr>
            <w:noProof/>
            <w:webHidden/>
          </w:rPr>
          <w:fldChar w:fldCharType="end"/>
        </w:r>
      </w:hyperlink>
    </w:p>
    <w:p w14:paraId="67423F30" w14:textId="2D2B4E51" w:rsidR="001A4960" w:rsidRDefault="00884C99">
      <w:pPr>
        <w:pStyle w:val="TOC2"/>
        <w:rPr>
          <w:rFonts w:asciiTheme="minorHAnsi" w:eastAsiaTheme="minorEastAsia" w:hAnsiTheme="minorHAnsi" w:cstheme="minorBidi"/>
          <w:noProof/>
          <w:szCs w:val="22"/>
          <w:lang w:eastAsia="en-NZ"/>
        </w:rPr>
      </w:pPr>
      <w:hyperlink w:anchor="_Toc54706213" w:history="1">
        <w:r w:rsidR="001A4960" w:rsidRPr="00297130">
          <w:rPr>
            <w:rStyle w:val="Hyperlink"/>
            <w:noProof/>
          </w:rPr>
          <w:t>Health employment, economic growth and wellbeing</w:t>
        </w:r>
        <w:r w:rsidR="001A4960">
          <w:rPr>
            <w:noProof/>
            <w:webHidden/>
          </w:rPr>
          <w:tab/>
        </w:r>
        <w:r w:rsidR="001A4960">
          <w:rPr>
            <w:noProof/>
            <w:webHidden/>
          </w:rPr>
          <w:fldChar w:fldCharType="begin"/>
        </w:r>
        <w:r w:rsidR="001A4960">
          <w:rPr>
            <w:noProof/>
            <w:webHidden/>
          </w:rPr>
          <w:instrText xml:space="preserve"> PAGEREF _Toc54706213 \h </w:instrText>
        </w:r>
        <w:r w:rsidR="001A4960">
          <w:rPr>
            <w:noProof/>
            <w:webHidden/>
          </w:rPr>
        </w:r>
        <w:r w:rsidR="001A4960">
          <w:rPr>
            <w:noProof/>
            <w:webHidden/>
          </w:rPr>
          <w:fldChar w:fldCharType="separate"/>
        </w:r>
        <w:r>
          <w:rPr>
            <w:noProof/>
            <w:webHidden/>
          </w:rPr>
          <w:t>2</w:t>
        </w:r>
        <w:r w:rsidR="001A4960">
          <w:rPr>
            <w:noProof/>
            <w:webHidden/>
          </w:rPr>
          <w:fldChar w:fldCharType="end"/>
        </w:r>
      </w:hyperlink>
    </w:p>
    <w:p w14:paraId="737F0B92" w14:textId="456CC1A2" w:rsidR="001A4960" w:rsidRDefault="00884C99">
      <w:pPr>
        <w:pStyle w:val="TOC2"/>
        <w:rPr>
          <w:rFonts w:asciiTheme="minorHAnsi" w:eastAsiaTheme="minorEastAsia" w:hAnsiTheme="minorHAnsi" w:cstheme="minorBidi"/>
          <w:noProof/>
          <w:szCs w:val="22"/>
          <w:lang w:eastAsia="en-NZ"/>
        </w:rPr>
      </w:pPr>
      <w:hyperlink w:anchor="_Toc54706214" w:history="1">
        <w:r w:rsidR="001A4960" w:rsidRPr="00297130">
          <w:rPr>
            <w:rStyle w:val="Hyperlink"/>
            <w:rFonts w:eastAsia="Arial Unicode MS"/>
            <w:noProof/>
          </w:rPr>
          <w:t>Pathways to economic growth and wellbeing</w:t>
        </w:r>
        <w:r w:rsidR="001A4960">
          <w:rPr>
            <w:noProof/>
            <w:webHidden/>
          </w:rPr>
          <w:tab/>
        </w:r>
        <w:r w:rsidR="001A4960">
          <w:rPr>
            <w:noProof/>
            <w:webHidden/>
          </w:rPr>
          <w:fldChar w:fldCharType="begin"/>
        </w:r>
        <w:r w:rsidR="001A4960">
          <w:rPr>
            <w:noProof/>
            <w:webHidden/>
          </w:rPr>
          <w:instrText xml:space="preserve"> PAGEREF _Toc54706214 \h </w:instrText>
        </w:r>
        <w:r w:rsidR="001A4960">
          <w:rPr>
            <w:noProof/>
            <w:webHidden/>
          </w:rPr>
        </w:r>
        <w:r w:rsidR="001A4960">
          <w:rPr>
            <w:noProof/>
            <w:webHidden/>
          </w:rPr>
          <w:fldChar w:fldCharType="separate"/>
        </w:r>
        <w:r>
          <w:rPr>
            <w:noProof/>
            <w:webHidden/>
          </w:rPr>
          <w:t>3</w:t>
        </w:r>
        <w:r w:rsidR="001A4960">
          <w:rPr>
            <w:noProof/>
            <w:webHidden/>
          </w:rPr>
          <w:fldChar w:fldCharType="end"/>
        </w:r>
      </w:hyperlink>
    </w:p>
    <w:p w14:paraId="6BEBD8E5" w14:textId="44A69398" w:rsidR="001A4960" w:rsidRDefault="00884C99">
      <w:pPr>
        <w:pStyle w:val="TOC1"/>
        <w:rPr>
          <w:rFonts w:asciiTheme="minorHAnsi" w:eastAsiaTheme="minorEastAsia" w:hAnsiTheme="minorHAnsi" w:cstheme="minorBidi"/>
          <w:noProof/>
          <w:sz w:val="22"/>
          <w:szCs w:val="22"/>
          <w:lang w:eastAsia="en-NZ"/>
        </w:rPr>
      </w:pPr>
      <w:hyperlink w:anchor="_Toc54706215" w:history="1">
        <w:r w:rsidR="001A4960" w:rsidRPr="00297130">
          <w:rPr>
            <w:rStyle w:val="Hyperlink"/>
            <w:noProof/>
          </w:rPr>
          <w:t>Introduction</w:t>
        </w:r>
        <w:r w:rsidR="001A4960">
          <w:rPr>
            <w:noProof/>
            <w:webHidden/>
          </w:rPr>
          <w:tab/>
        </w:r>
        <w:r w:rsidR="001A4960">
          <w:rPr>
            <w:noProof/>
            <w:webHidden/>
          </w:rPr>
          <w:fldChar w:fldCharType="begin"/>
        </w:r>
        <w:r w:rsidR="001A4960">
          <w:rPr>
            <w:noProof/>
            <w:webHidden/>
          </w:rPr>
          <w:instrText xml:space="preserve"> PAGEREF _Toc54706215 \h </w:instrText>
        </w:r>
        <w:r w:rsidR="001A4960">
          <w:rPr>
            <w:noProof/>
            <w:webHidden/>
          </w:rPr>
        </w:r>
        <w:r w:rsidR="001A4960">
          <w:rPr>
            <w:noProof/>
            <w:webHidden/>
          </w:rPr>
          <w:fldChar w:fldCharType="separate"/>
        </w:r>
        <w:r>
          <w:rPr>
            <w:noProof/>
            <w:webHidden/>
          </w:rPr>
          <w:t>5</w:t>
        </w:r>
        <w:r w:rsidR="001A4960">
          <w:rPr>
            <w:noProof/>
            <w:webHidden/>
          </w:rPr>
          <w:fldChar w:fldCharType="end"/>
        </w:r>
      </w:hyperlink>
    </w:p>
    <w:p w14:paraId="51ECC8F2" w14:textId="51DD5A99" w:rsidR="001A4960" w:rsidRDefault="00884C99">
      <w:pPr>
        <w:pStyle w:val="TOC2"/>
        <w:rPr>
          <w:rFonts w:asciiTheme="minorHAnsi" w:eastAsiaTheme="minorEastAsia" w:hAnsiTheme="minorHAnsi" w:cstheme="minorBidi"/>
          <w:noProof/>
          <w:szCs w:val="22"/>
          <w:lang w:eastAsia="en-NZ"/>
        </w:rPr>
      </w:pPr>
      <w:hyperlink w:anchor="_Toc54706216" w:history="1">
        <w:r w:rsidR="001A4960" w:rsidRPr="00297130">
          <w:rPr>
            <w:rStyle w:val="Hyperlink"/>
            <w:noProof/>
          </w:rPr>
          <w:t>Purpose of this report</w:t>
        </w:r>
        <w:r w:rsidR="001A4960">
          <w:rPr>
            <w:noProof/>
            <w:webHidden/>
          </w:rPr>
          <w:tab/>
        </w:r>
        <w:r w:rsidR="001A4960">
          <w:rPr>
            <w:noProof/>
            <w:webHidden/>
          </w:rPr>
          <w:fldChar w:fldCharType="begin"/>
        </w:r>
        <w:r w:rsidR="001A4960">
          <w:rPr>
            <w:noProof/>
            <w:webHidden/>
          </w:rPr>
          <w:instrText xml:space="preserve"> PAGEREF _Toc54706216 \h </w:instrText>
        </w:r>
        <w:r w:rsidR="001A4960">
          <w:rPr>
            <w:noProof/>
            <w:webHidden/>
          </w:rPr>
        </w:r>
        <w:r w:rsidR="001A4960">
          <w:rPr>
            <w:noProof/>
            <w:webHidden/>
          </w:rPr>
          <w:fldChar w:fldCharType="separate"/>
        </w:r>
        <w:r>
          <w:rPr>
            <w:noProof/>
            <w:webHidden/>
          </w:rPr>
          <w:t>5</w:t>
        </w:r>
        <w:r w:rsidR="001A4960">
          <w:rPr>
            <w:noProof/>
            <w:webHidden/>
          </w:rPr>
          <w:fldChar w:fldCharType="end"/>
        </w:r>
      </w:hyperlink>
    </w:p>
    <w:p w14:paraId="03E5BA38" w14:textId="228D0BC0" w:rsidR="001A4960" w:rsidRDefault="00884C99">
      <w:pPr>
        <w:pStyle w:val="TOC1"/>
        <w:rPr>
          <w:rFonts w:asciiTheme="minorHAnsi" w:eastAsiaTheme="minorEastAsia" w:hAnsiTheme="minorHAnsi" w:cstheme="minorBidi"/>
          <w:noProof/>
          <w:sz w:val="22"/>
          <w:szCs w:val="22"/>
          <w:lang w:eastAsia="en-NZ"/>
        </w:rPr>
      </w:pPr>
      <w:hyperlink w:anchor="_Toc54706217" w:history="1">
        <w:r w:rsidR="001A4960" w:rsidRPr="00297130">
          <w:rPr>
            <w:rStyle w:val="Hyperlink"/>
            <w:noProof/>
          </w:rPr>
          <w:t>New Zealand health and disability workforce</w:t>
        </w:r>
        <w:r w:rsidR="001A4960">
          <w:rPr>
            <w:noProof/>
            <w:webHidden/>
          </w:rPr>
          <w:tab/>
        </w:r>
        <w:r w:rsidR="001A4960">
          <w:rPr>
            <w:noProof/>
            <w:webHidden/>
          </w:rPr>
          <w:fldChar w:fldCharType="begin"/>
        </w:r>
        <w:r w:rsidR="001A4960">
          <w:rPr>
            <w:noProof/>
            <w:webHidden/>
          </w:rPr>
          <w:instrText xml:space="preserve"> PAGEREF _Toc54706217 \h </w:instrText>
        </w:r>
        <w:r w:rsidR="001A4960">
          <w:rPr>
            <w:noProof/>
            <w:webHidden/>
          </w:rPr>
        </w:r>
        <w:r w:rsidR="001A4960">
          <w:rPr>
            <w:noProof/>
            <w:webHidden/>
          </w:rPr>
          <w:fldChar w:fldCharType="separate"/>
        </w:r>
        <w:r>
          <w:rPr>
            <w:noProof/>
            <w:webHidden/>
          </w:rPr>
          <w:t>7</w:t>
        </w:r>
        <w:r w:rsidR="001A4960">
          <w:rPr>
            <w:noProof/>
            <w:webHidden/>
          </w:rPr>
          <w:fldChar w:fldCharType="end"/>
        </w:r>
      </w:hyperlink>
    </w:p>
    <w:p w14:paraId="1F25A2B4" w14:textId="17CB1CD0" w:rsidR="001A4960" w:rsidRDefault="00884C99">
      <w:pPr>
        <w:pStyle w:val="TOC2"/>
        <w:rPr>
          <w:rFonts w:asciiTheme="minorHAnsi" w:eastAsiaTheme="minorEastAsia" w:hAnsiTheme="minorHAnsi" w:cstheme="minorBidi"/>
          <w:noProof/>
          <w:szCs w:val="22"/>
          <w:lang w:eastAsia="en-NZ"/>
        </w:rPr>
      </w:pPr>
      <w:hyperlink w:anchor="_Toc54706218" w:history="1">
        <w:r w:rsidR="001A4960" w:rsidRPr="00297130">
          <w:rPr>
            <w:rStyle w:val="Hyperlink"/>
            <w:noProof/>
          </w:rPr>
          <w:t>The health care and social assistance sector is the largest industry employer in New Zealand</w:t>
        </w:r>
        <w:r w:rsidR="001A4960">
          <w:rPr>
            <w:noProof/>
            <w:webHidden/>
          </w:rPr>
          <w:tab/>
        </w:r>
        <w:r w:rsidR="001A4960">
          <w:rPr>
            <w:noProof/>
            <w:webHidden/>
          </w:rPr>
          <w:fldChar w:fldCharType="begin"/>
        </w:r>
        <w:r w:rsidR="001A4960">
          <w:rPr>
            <w:noProof/>
            <w:webHidden/>
          </w:rPr>
          <w:instrText xml:space="preserve"> PAGEREF _Toc54706218 \h </w:instrText>
        </w:r>
        <w:r w:rsidR="001A4960">
          <w:rPr>
            <w:noProof/>
            <w:webHidden/>
          </w:rPr>
        </w:r>
        <w:r w:rsidR="001A4960">
          <w:rPr>
            <w:noProof/>
            <w:webHidden/>
          </w:rPr>
          <w:fldChar w:fldCharType="separate"/>
        </w:r>
        <w:r>
          <w:rPr>
            <w:noProof/>
            <w:webHidden/>
          </w:rPr>
          <w:t>7</w:t>
        </w:r>
        <w:r w:rsidR="001A4960">
          <w:rPr>
            <w:noProof/>
            <w:webHidden/>
          </w:rPr>
          <w:fldChar w:fldCharType="end"/>
        </w:r>
      </w:hyperlink>
    </w:p>
    <w:p w14:paraId="01DF9B40" w14:textId="074DE17E" w:rsidR="001A4960" w:rsidRDefault="00884C99">
      <w:pPr>
        <w:pStyle w:val="TOC2"/>
        <w:rPr>
          <w:rFonts w:asciiTheme="minorHAnsi" w:eastAsiaTheme="minorEastAsia" w:hAnsiTheme="minorHAnsi" w:cstheme="minorBidi"/>
          <w:noProof/>
          <w:szCs w:val="22"/>
          <w:lang w:eastAsia="en-NZ"/>
        </w:rPr>
      </w:pPr>
      <w:hyperlink w:anchor="_Toc54706219" w:history="1">
        <w:r w:rsidR="001A4960" w:rsidRPr="00297130">
          <w:rPr>
            <w:rStyle w:val="Hyperlink"/>
            <w:noProof/>
          </w:rPr>
          <w:t>Number of health and disability workers employed by DHBs</w:t>
        </w:r>
        <w:r w:rsidR="001A4960">
          <w:rPr>
            <w:noProof/>
            <w:webHidden/>
          </w:rPr>
          <w:tab/>
        </w:r>
        <w:r w:rsidR="001A4960">
          <w:rPr>
            <w:noProof/>
            <w:webHidden/>
          </w:rPr>
          <w:fldChar w:fldCharType="begin"/>
        </w:r>
        <w:r w:rsidR="001A4960">
          <w:rPr>
            <w:noProof/>
            <w:webHidden/>
          </w:rPr>
          <w:instrText xml:space="preserve"> PAGEREF _Toc54706219 \h </w:instrText>
        </w:r>
        <w:r w:rsidR="001A4960">
          <w:rPr>
            <w:noProof/>
            <w:webHidden/>
          </w:rPr>
        </w:r>
        <w:r w:rsidR="001A4960">
          <w:rPr>
            <w:noProof/>
            <w:webHidden/>
          </w:rPr>
          <w:fldChar w:fldCharType="separate"/>
        </w:r>
        <w:r>
          <w:rPr>
            <w:noProof/>
            <w:webHidden/>
          </w:rPr>
          <w:t>11</w:t>
        </w:r>
        <w:r w:rsidR="001A4960">
          <w:rPr>
            <w:noProof/>
            <w:webHidden/>
          </w:rPr>
          <w:fldChar w:fldCharType="end"/>
        </w:r>
      </w:hyperlink>
    </w:p>
    <w:p w14:paraId="7A53A124" w14:textId="4085AC32" w:rsidR="001A4960" w:rsidRDefault="00884C99">
      <w:pPr>
        <w:pStyle w:val="TOC2"/>
        <w:rPr>
          <w:rFonts w:asciiTheme="minorHAnsi" w:eastAsiaTheme="minorEastAsia" w:hAnsiTheme="minorHAnsi" w:cstheme="minorBidi"/>
          <w:noProof/>
          <w:szCs w:val="22"/>
          <w:lang w:eastAsia="en-NZ"/>
        </w:rPr>
      </w:pPr>
      <w:hyperlink w:anchor="_Toc54706220" w:history="1">
        <w:r w:rsidR="001A4960" w:rsidRPr="00297130">
          <w:rPr>
            <w:rStyle w:val="Hyperlink"/>
            <w:noProof/>
          </w:rPr>
          <w:t>Non-DHB employed health and disability support workforce</w:t>
        </w:r>
        <w:r w:rsidR="001A4960">
          <w:rPr>
            <w:noProof/>
            <w:webHidden/>
          </w:rPr>
          <w:tab/>
        </w:r>
        <w:r w:rsidR="001A4960">
          <w:rPr>
            <w:noProof/>
            <w:webHidden/>
          </w:rPr>
          <w:fldChar w:fldCharType="begin"/>
        </w:r>
        <w:r w:rsidR="001A4960">
          <w:rPr>
            <w:noProof/>
            <w:webHidden/>
          </w:rPr>
          <w:instrText xml:space="preserve"> PAGEREF _Toc54706220 \h </w:instrText>
        </w:r>
        <w:r w:rsidR="001A4960">
          <w:rPr>
            <w:noProof/>
            <w:webHidden/>
          </w:rPr>
        </w:r>
        <w:r w:rsidR="001A4960">
          <w:rPr>
            <w:noProof/>
            <w:webHidden/>
          </w:rPr>
          <w:fldChar w:fldCharType="separate"/>
        </w:r>
        <w:r>
          <w:rPr>
            <w:noProof/>
            <w:webHidden/>
          </w:rPr>
          <w:t>15</w:t>
        </w:r>
        <w:r w:rsidR="001A4960">
          <w:rPr>
            <w:noProof/>
            <w:webHidden/>
          </w:rPr>
          <w:fldChar w:fldCharType="end"/>
        </w:r>
      </w:hyperlink>
    </w:p>
    <w:p w14:paraId="7559D970" w14:textId="25C12165" w:rsidR="001A4960" w:rsidRDefault="00884C99">
      <w:pPr>
        <w:pStyle w:val="TOC1"/>
        <w:rPr>
          <w:rFonts w:asciiTheme="minorHAnsi" w:eastAsiaTheme="minorEastAsia" w:hAnsiTheme="minorHAnsi" w:cstheme="minorBidi"/>
          <w:noProof/>
          <w:sz w:val="22"/>
          <w:szCs w:val="22"/>
          <w:lang w:eastAsia="en-NZ"/>
        </w:rPr>
      </w:pPr>
      <w:hyperlink w:anchor="_Toc54706221" w:history="1">
        <w:r w:rsidR="001A4960" w:rsidRPr="00297130">
          <w:rPr>
            <w:rStyle w:val="Hyperlink"/>
            <w:noProof/>
          </w:rPr>
          <w:t>Expenditure on the health and disability system</w:t>
        </w:r>
        <w:r w:rsidR="001A4960">
          <w:rPr>
            <w:noProof/>
            <w:webHidden/>
          </w:rPr>
          <w:tab/>
        </w:r>
        <w:r w:rsidR="001A4960">
          <w:rPr>
            <w:noProof/>
            <w:webHidden/>
          </w:rPr>
          <w:fldChar w:fldCharType="begin"/>
        </w:r>
        <w:r w:rsidR="001A4960">
          <w:rPr>
            <w:noProof/>
            <w:webHidden/>
          </w:rPr>
          <w:instrText xml:space="preserve"> PAGEREF _Toc54706221 \h </w:instrText>
        </w:r>
        <w:r w:rsidR="001A4960">
          <w:rPr>
            <w:noProof/>
            <w:webHidden/>
          </w:rPr>
        </w:r>
        <w:r w:rsidR="001A4960">
          <w:rPr>
            <w:noProof/>
            <w:webHidden/>
          </w:rPr>
          <w:fldChar w:fldCharType="separate"/>
        </w:r>
        <w:r>
          <w:rPr>
            <w:noProof/>
            <w:webHidden/>
          </w:rPr>
          <w:t>17</w:t>
        </w:r>
        <w:r w:rsidR="001A4960">
          <w:rPr>
            <w:noProof/>
            <w:webHidden/>
          </w:rPr>
          <w:fldChar w:fldCharType="end"/>
        </w:r>
      </w:hyperlink>
    </w:p>
    <w:p w14:paraId="12F79C18" w14:textId="73E4B163" w:rsidR="001A4960" w:rsidRDefault="00884C99">
      <w:pPr>
        <w:pStyle w:val="TOC2"/>
        <w:rPr>
          <w:rFonts w:asciiTheme="minorHAnsi" w:eastAsiaTheme="minorEastAsia" w:hAnsiTheme="minorHAnsi" w:cstheme="minorBidi"/>
          <w:noProof/>
          <w:szCs w:val="22"/>
          <w:lang w:eastAsia="en-NZ"/>
        </w:rPr>
      </w:pPr>
      <w:hyperlink w:anchor="_Toc54706222" w:history="1">
        <w:r w:rsidR="001A4960" w:rsidRPr="00297130">
          <w:rPr>
            <w:rStyle w:val="Hyperlink"/>
            <w:noProof/>
          </w:rPr>
          <w:t>Salary expenditure on health and disability workers</w:t>
        </w:r>
        <w:r w:rsidR="001A4960">
          <w:rPr>
            <w:noProof/>
            <w:webHidden/>
          </w:rPr>
          <w:tab/>
        </w:r>
        <w:r w:rsidR="001A4960">
          <w:rPr>
            <w:noProof/>
            <w:webHidden/>
          </w:rPr>
          <w:fldChar w:fldCharType="begin"/>
        </w:r>
        <w:r w:rsidR="001A4960">
          <w:rPr>
            <w:noProof/>
            <w:webHidden/>
          </w:rPr>
          <w:instrText xml:space="preserve"> PAGEREF _Toc54706222 \h </w:instrText>
        </w:r>
        <w:r w:rsidR="001A4960">
          <w:rPr>
            <w:noProof/>
            <w:webHidden/>
          </w:rPr>
        </w:r>
        <w:r w:rsidR="001A4960">
          <w:rPr>
            <w:noProof/>
            <w:webHidden/>
          </w:rPr>
          <w:fldChar w:fldCharType="separate"/>
        </w:r>
        <w:r>
          <w:rPr>
            <w:noProof/>
            <w:webHidden/>
          </w:rPr>
          <w:t>18</w:t>
        </w:r>
        <w:r w:rsidR="001A4960">
          <w:rPr>
            <w:noProof/>
            <w:webHidden/>
          </w:rPr>
          <w:fldChar w:fldCharType="end"/>
        </w:r>
      </w:hyperlink>
    </w:p>
    <w:p w14:paraId="402C08AE" w14:textId="789D8C78" w:rsidR="001A4960" w:rsidRDefault="00884C99">
      <w:pPr>
        <w:pStyle w:val="TOC1"/>
        <w:rPr>
          <w:rFonts w:asciiTheme="minorHAnsi" w:eastAsiaTheme="minorEastAsia" w:hAnsiTheme="minorHAnsi" w:cstheme="minorBidi"/>
          <w:noProof/>
          <w:sz w:val="22"/>
          <w:szCs w:val="22"/>
          <w:lang w:eastAsia="en-NZ"/>
        </w:rPr>
      </w:pPr>
      <w:hyperlink w:anchor="_Toc54706223" w:history="1">
        <w:r w:rsidR="001A4960" w:rsidRPr="00297130">
          <w:rPr>
            <w:rStyle w:val="Hyperlink"/>
            <w:noProof/>
          </w:rPr>
          <w:t>Health employment and economic growth</w:t>
        </w:r>
        <w:r w:rsidR="001A4960">
          <w:rPr>
            <w:noProof/>
            <w:webHidden/>
          </w:rPr>
          <w:tab/>
        </w:r>
        <w:r w:rsidR="001A4960">
          <w:rPr>
            <w:noProof/>
            <w:webHidden/>
          </w:rPr>
          <w:fldChar w:fldCharType="begin"/>
        </w:r>
        <w:r w:rsidR="001A4960">
          <w:rPr>
            <w:noProof/>
            <w:webHidden/>
          </w:rPr>
          <w:instrText xml:space="preserve"> PAGEREF _Toc54706223 \h </w:instrText>
        </w:r>
        <w:r w:rsidR="001A4960">
          <w:rPr>
            <w:noProof/>
            <w:webHidden/>
          </w:rPr>
        </w:r>
        <w:r w:rsidR="001A4960">
          <w:rPr>
            <w:noProof/>
            <w:webHidden/>
          </w:rPr>
          <w:fldChar w:fldCharType="separate"/>
        </w:r>
        <w:r>
          <w:rPr>
            <w:noProof/>
            <w:webHidden/>
          </w:rPr>
          <w:t>23</w:t>
        </w:r>
        <w:r w:rsidR="001A4960">
          <w:rPr>
            <w:noProof/>
            <w:webHidden/>
          </w:rPr>
          <w:fldChar w:fldCharType="end"/>
        </w:r>
      </w:hyperlink>
    </w:p>
    <w:p w14:paraId="7455CB62" w14:textId="07F11119" w:rsidR="001A4960" w:rsidRDefault="00884C99">
      <w:pPr>
        <w:pStyle w:val="TOC2"/>
        <w:rPr>
          <w:rFonts w:asciiTheme="minorHAnsi" w:eastAsiaTheme="minorEastAsia" w:hAnsiTheme="minorHAnsi" w:cstheme="minorBidi"/>
          <w:noProof/>
          <w:szCs w:val="22"/>
          <w:lang w:eastAsia="en-NZ"/>
        </w:rPr>
      </w:pPr>
      <w:hyperlink w:anchor="_Toc54706224" w:history="1">
        <w:r w:rsidR="001A4960" w:rsidRPr="00297130">
          <w:rPr>
            <w:rStyle w:val="Hyperlink"/>
            <w:noProof/>
          </w:rPr>
          <w:t>High-Level Commission on Employment and Economic Growth</w:t>
        </w:r>
        <w:r w:rsidR="001A4960">
          <w:rPr>
            <w:noProof/>
            <w:webHidden/>
          </w:rPr>
          <w:tab/>
        </w:r>
        <w:r w:rsidR="001A4960">
          <w:rPr>
            <w:noProof/>
            <w:webHidden/>
          </w:rPr>
          <w:fldChar w:fldCharType="begin"/>
        </w:r>
        <w:r w:rsidR="001A4960">
          <w:rPr>
            <w:noProof/>
            <w:webHidden/>
          </w:rPr>
          <w:instrText xml:space="preserve"> PAGEREF _Toc54706224 \h </w:instrText>
        </w:r>
        <w:r w:rsidR="001A4960">
          <w:rPr>
            <w:noProof/>
            <w:webHidden/>
          </w:rPr>
        </w:r>
        <w:r w:rsidR="001A4960">
          <w:rPr>
            <w:noProof/>
            <w:webHidden/>
          </w:rPr>
          <w:fldChar w:fldCharType="separate"/>
        </w:r>
        <w:r>
          <w:rPr>
            <w:noProof/>
            <w:webHidden/>
          </w:rPr>
          <w:t>23</w:t>
        </w:r>
        <w:r w:rsidR="001A4960">
          <w:rPr>
            <w:noProof/>
            <w:webHidden/>
          </w:rPr>
          <w:fldChar w:fldCharType="end"/>
        </w:r>
      </w:hyperlink>
    </w:p>
    <w:p w14:paraId="1A685615" w14:textId="45092C10" w:rsidR="001A4960" w:rsidRDefault="00884C99">
      <w:pPr>
        <w:pStyle w:val="TOC2"/>
        <w:rPr>
          <w:rFonts w:asciiTheme="minorHAnsi" w:eastAsiaTheme="minorEastAsia" w:hAnsiTheme="minorHAnsi" w:cstheme="minorBidi"/>
          <w:noProof/>
          <w:szCs w:val="22"/>
          <w:lang w:eastAsia="en-NZ"/>
        </w:rPr>
      </w:pPr>
      <w:hyperlink w:anchor="_Toc54706225" w:history="1">
        <w:r w:rsidR="001A4960" w:rsidRPr="00297130">
          <w:rPr>
            <w:rStyle w:val="Hyperlink"/>
            <w:noProof/>
          </w:rPr>
          <w:t>The health sector, economic growth and social cohesion</w:t>
        </w:r>
        <w:r w:rsidR="001A4960">
          <w:rPr>
            <w:noProof/>
            <w:webHidden/>
          </w:rPr>
          <w:tab/>
        </w:r>
        <w:r w:rsidR="001A4960">
          <w:rPr>
            <w:noProof/>
            <w:webHidden/>
          </w:rPr>
          <w:fldChar w:fldCharType="begin"/>
        </w:r>
        <w:r w:rsidR="001A4960">
          <w:rPr>
            <w:noProof/>
            <w:webHidden/>
          </w:rPr>
          <w:instrText xml:space="preserve"> PAGEREF _Toc54706225 \h </w:instrText>
        </w:r>
        <w:r w:rsidR="001A4960">
          <w:rPr>
            <w:noProof/>
            <w:webHidden/>
          </w:rPr>
        </w:r>
        <w:r w:rsidR="001A4960">
          <w:rPr>
            <w:noProof/>
            <w:webHidden/>
          </w:rPr>
          <w:fldChar w:fldCharType="separate"/>
        </w:r>
        <w:r>
          <w:rPr>
            <w:noProof/>
            <w:webHidden/>
          </w:rPr>
          <w:t>24</w:t>
        </w:r>
        <w:r w:rsidR="001A4960">
          <w:rPr>
            <w:noProof/>
            <w:webHidden/>
          </w:rPr>
          <w:fldChar w:fldCharType="end"/>
        </w:r>
      </w:hyperlink>
    </w:p>
    <w:p w14:paraId="2FBB1143" w14:textId="7FBF3296" w:rsidR="001A4960" w:rsidRDefault="00884C99">
      <w:pPr>
        <w:pStyle w:val="TOC2"/>
        <w:rPr>
          <w:rFonts w:asciiTheme="minorHAnsi" w:eastAsiaTheme="minorEastAsia" w:hAnsiTheme="minorHAnsi" w:cstheme="minorBidi"/>
          <w:noProof/>
          <w:szCs w:val="22"/>
          <w:lang w:eastAsia="en-NZ"/>
        </w:rPr>
      </w:pPr>
      <w:hyperlink w:anchor="_Toc54706226" w:history="1">
        <w:r w:rsidR="001A4960" w:rsidRPr="00297130">
          <w:rPr>
            <w:rStyle w:val="Hyperlink"/>
            <w:noProof/>
          </w:rPr>
          <w:t>Impact of employment in the health sector on families</w:t>
        </w:r>
        <w:r w:rsidR="001A4960">
          <w:rPr>
            <w:noProof/>
            <w:webHidden/>
          </w:rPr>
          <w:tab/>
        </w:r>
        <w:r w:rsidR="001A4960">
          <w:rPr>
            <w:noProof/>
            <w:webHidden/>
          </w:rPr>
          <w:fldChar w:fldCharType="begin"/>
        </w:r>
        <w:r w:rsidR="001A4960">
          <w:rPr>
            <w:noProof/>
            <w:webHidden/>
          </w:rPr>
          <w:instrText xml:space="preserve"> PAGEREF _Toc54706226 \h </w:instrText>
        </w:r>
        <w:r w:rsidR="001A4960">
          <w:rPr>
            <w:noProof/>
            <w:webHidden/>
          </w:rPr>
        </w:r>
        <w:r w:rsidR="001A4960">
          <w:rPr>
            <w:noProof/>
            <w:webHidden/>
          </w:rPr>
          <w:fldChar w:fldCharType="separate"/>
        </w:r>
        <w:r>
          <w:rPr>
            <w:noProof/>
            <w:webHidden/>
          </w:rPr>
          <w:t>31</w:t>
        </w:r>
        <w:r w:rsidR="001A4960">
          <w:rPr>
            <w:noProof/>
            <w:webHidden/>
          </w:rPr>
          <w:fldChar w:fldCharType="end"/>
        </w:r>
      </w:hyperlink>
    </w:p>
    <w:p w14:paraId="36920292" w14:textId="001A9C60" w:rsidR="001A4960" w:rsidRDefault="00884C99">
      <w:pPr>
        <w:pStyle w:val="TOC2"/>
        <w:rPr>
          <w:rFonts w:asciiTheme="minorHAnsi" w:eastAsiaTheme="minorEastAsia" w:hAnsiTheme="minorHAnsi" w:cstheme="minorBidi"/>
          <w:noProof/>
          <w:szCs w:val="22"/>
          <w:lang w:eastAsia="en-NZ"/>
        </w:rPr>
      </w:pPr>
      <w:hyperlink w:anchor="_Toc54706227" w:history="1">
        <w:r w:rsidR="001A4960" w:rsidRPr="00297130">
          <w:rPr>
            <w:rStyle w:val="Hyperlink"/>
            <w:noProof/>
          </w:rPr>
          <w:t>Discussion</w:t>
        </w:r>
        <w:r w:rsidR="001A4960">
          <w:rPr>
            <w:noProof/>
            <w:webHidden/>
          </w:rPr>
          <w:tab/>
        </w:r>
        <w:r w:rsidR="001A4960">
          <w:rPr>
            <w:noProof/>
            <w:webHidden/>
          </w:rPr>
          <w:fldChar w:fldCharType="begin"/>
        </w:r>
        <w:r w:rsidR="001A4960">
          <w:rPr>
            <w:noProof/>
            <w:webHidden/>
          </w:rPr>
          <w:instrText xml:space="preserve"> PAGEREF _Toc54706227 \h </w:instrText>
        </w:r>
        <w:r w:rsidR="001A4960">
          <w:rPr>
            <w:noProof/>
            <w:webHidden/>
          </w:rPr>
        </w:r>
        <w:r w:rsidR="001A4960">
          <w:rPr>
            <w:noProof/>
            <w:webHidden/>
          </w:rPr>
          <w:fldChar w:fldCharType="separate"/>
        </w:r>
        <w:r>
          <w:rPr>
            <w:noProof/>
            <w:webHidden/>
          </w:rPr>
          <w:t>32</w:t>
        </w:r>
        <w:r w:rsidR="001A4960">
          <w:rPr>
            <w:noProof/>
            <w:webHidden/>
          </w:rPr>
          <w:fldChar w:fldCharType="end"/>
        </w:r>
      </w:hyperlink>
    </w:p>
    <w:p w14:paraId="1A795C9B" w14:textId="172BE989" w:rsidR="001A4960" w:rsidRDefault="00884C99">
      <w:pPr>
        <w:pStyle w:val="TOC1"/>
        <w:rPr>
          <w:rFonts w:asciiTheme="minorHAnsi" w:eastAsiaTheme="minorEastAsia" w:hAnsiTheme="minorHAnsi" w:cstheme="minorBidi"/>
          <w:noProof/>
          <w:sz w:val="22"/>
          <w:szCs w:val="22"/>
          <w:lang w:eastAsia="en-NZ"/>
        </w:rPr>
      </w:pPr>
      <w:hyperlink w:anchor="_Toc54706228" w:history="1">
        <w:r w:rsidR="001A4960" w:rsidRPr="00297130">
          <w:rPr>
            <w:rStyle w:val="Hyperlink"/>
            <w:noProof/>
          </w:rPr>
          <w:t>References</w:t>
        </w:r>
        <w:r w:rsidR="001A4960">
          <w:rPr>
            <w:noProof/>
            <w:webHidden/>
          </w:rPr>
          <w:tab/>
        </w:r>
        <w:r w:rsidR="001A4960">
          <w:rPr>
            <w:noProof/>
            <w:webHidden/>
          </w:rPr>
          <w:fldChar w:fldCharType="begin"/>
        </w:r>
        <w:r w:rsidR="001A4960">
          <w:rPr>
            <w:noProof/>
            <w:webHidden/>
          </w:rPr>
          <w:instrText xml:space="preserve"> PAGEREF _Toc54706228 \h </w:instrText>
        </w:r>
        <w:r w:rsidR="001A4960">
          <w:rPr>
            <w:noProof/>
            <w:webHidden/>
          </w:rPr>
        </w:r>
        <w:r w:rsidR="001A4960">
          <w:rPr>
            <w:noProof/>
            <w:webHidden/>
          </w:rPr>
          <w:fldChar w:fldCharType="separate"/>
        </w:r>
        <w:r>
          <w:rPr>
            <w:noProof/>
            <w:webHidden/>
          </w:rPr>
          <w:t>34</w:t>
        </w:r>
        <w:r w:rsidR="001A4960">
          <w:rPr>
            <w:noProof/>
            <w:webHidden/>
          </w:rPr>
          <w:fldChar w:fldCharType="end"/>
        </w:r>
      </w:hyperlink>
    </w:p>
    <w:p w14:paraId="6800EA75" w14:textId="3CE25750" w:rsidR="00896135" w:rsidRDefault="001A4960" w:rsidP="00896135">
      <w:pPr>
        <w:rPr>
          <w:b/>
        </w:rPr>
      </w:pPr>
      <w:r>
        <w:rPr>
          <w:rFonts w:ascii="Segoe UI Semibold" w:hAnsi="Segoe UI Semibold"/>
          <w:b/>
          <w:sz w:val="24"/>
        </w:rPr>
        <w:fldChar w:fldCharType="end"/>
      </w:r>
      <w:r w:rsidR="00896135">
        <w:rPr>
          <w:b/>
        </w:rPr>
        <w:br w:type="page"/>
      </w:r>
    </w:p>
    <w:p w14:paraId="062F773B" w14:textId="77777777" w:rsidR="00896135" w:rsidRDefault="00896135" w:rsidP="00F12314">
      <w:pPr>
        <w:pStyle w:val="TOC1"/>
      </w:pPr>
      <w:r>
        <w:lastRenderedPageBreak/>
        <w:t>List of Figures</w:t>
      </w:r>
    </w:p>
    <w:p w14:paraId="575FFC7D" w14:textId="39080844" w:rsidR="00F12314" w:rsidRDefault="00896135">
      <w:pPr>
        <w:pStyle w:val="TableofFigures"/>
        <w:tabs>
          <w:tab w:val="right" w:leader="dot" w:pos="8069"/>
        </w:tabs>
        <w:rPr>
          <w:rFonts w:asciiTheme="minorHAnsi" w:eastAsiaTheme="minorEastAsia" w:hAnsiTheme="minorHAnsi" w:cstheme="minorBidi"/>
          <w:noProof/>
          <w:sz w:val="22"/>
          <w:szCs w:val="22"/>
          <w:lang w:val="en-AU" w:eastAsia="en-AU"/>
        </w:rPr>
      </w:pPr>
      <w:r>
        <w:fldChar w:fldCharType="begin"/>
      </w:r>
      <w:r>
        <w:instrText xml:space="preserve"> TOC \h \z \c "Figure" </w:instrText>
      </w:r>
      <w:r>
        <w:fldChar w:fldCharType="separate"/>
      </w:r>
      <w:hyperlink w:anchor="_Toc54198910" w:history="1">
        <w:r w:rsidR="00F12314" w:rsidRPr="00A6750F">
          <w:rPr>
            <w:rStyle w:val="Hyperlink"/>
            <w:rFonts w:eastAsia="Arial"/>
            <w:noProof/>
          </w:rPr>
          <w:t>Figure 1: The number of people employed in the health care and social assistance sector, 2000 to 2019</w:t>
        </w:r>
        <w:r w:rsidR="00F12314">
          <w:rPr>
            <w:noProof/>
            <w:webHidden/>
          </w:rPr>
          <w:tab/>
        </w:r>
        <w:r w:rsidR="00F12314">
          <w:rPr>
            <w:noProof/>
            <w:webHidden/>
          </w:rPr>
          <w:fldChar w:fldCharType="begin"/>
        </w:r>
        <w:r w:rsidR="00F12314">
          <w:rPr>
            <w:noProof/>
            <w:webHidden/>
          </w:rPr>
          <w:instrText xml:space="preserve"> PAGEREF _Toc54198910 \h </w:instrText>
        </w:r>
        <w:r w:rsidR="00F12314">
          <w:rPr>
            <w:noProof/>
            <w:webHidden/>
          </w:rPr>
        </w:r>
        <w:r w:rsidR="00F12314">
          <w:rPr>
            <w:noProof/>
            <w:webHidden/>
          </w:rPr>
          <w:fldChar w:fldCharType="separate"/>
        </w:r>
        <w:r w:rsidR="00884C99">
          <w:rPr>
            <w:noProof/>
            <w:webHidden/>
          </w:rPr>
          <w:t>9</w:t>
        </w:r>
        <w:r w:rsidR="00F12314">
          <w:rPr>
            <w:noProof/>
            <w:webHidden/>
          </w:rPr>
          <w:fldChar w:fldCharType="end"/>
        </w:r>
      </w:hyperlink>
    </w:p>
    <w:p w14:paraId="1866284C" w14:textId="07E57632" w:rsidR="00F12314" w:rsidRDefault="00884C99">
      <w:pPr>
        <w:pStyle w:val="TableofFigures"/>
        <w:tabs>
          <w:tab w:val="right" w:leader="dot" w:pos="8069"/>
        </w:tabs>
        <w:rPr>
          <w:rFonts w:asciiTheme="minorHAnsi" w:eastAsiaTheme="minorEastAsia" w:hAnsiTheme="minorHAnsi" w:cstheme="minorBidi"/>
          <w:noProof/>
          <w:sz w:val="22"/>
          <w:szCs w:val="22"/>
          <w:lang w:val="en-AU" w:eastAsia="en-AU"/>
        </w:rPr>
      </w:pPr>
      <w:hyperlink w:anchor="_Toc54198911" w:history="1">
        <w:r w:rsidR="00F12314" w:rsidRPr="00A6750F">
          <w:rPr>
            <w:rStyle w:val="Hyperlink"/>
            <w:rFonts w:eastAsia="Arial"/>
            <w:noProof/>
          </w:rPr>
          <w:t>Figure 2: Age profile of the health care and social assistance workforce, 2013 census</w:t>
        </w:r>
        <w:r w:rsidR="00F12314">
          <w:rPr>
            <w:noProof/>
            <w:webHidden/>
          </w:rPr>
          <w:tab/>
        </w:r>
        <w:r w:rsidR="00F12314">
          <w:rPr>
            <w:noProof/>
            <w:webHidden/>
          </w:rPr>
          <w:fldChar w:fldCharType="begin"/>
        </w:r>
        <w:r w:rsidR="00F12314">
          <w:rPr>
            <w:noProof/>
            <w:webHidden/>
          </w:rPr>
          <w:instrText xml:space="preserve"> PAGEREF _Toc54198911 \h </w:instrText>
        </w:r>
        <w:r w:rsidR="00F12314">
          <w:rPr>
            <w:noProof/>
            <w:webHidden/>
          </w:rPr>
        </w:r>
        <w:r w:rsidR="00F12314">
          <w:rPr>
            <w:noProof/>
            <w:webHidden/>
          </w:rPr>
          <w:fldChar w:fldCharType="separate"/>
        </w:r>
        <w:r>
          <w:rPr>
            <w:noProof/>
            <w:webHidden/>
          </w:rPr>
          <w:t>11</w:t>
        </w:r>
        <w:r w:rsidR="00F12314">
          <w:rPr>
            <w:noProof/>
            <w:webHidden/>
          </w:rPr>
          <w:fldChar w:fldCharType="end"/>
        </w:r>
      </w:hyperlink>
    </w:p>
    <w:p w14:paraId="222499C4" w14:textId="139074B4" w:rsidR="00F12314" w:rsidRDefault="00884C99">
      <w:pPr>
        <w:pStyle w:val="TableofFigures"/>
        <w:tabs>
          <w:tab w:val="right" w:leader="dot" w:pos="8069"/>
        </w:tabs>
        <w:rPr>
          <w:rFonts w:asciiTheme="minorHAnsi" w:eastAsiaTheme="minorEastAsia" w:hAnsiTheme="minorHAnsi" w:cstheme="minorBidi"/>
          <w:noProof/>
          <w:sz w:val="22"/>
          <w:szCs w:val="22"/>
          <w:lang w:val="en-AU" w:eastAsia="en-AU"/>
        </w:rPr>
      </w:pPr>
      <w:hyperlink w:anchor="_Toc54198912" w:history="1">
        <w:r w:rsidR="00F12314" w:rsidRPr="00A6750F">
          <w:rPr>
            <w:rStyle w:val="Hyperlink"/>
            <w:rFonts w:eastAsia="Arial"/>
            <w:noProof/>
          </w:rPr>
          <w:t>Figure 3: Total FTEs by DHB and occupation as at 31 December 2019</w:t>
        </w:r>
        <w:r w:rsidR="00F12314">
          <w:rPr>
            <w:noProof/>
            <w:webHidden/>
          </w:rPr>
          <w:tab/>
        </w:r>
        <w:r w:rsidR="00F12314">
          <w:rPr>
            <w:noProof/>
            <w:webHidden/>
          </w:rPr>
          <w:fldChar w:fldCharType="begin"/>
        </w:r>
        <w:r w:rsidR="00F12314">
          <w:rPr>
            <w:noProof/>
            <w:webHidden/>
          </w:rPr>
          <w:instrText xml:space="preserve"> PAGEREF _Toc54198912 \h </w:instrText>
        </w:r>
        <w:r w:rsidR="00F12314">
          <w:rPr>
            <w:noProof/>
            <w:webHidden/>
          </w:rPr>
        </w:r>
        <w:r w:rsidR="00F12314">
          <w:rPr>
            <w:noProof/>
            <w:webHidden/>
          </w:rPr>
          <w:fldChar w:fldCharType="separate"/>
        </w:r>
        <w:r>
          <w:rPr>
            <w:noProof/>
            <w:webHidden/>
          </w:rPr>
          <w:t>13</w:t>
        </w:r>
        <w:r w:rsidR="00F12314">
          <w:rPr>
            <w:noProof/>
            <w:webHidden/>
          </w:rPr>
          <w:fldChar w:fldCharType="end"/>
        </w:r>
      </w:hyperlink>
    </w:p>
    <w:p w14:paraId="712BC9D8" w14:textId="6DC0BD31" w:rsidR="00F12314" w:rsidRDefault="00884C99">
      <w:pPr>
        <w:pStyle w:val="TableofFigures"/>
        <w:tabs>
          <w:tab w:val="right" w:leader="dot" w:pos="8069"/>
        </w:tabs>
        <w:rPr>
          <w:rFonts w:asciiTheme="minorHAnsi" w:eastAsiaTheme="minorEastAsia" w:hAnsiTheme="minorHAnsi" w:cstheme="minorBidi"/>
          <w:noProof/>
          <w:sz w:val="22"/>
          <w:szCs w:val="22"/>
          <w:lang w:val="en-AU" w:eastAsia="en-AU"/>
        </w:rPr>
      </w:pPr>
      <w:hyperlink w:anchor="_Toc54198913" w:history="1">
        <w:r w:rsidR="00F12314" w:rsidRPr="00A6750F">
          <w:rPr>
            <w:rStyle w:val="Hyperlink"/>
            <w:rFonts w:eastAsia="Arial"/>
            <w:noProof/>
          </w:rPr>
          <w:t>Figure 4: Total FTEs employed in DHBs from 31 December 2014 to 31 December 2019</w:t>
        </w:r>
        <w:r w:rsidR="00F12314">
          <w:rPr>
            <w:noProof/>
            <w:webHidden/>
          </w:rPr>
          <w:tab/>
        </w:r>
        <w:r w:rsidR="00F12314">
          <w:rPr>
            <w:noProof/>
            <w:webHidden/>
          </w:rPr>
          <w:fldChar w:fldCharType="begin"/>
        </w:r>
        <w:r w:rsidR="00F12314">
          <w:rPr>
            <w:noProof/>
            <w:webHidden/>
          </w:rPr>
          <w:instrText xml:space="preserve"> PAGEREF _Toc54198913 \h </w:instrText>
        </w:r>
        <w:r w:rsidR="00F12314">
          <w:rPr>
            <w:noProof/>
            <w:webHidden/>
          </w:rPr>
        </w:r>
        <w:r w:rsidR="00F12314">
          <w:rPr>
            <w:noProof/>
            <w:webHidden/>
          </w:rPr>
          <w:fldChar w:fldCharType="separate"/>
        </w:r>
        <w:r>
          <w:rPr>
            <w:noProof/>
            <w:webHidden/>
          </w:rPr>
          <w:t>14</w:t>
        </w:r>
        <w:r w:rsidR="00F12314">
          <w:rPr>
            <w:noProof/>
            <w:webHidden/>
          </w:rPr>
          <w:fldChar w:fldCharType="end"/>
        </w:r>
      </w:hyperlink>
    </w:p>
    <w:p w14:paraId="37EB54E9" w14:textId="7061607D" w:rsidR="00F12314" w:rsidRDefault="00884C99">
      <w:pPr>
        <w:pStyle w:val="TableofFigures"/>
        <w:tabs>
          <w:tab w:val="right" w:leader="dot" w:pos="8069"/>
        </w:tabs>
        <w:rPr>
          <w:rFonts w:asciiTheme="minorHAnsi" w:eastAsiaTheme="minorEastAsia" w:hAnsiTheme="minorHAnsi" w:cstheme="minorBidi"/>
          <w:noProof/>
          <w:sz w:val="22"/>
          <w:szCs w:val="22"/>
          <w:lang w:val="en-AU" w:eastAsia="en-AU"/>
        </w:rPr>
      </w:pPr>
      <w:hyperlink w:anchor="_Toc54198914" w:history="1">
        <w:r w:rsidR="00F12314" w:rsidRPr="00A6750F">
          <w:rPr>
            <w:rStyle w:val="Hyperlink"/>
            <w:rFonts w:eastAsia="Arial"/>
            <w:noProof/>
          </w:rPr>
          <w:t>Figure 5: Total FTEs employed in DHBs from 31 December 2014 to 31 December 2019 per 100,000 population</w:t>
        </w:r>
        <w:r w:rsidR="00F12314">
          <w:rPr>
            <w:noProof/>
            <w:webHidden/>
          </w:rPr>
          <w:tab/>
        </w:r>
        <w:r w:rsidR="00F12314">
          <w:rPr>
            <w:noProof/>
            <w:webHidden/>
          </w:rPr>
          <w:fldChar w:fldCharType="begin"/>
        </w:r>
        <w:r w:rsidR="00F12314">
          <w:rPr>
            <w:noProof/>
            <w:webHidden/>
          </w:rPr>
          <w:instrText xml:space="preserve"> PAGEREF _Toc54198914 \h </w:instrText>
        </w:r>
        <w:r w:rsidR="00F12314">
          <w:rPr>
            <w:noProof/>
            <w:webHidden/>
          </w:rPr>
        </w:r>
        <w:r w:rsidR="00F12314">
          <w:rPr>
            <w:noProof/>
            <w:webHidden/>
          </w:rPr>
          <w:fldChar w:fldCharType="separate"/>
        </w:r>
        <w:r>
          <w:rPr>
            <w:noProof/>
            <w:webHidden/>
          </w:rPr>
          <w:t>15</w:t>
        </w:r>
        <w:r w:rsidR="00F12314">
          <w:rPr>
            <w:noProof/>
            <w:webHidden/>
          </w:rPr>
          <w:fldChar w:fldCharType="end"/>
        </w:r>
      </w:hyperlink>
    </w:p>
    <w:p w14:paraId="5A2548C8" w14:textId="6996E0D1" w:rsidR="00F12314" w:rsidRDefault="00884C99">
      <w:pPr>
        <w:pStyle w:val="TableofFigures"/>
        <w:tabs>
          <w:tab w:val="right" w:leader="dot" w:pos="8069"/>
        </w:tabs>
        <w:rPr>
          <w:rFonts w:asciiTheme="minorHAnsi" w:eastAsiaTheme="minorEastAsia" w:hAnsiTheme="minorHAnsi" w:cstheme="minorBidi"/>
          <w:noProof/>
          <w:sz w:val="22"/>
          <w:szCs w:val="22"/>
          <w:lang w:val="en-AU" w:eastAsia="en-AU"/>
        </w:rPr>
      </w:pPr>
      <w:hyperlink w:anchor="_Toc54198915" w:history="1">
        <w:r w:rsidR="00F12314" w:rsidRPr="00A6750F">
          <w:rPr>
            <w:rStyle w:val="Hyperlink"/>
            <w:rFonts w:eastAsia="Arial"/>
            <w:noProof/>
          </w:rPr>
          <w:t>Figure 6: Health care and social assistance sector as a proportion of total GDP (2009/10 prices)</w:t>
        </w:r>
        <w:r w:rsidR="00F12314">
          <w:rPr>
            <w:noProof/>
            <w:webHidden/>
          </w:rPr>
          <w:tab/>
        </w:r>
        <w:r w:rsidR="00F12314">
          <w:rPr>
            <w:noProof/>
            <w:webHidden/>
          </w:rPr>
          <w:fldChar w:fldCharType="begin"/>
        </w:r>
        <w:r w:rsidR="00F12314">
          <w:rPr>
            <w:noProof/>
            <w:webHidden/>
          </w:rPr>
          <w:instrText xml:space="preserve"> PAGEREF _Toc54198915 \h </w:instrText>
        </w:r>
        <w:r w:rsidR="00F12314">
          <w:rPr>
            <w:noProof/>
            <w:webHidden/>
          </w:rPr>
        </w:r>
        <w:r w:rsidR="00F12314">
          <w:rPr>
            <w:noProof/>
            <w:webHidden/>
          </w:rPr>
          <w:fldChar w:fldCharType="separate"/>
        </w:r>
        <w:r>
          <w:rPr>
            <w:noProof/>
            <w:webHidden/>
          </w:rPr>
          <w:t>17</w:t>
        </w:r>
        <w:r w:rsidR="00F12314">
          <w:rPr>
            <w:noProof/>
            <w:webHidden/>
          </w:rPr>
          <w:fldChar w:fldCharType="end"/>
        </w:r>
      </w:hyperlink>
    </w:p>
    <w:p w14:paraId="63660E33" w14:textId="73E94A50" w:rsidR="00F12314" w:rsidRDefault="00884C99">
      <w:pPr>
        <w:pStyle w:val="TableofFigures"/>
        <w:tabs>
          <w:tab w:val="right" w:leader="dot" w:pos="8069"/>
        </w:tabs>
        <w:rPr>
          <w:rFonts w:asciiTheme="minorHAnsi" w:eastAsiaTheme="minorEastAsia" w:hAnsiTheme="minorHAnsi" w:cstheme="minorBidi"/>
          <w:noProof/>
          <w:sz w:val="22"/>
          <w:szCs w:val="22"/>
          <w:lang w:val="en-AU" w:eastAsia="en-AU"/>
        </w:rPr>
      </w:pPr>
      <w:hyperlink w:anchor="_Toc54198916" w:history="1">
        <w:r w:rsidR="00F12314" w:rsidRPr="00A6750F">
          <w:rPr>
            <w:rStyle w:val="Hyperlink"/>
            <w:rFonts w:eastAsia="Arial"/>
            <w:noProof/>
          </w:rPr>
          <w:t>Figure 7: DHB salary costs by occupation as at 31 December 2019</w:t>
        </w:r>
        <w:r w:rsidR="00F12314">
          <w:rPr>
            <w:noProof/>
            <w:webHidden/>
          </w:rPr>
          <w:tab/>
        </w:r>
        <w:r w:rsidR="00F12314">
          <w:rPr>
            <w:noProof/>
            <w:webHidden/>
          </w:rPr>
          <w:fldChar w:fldCharType="begin"/>
        </w:r>
        <w:r w:rsidR="00F12314">
          <w:rPr>
            <w:noProof/>
            <w:webHidden/>
          </w:rPr>
          <w:instrText xml:space="preserve"> PAGEREF _Toc54198916 \h </w:instrText>
        </w:r>
        <w:r w:rsidR="00F12314">
          <w:rPr>
            <w:noProof/>
            <w:webHidden/>
          </w:rPr>
        </w:r>
        <w:r w:rsidR="00F12314">
          <w:rPr>
            <w:noProof/>
            <w:webHidden/>
          </w:rPr>
          <w:fldChar w:fldCharType="separate"/>
        </w:r>
        <w:r>
          <w:rPr>
            <w:noProof/>
            <w:webHidden/>
          </w:rPr>
          <w:t>21</w:t>
        </w:r>
        <w:r w:rsidR="00F12314">
          <w:rPr>
            <w:noProof/>
            <w:webHidden/>
          </w:rPr>
          <w:fldChar w:fldCharType="end"/>
        </w:r>
      </w:hyperlink>
    </w:p>
    <w:p w14:paraId="5D3BA9CB" w14:textId="18E58F26" w:rsidR="00F12314" w:rsidRDefault="00884C99">
      <w:pPr>
        <w:pStyle w:val="TableofFigures"/>
        <w:tabs>
          <w:tab w:val="right" w:leader="dot" w:pos="8069"/>
        </w:tabs>
        <w:rPr>
          <w:rFonts w:asciiTheme="minorHAnsi" w:eastAsiaTheme="minorEastAsia" w:hAnsiTheme="minorHAnsi" w:cstheme="minorBidi"/>
          <w:noProof/>
          <w:sz w:val="22"/>
          <w:szCs w:val="22"/>
          <w:lang w:val="en-AU" w:eastAsia="en-AU"/>
        </w:rPr>
      </w:pPr>
      <w:hyperlink w:anchor="_Toc54198917" w:history="1">
        <w:r w:rsidR="00F12314" w:rsidRPr="00A6750F">
          <w:rPr>
            <w:rStyle w:val="Hyperlink"/>
            <w:rFonts w:eastAsia="Arial"/>
            <w:noProof/>
          </w:rPr>
          <w:t>Figure 8: Pathways linking health sector employment to economic growth and wellbeing</w:t>
        </w:r>
        <w:r w:rsidR="00F12314">
          <w:rPr>
            <w:noProof/>
            <w:webHidden/>
          </w:rPr>
          <w:tab/>
        </w:r>
        <w:r w:rsidR="00F12314">
          <w:rPr>
            <w:noProof/>
            <w:webHidden/>
          </w:rPr>
          <w:fldChar w:fldCharType="begin"/>
        </w:r>
        <w:r w:rsidR="00F12314">
          <w:rPr>
            <w:noProof/>
            <w:webHidden/>
          </w:rPr>
          <w:instrText xml:space="preserve"> PAGEREF _Toc54198917 \h </w:instrText>
        </w:r>
        <w:r w:rsidR="00F12314">
          <w:rPr>
            <w:noProof/>
            <w:webHidden/>
          </w:rPr>
        </w:r>
        <w:r w:rsidR="00F12314">
          <w:rPr>
            <w:noProof/>
            <w:webHidden/>
          </w:rPr>
          <w:fldChar w:fldCharType="separate"/>
        </w:r>
        <w:r>
          <w:rPr>
            <w:noProof/>
            <w:webHidden/>
          </w:rPr>
          <w:t>25</w:t>
        </w:r>
        <w:r w:rsidR="00F12314">
          <w:rPr>
            <w:noProof/>
            <w:webHidden/>
          </w:rPr>
          <w:fldChar w:fldCharType="end"/>
        </w:r>
      </w:hyperlink>
    </w:p>
    <w:p w14:paraId="548D54D2" w14:textId="28A1845F" w:rsidR="00896135" w:rsidRDefault="00896135" w:rsidP="00896135">
      <w:r>
        <w:fldChar w:fldCharType="end"/>
      </w:r>
    </w:p>
    <w:p w14:paraId="751E987A" w14:textId="77777777" w:rsidR="00896135" w:rsidRPr="00F12314" w:rsidRDefault="00896135" w:rsidP="00F12314">
      <w:pPr>
        <w:pStyle w:val="TOC1"/>
      </w:pPr>
      <w:r w:rsidRPr="00F12314">
        <w:t>List of Tables</w:t>
      </w:r>
    </w:p>
    <w:p w14:paraId="223835B1" w14:textId="6785866F" w:rsidR="001A4960" w:rsidRDefault="001A4960">
      <w:pPr>
        <w:pStyle w:val="TableofFigures"/>
        <w:tabs>
          <w:tab w:val="right" w:leader="dot" w:pos="8069"/>
        </w:tabs>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\c "Table" </w:instrText>
      </w:r>
      <w:r>
        <w:rPr>
          <w:sz w:val="20"/>
        </w:rPr>
        <w:fldChar w:fldCharType="separate"/>
      </w:r>
      <w:hyperlink w:anchor="_Toc54706249" w:history="1">
        <w:r w:rsidRPr="00482AE5">
          <w:rPr>
            <w:rStyle w:val="Hyperlink"/>
            <w:rFonts w:eastAsia="Arial"/>
            <w:noProof/>
          </w:rPr>
          <w:t>Table 1: Number employed in the health care and social assistance sector by region</w:t>
        </w:r>
        <w:r>
          <w:rPr>
            <w:noProof/>
            <w:webHidden/>
          </w:rPr>
          <w:tab/>
        </w:r>
        <w:r>
          <w:rPr>
            <w:noProof/>
            <w:webHidden/>
          </w:rPr>
          <w:fldChar w:fldCharType="begin"/>
        </w:r>
        <w:r>
          <w:rPr>
            <w:noProof/>
            <w:webHidden/>
          </w:rPr>
          <w:instrText xml:space="preserve"> PAGEREF _Toc54706249 \h </w:instrText>
        </w:r>
        <w:r>
          <w:rPr>
            <w:noProof/>
            <w:webHidden/>
          </w:rPr>
        </w:r>
        <w:r>
          <w:rPr>
            <w:noProof/>
            <w:webHidden/>
          </w:rPr>
          <w:fldChar w:fldCharType="separate"/>
        </w:r>
        <w:r w:rsidR="00884C99">
          <w:rPr>
            <w:noProof/>
            <w:webHidden/>
          </w:rPr>
          <w:t>8</w:t>
        </w:r>
        <w:r>
          <w:rPr>
            <w:noProof/>
            <w:webHidden/>
          </w:rPr>
          <w:fldChar w:fldCharType="end"/>
        </w:r>
      </w:hyperlink>
    </w:p>
    <w:p w14:paraId="617092E7" w14:textId="2C962C2E" w:rsidR="001A4960" w:rsidRDefault="00884C99">
      <w:pPr>
        <w:pStyle w:val="TableofFigures"/>
        <w:tabs>
          <w:tab w:val="right" w:leader="dot" w:pos="8069"/>
        </w:tabs>
        <w:rPr>
          <w:rFonts w:asciiTheme="minorHAnsi" w:eastAsiaTheme="minorEastAsia" w:hAnsiTheme="minorHAnsi" w:cstheme="minorBidi"/>
          <w:noProof/>
          <w:sz w:val="22"/>
          <w:szCs w:val="22"/>
          <w:lang w:eastAsia="en-NZ"/>
        </w:rPr>
      </w:pPr>
      <w:hyperlink w:anchor="_Toc54706250" w:history="1">
        <w:r w:rsidR="001A4960" w:rsidRPr="00482AE5">
          <w:rPr>
            <w:rStyle w:val="Hyperlink"/>
            <w:rFonts w:eastAsia="Arial"/>
            <w:noProof/>
          </w:rPr>
          <w:t>Table 2: Number of people employed in the health care and social assistance sector</w:t>
        </w:r>
        <w:r w:rsidR="001A4960">
          <w:rPr>
            <w:noProof/>
            <w:webHidden/>
          </w:rPr>
          <w:tab/>
        </w:r>
        <w:r w:rsidR="001A4960">
          <w:rPr>
            <w:noProof/>
            <w:webHidden/>
          </w:rPr>
          <w:fldChar w:fldCharType="begin"/>
        </w:r>
        <w:r w:rsidR="001A4960">
          <w:rPr>
            <w:noProof/>
            <w:webHidden/>
          </w:rPr>
          <w:instrText xml:space="preserve"> PAGEREF _Toc54706250 \h </w:instrText>
        </w:r>
        <w:r w:rsidR="001A4960">
          <w:rPr>
            <w:noProof/>
            <w:webHidden/>
          </w:rPr>
        </w:r>
        <w:r w:rsidR="001A4960">
          <w:rPr>
            <w:noProof/>
            <w:webHidden/>
          </w:rPr>
          <w:fldChar w:fldCharType="separate"/>
        </w:r>
        <w:r>
          <w:rPr>
            <w:noProof/>
            <w:webHidden/>
          </w:rPr>
          <w:t>10</w:t>
        </w:r>
        <w:r w:rsidR="001A4960">
          <w:rPr>
            <w:noProof/>
            <w:webHidden/>
          </w:rPr>
          <w:fldChar w:fldCharType="end"/>
        </w:r>
      </w:hyperlink>
    </w:p>
    <w:p w14:paraId="36C08C53" w14:textId="10854BD3" w:rsidR="001A4960" w:rsidRDefault="00884C99">
      <w:pPr>
        <w:pStyle w:val="TableofFigures"/>
        <w:tabs>
          <w:tab w:val="right" w:leader="dot" w:pos="8069"/>
        </w:tabs>
        <w:rPr>
          <w:rFonts w:asciiTheme="minorHAnsi" w:eastAsiaTheme="minorEastAsia" w:hAnsiTheme="minorHAnsi" w:cstheme="minorBidi"/>
          <w:noProof/>
          <w:sz w:val="22"/>
          <w:szCs w:val="22"/>
          <w:lang w:eastAsia="en-NZ"/>
        </w:rPr>
      </w:pPr>
      <w:hyperlink w:anchor="_Toc54706251" w:history="1">
        <w:r w:rsidR="001A4960" w:rsidRPr="00482AE5">
          <w:rPr>
            <w:rStyle w:val="Hyperlink"/>
            <w:rFonts w:eastAsia="Arial"/>
            <w:noProof/>
          </w:rPr>
          <w:t xml:space="preserve">Table 3: </w:t>
        </w:r>
        <w:r w:rsidR="001A4960" w:rsidRPr="00482AE5">
          <w:rPr>
            <w:rStyle w:val="Hyperlink"/>
            <w:noProof/>
          </w:rPr>
          <w:t>Māori and Pacific people across the health and disability professional groups</w:t>
        </w:r>
        <w:r w:rsidR="001A4960">
          <w:rPr>
            <w:noProof/>
            <w:webHidden/>
          </w:rPr>
          <w:tab/>
        </w:r>
        <w:r w:rsidR="001A4960">
          <w:rPr>
            <w:noProof/>
            <w:webHidden/>
          </w:rPr>
          <w:fldChar w:fldCharType="begin"/>
        </w:r>
        <w:r w:rsidR="001A4960">
          <w:rPr>
            <w:noProof/>
            <w:webHidden/>
          </w:rPr>
          <w:instrText xml:space="preserve"> PAGEREF _Toc54706251 \h </w:instrText>
        </w:r>
        <w:r w:rsidR="001A4960">
          <w:rPr>
            <w:noProof/>
            <w:webHidden/>
          </w:rPr>
        </w:r>
        <w:r w:rsidR="001A4960">
          <w:rPr>
            <w:noProof/>
            <w:webHidden/>
          </w:rPr>
          <w:fldChar w:fldCharType="separate"/>
        </w:r>
        <w:r>
          <w:rPr>
            <w:noProof/>
            <w:webHidden/>
          </w:rPr>
          <w:t>10</w:t>
        </w:r>
        <w:r w:rsidR="001A4960">
          <w:rPr>
            <w:noProof/>
            <w:webHidden/>
          </w:rPr>
          <w:fldChar w:fldCharType="end"/>
        </w:r>
      </w:hyperlink>
    </w:p>
    <w:p w14:paraId="13D40EEB" w14:textId="6638BB52" w:rsidR="001A4960" w:rsidRDefault="00884C99">
      <w:pPr>
        <w:pStyle w:val="TableofFigures"/>
        <w:tabs>
          <w:tab w:val="right" w:leader="dot" w:pos="8069"/>
        </w:tabs>
        <w:rPr>
          <w:rFonts w:asciiTheme="minorHAnsi" w:eastAsiaTheme="minorEastAsia" w:hAnsiTheme="minorHAnsi" w:cstheme="minorBidi"/>
          <w:noProof/>
          <w:sz w:val="22"/>
          <w:szCs w:val="22"/>
          <w:lang w:eastAsia="en-NZ"/>
        </w:rPr>
      </w:pPr>
      <w:hyperlink w:anchor="_Toc54706252" w:history="1">
        <w:r w:rsidR="001A4960" w:rsidRPr="00482AE5">
          <w:rPr>
            <w:rStyle w:val="Hyperlink"/>
            <w:rFonts w:eastAsia="Arial"/>
            <w:noProof/>
          </w:rPr>
          <w:t>Table 4: Total FTE count by DHB as at 31 December 2019</w:t>
        </w:r>
        <w:r w:rsidR="001A4960">
          <w:rPr>
            <w:noProof/>
            <w:webHidden/>
          </w:rPr>
          <w:tab/>
        </w:r>
        <w:r w:rsidR="001A4960">
          <w:rPr>
            <w:noProof/>
            <w:webHidden/>
          </w:rPr>
          <w:fldChar w:fldCharType="begin"/>
        </w:r>
        <w:r w:rsidR="001A4960">
          <w:rPr>
            <w:noProof/>
            <w:webHidden/>
          </w:rPr>
          <w:instrText xml:space="preserve"> PAGEREF _Toc54706252 \h </w:instrText>
        </w:r>
        <w:r w:rsidR="001A4960">
          <w:rPr>
            <w:noProof/>
            <w:webHidden/>
          </w:rPr>
        </w:r>
        <w:r w:rsidR="001A4960">
          <w:rPr>
            <w:noProof/>
            <w:webHidden/>
          </w:rPr>
          <w:fldChar w:fldCharType="separate"/>
        </w:r>
        <w:r>
          <w:rPr>
            <w:noProof/>
            <w:webHidden/>
          </w:rPr>
          <w:t>12</w:t>
        </w:r>
        <w:r w:rsidR="001A4960">
          <w:rPr>
            <w:noProof/>
            <w:webHidden/>
          </w:rPr>
          <w:fldChar w:fldCharType="end"/>
        </w:r>
      </w:hyperlink>
    </w:p>
    <w:p w14:paraId="494CFAC7" w14:textId="59968AB3" w:rsidR="001A4960" w:rsidRDefault="00884C99">
      <w:pPr>
        <w:pStyle w:val="TableofFigures"/>
        <w:tabs>
          <w:tab w:val="right" w:leader="dot" w:pos="8069"/>
        </w:tabs>
        <w:rPr>
          <w:rFonts w:asciiTheme="minorHAnsi" w:eastAsiaTheme="minorEastAsia" w:hAnsiTheme="minorHAnsi" w:cstheme="minorBidi"/>
          <w:noProof/>
          <w:sz w:val="22"/>
          <w:szCs w:val="22"/>
          <w:lang w:eastAsia="en-NZ"/>
        </w:rPr>
      </w:pPr>
      <w:hyperlink w:anchor="_Toc54706253" w:history="1">
        <w:r w:rsidR="001A4960" w:rsidRPr="00482AE5">
          <w:rPr>
            <w:rStyle w:val="Hyperlink"/>
            <w:rFonts w:eastAsia="Arial"/>
            <w:noProof/>
          </w:rPr>
          <w:t>Table 5: Changes in FTEs employed by DHBs from 31 December 2014 to 31 December 2019</w:t>
        </w:r>
        <w:r w:rsidR="001A4960">
          <w:rPr>
            <w:noProof/>
            <w:webHidden/>
          </w:rPr>
          <w:tab/>
        </w:r>
        <w:r w:rsidR="001A4960">
          <w:rPr>
            <w:noProof/>
            <w:webHidden/>
          </w:rPr>
          <w:fldChar w:fldCharType="begin"/>
        </w:r>
        <w:r w:rsidR="001A4960">
          <w:rPr>
            <w:noProof/>
            <w:webHidden/>
          </w:rPr>
          <w:instrText xml:space="preserve"> PAGEREF _Toc54706253 \h </w:instrText>
        </w:r>
        <w:r w:rsidR="001A4960">
          <w:rPr>
            <w:noProof/>
            <w:webHidden/>
          </w:rPr>
        </w:r>
        <w:r w:rsidR="001A4960">
          <w:rPr>
            <w:noProof/>
            <w:webHidden/>
          </w:rPr>
          <w:fldChar w:fldCharType="separate"/>
        </w:r>
        <w:r>
          <w:rPr>
            <w:noProof/>
            <w:webHidden/>
          </w:rPr>
          <w:t>14</w:t>
        </w:r>
        <w:r w:rsidR="001A4960">
          <w:rPr>
            <w:noProof/>
            <w:webHidden/>
          </w:rPr>
          <w:fldChar w:fldCharType="end"/>
        </w:r>
      </w:hyperlink>
    </w:p>
    <w:p w14:paraId="293D80FB" w14:textId="4FFFAC1E" w:rsidR="001A4960" w:rsidRDefault="00884C99">
      <w:pPr>
        <w:pStyle w:val="TableofFigures"/>
        <w:tabs>
          <w:tab w:val="right" w:leader="dot" w:pos="8069"/>
        </w:tabs>
        <w:rPr>
          <w:rFonts w:asciiTheme="minorHAnsi" w:eastAsiaTheme="minorEastAsia" w:hAnsiTheme="minorHAnsi" w:cstheme="minorBidi"/>
          <w:noProof/>
          <w:sz w:val="22"/>
          <w:szCs w:val="22"/>
          <w:lang w:eastAsia="en-NZ"/>
        </w:rPr>
      </w:pPr>
      <w:hyperlink w:anchor="_Toc54706254" w:history="1">
        <w:r w:rsidR="001A4960" w:rsidRPr="00482AE5">
          <w:rPr>
            <w:rStyle w:val="Hyperlink"/>
            <w:rFonts w:eastAsia="Arial"/>
            <w:noProof/>
          </w:rPr>
          <w:t>Table 6: Headcount of the non-DHB employed workforce as at June 2020</w:t>
        </w:r>
        <w:r w:rsidR="001A4960">
          <w:rPr>
            <w:noProof/>
            <w:webHidden/>
          </w:rPr>
          <w:tab/>
        </w:r>
        <w:r w:rsidR="001A4960">
          <w:rPr>
            <w:noProof/>
            <w:webHidden/>
          </w:rPr>
          <w:fldChar w:fldCharType="begin"/>
        </w:r>
        <w:r w:rsidR="001A4960">
          <w:rPr>
            <w:noProof/>
            <w:webHidden/>
          </w:rPr>
          <w:instrText xml:space="preserve"> PAGEREF _Toc54706254 \h </w:instrText>
        </w:r>
        <w:r w:rsidR="001A4960">
          <w:rPr>
            <w:noProof/>
            <w:webHidden/>
          </w:rPr>
        </w:r>
        <w:r w:rsidR="001A4960">
          <w:rPr>
            <w:noProof/>
            <w:webHidden/>
          </w:rPr>
          <w:fldChar w:fldCharType="separate"/>
        </w:r>
        <w:r>
          <w:rPr>
            <w:noProof/>
            <w:webHidden/>
          </w:rPr>
          <w:t>16</w:t>
        </w:r>
        <w:r w:rsidR="001A4960">
          <w:rPr>
            <w:noProof/>
            <w:webHidden/>
          </w:rPr>
          <w:fldChar w:fldCharType="end"/>
        </w:r>
      </w:hyperlink>
    </w:p>
    <w:p w14:paraId="3789EB1C" w14:textId="6AA4984B" w:rsidR="001A4960" w:rsidRDefault="00884C99">
      <w:pPr>
        <w:pStyle w:val="TableofFigures"/>
        <w:tabs>
          <w:tab w:val="right" w:leader="dot" w:pos="8069"/>
        </w:tabs>
        <w:rPr>
          <w:rFonts w:asciiTheme="minorHAnsi" w:eastAsiaTheme="minorEastAsia" w:hAnsiTheme="minorHAnsi" w:cstheme="minorBidi"/>
          <w:noProof/>
          <w:sz w:val="22"/>
          <w:szCs w:val="22"/>
          <w:lang w:eastAsia="en-NZ"/>
        </w:rPr>
      </w:pPr>
      <w:hyperlink w:anchor="_Toc54706255" w:history="1">
        <w:r w:rsidR="001A4960" w:rsidRPr="00482AE5">
          <w:rPr>
            <w:rStyle w:val="Hyperlink"/>
            <w:rFonts w:eastAsia="Arial"/>
            <w:noProof/>
          </w:rPr>
          <w:t>Table 7: Total DHB salary expenditure by occupation for the year ending 31 December 2019</w:t>
        </w:r>
        <w:r w:rsidR="001A4960">
          <w:rPr>
            <w:noProof/>
            <w:webHidden/>
          </w:rPr>
          <w:tab/>
        </w:r>
        <w:r w:rsidR="001A4960">
          <w:rPr>
            <w:noProof/>
            <w:webHidden/>
          </w:rPr>
          <w:fldChar w:fldCharType="begin"/>
        </w:r>
        <w:r w:rsidR="001A4960">
          <w:rPr>
            <w:noProof/>
            <w:webHidden/>
          </w:rPr>
          <w:instrText xml:space="preserve"> PAGEREF _Toc54706255 \h </w:instrText>
        </w:r>
        <w:r w:rsidR="001A4960">
          <w:rPr>
            <w:noProof/>
            <w:webHidden/>
          </w:rPr>
        </w:r>
        <w:r w:rsidR="001A4960">
          <w:rPr>
            <w:noProof/>
            <w:webHidden/>
          </w:rPr>
          <w:fldChar w:fldCharType="separate"/>
        </w:r>
        <w:r>
          <w:rPr>
            <w:noProof/>
            <w:webHidden/>
          </w:rPr>
          <w:t>19</w:t>
        </w:r>
        <w:r w:rsidR="001A4960">
          <w:rPr>
            <w:noProof/>
            <w:webHidden/>
          </w:rPr>
          <w:fldChar w:fldCharType="end"/>
        </w:r>
      </w:hyperlink>
    </w:p>
    <w:p w14:paraId="410D676A" w14:textId="3184E470" w:rsidR="001A4960" w:rsidRDefault="00884C99">
      <w:pPr>
        <w:pStyle w:val="TableofFigures"/>
        <w:tabs>
          <w:tab w:val="right" w:leader="dot" w:pos="8069"/>
        </w:tabs>
        <w:rPr>
          <w:rFonts w:asciiTheme="minorHAnsi" w:eastAsiaTheme="minorEastAsia" w:hAnsiTheme="minorHAnsi" w:cstheme="minorBidi"/>
          <w:noProof/>
          <w:sz w:val="22"/>
          <w:szCs w:val="22"/>
          <w:lang w:eastAsia="en-NZ"/>
        </w:rPr>
      </w:pPr>
      <w:hyperlink w:anchor="_Toc54706256" w:history="1">
        <w:r w:rsidR="001A4960" w:rsidRPr="00482AE5">
          <w:rPr>
            <w:rStyle w:val="Hyperlink"/>
            <w:rFonts w:eastAsia="Arial"/>
            <w:noProof/>
          </w:rPr>
          <w:t>Table 8: Salary costs by DHBs as at 31 December 2019</w:t>
        </w:r>
        <w:r w:rsidR="001A4960">
          <w:rPr>
            <w:noProof/>
            <w:webHidden/>
          </w:rPr>
          <w:tab/>
        </w:r>
        <w:r w:rsidR="001A4960">
          <w:rPr>
            <w:noProof/>
            <w:webHidden/>
          </w:rPr>
          <w:fldChar w:fldCharType="begin"/>
        </w:r>
        <w:r w:rsidR="001A4960">
          <w:rPr>
            <w:noProof/>
            <w:webHidden/>
          </w:rPr>
          <w:instrText xml:space="preserve"> PAGEREF _Toc54706256 \h </w:instrText>
        </w:r>
        <w:r w:rsidR="001A4960">
          <w:rPr>
            <w:noProof/>
            <w:webHidden/>
          </w:rPr>
        </w:r>
        <w:r w:rsidR="001A4960">
          <w:rPr>
            <w:noProof/>
            <w:webHidden/>
          </w:rPr>
          <w:fldChar w:fldCharType="separate"/>
        </w:r>
        <w:r>
          <w:rPr>
            <w:noProof/>
            <w:webHidden/>
          </w:rPr>
          <w:t>20</w:t>
        </w:r>
        <w:r w:rsidR="001A4960">
          <w:rPr>
            <w:noProof/>
            <w:webHidden/>
          </w:rPr>
          <w:fldChar w:fldCharType="end"/>
        </w:r>
      </w:hyperlink>
    </w:p>
    <w:p w14:paraId="3A4529F8" w14:textId="704C1C60" w:rsidR="001A4960" w:rsidRDefault="00884C99">
      <w:pPr>
        <w:pStyle w:val="TableofFigures"/>
        <w:tabs>
          <w:tab w:val="right" w:leader="dot" w:pos="8069"/>
        </w:tabs>
        <w:rPr>
          <w:rFonts w:asciiTheme="minorHAnsi" w:eastAsiaTheme="minorEastAsia" w:hAnsiTheme="minorHAnsi" w:cstheme="minorBidi"/>
          <w:noProof/>
          <w:sz w:val="22"/>
          <w:szCs w:val="22"/>
          <w:lang w:eastAsia="en-NZ"/>
        </w:rPr>
      </w:pPr>
      <w:hyperlink w:anchor="_Toc54706257" w:history="1">
        <w:r w:rsidR="001A4960" w:rsidRPr="00482AE5">
          <w:rPr>
            <w:rStyle w:val="Hyperlink"/>
            <w:rFonts w:eastAsia="Arial"/>
            <w:noProof/>
          </w:rPr>
          <w:t>Table 9: Non-DHB employed salary costs by occupation</w:t>
        </w:r>
        <w:r w:rsidR="001A4960">
          <w:rPr>
            <w:noProof/>
            <w:webHidden/>
          </w:rPr>
          <w:tab/>
        </w:r>
        <w:r w:rsidR="001A4960">
          <w:rPr>
            <w:noProof/>
            <w:webHidden/>
          </w:rPr>
          <w:fldChar w:fldCharType="begin"/>
        </w:r>
        <w:r w:rsidR="001A4960">
          <w:rPr>
            <w:noProof/>
            <w:webHidden/>
          </w:rPr>
          <w:instrText xml:space="preserve"> PAGEREF _Toc54706257 \h </w:instrText>
        </w:r>
        <w:r w:rsidR="001A4960">
          <w:rPr>
            <w:noProof/>
            <w:webHidden/>
          </w:rPr>
        </w:r>
        <w:r w:rsidR="001A4960">
          <w:rPr>
            <w:noProof/>
            <w:webHidden/>
          </w:rPr>
          <w:fldChar w:fldCharType="separate"/>
        </w:r>
        <w:r>
          <w:rPr>
            <w:noProof/>
            <w:webHidden/>
          </w:rPr>
          <w:t>22</w:t>
        </w:r>
        <w:r w:rsidR="001A4960">
          <w:rPr>
            <w:noProof/>
            <w:webHidden/>
          </w:rPr>
          <w:fldChar w:fldCharType="end"/>
        </w:r>
      </w:hyperlink>
    </w:p>
    <w:p w14:paraId="02189CE2" w14:textId="0A67EE7B" w:rsidR="00896135" w:rsidRDefault="001A4960" w:rsidP="00896135">
      <w:pPr>
        <w:sectPr w:rsidR="00896135" w:rsidSect="00AA2D7C">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r>
        <w:rPr>
          <w:sz w:val="20"/>
        </w:rPr>
        <w:fldChar w:fldCharType="end"/>
      </w:r>
    </w:p>
    <w:p w14:paraId="17183F34" w14:textId="77777777" w:rsidR="00896135" w:rsidRDefault="00896135" w:rsidP="005F08D9">
      <w:pPr>
        <w:pStyle w:val="Heading1"/>
        <w:spacing w:before="0"/>
      </w:pPr>
      <w:bookmarkStart w:id="3" w:name="_Toc54706211"/>
      <w:r>
        <w:lastRenderedPageBreak/>
        <w:t>Summary</w:t>
      </w:r>
      <w:bookmarkEnd w:id="3"/>
    </w:p>
    <w:p w14:paraId="183D7451" w14:textId="6FF71AAE" w:rsidR="00896135" w:rsidRPr="00A61E2A" w:rsidRDefault="00AA2D7C" w:rsidP="00896135">
      <w:pPr>
        <w:rPr>
          <w:iCs/>
          <w:w w:val="105"/>
        </w:rPr>
      </w:pPr>
      <w:r>
        <w:rPr>
          <w:iCs/>
          <w:w w:val="105"/>
        </w:rPr>
        <w:t>‘</w:t>
      </w:r>
      <w:r w:rsidR="00896135" w:rsidRPr="00A61E2A">
        <w:rPr>
          <w:iCs/>
          <w:w w:val="105"/>
        </w:rPr>
        <w:t>Health investment is the smartest investment – it pays off.</w:t>
      </w:r>
      <w:r>
        <w:rPr>
          <w:iCs/>
          <w:w w:val="105"/>
        </w:rPr>
        <w:t>’</w:t>
      </w:r>
    </w:p>
    <w:p w14:paraId="5ECFAD39" w14:textId="77777777" w:rsidR="005F08D9" w:rsidRDefault="00896135" w:rsidP="00896135">
      <w:pPr>
        <w:tabs>
          <w:tab w:val="left" w:pos="2127"/>
        </w:tabs>
        <w:rPr>
          <w:i/>
          <w:w w:val="105"/>
        </w:rPr>
      </w:pPr>
      <w:r>
        <w:rPr>
          <w:i/>
          <w:w w:val="105"/>
        </w:rPr>
        <w:tab/>
      </w:r>
    </w:p>
    <w:p w14:paraId="08A40821" w14:textId="34BA0146" w:rsidR="00896135" w:rsidRPr="00C201A0" w:rsidRDefault="00896135" w:rsidP="005F08D9">
      <w:pPr>
        <w:tabs>
          <w:tab w:val="left" w:pos="2127"/>
        </w:tabs>
        <w:jc w:val="right"/>
        <w:rPr>
          <w:w w:val="105"/>
        </w:rPr>
      </w:pPr>
      <w:r w:rsidRPr="00C201A0">
        <w:rPr>
          <w:w w:val="105"/>
        </w:rPr>
        <w:t xml:space="preserve">Dr </w:t>
      </w:r>
      <w:proofErr w:type="spellStart"/>
      <w:r w:rsidRPr="00C201A0">
        <w:rPr>
          <w:w w:val="105"/>
        </w:rPr>
        <w:t>Zsuzsanna</w:t>
      </w:r>
      <w:proofErr w:type="spellEnd"/>
      <w:r w:rsidRPr="00C201A0">
        <w:rPr>
          <w:w w:val="105"/>
        </w:rPr>
        <w:t xml:space="preserve"> </w:t>
      </w:r>
      <w:proofErr w:type="spellStart"/>
      <w:r w:rsidRPr="00C201A0">
        <w:rPr>
          <w:w w:val="105"/>
        </w:rPr>
        <w:t>Jakab</w:t>
      </w:r>
      <w:proofErr w:type="spellEnd"/>
      <w:r w:rsidRPr="00C201A0">
        <w:rPr>
          <w:w w:val="105"/>
        </w:rPr>
        <w:t>, WHO Regional Director for Europe</w:t>
      </w:r>
    </w:p>
    <w:p w14:paraId="17D89AC4" w14:textId="77777777" w:rsidR="00896135" w:rsidRDefault="00896135" w:rsidP="00896135">
      <w:pPr>
        <w:rPr>
          <w:rFonts w:eastAsia="Arial Unicode MS"/>
        </w:rPr>
      </w:pPr>
    </w:p>
    <w:p w14:paraId="6BB618F2" w14:textId="77777777" w:rsidR="00896135" w:rsidRDefault="00896135" w:rsidP="00896135">
      <w:pPr>
        <w:rPr>
          <w:rFonts w:eastAsia="Arial Unicode MS"/>
        </w:rPr>
      </w:pPr>
      <w:r>
        <w:rPr>
          <w:rFonts w:eastAsia="Arial Unicode MS"/>
        </w:rPr>
        <w:t xml:space="preserve">The Health Workforce Advisory Board commissioned a report on the costs of the New Zealand health and disability workforce and the value of employment in the health sector to the economy and society. </w:t>
      </w:r>
    </w:p>
    <w:p w14:paraId="43E7E5E6" w14:textId="77777777" w:rsidR="00896135" w:rsidRDefault="00896135" w:rsidP="00896135">
      <w:pPr>
        <w:rPr>
          <w:rFonts w:eastAsia="Arial Unicode MS"/>
        </w:rPr>
      </w:pPr>
    </w:p>
    <w:p w14:paraId="326B9307" w14:textId="71971DE7" w:rsidR="00896135" w:rsidRDefault="00896135" w:rsidP="00896135">
      <w:r>
        <w:t>This paper provides evidence on the economic and social returns of investing in the health and disability workforce to provide a basis for health and financial decision</w:t>
      </w:r>
      <w:r w:rsidR="00AA2D7C">
        <w:t xml:space="preserve"> </w:t>
      </w:r>
      <w:r>
        <w:t>makers to work together around shared goals and public finance objectives. The intent is to enable a stronger dialogue with the Minister of Finance and Treasury about the contribution made by health systems to reducing social and economic exclusion and to growing the economy.</w:t>
      </w:r>
    </w:p>
    <w:p w14:paraId="63F451A7" w14:textId="77777777" w:rsidR="00896135" w:rsidRDefault="00896135" w:rsidP="00896135">
      <w:pPr>
        <w:rPr>
          <w:rFonts w:eastAsia="Arial Unicode MS"/>
        </w:rPr>
      </w:pPr>
    </w:p>
    <w:p w14:paraId="2EED52E7" w14:textId="77194180" w:rsidR="00896135" w:rsidRDefault="00896135" w:rsidP="00896135">
      <w:pPr>
        <w:rPr>
          <w:rFonts w:eastAsia="Arial Unicode MS"/>
        </w:rPr>
      </w:pPr>
      <w:r>
        <w:rPr>
          <w:rFonts w:eastAsia="Arial Unicode MS"/>
        </w:rPr>
        <w:t>This section summar</w:t>
      </w:r>
      <w:r w:rsidR="008B374F">
        <w:rPr>
          <w:rFonts w:eastAsia="Arial Unicode MS"/>
        </w:rPr>
        <w:t>ises</w:t>
      </w:r>
      <w:r>
        <w:rPr>
          <w:rFonts w:eastAsia="Arial Unicode MS"/>
        </w:rPr>
        <w:t xml:space="preserve"> the key findings of the report.</w:t>
      </w:r>
    </w:p>
    <w:p w14:paraId="422B2A12" w14:textId="0390F6CB" w:rsidR="00896135" w:rsidRPr="000C3F97" w:rsidRDefault="00896135" w:rsidP="005F08D9">
      <w:pPr>
        <w:pStyle w:val="Heading2"/>
        <w:spacing w:before="400"/>
        <w:rPr>
          <w:rFonts w:eastAsia="Arial Unicode MS"/>
        </w:rPr>
      </w:pPr>
      <w:bookmarkStart w:id="4" w:name="_Toc54706212"/>
      <w:r>
        <w:rPr>
          <w:rFonts w:eastAsia="Arial Unicode MS"/>
        </w:rPr>
        <w:t xml:space="preserve">New Zealand </w:t>
      </w:r>
      <w:r w:rsidR="00AA2D7C">
        <w:rPr>
          <w:rFonts w:eastAsia="Arial Unicode MS"/>
        </w:rPr>
        <w:t>health and disability workforce</w:t>
      </w:r>
      <w:bookmarkEnd w:id="4"/>
    </w:p>
    <w:p w14:paraId="68BC7665" w14:textId="3D05395F" w:rsidR="00896135" w:rsidRDefault="00896135" w:rsidP="005F08D9">
      <w:pPr>
        <w:pStyle w:val="Bullet"/>
      </w:pPr>
      <w:r>
        <w:t xml:space="preserve">In December 2019 there were 246,500 people employed in the health care and social assistance sector. </w:t>
      </w:r>
      <w:r w:rsidR="00AA2D7C">
        <w:t>This included</w:t>
      </w:r>
      <w:r>
        <w:t xml:space="preserve"> 213,100 people employed in hospitals, medical and other health care services</w:t>
      </w:r>
      <w:r w:rsidR="00AA2D7C">
        <w:t>,</w:t>
      </w:r>
      <w:r>
        <w:t xml:space="preserve"> and residential care services. </w:t>
      </w:r>
      <w:r w:rsidR="00AA2D7C">
        <w:t xml:space="preserve">Another </w:t>
      </w:r>
      <w:r>
        <w:t>33,400 were employed in social assistance services. The health care and social assistance sector is the largest industry employer in the country and represents 11% of all those employed in industries across New Zealand</w:t>
      </w:r>
    </w:p>
    <w:p w14:paraId="2116FF9F" w14:textId="0C76CC8E" w:rsidR="00896135" w:rsidRDefault="00896135" w:rsidP="005F08D9">
      <w:pPr>
        <w:pStyle w:val="Bullet"/>
      </w:pPr>
      <w:r>
        <w:t xml:space="preserve">When assessed as a proportion of the total New Zealand population, the health care and social assistance workforce has increased from 4,035 per 100,000 in 2000 to 6,371 per 100,000 in 2019. The biggest increase has been in the medical and other health services </w:t>
      </w:r>
      <w:r w:rsidR="008B374F">
        <w:t xml:space="preserve">category, </w:t>
      </w:r>
      <w:r>
        <w:t>with an increase of 73% over the period 2000 to 2019</w:t>
      </w:r>
    </w:p>
    <w:p w14:paraId="0A594511" w14:textId="31C846CA" w:rsidR="00896135" w:rsidRDefault="00896135" w:rsidP="005F08D9">
      <w:pPr>
        <w:pStyle w:val="Bullet"/>
      </w:pPr>
      <w:r>
        <w:t xml:space="preserve">The health care and social assistance sector has a predominately female workforce </w:t>
      </w:r>
      <w:r w:rsidR="00AA2D7C">
        <w:t>(</w:t>
      </w:r>
      <w:r>
        <w:t>83% in 2019</w:t>
      </w:r>
      <w:r w:rsidR="00AA2D7C">
        <w:t>)</w:t>
      </w:r>
      <w:r>
        <w:t>. This compares to 48% of the workforce being female across all industries. The majority of those in health care and social assistance are aged 40 years or older, with 10% aged 60 to 64 years</w:t>
      </w:r>
    </w:p>
    <w:p w14:paraId="1DBB4989" w14:textId="6B50879A" w:rsidR="00896135" w:rsidRDefault="00896135" w:rsidP="005F08D9">
      <w:pPr>
        <w:pStyle w:val="Bullet"/>
      </w:pPr>
      <w:r>
        <w:t xml:space="preserve">As at 31 December 2019, there were a total of 76,213 full-time equivalents (FTEs) employed by the 20 district health boards (DHBs) across New Zealand. </w:t>
      </w:r>
      <w:r w:rsidR="008B374F">
        <w:t>Estimates suggest that</w:t>
      </w:r>
      <w:r>
        <w:t xml:space="preserve"> 136,887 people </w:t>
      </w:r>
      <w:r w:rsidR="00AA2D7C">
        <w:t xml:space="preserve">in the sector are </w:t>
      </w:r>
      <w:r>
        <w:t>not directly employed by DHBs. These may be DHB-funded workers or other non-DHB health care workers</w:t>
      </w:r>
    </w:p>
    <w:p w14:paraId="3500D4A0" w14:textId="0B6EFF15" w:rsidR="00896135" w:rsidRDefault="00896135" w:rsidP="005F08D9">
      <w:pPr>
        <w:pStyle w:val="Bullet"/>
      </w:pPr>
      <w:r>
        <w:t>Nurses account for the largest pool of health and disability workers employed by DHBs (39% of all DHB employed personnel). Corporate and other personnel account for 19% of all DHB employees, followed by allied health professionals (16%), care and support (11%) and senior medical officers (7%)</w:t>
      </w:r>
    </w:p>
    <w:p w14:paraId="7BE9DF61" w14:textId="3C3C7DE7" w:rsidR="00896135" w:rsidRPr="00DD5073" w:rsidRDefault="00896135" w:rsidP="005F08D9">
      <w:pPr>
        <w:pStyle w:val="Bullet"/>
        <w:rPr>
          <w:rFonts w:eastAsia="Arial Unicode MS"/>
        </w:rPr>
      </w:pPr>
      <w:r>
        <w:lastRenderedPageBreak/>
        <w:t xml:space="preserve">The health care and social assistance industries represented 5.79% of </w:t>
      </w:r>
      <w:r w:rsidR="00AA2D7C">
        <w:t>gross domestic product</w:t>
      </w:r>
      <w:r>
        <w:t xml:space="preserve"> (GDP) for the year ended December 2019. This compares with education and training</w:t>
      </w:r>
      <w:r w:rsidR="00AA2D7C">
        <w:t>,</w:t>
      </w:r>
      <w:r>
        <w:t xml:space="preserve"> and public administration and safety</w:t>
      </w:r>
      <w:r w:rsidR="00AA2D7C">
        <w:t>,</w:t>
      </w:r>
      <w:r>
        <w:t xml:space="preserve"> </w:t>
      </w:r>
      <w:r w:rsidR="00AA2D7C">
        <w:t xml:space="preserve">which </w:t>
      </w:r>
      <w:r>
        <w:t xml:space="preserve">both </w:t>
      </w:r>
      <w:r w:rsidR="00C80F70">
        <w:t xml:space="preserve">make up </w:t>
      </w:r>
      <w:r>
        <w:t>4% of GDP</w:t>
      </w:r>
    </w:p>
    <w:p w14:paraId="562B8399" w14:textId="3EB0DA73" w:rsidR="00896135" w:rsidRDefault="00896135" w:rsidP="005F08D9">
      <w:pPr>
        <w:pStyle w:val="Bullet"/>
      </w:pPr>
      <w:r>
        <w:t>For the year ending 31 December 2019, $6.2 billion was spent by DHBs on health and care workers employed directly by DHBs. This represents 31% of the total Vote Health budget of $19,871 million for the 2019/20 year and 45% of the $13,980 million provided to the 20 DHBs for services to meet the needs of each district’s population</w:t>
      </w:r>
    </w:p>
    <w:p w14:paraId="5E646C0E" w14:textId="21B94512" w:rsidR="00896135" w:rsidRDefault="00896135" w:rsidP="005F08D9">
      <w:pPr>
        <w:pStyle w:val="Bullet"/>
      </w:pPr>
      <w:r>
        <w:t xml:space="preserve">Consistent with DHB FTE numbers, the largest proportion of salary cost is spent on nurses ($2.2 billion or 36% of total DHB salary costs), followed </w:t>
      </w:r>
      <w:r w:rsidR="00AA2D7C">
        <w:t xml:space="preserve">by </w:t>
      </w:r>
      <w:r>
        <w:t>senior medical officers ($1.1 billion</w:t>
      </w:r>
      <w:r w:rsidR="00AA2D7C">
        <w:t>,</w:t>
      </w:r>
      <w:r>
        <w:t xml:space="preserve"> 18%), corporate and other services ($932 million</w:t>
      </w:r>
      <w:r w:rsidR="005251ED">
        <w:t>,</w:t>
      </w:r>
      <w:r>
        <w:t xml:space="preserve"> 15%) and allied health and scientific health workers ($884 million</w:t>
      </w:r>
      <w:r w:rsidR="005251ED">
        <w:t>,</w:t>
      </w:r>
      <w:r>
        <w:t xml:space="preserve"> 14%). The smallest component is spent on midwifery ($120 million</w:t>
      </w:r>
      <w:r w:rsidR="005251ED">
        <w:t>,</w:t>
      </w:r>
      <w:r>
        <w:t xml:space="preserve"> 2%)</w:t>
      </w:r>
    </w:p>
    <w:p w14:paraId="4D924F5E" w14:textId="5B9B8E77" w:rsidR="00896135" w:rsidRDefault="00896135" w:rsidP="005F08D9">
      <w:pPr>
        <w:pStyle w:val="Bullet"/>
      </w:pPr>
      <w:r>
        <w:t>It is estimated that $7 billion is spent annually on the non-DHB employed workforce</w:t>
      </w:r>
      <w:r w:rsidR="005251ED">
        <w:t>;</w:t>
      </w:r>
      <w:r>
        <w:t xml:space="preserve"> however, this is an estimate based on a range of assumptions and averages and should not be relied upon</w:t>
      </w:r>
    </w:p>
    <w:p w14:paraId="00FBB3C7" w14:textId="44978DE9" w:rsidR="00896135" w:rsidRDefault="00896135" w:rsidP="005F08D9">
      <w:pPr>
        <w:pStyle w:val="Bullet"/>
      </w:pPr>
      <w:r>
        <w:t xml:space="preserve">Based on estimates of salary expenditure, the total cost of the health and disability sector workforce is estimated to be around $13.2 billion per annum (adding the $6.2 billion DHB employee salary cost and $7 billion non-DHB employee cost). This </w:t>
      </w:r>
      <w:r w:rsidR="008B374F">
        <w:t xml:space="preserve">is </w:t>
      </w:r>
      <w:r>
        <w:t>66% of total Vote Health and 15% of core Crown expenses.</w:t>
      </w:r>
    </w:p>
    <w:p w14:paraId="6C1BF607" w14:textId="77777777" w:rsidR="00896135" w:rsidRDefault="00896135" w:rsidP="005F08D9">
      <w:pPr>
        <w:pStyle w:val="Heading2"/>
        <w:spacing w:before="400"/>
      </w:pPr>
      <w:bookmarkStart w:id="5" w:name="_Toc54706213"/>
      <w:r>
        <w:t>Health employment, economic growth and wellbeing</w:t>
      </w:r>
      <w:bookmarkEnd w:id="5"/>
    </w:p>
    <w:p w14:paraId="10EC6932" w14:textId="79B55DA5" w:rsidR="00896135" w:rsidRDefault="00896135" w:rsidP="005F08D9">
      <w:pPr>
        <w:pStyle w:val="Bullet"/>
      </w:pPr>
      <w:r>
        <w:t>In recent years there has been a shift in thinking and an understanding that the health sector has an economy, it makes an economic footprint and it has a labour market dynamic of its own. Evidence suggests that investments in the health workforce and broader health sector can promote inclusive economic growth</w:t>
      </w:r>
      <w:r w:rsidR="005251ED">
        <w:t>,</w:t>
      </w:r>
      <w:r>
        <w:t xml:space="preserve"> and that health and inclusive economic growth are complementary and not </w:t>
      </w:r>
      <w:r w:rsidR="005251ED">
        <w:t xml:space="preserve">necessarily </w:t>
      </w:r>
      <w:r>
        <w:t>opposing goals (Horton et al 2016)</w:t>
      </w:r>
    </w:p>
    <w:p w14:paraId="588C5969" w14:textId="3DD66ACB" w:rsidR="00896135" w:rsidRDefault="00896135" w:rsidP="005F08D9">
      <w:pPr>
        <w:pStyle w:val="Bullet"/>
      </w:pPr>
      <w:r>
        <w:t xml:space="preserve">In March 2016, the High-Level Commission on Health Employment and Economic Growth </w:t>
      </w:r>
      <w:r w:rsidR="00D62718">
        <w:t xml:space="preserve">(the Commission) </w:t>
      </w:r>
      <w:r>
        <w:t>sought to draw the attention of the international community to the social and economic benefits of investing in the health workforce, locally and globally</w:t>
      </w:r>
    </w:p>
    <w:p w14:paraId="1B4EFE78" w14:textId="65CBBE4B" w:rsidR="00896135" w:rsidRDefault="00896135" w:rsidP="005F08D9">
      <w:pPr>
        <w:pStyle w:val="Bullet"/>
      </w:pPr>
      <w:r w:rsidRPr="00510496">
        <w:t xml:space="preserve">The Commission hoped to change the mindset of political leaders, policy makers and economists who view health employment as a burden on the economy (as it </w:t>
      </w:r>
      <w:proofErr w:type="gramStart"/>
      <w:r w:rsidRPr="00510496">
        <w:t>is considered to be</w:t>
      </w:r>
      <w:proofErr w:type="gramEnd"/>
      <w:r w:rsidRPr="00510496">
        <w:t xml:space="preserve"> inefficient, resistant to gains in productivity and an expense to be stringently controlled). The Commission wanted to shift the focus of health employment as </w:t>
      </w:r>
      <w:r w:rsidR="005251ED">
        <w:t>‘</w:t>
      </w:r>
      <w:r w:rsidRPr="00510496">
        <w:t>consumption</w:t>
      </w:r>
      <w:r w:rsidR="005251ED">
        <w:t>’</w:t>
      </w:r>
      <w:r w:rsidRPr="00510496">
        <w:t xml:space="preserve"> to health employment as an </w:t>
      </w:r>
      <w:r w:rsidR="005251ED">
        <w:t>‘</w:t>
      </w:r>
      <w:r w:rsidRPr="00510496">
        <w:t>investment</w:t>
      </w:r>
      <w:r w:rsidR="005251ED">
        <w:t>’</w:t>
      </w:r>
    </w:p>
    <w:p w14:paraId="4084F598" w14:textId="54502733" w:rsidR="00896135" w:rsidRDefault="00896135" w:rsidP="005F08D9">
      <w:pPr>
        <w:pStyle w:val="Bullet"/>
      </w:pPr>
      <w:r>
        <w:t xml:space="preserve">Health institutions are often viewed as </w:t>
      </w:r>
      <w:r w:rsidR="005251ED">
        <w:t>‘</w:t>
      </w:r>
      <w:r>
        <w:t>anchor institutions</w:t>
      </w:r>
      <w:r w:rsidR="005251ED">
        <w:t>’</w:t>
      </w:r>
      <w:r>
        <w:t xml:space="preserve">, a term used to describe the fact that in tough economic times they are economically and socially connected to the communities in which they are based, and so act as economic stabilisers. Employment in the health and disability sector tends to be less sensitive to cyclical fluctuations (such as economic recessions) than other sectors of the economy. The health sector can create jobs in deprived areas and regions and keep the productive </w:t>
      </w:r>
      <w:r>
        <w:lastRenderedPageBreak/>
        <w:t xml:space="preserve">sector </w:t>
      </w:r>
      <w:r w:rsidR="005251ED">
        <w:t xml:space="preserve">from </w:t>
      </w:r>
      <w:r>
        <w:t xml:space="preserve">going through an economic downturn (Boyce and Brown 2019; </w:t>
      </w:r>
      <w:proofErr w:type="spellStart"/>
      <w:r>
        <w:t>Maignan</w:t>
      </w:r>
      <w:proofErr w:type="spellEnd"/>
      <w:r>
        <w:t xml:space="preserve"> 2012)</w:t>
      </w:r>
    </w:p>
    <w:p w14:paraId="47CEA44E" w14:textId="20A9398D" w:rsidR="00896135" w:rsidRPr="000E126D" w:rsidRDefault="00896135" w:rsidP="005F08D9">
      <w:pPr>
        <w:pStyle w:val="Bullet"/>
        <w:rPr>
          <w:rFonts w:eastAsia="Arial Unicode MS"/>
        </w:rPr>
      </w:pPr>
      <w:r>
        <w:t xml:space="preserve">Based on an extensive review of the available evidence, the Commission concluded that, to the extent that resources are wisely </w:t>
      </w:r>
      <w:r w:rsidR="006C1E67">
        <w:t>spent,</w:t>
      </w:r>
      <w:r>
        <w:t xml:space="preserve"> and the right policies and enablers are put in place, investment in education and job creation in the health and social sectors will make a positive contribution to inclusive economic growth (HLC 2016).</w:t>
      </w:r>
    </w:p>
    <w:p w14:paraId="6528465E" w14:textId="77777777" w:rsidR="00896135" w:rsidRPr="000E126D" w:rsidRDefault="00896135" w:rsidP="005F08D9">
      <w:pPr>
        <w:pStyle w:val="Heading2"/>
        <w:spacing w:before="400"/>
        <w:rPr>
          <w:rFonts w:eastAsia="Arial Unicode MS"/>
        </w:rPr>
      </w:pPr>
      <w:bookmarkStart w:id="6" w:name="_Toc54706214"/>
      <w:r>
        <w:rPr>
          <w:rFonts w:eastAsia="Arial Unicode MS"/>
        </w:rPr>
        <w:t>Pathways to economic growth and wellbeing</w:t>
      </w:r>
      <w:bookmarkEnd w:id="6"/>
    </w:p>
    <w:p w14:paraId="552083FA" w14:textId="76C07862" w:rsidR="00896135" w:rsidRDefault="00896135" w:rsidP="005F08D9">
      <w:pPr>
        <w:pStyle w:val="Bullet"/>
      </w:pPr>
      <w:r>
        <w:t>The World Health Organi</w:t>
      </w:r>
      <w:r w:rsidR="00D62718">
        <w:t>z</w:t>
      </w:r>
      <w:r>
        <w:t>ation (Boyce and Brown 2019) notes that purchasing is often seen as separate from regional economic plans and political decisions, and it is often regarded as a cost rather than an opportunity for economic growth and community development. However, purchasing and procurement by the health and disability sector has the potential to achieve social, economic and environmental benefits</w:t>
      </w:r>
    </w:p>
    <w:p w14:paraId="5B4FCACC" w14:textId="4B8D2937" w:rsidR="003A7F5C" w:rsidRDefault="00896135" w:rsidP="005F08D9">
      <w:pPr>
        <w:pStyle w:val="Bullet"/>
      </w:pPr>
      <w:r>
        <w:t xml:space="preserve">The health and disability system, </w:t>
      </w:r>
      <w:r w:rsidR="003A7F5C">
        <w:t>including employment in the health sector</w:t>
      </w:r>
      <w:r>
        <w:t xml:space="preserve">, can have a positive impact on several wellbeing domains. This in turn </w:t>
      </w:r>
      <w:r w:rsidR="003A7F5C">
        <w:t xml:space="preserve">affects five key pathways to economic growth and wellbeing: </w:t>
      </w:r>
      <w:r>
        <w:t>life expectancy</w:t>
      </w:r>
      <w:r w:rsidR="003A7F5C" w:rsidRPr="003A7F5C">
        <w:t xml:space="preserve"> </w:t>
      </w:r>
      <w:r w:rsidR="003A7F5C">
        <w:t>and quality of life</w:t>
      </w:r>
      <w:r>
        <w:t>, labour supply and productivity, economic output, inequality</w:t>
      </w:r>
      <w:r w:rsidR="003A7F5C">
        <w:t>,</w:t>
      </w:r>
      <w:r>
        <w:t xml:space="preserve"> and social cohesion</w:t>
      </w:r>
      <w:r w:rsidR="003A7F5C">
        <w:t>.</w:t>
      </w:r>
      <w:r>
        <w:t xml:space="preserve"> </w:t>
      </w:r>
    </w:p>
    <w:p w14:paraId="07D8D817" w14:textId="6E017A8C" w:rsidR="00896135" w:rsidRPr="005C1FF8" w:rsidRDefault="00896135" w:rsidP="005F08D9">
      <w:pPr>
        <w:pStyle w:val="Bullet"/>
      </w:pPr>
      <w:r>
        <w:t>The Lancet Commission on Investing in Health reported that around one</w:t>
      </w:r>
      <w:r w:rsidR="005251ED">
        <w:t>-</w:t>
      </w:r>
      <w:r>
        <w:t>quarter of economic growth between 2000 and 2011 in low- and middle-income countries was the result of improvements to health</w:t>
      </w:r>
    </w:p>
    <w:p w14:paraId="24E69059" w14:textId="49C7329D" w:rsidR="00896135" w:rsidRDefault="00896135" w:rsidP="005F08D9">
      <w:pPr>
        <w:pStyle w:val="Bullet"/>
      </w:pPr>
      <w:r>
        <w:t>Healthier workers are more productive, resulting in supply-side benefits to the economy. Adults who experience poor health are more likely to be absent from work (absenteeism) or more likely to be unproductive at work (presenteeism)</w:t>
      </w:r>
    </w:p>
    <w:p w14:paraId="3C3C5D54" w14:textId="27129AC7" w:rsidR="00896135" w:rsidRDefault="00896135" w:rsidP="005F08D9">
      <w:pPr>
        <w:pStyle w:val="Bullet"/>
      </w:pPr>
      <w:r>
        <w:t>Horton (2016) notes that weak health systems, with inadequate numbers of health workers, perform poorly in the surveillance, prevention and control of pandemics and infectious disease outbreaks. Strong and responsive health systems strengthen the ability of a country to respond to health pandemics and help to minimise the impact on the economy</w:t>
      </w:r>
    </w:p>
    <w:p w14:paraId="72D545CA" w14:textId="0FC87945" w:rsidR="00896135" w:rsidRPr="00B0456F" w:rsidRDefault="00896135" w:rsidP="005F08D9">
      <w:pPr>
        <w:pStyle w:val="Bullet"/>
      </w:pPr>
      <w:r>
        <w:t xml:space="preserve">Investments in the health workforce, including epidemic surveillance and response and training, help to strengthen a country’s response to infectious diseases, </w:t>
      </w:r>
      <w:r w:rsidR="005251ED">
        <w:t xml:space="preserve">protecting </w:t>
      </w:r>
      <w:r>
        <w:t>both people and the economy</w:t>
      </w:r>
    </w:p>
    <w:p w14:paraId="7AE35442" w14:textId="18E10FA8" w:rsidR="00896135" w:rsidRDefault="00896135" w:rsidP="005F08D9">
      <w:pPr>
        <w:pStyle w:val="Bullet"/>
      </w:pPr>
      <w:r>
        <w:t xml:space="preserve">Women drive wealth creation through their employment in the health economy. The health and disability sector also </w:t>
      </w:r>
      <w:proofErr w:type="gramStart"/>
      <w:r>
        <w:t>plays</w:t>
      </w:r>
      <w:proofErr w:type="gramEnd"/>
      <w:r>
        <w:t xml:space="preserve"> an important role in reducing geographic</w:t>
      </w:r>
      <w:r w:rsidR="00FD09D0">
        <w:t>al</w:t>
      </w:r>
      <w:r>
        <w:t xml:space="preserve"> inequities. It does this through the education and training it provides, the geographical spread of jobs</w:t>
      </w:r>
      <w:r w:rsidR="005251ED">
        <w:t>,</w:t>
      </w:r>
      <w:r>
        <w:t xml:space="preserve"> and promoting jobs for young people</w:t>
      </w:r>
    </w:p>
    <w:p w14:paraId="7E246E2B" w14:textId="3D57CEEC" w:rsidR="00896135" w:rsidRPr="00A72791" w:rsidRDefault="00896135" w:rsidP="005F08D9">
      <w:pPr>
        <w:pStyle w:val="Bullet"/>
      </w:pPr>
      <w:r w:rsidRPr="00001DFC">
        <w:t>M</w:t>
      </w:r>
      <w:r w:rsidRPr="00001DFC">
        <w:rPr>
          <w:rFonts w:cs="Segoe UI"/>
        </w:rPr>
        <w:t>ā</w:t>
      </w:r>
      <w:r w:rsidRPr="00001DFC">
        <w:t>ori and Pacific peoples remain under</w:t>
      </w:r>
      <w:r w:rsidR="005251ED">
        <w:t>-</w:t>
      </w:r>
      <w:r w:rsidRPr="00001DFC">
        <w:t xml:space="preserve">represented in </w:t>
      </w:r>
      <w:r>
        <w:t xml:space="preserve">clinical roles within </w:t>
      </w:r>
      <w:r w:rsidRPr="00001DFC">
        <w:t>the health and disability workforce</w:t>
      </w:r>
    </w:p>
    <w:p w14:paraId="56A3741C" w14:textId="5292952D" w:rsidR="00896135" w:rsidRDefault="00896135" w:rsidP="005F08D9">
      <w:pPr>
        <w:pStyle w:val="Bullet"/>
      </w:pPr>
      <w:r>
        <w:t>Employment in the health and disability system creates multiple economic and social benefits that help to build social cohesion, particularly if the sector is employing people who live locally</w:t>
      </w:r>
    </w:p>
    <w:p w14:paraId="57AA4630" w14:textId="5C71CF10" w:rsidR="00896135" w:rsidRDefault="00896135" w:rsidP="005F08D9">
      <w:pPr>
        <w:pStyle w:val="Bullet"/>
      </w:pPr>
      <w:r>
        <w:lastRenderedPageBreak/>
        <w:t>Employment in the health and disability sector can also reduce social exclusion at an individual and community level, particularly for people who may face discrimination. This is particularly so in the health sector</w:t>
      </w:r>
      <w:r w:rsidR="005251ED">
        <w:t>,</w:t>
      </w:r>
      <w:r>
        <w:t xml:space="preserve"> where there is a lot of diversity in the workforce</w:t>
      </w:r>
    </w:p>
    <w:p w14:paraId="3A538E7B" w14:textId="214CE7EE" w:rsidR="00896135" w:rsidRDefault="00896135" w:rsidP="005F08D9">
      <w:pPr>
        <w:pStyle w:val="Bullet"/>
      </w:pPr>
      <w:r>
        <w:t xml:space="preserve">There is very little literature on the impact </w:t>
      </w:r>
      <w:r w:rsidR="00FD09D0">
        <w:t>that</w:t>
      </w:r>
      <w:r w:rsidR="005251ED">
        <w:t xml:space="preserve"> </w:t>
      </w:r>
      <w:r>
        <w:t xml:space="preserve">working in the health sector </w:t>
      </w:r>
      <w:r w:rsidR="00FD09D0">
        <w:t xml:space="preserve">has </w:t>
      </w:r>
      <w:r>
        <w:t xml:space="preserve">on </w:t>
      </w:r>
      <w:r w:rsidR="00F2724A">
        <w:t xml:space="preserve">employees’ </w:t>
      </w:r>
      <w:r>
        <w:t xml:space="preserve">children and families, while there is some literature on the general influence </w:t>
      </w:r>
      <w:r w:rsidR="00FD09D0">
        <w:t>that parents’ employment</w:t>
      </w:r>
      <w:r>
        <w:t xml:space="preserve"> </w:t>
      </w:r>
      <w:r w:rsidR="00FD09D0">
        <w:t xml:space="preserve">has </w:t>
      </w:r>
      <w:r>
        <w:t>on children in a family.</w:t>
      </w:r>
      <w:bookmarkStart w:id="7" w:name="_bookmark2"/>
      <w:bookmarkStart w:id="8" w:name="_bookmark4"/>
      <w:bookmarkEnd w:id="7"/>
      <w:bookmarkEnd w:id="8"/>
      <w:r>
        <w:t xml:space="preserve"> </w:t>
      </w:r>
      <w:r>
        <w:br w:type="page"/>
      </w:r>
    </w:p>
    <w:p w14:paraId="328DE5DE" w14:textId="77777777" w:rsidR="00896135" w:rsidRPr="0043478F" w:rsidRDefault="00896135" w:rsidP="00896135">
      <w:pPr>
        <w:pStyle w:val="Heading1"/>
      </w:pPr>
      <w:bookmarkStart w:id="9" w:name="_Toc54706215"/>
      <w:r>
        <w:lastRenderedPageBreak/>
        <w:t>Introduction</w:t>
      </w:r>
      <w:bookmarkEnd w:id="9"/>
    </w:p>
    <w:p w14:paraId="08B83FAE" w14:textId="77777777" w:rsidR="00896135" w:rsidRDefault="00896135" w:rsidP="005F08D9">
      <w:r>
        <w:t>Achieving improved outcomes for the economy and society, such as improvements in wellbeing and standards of living, must be balanced with the need for policy makers to contain public expenditure and manage budgets. District health board (DHB) expenditure is a significant component of the Crown’s balance sheet and operating budget, so the Ministers of Health and Finance have an interest in managing risks and cost pressures.</w:t>
      </w:r>
    </w:p>
    <w:p w14:paraId="1F6FBB5F" w14:textId="77777777" w:rsidR="00896135" w:rsidRDefault="00896135" w:rsidP="005F08D9"/>
    <w:p w14:paraId="1C73F817" w14:textId="341DED4D" w:rsidR="00896135" w:rsidRDefault="00896135" w:rsidP="005F08D9">
      <w:r>
        <w:t>Often the health sector is seen as a drain on the economy rather than being essential to a stable, functioning economy. One of the goals of the World Health Organization (WHO) has been to shift the discourse towards health as an investment sector that is essential to social and economic wellbeing (Boyce and Brown 2019).</w:t>
      </w:r>
    </w:p>
    <w:p w14:paraId="28015642" w14:textId="77777777" w:rsidR="00896135" w:rsidRDefault="00896135" w:rsidP="005F08D9"/>
    <w:p w14:paraId="5656FBE4" w14:textId="7058A879" w:rsidR="00896135" w:rsidRDefault="00896135" w:rsidP="005F08D9">
      <w:r>
        <w:t>In July 2018, the Tallinn Charter</w:t>
      </w:r>
      <w:r w:rsidR="00F2724A">
        <w:t>:</w:t>
      </w:r>
      <w:r>
        <w:t xml:space="preserve"> Health Systems </w:t>
      </w:r>
      <w:r w:rsidR="00F2724A">
        <w:t xml:space="preserve">for </w:t>
      </w:r>
      <w:r>
        <w:t xml:space="preserve">Health and Wealth was revised and it was concluded that there is a need to </w:t>
      </w:r>
      <w:r w:rsidR="00DD1B27">
        <w:t>‘</w:t>
      </w:r>
      <w:r>
        <w:t>intensify efforts to bring health and finance decision-makers together around shared goals by taking note of public finance objectives and correspondingly demonstrating the economic and social returns of investing in health systems</w:t>
      </w:r>
      <w:r w:rsidR="00DD1B27">
        <w:t>’</w:t>
      </w:r>
      <w:r>
        <w:t xml:space="preserve"> (Boyce and Brown 2019).</w:t>
      </w:r>
    </w:p>
    <w:p w14:paraId="620A3277" w14:textId="77777777" w:rsidR="00896135" w:rsidRDefault="00896135" w:rsidP="005F08D9"/>
    <w:p w14:paraId="77D51437" w14:textId="4FB924E0" w:rsidR="00DD1B27" w:rsidRDefault="00896135" w:rsidP="005F08D9">
      <w:r>
        <w:t xml:space="preserve">The COVID-19 crisis has put New Zealand’s health and disability system, and the workforce within it, under the spotlight. </w:t>
      </w:r>
      <w:r w:rsidR="00DD1B27">
        <w:t>T</w:t>
      </w:r>
      <w:r>
        <w:t>he New Zealand Prime Minister noted at a press conference on 12 May 2020</w:t>
      </w:r>
      <w:r w:rsidR="00DD1B27">
        <w:t>:</w:t>
      </w:r>
    </w:p>
    <w:p w14:paraId="0CC876FA" w14:textId="77777777" w:rsidR="005F08D9" w:rsidRDefault="005F08D9" w:rsidP="005F08D9"/>
    <w:p w14:paraId="3C3EFADD" w14:textId="0063F81C" w:rsidR="00896135" w:rsidRDefault="00DD1B27" w:rsidP="005F08D9">
      <w:pPr>
        <w:pStyle w:val="Quote"/>
        <w:ind w:left="720"/>
      </w:pPr>
      <w:r>
        <w:t>T</w:t>
      </w:r>
      <w:r w:rsidR="00896135">
        <w:t>he lesson from COVID-19 is that we need to be prepared and that a strong health response is the best way to protect jobs and, of course, ultimately, be in a position to get our economy moving again</w:t>
      </w:r>
      <w:r>
        <w:t xml:space="preserve"> </w:t>
      </w:r>
      <w:r w:rsidR="00896135">
        <w:t>…</w:t>
      </w:r>
      <w:r>
        <w:t xml:space="preserve"> </w:t>
      </w:r>
      <w:r w:rsidR="00896135">
        <w:t>it pays to have a world class health system in place to deal with [a pandemic]. In fact, that is a commitment we should be making all the time to New Zealanders.</w:t>
      </w:r>
    </w:p>
    <w:p w14:paraId="572ABEE2" w14:textId="16320A17" w:rsidR="00896135" w:rsidRDefault="00896135" w:rsidP="00896135">
      <w:pPr>
        <w:pStyle w:val="Heading2"/>
      </w:pPr>
      <w:bookmarkStart w:id="10" w:name="_Toc54706216"/>
      <w:r>
        <w:t xml:space="preserve">Purpose of </w:t>
      </w:r>
      <w:r w:rsidR="00DD1B27">
        <w:t xml:space="preserve">this </w:t>
      </w:r>
      <w:r>
        <w:t>report</w:t>
      </w:r>
      <w:bookmarkEnd w:id="10"/>
    </w:p>
    <w:p w14:paraId="1DE9D2B3" w14:textId="77777777" w:rsidR="00896135" w:rsidRDefault="00896135" w:rsidP="005F08D9">
      <w:pPr>
        <w:rPr>
          <w:rFonts w:eastAsia="Arial Unicode MS"/>
        </w:rPr>
      </w:pPr>
      <w:r>
        <w:rPr>
          <w:rFonts w:eastAsia="Arial Unicode MS"/>
        </w:rPr>
        <w:t xml:space="preserve">The Health Workforce Advisory Board commissioned this report to better understand the costs of employing a health workforce in New Zealand and the value of employment in the health sector. </w:t>
      </w:r>
    </w:p>
    <w:p w14:paraId="2E44D467" w14:textId="77777777" w:rsidR="00896135" w:rsidRDefault="00896135" w:rsidP="005F08D9">
      <w:pPr>
        <w:rPr>
          <w:rFonts w:eastAsia="Arial Unicode MS"/>
        </w:rPr>
      </w:pPr>
    </w:p>
    <w:p w14:paraId="21952FD0" w14:textId="18B9C583" w:rsidR="00896135" w:rsidRDefault="00896135" w:rsidP="005F08D9">
      <w:pPr>
        <w:rPr>
          <w:rFonts w:eastAsia="Arial Unicode MS"/>
        </w:rPr>
      </w:pPr>
      <w:r>
        <w:rPr>
          <w:rFonts w:eastAsia="Arial Unicode MS"/>
        </w:rPr>
        <w:t xml:space="preserve">The principal benefits of the health system flow from improved population health and broader wellbeing (and these benefits are widely accepted and expected to be substantial). This </w:t>
      </w:r>
      <w:r w:rsidR="00FD09D0">
        <w:rPr>
          <w:rFonts w:eastAsia="Arial Unicode MS"/>
        </w:rPr>
        <w:t xml:space="preserve">paper </w:t>
      </w:r>
      <w:r>
        <w:rPr>
          <w:rFonts w:eastAsia="Arial Unicode MS"/>
        </w:rPr>
        <w:t>expands on these benefits by also considering the following effects of health sector employment, where possible, from the literature available:</w:t>
      </w:r>
    </w:p>
    <w:p w14:paraId="73580178" w14:textId="29DAFA6E" w:rsidR="00896135" w:rsidRDefault="00DD1B27" w:rsidP="005F08D9">
      <w:pPr>
        <w:pStyle w:val="Bullet"/>
        <w:rPr>
          <w:rFonts w:eastAsia="Arial Unicode MS"/>
        </w:rPr>
      </w:pPr>
      <w:r>
        <w:rPr>
          <w:rFonts w:eastAsia="Arial Unicode MS"/>
        </w:rPr>
        <w:t xml:space="preserve">broader </w:t>
      </w:r>
      <w:r w:rsidR="00896135">
        <w:rPr>
          <w:rFonts w:eastAsia="Arial Unicode MS"/>
        </w:rPr>
        <w:t>economic benefits flowing from the health workforce and the health system more generally</w:t>
      </w:r>
    </w:p>
    <w:p w14:paraId="123D60AB" w14:textId="50C610B4" w:rsidR="00896135" w:rsidRDefault="00DD1B27" w:rsidP="005F08D9">
      <w:pPr>
        <w:pStyle w:val="Bullet"/>
        <w:rPr>
          <w:rFonts w:eastAsia="Arial Unicode MS"/>
        </w:rPr>
      </w:pPr>
      <w:r>
        <w:rPr>
          <w:rFonts w:eastAsia="Arial Unicode MS"/>
        </w:rPr>
        <w:t xml:space="preserve">the </w:t>
      </w:r>
      <w:r w:rsidR="00896135">
        <w:rPr>
          <w:rFonts w:eastAsia="Arial Unicode MS"/>
        </w:rPr>
        <w:t>personal psychological and social benefits of employment in the health sector</w:t>
      </w:r>
    </w:p>
    <w:p w14:paraId="57B22E33" w14:textId="342CE90B" w:rsidR="00896135" w:rsidRPr="008033B2" w:rsidRDefault="00DD1B27" w:rsidP="005F08D9">
      <w:pPr>
        <w:pStyle w:val="Bullet"/>
        <w:rPr>
          <w:rFonts w:eastAsia="Arial Unicode MS"/>
        </w:rPr>
      </w:pPr>
      <w:r w:rsidRPr="008033B2">
        <w:rPr>
          <w:rFonts w:eastAsia="Arial Unicode MS"/>
        </w:rPr>
        <w:t xml:space="preserve">benefits </w:t>
      </w:r>
      <w:r w:rsidR="00896135" w:rsidRPr="008033B2">
        <w:rPr>
          <w:rFonts w:eastAsia="Arial Unicode MS"/>
        </w:rPr>
        <w:t xml:space="preserve">to family and </w:t>
      </w:r>
      <w:r w:rsidR="00896135">
        <w:rPr>
          <w:rFonts w:eastAsia="Arial Unicode MS"/>
        </w:rPr>
        <w:t>whānau</w:t>
      </w:r>
      <w:r w:rsidR="00896135" w:rsidRPr="008033B2">
        <w:rPr>
          <w:rFonts w:eastAsia="Arial Unicode MS"/>
        </w:rPr>
        <w:t xml:space="preserve"> of having a family member employed in the health sector.</w:t>
      </w:r>
    </w:p>
    <w:p w14:paraId="69A34F90" w14:textId="77777777" w:rsidR="00896135" w:rsidRDefault="00896135" w:rsidP="00896135"/>
    <w:p w14:paraId="39303CE0" w14:textId="7776DD00" w:rsidR="00896135" w:rsidRDefault="00896135" w:rsidP="00896135">
      <w:r>
        <w:t>This paper provides evidence on the economic and social returns of investing in the health and disability workforce to provide a basis for health and financial decision</w:t>
      </w:r>
      <w:r w:rsidR="00DD1B27">
        <w:t xml:space="preserve"> </w:t>
      </w:r>
      <w:r>
        <w:t>makers to work together around shared goals and public finance objectives. The intent is to enable a stronger dialogue with the Minister of Finance and Treasury about the contribution made by</w:t>
      </w:r>
      <w:r w:rsidR="00FD09D0">
        <w:t xml:space="preserve"> the</w:t>
      </w:r>
      <w:r>
        <w:t xml:space="preserve"> health system and its workforce to reducing social and economic exclusion and to growing the economy.</w:t>
      </w:r>
    </w:p>
    <w:p w14:paraId="0A9C36FE" w14:textId="77777777" w:rsidR="00896135" w:rsidRDefault="00896135" w:rsidP="00896135"/>
    <w:p w14:paraId="25F66B0B" w14:textId="77777777" w:rsidR="00896135" w:rsidRDefault="00896135" w:rsidP="00896135">
      <w:r>
        <w:t>The first section of the paper provides an overview of the health workforce in terms of the number of full-time equivalent workers, the age and ethnic composition of the workforce, and the numbers working in different occupations. The paper then looks at the cost of the health and disability workforce, including an analysis of salary cost by occupation for those employed by the 20 DHBs and an estimate of the salary cost of non-DHB employed health care workers.</w:t>
      </w:r>
    </w:p>
    <w:p w14:paraId="79754462" w14:textId="77777777" w:rsidR="00896135" w:rsidRDefault="00896135" w:rsidP="00896135"/>
    <w:p w14:paraId="22CD5711" w14:textId="77777777" w:rsidR="00896135" w:rsidRDefault="00896135" w:rsidP="00896135">
      <w:r>
        <w:t xml:space="preserve">The second section of the paper provides a summary of the literature and recent discussions on the impacts of health employment on the economy and society. Several pathways are explored through which employment in the health sector contributes to economic growth and social cohesion. </w:t>
      </w:r>
    </w:p>
    <w:p w14:paraId="3A91FD92" w14:textId="77777777" w:rsidR="00896135" w:rsidRDefault="00896135" w:rsidP="00896135"/>
    <w:p w14:paraId="0DB98E14" w14:textId="77777777" w:rsidR="00896135" w:rsidRDefault="00896135" w:rsidP="00896135">
      <w:r>
        <w:t>The literature is very limited on the impacts of employment in the health sector on families and wh</w:t>
      </w:r>
      <w:r>
        <w:rPr>
          <w:rFonts w:cs="Segoe UI"/>
        </w:rPr>
        <w:t>ā</w:t>
      </w:r>
      <w:r>
        <w:t>nau, but a few studies are discussed. This is an area where further research is needed.</w:t>
      </w:r>
    </w:p>
    <w:p w14:paraId="228C460C" w14:textId="77777777" w:rsidR="00896135" w:rsidRDefault="00896135" w:rsidP="00896135"/>
    <w:p w14:paraId="01890BFE" w14:textId="77777777" w:rsidR="00896135" w:rsidRDefault="00896135" w:rsidP="00896135"/>
    <w:p w14:paraId="019DD017" w14:textId="77777777" w:rsidR="00896135" w:rsidRDefault="00896135" w:rsidP="00896135">
      <w:pPr>
        <w:pStyle w:val="Heading1"/>
        <w:rPr>
          <w:spacing w:val="0"/>
        </w:rPr>
      </w:pPr>
      <w:r>
        <w:rPr>
          <w:spacing w:val="0"/>
        </w:rPr>
        <w:br w:type="page"/>
      </w:r>
    </w:p>
    <w:p w14:paraId="1E44BA68" w14:textId="77777777" w:rsidR="00896135" w:rsidRPr="005F08D9" w:rsidRDefault="00896135" w:rsidP="005F08D9">
      <w:pPr>
        <w:pStyle w:val="Heading1"/>
      </w:pPr>
      <w:bookmarkStart w:id="11" w:name="_Toc54706217"/>
      <w:r w:rsidRPr="005F08D9">
        <w:lastRenderedPageBreak/>
        <w:t>New Zealand health and disability workforce</w:t>
      </w:r>
      <w:bookmarkEnd w:id="11"/>
    </w:p>
    <w:p w14:paraId="4DAFE1A9" w14:textId="77777777" w:rsidR="00896135" w:rsidRDefault="00896135" w:rsidP="00896135">
      <w:pPr>
        <w:pStyle w:val="Heading2"/>
      </w:pPr>
      <w:bookmarkStart w:id="12" w:name="_Toc54706218"/>
      <w:r>
        <w:t>The health care and social assistance sector is the largest industry employer in New Zealand</w:t>
      </w:r>
      <w:bookmarkEnd w:id="12"/>
    </w:p>
    <w:p w14:paraId="6F70F296" w14:textId="05FE3E52" w:rsidR="00896135" w:rsidRDefault="00896135" w:rsidP="00896135">
      <w:r>
        <w:t>In December 2019</w:t>
      </w:r>
      <w:r w:rsidR="0055002A">
        <w:t>,</w:t>
      </w:r>
      <w:r>
        <w:t xml:space="preserve"> 246,500 people</w:t>
      </w:r>
      <w:r w:rsidR="0055002A" w:rsidRPr="0055002A">
        <w:t xml:space="preserve"> </w:t>
      </w:r>
      <w:r w:rsidR="0055002A">
        <w:t>were</w:t>
      </w:r>
      <w:r>
        <w:t xml:space="preserve"> employed in the health care and social assistance sector.</w:t>
      </w:r>
      <w:r w:rsidR="00CD5E59">
        <w:rPr>
          <w:rStyle w:val="FootnoteReference"/>
        </w:rPr>
        <w:footnoteReference w:id="1"/>
      </w:r>
      <w:r>
        <w:t xml:space="preserve"> </w:t>
      </w:r>
      <w:r w:rsidR="004E2E88">
        <w:t>T</w:t>
      </w:r>
      <w:r>
        <w:t>his</w:t>
      </w:r>
      <w:r w:rsidR="004E2E88">
        <w:t xml:space="preserve"> included</w:t>
      </w:r>
      <w:r>
        <w:t xml:space="preserve"> 213,100 people employed in hospitals, medical and other health care services</w:t>
      </w:r>
      <w:r w:rsidR="004E2E88">
        <w:t>,</w:t>
      </w:r>
      <w:r>
        <w:t xml:space="preserve"> and residential care services. </w:t>
      </w:r>
      <w:r w:rsidR="004E2E88">
        <w:t xml:space="preserve">The remaining </w:t>
      </w:r>
      <w:r>
        <w:t>33,400 were employed in social assistance services. The health care and social assistance sector is the largest employer in the country by industry sector and represents 11% of all those employed in industries across New Zealand.</w:t>
      </w:r>
    </w:p>
    <w:p w14:paraId="5B175316" w14:textId="77777777" w:rsidR="00896135" w:rsidRDefault="00896135" w:rsidP="00896135"/>
    <w:p w14:paraId="28DB50BB" w14:textId="2255CFDE" w:rsidR="00896135" w:rsidRDefault="00F12314" w:rsidP="00896135">
      <w:r w:rsidRPr="00F12314">
        <w:fldChar w:fldCharType="begin"/>
      </w:r>
      <w:r w:rsidRPr="00F12314">
        <w:instrText xml:space="preserve"> REF _Ref54198560 \h  \* MERGEFORMAT </w:instrText>
      </w:r>
      <w:r w:rsidRPr="00F12314">
        <w:fldChar w:fldCharType="separate"/>
      </w:r>
      <w:r w:rsidR="00884C99" w:rsidRPr="002A29A0">
        <w:rPr>
          <w:rFonts w:eastAsia="Arial"/>
        </w:rPr>
        <w:t xml:space="preserve">Table </w:t>
      </w:r>
      <w:r w:rsidR="00884C99">
        <w:rPr>
          <w:rFonts w:eastAsia="Arial"/>
          <w:noProof/>
        </w:rPr>
        <w:t>1</w:t>
      </w:r>
      <w:r w:rsidRPr="00F12314">
        <w:fldChar w:fldCharType="end"/>
      </w:r>
      <w:r w:rsidR="00896135" w:rsidRPr="00F12314">
        <w:t xml:space="preserve"> </w:t>
      </w:r>
      <w:r w:rsidR="00896135">
        <w:t>provides a regional perspective of the number employed in the health care and social assistance sector. It also shows how the health care and social assistance sector ranks in terms of employee numbers compared with other industries. In five regions, (Northland, Bay of Plenty, Gisborne, Manawatu-Wanganui and Nelson), the health care and social assistance sector is the largest employer.</w:t>
      </w:r>
    </w:p>
    <w:p w14:paraId="00B4D254" w14:textId="77777777" w:rsidR="00896135" w:rsidRDefault="00896135" w:rsidP="00896135"/>
    <w:p w14:paraId="33F5A36D" w14:textId="77777777" w:rsidR="00896135" w:rsidRDefault="00896135" w:rsidP="00896135">
      <w:pPr>
        <w:pStyle w:val="Caption"/>
        <w:rPr>
          <w:rFonts w:eastAsia="Arial"/>
          <w:b/>
          <w:i w:val="0"/>
          <w:iCs w:val="0"/>
          <w:color w:val="auto"/>
          <w:sz w:val="20"/>
          <w:szCs w:val="20"/>
        </w:rPr>
      </w:pPr>
      <w:r>
        <w:rPr>
          <w:rFonts w:eastAsia="Arial"/>
          <w:b/>
          <w:i w:val="0"/>
          <w:iCs w:val="0"/>
          <w:color w:val="auto"/>
          <w:sz w:val="20"/>
          <w:szCs w:val="20"/>
        </w:rPr>
        <w:br w:type="page"/>
      </w:r>
    </w:p>
    <w:p w14:paraId="718B6E4D" w14:textId="2866CC9F" w:rsidR="00896135" w:rsidRPr="002A29A0" w:rsidRDefault="00896135" w:rsidP="00F12314">
      <w:pPr>
        <w:pStyle w:val="Table"/>
        <w:rPr>
          <w:rFonts w:eastAsia="Arial"/>
        </w:rPr>
      </w:pPr>
      <w:bookmarkStart w:id="13" w:name="_Ref54198560"/>
      <w:bookmarkStart w:id="14" w:name="_Toc54706249"/>
      <w:r w:rsidRPr="002A29A0">
        <w:rPr>
          <w:rFonts w:eastAsia="Arial"/>
        </w:rPr>
        <w:lastRenderedPageBreak/>
        <w:t xml:space="preserve">Table </w:t>
      </w:r>
      <w:r w:rsidRPr="002A29A0">
        <w:rPr>
          <w:rFonts w:eastAsia="Arial"/>
        </w:rPr>
        <w:fldChar w:fldCharType="begin"/>
      </w:r>
      <w:r w:rsidRPr="002A29A0">
        <w:rPr>
          <w:rFonts w:eastAsia="Arial"/>
        </w:rPr>
        <w:instrText xml:space="preserve"> SEQ Table \* ARABIC </w:instrText>
      </w:r>
      <w:r w:rsidRPr="002A29A0">
        <w:rPr>
          <w:rFonts w:eastAsia="Arial"/>
        </w:rPr>
        <w:fldChar w:fldCharType="separate"/>
      </w:r>
      <w:r w:rsidR="00884C99">
        <w:rPr>
          <w:rFonts w:eastAsia="Arial"/>
          <w:noProof/>
        </w:rPr>
        <w:t>1</w:t>
      </w:r>
      <w:r w:rsidRPr="002A29A0">
        <w:rPr>
          <w:rFonts w:eastAsia="Arial"/>
        </w:rPr>
        <w:fldChar w:fldCharType="end"/>
      </w:r>
      <w:bookmarkEnd w:id="13"/>
      <w:r w:rsidRPr="002A29A0">
        <w:rPr>
          <w:rFonts w:eastAsia="Arial"/>
        </w:rPr>
        <w:t xml:space="preserve">: </w:t>
      </w:r>
      <w:r>
        <w:rPr>
          <w:rFonts w:eastAsia="Arial"/>
        </w:rPr>
        <w:t>Number employed in the h</w:t>
      </w:r>
      <w:r w:rsidRPr="002A29A0">
        <w:rPr>
          <w:rFonts w:eastAsia="Arial"/>
        </w:rPr>
        <w:t>ealth care and social assistance sector by region</w:t>
      </w:r>
      <w:bookmarkEnd w:id="14"/>
      <w:r w:rsidRPr="002A29A0">
        <w:rPr>
          <w:rFonts w:eastAsia="Arial"/>
        </w:rPr>
        <w:t xml:space="preserve"> </w:t>
      </w:r>
    </w:p>
    <w:tbl>
      <w:tblPr>
        <w:tblW w:w="8466"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5"/>
        <w:gridCol w:w="1637"/>
        <w:gridCol w:w="1394"/>
        <w:gridCol w:w="1853"/>
        <w:gridCol w:w="1597"/>
      </w:tblGrid>
      <w:tr w:rsidR="00896135" w:rsidRPr="006C7B5B" w14:paraId="6CA03A97" w14:textId="77777777" w:rsidTr="005F08D9">
        <w:trPr>
          <w:trHeight w:val="864"/>
        </w:trPr>
        <w:tc>
          <w:tcPr>
            <w:tcW w:w="1985" w:type="dxa"/>
            <w:shd w:val="clear" w:color="auto" w:fill="D9D9D9" w:themeFill="background1" w:themeFillShade="D9"/>
            <w:noWrap/>
            <w:hideMark/>
          </w:tcPr>
          <w:p w14:paraId="0D138649" w14:textId="77777777" w:rsidR="00896135" w:rsidRPr="008E7244" w:rsidRDefault="00896135" w:rsidP="008E7244">
            <w:pPr>
              <w:pStyle w:val="TableText"/>
              <w:rPr>
                <w:b/>
              </w:rPr>
            </w:pPr>
            <w:r w:rsidRPr="008E7244">
              <w:rPr>
                <w:b/>
              </w:rPr>
              <w:t>Region</w:t>
            </w:r>
          </w:p>
        </w:tc>
        <w:tc>
          <w:tcPr>
            <w:tcW w:w="1637" w:type="dxa"/>
            <w:shd w:val="clear" w:color="auto" w:fill="D9D9D9" w:themeFill="background1" w:themeFillShade="D9"/>
            <w:hideMark/>
          </w:tcPr>
          <w:p w14:paraId="41135598" w14:textId="77777777" w:rsidR="00896135" w:rsidRPr="008E7244" w:rsidRDefault="00896135" w:rsidP="00F12314">
            <w:pPr>
              <w:pStyle w:val="TableText"/>
              <w:jc w:val="right"/>
              <w:rPr>
                <w:b/>
              </w:rPr>
            </w:pPr>
            <w:r w:rsidRPr="008E7244">
              <w:rPr>
                <w:b/>
              </w:rPr>
              <w:t>Health care and social assistance sector employee count</w:t>
            </w:r>
          </w:p>
        </w:tc>
        <w:tc>
          <w:tcPr>
            <w:tcW w:w="1394" w:type="dxa"/>
            <w:shd w:val="clear" w:color="auto" w:fill="D9D9D9" w:themeFill="background1" w:themeFillShade="D9"/>
            <w:hideMark/>
          </w:tcPr>
          <w:p w14:paraId="1DC76F1A" w14:textId="77777777" w:rsidR="00896135" w:rsidRPr="008E7244" w:rsidRDefault="00896135" w:rsidP="00F12314">
            <w:pPr>
              <w:pStyle w:val="TableText"/>
              <w:jc w:val="right"/>
              <w:rPr>
                <w:b/>
              </w:rPr>
            </w:pPr>
            <w:r w:rsidRPr="008E7244">
              <w:rPr>
                <w:b/>
              </w:rPr>
              <w:t>Total industry employee count</w:t>
            </w:r>
          </w:p>
        </w:tc>
        <w:tc>
          <w:tcPr>
            <w:tcW w:w="1853" w:type="dxa"/>
            <w:shd w:val="clear" w:color="auto" w:fill="D9D9D9" w:themeFill="background1" w:themeFillShade="D9"/>
            <w:hideMark/>
          </w:tcPr>
          <w:p w14:paraId="06FE0BD8" w14:textId="77777777" w:rsidR="00896135" w:rsidRPr="008E7244" w:rsidRDefault="00896135" w:rsidP="00F12314">
            <w:pPr>
              <w:pStyle w:val="TableText"/>
              <w:jc w:val="right"/>
              <w:rPr>
                <w:b/>
              </w:rPr>
            </w:pPr>
            <w:r w:rsidRPr="008E7244">
              <w:rPr>
                <w:b/>
              </w:rPr>
              <w:t>Percentage of region employed by health care and social assistance sector</w:t>
            </w:r>
          </w:p>
        </w:tc>
        <w:tc>
          <w:tcPr>
            <w:tcW w:w="1597" w:type="dxa"/>
            <w:shd w:val="clear" w:color="auto" w:fill="D9D9D9" w:themeFill="background1" w:themeFillShade="D9"/>
            <w:hideMark/>
          </w:tcPr>
          <w:p w14:paraId="5B191750" w14:textId="77777777" w:rsidR="00896135" w:rsidRPr="008E7244" w:rsidRDefault="00896135" w:rsidP="00F12314">
            <w:pPr>
              <w:pStyle w:val="TableText"/>
              <w:jc w:val="right"/>
              <w:rPr>
                <w:b/>
              </w:rPr>
            </w:pPr>
            <w:r w:rsidRPr="008E7244">
              <w:rPr>
                <w:b/>
              </w:rPr>
              <w:t>Industry rank by number of employees in the region</w:t>
            </w:r>
          </w:p>
        </w:tc>
      </w:tr>
      <w:tr w:rsidR="00896135" w:rsidRPr="006C7B5B" w14:paraId="43AF5876" w14:textId="77777777" w:rsidTr="005F08D9">
        <w:trPr>
          <w:trHeight w:val="288"/>
        </w:trPr>
        <w:tc>
          <w:tcPr>
            <w:tcW w:w="1985" w:type="dxa"/>
            <w:shd w:val="clear" w:color="auto" w:fill="auto"/>
            <w:noWrap/>
            <w:hideMark/>
          </w:tcPr>
          <w:p w14:paraId="59F4AD96" w14:textId="77777777" w:rsidR="00896135" w:rsidRPr="00A053D0" w:rsidRDefault="00896135" w:rsidP="008E7244">
            <w:pPr>
              <w:pStyle w:val="TableText"/>
            </w:pPr>
            <w:r w:rsidRPr="00A053D0">
              <w:t>Northland</w:t>
            </w:r>
          </w:p>
        </w:tc>
        <w:tc>
          <w:tcPr>
            <w:tcW w:w="1637" w:type="dxa"/>
            <w:shd w:val="clear" w:color="auto" w:fill="auto"/>
            <w:noWrap/>
            <w:hideMark/>
          </w:tcPr>
          <w:p w14:paraId="1AB441B7" w14:textId="77777777" w:rsidR="00896135" w:rsidRPr="00A053D0" w:rsidRDefault="00896135" w:rsidP="00F12314">
            <w:pPr>
              <w:pStyle w:val="TableText"/>
              <w:jc w:val="right"/>
            </w:pPr>
            <w:r w:rsidRPr="00A053D0">
              <w:t>9,700</w:t>
            </w:r>
          </w:p>
        </w:tc>
        <w:tc>
          <w:tcPr>
            <w:tcW w:w="1394" w:type="dxa"/>
            <w:shd w:val="clear" w:color="auto" w:fill="auto"/>
            <w:noWrap/>
            <w:hideMark/>
          </w:tcPr>
          <w:p w14:paraId="1049C461" w14:textId="77777777" w:rsidR="00896135" w:rsidRPr="00A053D0" w:rsidRDefault="00896135" w:rsidP="00F12314">
            <w:pPr>
              <w:pStyle w:val="TableText"/>
              <w:jc w:val="right"/>
            </w:pPr>
            <w:r w:rsidRPr="00A053D0">
              <w:t>62,700</w:t>
            </w:r>
          </w:p>
        </w:tc>
        <w:tc>
          <w:tcPr>
            <w:tcW w:w="1853" w:type="dxa"/>
            <w:shd w:val="clear" w:color="auto" w:fill="auto"/>
            <w:noWrap/>
            <w:hideMark/>
          </w:tcPr>
          <w:p w14:paraId="78FF67DF" w14:textId="77777777" w:rsidR="00896135" w:rsidRPr="00A053D0" w:rsidRDefault="00896135" w:rsidP="00F12314">
            <w:pPr>
              <w:pStyle w:val="TableText"/>
              <w:jc w:val="right"/>
            </w:pPr>
            <w:r w:rsidRPr="00A053D0">
              <w:t>15%</w:t>
            </w:r>
          </w:p>
        </w:tc>
        <w:tc>
          <w:tcPr>
            <w:tcW w:w="1597" w:type="dxa"/>
            <w:shd w:val="clear" w:color="auto" w:fill="auto"/>
            <w:noWrap/>
            <w:hideMark/>
          </w:tcPr>
          <w:p w14:paraId="7940BD69" w14:textId="77777777" w:rsidR="00896135" w:rsidRPr="00A053D0" w:rsidRDefault="00896135" w:rsidP="00F12314">
            <w:pPr>
              <w:pStyle w:val="TableText"/>
              <w:jc w:val="right"/>
            </w:pPr>
            <w:r w:rsidRPr="00A053D0">
              <w:t>1st</w:t>
            </w:r>
          </w:p>
        </w:tc>
      </w:tr>
      <w:tr w:rsidR="00896135" w:rsidRPr="006C7B5B" w14:paraId="73FE6646" w14:textId="77777777" w:rsidTr="005F08D9">
        <w:trPr>
          <w:trHeight w:val="288"/>
        </w:trPr>
        <w:tc>
          <w:tcPr>
            <w:tcW w:w="1985" w:type="dxa"/>
            <w:shd w:val="clear" w:color="auto" w:fill="auto"/>
            <w:noWrap/>
            <w:hideMark/>
          </w:tcPr>
          <w:p w14:paraId="38E16F53" w14:textId="77777777" w:rsidR="00896135" w:rsidRPr="00A053D0" w:rsidRDefault="00896135" w:rsidP="008E7244">
            <w:pPr>
              <w:pStyle w:val="TableText"/>
            </w:pPr>
            <w:r w:rsidRPr="00A053D0">
              <w:t>Auckland</w:t>
            </w:r>
          </w:p>
        </w:tc>
        <w:tc>
          <w:tcPr>
            <w:tcW w:w="1637" w:type="dxa"/>
            <w:shd w:val="clear" w:color="auto" w:fill="auto"/>
            <w:noWrap/>
            <w:hideMark/>
          </w:tcPr>
          <w:p w14:paraId="3B788F6E" w14:textId="77777777" w:rsidR="00896135" w:rsidRPr="00A053D0" w:rsidRDefault="00896135" w:rsidP="00F12314">
            <w:pPr>
              <w:pStyle w:val="TableText"/>
              <w:jc w:val="right"/>
            </w:pPr>
            <w:r w:rsidRPr="00A053D0">
              <w:t>75,300</w:t>
            </w:r>
          </w:p>
        </w:tc>
        <w:tc>
          <w:tcPr>
            <w:tcW w:w="1394" w:type="dxa"/>
            <w:shd w:val="clear" w:color="auto" w:fill="auto"/>
            <w:noWrap/>
            <w:hideMark/>
          </w:tcPr>
          <w:p w14:paraId="1B23455B" w14:textId="77777777" w:rsidR="00896135" w:rsidRPr="00A053D0" w:rsidRDefault="00896135" w:rsidP="00F12314">
            <w:pPr>
              <w:pStyle w:val="TableText"/>
              <w:jc w:val="right"/>
            </w:pPr>
            <w:r w:rsidRPr="00A053D0">
              <w:t>799,100</w:t>
            </w:r>
          </w:p>
        </w:tc>
        <w:tc>
          <w:tcPr>
            <w:tcW w:w="1853" w:type="dxa"/>
            <w:shd w:val="clear" w:color="auto" w:fill="auto"/>
            <w:noWrap/>
            <w:hideMark/>
          </w:tcPr>
          <w:p w14:paraId="33287818" w14:textId="77777777" w:rsidR="00896135" w:rsidRPr="00A053D0" w:rsidRDefault="00896135" w:rsidP="00F12314">
            <w:pPr>
              <w:pStyle w:val="TableText"/>
              <w:jc w:val="right"/>
            </w:pPr>
            <w:r w:rsidRPr="00A053D0">
              <w:t>9%</w:t>
            </w:r>
          </w:p>
        </w:tc>
        <w:tc>
          <w:tcPr>
            <w:tcW w:w="1597" w:type="dxa"/>
            <w:shd w:val="clear" w:color="auto" w:fill="auto"/>
            <w:noWrap/>
            <w:hideMark/>
          </w:tcPr>
          <w:p w14:paraId="329407DD" w14:textId="77777777" w:rsidR="00896135" w:rsidRPr="00A053D0" w:rsidRDefault="00896135" w:rsidP="00F12314">
            <w:pPr>
              <w:pStyle w:val="TableText"/>
              <w:jc w:val="right"/>
            </w:pPr>
            <w:r w:rsidRPr="00A053D0">
              <w:t>3rd</w:t>
            </w:r>
          </w:p>
        </w:tc>
      </w:tr>
      <w:tr w:rsidR="00896135" w:rsidRPr="006C7B5B" w14:paraId="2C9F6570" w14:textId="77777777" w:rsidTr="005F08D9">
        <w:trPr>
          <w:trHeight w:val="288"/>
        </w:trPr>
        <w:tc>
          <w:tcPr>
            <w:tcW w:w="1985" w:type="dxa"/>
            <w:shd w:val="clear" w:color="auto" w:fill="auto"/>
            <w:noWrap/>
            <w:hideMark/>
          </w:tcPr>
          <w:p w14:paraId="01A68617" w14:textId="77777777" w:rsidR="00896135" w:rsidRPr="00A053D0" w:rsidRDefault="00896135" w:rsidP="008E7244">
            <w:pPr>
              <w:pStyle w:val="TableText"/>
            </w:pPr>
            <w:r w:rsidRPr="00A053D0">
              <w:t>Waikato</w:t>
            </w:r>
          </w:p>
        </w:tc>
        <w:tc>
          <w:tcPr>
            <w:tcW w:w="1637" w:type="dxa"/>
            <w:shd w:val="clear" w:color="auto" w:fill="auto"/>
            <w:noWrap/>
            <w:hideMark/>
          </w:tcPr>
          <w:p w14:paraId="6C72E12B" w14:textId="77777777" w:rsidR="00896135" w:rsidRPr="00A053D0" w:rsidRDefault="00896135" w:rsidP="00F12314">
            <w:pPr>
              <w:pStyle w:val="TableText"/>
              <w:jc w:val="right"/>
            </w:pPr>
            <w:r w:rsidRPr="00A053D0">
              <w:t>23,200</w:t>
            </w:r>
          </w:p>
        </w:tc>
        <w:tc>
          <w:tcPr>
            <w:tcW w:w="1394" w:type="dxa"/>
            <w:shd w:val="clear" w:color="auto" w:fill="auto"/>
            <w:noWrap/>
            <w:hideMark/>
          </w:tcPr>
          <w:p w14:paraId="0E350D09" w14:textId="77777777" w:rsidR="00896135" w:rsidRPr="00A053D0" w:rsidRDefault="00896135" w:rsidP="00F12314">
            <w:pPr>
              <w:pStyle w:val="TableText"/>
              <w:jc w:val="right"/>
            </w:pPr>
            <w:r w:rsidRPr="00A053D0">
              <w:t>199,800</w:t>
            </w:r>
          </w:p>
        </w:tc>
        <w:tc>
          <w:tcPr>
            <w:tcW w:w="1853" w:type="dxa"/>
            <w:shd w:val="clear" w:color="auto" w:fill="auto"/>
            <w:noWrap/>
            <w:hideMark/>
          </w:tcPr>
          <w:p w14:paraId="2441CC31" w14:textId="77777777" w:rsidR="00896135" w:rsidRPr="00A053D0" w:rsidRDefault="00896135" w:rsidP="00F12314">
            <w:pPr>
              <w:pStyle w:val="TableText"/>
              <w:jc w:val="right"/>
            </w:pPr>
            <w:r w:rsidRPr="00A053D0">
              <w:t>12%</w:t>
            </w:r>
          </w:p>
        </w:tc>
        <w:tc>
          <w:tcPr>
            <w:tcW w:w="1597" w:type="dxa"/>
            <w:shd w:val="clear" w:color="auto" w:fill="auto"/>
            <w:noWrap/>
            <w:hideMark/>
          </w:tcPr>
          <w:p w14:paraId="0B4336F1" w14:textId="77777777" w:rsidR="00896135" w:rsidRPr="00A053D0" w:rsidRDefault="00896135" w:rsidP="00F12314">
            <w:pPr>
              <w:pStyle w:val="TableText"/>
              <w:jc w:val="right"/>
            </w:pPr>
            <w:r w:rsidRPr="00A053D0">
              <w:t>2nd</w:t>
            </w:r>
          </w:p>
        </w:tc>
      </w:tr>
      <w:tr w:rsidR="00896135" w:rsidRPr="006C7B5B" w14:paraId="4D29CC70" w14:textId="77777777" w:rsidTr="005F08D9">
        <w:trPr>
          <w:trHeight w:val="288"/>
        </w:trPr>
        <w:tc>
          <w:tcPr>
            <w:tcW w:w="1985" w:type="dxa"/>
            <w:shd w:val="clear" w:color="auto" w:fill="auto"/>
            <w:noWrap/>
            <w:hideMark/>
          </w:tcPr>
          <w:p w14:paraId="7A0341C4" w14:textId="77777777" w:rsidR="00896135" w:rsidRPr="00A053D0" w:rsidRDefault="00896135" w:rsidP="008E7244">
            <w:pPr>
              <w:pStyle w:val="TableText"/>
            </w:pPr>
            <w:r w:rsidRPr="00A053D0">
              <w:t>Bay of Plenty</w:t>
            </w:r>
          </w:p>
        </w:tc>
        <w:tc>
          <w:tcPr>
            <w:tcW w:w="1637" w:type="dxa"/>
            <w:shd w:val="clear" w:color="auto" w:fill="auto"/>
            <w:noWrap/>
            <w:hideMark/>
          </w:tcPr>
          <w:p w14:paraId="69FEF25D" w14:textId="77777777" w:rsidR="00896135" w:rsidRPr="00A053D0" w:rsidRDefault="00896135" w:rsidP="00F12314">
            <w:pPr>
              <w:pStyle w:val="TableText"/>
              <w:jc w:val="right"/>
            </w:pPr>
            <w:r w:rsidRPr="00A053D0">
              <w:t>15,700</w:t>
            </w:r>
          </w:p>
        </w:tc>
        <w:tc>
          <w:tcPr>
            <w:tcW w:w="1394" w:type="dxa"/>
            <w:shd w:val="clear" w:color="auto" w:fill="auto"/>
            <w:noWrap/>
            <w:hideMark/>
          </w:tcPr>
          <w:p w14:paraId="74A4C4DB" w14:textId="77777777" w:rsidR="00896135" w:rsidRPr="00A053D0" w:rsidRDefault="00896135" w:rsidP="00F12314">
            <w:pPr>
              <w:pStyle w:val="TableText"/>
              <w:jc w:val="right"/>
            </w:pPr>
            <w:r w:rsidRPr="00A053D0">
              <w:t>135,900</w:t>
            </w:r>
          </w:p>
        </w:tc>
        <w:tc>
          <w:tcPr>
            <w:tcW w:w="1853" w:type="dxa"/>
            <w:shd w:val="clear" w:color="auto" w:fill="auto"/>
            <w:noWrap/>
            <w:hideMark/>
          </w:tcPr>
          <w:p w14:paraId="7020F50D" w14:textId="77777777" w:rsidR="00896135" w:rsidRPr="00A053D0" w:rsidRDefault="00896135" w:rsidP="00F12314">
            <w:pPr>
              <w:pStyle w:val="TableText"/>
              <w:jc w:val="right"/>
            </w:pPr>
            <w:r w:rsidRPr="00A053D0">
              <w:t>12%</w:t>
            </w:r>
          </w:p>
        </w:tc>
        <w:tc>
          <w:tcPr>
            <w:tcW w:w="1597" w:type="dxa"/>
            <w:shd w:val="clear" w:color="auto" w:fill="auto"/>
            <w:noWrap/>
            <w:hideMark/>
          </w:tcPr>
          <w:p w14:paraId="3B65D85A" w14:textId="77777777" w:rsidR="00896135" w:rsidRPr="00A053D0" w:rsidRDefault="00896135" w:rsidP="00F12314">
            <w:pPr>
              <w:pStyle w:val="TableText"/>
              <w:jc w:val="right"/>
            </w:pPr>
            <w:r w:rsidRPr="00A053D0">
              <w:t>1st</w:t>
            </w:r>
          </w:p>
        </w:tc>
      </w:tr>
      <w:tr w:rsidR="00896135" w:rsidRPr="006C7B5B" w14:paraId="2F9F7F4D" w14:textId="77777777" w:rsidTr="005F08D9">
        <w:trPr>
          <w:trHeight w:val="288"/>
        </w:trPr>
        <w:tc>
          <w:tcPr>
            <w:tcW w:w="1985" w:type="dxa"/>
            <w:shd w:val="clear" w:color="auto" w:fill="auto"/>
            <w:noWrap/>
            <w:hideMark/>
          </w:tcPr>
          <w:p w14:paraId="5794B310" w14:textId="77777777" w:rsidR="00896135" w:rsidRPr="00A053D0" w:rsidRDefault="00896135" w:rsidP="008E7244">
            <w:pPr>
              <w:pStyle w:val="TableText"/>
            </w:pPr>
            <w:r w:rsidRPr="00A053D0">
              <w:t>Gisborne</w:t>
            </w:r>
          </w:p>
        </w:tc>
        <w:tc>
          <w:tcPr>
            <w:tcW w:w="1637" w:type="dxa"/>
            <w:shd w:val="clear" w:color="auto" w:fill="auto"/>
            <w:noWrap/>
            <w:hideMark/>
          </w:tcPr>
          <w:p w14:paraId="7EA64680" w14:textId="77777777" w:rsidR="00896135" w:rsidRPr="00A053D0" w:rsidRDefault="00896135" w:rsidP="00F12314">
            <w:pPr>
              <w:pStyle w:val="TableText"/>
              <w:jc w:val="right"/>
            </w:pPr>
            <w:r w:rsidRPr="00A053D0">
              <w:t>2,700</w:t>
            </w:r>
          </w:p>
        </w:tc>
        <w:tc>
          <w:tcPr>
            <w:tcW w:w="1394" w:type="dxa"/>
            <w:shd w:val="clear" w:color="auto" w:fill="auto"/>
            <w:noWrap/>
            <w:hideMark/>
          </w:tcPr>
          <w:p w14:paraId="4BEB8699" w14:textId="77777777" w:rsidR="00896135" w:rsidRPr="00A053D0" w:rsidRDefault="00896135" w:rsidP="00F12314">
            <w:pPr>
              <w:pStyle w:val="TableText"/>
              <w:jc w:val="right"/>
            </w:pPr>
            <w:r w:rsidRPr="00A053D0">
              <w:t>21,900</w:t>
            </w:r>
          </w:p>
        </w:tc>
        <w:tc>
          <w:tcPr>
            <w:tcW w:w="1853" w:type="dxa"/>
            <w:shd w:val="clear" w:color="auto" w:fill="auto"/>
            <w:noWrap/>
            <w:hideMark/>
          </w:tcPr>
          <w:p w14:paraId="25977D37" w14:textId="77777777" w:rsidR="00896135" w:rsidRPr="00A053D0" w:rsidRDefault="00896135" w:rsidP="00F12314">
            <w:pPr>
              <w:pStyle w:val="TableText"/>
              <w:jc w:val="right"/>
            </w:pPr>
            <w:r w:rsidRPr="00A053D0">
              <w:t>12%</w:t>
            </w:r>
          </w:p>
        </w:tc>
        <w:tc>
          <w:tcPr>
            <w:tcW w:w="1597" w:type="dxa"/>
            <w:shd w:val="clear" w:color="auto" w:fill="auto"/>
            <w:noWrap/>
            <w:hideMark/>
          </w:tcPr>
          <w:p w14:paraId="3FAB7475" w14:textId="77777777" w:rsidR="00896135" w:rsidRPr="00A053D0" w:rsidRDefault="00896135" w:rsidP="00F12314">
            <w:pPr>
              <w:pStyle w:val="TableText"/>
              <w:jc w:val="right"/>
            </w:pPr>
            <w:r w:rsidRPr="00A053D0">
              <w:t>1st</w:t>
            </w:r>
          </w:p>
        </w:tc>
      </w:tr>
      <w:tr w:rsidR="00896135" w:rsidRPr="006C7B5B" w14:paraId="0634EC41" w14:textId="77777777" w:rsidTr="005F08D9">
        <w:trPr>
          <w:trHeight w:val="288"/>
        </w:trPr>
        <w:tc>
          <w:tcPr>
            <w:tcW w:w="1985" w:type="dxa"/>
            <w:shd w:val="clear" w:color="auto" w:fill="auto"/>
            <w:noWrap/>
            <w:hideMark/>
          </w:tcPr>
          <w:p w14:paraId="14E37BCD" w14:textId="77777777" w:rsidR="00896135" w:rsidRPr="00A053D0" w:rsidRDefault="00896135" w:rsidP="008E7244">
            <w:pPr>
              <w:pStyle w:val="TableText"/>
            </w:pPr>
            <w:r w:rsidRPr="00A053D0">
              <w:t>Hawke's Bay</w:t>
            </w:r>
          </w:p>
        </w:tc>
        <w:tc>
          <w:tcPr>
            <w:tcW w:w="1637" w:type="dxa"/>
            <w:shd w:val="clear" w:color="auto" w:fill="auto"/>
            <w:noWrap/>
            <w:hideMark/>
          </w:tcPr>
          <w:p w14:paraId="76111E3E" w14:textId="77777777" w:rsidR="00896135" w:rsidRPr="00A053D0" w:rsidRDefault="00896135" w:rsidP="00F12314">
            <w:pPr>
              <w:pStyle w:val="TableText"/>
              <w:jc w:val="right"/>
            </w:pPr>
            <w:r w:rsidRPr="00A053D0">
              <w:t>8,800</w:t>
            </w:r>
          </w:p>
        </w:tc>
        <w:tc>
          <w:tcPr>
            <w:tcW w:w="1394" w:type="dxa"/>
            <w:shd w:val="clear" w:color="auto" w:fill="auto"/>
            <w:noWrap/>
            <w:hideMark/>
          </w:tcPr>
          <w:p w14:paraId="09C22843" w14:textId="77777777" w:rsidR="00896135" w:rsidRPr="00A053D0" w:rsidRDefault="00896135" w:rsidP="00F12314">
            <w:pPr>
              <w:pStyle w:val="TableText"/>
              <w:jc w:val="right"/>
            </w:pPr>
            <w:r w:rsidRPr="00A053D0">
              <w:t>82,000</w:t>
            </w:r>
          </w:p>
        </w:tc>
        <w:tc>
          <w:tcPr>
            <w:tcW w:w="1853" w:type="dxa"/>
            <w:shd w:val="clear" w:color="auto" w:fill="auto"/>
            <w:noWrap/>
            <w:hideMark/>
          </w:tcPr>
          <w:p w14:paraId="788F5001" w14:textId="77777777" w:rsidR="00896135" w:rsidRPr="00A053D0" w:rsidRDefault="00896135" w:rsidP="00F12314">
            <w:pPr>
              <w:pStyle w:val="TableText"/>
              <w:jc w:val="right"/>
            </w:pPr>
            <w:r w:rsidRPr="00A053D0">
              <w:t>11%</w:t>
            </w:r>
          </w:p>
        </w:tc>
        <w:tc>
          <w:tcPr>
            <w:tcW w:w="1597" w:type="dxa"/>
            <w:shd w:val="clear" w:color="auto" w:fill="auto"/>
            <w:noWrap/>
            <w:hideMark/>
          </w:tcPr>
          <w:p w14:paraId="2CFD2303" w14:textId="77777777" w:rsidR="00896135" w:rsidRPr="00A053D0" w:rsidRDefault="00896135" w:rsidP="00F12314">
            <w:pPr>
              <w:pStyle w:val="TableText"/>
              <w:jc w:val="right"/>
            </w:pPr>
            <w:r w:rsidRPr="00A053D0">
              <w:t>3rd</w:t>
            </w:r>
          </w:p>
        </w:tc>
      </w:tr>
      <w:tr w:rsidR="00896135" w:rsidRPr="006C7B5B" w14:paraId="1F3A99AE" w14:textId="77777777" w:rsidTr="005F08D9">
        <w:trPr>
          <w:trHeight w:val="288"/>
        </w:trPr>
        <w:tc>
          <w:tcPr>
            <w:tcW w:w="1985" w:type="dxa"/>
            <w:shd w:val="clear" w:color="auto" w:fill="auto"/>
            <w:noWrap/>
            <w:hideMark/>
          </w:tcPr>
          <w:p w14:paraId="37583C00" w14:textId="77777777" w:rsidR="00896135" w:rsidRPr="00A053D0" w:rsidRDefault="00896135" w:rsidP="008E7244">
            <w:pPr>
              <w:pStyle w:val="TableText"/>
            </w:pPr>
            <w:r w:rsidRPr="00A053D0">
              <w:t>Taranaki</w:t>
            </w:r>
          </w:p>
        </w:tc>
        <w:tc>
          <w:tcPr>
            <w:tcW w:w="1637" w:type="dxa"/>
            <w:shd w:val="clear" w:color="auto" w:fill="auto"/>
            <w:noWrap/>
            <w:hideMark/>
          </w:tcPr>
          <w:p w14:paraId="4F02A34A" w14:textId="77777777" w:rsidR="00896135" w:rsidRPr="00A053D0" w:rsidRDefault="00896135" w:rsidP="00F12314">
            <w:pPr>
              <w:pStyle w:val="TableText"/>
              <w:jc w:val="right"/>
            </w:pPr>
            <w:r w:rsidRPr="00A053D0">
              <w:t>5,500</w:t>
            </w:r>
          </w:p>
        </w:tc>
        <w:tc>
          <w:tcPr>
            <w:tcW w:w="1394" w:type="dxa"/>
            <w:shd w:val="clear" w:color="auto" w:fill="auto"/>
            <w:noWrap/>
            <w:hideMark/>
          </w:tcPr>
          <w:p w14:paraId="333F3F2D" w14:textId="77777777" w:rsidR="00896135" w:rsidRPr="00A053D0" w:rsidRDefault="00896135" w:rsidP="00F12314">
            <w:pPr>
              <w:pStyle w:val="TableText"/>
              <w:jc w:val="right"/>
            </w:pPr>
            <w:r w:rsidRPr="00A053D0">
              <w:t>51,900</w:t>
            </w:r>
          </w:p>
        </w:tc>
        <w:tc>
          <w:tcPr>
            <w:tcW w:w="1853" w:type="dxa"/>
            <w:shd w:val="clear" w:color="auto" w:fill="auto"/>
            <w:noWrap/>
            <w:hideMark/>
          </w:tcPr>
          <w:p w14:paraId="1C676D67" w14:textId="77777777" w:rsidR="00896135" w:rsidRPr="00A053D0" w:rsidRDefault="00896135" w:rsidP="00F12314">
            <w:pPr>
              <w:pStyle w:val="TableText"/>
              <w:jc w:val="right"/>
            </w:pPr>
            <w:r w:rsidRPr="00A053D0">
              <w:t>11%</w:t>
            </w:r>
          </w:p>
        </w:tc>
        <w:tc>
          <w:tcPr>
            <w:tcW w:w="1597" w:type="dxa"/>
            <w:shd w:val="clear" w:color="auto" w:fill="auto"/>
            <w:noWrap/>
            <w:hideMark/>
          </w:tcPr>
          <w:p w14:paraId="46DCC9E8" w14:textId="77777777" w:rsidR="00896135" w:rsidRPr="00A053D0" w:rsidRDefault="00896135" w:rsidP="00F12314">
            <w:pPr>
              <w:pStyle w:val="TableText"/>
              <w:jc w:val="right"/>
            </w:pPr>
            <w:r w:rsidRPr="00A053D0">
              <w:t>2nd</w:t>
            </w:r>
          </w:p>
        </w:tc>
      </w:tr>
      <w:tr w:rsidR="00896135" w:rsidRPr="006C7B5B" w14:paraId="3BFA92D0" w14:textId="77777777" w:rsidTr="005F08D9">
        <w:trPr>
          <w:trHeight w:val="288"/>
        </w:trPr>
        <w:tc>
          <w:tcPr>
            <w:tcW w:w="1985" w:type="dxa"/>
            <w:shd w:val="clear" w:color="auto" w:fill="auto"/>
            <w:noWrap/>
            <w:hideMark/>
          </w:tcPr>
          <w:p w14:paraId="26267E3B" w14:textId="77777777" w:rsidR="00896135" w:rsidRPr="00A053D0" w:rsidRDefault="00896135" w:rsidP="008E7244">
            <w:pPr>
              <w:pStyle w:val="TableText"/>
            </w:pPr>
            <w:r w:rsidRPr="00A053D0">
              <w:t>Manawatu-Wanganui</w:t>
            </w:r>
          </w:p>
        </w:tc>
        <w:tc>
          <w:tcPr>
            <w:tcW w:w="1637" w:type="dxa"/>
            <w:shd w:val="clear" w:color="auto" w:fill="auto"/>
            <w:noWrap/>
            <w:hideMark/>
          </w:tcPr>
          <w:p w14:paraId="2DC564FE" w14:textId="77777777" w:rsidR="00896135" w:rsidRPr="00A053D0" w:rsidRDefault="00896135" w:rsidP="00F12314">
            <w:pPr>
              <w:pStyle w:val="TableText"/>
              <w:jc w:val="right"/>
            </w:pPr>
            <w:r w:rsidRPr="00A053D0">
              <w:t>13,300</w:t>
            </w:r>
          </w:p>
        </w:tc>
        <w:tc>
          <w:tcPr>
            <w:tcW w:w="1394" w:type="dxa"/>
            <w:shd w:val="clear" w:color="auto" w:fill="auto"/>
            <w:noWrap/>
            <w:hideMark/>
          </w:tcPr>
          <w:p w14:paraId="08C029A9" w14:textId="77777777" w:rsidR="00896135" w:rsidRPr="00A053D0" w:rsidRDefault="00896135" w:rsidP="00F12314">
            <w:pPr>
              <w:pStyle w:val="TableText"/>
              <w:jc w:val="right"/>
            </w:pPr>
            <w:r w:rsidRPr="00A053D0">
              <w:t>105,200</w:t>
            </w:r>
          </w:p>
        </w:tc>
        <w:tc>
          <w:tcPr>
            <w:tcW w:w="1853" w:type="dxa"/>
            <w:shd w:val="clear" w:color="auto" w:fill="auto"/>
            <w:noWrap/>
            <w:hideMark/>
          </w:tcPr>
          <w:p w14:paraId="4F0AF383" w14:textId="77777777" w:rsidR="00896135" w:rsidRPr="00A053D0" w:rsidRDefault="00896135" w:rsidP="00F12314">
            <w:pPr>
              <w:pStyle w:val="TableText"/>
              <w:jc w:val="right"/>
            </w:pPr>
            <w:r w:rsidRPr="00A053D0">
              <w:t>13%</w:t>
            </w:r>
          </w:p>
        </w:tc>
        <w:tc>
          <w:tcPr>
            <w:tcW w:w="1597" w:type="dxa"/>
            <w:shd w:val="clear" w:color="auto" w:fill="auto"/>
            <w:noWrap/>
            <w:hideMark/>
          </w:tcPr>
          <w:p w14:paraId="722CCE7D" w14:textId="77777777" w:rsidR="00896135" w:rsidRPr="00A053D0" w:rsidRDefault="00896135" w:rsidP="00F12314">
            <w:pPr>
              <w:pStyle w:val="TableText"/>
              <w:jc w:val="right"/>
            </w:pPr>
            <w:r w:rsidRPr="00A053D0">
              <w:t>1st</w:t>
            </w:r>
          </w:p>
        </w:tc>
      </w:tr>
      <w:tr w:rsidR="00896135" w:rsidRPr="006C7B5B" w14:paraId="59DE15F4" w14:textId="77777777" w:rsidTr="005F08D9">
        <w:trPr>
          <w:trHeight w:val="288"/>
        </w:trPr>
        <w:tc>
          <w:tcPr>
            <w:tcW w:w="1985" w:type="dxa"/>
            <w:shd w:val="clear" w:color="auto" w:fill="auto"/>
            <w:noWrap/>
            <w:hideMark/>
          </w:tcPr>
          <w:p w14:paraId="16DF03B7" w14:textId="77777777" w:rsidR="00896135" w:rsidRPr="00A053D0" w:rsidRDefault="00896135" w:rsidP="008E7244">
            <w:pPr>
              <w:pStyle w:val="TableText"/>
            </w:pPr>
            <w:r w:rsidRPr="00A053D0">
              <w:t>Wellington</w:t>
            </w:r>
          </w:p>
        </w:tc>
        <w:tc>
          <w:tcPr>
            <w:tcW w:w="1637" w:type="dxa"/>
            <w:shd w:val="clear" w:color="auto" w:fill="auto"/>
            <w:noWrap/>
            <w:hideMark/>
          </w:tcPr>
          <w:p w14:paraId="049E4845" w14:textId="77777777" w:rsidR="00896135" w:rsidRPr="00A053D0" w:rsidRDefault="00896135" w:rsidP="00F12314">
            <w:pPr>
              <w:pStyle w:val="TableText"/>
              <w:jc w:val="right"/>
            </w:pPr>
            <w:r w:rsidRPr="00A053D0">
              <w:t>28,600</w:t>
            </w:r>
          </w:p>
        </w:tc>
        <w:tc>
          <w:tcPr>
            <w:tcW w:w="1394" w:type="dxa"/>
            <w:shd w:val="clear" w:color="auto" w:fill="auto"/>
            <w:noWrap/>
            <w:hideMark/>
          </w:tcPr>
          <w:p w14:paraId="474728CD" w14:textId="77777777" w:rsidR="00896135" w:rsidRPr="00A053D0" w:rsidRDefault="00896135" w:rsidP="00F12314">
            <w:pPr>
              <w:pStyle w:val="TableText"/>
              <w:jc w:val="right"/>
            </w:pPr>
            <w:r w:rsidRPr="00A053D0">
              <w:t>262,900</w:t>
            </w:r>
          </w:p>
        </w:tc>
        <w:tc>
          <w:tcPr>
            <w:tcW w:w="1853" w:type="dxa"/>
            <w:shd w:val="clear" w:color="auto" w:fill="auto"/>
            <w:noWrap/>
            <w:hideMark/>
          </w:tcPr>
          <w:p w14:paraId="0FF520FC" w14:textId="77777777" w:rsidR="00896135" w:rsidRPr="00A053D0" w:rsidRDefault="00896135" w:rsidP="00F12314">
            <w:pPr>
              <w:pStyle w:val="TableText"/>
              <w:jc w:val="right"/>
            </w:pPr>
            <w:r w:rsidRPr="00A053D0">
              <w:t>11%</w:t>
            </w:r>
          </w:p>
        </w:tc>
        <w:tc>
          <w:tcPr>
            <w:tcW w:w="1597" w:type="dxa"/>
            <w:shd w:val="clear" w:color="auto" w:fill="auto"/>
            <w:noWrap/>
            <w:hideMark/>
          </w:tcPr>
          <w:p w14:paraId="49FF1539" w14:textId="77777777" w:rsidR="00896135" w:rsidRPr="00A053D0" w:rsidRDefault="00896135" w:rsidP="00F12314">
            <w:pPr>
              <w:pStyle w:val="TableText"/>
              <w:jc w:val="right"/>
            </w:pPr>
            <w:r w:rsidRPr="00A053D0">
              <w:t>3rd</w:t>
            </w:r>
          </w:p>
        </w:tc>
      </w:tr>
      <w:tr w:rsidR="00896135" w:rsidRPr="006C7B5B" w14:paraId="137FC040" w14:textId="77777777" w:rsidTr="005F08D9">
        <w:trPr>
          <w:trHeight w:val="288"/>
        </w:trPr>
        <w:tc>
          <w:tcPr>
            <w:tcW w:w="1985" w:type="dxa"/>
            <w:shd w:val="clear" w:color="auto" w:fill="auto"/>
            <w:noWrap/>
            <w:hideMark/>
          </w:tcPr>
          <w:p w14:paraId="37FD2136" w14:textId="77777777" w:rsidR="00896135" w:rsidRPr="00A053D0" w:rsidRDefault="00896135" w:rsidP="008E7244">
            <w:pPr>
              <w:pStyle w:val="TableText"/>
            </w:pPr>
            <w:r w:rsidRPr="00A053D0">
              <w:t>Tasman</w:t>
            </w:r>
          </w:p>
        </w:tc>
        <w:tc>
          <w:tcPr>
            <w:tcW w:w="1637" w:type="dxa"/>
            <w:shd w:val="clear" w:color="auto" w:fill="auto"/>
            <w:noWrap/>
            <w:hideMark/>
          </w:tcPr>
          <w:p w14:paraId="04EFD9DB" w14:textId="77777777" w:rsidR="00896135" w:rsidRPr="00A053D0" w:rsidRDefault="00896135" w:rsidP="00F12314">
            <w:pPr>
              <w:pStyle w:val="TableText"/>
              <w:jc w:val="right"/>
            </w:pPr>
            <w:r w:rsidRPr="00A053D0">
              <w:t>1,400</w:t>
            </w:r>
          </w:p>
        </w:tc>
        <w:tc>
          <w:tcPr>
            <w:tcW w:w="1394" w:type="dxa"/>
            <w:shd w:val="clear" w:color="auto" w:fill="auto"/>
            <w:noWrap/>
            <w:hideMark/>
          </w:tcPr>
          <w:p w14:paraId="008553BF" w14:textId="77777777" w:rsidR="00896135" w:rsidRPr="00A053D0" w:rsidRDefault="00896135" w:rsidP="00F12314">
            <w:pPr>
              <w:pStyle w:val="TableText"/>
              <w:jc w:val="right"/>
            </w:pPr>
            <w:r w:rsidRPr="00A053D0">
              <w:t>23,400</w:t>
            </w:r>
          </w:p>
        </w:tc>
        <w:tc>
          <w:tcPr>
            <w:tcW w:w="1853" w:type="dxa"/>
            <w:shd w:val="clear" w:color="auto" w:fill="auto"/>
            <w:noWrap/>
            <w:hideMark/>
          </w:tcPr>
          <w:p w14:paraId="15EA67CF" w14:textId="77777777" w:rsidR="00896135" w:rsidRPr="00A053D0" w:rsidRDefault="00896135" w:rsidP="00F12314">
            <w:pPr>
              <w:pStyle w:val="TableText"/>
              <w:jc w:val="right"/>
            </w:pPr>
            <w:r w:rsidRPr="00A053D0">
              <w:t>6%</w:t>
            </w:r>
          </w:p>
        </w:tc>
        <w:tc>
          <w:tcPr>
            <w:tcW w:w="1597" w:type="dxa"/>
            <w:shd w:val="clear" w:color="auto" w:fill="auto"/>
            <w:noWrap/>
            <w:hideMark/>
          </w:tcPr>
          <w:p w14:paraId="5C9D2420" w14:textId="77777777" w:rsidR="00896135" w:rsidRPr="00A053D0" w:rsidRDefault="00896135" w:rsidP="00F12314">
            <w:pPr>
              <w:pStyle w:val="TableText"/>
              <w:jc w:val="right"/>
            </w:pPr>
            <w:r w:rsidRPr="00A053D0">
              <w:t>7th</w:t>
            </w:r>
          </w:p>
        </w:tc>
      </w:tr>
      <w:tr w:rsidR="00896135" w:rsidRPr="006C7B5B" w14:paraId="6772A164" w14:textId="77777777" w:rsidTr="005F08D9">
        <w:trPr>
          <w:trHeight w:val="288"/>
        </w:trPr>
        <w:tc>
          <w:tcPr>
            <w:tcW w:w="1985" w:type="dxa"/>
            <w:shd w:val="clear" w:color="auto" w:fill="auto"/>
            <w:noWrap/>
            <w:hideMark/>
          </w:tcPr>
          <w:p w14:paraId="26FF002A" w14:textId="77777777" w:rsidR="00896135" w:rsidRPr="00A053D0" w:rsidRDefault="00896135" w:rsidP="008E7244">
            <w:pPr>
              <w:pStyle w:val="TableText"/>
            </w:pPr>
            <w:r w:rsidRPr="00A053D0">
              <w:t>Nelson</w:t>
            </w:r>
          </w:p>
        </w:tc>
        <w:tc>
          <w:tcPr>
            <w:tcW w:w="1637" w:type="dxa"/>
            <w:shd w:val="clear" w:color="auto" w:fill="auto"/>
            <w:noWrap/>
            <w:hideMark/>
          </w:tcPr>
          <w:p w14:paraId="1FB6057B" w14:textId="77777777" w:rsidR="00896135" w:rsidRPr="00A053D0" w:rsidRDefault="00896135" w:rsidP="00F12314">
            <w:pPr>
              <w:pStyle w:val="TableText"/>
              <w:jc w:val="right"/>
            </w:pPr>
            <w:r w:rsidRPr="00A053D0">
              <w:t>3,850</w:t>
            </w:r>
          </w:p>
        </w:tc>
        <w:tc>
          <w:tcPr>
            <w:tcW w:w="1394" w:type="dxa"/>
            <w:shd w:val="clear" w:color="auto" w:fill="auto"/>
            <w:noWrap/>
            <w:hideMark/>
          </w:tcPr>
          <w:p w14:paraId="24FCF855" w14:textId="77777777" w:rsidR="00896135" w:rsidRPr="00A053D0" w:rsidRDefault="00896135" w:rsidP="00F12314">
            <w:pPr>
              <w:pStyle w:val="TableText"/>
              <w:jc w:val="right"/>
            </w:pPr>
            <w:r w:rsidRPr="00A053D0">
              <w:t>26,900</w:t>
            </w:r>
          </w:p>
        </w:tc>
        <w:tc>
          <w:tcPr>
            <w:tcW w:w="1853" w:type="dxa"/>
            <w:shd w:val="clear" w:color="auto" w:fill="auto"/>
            <w:noWrap/>
            <w:hideMark/>
          </w:tcPr>
          <w:p w14:paraId="17CF94A5" w14:textId="77777777" w:rsidR="00896135" w:rsidRPr="00A053D0" w:rsidRDefault="00896135" w:rsidP="00F12314">
            <w:pPr>
              <w:pStyle w:val="TableText"/>
              <w:jc w:val="right"/>
            </w:pPr>
            <w:r w:rsidRPr="00A053D0">
              <w:t>14%</w:t>
            </w:r>
          </w:p>
        </w:tc>
        <w:tc>
          <w:tcPr>
            <w:tcW w:w="1597" w:type="dxa"/>
            <w:shd w:val="clear" w:color="auto" w:fill="auto"/>
            <w:noWrap/>
            <w:hideMark/>
          </w:tcPr>
          <w:p w14:paraId="11864786" w14:textId="77777777" w:rsidR="00896135" w:rsidRPr="00A053D0" w:rsidRDefault="00896135" w:rsidP="00F12314">
            <w:pPr>
              <w:pStyle w:val="TableText"/>
              <w:jc w:val="right"/>
            </w:pPr>
            <w:r w:rsidRPr="00A053D0">
              <w:t>1st</w:t>
            </w:r>
          </w:p>
        </w:tc>
      </w:tr>
      <w:tr w:rsidR="00896135" w:rsidRPr="006C7B5B" w14:paraId="0AC5645F" w14:textId="77777777" w:rsidTr="005F08D9">
        <w:trPr>
          <w:trHeight w:val="288"/>
        </w:trPr>
        <w:tc>
          <w:tcPr>
            <w:tcW w:w="1985" w:type="dxa"/>
            <w:shd w:val="clear" w:color="auto" w:fill="auto"/>
            <w:noWrap/>
            <w:hideMark/>
          </w:tcPr>
          <w:p w14:paraId="33A65EA2" w14:textId="77777777" w:rsidR="00896135" w:rsidRPr="00A053D0" w:rsidRDefault="00896135" w:rsidP="008E7244">
            <w:pPr>
              <w:pStyle w:val="TableText"/>
            </w:pPr>
            <w:r w:rsidRPr="00A053D0">
              <w:t>Marlborough</w:t>
            </w:r>
          </w:p>
        </w:tc>
        <w:tc>
          <w:tcPr>
            <w:tcW w:w="1637" w:type="dxa"/>
            <w:shd w:val="clear" w:color="auto" w:fill="auto"/>
            <w:noWrap/>
            <w:hideMark/>
          </w:tcPr>
          <w:p w14:paraId="10893682" w14:textId="77777777" w:rsidR="00896135" w:rsidRPr="00A053D0" w:rsidRDefault="00896135" w:rsidP="00F12314">
            <w:pPr>
              <w:pStyle w:val="TableText"/>
              <w:jc w:val="right"/>
            </w:pPr>
            <w:r w:rsidRPr="00A053D0">
              <w:t>2,050</w:t>
            </w:r>
          </w:p>
        </w:tc>
        <w:tc>
          <w:tcPr>
            <w:tcW w:w="1394" w:type="dxa"/>
            <w:shd w:val="clear" w:color="auto" w:fill="auto"/>
            <w:noWrap/>
            <w:hideMark/>
          </w:tcPr>
          <w:p w14:paraId="7AFCE1E7" w14:textId="77777777" w:rsidR="00896135" w:rsidRPr="00A053D0" w:rsidRDefault="00896135" w:rsidP="00F12314">
            <w:pPr>
              <w:pStyle w:val="TableText"/>
              <w:jc w:val="right"/>
            </w:pPr>
            <w:r w:rsidRPr="00A053D0">
              <w:t>24,300</w:t>
            </w:r>
          </w:p>
        </w:tc>
        <w:tc>
          <w:tcPr>
            <w:tcW w:w="1853" w:type="dxa"/>
            <w:shd w:val="clear" w:color="auto" w:fill="auto"/>
            <w:noWrap/>
            <w:hideMark/>
          </w:tcPr>
          <w:p w14:paraId="52736276" w14:textId="77777777" w:rsidR="00896135" w:rsidRPr="00A053D0" w:rsidRDefault="00896135" w:rsidP="00F12314">
            <w:pPr>
              <w:pStyle w:val="TableText"/>
              <w:jc w:val="right"/>
            </w:pPr>
            <w:r w:rsidRPr="00A053D0">
              <w:t>8%</w:t>
            </w:r>
          </w:p>
        </w:tc>
        <w:tc>
          <w:tcPr>
            <w:tcW w:w="1597" w:type="dxa"/>
            <w:shd w:val="clear" w:color="auto" w:fill="auto"/>
            <w:noWrap/>
            <w:hideMark/>
          </w:tcPr>
          <w:p w14:paraId="2F953956" w14:textId="77777777" w:rsidR="00896135" w:rsidRPr="00A053D0" w:rsidRDefault="00896135" w:rsidP="00F12314">
            <w:pPr>
              <w:pStyle w:val="TableText"/>
              <w:jc w:val="right"/>
            </w:pPr>
            <w:r w:rsidRPr="00A053D0">
              <w:t>5th</w:t>
            </w:r>
          </w:p>
        </w:tc>
      </w:tr>
      <w:tr w:rsidR="00896135" w:rsidRPr="006C7B5B" w14:paraId="2ADFE008" w14:textId="77777777" w:rsidTr="005F08D9">
        <w:trPr>
          <w:trHeight w:val="288"/>
        </w:trPr>
        <w:tc>
          <w:tcPr>
            <w:tcW w:w="1985" w:type="dxa"/>
            <w:shd w:val="clear" w:color="auto" w:fill="auto"/>
            <w:noWrap/>
            <w:hideMark/>
          </w:tcPr>
          <w:p w14:paraId="51A858F7" w14:textId="77777777" w:rsidR="00896135" w:rsidRPr="00A053D0" w:rsidRDefault="00896135" w:rsidP="008E7244">
            <w:pPr>
              <w:pStyle w:val="TableText"/>
            </w:pPr>
            <w:r w:rsidRPr="00A053D0">
              <w:t>West Coast</w:t>
            </w:r>
          </w:p>
        </w:tc>
        <w:tc>
          <w:tcPr>
            <w:tcW w:w="1637" w:type="dxa"/>
            <w:shd w:val="clear" w:color="auto" w:fill="auto"/>
            <w:noWrap/>
            <w:hideMark/>
          </w:tcPr>
          <w:p w14:paraId="4269EE5F" w14:textId="77777777" w:rsidR="00896135" w:rsidRPr="00A053D0" w:rsidRDefault="00896135" w:rsidP="00F12314">
            <w:pPr>
              <w:pStyle w:val="TableText"/>
              <w:jc w:val="right"/>
            </w:pPr>
            <w:r w:rsidRPr="00A053D0">
              <w:t>1,450</w:t>
            </w:r>
          </w:p>
        </w:tc>
        <w:tc>
          <w:tcPr>
            <w:tcW w:w="1394" w:type="dxa"/>
            <w:shd w:val="clear" w:color="auto" w:fill="auto"/>
            <w:noWrap/>
            <w:hideMark/>
          </w:tcPr>
          <w:p w14:paraId="74EA88E7" w14:textId="77777777" w:rsidR="00896135" w:rsidRPr="00A053D0" w:rsidRDefault="00896135" w:rsidP="00F12314">
            <w:pPr>
              <w:pStyle w:val="TableText"/>
              <w:jc w:val="right"/>
            </w:pPr>
            <w:r w:rsidRPr="00A053D0">
              <w:t>14,600</w:t>
            </w:r>
          </w:p>
        </w:tc>
        <w:tc>
          <w:tcPr>
            <w:tcW w:w="1853" w:type="dxa"/>
            <w:shd w:val="clear" w:color="auto" w:fill="auto"/>
            <w:noWrap/>
            <w:hideMark/>
          </w:tcPr>
          <w:p w14:paraId="6492F050" w14:textId="77777777" w:rsidR="00896135" w:rsidRPr="00A053D0" w:rsidRDefault="00896135" w:rsidP="00F12314">
            <w:pPr>
              <w:pStyle w:val="TableText"/>
              <w:jc w:val="right"/>
            </w:pPr>
            <w:r w:rsidRPr="00A053D0">
              <w:t>10%</w:t>
            </w:r>
          </w:p>
        </w:tc>
        <w:tc>
          <w:tcPr>
            <w:tcW w:w="1597" w:type="dxa"/>
            <w:shd w:val="clear" w:color="auto" w:fill="auto"/>
            <w:noWrap/>
            <w:hideMark/>
          </w:tcPr>
          <w:p w14:paraId="741A2A91" w14:textId="77777777" w:rsidR="00896135" w:rsidRPr="00A053D0" w:rsidRDefault="00896135" w:rsidP="00F12314">
            <w:pPr>
              <w:pStyle w:val="TableText"/>
              <w:jc w:val="right"/>
            </w:pPr>
            <w:r w:rsidRPr="00A053D0">
              <w:t>4th</w:t>
            </w:r>
          </w:p>
        </w:tc>
      </w:tr>
      <w:tr w:rsidR="00896135" w:rsidRPr="006C7B5B" w14:paraId="7CA614A3" w14:textId="77777777" w:rsidTr="005F08D9">
        <w:trPr>
          <w:trHeight w:val="288"/>
        </w:trPr>
        <w:tc>
          <w:tcPr>
            <w:tcW w:w="1985" w:type="dxa"/>
            <w:shd w:val="clear" w:color="auto" w:fill="auto"/>
            <w:noWrap/>
            <w:hideMark/>
          </w:tcPr>
          <w:p w14:paraId="69A26759" w14:textId="77777777" w:rsidR="00896135" w:rsidRPr="00A053D0" w:rsidRDefault="00896135" w:rsidP="008E7244">
            <w:pPr>
              <w:pStyle w:val="TableText"/>
            </w:pPr>
            <w:r w:rsidRPr="00A053D0">
              <w:t>Canterbury</w:t>
            </w:r>
          </w:p>
        </w:tc>
        <w:tc>
          <w:tcPr>
            <w:tcW w:w="1637" w:type="dxa"/>
            <w:shd w:val="clear" w:color="auto" w:fill="auto"/>
            <w:noWrap/>
            <w:hideMark/>
          </w:tcPr>
          <w:p w14:paraId="1663B65F" w14:textId="77777777" w:rsidR="00896135" w:rsidRPr="00A053D0" w:rsidRDefault="00896135" w:rsidP="00F12314">
            <w:pPr>
              <w:pStyle w:val="TableText"/>
              <w:jc w:val="right"/>
            </w:pPr>
            <w:r w:rsidRPr="00A053D0">
              <w:t>34,400</w:t>
            </w:r>
          </w:p>
        </w:tc>
        <w:tc>
          <w:tcPr>
            <w:tcW w:w="1394" w:type="dxa"/>
            <w:shd w:val="clear" w:color="auto" w:fill="auto"/>
            <w:noWrap/>
            <w:hideMark/>
          </w:tcPr>
          <w:p w14:paraId="0A5829B7" w14:textId="77777777" w:rsidR="00896135" w:rsidRPr="00A053D0" w:rsidRDefault="00896135" w:rsidP="00F12314">
            <w:pPr>
              <w:pStyle w:val="TableText"/>
              <w:jc w:val="right"/>
            </w:pPr>
            <w:r w:rsidRPr="00A053D0">
              <w:t>305,300</w:t>
            </w:r>
          </w:p>
        </w:tc>
        <w:tc>
          <w:tcPr>
            <w:tcW w:w="1853" w:type="dxa"/>
            <w:shd w:val="clear" w:color="auto" w:fill="auto"/>
            <w:noWrap/>
            <w:hideMark/>
          </w:tcPr>
          <w:p w14:paraId="734504BB" w14:textId="77777777" w:rsidR="00896135" w:rsidRPr="00A053D0" w:rsidRDefault="00896135" w:rsidP="00F12314">
            <w:pPr>
              <w:pStyle w:val="TableText"/>
              <w:jc w:val="right"/>
            </w:pPr>
            <w:r w:rsidRPr="00A053D0">
              <w:t>11%</w:t>
            </w:r>
          </w:p>
        </w:tc>
        <w:tc>
          <w:tcPr>
            <w:tcW w:w="1597" w:type="dxa"/>
            <w:shd w:val="clear" w:color="auto" w:fill="auto"/>
            <w:noWrap/>
            <w:hideMark/>
          </w:tcPr>
          <w:p w14:paraId="39D35D10" w14:textId="77777777" w:rsidR="00896135" w:rsidRPr="00A053D0" w:rsidRDefault="00896135" w:rsidP="00F12314">
            <w:pPr>
              <w:pStyle w:val="TableText"/>
              <w:jc w:val="right"/>
            </w:pPr>
            <w:r w:rsidRPr="00A053D0">
              <w:t>2nd</w:t>
            </w:r>
          </w:p>
        </w:tc>
      </w:tr>
      <w:tr w:rsidR="00896135" w:rsidRPr="006C7B5B" w14:paraId="289B3741" w14:textId="77777777" w:rsidTr="005F08D9">
        <w:trPr>
          <w:trHeight w:val="288"/>
        </w:trPr>
        <w:tc>
          <w:tcPr>
            <w:tcW w:w="1985" w:type="dxa"/>
            <w:shd w:val="clear" w:color="auto" w:fill="auto"/>
            <w:noWrap/>
            <w:hideMark/>
          </w:tcPr>
          <w:p w14:paraId="0A72ABA7" w14:textId="77777777" w:rsidR="00896135" w:rsidRPr="00A053D0" w:rsidRDefault="00896135" w:rsidP="008E7244">
            <w:pPr>
              <w:pStyle w:val="TableText"/>
            </w:pPr>
            <w:r w:rsidRPr="00A053D0">
              <w:t>Otago</w:t>
            </w:r>
          </w:p>
        </w:tc>
        <w:tc>
          <w:tcPr>
            <w:tcW w:w="1637" w:type="dxa"/>
            <w:shd w:val="clear" w:color="auto" w:fill="auto"/>
            <w:noWrap/>
            <w:hideMark/>
          </w:tcPr>
          <w:p w14:paraId="6C2FD1A6" w14:textId="77777777" w:rsidR="00896135" w:rsidRPr="00A053D0" w:rsidRDefault="00896135" w:rsidP="00F12314">
            <w:pPr>
              <w:pStyle w:val="TableText"/>
              <w:jc w:val="right"/>
            </w:pPr>
            <w:r w:rsidRPr="00A053D0">
              <w:t>12,400</w:t>
            </w:r>
          </w:p>
        </w:tc>
        <w:tc>
          <w:tcPr>
            <w:tcW w:w="1394" w:type="dxa"/>
            <w:shd w:val="clear" w:color="auto" w:fill="auto"/>
            <w:noWrap/>
            <w:hideMark/>
          </w:tcPr>
          <w:p w14:paraId="018ABF0D" w14:textId="77777777" w:rsidR="00896135" w:rsidRPr="00A053D0" w:rsidRDefault="00896135" w:rsidP="00F12314">
            <w:pPr>
              <w:pStyle w:val="TableText"/>
              <w:jc w:val="right"/>
            </w:pPr>
            <w:r w:rsidRPr="00A053D0">
              <w:t>118,000</w:t>
            </w:r>
          </w:p>
        </w:tc>
        <w:tc>
          <w:tcPr>
            <w:tcW w:w="1853" w:type="dxa"/>
            <w:shd w:val="clear" w:color="auto" w:fill="auto"/>
            <w:noWrap/>
            <w:hideMark/>
          </w:tcPr>
          <w:p w14:paraId="42CFFF02" w14:textId="77777777" w:rsidR="00896135" w:rsidRPr="00A053D0" w:rsidRDefault="00896135" w:rsidP="00F12314">
            <w:pPr>
              <w:pStyle w:val="TableText"/>
              <w:jc w:val="right"/>
            </w:pPr>
            <w:r w:rsidRPr="00A053D0">
              <w:t>11%</w:t>
            </w:r>
          </w:p>
        </w:tc>
        <w:tc>
          <w:tcPr>
            <w:tcW w:w="1597" w:type="dxa"/>
            <w:shd w:val="clear" w:color="auto" w:fill="auto"/>
            <w:noWrap/>
            <w:hideMark/>
          </w:tcPr>
          <w:p w14:paraId="4076CCCA" w14:textId="77777777" w:rsidR="00896135" w:rsidRPr="00A053D0" w:rsidRDefault="00896135" w:rsidP="00F12314">
            <w:pPr>
              <w:pStyle w:val="TableText"/>
              <w:jc w:val="right"/>
            </w:pPr>
            <w:r w:rsidRPr="00A053D0">
              <w:t>3rd</w:t>
            </w:r>
          </w:p>
        </w:tc>
      </w:tr>
      <w:tr w:rsidR="00896135" w:rsidRPr="006C7B5B" w14:paraId="786B589F" w14:textId="77777777" w:rsidTr="005F08D9">
        <w:trPr>
          <w:trHeight w:val="288"/>
        </w:trPr>
        <w:tc>
          <w:tcPr>
            <w:tcW w:w="1985" w:type="dxa"/>
            <w:shd w:val="clear" w:color="auto" w:fill="auto"/>
            <w:noWrap/>
            <w:hideMark/>
          </w:tcPr>
          <w:p w14:paraId="65A3723B" w14:textId="77777777" w:rsidR="00896135" w:rsidRPr="00A053D0" w:rsidRDefault="00896135" w:rsidP="008E7244">
            <w:pPr>
              <w:pStyle w:val="TableText"/>
            </w:pPr>
            <w:r w:rsidRPr="00A053D0">
              <w:t>Southland</w:t>
            </w:r>
          </w:p>
        </w:tc>
        <w:tc>
          <w:tcPr>
            <w:tcW w:w="1637" w:type="dxa"/>
            <w:shd w:val="clear" w:color="auto" w:fill="auto"/>
            <w:noWrap/>
            <w:hideMark/>
          </w:tcPr>
          <w:p w14:paraId="4A62356C" w14:textId="77777777" w:rsidR="00896135" w:rsidRPr="00A053D0" w:rsidRDefault="00896135" w:rsidP="00F12314">
            <w:pPr>
              <w:pStyle w:val="TableText"/>
              <w:jc w:val="right"/>
            </w:pPr>
            <w:r w:rsidRPr="00A053D0">
              <w:t>4,850</w:t>
            </w:r>
          </w:p>
        </w:tc>
        <w:tc>
          <w:tcPr>
            <w:tcW w:w="1394" w:type="dxa"/>
            <w:shd w:val="clear" w:color="auto" w:fill="auto"/>
            <w:noWrap/>
            <w:hideMark/>
          </w:tcPr>
          <w:p w14:paraId="34A850F8" w14:textId="77777777" w:rsidR="00896135" w:rsidRPr="00A053D0" w:rsidRDefault="00896135" w:rsidP="00F12314">
            <w:pPr>
              <w:pStyle w:val="TableText"/>
              <w:jc w:val="right"/>
            </w:pPr>
            <w:r w:rsidRPr="00A053D0">
              <w:t>50,000</w:t>
            </w:r>
          </w:p>
        </w:tc>
        <w:tc>
          <w:tcPr>
            <w:tcW w:w="1853" w:type="dxa"/>
            <w:shd w:val="clear" w:color="auto" w:fill="auto"/>
            <w:noWrap/>
            <w:hideMark/>
          </w:tcPr>
          <w:p w14:paraId="383700AD" w14:textId="77777777" w:rsidR="00896135" w:rsidRPr="00A053D0" w:rsidRDefault="00896135" w:rsidP="00F12314">
            <w:pPr>
              <w:pStyle w:val="TableText"/>
              <w:jc w:val="right"/>
            </w:pPr>
            <w:r w:rsidRPr="00A053D0">
              <w:t>10%</w:t>
            </w:r>
          </w:p>
        </w:tc>
        <w:tc>
          <w:tcPr>
            <w:tcW w:w="1597" w:type="dxa"/>
            <w:shd w:val="clear" w:color="auto" w:fill="auto"/>
            <w:noWrap/>
            <w:hideMark/>
          </w:tcPr>
          <w:p w14:paraId="3121CABC" w14:textId="77777777" w:rsidR="00896135" w:rsidRPr="00A053D0" w:rsidRDefault="00896135" w:rsidP="00F12314">
            <w:pPr>
              <w:pStyle w:val="TableText"/>
              <w:jc w:val="right"/>
            </w:pPr>
            <w:r w:rsidRPr="00A053D0">
              <w:t>4th</w:t>
            </w:r>
          </w:p>
        </w:tc>
      </w:tr>
    </w:tbl>
    <w:p w14:paraId="4933D328" w14:textId="77777777" w:rsidR="00896135" w:rsidRDefault="00896135" w:rsidP="00896135">
      <w:pPr>
        <w:pStyle w:val="Source"/>
      </w:pPr>
      <w:r>
        <w:t>Source: Statistics New Zealand</w:t>
      </w:r>
    </w:p>
    <w:p w14:paraId="6438880F" w14:textId="77777777" w:rsidR="00896135" w:rsidRPr="00565A47" w:rsidRDefault="00896135" w:rsidP="00896135"/>
    <w:p w14:paraId="67C8A22E" w14:textId="506E9848" w:rsidR="00896135" w:rsidRDefault="00896135" w:rsidP="00896135">
      <w:r>
        <w:t>Over the period 2000 to 2019, the number employed in the health care and social assistance sector increased by 58%. When assessed as a proportion of the total New Zealand population, the health care and social assistance workforce has increased from 4,035 per 100,000 to 6,371 per 100,000 over this period. The biggest increase has been in medical and other health services</w:t>
      </w:r>
      <w:r w:rsidR="009528AA">
        <w:t>,</w:t>
      </w:r>
      <w:r>
        <w:t xml:space="preserve"> with an increase of 73% over the period 2000 to 2019.</w:t>
      </w:r>
    </w:p>
    <w:p w14:paraId="1702ACC9" w14:textId="77777777" w:rsidR="00896135" w:rsidRDefault="00896135" w:rsidP="00896135"/>
    <w:p w14:paraId="5CAB47FA" w14:textId="01BC2639" w:rsidR="00896135" w:rsidRPr="00FC41C9" w:rsidRDefault="00896135" w:rsidP="00896135">
      <w:pPr>
        <w:pStyle w:val="Caption"/>
        <w:keepNext/>
        <w:rPr>
          <w:rFonts w:eastAsia="Arial"/>
          <w:b/>
          <w:i w:val="0"/>
          <w:iCs w:val="0"/>
          <w:color w:val="auto"/>
          <w:sz w:val="20"/>
          <w:szCs w:val="20"/>
        </w:rPr>
      </w:pPr>
      <w:bookmarkStart w:id="15" w:name="_Toc41290471"/>
      <w:bookmarkStart w:id="16" w:name="_Toc54198910"/>
      <w:r>
        <w:rPr>
          <w:rFonts w:eastAsia="Arial"/>
          <w:b/>
          <w:i w:val="0"/>
          <w:iCs w:val="0"/>
          <w:color w:val="auto"/>
          <w:sz w:val="20"/>
          <w:szCs w:val="20"/>
        </w:rPr>
        <w:lastRenderedPageBreak/>
        <w:t>Figure</w:t>
      </w:r>
      <w:r w:rsidRPr="00FC41C9">
        <w:rPr>
          <w:rFonts w:eastAsia="Arial"/>
          <w:b/>
          <w:i w:val="0"/>
          <w:iCs w:val="0"/>
          <w:color w:val="auto"/>
          <w:sz w:val="20"/>
          <w:szCs w:val="20"/>
        </w:rPr>
        <w:t xml:space="preserve"> </w:t>
      </w:r>
      <w:r>
        <w:rPr>
          <w:rFonts w:eastAsia="Arial"/>
          <w:b/>
          <w:i w:val="0"/>
          <w:iCs w:val="0"/>
          <w:color w:val="auto"/>
          <w:sz w:val="20"/>
          <w:szCs w:val="20"/>
        </w:rPr>
        <w:fldChar w:fldCharType="begin"/>
      </w:r>
      <w:r>
        <w:rPr>
          <w:rFonts w:eastAsia="Arial"/>
          <w:b/>
          <w:i w:val="0"/>
          <w:iCs w:val="0"/>
          <w:color w:val="auto"/>
          <w:sz w:val="20"/>
          <w:szCs w:val="20"/>
        </w:rPr>
        <w:instrText xml:space="preserve"> SEQ Figure \* ARABIC </w:instrText>
      </w:r>
      <w:r>
        <w:rPr>
          <w:rFonts w:eastAsia="Arial"/>
          <w:b/>
          <w:i w:val="0"/>
          <w:iCs w:val="0"/>
          <w:color w:val="auto"/>
          <w:sz w:val="20"/>
          <w:szCs w:val="20"/>
        </w:rPr>
        <w:fldChar w:fldCharType="separate"/>
      </w:r>
      <w:r w:rsidR="00884C99">
        <w:rPr>
          <w:rFonts w:eastAsia="Arial"/>
          <w:b/>
          <w:i w:val="0"/>
          <w:iCs w:val="0"/>
          <w:noProof/>
          <w:color w:val="auto"/>
          <w:sz w:val="20"/>
          <w:szCs w:val="20"/>
        </w:rPr>
        <w:t>1</w:t>
      </w:r>
      <w:r>
        <w:rPr>
          <w:rFonts w:eastAsia="Arial"/>
          <w:b/>
          <w:i w:val="0"/>
          <w:iCs w:val="0"/>
          <w:color w:val="auto"/>
          <w:sz w:val="20"/>
          <w:szCs w:val="20"/>
        </w:rPr>
        <w:fldChar w:fldCharType="end"/>
      </w:r>
      <w:r w:rsidRPr="00FC41C9">
        <w:rPr>
          <w:rFonts w:eastAsia="Arial"/>
          <w:b/>
          <w:i w:val="0"/>
          <w:iCs w:val="0"/>
          <w:color w:val="auto"/>
          <w:sz w:val="20"/>
          <w:szCs w:val="20"/>
        </w:rPr>
        <w:t xml:space="preserve">: The number of people employed in the </w:t>
      </w:r>
      <w:r>
        <w:rPr>
          <w:rFonts w:eastAsia="Arial"/>
          <w:b/>
          <w:i w:val="0"/>
          <w:iCs w:val="0"/>
          <w:color w:val="auto"/>
          <w:sz w:val="20"/>
          <w:szCs w:val="20"/>
        </w:rPr>
        <w:t>health care and social assistance sector</w:t>
      </w:r>
      <w:r w:rsidRPr="00FC41C9">
        <w:rPr>
          <w:rFonts w:eastAsia="Arial"/>
          <w:b/>
          <w:i w:val="0"/>
          <w:iCs w:val="0"/>
          <w:color w:val="auto"/>
          <w:sz w:val="20"/>
          <w:szCs w:val="20"/>
        </w:rPr>
        <w:t>, 2000 to 2019</w:t>
      </w:r>
      <w:bookmarkEnd w:id="15"/>
      <w:bookmarkEnd w:id="16"/>
    </w:p>
    <w:p w14:paraId="31F51B10" w14:textId="77777777" w:rsidR="00896135" w:rsidRDefault="00896135" w:rsidP="00896135">
      <w:pPr>
        <w:keepNext/>
      </w:pPr>
      <w:r>
        <w:rPr>
          <w:noProof/>
        </w:rPr>
        <w:drawing>
          <wp:inline distT="0" distB="0" distL="0" distR="0" wp14:anchorId="049D9F86" wp14:editId="04FE06D4">
            <wp:extent cx="5136515" cy="3340735"/>
            <wp:effectExtent l="0" t="0" r="6985" b="0"/>
            <wp:docPr id="18" name="Picture 18" descr="This line graph shows that the number of people employed in various positions in the health care and social assistance sector has increased gradually over time, roughly in parall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6515" cy="3340735"/>
                    </a:xfrm>
                    <a:prstGeom prst="rect">
                      <a:avLst/>
                    </a:prstGeom>
                    <a:noFill/>
                    <a:ln>
                      <a:noFill/>
                    </a:ln>
                  </pic:spPr>
                </pic:pic>
              </a:graphicData>
            </a:graphic>
          </wp:inline>
        </w:drawing>
      </w:r>
    </w:p>
    <w:p w14:paraId="231BF51A" w14:textId="77777777" w:rsidR="00896135" w:rsidRDefault="00896135" w:rsidP="00896135">
      <w:pPr>
        <w:pStyle w:val="Source"/>
      </w:pPr>
      <w:r>
        <w:t>Source: Statistics New Zealand</w:t>
      </w:r>
    </w:p>
    <w:p w14:paraId="0296BA72" w14:textId="77777777" w:rsidR="00896135" w:rsidRDefault="00896135" w:rsidP="00896135"/>
    <w:p w14:paraId="6B7B4C47" w14:textId="045431F9" w:rsidR="00896135" w:rsidRDefault="00F12314" w:rsidP="00896135">
      <w:r w:rsidRPr="00F12314">
        <w:fldChar w:fldCharType="begin"/>
      </w:r>
      <w:r w:rsidRPr="00F12314">
        <w:instrText xml:space="preserve"> REF _Ref54198572 \h  \* MERGEFORMAT </w:instrText>
      </w:r>
      <w:r w:rsidRPr="00F12314">
        <w:fldChar w:fldCharType="separate"/>
      </w:r>
      <w:r w:rsidR="00884C99" w:rsidRPr="002A29A0">
        <w:rPr>
          <w:rFonts w:eastAsia="Arial"/>
        </w:rPr>
        <w:t xml:space="preserve">Table </w:t>
      </w:r>
      <w:r w:rsidR="00884C99">
        <w:rPr>
          <w:rFonts w:eastAsia="Arial"/>
          <w:noProof/>
        </w:rPr>
        <w:t>2</w:t>
      </w:r>
      <w:r w:rsidRPr="00F12314">
        <w:fldChar w:fldCharType="end"/>
      </w:r>
      <w:r w:rsidR="00896135">
        <w:t xml:space="preserve"> shows a detailed breakdown of employee numbers within each of the main health care areas. Most of the health workforce is employed in hospitals (89,600 in 2019), followed by medical and other health services (69,400) and residential care services (54,100). </w:t>
      </w:r>
    </w:p>
    <w:p w14:paraId="742A27B8" w14:textId="77777777" w:rsidR="00896135" w:rsidRDefault="00896135" w:rsidP="00896135"/>
    <w:p w14:paraId="1042AC37" w14:textId="77777777" w:rsidR="00896135" w:rsidRDefault="00896135" w:rsidP="00896135">
      <w:pPr>
        <w:pStyle w:val="Caption"/>
        <w:keepNext/>
        <w:rPr>
          <w:rFonts w:eastAsia="Arial"/>
          <w:b/>
          <w:i w:val="0"/>
          <w:iCs w:val="0"/>
          <w:color w:val="auto"/>
          <w:sz w:val="20"/>
          <w:szCs w:val="20"/>
        </w:rPr>
      </w:pPr>
      <w:r>
        <w:rPr>
          <w:rFonts w:eastAsia="Arial"/>
          <w:b/>
          <w:i w:val="0"/>
          <w:iCs w:val="0"/>
          <w:color w:val="auto"/>
          <w:sz w:val="20"/>
          <w:szCs w:val="20"/>
        </w:rPr>
        <w:br w:type="page"/>
      </w:r>
    </w:p>
    <w:p w14:paraId="68D582E2" w14:textId="68CD241C" w:rsidR="00896135" w:rsidRPr="00E00C8D" w:rsidRDefault="00F12314" w:rsidP="00F12314">
      <w:pPr>
        <w:pStyle w:val="Table"/>
        <w:rPr>
          <w:rFonts w:eastAsia="Arial"/>
        </w:rPr>
      </w:pPr>
      <w:bookmarkStart w:id="17" w:name="_Ref54198572"/>
      <w:bookmarkStart w:id="18" w:name="_Toc54706250"/>
      <w:r w:rsidRPr="002A29A0">
        <w:rPr>
          <w:rFonts w:eastAsia="Arial"/>
        </w:rPr>
        <w:lastRenderedPageBreak/>
        <w:t xml:space="preserve">Table </w:t>
      </w:r>
      <w:r w:rsidRPr="002A29A0">
        <w:rPr>
          <w:rFonts w:eastAsia="Arial"/>
        </w:rPr>
        <w:fldChar w:fldCharType="begin"/>
      </w:r>
      <w:r w:rsidRPr="002A29A0">
        <w:rPr>
          <w:rFonts w:eastAsia="Arial"/>
        </w:rPr>
        <w:instrText xml:space="preserve"> SEQ Table \* ARABIC </w:instrText>
      </w:r>
      <w:r w:rsidRPr="002A29A0">
        <w:rPr>
          <w:rFonts w:eastAsia="Arial"/>
        </w:rPr>
        <w:fldChar w:fldCharType="separate"/>
      </w:r>
      <w:r w:rsidR="00884C99">
        <w:rPr>
          <w:rFonts w:eastAsia="Arial"/>
          <w:noProof/>
        </w:rPr>
        <w:t>2</w:t>
      </w:r>
      <w:r w:rsidRPr="002A29A0">
        <w:rPr>
          <w:rFonts w:eastAsia="Arial"/>
        </w:rPr>
        <w:fldChar w:fldCharType="end"/>
      </w:r>
      <w:bookmarkEnd w:id="17"/>
      <w:r w:rsidRPr="002A29A0">
        <w:rPr>
          <w:rFonts w:eastAsia="Arial"/>
        </w:rPr>
        <w:t xml:space="preserve">: </w:t>
      </w:r>
      <w:r w:rsidR="00896135" w:rsidRPr="00E00C8D">
        <w:rPr>
          <w:rFonts w:eastAsia="Arial"/>
        </w:rPr>
        <w:t xml:space="preserve">Number of people employed in the health </w:t>
      </w:r>
      <w:r w:rsidR="00896135">
        <w:rPr>
          <w:rFonts w:eastAsia="Arial"/>
        </w:rPr>
        <w:t>care and social assistance sector</w:t>
      </w:r>
      <w:bookmarkEnd w:id="18"/>
    </w:p>
    <w:tbl>
      <w:tblPr>
        <w:tblW w:w="8023"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070"/>
        <w:gridCol w:w="3685"/>
        <w:gridCol w:w="2268"/>
      </w:tblGrid>
      <w:tr w:rsidR="00896135" w:rsidRPr="00DC20BD" w14:paraId="028C60E1" w14:textId="77777777" w:rsidTr="005F08D9">
        <w:trPr>
          <w:cantSplit/>
        </w:trPr>
        <w:tc>
          <w:tcPr>
            <w:tcW w:w="5755" w:type="dxa"/>
            <w:gridSpan w:val="2"/>
            <w:shd w:val="clear" w:color="auto" w:fill="D9D9D9" w:themeFill="background1" w:themeFillShade="D9"/>
          </w:tcPr>
          <w:p w14:paraId="620B0E30" w14:textId="77777777" w:rsidR="00896135" w:rsidRPr="00A053D0" w:rsidRDefault="00896135" w:rsidP="00AA2D7C">
            <w:pPr>
              <w:pStyle w:val="TableText"/>
              <w:keepNext/>
              <w:spacing w:line="264" w:lineRule="auto"/>
              <w:rPr>
                <w:b/>
              </w:rPr>
            </w:pPr>
            <w:r w:rsidRPr="00A053D0">
              <w:rPr>
                <w:b/>
              </w:rPr>
              <w:t>Health service</w:t>
            </w:r>
          </w:p>
        </w:tc>
        <w:tc>
          <w:tcPr>
            <w:tcW w:w="2268" w:type="dxa"/>
            <w:shd w:val="clear" w:color="auto" w:fill="D9D9D9" w:themeFill="background1" w:themeFillShade="D9"/>
          </w:tcPr>
          <w:p w14:paraId="5D2C2B77" w14:textId="77777777" w:rsidR="00896135" w:rsidRPr="00A053D0" w:rsidRDefault="00896135" w:rsidP="00F12314">
            <w:pPr>
              <w:pStyle w:val="TableText"/>
              <w:keepNext/>
              <w:spacing w:line="264" w:lineRule="auto"/>
              <w:ind w:right="170"/>
              <w:jc w:val="right"/>
              <w:rPr>
                <w:b/>
              </w:rPr>
            </w:pPr>
            <w:r w:rsidRPr="00A053D0">
              <w:rPr>
                <w:b/>
              </w:rPr>
              <w:t>Number employed</w:t>
            </w:r>
          </w:p>
        </w:tc>
      </w:tr>
      <w:tr w:rsidR="00896135" w:rsidRPr="00DC20BD" w14:paraId="26AEEB4F" w14:textId="77777777" w:rsidTr="005F08D9">
        <w:trPr>
          <w:cantSplit/>
        </w:trPr>
        <w:tc>
          <w:tcPr>
            <w:tcW w:w="2070" w:type="dxa"/>
            <w:vMerge w:val="restart"/>
            <w:shd w:val="clear" w:color="auto" w:fill="auto"/>
          </w:tcPr>
          <w:p w14:paraId="5E6D59C0" w14:textId="77777777" w:rsidR="00896135" w:rsidRPr="00DC20BD" w:rsidRDefault="00896135" w:rsidP="00AA2D7C">
            <w:pPr>
              <w:pStyle w:val="TableText"/>
              <w:keepNext/>
              <w:spacing w:line="264" w:lineRule="auto"/>
            </w:pPr>
            <w:r>
              <w:t>Hospitals</w:t>
            </w:r>
          </w:p>
        </w:tc>
        <w:tc>
          <w:tcPr>
            <w:tcW w:w="3685" w:type="dxa"/>
            <w:shd w:val="clear" w:color="auto" w:fill="auto"/>
          </w:tcPr>
          <w:p w14:paraId="2418F591" w14:textId="77777777" w:rsidR="00896135" w:rsidRPr="00A053D0" w:rsidRDefault="00896135" w:rsidP="005F08D9">
            <w:pPr>
              <w:pStyle w:val="TableText"/>
              <w:keepNext/>
              <w:spacing w:line="264" w:lineRule="auto"/>
              <w:rPr>
                <w:rFonts w:eastAsia="Lucida Sans Unicode" w:hAnsi="Lucida Sans Unicode" w:cs="Lucida Sans Unicode"/>
              </w:rPr>
            </w:pPr>
            <w:r w:rsidRPr="00A053D0">
              <w:rPr>
                <w:rFonts w:eastAsia="Lucida Sans Unicode" w:hAnsi="Lucida Sans Unicode" w:cs="Lucida Sans Unicode"/>
              </w:rPr>
              <w:t>Hospitals</w:t>
            </w:r>
          </w:p>
        </w:tc>
        <w:tc>
          <w:tcPr>
            <w:tcW w:w="2268" w:type="dxa"/>
            <w:shd w:val="clear" w:color="auto" w:fill="auto"/>
          </w:tcPr>
          <w:p w14:paraId="6C918BD9" w14:textId="77777777" w:rsidR="00896135" w:rsidRPr="00A053D0" w:rsidRDefault="00896135" w:rsidP="00F12314">
            <w:pPr>
              <w:pStyle w:val="TableText"/>
              <w:keepNext/>
              <w:spacing w:line="264" w:lineRule="auto"/>
              <w:ind w:right="170"/>
              <w:jc w:val="right"/>
              <w:rPr>
                <w:rFonts w:eastAsia="Lucida Sans Unicode" w:hAnsi="Lucida Sans Unicode" w:cs="Lucida Sans Unicode"/>
              </w:rPr>
            </w:pPr>
            <w:r w:rsidRPr="00A053D0">
              <w:rPr>
                <w:rFonts w:eastAsia="Lucida Sans Unicode" w:hAnsi="Lucida Sans Unicode" w:cs="Lucida Sans Unicode"/>
              </w:rPr>
              <w:t>89,500</w:t>
            </w:r>
          </w:p>
        </w:tc>
      </w:tr>
      <w:tr w:rsidR="00896135" w:rsidRPr="00DC20BD" w14:paraId="756CE98D" w14:textId="77777777" w:rsidTr="005F08D9">
        <w:trPr>
          <w:cantSplit/>
        </w:trPr>
        <w:tc>
          <w:tcPr>
            <w:tcW w:w="2070" w:type="dxa"/>
            <w:vMerge/>
            <w:shd w:val="clear" w:color="auto" w:fill="auto"/>
          </w:tcPr>
          <w:p w14:paraId="1F8609B2" w14:textId="77777777" w:rsidR="00896135" w:rsidRPr="00DC20BD" w:rsidRDefault="00896135" w:rsidP="00AA2D7C">
            <w:pPr>
              <w:pStyle w:val="TableText"/>
              <w:spacing w:line="264" w:lineRule="auto"/>
            </w:pPr>
          </w:p>
        </w:tc>
        <w:tc>
          <w:tcPr>
            <w:tcW w:w="3685" w:type="dxa"/>
            <w:shd w:val="clear" w:color="auto" w:fill="auto"/>
          </w:tcPr>
          <w:p w14:paraId="742EBCE4" w14:textId="77777777" w:rsidR="00896135" w:rsidRPr="00A053D0" w:rsidRDefault="00896135" w:rsidP="005F08D9">
            <w:pPr>
              <w:pStyle w:val="TableText"/>
              <w:spacing w:line="264" w:lineRule="auto"/>
              <w:rPr>
                <w:rFonts w:eastAsia="Lucida Sans Unicode" w:hAnsi="Lucida Sans Unicode" w:cs="Lucida Sans Unicode"/>
              </w:rPr>
            </w:pPr>
            <w:r w:rsidRPr="00A053D0">
              <w:rPr>
                <w:rFonts w:eastAsia="Lucida Sans Unicode" w:hAnsi="Lucida Sans Unicode" w:cs="Lucida Sans Unicode"/>
              </w:rPr>
              <w:t>Psychiatric hospitals</w:t>
            </w:r>
          </w:p>
        </w:tc>
        <w:tc>
          <w:tcPr>
            <w:tcW w:w="2268" w:type="dxa"/>
            <w:shd w:val="clear" w:color="auto" w:fill="auto"/>
          </w:tcPr>
          <w:p w14:paraId="40115EC1" w14:textId="77777777" w:rsidR="00896135" w:rsidRPr="00A053D0" w:rsidRDefault="00896135" w:rsidP="00F12314">
            <w:pPr>
              <w:pStyle w:val="TableText"/>
              <w:spacing w:line="264" w:lineRule="auto"/>
              <w:ind w:right="170"/>
              <w:jc w:val="right"/>
              <w:rPr>
                <w:rFonts w:eastAsia="Lucida Sans Unicode" w:hAnsi="Lucida Sans Unicode" w:cs="Lucida Sans Unicode"/>
              </w:rPr>
            </w:pPr>
            <w:r w:rsidRPr="00A053D0">
              <w:rPr>
                <w:rFonts w:eastAsia="Lucida Sans Unicode" w:hAnsi="Lucida Sans Unicode" w:cs="Lucida Sans Unicode"/>
              </w:rPr>
              <w:t>120</w:t>
            </w:r>
          </w:p>
        </w:tc>
      </w:tr>
      <w:tr w:rsidR="00896135" w:rsidRPr="00DC20BD" w14:paraId="3224E4D2" w14:textId="77777777" w:rsidTr="005F08D9">
        <w:trPr>
          <w:cantSplit/>
        </w:trPr>
        <w:tc>
          <w:tcPr>
            <w:tcW w:w="2070" w:type="dxa"/>
            <w:vMerge w:val="restart"/>
            <w:shd w:val="clear" w:color="auto" w:fill="auto"/>
          </w:tcPr>
          <w:p w14:paraId="6E48C573" w14:textId="77777777" w:rsidR="00896135" w:rsidRPr="00DC20BD" w:rsidRDefault="00896135" w:rsidP="00AA2D7C">
            <w:pPr>
              <w:pStyle w:val="TableText"/>
              <w:spacing w:line="264" w:lineRule="auto"/>
            </w:pPr>
            <w:r>
              <w:t>Medical and other health care services</w:t>
            </w:r>
          </w:p>
        </w:tc>
        <w:tc>
          <w:tcPr>
            <w:tcW w:w="3685" w:type="dxa"/>
            <w:shd w:val="clear" w:color="auto" w:fill="auto"/>
          </w:tcPr>
          <w:p w14:paraId="78CBB719" w14:textId="77777777" w:rsidR="00896135" w:rsidRPr="00A053D0" w:rsidRDefault="00896135" w:rsidP="005F08D9">
            <w:pPr>
              <w:pStyle w:val="TableText"/>
              <w:spacing w:line="264" w:lineRule="auto"/>
              <w:rPr>
                <w:rFonts w:eastAsia="Lucida Sans Unicode" w:hAnsi="Lucida Sans Unicode" w:cs="Lucida Sans Unicode"/>
              </w:rPr>
            </w:pPr>
            <w:r w:rsidRPr="00A053D0">
              <w:rPr>
                <w:rFonts w:eastAsia="Lucida Sans Unicode" w:hAnsi="Lucida Sans Unicode" w:cs="Lucida Sans Unicode"/>
              </w:rPr>
              <w:t>Medical services</w:t>
            </w:r>
          </w:p>
        </w:tc>
        <w:tc>
          <w:tcPr>
            <w:tcW w:w="2268" w:type="dxa"/>
            <w:shd w:val="clear" w:color="auto" w:fill="auto"/>
          </w:tcPr>
          <w:p w14:paraId="3A3C30B2" w14:textId="77777777" w:rsidR="00896135" w:rsidRPr="00A053D0" w:rsidRDefault="00896135" w:rsidP="00F12314">
            <w:pPr>
              <w:pStyle w:val="TableText"/>
              <w:spacing w:line="264" w:lineRule="auto"/>
              <w:ind w:right="170"/>
              <w:jc w:val="right"/>
              <w:rPr>
                <w:rFonts w:eastAsia="Lucida Sans Unicode" w:hAnsi="Lucida Sans Unicode" w:cs="Lucida Sans Unicode"/>
              </w:rPr>
            </w:pPr>
            <w:r w:rsidRPr="00A053D0">
              <w:rPr>
                <w:rFonts w:eastAsia="Lucida Sans Unicode" w:hAnsi="Lucida Sans Unicode" w:cs="Lucida Sans Unicode"/>
              </w:rPr>
              <w:t>16,900</w:t>
            </w:r>
          </w:p>
        </w:tc>
      </w:tr>
      <w:tr w:rsidR="00896135" w:rsidRPr="00DC20BD" w14:paraId="7C08E9EE" w14:textId="77777777" w:rsidTr="005F08D9">
        <w:trPr>
          <w:cantSplit/>
        </w:trPr>
        <w:tc>
          <w:tcPr>
            <w:tcW w:w="2070" w:type="dxa"/>
            <w:vMerge/>
            <w:shd w:val="clear" w:color="auto" w:fill="auto"/>
          </w:tcPr>
          <w:p w14:paraId="4C6B230E" w14:textId="77777777" w:rsidR="00896135" w:rsidRPr="00DC20BD" w:rsidRDefault="00896135" w:rsidP="00AA2D7C">
            <w:pPr>
              <w:pStyle w:val="TableText"/>
              <w:spacing w:line="264" w:lineRule="auto"/>
            </w:pPr>
          </w:p>
        </w:tc>
        <w:tc>
          <w:tcPr>
            <w:tcW w:w="3685" w:type="dxa"/>
            <w:shd w:val="clear" w:color="auto" w:fill="auto"/>
          </w:tcPr>
          <w:p w14:paraId="452CB6F6" w14:textId="77777777" w:rsidR="00896135" w:rsidRPr="00A053D0" w:rsidRDefault="00896135" w:rsidP="005F08D9">
            <w:pPr>
              <w:pStyle w:val="TableText"/>
              <w:spacing w:line="264" w:lineRule="auto"/>
              <w:rPr>
                <w:rFonts w:eastAsia="Lucida Sans Unicode" w:hAnsi="Lucida Sans Unicode" w:cs="Lucida Sans Unicode"/>
              </w:rPr>
            </w:pPr>
            <w:r w:rsidRPr="00A053D0">
              <w:rPr>
                <w:rFonts w:eastAsia="Lucida Sans Unicode" w:hAnsi="Lucida Sans Unicode" w:cs="Lucida Sans Unicode"/>
              </w:rPr>
              <w:t>General practice</w:t>
            </w:r>
          </w:p>
        </w:tc>
        <w:tc>
          <w:tcPr>
            <w:tcW w:w="2268" w:type="dxa"/>
            <w:shd w:val="clear" w:color="auto" w:fill="auto"/>
          </w:tcPr>
          <w:p w14:paraId="5F73E444" w14:textId="77777777" w:rsidR="00896135" w:rsidRPr="00A053D0" w:rsidRDefault="00896135" w:rsidP="00F12314">
            <w:pPr>
              <w:pStyle w:val="TableText"/>
              <w:spacing w:line="264" w:lineRule="auto"/>
              <w:ind w:right="170"/>
              <w:jc w:val="right"/>
              <w:rPr>
                <w:rFonts w:eastAsia="Lucida Sans Unicode" w:hAnsi="Lucida Sans Unicode" w:cs="Lucida Sans Unicode"/>
              </w:rPr>
            </w:pPr>
            <w:r w:rsidRPr="00A053D0">
              <w:rPr>
                <w:rFonts w:eastAsia="Lucida Sans Unicode" w:hAnsi="Lucida Sans Unicode" w:cs="Lucida Sans Unicode"/>
              </w:rPr>
              <w:t>13,100</w:t>
            </w:r>
          </w:p>
        </w:tc>
      </w:tr>
      <w:tr w:rsidR="00896135" w:rsidRPr="00DC20BD" w14:paraId="600B7EFE" w14:textId="77777777" w:rsidTr="005F08D9">
        <w:trPr>
          <w:cantSplit/>
        </w:trPr>
        <w:tc>
          <w:tcPr>
            <w:tcW w:w="2070" w:type="dxa"/>
            <w:vMerge/>
            <w:shd w:val="clear" w:color="auto" w:fill="auto"/>
          </w:tcPr>
          <w:p w14:paraId="7D033882" w14:textId="77777777" w:rsidR="00896135" w:rsidRPr="00DC20BD" w:rsidRDefault="00896135" w:rsidP="00AA2D7C">
            <w:pPr>
              <w:pStyle w:val="TableText"/>
              <w:spacing w:line="264" w:lineRule="auto"/>
            </w:pPr>
          </w:p>
        </w:tc>
        <w:tc>
          <w:tcPr>
            <w:tcW w:w="3685" w:type="dxa"/>
            <w:shd w:val="clear" w:color="auto" w:fill="auto"/>
          </w:tcPr>
          <w:p w14:paraId="7F9BC68A" w14:textId="77777777" w:rsidR="00896135" w:rsidRPr="00A053D0" w:rsidRDefault="00896135" w:rsidP="005F08D9">
            <w:pPr>
              <w:pStyle w:val="TableText"/>
              <w:spacing w:line="264" w:lineRule="auto"/>
              <w:rPr>
                <w:rFonts w:eastAsia="Lucida Sans Unicode" w:hAnsi="Lucida Sans Unicode" w:cs="Lucida Sans Unicode"/>
              </w:rPr>
            </w:pPr>
            <w:r w:rsidRPr="00A053D0">
              <w:rPr>
                <w:rFonts w:eastAsia="Lucida Sans Unicode" w:hAnsi="Lucida Sans Unicode" w:cs="Lucida Sans Unicode"/>
              </w:rPr>
              <w:t>Specialist medical services</w:t>
            </w:r>
          </w:p>
        </w:tc>
        <w:tc>
          <w:tcPr>
            <w:tcW w:w="2268" w:type="dxa"/>
            <w:shd w:val="clear" w:color="auto" w:fill="auto"/>
          </w:tcPr>
          <w:p w14:paraId="161C8AF4" w14:textId="77777777" w:rsidR="00896135" w:rsidRPr="00A053D0" w:rsidRDefault="00896135" w:rsidP="00F12314">
            <w:pPr>
              <w:pStyle w:val="TableText"/>
              <w:spacing w:line="264" w:lineRule="auto"/>
              <w:ind w:right="170"/>
              <w:jc w:val="right"/>
              <w:rPr>
                <w:rFonts w:eastAsia="Lucida Sans Unicode" w:hAnsi="Lucida Sans Unicode" w:cs="Lucida Sans Unicode"/>
              </w:rPr>
            </w:pPr>
            <w:r w:rsidRPr="00A053D0">
              <w:rPr>
                <w:rFonts w:eastAsia="Lucida Sans Unicode" w:hAnsi="Lucida Sans Unicode" w:cs="Lucida Sans Unicode"/>
              </w:rPr>
              <w:t>3,800</w:t>
            </w:r>
          </w:p>
        </w:tc>
      </w:tr>
      <w:tr w:rsidR="00896135" w:rsidRPr="00DC20BD" w14:paraId="5B100DB2" w14:textId="77777777" w:rsidTr="005F08D9">
        <w:trPr>
          <w:cantSplit/>
        </w:trPr>
        <w:tc>
          <w:tcPr>
            <w:tcW w:w="2070" w:type="dxa"/>
            <w:vMerge/>
            <w:shd w:val="clear" w:color="auto" w:fill="auto"/>
          </w:tcPr>
          <w:p w14:paraId="3413B3A3" w14:textId="77777777" w:rsidR="00896135" w:rsidRPr="00DC20BD" w:rsidRDefault="00896135" w:rsidP="00AA2D7C">
            <w:pPr>
              <w:pStyle w:val="TableText"/>
              <w:spacing w:line="264" w:lineRule="auto"/>
            </w:pPr>
          </w:p>
        </w:tc>
        <w:tc>
          <w:tcPr>
            <w:tcW w:w="3685" w:type="dxa"/>
            <w:shd w:val="clear" w:color="auto" w:fill="auto"/>
          </w:tcPr>
          <w:p w14:paraId="72DF3420" w14:textId="77777777" w:rsidR="00896135" w:rsidRPr="00A053D0" w:rsidRDefault="00896135" w:rsidP="005F08D9">
            <w:pPr>
              <w:pStyle w:val="TableText"/>
              <w:spacing w:line="264" w:lineRule="auto"/>
              <w:rPr>
                <w:rFonts w:eastAsia="Lucida Sans Unicode" w:hAnsi="Lucida Sans Unicode" w:cs="Lucida Sans Unicode"/>
              </w:rPr>
            </w:pPr>
            <w:r w:rsidRPr="00A053D0">
              <w:rPr>
                <w:rFonts w:eastAsia="Lucida Sans Unicode" w:hAnsi="Lucida Sans Unicode" w:cs="Lucida Sans Unicode"/>
              </w:rPr>
              <w:t>Pathology and diagnostic imaging services</w:t>
            </w:r>
          </w:p>
        </w:tc>
        <w:tc>
          <w:tcPr>
            <w:tcW w:w="2268" w:type="dxa"/>
            <w:shd w:val="clear" w:color="auto" w:fill="auto"/>
          </w:tcPr>
          <w:p w14:paraId="77DFAD80" w14:textId="77777777" w:rsidR="00896135" w:rsidRPr="00A053D0" w:rsidRDefault="00896135" w:rsidP="00F12314">
            <w:pPr>
              <w:pStyle w:val="TableText"/>
              <w:spacing w:line="264" w:lineRule="auto"/>
              <w:ind w:right="170"/>
              <w:jc w:val="right"/>
              <w:rPr>
                <w:rFonts w:eastAsia="Lucida Sans Unicode" w:hAnsi="Lucida Sans Unicode" w:cs="Lucida Sans Unicode"/>
              </w:rPr>
            </w:pPr>
            <w:r w:rsidRPr="00A053D0">
              <w:rPr>
                <w:rFonts w:eastAsia="Lucida Sans Unicode" w:hAnsi="Lucida Sans Unicode" w:cs="Lucida Sans Unicode"/>
              </w:rPr>
              <w:t>4,400</w:t>
            </w:r>
          </w:p>
        </w:tc>
      </w:tr>
      <w:tr w:rsidR="00896135" w:rsidRPr="00DC20BD" w14:paraId="3193A260" w14:textId="77777777" w:rsidTr="005F08D9">
        <w:trPr>
          <w:cantSplit/>
        </w:trPr>
        <w:tc>
          <w:tcPr>
            <w:tcW w:w="2070" w:type="dxa"/>
            <w:vMerge w:val="restart"/>
            <w:shd w:val="clear" w:color="auto" w:fill="auto"/>
          </w:tcPr>
          <w:p w14:paraId="11EA4BCB" w14:textId="77777777" w:rsidR="00896135" w:rsidRPr="00DC20BD" w:rsidRDefault="00896135" w:rsidP="00AA2D7C">
            <w:pPr>
              <w:pStyle w:val="TableText"/>
              <w:spacing w:line="264" w:lineRule="auto"/>
            </w:pPr>
            <w:r>
              <w:t>Allied health services</w:t>
            </w:r>
          </w:p>
        </w:tc>
        <w:tc>
          <w:tcPr>
            <w:tcW w:w="3685" w:type="dxa"/>
            <w:shd w:val="clear" w:color="auto" w:fill="auto"/>
          </w:tcPr>
          <w:p w14:paraId="646A7453" w14:textId="77777777" w:rsidR="00896135" w:rsidRPr="00A053D0" w:rsidRDefault="00896135" w:rsidP="005F08D9">
            <w:pPr>
              <w:pStyle w:val="TableText"/>
              <w:spacing w:line="264" w:lineRule="auto"/>
              <w:rPr>
                <w:rFonts w:eastAsia="Lucida Sans Unicode" w:hAnsi="Lucida Sans Unicode" w:cs="Lucida Sans Unicode"/>
              </w:rPr>
            </w:pPr>
            <w:r w:rsidRPr="00A053D0">
              <w:rPr>
                <w:rFonts w:eastAsia="Lucida Sans Unicode" w:hAnsi="Lucida Sans Unicode" w:cs="Lucida Sans Unicode"/>
              </w:rPr>
              <w:t>Dental services</w:t>
            </w:r>
          </w:p>
        </w:tc>
        <w:tc>
          <w:tcPr>
            <w:tcW w:w="2268" w:type="dxa"/>
            <w:shd w:val="clear" w:color="auto" w:fill="auto"/>
          </w:tcPr>
          <w:p w14:paraId="62FD7C3A" w14:textId="77777777" w:rsidR="00896135" w:rsidRPr="00A053D0" w:rsidRDefault="00896135" w:rsidP="00F12314">
            <w:pPr>
              <w:pStyle w:val="TableText"/>
              <w:spacing w:line="264" w:lineRule="auto"/>
              <w:ind w:right="170"/>
              <w:jc w:val="right"/>
              <w:rPr>
                <w:rFonts w:eastAsia="Lucida Sans Unicode" w:hAnsi="Lucida Sans Unicode" w:cs="Lucida Sans Unicode"/>
              </w:rPr>
            </w:pPr>
            <w:r w:rsidRPr="00A053D0">
              <w:rPr>
                <w:rFonts w:eastAsia="Lucida Sans Unicode" w:hAnsi="Lucida Sans Unicode" w:cs="Lucida Sans Unicode"/>
              </w:rPr>
              <w:t>5,700</w:t>
            </w:r>
          </w:p>
        </w:tc>
      </w:tr>
      <w:tr w:rsidR="00896135" w:rsidRPr="00DC20BD" w14:paraId="1B4AF961" w14:textId="77777777" w:rsidTr="005F08D9">
        <w:trPr>
          <w:cantSplit/>
        </w:trPr>
        <w:tc>
          <w:tcPr>
            <w:tcW w:w="2070" w:type="dxa"/>
            <w:vMerge/>
            <w:shd w:val="clear" w:color="auto" w:fill="auto"/>
          </w:tcPr>
          <w:p w14:paraId="07C90689" w14:textId="77777777" w:rsidR="00896135" w:rsidRPr="00DC20BD" w:rsidRDefault="00896135" w:rsidP="00AA2D7C">
            <w:pPr>
              <w:pStyle w:val="TableText"/>
              <w:spacing w:line="264" w:lineRule="auto"/>
            </w:pPr>
          </w:p>
        </w:tc>
        <w:tc>
          <w:tcPr>
            <w:tcW w:w="3685" w:type="dxa"/>
            <w:shd w:val="clear" w:color="auto" w:fill="auto"/>
          </w:tcPr>
          <w:p w14:paraId="460C5816" w14:textId="77777777" w:rsidR="00896135" w:rsidRPr="00A053D0" w:rsidRDefault="00896135" w:rsidP="005F08D9">
            <w:pPr>
              <w:pStyle w:val="TableText"/>
              <w:spacing w:line="264" w:lineRule="auto"/>
              <w:rPr>
                <w:rFonts w:eastAsia="Lucida Sans Unicode" w:hAnsi="Lucida Sans Unicode" w:cs="Lucida Sans Unicode"/>
              </w:rPr>
            </w:pPr>
            <w:r w:rsidRPr="00A053D0">
              <w:rPr>
                <w:rFonts w:eastAsia="Lucida Sans Unicode" w:hAnsi="Lucida Sans Unicode" w:cs="Lucida Sans Unicode"/>
              </w:rPr>
              <w:t>Optometry and optical dispensing</w:t>
            </w:r>
          </w:p>
        </w:tc>
        <w:tc>
          <w:tcPr>
            <w:tcW w:w="2268" w:type="dxa"/>
            <w:shd w:val="clear" w:color="auto" w:fill="auto"/>
          </w:tcPr>
          <w:p w14:paraId="629C252C" w14:textId="77777777" w:rsidR="00896135" w:rsidRPr="00A053D0" w:rsidRDefault="00896135" w:rsidP="00F12314">
            <w:pPr>
              <w:pStyle w:val="TableText"/>
              <w:spacing w:line="264" w:lineRule="auto"/>
              <w:ind w:right="170"/>
              <w:jc w:val="right"/>
              <w:rPr>
                <w:rFonts w:eastAsia="Lucida Sans Unicode" w:hAnsi="Lucida Sans Unicode" w:cs="Lucida Sans Unicode"/>
              </w:rPr>
            </w:pPr>
            <w:r w:rsidRPr="00A053D0">
              <w:rPr>
                <w:rFonts w:eastAsia="Lucida Sans Unicode" w:hAnsi="Lucida Sans Unicode" w:cs="Lucida Sans Unicode"/>
              </w:rPr>
              <w:t>2,600</w:t>
            </w:r>
          </w:p>
        </w:tc>
      </w:tr>
      <w:tr w:rsidR="00896135" w:rsidRPr="00DC20BD" w14:paraId="60B79C07" w14:textId="77777777" w:rsidTr="005F08D9">
        <w:trPr>
          <w:cantSplit/>
        </w:trPr>
        <w:tc>
          <w:tcPr>
            <w:tcW w:w="2070" w:type="dxa"/>
            <w:vMerge/>
            <w:shd w:val="clear" w:color="auto" w:fill="auto"/>
          </w:tcPr>
          <w:p w14:paraId="264DC366" w14:textId="77777777" w:rsidR="00896135" w:rsidRPr="00DC20BD" w:rsidRDefault="00896135" w:rsidP="00AA2D7C">
            <w:pPr>
              <w:pStyle w:val="TableText"/>
              <w:spacing w:line="264" w:lineRule="auto"/>
            </w:pPr>
          </w:p>
        </w:tc>
        <w:tc>
          <w:tcPr>
            <w:tcW w:w="3685" w:type="dxa"/>
            <w:shd w:val="clear" w:color="auto" w:fill="auto"/>
          </w:tcPr>
          <w:p w14:paraId="104DECA2" w14:textId="77777777" w:rsidR="00896135" w:rsidRPr="00A053D0" w:rsidRDefault="00896135" w:rsidP="005F08D9">
            <w:pPr>
              <w:pStyle w:val="TableText"/>
              <w:spacing w:line="264" w:lineRule="auto"/>
              <w:rPr>
                <w:rFonts w:eastAsia="Lucida Sans Unicode" w:hAnsi="Lucida Sans Unicode" w:cs="Lucida Sans Unicode"/>
              </w:rPr>
            </w:pPr>
            <w:r w:rsidRPr="00A053D0">
              <w:rPr>
                <w:rFonts w:eastAsia="Lucida Sans Unicode" w:hAnsi="Lucida Sans Unicode" w:cs="Lucida Sans Unicode"/>
              </w:rPr>
              <w:t>Physiotherapy services</w:t>
            </w:r>
          </w:p>
        </w:tc>
        <w:tc>
          <w:tcPr>
            <w:tcW w:w="2268" w:type="dxa"/>
            <w:shd w:val="clear" w:color="auto" w:fill="auto"/>
          </w:tcPr>
          <w:p w14:paraId="187BCEC2" w14:textId="77777777" w:rsidR="00896135" w:rsidRPr="00A053D0" w:rsidRDefault="00896135" w:rsidP="00F12314">
            <w:pPr>
              <w:pStyle w:val="TableText"/>
              <w:spacing w:line="264" w:lineRule="auto"/>
              <w:ind w:right="170"/>
              <w:jc w:val="right"/>
              <w:rPr>
                <w:rFonts w:eastAsia="Lucida Sans Unicode" w:hAnsi="Lucida Sans Unicode" w:cs="Lucida Sans Unicode"/>
              </w:rPr>
            </w:pPr>
            <w:r w:rsidRPr="00A053D0">
              <w:rPr>
                <w:rFonts w:eastAsia="Lucida Sans Unicode" w:hAnsi="Lucida Sans Unicode" w:cs="Lucida Sans Unicode"/>
              </w:rPr>
              <w:t>3,050</w:t>
            </w:r>
          </w:p>
        </w:tc>
      </w:tr>
      <w:tr w:rsidR="00896135" w:rsidRPr="00DC20BD" w14:paraId="55206403" w14:textId="77777777" w:rsidTr="005F08D9">
        <w:trPr>
          <w:cantSplit/>
        </w:trPr>
        <w:tc>
          <w:tcPr>
            <w:tcW w:w="2070" w:type="dxa"/>
            <w:vMerge/>
            <w:shd w:val="clear" w:color="auto" w:fill="auto"/>
          </w:tcPr>
          <w:p w14:paraId="7EE9912E" w14:textId="77777777" w:rsidR="00896135" w:rsidRPr="00DC20BD" w:rsidRDefault="00896135" w:rsidP="00AA2D7C">
            <w:pPr>
              <w:pStyle w:val="TableText"/>
              <w:spacing w:line="264" w:lineRule="auto"/>
            </w:pPr>
          </w:p>
        </w:tc>
        <w:tc>
          <w:tcPr>
            <w:tcW w:w="3685" w:type="dxa"/>
            <w:shd w:val="clear" w:color="auto" w:fill="auto"/>
          </w:tcPr>
          <w:p w14:paraId="61738D57" w14:textId="77777777" w:rsidR="00896135" w:rsidRPr="00A053D0" w:rsidRDefault="00896135" w:rsidP="005F08D9">
            <w:pPr>
              <w:pStyle w:val="TableText"/>
              <w:spacing w:line="264" w:lineRule="auto"/>
              <w:rPr>
                <w:rFonts w:eastAsia="Lucida Sans Unicode" w:hAnsi="Lucida Sans Unicode" w:cs="Lucida Sans Unicode"/>
              </w:rPr>
            </w:pPr>
            <w:r w:rsidRPr="00A053D0">
              <w:rPr>
                <w:rFonts w:eastAsia="Lucida Sans Unicode" w:hAnsi="Lucida Sans Unicode" w:cs="Lucida Sans Unicode"/>
              </w:rPr>
              <w:t>Chiropractic and osteopathic services</w:t>
            </w:r>
          </w:p>
        </w:tc>
        <w:tc>
          <w:tcPr>
            <w:tcW w:w="2268" w:type="dxa"/>
            <w:shd w:val="clear" w:color="auto" w:fill="auto"/>
          </w:tcPr>
          <w:p w14:paraId="290237B8" w14:textId="77777777" w:rsidR="00896135" w:rsidRPr="00A053D0" w:rsidRDefault="00896135" w:rsidP="00F12314">
            <w:pPr>
              <w:pStyle w:val="TableText"/>
              <w:spacing w:line="264" w:lineRule="auto"/>
              <w:ind w:right="170"/>
              <w:jc w:val="right"/>
              <w:rPr>
                <w:rFonts w:eastAsia="Lucida Sans Unicode" w:hAnsi="Lucida Sans Unicode" w:cs="Lucida Sans Unicode"/>
              </w:rPr>
            </w:pPr>
            <w:r w:rsidRPr="00A053D0">
              <w:rPr>
                <w:rFonts w:eastAsia="Lucida Sans Unicode" w:hAnsi="Lucida Sans Unicode" w:cs="Lucida Sans Unicode"/>
              </w:rPr>
              <w:t>760</w:t>
            </w:r>
          </w:p>
        </w:tc>
      </w:tr>
      <w:tr w:rsidR="00896135" w:rsidRPr="00DC20BD" w14:paraId="1A17247E" w14:textId="77777777" w:rsidTr="005F08D9">
        <w:trPr>
          <w:cantSplit/>
        </w:trPr>
        <w:tc>
          <w:tcPr>
            <w:tcW w:w="2070" w:type="dxa"/>
            <w:vMerge/>
            <w:shd w:val="clear" w:color="auto" w:fill="auto"/>
          </w:tcPr>
          <w:p w14:paraId="56A99C95" w14:textId="77777777" w:rsidR="00896135" w:rsidRPr="00DC20BD" w:rsidRDefault="00896135" w:rsidP="00AA2D7C">
            <w:pPr>
              <w:pStyle w:val="TableText"/>
              <w:spacing w:line="264" w:lineRule="auto"/>
            </w:pPr>
          </w:p>
        </w:tc>
        <w:tc>
          <w:tcPr>
            <w:tcW w:w="3685" w:type="dxa"/>
            <w:shd w:val="clear" w:color="auto" w:fill="auto"/>
          </w:tcPr>
          <w:p w14:paraId="43E8E3A2" w14:textId="77777777" w:rsidR="00896135" w:rsidRPr="00A053D0" w:rsidRDefault="00896135" w:rsidP="005F08D9">
            <w:pPr>
              <w:pStyle w:val="TableText"/>
              <w:spacing w:line="264" w:lineRule="auto"/>
              <w:rPr>
                <w:rFonts w:eastAsia="Lucida Sans Unicode" w:hAnsi="Lucida Sans Unicode" w:cs="Lucida Sans Unicode"/>
              </w:rPr>
            </w:pPr>
            <w:r w:rsidRPr="00A053D0">
              <w:rPr>
                <w:rFonts w:eastAsia="Lucida Sans Unicode" w:hAnsi="Lucida Sans Unicode" w:cs="Lucida Sans Unicode"/>
              </w:rPr>
              <w:t>Other allied health services</w:t>
            </w:r>
          </w:p>
        </w:tc>
        <w:tc>
          <w:tcPr>
            <w:tcW w:w="2268" w:type="dxa"/>
            <w:shd w:val="clear" w:color="auto" w:fill="auto"/>
          </w:tcPr>
          <w:p w14:paraId="5871A015" w14:textId="77777777" w:rsidR="00896135" w:rsidRPr="00A053D0" w:rsidRDefault="00896135" w:rsidP="00F12314">
            <w:pPr>
              <w:pStyle w:val="TableText"/>
              <w:spacing w:line="264" w:lineRule="auto"/>
              <w:ind w:right="170"/>
              <w:jc w:val="right"/>
              <w:rPr>
                <w:rFonts w:eastAsia="Lucida Sans Unicode" w:hAnsi="Lucida Sans Unicode" w:cs="Lucida Sans Unicode"/>
              </w:rPr>
            </w:pPr>
            <w:r w:rsidRPr="00A053D0">
              <w:rPr>
                <w:rFonts w:eastAsia="Lucida Sans Unicode" w:hAnsi="Lucida Sans Unicode" w:cs="Lucida Sans Unicode"/>
              </w:rPr>
              <w:t>25,300</w:t>
            </w:r>
          </w:p>
        </w:tc>
      </w:tr>
      <w:tr w:rsidR="00896135" w:rsidRPr="00DC20BD" w14:paraId="61F6A563" w14:textId="77777777" w:rsidTr="005F08D9">
        <w:trPr>
          <w:cantSplit/>
        </w:trPr>
        <w:tc>
          <w:tcPr>
            <w:tcW w:w="2070" w:type="dxa"/>
            <w:vMerge w:val="restart"/>
            <w:shd w:val="clear" w:color="auto" w:fill="auto"/>
          </w:tcPr>
          <w:p w14:paraId="04DFA79B" w14:textId="77777777" w:rsidR="00896135" w:rsidRPr="00DC20BD" w:rsidRDefault="00896135" w:rsidP="00AA2D7C">
            <w:pPr>
              <w:pStyle w:val="TableText"/>
              <w:spacing w:line="264" w:lineRule="auto"/>
            </w:pPr>
            <w:r>
              <w:t>Other health care services</w:t>
            </w:r>
          </w:p>
        </w:tc>
        <w:tc>
          <w:tcPr>
            <w:tcW w:w="3685" w:type="dxa"/>
            <w:shd w:val="clear" w:color="auto" w:fill="auto"/>
          </w:tcPr>
          <w:p w14:paraId="132D90C5" w14:textId="77777777" w:rsidR="00896135" w:rsidRPr="00A053D0" w:rsidRDefault="00896135" w:rsidP="005F08D9">
            <w:pPr>
              <w:pStyle w:val="TableText"/>
              <w:spacing w:line="264" w:lineRule="auto"/>
              <w:rPr>
                <w:rFonts w:eastAsia="Lucida Sans Unicode" w:hAnsi="Lucida Sans Unicode" w:cs="Lucida Sans Unicode"/>
              </w:rPr>
            </w:pPr>
            <w:r w:rsidRPr="00A053D0">
              <w:rPr>
                <w:rFonts w:eastAsia="Lucida Sans Unicode" w:hAnsi="Lucida Sans Unicode" w:cs="Lucida Sans Unicode"/>
              </w:rPr>
              <w:t>Ambulance services</w:t>
            </w:r>
          </w:p>
        </w:tc>
        <w:tc>
          <w:tcPr>
            <w:tcW w:w="2268" w:type="dxa"/>
            <w:shd w:val="clear" w:color="auto" w:fill="auto"/>
          </w:tcPr>
          <w:p w14:paraId="56179687" w14:textId="77777777" w:rsidR="00896135" w:rsidRPr="00A053D0" w:rsidRDefault="00896135" w:rsidP="00F12314">
            <w:pPr>
              <w:pStyle w:val="TableText"/>
              <w:spacing w:line="264" w:lineRule="auto"/>
              <w:ind w:right="170"/>
              <w:jc w:val="right"/>
              <w:rPr>
                <w:rFonts w:eastAsia="Lucida Sans Unicode" w:hAnsi="Lucida Sans Unicode" w:cs="Lucida Sans Unicode"/>
              </w:rPr>
            </w:pPr>
            <w:r w:rsidRPr="00A053D0">
              <w:rPr>
                <w:rFonts w:eastAsia="Lucida Sans Unicode" w:hAnsi="Lucida Sans Unicode" w:cs="Lucida Sans Unicode"/>
              </w:rPr>
              <w:t>3,550</w:t>
            </w:r>
          </w:p>
        </w:tc>
      </w:tr>
      <w:tr w:rsidR="00896135" w:rsidRPr="00DC20BD" w14:paraId="322AF359" w14:textId="77777777" w:rsidTr="005F08D9">
        <w:trPr>
          <w:cantSplit/>
        </w:trPr>
        <w:tc>
          <w:tcPr>
            <w:tcW w:w="2070" w:type="dxa"/>
            <w:vMerge/>
            <w:shd w:val="clear" w:color="auto" w:fill="auto"/>
          </w:tcPr>
          <w:p w14:paraId="4E33B9D4" w14:textId="77777777" w:rsidR="00896135" w:rsidRPr="00DC20BD" w:rsidRDefault="00896135" w:rsidP="00AA2D7C">
            <w:pPr>
              <w:pStyle w:val="TableText"/>
              <w:spacing w:line="264" w:lineRule="auto"/>
            </w:pPr>
          </w:p>
        </w:tc>
        <w:tc>
          <w:tcPr>
            <w:tcW w:w="3685" w:type="dxa"/>
            <w:shd w:val="clear" w:color="auto" w:fill="auto"/>
          </w:tcPr>
          <w:p w14:paraId="316CE550" w14:textId="77777777" w:rsidR="00896135" w:rsidRPr="00A053D0" w:rsidRDefault="00896135" w:rsidP="005F08D9">
            <w:pPr>
              <w:pStyle w:val="TableText"/>
              <w:spacing w:line="264" w:lineRule="auto"/>
              <w:rPr>
                <w:rFonts w:eastAsia="Lucida Sans Unicode" w:hAnsi="Lucida Sans Unicode" w:cs="Lucida Sans Unicode"/>
              </w:rPr>
            </w:pPr>
            <w:r w:rsidRPr="00A053D0">
              <w:rPr>
                <w:rFonts w:eastAsia="Lucida Sans Unicode" w:hAnsi="Lucida Sans Unicode" w:cs="Lucida Sans Unicode"/>
              </w:rPr>
              <w:t>Other health care services</w:t>
            </w:r>
          </w:p>
        </w:tc>
        <w:tc>
          <w:tcPr>
            <w:tcW w:w="2268" w:type="dxa"/>
            <w:shd w:val="clear" w:color="auto" w:fill="auto"/>
          </w:tcPr>
          <w:p w14:paraId="39A60C19" w14:textId="77777777" w:rsidR="00896135" w:rsidRPr="00A053D0" w:rsidRDefault="00896135" w:rsidP="00F12314">
            <w:pPr>
              <w:pStyle w:val="TableText"/>
              <w:spacing w:line="264" w:lineRule="auto"/>
              <w:ind w:right="170"/>
              <w:jc w:val="right"/>
              <w:rPr>
                <w:rFonts w:eastAsia="Lucida Sans Unicode" w:hAnsi="Lucida Sans Unicode" w:cs="Lucida Sans Unicode"/>
              </w:rPr>
            </w:pPr>
            <w:r w:rsidRPr="00A053D0">
              <w:rPr>
                <w:rFonts w:eastAsia="Lucida Sans Unicode" w:hAnsi="Lucida Sans Unicode" w:cs="Lucida Sans Unicode"/>
              </w:rPr>
              <w:t>7,100</w:t>
            </w:r>
          </w:p>
        </w:tc>
      </w:tr>
      <w:tr w:rsidR="00896135" w:rsidRPr="00DC20BD" w14:paraId="063F8CA0" w14:textId="77777777" w:rsidTr="005F08D9">
        <w:trPr>
          <w:cantSplit/>
        </w:trPr>
        <w:tc>
          <w:tcPr>
            <w:tcW w:w="2070" w:type="dxa"/>
            <w:vMerge w:val="restart"/>
            <w:shd w:val="clear" w:color="auto" w:fill="auto"/>
          </w:tcPr>
          <w:p w14:paraId="34C67620" w14:textId="77777777" w:rsidR="00896135" w:rsidRPr="00DC20BD" w:rsidRDefault="00896135" w:rsidP="00AA2D7C">
            <w:pPr>
              <w:pStyle w:val="TableText"/>
              <w:spacing w:line="264" w:lineRule="auto"/>
            </w:pPr>
            <w:r>
              <w:t>Residential care services</w:t>
            </w:r>
          </w:p>
        </w:tc>
        <w:tc>
          <w:tcPr>
            <w:tcW w:w="3685" w:type="dxa"/>
            <w:shd w:val="clear" w:color="auto" w:fill="auto"/>
          </w:tcPr>
          <w:p w14:paraId="3CAE6678" w14:textId="77777777" w:rsidR="00896135" w:rsidRPr="00A053D0" w:rsidRDefault="00896135" w:rsidP="005F08D9">
            <w:pPr>
              <w:pStyle w:val="TableText"/>
              <w:spacing w:line="264" w:lineRule="auto"/>
              <w:rPr>
                <w:rFonts w:eastAsia="Lucida Sans Unicode" w:hAnsi="Lucida Sans Unicode" w:cs="Lucida Sans Unicode"/>
              </w:rPr>
            </w:pPr>
            <w:r w:rsidRPr="00A053D0">
              <w:rPr>
                <w:rFonts w:eastAsia="Lucida Sans Unicode" w:hAnsi="Lucida Sans Unicode" w:cs="Lucida Sans Unicode"/>
              </w:rPr>
              <w:t>Aged care residential services</w:t>
            </w:r>
          </w:p>
        </w:tc>
        <w:tc>
          <w:tcPr>
            <w:tcW w:w="2268" w:type="dxa"/>
            <w:shd w:val="clear" w:color="auto" w:fill="auto"/>
          </w:tcPr>
          <w:p w14:paraId="099DCFF4" w14:textId="77777777" w:rsidR="00896135" w:rsidRPr="00A053D0" w:rsidRDefault="00896135" w:rsidP="00F12314">
            <w:pPr>
              <w:pStyle w:val="TableText"/>
              <w:spacing w:line="264" w:lineRule="auto"/>
              <w:ind w:right="170"/>
              <w:jc w:val="right"/>
              <w:rPr>
                <w:rFonts w:eastAsia="Lucida Sans Unicode" w:hAnsi="Lucida Sans Unicode" w:cs="Lucida Sans Unicode"/>
              </w:rPr>
            </w:pPr>
            <w:r w:rsidRPr="00A053D0">
              <w:rPr>
                <w:rFonts w:eastAsia="Lucida Sans Unicode" w:hAnsi="Lucida Sans Unicode" w:cs="Lucida Sans Unicode"/>
              </w:rPr>
              <w:t>37,800</w:t>
            </w:r>
          </w:p>
        </w:tc>
      </w:tr>
      <w:tr w:rsidR="00896135" w:rsidRPr="00DC20BD" w14:paraId="74231317" w14:textId="77777777" w:rsidTr="005F08D9">
        <w:trPr>
          <w:cantSplit/>
        </w:trPr>
        <w:tc>
          <w:tcPr>
            <w:tcW w:w="2070" w:type="dxa"/>
            <w:vMerge/>
            <w:shd w:val="clear" w:color="auto" w:fill="auto"/>
          </w:tcPr>
          <w:p w14:paraId="4F028674" w14:textId="77777777" w:rsidR="00896135" w:rsidRPr="00DC20BD" w:rsidRDefault="00896135" w:rsidP="00AA2D7C">
            <w:pPr>
              <w:pStyle w:val="TableText"/>
              <w:spacing w:line="264" w:lineRule="auto"/>
            </w:pPr>
          </w:p>
        </w:tc>
        <w:tc>
          <w:tcPr>
            <w:tcW w:w="3685" w:type="dxa"/>
            <w:shd w:val="clear" w:color="auto" w:fill="auto"/>
          </w:tcPr>
          <w:p w14:paraId="2EECF00D" w14:textId="77777777" w:rsidR="00896135" w:rsidRPr="00A053D0" w:rsidRDefault="00896135" w:rsidP="005F08D9">
            <w:pPr>
              <w:pStyle w:val="TableText"/>
              <w:spacing w:line="264" w:lineRule="auto"/>
              <w:rPr>
                <w:rFonts w:eastAsia="Lucida Sans Unicode" w:hAnsi="Lucida Sans Unicode" w:cs="Lucida Sans Unicode"/>
              </w:rPr>
            </w:pPr>
            <w:r w:rsidRPr="00A053D0">
              <w:rPr>
                <w:rFonts w:eastAsia="Lucida Sans Unicode" w:hAnsi="Lucida Sans Unicode" w:cs="Lucida Sans Unicode"/>
              </w:rPr>
              <w:t>Other residential care services</w:t>
            </w:r>
          </w:p>
        </w:tc>
        <w:tc>
          <w:tcPr>
            <w:tcW w:w="2268" w:type="dxa"/>
            <w:shd w:val="clear" w:color="auto" w:fill="auto"/>
          </w:tcPr>
          <w:p w14:paraId="52C1E961" w14:textId="77777777" w:rsidR="00896135" w:rsidRPr="00A053D0" w:rsidRDefault="00896135" w:rsidP="00F12314">
            <w:pPr>
              <w:pStyle w:val="TableText"/>
              <w:spacing w:line="264" w:lineRule="auto"/>
              <w:ind w:right="170"/>
              <w:jc w:val="right"/>
              <w:rPr>
                <w:rFonts w:eastAsia="Lucida Sans Unicode" w:hAnsi="Lucida Sans Unicode" w:cs="Lucida Sans Unicode"/>
              </w:rPr>
            </w:pPr>
            <w:r w:rsidRPr="00A053D0">
              <w:rPr>
                <w:rFonts w:eastAsia="Lucida Sans Unicode" w:hAnsi="Lucida Sans Unicode" w:cs="Lucida Sans Unicode"/>
              </w:rPr>
              <w:t>16,300</w:t>
            </w:r>
          </w:p>
        </w:tc>
      </w:tr>
      <w:tr w:rsidR="00896135" w:rsidRPr="00DC20BD" w14:paraId="325013A9" w14:textId="77777777" w:rsidTr="005F08D9">
        <w:trPr>
          <w:cantSplit/>
        </w:trPr>
        <w:tc>
          <w:tcPr>
            <w:tcW w:w="2070" w:type="dxa"/>
            <w:shd w:val="clear" w:color="auto" w:fill="auto"/>
          </w:tcPr>
          <w:p w14:paraId="00A045EE" w14:textId="77777777" w:rsidR="00896135" w:rsidRPr="00DC20BD" w:rsidRDefault="00896135" w:rsidP="00AA2D7C">
            <w:pPr>
              <w:pStyle w:val="TableText"/>
              <w:spacing w:line="264" w:lineRule="auto"/>
            </w:pPr>
            <w:r>
              <w:t>Social assistance services</w:t>
            </w:r>
          </w:p>
        </w:tc>
        <w:tc>
          <w:tcPr>
            <w:tcW w:w="3685" w:type="dxa"/>
            <w:shd w:val="clear" w:color="auto" w:fill="auto"/>
          </w:tcPr>
          <w:p w14:paraId="1FA77695" w14:textId="77777777" w:rsidR="00896135" w:rsidRPr="00A053D0" w:rsidRDefault="00896135" w:rsidP="005F08D9">
            <w:pPr>
              <w:pStyle w:val="TableText"/>
              <w:spacing w:line="264" w:lineRule="auto"/>
              <w:rPr>
                <w:rFonts w:eastAsia="Lucida Sans Unicode" w:hAnsi="Lucida Sans Unicode" w:cs="Lucida Sans Unicode"/>
              </w:rPr>
            </w:pPr>
            <w:r w:rsidRPr="00A053D0">
              <w:rPr>
                <w:rFonts w:eastAsia="Lucida Sans Unicode" w:hAnsi="Lucida Sans Unicode" w:cs="Lucida Sans Unicode"/>
              </w:rPr>
              <w:t>Social assistance services</w:t>
            </w:r>
          </w:p>
        </w:tc>
        <w:tc>
          <w:tcPr>
            <w:tcW w:w="2268" w:type="dxa"/>
            <w:shd w:val="clear" w:color="auto" w:fill="auto"/>
          </w:tcPr>
          <w:p w14:paraId="767CF1AB" w14:textId="77777777" w:rsidR="00896135" w:rsidRPr="00A053D0" w:rsidRDefault="00896135" w:rsidP="00F12314">
            <w:pPr>
              <w:pStyle w:val="TableText"/>
              <w:spacing w:line="264" w:lineRule="auto"/>
              <w:ind w:right="170"/>
              <w:jc w:val="right"/>
              <w:rPr>
                <w:rFonts w:eastAsia="Lucida Sans Unicode" w:hAnsi="Lucida Sans Unicode" w:cs="Lucida Sans Unicode"/>
              </w:rPr>
            </w:pPr>
            <w:r w:rsidRPr="00A053D0">
              <w:rPr>
                <w:rFonts w:eastAsia="Lucida Sans Unicode" w:hAnsi="Lucida Sans Unicode" w:cs="Lucida Sans Unicode"/>
              </w:rPr>
              <w:t>33,400</w:t>
            </w:r>
          </w:p>
        </w:tc>
      </w:tr>
    </w:tbl>
    <w:p w14:paraId="450F173B" w14:textId="77777777" w:rsidR="00896135" w:rsidRDefault="00896135" w:rsidP="00896135">
      <w:pPr>
        <w:pStyle w:val="Source"/>
      </w:pPr>
      <w:r>
        <w:t>Source: Statistics New Zealand</w:t>
      </w:r>
    </w:p>
    <w:p w14:paraId="6EFB0E4B" w14:textId="77777777" w:rsidR="00896135" w:rsidRPr="007D3C38" w:rsidRDefault="00896135" w:rsidP="00896135"/>
    <w:p w14:paraId="3060479C" w14:textId="07B451DE" w:rsidR="00896135" w:rsidRDefault="00896135" w:rsidP="00896135">
      <w:r>
        <w:t xml:space="preserve">The </w:t>
      </w:r>
      <w:r w:rsidRPr="00632C94">
        <w:rPr>
          <w:rFonts w:cs="Segoe UI"/>
        </w:rPr>
        <w:t>Māori</w:t>
      </w:r>
      <w:r>
        <w:rPr>
          <w:rFonts w:ascii="Calibri" w:hAnsi="Calibri" w:cs="Calibri"/>
        </w:rPr>
        <w:t xml:space="preserve"> </w:t>
      </w:r>
      <w:r>
        <w:t xml:space="preserve">and Pacific populations are not well represented in the health and disability workforce or within DHBs. </w:t>
      </w:r>
      <w:r w:rsidRPr="006C1E67">
        <w:rPr>
          <w:rFonts w:cs="Segoe UI"/>
        </w:rPr>
        <w:t>Māori</w:t>
      </w:r>
      <w:r>
        <w:rPr>
          <w:rFonts w:ascii="Calibri" w:hAnsi="Calibri" w:cs="Calibri"/>
        </w:rPr>
        <w:t xml:space="preserve"> </w:t>
      </w:r>
      <w:r>
        <w:t xml:space="preserve">are about 15% of our population </w:t>
      </w:r>
      <w:r w:rsidR="009528AA">
        <w:t xml:space="preserve">but only </w:t>
      </w:r>
      <w:r>
        <w:t xml:space="preserve">8% of the DHB workforce. Pacific peoples are about 8% of our population and just 4% of the DHB workforce. </w:t>
      </w:r>
      <w:r w:rsidR="00F12314">
        <w:fldChar w:fldCharType="begin"/>
      </w:r>
      <w:r w:rsidR="00F12314">
        <w:instrText xml:space="preserve"> REF _Ref54198584 \h </w:instrText>
      </w:r>
      <w:r w:rsidR="00F12314">
        <w:fldChar w:fldCharType="separate"/>
      </w:r>
      <w:r w:rsidR="00884C99" w:rsidRPr="00F12314">
        <w:rPr>
          <w:rFonts w:eastAsia="Arial"/>
        </w:rPr>
        <w:t xml:space="preserve">Table </w:t>
      </w:r>
      <w:r w:rsidR="00884C99">
        <w:rPr>
          <w:rFonts w:eastAsia="Arial"/>
          <w:noProof/>
        </w:rPr>
        <w:t>3</w:t>
      </w:r>
      <w:r w:rsidR="00F12314">
        <w:fldChar w:fldCharType="end"/>
      </w:r>
      <w:r w:rsidR="00F12314">
        <w:t xml:space="preserve"> </w:t>
      </w:r>
      <w:r>
        <w:t>shows</w:t>
      </w:r>
      <w:r w:rsidR="009528AA">
        <w:t xml:space="preserve"> that</w:t>
      </w:r>
      <w:r>
        <w:t xml:space="preserve"> this under-representation is apparent across most of the health and disability professional groups (Health &amp; Disability System Review, Interim Report p229).</w:t>
      </w:r>
    </w:p>
    <w:p w14:paraId="78A808F4" w14:textId="77777777" w:rsidR="00896135" w:rsidRDefault="00896135" w:rsidP="00896135"/>
    <w:p w14:paraId="616C7E50" w14:textId="0143661A" w:rsidR="00896135" w:rsidRPr="00F12314" w:rsidRDefault="00F12314" w:rsidP="00F12314">
      <w:pPr>
        <w:pStyle w:val="Table"/>
        <w:rPr>
          <w:rFonts w:eastAsia="Arial"/>
        </w:rPr>
      </w:pPr>
      <w:bookmarkStart w:id="19" w:name="_Ref54198584"/>
      <w:bookmarkStart w:id="20" w:name="_Toc54706251"/>
      <w:r w:rsidRPr="00F12314">
        <w:rPr>
          <w:rFonts w:eastAsia="Arial"/>
        </w:rPr>
        <w:t xml:space="preserve">Table </w:t>
      </w:r>
      <w:r w:rsidRPr="00F12314">
        <w:rPr>
          <w:rFonts w:eastAsia="Arial"/>
        </w:rPr>
        <w:fldChar w:fldCharType="begin"/>
      </w:r>
      <w:r w:rsidRPr="00F12314">
        <w:rPr>
          <w:rFonts w:eastAsia="Arial"/>
        </w:rPr>
        <w:instrText xml:space="preserve"> SEQ Table \* ARABIC </w:instrText>
      </w:r>
      <w:r w:rsidRPr="00F12314">
        <w:rPr>
          <w:rFonts w:eastAsia="Arial"/>
        </w:rPr>
        <w:fldChar w:fldCharType="separate"/>
      </w:r>
      <w:r w:rsidR="00884C99">
        <w:rPr>
          <w:rFonts w:eastAsia="Arial"/>
          <w:noProof/>
        </w:rPr>
        <w:t>3</w:t>
      </w:r>
      <w:r w:rsidRPr="00F12314">
        <w:rPr>
          <w:rFonts w:eastAsia="Arial"/>
        </w:rPr>
        <w:fldChar w:fldCharType="end"/>
      </w:r>
      <w:bookmarkEnd w:id="19"/>
      <w:r w:rsidRPr="00F12314">
        <w:rPr>
          <w:rFonts w:eastAsia="Arial"/>
        </w:rPr>
        <w:t xml:space="preserve">: </w:t>
      </w:r>
      <w:r w:rsidR="00896135" w:rsidRPr="00F12314">
        <w:t>Māori and Pacific people across the health and disability professional groups</w:t>
      </w:r>
      <w:bookmarkEnd w:id="20"/>
    </w:p>
    <w:tbl>
      <w:tblPr>
        <w:tblW w:w="8075"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1"/>
        <w:gridCol w:w="2692"/>
        <w:gridCol w:w="2692"/>
      </w:tblGrid>
      <w:tr w:rsidR="00896135" w:rsidRPr="008E7244" w14:paraId="795F48FA" w14:textId="77777777" w:rsidTr="008E7244">
        <w:tc>
          <w:tcPr>
            <w:tcW w:w="2691" w:type="dxa"/>
            <w:shd w:val="clear" w:color="auto" w:fill="D9D9D9" w:themeFill="background1" w:themeFillShade="D9"/>
          </w:tcPr>
          <w:p w14:paraId="1A369EB4" w14:textId="77777777" w:rsidR="00896135" w:rsidRPr="008E7244" w:rsidRDefault="00896135" w:rsidP="008E7244">
            <w:pPr>
              <w:pStyle w:val="TableText"/>
              <w:rPr>
                <w:b/>
              </w:rPr>
            </w:pPr>
          </w:p>
        </w:tc>
        <w:tc>
          <w:tcPr>
            <w:tcW w:w="2692" w:type="dxa"/>
            <w:shd w:val="clear" w:color="auto" w:fill="D9D9D9" w:themeFill="background1" w:themeFillShade="D9"/>
          </w:tcPr>
          <w:p w14:paraId="3C73187D" w14:textId="77777777" w:rsidR="00896135" w:rsidRPr="008E7244" w:rsidRDefault="00896135" w:rsidP="00F12314">
            <w:pPr>
              <w:pStyle w:val="TableText"/>
              <w:jc w:val="right"/>
              <w:rPr>
                <w:rFonts w:cs="Segoe UI"/>
                <w:b/>
              </w:rPr>
            </w:pPr>
            <w:r w:rsidRPr="008E7244">
              <w:rPr>
                <w:rFonts w:cs="Segoe UI"/>
                <w:b/>
              </w:rPr>
              <w:t>Māori</w:t>
            </w:r>
          </w:p>
        </w:tc>
        <w:tc>
          <w:tcPr>
            <w:tcW w:w="2692" w:type="dxa"/>
            <w:shd w:val="clear" w:color="auto" w:fill="D9D9D9" w:themeFill="background1" w:themeFillShade="D9"/>
          </w:tcPr>
          <w:p w14:paraId="267F369F" w14:textId="77777777" w:rsidR="00896135" w:rsidRPr="008E7244" w:rsidRDefault="00896135" w:rsidP="00F12314">
            <w:pPr>
              <w:pStyle w:val="TableText"/>
              <w:jc w:val="right"/>
              <w:rPr>
                <w:b/>
              </w:rPr>
            </w:pPr>
            <w:r w:rsidRPr="008E7244">
              <w:rPr>
                <w:b/>
              </w:rPr>
              <w:t>Pacific people</w:t>
            </w:r>
          </w:p>
        </w:tc>
      </w:tr>
      <w:tr w:rsidR="00896135" w14:paraId="4514F566" w14:textId="77777777" w:rsidTr="008E7244">
        <w:tc>
          <w:tcPr>
            <w:tcW w:w="2691" w:type="dxa"/>
            <w:shd w:val="clear" w:color="auto" w:fill="auto"/>
          </w:tcPr>
          <w:p w14:paraId="577F8924" w14:textId="77777777" w:rsidR="00896135" w:rsidRDefault="00896135" w:rsidP="008E7244">
            <w:pPr>
              <w:pStyle w:val="TableText"/>
            </w:pPr>
            <w:r>
              <w:t>Medical</w:t>
            </w:r>
          </w:p>
        </w:tc>
        <w:tc>
          <w:tcPr>
            <w:tcW w:w="2692" w:type="dxa"/>
            <w:shd w:val="clear" w:color="auto" w:fill="auto"/>
          </w:tcPr>
          <w:p w14:paraId="52BD20B0" w14:textId="77777777" w:rsidR="00896135" w:rsidRDefault="00896135" w:rsidP="00F12314">
            <w:pPr>
              <w:pStyle w:val="TableText"/>
              <w:jc w:val="right"/>
            </w:pPr>
            <w:r>
              <w:t>3%</w:t>
            </w:r>
          </w:p>
        </w:tc>
        <w:tc>
          <w:tcPr>
            <w:tcW w:w="2692" w:type="dxa"/>
            <w:shd w:val="clear" w:color="auto" w:fill="auto"/>
          </w:tcPr>
          <w:p w14:paraId="3C9BEE62" w14:textId="77777777" w:rsidR="00896135" w:rsidRDefault="00896135" w:rsidP="00F12314">
            <w:pPr>
              <w:pStyle w:val="TableText"/>
              <w:jc w:val="right"/>
            </w:pPr>
            <w:r>
              <w:t>1.8%</w:t>
            </w:r>
          </w:p>
        </w:tc>
      </w:tr>
      <w:tr w:rsidR="00896135" w14:paraId="3FAE9582" w14:textId="77777777" w:rsidTr="008E7244">
        <w:tc>
          <w:tcPr>
            <w:tcW w:w="2691" w:type="dxa"/>
            <w:shd w:val="clear" w:color="auto" w:fill="auto"/>
          </w:tcPr>
          <w:p w14:paraId="5017350D" w14:textId="77777777" w:rsidR="00896135" w:rsidRDefault="00896135" w:rsidP="008E7244">
            <w:pPr>
              <w:pStyle w:val="TableText"/>
            </w:pPr>
            <w:r>
              <w:t>Nursing &amp; midwifery</w:t>
            </w:r>
          </w:p>
        </w:tc>
        <w:tc>
          <w:tcPr>
            <w:tcW w:w="2692" w:type="dxa"/>
            <w:shd w:val="clear" w:color="auto" w:fill="auto"/>
          </w:tcPr>
          <w:p w14:paraId="255B1C40" w14:textId="77777777" w:rsidR="00896135" w:rsidRDefault="00896135" w:rsidP="00F12314">
            <w:pPr>
              <w:pStyle w:val="TableText"/>
              <w:jc w:val="right"/>
            </w:pPr>
            <w:r>
              <w:t>7%</w:t>
            </w:r>
          </w:p>
        </w:tc>
        <w:tc>
          <w:tcPr>
            <w:tcW w:w="2692" w:type="dxa"/>
            <w:shd w:val="clear" w:color="auto" w:fill="auto"/>
          </w:tcPr>
          <w:p w14:paraId="335785A3" w14:textId="77777777" w:rsidR="00896135" w:rsidRDefault="00896135" w:rsidP="00F12314">
            <w:pPr>
              <w:pStyle w:val="TableText"/>
              <w:jc w:val="right"/>
            </w:pPr>
            <w:r>
              <w:t>3%</w:t>
            </w:r>
          </w:p>
        </w:tc>
      </w:tr>
      <w:tr w:rsidR="00896135" w14:paraId="546F7995" w14:textId="77777777" w:rsidTr="008E7244">
        <w:tc>
          <w:tcPr>
            <w:tcW w:w="2691" w:type="dxa"/>
            <w:shd w:val="clear" w:color="auto" w:fill="auto"/>
          </w:tcPr>
          <w:p w14:paraId="27AA6728" w14:textId="77777777" w:rsidR="00896135" w:rsidRDefault="00896135" w:rsidP="008E7244">
            <w:pPr>
              <w:pStyle w:val="TableText"/>
            </w:pPr>
            <w:r>
              <w:t>Allied and scientific</w:t>
            </w:r>
          </w:p>
        </w:tc>
        <w:tc>
          <w:tcPr>
            <w:tcW w:w="2692" w:type="dxa"/>
            <w:shd w:val="clear" w:color="auto" w:fill="auto"/>
          </w:tcPr>
          <w:p w14:paraId="4F443595" w14:textId="77777777" w:rsidR="00896135" w:rsidRDefault="00896135" w:rsidP="00F12314">
            <w:pPr>
              <w:pStyle w:val="TableText"/>
              <w:jc w:val="right"/>
            </w:pPr>
            <w:r>
              <w:t>9%</w:t>
            </w:r>
          </w:p>
        </w:tc>
        <w:tc>
          <w:tcPr>
            <w:tcW w:w="2692" w:type="dxa"/>
            <w:shd w:val="clear" w:color="auto" w:fill="auto"/>
          </w:tcPr>
          <w:p w14:paraId="06C87CFC" w14:textId="77777777" w:rsidR="00896135" w:rsidRDefault="00896135" w:rsidP="00F12314">
            <w:pPr>
              <w:pStyle w:val="TableText"/>
              <w:jc w:val="right"/>
            </w:pPr>
            <w:r>
              <w:t>3%</w:t>
            </w:r>
          </w:p>
        </w:tc>
      </w:tr>
      <w:tr w:rsidR="00896135" w14:paraId="1DABB01B" w14:textId="77777777" w:rsidTr="008E7244">
        <w:tc>
          <w:tcPr>
            <w:tcW w:w="2691" w:type="dxa"/>
            <w:shd w:val="clear" w:color="auto" w:fill="auto"/>
          </w:tcPr>
          <w:p w14:paraId="53981F25" w14:textId="77777777" w:rsidR="00896135" w:rsidRDefault="00896135" w:rsidP="008E7244">
            <w:pPr>
              <w:pStyle w:val="TableText"/>
            </w:pPr>
            <w:r>
              <w:t>Personal care &amp; assistants</w:t>
            </w:r>
          </w:p>
        </w:tc>
        <w:tc>
          <w:tcPr>
            <w:tcW w:w="2692" w:type="dxa"/>
            <w:shd w:val="clear" w:color="auto" w:fill="auto"/>
          </w:tcPr>
          <w:p w14:paraId="0DEFBC5D" w14:textId="77777777" w:rsidR="00896135" w:rsidRDefault="00896135" w:rsidP="00F12314">
            <w:pPr>
              <w:pStyle w:val="TableText"/>
              <w:jc w:val="right"/>
            </w:pPr>
            <w:r>
              <w:t>16.6%</w:t>
            </w:r>
          </w:p>
        </w:tc>
        <w:tc>
          <w:tcPr>
            <w:tcW w:w="2692" w:type="dxa"/>
            <w:shd w:val="clear" w:color="auto" w:fill="auto"/>
          </w:tcPr>
          <w:p w14:paraId="411A012B" w14:textId="77777777" w:rsidR="00896135" w:rsidRDefault="00896135" w:rsidP="00F12314">
            <w:pPr>
              <w:pStyle w:val="TableText"/>
              <w:jc w:val="right"/>
            </w:pPr>
            <w:r>
              <w:t>9%</w:t>
            </w:r>
          </w:p>
        </w:tc>
      </w:tr>
    </w:tbl>
    <w:p w14:paraId="5E8FBB59" w14:textId="77777777" w:rsidR="00896135" w:rsidRDefault="00896135" w:rsidP="00896135"/>
    <w:p w14:paraId="4B13205F" w14:textId="2E98CDB1" w:rsidR="00896135" w:rsidRDefault="00896135" w:rsidP="00896135">
      <w:r>
        <w:t>The health care and social assistance sector has a predominately female workforce</w:t>
      </w:r>
      <w:r w:rsidR="009528AA">
        <w:t xml:space="preserve"> –</w:t>
      </w:r>
      <w:r>
        <w:t>83% in 2019. This compares to 48% of the workforce being female across all industries. The majority of those in health care and social assistance are aged 40 years or older</w:t>
      </w:r>
      <w:r w:rsidR="009528AA">
        <w:t>,</w:t>
      </w:r>
      <w:r>
        <w:t xml:space="preserve"> </w:t>
      </w:r>
      <w:r w:rsidR="009528AA">
        <w:t xml:space="preserve">and </w:t>
      </w:r>
      <w:r>
        <w:t xml:space="preserve">10% </w:t>
      </w:r>
      <w:r w:rsidR="009528AA">
        <w:t>are</w:t>
      </w:r>
      <w:r>
        <w:t xml:space="preserve"> aged 60 to 64 years. </w:t>
      </w:r>
    </w:p>
    <w:p w14:paraId="37CDAA96" w14:textId="77777777" w:rsidR="00896135" w:rsidRDefault="00896135" w:rsidP="00896135"/>
    <w:p w14:paraId="681620AB" w14:textId="31DBF917" w:rsidR="00896135" w:rsidRDefault="00F12314" w:rsidP="00896135">
      <w:r w:rsidRPr="00F12314">
        <w:lastRenderedPageBreak/>
        <w:fldChar w:fldCharType="begin"/>
      </w:r>
      <w:r w:rsidRPr="00F12314">
        <w:instrText xml:space="preserve"> REF _Ref54198694 \h  \* MERGEFORMAT </w:instrText>
      </w:r>
      <w:r w:rsidRPr="00F12314">
        <w:fldChar w:fldCharType="separate"/>
      </w:r>
      <w:r w:rsidR="00884C99" w:rsidRPr="00884C99">
        <w:rPr>
          <w:rFonts w:eastAsia="Arial"/>
          <w:iCs/>
          <w:sz w:val="20"/>
        </w:rPr>
        <w:t xml:space="preserve">Figure </w:t>
      </w:r>
      <w:r w:rsidR="00884C99" w:rsidRPr="00884C99">
        <w:rPr>
          <w:rFonts w:eastAsia="Arial"/>
          <w:iCs/>
          <w:noProof/>
          <w:sz w:val="20"/>
        </w:rPr>
        <w:t>2</w:t>
      </w:r>
      <w:r w:rsidRPr="00F12314">
        <w:fldChar w:fldCharType="end"/>
      </w:r>
      <w:r w:rsidR="00896135" w:rsidRPr="00F12314">
        <w:t xml:space="preserve"> </w:t>
      </w:r>
      <w:r w:rsidR="00896135">
        <w:t xml:space="preserve">shows the age ranges based on 2013 census data. More recent data was not available at the time of writing this report, but we can anticipate a similar picture. Note that it is also not possible to </w:t>
      </w:r>
      <w:r w:rsidR="009528AA">
        <w:t>distinguish between</w:t>
      </w:r>
      <w:r w:rsidR="00896135">
        <w:t xml:space="preserve"> the health</w:t>
      </w:r>
      <w:r w:rsidR="00487778">
        <w:t xml:space="preserve"> care</w:t>
      </w:r>
      <w:r w:rsidR="00896135">
        <w:t xml:space="preserve"> </w:t>
      </w:r>
      <w:r w:rsidR="009528AA">
        <w:t xml:space="preserve">and </w:t>
      </w:r>
      <w:r w:rsidR="00896135">
        <w:t>social assistance workforce</w:t>
      </w:r>
      <w:r w:rsidR="009528AA">
        <w:t>s</w:t>
      </w:r>
      <w:r w:rsidR="00896135">
        <w:t>.</w:t>
      </w:r>
    </w:p>
    <w:p w14:paraId="33F03AB4" w14:textId="77777777" w:rsidR="00896135" w:rsidRDefault="00896135" w:rsidP="00896135"/>
    <w:p w14:paraId="2208EB87" w14:textId="2ADB5F97" w:rsidR="00896135" w:rsidRDefault="00896135" w:rsidP="00896135">
      <w:pPr>
        <w:pStyle w:val="Caption"/>
        <w:keepNext/>
        <w:rPr>
          <w:rFonts w:eastAsia="Arial"/>
          <w:b/>
          <w:i w:val="0"/>
          <w:iCs w:val="0"/>
          <w:color w:val="auto"/>
          <w:sz w:val="20"/>
          <w:szCs w:val="20"/>
        </w:rPr>
      </w:pPr>
      <w:bookmarkStart w:id="21" w:name="_Ref54198694"/>
      <w:bookmarkStart w:id="22" w:name="_Toc41290472"/>
      <w:bookmarkStart w:id="23" w:name="_Toc54198911"/>
      <w:r>
        <w:rPr>
          <w:rFonts w:eastAsia="Arial"/>
          <w:b/>
          <w:i w:val="0"/>
          <w:iCs w:val="0"/>
          <w:color w:val="auto"/>
          <w:sz w:val="20"/>
          <w:szCs w:val="20"/>
        </w:rPr>
        <w:t>Figure</w:t>
      </w:r>
      <w:r w:rsidRPr="00147D1C">
        <w:rPr>
          <w:rFonts w:eastAsia="Arial"/>
          <w:b/>
          <w:i w:val="0"/>
          <w:iCs w:val="0"/>
          <w:color w:val="auto"/>
          <w:sz w:val="20"/>
          <w:szCs w:val="20"/>
        </w:rPr>
        <w:t xml:space="preserve"> </w:t>
      </w:r>
      <w:r>
        <w:rPr>
          <w:rFonts w:eastAsia="Arial"/>
          <w:b/>
          <w:i w:val="0"/>
          <w:iCs w:val="0"/>
          <w:color w:val="auto"/>
          <w:sz w:val="20"/>
          <w:szCs w:val="20"/>
        </w:rPr>
        <w:fldChar w:fldCharType="begin"/>
      </w:r>
      <w:r>
        <w:rPr>
          <w:rFonts w:eastAsia="Arial"/>
          <w:b/>
          <w:i w:val="0"/>
          <w:iCs w:val="0"/>
          <w:color w:val="auto"/>
          <w:sz w:val="20"/>
          <w:szCs w:val="20"/>
        </w:rPr>
        <w:instrText xml:space="preserve"> SEQ Figure \* ARABIC </w:instrText>
      </w:r>
      <w:r>
        <w:rPr>
          <w:rFonts w:eastAsia="Arial"/>
          <w:b/>
          <w:i w:val="0"/>
          <w:iCs w:val="0"/>
          <w:color w:val="auto"/>
          <w:sz w:val="20"/>
          <w:szCs w:val="20"/>
        </w:rPr>
        <w:fldChar w:fldCharType="separate"/>
      </w:r>
      <w:r w:rsidR="00884C99">
        <w:rPr>
          <w:rFonts w:eastAsia="Arial"/>
          <w:b/>
          <w:i w:val="0"/>
          <w:iCs w:val="0"/>
          <w:noProof/>
          <w:color w:val="auto"/>
          <w:sz w:val="20"/>
          <w:szCs w:val="20"/>
        </w:rPr>
        <w:t>2</w:t>
      </w:r>
      <w:r>
        <w:rPr>
          <w:rFonts w:eastAsia="Arial"/>
          <w:b/>
          <w:i w:val="0"/>
          <w:iCs w:val="0"/>
          <w:color w:val="auto"/>
          <w:sz w:val="20"/>
          <w:szCs w:val="20"/>
        </w:rPr>
        <w:fldChar w:fldCharType="end"/>
      </w:r>
      <w:bookmarkEnd w:id="21"/>
      <w:r w:rsidRPr="00147D1C">
        <w:rPr>
          <w:rFonts w:eastAsia="Arial"/>
          <w:b/>
          <w:i w:val="0"/>
          <w:iCs w:val="0"/>
          <w:color w:val="auto"/>
          <w:sz w:val="20"/>
          <w:szCs w:val="20"/>
        </w:rPr>
        <w:t>: Age profile of the health care and social assistance workforce, 2013 census</w:t>
      </w:r>
      <w:bookmarkEnd w:id="22"/>
      <w:bookmarkEnd w:id="23"/>
    </w:p>
    <w:p w14:paraId="4B404F3E" w14:textId="77777777" w:rsidR="00896135" w:rsidRDefault="00896135" w:rsidP="00896135">
      <w:pPr>
        <w:keepNext/>
      </w:pPr>
      <w:r>
        <w:rPr>
          <w:noProof/>
        </w:rPr>
        <w:drawing>
          <wp:inline distT="0" distB="0" distL="0" distR="0" wp14:anchorId="74B33979" wp14:editId="2F316FC1">
            <wp:extent cx="4572000" cy="2743200"/>
            <wp:effectExtent l="0" t="0" r="0" b="0"/>
            <wp:docPr id="17" name="Picture 17" descr="This bar graph shows that less than 2% of the workforce is aged 15-19, about 5% is 20-24, about 8% is 25-29, about 8% is 30-34, about 9% is 25-29, nearly 12% is 40-44, nearly 13% is 45-49, nearly 15% is 50-54, nearly 13% is 55-59, nearly 10% are 60-64 and about 6% are over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7D2CD603" w14:textId="77777777" w:rsidR="00896135" w:rsidRPr="00147D1C" w:rsidRDefault="00896135" w:rsidP="00896135">
      <w:pPr>
        <w:pStyle w:val="Source"/>
      </w:pPr>
      <w:r>
        <w:t>Source: Statistics New Zealand</w:t>
      </w:r>
    </w:p>
    <w:p w14:paraId="3C1B1EC9" w14:textId="77777777" w:rsidR="00896135" w:rsidRPr="0043478F" w:rsidRDefault="00896135" w:rsidP="00896135">
      <w:pPr>
        <w:pStyle w:val="Heading2"/>
        <w:rPr>
          <w:bCs/>
        </w:rPr>
      </w:pPr>
      <w:bookmarkStart w:id="24" w:name="_Toc54706219"/>
      <w:r>
        <w:t>Number of health and disability workers employed by DHBs</w:t>
      </w:r>
      <w:bookmarkEnd w:id="24"/>
    </w:p>
    <w:p w14:paraId="7778DBDC" w14:textId="4C25A8F5" w:rsidR="00896135" w:rsidRDefault="00896135" w:rsidP="00896135">
      <w:bookmarkStart w:id="25" w:name="_bookmark7"/>
      <w:bookmarkEnd w:id="25"/>
      <w:r>
        <w:t>Information was received from Technical Advisory Services (TAS) on the total</w:t>
      </w:r>
      <w:r w:rsidR="000E1666">
        <w:t xml:space="preserve"> full-time equivalent</w:t>
      </w:r>
      <w:r>
        <w:t xml:space="preserve"> </w:t>
      </w:r>
      <w:r w:rsidR="000E1666">
        <w:t>(</w:t>
      </w:r>
      <w:r>
        <w:t>FTE</w:t>
      </w:r>
      <w:r w:rsidR="000E1666">
        <w:t>)</w:t>
      </w:r>
      <w:r>
        <w:t xml:space="preserve"> numbers and salary costs of people employed by the 20 DHBs across New Zealand. The information TAS provided is from the Health Workforce Information Programme. This is a programme within TAS and </w:t>
      </w:r>
      <w:r w:rsidR="000E1666">
        <w:t xml:space="preserve">is </w:t>
      </w:r>
      <w:r>
        <w:t xml:space="preserve">sponsored by the 20 DHB National General Managers of Human Resources. </w:t>
      </w:r>
      <w:r w:rsidRPr="008B3A60">
        <w:t>The programme holds data on the DHB</w:t>
      </w:r>
      <w:r w:rsidR="009528AA">
        <w:t>-</w:t>
      </w:r>
      <w:r w:rsidRPr="008B3A60">
        <w:t>employed workforce</w:t>
      </w:r>
      <w:r w:rsidR="009528AA">
        <w:t>,</w:t>
      </w:r>
      <w:r w:rsidRPr="008B3A60">
        <w:t xml:space="preserve"> providing a national, regional and local picture of the health and disability sector workforce in terms of its ‘stocks and flows’.</w:t>
      </w:r>
      <w:r>
        <w:rPr>
          <w:rStyle w:val="FootnoteReference"/>
        </w:rPr>
        <w:footnoteReference w:id="2"/>
      </w:r>
    </w:p>
    <w:p w14:paraId="729774C4" w14:textId="77777777" w:rsidR="00896135" w:rsidRDefault="00896135" w:rsidP="00896135"/>
    <w:p w14:paraId="460573C0" w14:textId="45B01C38" w:rsidR="008E7244" w:rsidRDefault="000E1666" w:rsidP="00896135">
      <w:pPr>
        <w:sectPr w:rsidR="008E7244" w:rsidSect="005F08D9">
          <w:headerReference w:type="default" r:id="rId23"/>
          <w:pgSz w:w="11907" w:h="16834" w:code="9"/>
          <w:pgMar w:top="1418" w:right="1701" w:bottom="1134" w:left="1843" w:header="284" w:footer="567" w:gutter="284"/>
          <w:pgNumType w:start="1"/>
          <w:cols w:space="720"/>
          <w:docGrid w:linePitch="286"/>
        </w:sectPr>
      </w:pPr>
      <w:r>
        <w:t xml:space="preserve">Information provided by TAS indicates that </w:t>
      </w:r>
      <w:r w:rsidR="00896135">
        <w:t xml:space="preserve">at 31 December 2019, a total of 76,213 FTEs </w:t>
      </w:r>
      <w:proofErr w:type="gramStart"/>
      <w:r>
        <w:t>were</w:t>
      </w:r>
      <w:proofErr w:type="gramEnd"/>
      <w:r>
        <w:t xml:space="preserve"> </w:t>
      </w:r>
      <w:r w:rsidR="00896135">
        <w:t xml:space="preserve">employed by the 20 DHBs across New Zealand. </w:t>
      </w:r>
      <w:r w:rsidR="00F12314" w:rsidRPr="00F12314">
        <w:fldChar w:fldCharType="begin"/>
      </w:r>
      <w:r w:rsidR="00F12314" w:rsidRPr="00F12314">
        <w:instrText xml:space="preserve"> REF _Ref54198593 \h  \* MERGEFORMAT </w:instrText>
      </w:r>
      <w:r w:rsidR="00F12314" w:rsidRPr="00F12314">
        <w:fldChar w:fldCharType="separate"/>
      </w:r>
      <w:r w:rsidR="00884C99" w:rsidRPr="002A29A0">
        <w:rPr>
          <w:rFonts w:eastAsia="Arial"/>
        </w:rPr>
        <w:t xml:space="preserve">Table </w:t>
      </w:r>
      <w:r w:rsidR="00884C99">
        <w:rPr>
          <w:rFonts w:eastAsia="Arial"/>
          <w:noProof/>
        </w:rPr>
        <w:t>4</w:t>
      </w:r>
      <w:r w:rsidR="00F12314" w:rsidRPr="00F12314">
        <w:fldChar w:fldCharType="end"/>
      </w:r>
      <w:r w:rsidR="00F12314" w:rsidRPr="00F12314">
        <w:t xml:space="preserve"> </w:t>
      </w:r>
      <w:r w:rsidR="00896135">
        <w:t>provides a total FTE count by DHB and a count per 100,000 population. It also shows the percentage of health and disability workers employed by different DHBs. Note that the total number</w:t>
      </w:r>
    </w:p>
    <w:p w14:paraId="37676822" w14:textId="06A350DE" w:rsidR="00896135" w:rsidRDefault="00896135" w:rsidP="00896135">
      <w:r>
        <w:lastRenderedPageBreak/>
        <w:t>of workers in this table adds up to 74,106</w:t>
      </w:r>
      <w:r w:rsidR="000E1666">
        <w:t xml:space="preserve"> –</w:t>
      </w:r>
      <w:r>
        <w:t xml:space="preserve"> slightly less than the total reported by TAS.</w:t>
      </w:r>
      <w:r>
        <w:rPr>
          <w:rStyle w:val="FootnoteReference"/>
        </w:rPr>
        <w:footnoteReference w:id="3"/>
      </w:r>
    </w:p>
    <w:p w14:paraId="1512AD9B" w14:textId="77777777" w:rsidR="00896135" w:rsidRDefault="00896135" w:rsidP="00896135"/>
    <w:p w14:paraId="089AD134" w14:textId="452C05E1" w:rsidR="00896135" w:rsidRDefault="00896135" w:rsidP="00896135">
      <w:r>
        <w:t>Auckland DHB has the largest number of FTEs overall, followed by Canterbury, Waitemata and Counties Manukau. West Coast has the highest proportion of FTEs per population, followed by Auckland and Waikato. Waitemata has the lowest number of FTEs per 100,000 population</w:t>
      </w:r>
      <w:r w:rsidR="00491B1D">
        <w:t>,</w:t>
      </w:r>
      <w:r>
        <w:t xml:space="preserve"> followed by Lakes and Wairarapa.</w:t>
      </w:r>
    </w:p>
    <w:p w14:paraId="36586CB7" w14:textId="77777777" w:rsidR="00896135" w:rsidRDefault="00896135" w:rsidP="00896135"/>
    <w:p w14:paraId="794F847D" w14:textId="2B5B99C0" w:rsidR="00896135" w:rsidRPr="0043478F" w:rsidRDefault="00896135" w:rsidP="00896135">
      <w:r>
        <w:t xml:space="preserve">More detailed information on the number of people working in different occupations can be found in Appendix A. </w:t>
      </w:r>
      <w:r w:rsidR="00F12314" w:rsidRPr="00F12314">
        <w:fldChar w:fldCharType="begin"/>
      </w:r>
      <w:r w:rsidR="00F12314" w:rsidRPr="00F12314">
        <w:instrText xml:space="preserve"> REF _Ref54198810 \h  \* MERGEFORMAT </w:instrText>
      </w:r>
      <w:r w:rsidR="00F12314" w:rsidRPr="00F12314">
        <w:fldChar w:fldCharType="separate"/>
      </w:r>
      <w:r w:rsidR="00884C99" w:rsidRPr="00884C99">
        <w:rPr>
          <w:rFonts w:eastAsia="Arial"/>
          <w:iCs/>
          <w:sz w:val="20"/>
        </w:rPr>
        <w:t xml:space="preserve">Figure </w:t>
      </w:r>
      <w:r w:rsidR="00884C99" w:rsidRPr="00884C99">
        <w:rPr>
          <w:rFonts w:eastAsia="Arial"/>
          <w:iCs/>
          <w:noProof/>
          <w:sz w:val="20"/>
        </w:rPr>
        <w:t>3</w:t>
      </w:r>
      <w:r w:rsidR="00F12314" w:rsidRPr="00F12314">
        <w:fldChar w:fldCharType="end"/>
      </w:r>
      <w:r w:rsidR="00F12314" w:rsidRPr="00F12314">
        <w:t xml:space="preserve"> </w:t>
      </w:r>
      <w:r>
        <w:t>shows the total FTE count by occupation for the 20 DHBs.</w:t>
      </w:r>
    </w:p>
    <w:p w14:paraId="7A9AB1B5" w14:textId="77777777" w:rsidR="00896135" w:rsidRDefault="00896135" w:rsidP="00896135"/>
    <w:p w14:paraId="1BA0682A" w14:textId="65F5C235" w:rsidR="00896135" w:rsidRPr="00E01AC1" w:rsidRDefault="00F12314" w:rsidP="00F12314">
      <w:pPr>
        <w:pStyle w:val="Table"/>
        <w:rPr>
          <w:rFonts w:eastAsia="Arial"/>
        </w:rPr>
      </w:pPr>
      <w:bookmarkStart w:id="26" w:name="_Ref54198593"/>
      <w:bookmarkStart w:id="27" w:name="_Toc54706252"/>
      <w:r w:rsidRPr="002A29A0">
        <w:rPr>
          <w:rFonts w:eastAsia="Arial"/>
        </w:rPr>
        <w:t xml:space="preserve">Table </w:t>
      </w:r>
      <w:r w:rsidRPr="002A29A0">
        <w:rPr>
          <w:rFonts w:eastAsia="Arial"/>
        </w:rPr>
        <w:fldChar w:fldCharType="begin"/>
      </w:r>
      <w:r w:rsidRPr="002A29A0">
        <w:rPr>
          <w:rFonts w:eastAsia="Arial"/>
        </w:rPr>
        <w:instrText xml:space="preserve"> SEQ Table \* ARABIC </w:instrText>
      </w:r>
      <w:r w:rsidRPr="002A29A0">
        <w:rPr>
          <w:rFonts w:eastAsia="Arial"/>
        </w:rPr>
        <w:fldChar w:fldCharType="separate"/>
      </w:r>
      <w:r w:rsidR="00884C99">
        <w:rPr>
          <w:rFonts w:eastAsia="Arial"/>
          <w:noProof/>
        </w:rPr>
        <w:t>4</w:t>
      </w:r>
      <w:r w:rsidRPr="002A29A0">
        <w:rPr>
          <w:rFonts w:eastAsia="Arial"/>
        </w:rPr>
        <w:fldChar w:fldCharType="end"/>
      </w:r>
      <w:bookmarkEnd w:id="26"/>
      <w:r w:rsidRPr="002A29A0">
        <w:rPr>
          <w:rFonts w:eastAsia="Arial"/>
        </w:rPr>
        <w:t xml:space="preserve">: </w:t>
      </w:r>
      <w:r w:rsidR="00896135" w:rsidRPr="00E01AC1">
        <w:rPr>
          <w:rFonts w:eastAsia="Arial"/>
        </w:rPr>
        <w:t>Total FTE count by DHB</w:t>
      </w:r>
      <w:r w:rsidR="00896135">
        <w:rPr>
          <w:rFonts w:eastAsia="Arial"/>
        </w:rPr>
        <w:t xml:space="preserve"> as at 31 December 2019</w:t>
      </w:r>
      <w:bookmarkEnd w:id="27"/>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17"/>
        <w:gridCol w:w="2017"/>
        <w:gridCol w:w="2017"/>
        <w:gridCol w:w="2018"/>
      </w:tblGrid>
      <w:tr w:rsidR="00896135" w:rsidRPr="004F572F" w14:paraId="4E0A90D4" w14:textId="77777777" w:rsidTr="008E7244">
        <w:tc>
          <w:tcPr>
            <w:tcW w:w="2017" w:type="dxa"/>
            <w:shd w:val="clear" w:color="auto" w:fill="D9D9D9" w:themeFill="background1" w:themeFillShade="D9"/>
          </w:tcPr>
          <w:p w14:paraId="73C8CD06" w14:textId="77777777" w:rsidR="00896135" w:rsidRPr="008E7244" w:rsidRDefault="00896135" w:rsidP="008E7244">
            <w:pPr>
              <w:pStyle w:val="TableText"/>
              <w:rPr>
                <w:b/>
              </w:rPr>
            </w:pPr>
            <w:r w:rsidRPr="008E7244">
              <w:rPr>
                <w:b/>
              </w:rPr>
              <w:t>DHB</w:t>
            </w:r>
          </w:p>
        </w:tc>
        <w:tc>
          <w:tcPr>
            <w:tcW w:w="2017" w:type="dxa"/>
            <w:shd w:val="clear" w:color="auto" w:fill="D9D9D9" w:themeFill="background1" w:themeFillShade="D9"/>
          </w:tcPr>
          <w:p w14:paraId="796E611A" w14:textId="77777777" w:rsidR="00896135" w:rsidRPr="008E7244" w:rsidRDefault="00896135" w:rsidP="00F12314">
            <w:pPr>
              <w:pStyle w:val="TableText"/>
              <w:jc w:val="right"/>
              <w:rPr>
                <w:b/>
              </w:rPr>
            </w:pPr>
            <w:r w:rsidRPr="008E7244">
              <w:rPr>
                <w:b/>
              </w:rPr>
              <w:t>Total FTE count</w:t>
            </w:r>
          </w:p>
        </w:tc>
        <w:tc>
          <w:tcPr>
            <w:tcW w:w="2017" w:type="dxa"/>
            <w:shd w:val="clear" w:color="auto" w:fill="D9D9D9" w:themeFill="background1" w:themeFillShade="D9"/>
          </w:tcPr>
          <w:p w14:paraId="1A902174" w14:textId="77777777" w:rsidR="00896135" w:rsidRPr="008E7244" w:rsidRDefault="00896135" w:rsidP="00F12314">
            <w:pPr>
              <w:pStyle w:val="TableText"/>
              <w:jc w:val="right"/>
              <w:rPr>
                <w:b/>
              </w:rPr>
            </w:pPr>
            <w:r w:rsidRPr="008E7244">
              <w:rPr>
                <w:b/>
              </w:rPr>
              <w:t>Total FTE/100,000 population</w:t>
            </w:r>
          </w:p>
        </w:tc>
        <w:tc>
          <w:tcPr>
            <w:tcW w:w="2018" w:type="dxa"/>
            <w:shd w:val="clear" w:color="auto" w:fill="D9D9D9" w:themeFill="background1" w:themeFillShade="D9"/>
          </w:tcPr>
          <w:p w14:paraId="26600E1F" w14:textId="77777777" w:rsidR="00896135" w:rsidRPr="008E7244" w:rsidRDefault="00896135" w:rsidP="00F12314">
            <w:pPr>
              <w:pStyle w:val="TableText"/>
              <w:jc w:val="right"/>
              <w:rPr>
                <w:b/>
              </w:rPr>
            </w:pPr>
            <w:r w:rsidRPr="008E7244">
              <w:rPr>
                <w:b/>
              </w:rPr>
              <w:t>Percentage of total DHB FTE count</w:t>
            </w:r>
          </w:p>
        </w:tc>
      </w:tr>
      <w:tr w:rsidR="00896135" w:rsidRPr="004F572F" w14:paraId="358E3069" w14:textId="77777777" w:rsidTr="008E7244">
        <w:tc>
          <w:tcPr>
            <w:tcW w:w="2017" w:type="dxa"/>
            <w:shd w:val="clear" w:color="auto" w:fill="auto"/>
          </w:tcPr>
          <w:p w14:paraId="0662FF7E" w14:textId="77777777" w:rsidR="00896135" w:rsidRPr="00A053D0" w:rsidRDefault="00896135" w:rsidP="008E7244">
            <w:pPr>
              <w:pStyle w:val="TableText"/>
            </w:pPr>
            <w:r w:rsidRPr="00A053D0">
              <w:t>Auckland</w:t>
            </w:r>
          </w:p>
        </w:tc>
        <w:tc>
          <w:tcPr>
            <w:tcW w:w="2017" w:type="dxa"/>
            <w:shd w:val="clear" w:color="auto" w:fill="auto"/>
          </w:tcPr>
          <w:p w14:paraId="1EF03C86" w14:textId="77777777" w:rsidR="00896135" w:rsidRPr="00A053D0" w:rsidRDefault="00896135" w:rsidP="00F12314">
            <w:pPr>
              <w:pStyle w:val="TableText"/>
              <w:jc w:val="right"/>
              <w:rPr>
                <w:color w:val="000000"/>
                <w:lang w:eastAsia="en-NZ"/>
              </w:rPr>
            </w:pPr>
            <w:r w:rsidRPr="00A053D0">
              <w:rPr>
                <w:color w:val="000000"/>
              </w:rPr>
              <w:t>10,307</w:t>
            </w:r>
          </w:p>
        </w:tc>
        <w:tc>
          <w:tcPr>
            <w:tcW w:w="2017" w:type="dxa"/>
            <w:shd w:val="clear" w:color="auto" w:fill="auto"/>
          </w:tcPr>
          <w:p w14:paraId="014E998E" w14:textId="77777777" w:rsidR="00896135" w:rsidRPr="00A053D0" w:rsidRDefault="00896135" w:rsidP="00F12314">
            <w:pPr>
              <w:pStyle w:val="TableText"/>
              <w:jc w:val="right"/>
              <w:rPr>
                <w:color w:val="000000"/>
                <w:lang w:eastAsia="en-NZ"/>
              </w:rPr>
            </w:pPr>
            <w:r w:rsidRPr="00A053D0">
              <w:rPr>
                <w:color w:val="000000"/>
              </w:rPr>
              <w:t>1,889</w:t>
            </w:r>
          </w:p>
        </w:tc>
        <w:tc>
          <w:tcPr>
            <w:tcW w:w="2018" w:type="dxa"/>
            <w:shd w:val="clear" w:color="auto" w:fill="auto"/>
          </w:tcPr>
          <w:p w14:paraId="3F658AE4" w14:textId="77777777" w:rsidR="00896135" w:rsidRPr="00A053D0" w:rsidRDefault="00896135" w:rsidP="00F12314">
            <w:pPr>
              <w:pStyle w:val="TableText"/>
              <w:jc w:val="right"/>
              <w:rPr>
                <w:color w:val="000000"/>
                <w:lang w:eastAsia="en-NZ"/>
              </w:rPr>
            </w:pPr>
            <w:r w:rsidRPr="00A053D0">
              <w:rPr>
                <w:color w:val="000000"/>
              </w:rPr>
              <w:t>14%</w:t>
            </w:r>
          </w:p>
        </w:tc>
      </w:tr>
      <w:tr w:rsidR="00896135" w:rsidRPr="004F572F" w14:paraId="43A4069B" w14:textId="77777777" w:rsidTr="008E7244">
        <w:tc>
          <w:tcPr>
            <w:tcW w:w="2017" w:type="dxa"/>
            <w:shd w:val="clear" w:color="auto" w:fill="auto"/>
          </w:tcPr>
          <w:p w14:paraId="2AE3FA72" w14:textId="77777777" w:rsidR="00896135" w:rsidRPr="00A053D0" w:rsidRDefault="00896135" w:rsidP="008E7244">
            <w:pPr>
              <w:pStyle w:val="TableText"/>
            </w:pPr>
            <w:r w:rsidRPr="00A053D0">
              <w:t>Bay of Plenty</w:t>
            </w:r>
          </w:p>
        </w:tc>
        <w:tc>
          <w:tcPr>
            <w:tcW w:w="2017" w:type="dxa"/>
            <w:shd w:val="clear" w:color="auto" w:fill="auto"/>
          </w:tcPr>
          <w:p w14:paraId="070BBA24" w14:textId="77777777" w:rsidR="00896135" w:rsidRPr="00A053D0" w:rsidRDefault="00896135" w:rsidP="00F12314">
            <w:pPr>
              <w:pStyle w:val="TableText"/>
              <w:jc w:val="right"/>
              <w:rPr>
                <w:color w:val="000000"/>
              </w:rPr>
            </w:pPr>
            <w:r w:rsidRPr="00A053D0">
              <w:rPr>
                <w:color w:val="000000"/>
              </w:rPr>
              <w:t>3,068</w:t>
            </w:r>
          </w:p>
        </w:tc>
        <w:tc>
          <w:tcPr>
            <w:tcW w:w="2017" w:type="dxa"/>
            <w:shd w:val="clear" w:color="auto" w:fill="auto"/>
          </w:tcPr>
          <w:p w14:paraId="67F09892" w14:textId="77777777" w:rsidR="00896135" w:rsidRPr="00A053D0" w:rsidRDefault="00896135" w:rsidP="00F12314">
            <w:pPr>
              <w:pStyle w:val="TableText"/>
              <w:jc w:val="right"/>
              <w:rPr>
                <w:color w:val="000000"/>
              </w:rPr>
            </w:pPr>
            <w:r w:rsidRPr="00A053D0">
              <w:rPr>
                <w:color w:val="000000"/>
              </w:rPr>
              <w:t>1,287</w:t>
            </w:r>
          </w:p>
        </w:tc>
        <w:tc>
          <w:tcPr>
            <w:tcW w:w="2018" w:type="dxa"/>
            <w:shd w:val="clear" w:color="auto" w:fill="auto"/>
          </w:tcPr>
          <w:p w14:paraId="1419FA4D" w14:textId="77777777" w:rsidR="00896135" w:rsidRPr="00A053D0" w:rsidRDefault="00896135" w:rsidP="00F12314">
            <w:pPr>
              <w:pStyle w:val="TableText"/>
              <w:jc w:val="right"/>
              <w:rPr>
                <w:color w:val="000000"/>
              </w:rPr>
            </w:pPr>
            <w:r w:rsidRPr="00A053D0">
              <w:rPr>
                <w:color w:val="000000"/>
              </w:rPr>
              <w:t>4%</w:t>
            </w:r>
          </w:p>
        </w:tc>
      </w:tr>
      <w:tr w:rsidR="00896135" w:rsidRPr="004F572F" w14:paraId="4B9DF683" w14:textId="77777777" w:rsidTr="008E7244">
        <w:tc>
          <w:tcPr>
            <w:tcW w:w="2017" w:type="dxa"/>
            <w:shd w:val="clear" w:color="auto" w:fill="auto"/>
          </w:tcPr>
          <w:p w14:paraId="069E4FB7" w14:textId="77777777" w:rsidR="00896135" w:rsidRPr="00A053D0" w:rsidRDefault="00896135" w:rsidP="008E7244">
            <w:pPr>
              <w:pStyle w:val="TableText"/>
            </w:pPr>
            <w:r w:rsidRPr="00A053D0">
              <w:t>Canterbury</w:t>
            </w:r>
          </w:p>
        </w:tc>
        <w:tc>
          <w:tcPr>
            <w:tcW w:w="2017" w:type="dxa"/>
            <w:shd w:val="clear" w:color="auto" w:fill="auto"/>
          </w:tcPr>
          <w:p w14:paraId="0264C613" w14:textId="77777777" w:rsidR="00896135" w:rsidRPr="00A053D0" w:rsidRDefault="00896135" w:rsidP="00F12314">
            <w:pPr>
              <w:pStyle w:val="TableText"/>
              <w:jc w:val="right"/>
              <w:rPr>
                <w:color w:val="000000"/>
              </w:rPr>
            </w:pPr>
            <w:r w:rsidRPr="00A053D0">
              <w:rPr>
                <w:color w:val="000000"/>
              </w:rPr>
              <w:t>9,693</w:t>
            </w:r>
          </w:p>
        </w:tc>
        <w:tc>
          <w:tcPr>
            <w:tcW w:w="2017" w:type="dxa"/>
            <w:shd w:val="clear" w:color="auto" w:fill="auto"/>
          </w:tcPr>
          <w:p w14:paraId="6F0F68EB" w14:textId="77777777" w:rsidR="00896135" w:rsidRPr="00A053D0" w:rsidRDefault="00896135" w:rsidP="00F12314">
            <w:pPr>
              <w:pStyle w:val="TableText"/>
              <w:jc w:val="right"/>
              <w:rPr>
                <w:color w:val="000000"/>
              </w:rPr>
            </w:pPr>
            <w:r w:rsidRPr="00A053D0">
              <w:rPr>
                <w:color w:val="000000"/>
              </w:rPr>
              <w:t>1,707</w:t>
            </w:r>
          </w:p>
        </w:tc>
        <w:tc>
          <w:tcPr>
            <w:tcW w:w="2018" w:type="dxa"/>
            <w:shd w:val="clear" w:color="auto" w:fill="auto"/>
          </w:tcPr>
          <w:p w14:paraId="3D38EB0C" w14:textId="77777777" w:rsidR="00896135" w:rsidRPr="00A053D0" w:rsidRDefault="00896135" w:rsidP="00F12314">
            <w:pPr>
              <w:pStyle w:val="TableText"/>
              <w:jc w:val="right"/>
              <w:rPr>
                <w:color w:val="000000"/>
              </w:rPr>
            </w:pPr>
            <w:r w:rsidRPr="00A053D0">
              <w:rPr>
                <w:color w:val="000000"/>
              </w:rPr>
              <w:t>13%</w:t>
            </w:r>
          </w:p>
        </w:tc>
      </w:tr>
      <w:tr w:rsidR="00896135" w:rsidRPr="004F572F" w14:paraId="77D6FFA1" w14:textId="77777777" w:rsidTr="008E7244">
        <w:tc>
          <w:tcPr>
            <w:tcW w:w="2017" w:type="dxa"/>
            <w:shd w:val="clear" w:color="auto" w:fill="auto"/>
          </w:tcPr>
          <w:p w14:paraId="0606E08D" w14:textId="77777777" w:rsidR="00896135" w:rsidRPr="00A053D0" w:rsidRDefault="00896135" w:rsidP="008E7244">
            <w:pPr>
              <w:pStyle w:val="TableText"/>
            </w:pPr>
            <w:r w:rsidRPr="00A053D0">
              <w:t>Capital and Coast</w:t>
            </w:r>
          </w:p>
        </w:tc>
        <w:tc>
          <w:tcPr>
            <w:tcW w:w="2017" w:type="dxa"/>
            <w:shd w:val="clear" w:color="auto" w:fill="auto"/>
          </w:tcPr>
          <w:p w14:paraId="50E13659" w14:textId="77777777" w:rsidR="00896135" w:rsidRPr="00A053D0" w:rsidRDefault="00896135" w:rsidP="00F12314">
            <w:pPr>
              <w:pStyle w:val="TableText"/>
              <w:jc w:val="right"/>
              <w:rPr>
                <w:color w:val="000000"/>
              </w:rPr>
            </w:pPr>
            <w:r w:rsidRPr="00A053D0">
              <w:rPr>
                <w:color w:val="000000"/>
              </w:rPr>
              <w:t>5,382</w:t>
            </w:r>
          </w:p>
        </w:tc>
        <w:tc>
          <w:tcPr>
            <w:tcW w:w="2017" w:type="dxa"/>
            <w:shd w:val="clear" w:color="auto" w:fill="auto"/>
          </w:tcPr>
          <w:p w14:paraId="6AEEC5DA" w14:textId="77777777" w:rsidR="00896135" w:rsidRPr="00A053D0" w:rsidRDefault="00896135" w:rsidP="00F12314">
            <w:pPr>
              <w:pStyle w:val="TableText"/>
              <w:jc w:val="right"/>
              <w:rPr>
                <w:color w:val="000000"/>
              </w:rPr>
            </w:pPr>
            <w:r w:rsidRPr="00A053D0">
              <w:rPr>
                <w:color w:val="000000"/>
              </w:rPr>
              <w:t>1,692</w:t>
            </w:r>
          </w:p>
        </w:tc>
        <w:tc>
          <w:tcPr>
            <w:tcW w:w="2018" w:type="dxa"/>
            <w:shd w:val="clear" w:color="auto" w:fill="auto"/>
          </w:tcPr>
          <w:p w14:paraId="65292E02" w14:textId="77777777" w:rsidR="00896135" w:rsidRPr="00A053D0" w:rsidRDefault="00896135" w:rsidP="00F12314">
            <w:pPr>
              <w:pStyle w:val="TableText"/>
              <w:jc w:val="right"/>
              <w:rPr>
                <w:color w:val="000000"/>
              </w:rPr>
            </w:pPr>
            <w:r w:rsidRPr="00A053D0">
              <w:rPr>
                <w:color w:val="000000"/>
              </w:rPr>
              <w:t>7%</w:t>
            </w:r>
          </w:p>
        </w:tc>
      </w:tr>
      <w:tr w:rsidR="00896135" w:rsidRPr="004F572F" w14:paraId="365993DD" w14:textId="77777777" w:rsidTr="008E7244">
        <w:tc>
          <w:tcPr>
            <w:tcW w:w="2017" w:type="dxa"/>
            <w:shd w:val="clear" w:color="auto" w:fill="auto"/>
          </w:tcPr>
          <w:p w14:paraId="0E19BBD4" w14:textId="77777777" w:rsidR="00896135" w:rsidRPr="00A053D0" w:rsidRDefault="00896135" w:rsidP="008E7244">
            <w:pPr>
              <w:pStyle w:val="TableText"/>
            </w:pPr>
            <w:r w:rsidRPr="00A053D0">
              <w:t>Counties Manukau</w:t>
            </w:r>
          </w:p>
        </w:tc>
        <w:tc>
          <w:tcPr>
            <w:tcW w:w="2017" w:type="dxa"/>
            <w:shd w:val="clear" w:color="auto" w:fill="auto"/>
          </w:tcPr>
          <w:p w14:paraId="0C475CB5" w14:textId="77777777" w:rsidR="00896135" w:rsidRPr="00A053D0" w:rsidRDefault="00896135" w:rsidP="00F12314">
            <w:pPr>
              <w:pStyle w:val="TableText"/>
              <w:jc w:val="right"/>
              <w:rPr>
                <w:color w:val="000000"/>
              </w:rPr>
            </w:pPr>
            <w:r w:rsidRPr="00A053D0">
              <w:rPr>
                <w:color w:val="000000"/>
              </w:rPr>
              <w:t>7,242</w:t>
            </w:r>
          </w:p>
        </w:tc>
        <w:tc>
          <w:tcPr>
            <w:tcW w:w="2017" w:type="dxa"/>
            <w:shd w:val="clear" w:color="auto" w:fill="auto"/>
          </w:tcPr>
          <w:p w14:paraId="28BC3112" w14:textId="77777777" w:rsidR="00896135" w:rsidRPr="00A053D0" w:rsidRDefault="00896135" w:rsidP="00F12314">
            <w:pPr>
              <w:pStyle w:val="TableText"/>
              <w:jc w:val="right"/>
              <w:rPr>
                <w:color w:val="000000"/>
              </w:rPr>
            </w:pPr>
            <w:r w:rsidRPr="00A053D0">
              <w:rPr>
                <w:color w:val="000000"/>
              </w:rPr>
              <w:t>1,286</w:t>
            </w:r>
          </w:p>
        </w:tc>
        <w:tc>
          <w:tcPr>
            <w:tcW w:w="2018" w:type="dxa"/>
            <w:shd w:val="clear" w:color="auto" w:fill="auto"/>
          </w:tcPr>
          <w:p w14:paraId="56B3448C" w14:textId="77777777" w:rsidR="00896135" w:rsidRPr="00A053D0" w:rsidRDefault="00896135" w:rsidP="00F12314">
            <w:pPr>
              <w:pStyle w:val="TableText"/>
              <w:jc w:val="right"/>
              <w:rPr>
                <w:color w:val="000000"/>
              </w:rPr>
            </w:pPr>
            <w:r w:rsidRPr="00A053D0">
              <w:rPr>
                <w:color w:val="000000"/>
              </w:rPr>
              <w:t>10%</w:t>
            </w:r>
          </w:p>
        </w:tc>
      </w:tr>
      <w:tr w:rsidR="00896135" w:rsidRPr="004F572F" w14:paraId="6ED1E7C7" w14:textId="77777777" w:rsidTr="008E7244">
        <w:tc>
          <w:tcPr>
            <w:tcW w:w="2017" w:type="dxa"/>
            <w:shd w:val="clear" w:color="auto" w:fill="auto"/>
          </w:tcPr>
          <w:p w14:paraId="258A596E" w14:textId="77777777" w:rsidR="00896135" w:rsidRPr="00A053D0" w:rsidRDefault="00896135" w:rsidP="008E7244">
            <w:pPr>
              <w:pStyle w:val="TableText"/>
            </w:pPr>
            <w:r w:rsidRPr="00A053D0">
              <w:t>Hawke’s Bay</w:t>
            </w:r>
          </w:p>
        </w:tc>
        <w:tc>
          <w:tcPr>
            <w:tcW w:w="2017" w:type="dxa"/>
            <w:shd w:val="clear" w:color="auto" w:fill="auto"/>
          </w:tcPr>
          <w:p w14:paraId="4795AA20" w14:textId="77777777" w:rsidR="00896135" w:rsidRPr="00A053D0" w:rsidRDefault="00896135" w:rsidP="00F12314">
            <w:pPr>
              <w:pStyle w:val="TableText"/>
              <w:jc w:val="right"/>
              <w:rPr>
                <w:color w:val="000000"/>
              </w:rPr>
            </w:pPr>
            <w:r w:rsidRPr="00A053D0">
              <w:rPr>
                <w:color w:val="000000"/>
              </w:rPr>
              <w:t>2,742</w:t>
            </w:r>
          </w:p>
        </w:tc>
        <w:tc>
          <w:tcPr>
            <w:tcW w:w="2017" w:type="dxa"/>
            <w:shd w:val="clear" w:color="auto" w:fill="auto"/>
          </w:tcPr>
          <w:p w14:paraId="53AC6D4F" w14:textId="77777777" w:rsidR="00896135" w:rsidRPr="00A053D0" w:rsidRDefault="00896135" w:rsidP="00F12314">
            <w:pPr>
              <w:pStyle w:val="TableText"/>
              <w:jc w:val="right"/>
              <w:rPr>
                <w:color w:val="000000"/>
              </w:rPr>
            </w:pPr>
            <w:r w:rsidRPr="00A053D0">
              <w:rPr>
                <w:color w:val="000000"/>
              </w:rPr>
              <w:t>1,656</w:t>
            </w:r>
          </w:p>
        </w:tc>
        <w:tc>
          <w:tcPr>
            <w:tcW w:w="2018" w:type="dxa"/>
            <w:shd w:val="clear" w:color="auto" w:fill="auto"/>
          </w:tcPr>
          <w:p w14:paraId="18EA47D1" w14:textId="77777777" w:rsidR="00896135" w:rsidRPr="00A053D0" w:rsidRDefault="00896135" w:rsidP="00F12314">
            <w:pPr>
              <w:pStyle w:val="TableText"/>
              <w:jc w:val="right"/>
              <w:rPr>
                <w:color w:val="000000"/>
              </w:rPr>
            </w:pPr>
            <w:r w:rsidRPr="00A053D0">
              <w:rPr>
                <w:color w:val="000000"/>
              </w:rPr>
              <w:t>4%</w:t>
            </w:r>
          </w:p>
        </w:tc>
      </w:tr>
      <w:tr w:rsidR="00896135" w:rsidRPr="004F572F" w14:paraId="1AE1B394" w14:textId="77777777" w:rsidTr="008E7244">
        <w:tc>
          <w:tcPr>
            <w:tcW w:w="2017" w:type="dxa"/>
            <w:shd w:val="clear" w:color="auto" w:fill="auto"/>
          </w:tcPr>
          <w:p w14:paraId="05B5A8BE" w14:textId="77777777" w:rsidR="00896135" w:rsidRPr="00A053D0" w:rsidRDefault="00896135" w:rsidP="008E7244">
            <w:pPr>
              <w:pStyle w:val="TableText"/>
            </w:pPr>
            <w:r w:rsidRPr="00A053D0">
              <w:t>Hutt Valley</w:t>
            </w:r>
          </w:p>
        </w:tc>
        <w:tc>
          <w:tcPr>
            <w:tcW w:w="2017" w:type="dxa"/>
            <w:shd w:val="clear" w:color="auto" w:fill="auto"/>
          </w:tcPr>
          <w:p w14:paraId="251746C9" w14:textId="77777777" w:rsidR="00896135" w:rsidRPr="00A053D0" w:rsidRDefault="00896135" w:rsidP="00F12314">
            <w:pPr>
              <w:pStyle w:val="TableText"/>
              <w:jc w:val="right"/>
              <w:rPr>
                <w:color w:val="000000"/>
              </w:rPr>
            </w:pPr>
            <w:r w:rsidRPr="00A053D0">
              <w:rPr>
                <w:color w:val="000000"/>
              </w:rPr>
              <w:t>2,083</w:t>
            </w:r>
          </w:p>
        </w:tc>
        <w:tc>
          <w:tcPr>
            <w:tcW w:w="2017" w:type="dxa"/>
            <w:shd w:val="clear" w:color="auto" w:fill="auto"/>
          </w:tcPr>
          <w:p w14:paraId="0903449F" w14:textId="77777777" w:rsidR="00896135" w:rsidRPr="00A053D0" w:rsidRDefault="00896135" w:rsidP="00F12314">
            <w:pPr>
              <w:pStyle w:val="TableText"/>
              <w:jc w:val="right"/>
              <w:rPr>
                <w:color w:val="000000"/>
              </w:rPr>
            </w:pPr>
            <w:r w:rsidRPr="00A053D0">
              <w:rPr>
                <w:color w:val="000000"/>
              </w:rPr>
              <w:t>1,392</w:t>
            </w:r>
          </w:p>
        </w:tc>
        <w:tc>
          <w:tcPr>
            <w:tcW w:w="2018" w:type="dxa"/>
            <w:shd w:val="clear" w:color="auto" w:fill="auto"/>
          </w:tcPr>
          <w:p w14:paraId="5D6C32B2" w14:textId="77777777" w:rsidR="00896135" w:rsidRPr="00A053D0" w:rsidRDefault="00896135" w:rsidP="00F12314">
            <w:pPr>
              <w:pStyle w:val="TableText"/>
              <w:jc w:val="right"/>
              <w:rPr>
                <w:color w:val="000000"/>
              </w:rPr>
            </w:pPr>
            <w:r w:rsidRPr="00A053D0">
              <w:rPr>
                <w:color w:val="000000"/>
              </w:rPr>
              <w:t>3%</w:t>
            </w:r>
          </w:p>
        </w:tc>
      </w:tr>
      <w:tr w:rsidR="00896135" w:rsidRPr="004F572F" w14:paraId="4EFCAF77" w14:textId="77777777" w:rsidTr="008E7244">
        <w:tc>
          <w:tcPr>
            <w:tcW w:w="2017" w:type="dxa"/>
            <w:shd w:val="clear" w:color="auto" w:fill="auto"/>
          </w:tcPr>
          <w:p w14:paraId="5FB2F13B" w14:textId="77777777" w:rsidR="00896135" w:rsidRPr="00A053D0" w:rsidRDefault="00896135" w:rsidP="008E7244">
            <w:pPr>
              <w:pStyle w:val="TableText"/>
            </w:pPr>
            <w:r w:rsidRPr="00A053D0">
              <w:t>Lakes</w:t>
            </w:r>
          </w:p>
        </w:tc>
        <w:tc>
          <w:tcPr>
            <w:tcW w:w="2017" w:type="dxa"/>
            <w:shd w:val="clear" w:color="auto" w:fill="auto"/>
          </w:tcPr>
          <w:p w14:paraId="6EDD54AC" w14:textId="77777777" w:rsidR="00896135" w:rsidRPr="00A053D0" w:rsidRDefault="00896135" w:rsidP="00F12314">
            <w:pPr>
              <w:pStyle w:val="TableText"/>
              <w:jc w:val="right"/>
              <w:rPr>
                <w:color w:val="000000"/>
              </w:rPr>
            </w:pPr>
            <w:r w:rsidRPr="00A053D0">
              <w:rPr>
                <w:color w:val="000000"/>
              </w:rPr>
              <w:t>1,328</w:t>
            </w:r>
          </w:p>
        </w:tc>
        <w:tc>
          <w:tcPr>
            <w:tcW w:w="2017" w:type="dxa"/>
            <w:shd w:val="clear" w:color="auto" w:fill="auto"/>
          </w:tcPr>
          <w:p w14:paraId="3C064E6F" w14:textId="77777777" w:rsidR="00896135" w:rsidRPr="00A053D0" w:rsidRDefault="00896135" w:rsidP="00F12314">
            <w:pPr>
              <w:pStyle w:val="TableText"/>
              <w:jc w:val="right"/>
              <w:rPr>
                <w:color w:val="000000"/>
              </w:rPr>
            </w:pPr>
            <w:r w:rsidRPr="00A053D0">
              <w:rPr>
                <w:color w:val="000000"/>
              </w:rPr>
              <w:t>1,203</w:t>
            </w:r>
          </w:p>
        </w:tc>
        <w:tc>
          <w:tcPr>
            <w:tcW w:w="2018" w:type="dxa"/>
            <w:shd w:val="clear" w:color="auto" w:fill="auto"/>
          </w:tcPr>
          <w:p w14:paraId="58FBCD37" w14:textId="77777777" w:rsidR="00896135" w:rsidRPr="00A053D0" w:rsidRDefault="00896135" w:rsidP="00F12314">
            <w:pPr>
              <w:pStyle w:val="TableText"/>
              <w:jc w:val="right"/>
              <w:rPr>
                <w:color w:val="000000"/>
              </w:rPr>
            </w:pPr>
            <w:r w:rsidRPr="00A053D0">
              <w:rPr>
                <w:color w:val="000000"/>
              </w:rPr>
              <w:t>2%</w:t>
            </w:r>
          </w:p>
        </w:tc>
      </w:tr>
      <w:tr w:rsidR="00896135" w:rsidRPr="004F572F" w14:paraId="63A52427" w14:textId="77777777" w:rsidTr="008E7244">
        <w:tc>
          <w:tcPr>
            <w:tcW w:w="2017" w:type="dxa"/>
            <w:shd w:val="clear" w:color="auto" w:fill="auto"/>
          </w:tcPr>
          <w:p w14:paraId="4EE44511" w14:textId="77777777" w:rsidR="00896135" w:rsidRPr="00A053D0" w:rsidRDefault="00896135" w:rsidP="008E7244">
            <w:pPr>
              <w:pStyle w:val="TableText"/>
            </w:pPr>
            <w:proofErr w:type="spellStart"/>
            <w:r w:rsidRPr="00A053D0">
              <w:t>MidCentral</w:t>
            </w:r>
            <w:proofErr w:type="spellEnd"/>
          </w:p>
        </w:tc>
        <w:tc>
          <w:tcPr>
            <w:tcW w:w="2017" w:type="dxa"/>
            <w:shd w:val="clear" w:color="auto" w:fill="auto"/>
          </w:tcPr>
          <w:p w14:paraId="263A790A" w14:textId="77777777" w:rsidR="00896135" w:rsidRPr="00A053D0" w:rsidRDefault="00896135" w:rsidP="00F12314">
            <w:pPr>
              <w:pStyle w:val="TableText"/>
              <w:jc w:val="right"/>
              <w:rPr>
                <w:color w:val="000000"/>
              </w:rPr>
            </w:pPr>
            <w:r w:rsidRPr="00A053D0">
              <w:rPr>
                <w:color w:val="000000"/>
              </w:rPr>
              <w:t>2,474</w:t>
            </w:r>
          </w:p>
        </w:tc>
        <w:tc>
          <w:tcPr>
            <w:tcW w:w="2017" w:type="dxa"/>
            <w:shd w:val="clear" w:color="auto" w:fill="auto"/>
          </w:tcPr>
          <w:p w14:paraId="2C4242A2" w14:textId="77777777" w:rsidR="00896135" w:rsidRPr="00A053D0" w:rsidRDefault="00896135" w:rsidP="00F12314">
            <w:pPr>
              <w:pStyle w:val="TableText"/>
              <w:jc w:val="right"/>
              <w:rPr>
                <w:color w:val="000000"/>
              </w:rPr>
            </w:pPr>
            <w:r w:rsidRPr="00A053D0">
              <w:rPr>
                <w:color w:val="000000"/>
              </w:rPr>
              <w:t>1,384</w:t>
            </w:r>
          </w:p>
        </w:tc>
        <w:tc>
          <w:tcPr>
            <w:tcW w:w="2018" w:type="dxa"/>
            <w:shd w:val="clear" w:color="auto" w:fill="auto"/>
          </w:tcPr>
          <w:p w14:paraId="05031E11" w14:textId="77777777" w:rsidR="00896135" w:rsidRPr="00A053D0" w:rsidRDefault="00896135" w:rsidP="00F12314">
            <w:pPr>
              <w:pStyle w:val="TableText"/>
              <w:jc w:val="right"/>
              <w:rPr>
                <w:color w:val="000000"/>
              </w:rPr>
            </w:pPr>
            <w:r w:rsidRPr="00A053D0">
              <w:rPr>
                <w:color w:val="000000"/>
              </w:rPr>
              <w:t>3%</w:t>
            </w:r>
          </w:p>
        </w:tc>
      </w:tr>
      <w:tr w:rsidR="00896135" w:rsidRPr="004F572F" w14:paraId="3B6B3A7B" w14:textId="77777777" w:rsidTr="008E7244">
        <w:tc>
          <w:tcPr>
            <w:tcW w:w="2017" w:type="dxa"/>
            <w:shd w:val="clear" w:color="auto" w:fill="auto"/>
          </w:tcPr>
          <w:p w14:paraId="5168CBED" w14:textId="77777777" w:rsidR="00896135" w:rsidRPr="00A053D0" w:rsidRDefault="00896135" w:rsidP="008E7244">
            <w:pPr>
              <w:pStyle w:val="TableText"/>
            </w:pPr>
            <w:r w:rsidRPr="00A053D0">
              <w:t>Nelson Marlborough</w:t>
            </w:r>
          </w:p>
        </w:tc>
        <w:tc>
          <w:tcPr>
            <w:tcW w:w="2017" w:type="dxa"/>
            <w:shd w:val="clear" w:color="auto" w:fill="auto"/>
          </w:tcPr>
          <w:p w14:paraId="3C64222F" w14:textId="77777777" w:rsidR="00896135" w:rsidRPr="00A053D0" w:rsidRDefault="00896135" w:rsidP="00F12314">
            <w:pPr>
              <w:pStyle w:val="TableText"/>
              <w:jc w:val="right"/>
              <w:rPr>
                <w:color w:val="000000"/>
              </w:rPr>
            </w:pPr>
            <w:r w:rsidRPr="00A053D0">
              <w:rPr>
                <w:color w:val="000000"/>
              </w:rPr>
              <w:t>2,392</w:t>
            </w:r>
          </w:p>
        </w:tc>
        <w:tc>
          <w:tcPr>
            <w:tcW w:w="2017" w:type="dxa"/>
            <w:shd w:val="clear" w:color="auto" w:fill="auto"/>
          </w:tcPr>
          <w:p w14:paraId="68802BCE" w14:textId="77777777" w:rsidR="00896135" w:rsidRPr="00A053D0" w:rsidRDefault="00896135" w:rsidP="00F12314">
            <w:pPr>
              <w:pStyle w:val="TableText"/>
              <w:jc w:val="right"/>
              <w:rPr>
                <w:color w:val="000000"/>
              </w:rPr>
            </w:pPr>
            <w:r w:rsidRPr="00A053D0">
              <w:rPr>
                <w:color w:val="000000"/>
              </w:rPr>
              <w:t>1,587</w:t>
            </w:r>
          </w:p>
        </w:tc>
        <w:tc>
          <w:tcPr>
            <w:tcW w:w="2018" w:type="dxa"/>
            <w:shd w:val="clear" w:color="auto" w:fill="auto"/>
          </w:tcPr>
          <w:p w14:paraId="181D69A9" w14:textId="77777777" w:rsidR="00896135" w:rsidRPr="00A053D0" w:rsidRDefault="00896135" w:rsidP="00F12314">
            <w:pPr>
              <w:pStyle w:val="TableText"/>
              <w:jc w:val="right"/>
              <w:rPr>
                <w:color w:val="000000"/>
              </w:rPr>
            </w:pPr>
            <w:r w:rsidRPr="00A053D0">
              <w:rPr>
                <w:color w:val="000000"/>
              </w:rPr>
              <w:t>3%</w:t>
            </w:r>
          </w:p>
        </w:tc>
      </w:tr>
      <w:tr w:rsidR="00896135" w:rsidRPr="004F572F" w14:paraId="2A424D36" w14:textId="77777777" w:rsidTr="008E7244">
        <w:tc>
          <w:tcPr>
            <w:tcW w:w="2017" w:type="dxa"/>
            <w:shd w:val="clear" w:color="auto" w:fill="auto"/>
          </w:tcPr>
          <w:p w14:paraId="1BAF6278" w14:textId="77777777" w:rsidR="00896135" w:rsidRPr="00A053D0" w:rsidRDefault="00896135" w:rsidP="008E7244">
            <w:pPr>
              <w:pStyle w:val="TableText"/>
            </w:pPr>
            <w:r w:rsidRPr="00A053D0">
              <w:t>Northland</w:t>
            </w:r>
          </w:p>
        </w:tc>
        <w:tc>
          <w:tcPr>
            <w:tcW w:w="2017" w:type="dxa"/>
            <w:shd w:val="clear" w:color="auto" w:fill="auto"/>
          </w:tcPr>
          <w:p w14:paraId="32614AA5" w14:textId="77777777" w:rsidR="00896135" w:rsidRPr="00A053D0" w:rsidRDefault="00896135" w:rsidP="00F12314">
            <w:pPr>
              <w:pStyle w:val="TableText"/>
              <w:jc w:val="right"/>
              <w:rPr>
                <w:color w:val="000000"/>
              </w:rPr>
            </w:pPr>
            <w:r w:rsidRPr="00A053D0">
              <w:rPr>
                <w:color w:val="000000"/>
              </w:rPr>
              <w:t>3,049</w:t>
            </w:r>
          </w:p>
        </w:tc>
        <w:tc>
          <w:tcPr>
            <w:tcW w:w="2017" w:type="dxa"/>
            <w:shd w:val="clear" w:color="auto" w:fill="auto"/>
          </w:tcPr>
          <w:p w14:paraId="5979667E" w14:textId="77777777" w:rsidR="00896135" w:rsidRPr="00A053D0" w:rsidRDefault="00896135" w:rsidP="00F12314">
            <w:pPr>
              <w:pStyle w:val="TableText"/>
              <w:jc w:val="right"/>
              <w:rPr>
                <w:color w:val="000000"/>
              </w:rPr>
            </w:pPr>
            <w:r w:rsidRPr="00A053D0">
              <w:rPr>
                <w:color w:val="000000"/>
              </w:rPr>
              <w:t>1,700</w:t>
            </w:r>
          </w:p>
        </w:tc>
        <w:tc>
          <w:tcPr>
            <w:tcW w:w="2018" w:type="dxa"/>
            <w:shd w:val="clear" w:color="auto" w:fill="auto"/>
          </w:tcPr>
          <w:p w14:paraId="215DE5B6" w14:textId="77777777" w:rsidR="00896135" w:rsidRPr="00A053D0" w:rsidRDefault="00896135" w:rsidP="00F12314">
            <w:pPr>
              <w:pStyle w:val="TableText"/>
              <w:jc w:val="right"/>
              <w:rPr>
                <w:color w:val="000000"/>
              </w:rPr>
            </w:pPr>
            <w:r w:rsidRPr="00A053D0">
              <w:rPr>
                <w:color w:val="000000"/>
              </w:rPr>
              <w:t>4%</w:t>
            </w:r>
          </w:p>
        </w:tc>
      </w:tr>
      <w:tr w:rsidR="00896135" w:rsidRPr="004F572F" w14:paraId="47C1C280" w14:textId="77777777" w:rsidTr="008E7244">
        <w:tc>
          <w:tcPr>
            <w:tcW w:w="2017" w:type="dxa"/>
            <w:shd w:val="clear" w:color="auto" w:fill="auto"/>
          </w:tcPr>
          <w:p w14:paraId="4C98DF24" w14:textId="77777777" w:rsidR="00896135" w:rsidRPr="00A053D0" w:rsidRDefault="00896135" w:rsidP="008E7244">
            <w:pPr>
              <w:pStyle w:val="TableText"/>
            </w:pPr>
            <w:r w:rsidRPr="00A053D0">
              <w:t>South Canterbury</w:t>
            </w:r>
          </w:p>
        </w:tc>
        <w:tc>
          <w:tcPr>
            <w:tcW w:w="2017" w:type="dxa"/>
            <w:shd w:val="clear" w:color="auto" w:fill="auto"/>
          </w:tcPr>
          <w:p w14:paraId="1FB54FB5" w14:textId="77777777" w:rsidR="00896135" w:rsidRPr="00A053D0" w:rsidRDefault="00896135" w:rsidP="00F12314">
            <w:pPr>
              <w:pStyle w:val="TableText"/>
              <w:jc w:val="right"/>
              <w:rPr>
                <w:color w:val="000000"/>
              </w:rPr>
            </w:pPr>
            <w:r w:rsidRPr="00A053D0">
              <w:rPr>
                <w:color w:val="000000"/>
              </w:rPr>
              <w:t>655</w:t>
            </w:r>
          </w:p>
        </w:tc>
        <w:tc>
          <w:tcPr>
            <w:tcW w:w="2017" w:type="dxa"/>
            <w:shd w:val="clear" w:color="auto" w:fill="auto"/>
          </w:tcPr>
          <w:p w14:paraId="09BF8E40" w14:textId="77777777" w:rsidR="00896135" w:rsidRPr="00A053D0" w:rsidRDefault="00896135" w:rsidP="00F12314">
            <w:pPr>
              <w:pStyle w:val="TableText"/>
              <w:jc w:val="right"/>
              <w:rPr>
                <w:color w:val="000000"/>
              </w:rPr>
            </w:pPr>
            <w:r w:rsidRPr="00A053D0">
              <w:rPr>
                <w:color w:val="000000"/>
              </w:rPr>
              <w:t>1,088</w:t>
            </w:r>
          </w:p>
        </w:tc>
        <w:tc>
          <w:tcPr>
            <w:tcW w:w="2018" w:type="dxa"/>
            <w:shd w:val="clear" w:color="auto" w:fill="auto"/>
          </w:tcPr>
          <w:p w14:paraId="14C0E945" w14:textId="77777777" w:rsidR="00896135" w:rsidRPr="00A053D0" w:rsidRDefault="00896135" w:rsidP="00F12314">
            <w:pPr>
              <w:pStyle w:val="TableText"/>
              <w:jc w:val="right"/>
              <w:rPr>
                <w:color w:val="000000"/>
              </w:rPr>
            </w:pPr>
            <w:r w:rsidRPr="00A053D0">
              <w:rPr>
                <w:color w:val="000000"/>
              </w:rPr>
              <w:t>1%</w:t>
            </w:r>
          </w:p>
        </w:tc>
      </w:tr>
      <w:tr w:rsidR="00896135" w:rsidRPr="004F572F" w14:paraId="0DAC7FCD" w14:textId="77777777" w:rsidTr="008E7244">
        <w:tc>
          <w:tcPr>
            <w:tcW w:w="2017" w:type="dxa"/>
            <w:shd w:val="clear" w:color="auto" w:fill="auto"/>
          </w:tcPr>
          <w:p w14:paraId="6F4F7872" w14:textId="77777777" w:rsidR="00896135" w:rsidRPr="00A053D0" w:rsidRDefault="00896135" w:rsidP="008E7244">
            <w:pPr>
              <w:pStyle w:val="TableText"/>
            </w:pPr>
            <w:r w:rsidRPr="00A053D0">
              <w:t>Southern</w:t>
            </w:r>
          </w:p>
        </w:tc>
        <w:tc>
          <w:tcPr>
            <w:tcW w:w="2017" w:type="dxa"/>
            <w:shd w:val="clear" w:color="auto" w:fill="auto"/>
          </w:tcPr>
          <w:p w14:paraId="56CCA659" w14:textId="77777777" w:rsidR="00896135" w:rsidRPr="00A053D0" w:rsidRDefault="00896135" w:rsidP="00F12314">
            <w:pPr>
              <w:pStyle w:val="TableText"/>
              <w:jc w:val="right"/>
              <w:rPr>
                <w:color w:val="000000"/>
              </w:rPr>
            </w:pPr>
            <w:r w:rsidRPr="00A053D0">
              <w:rPr>
                <w:color w:val="000000"/>
              </w:rPr>
              <w:t>4,263</w:t>
            </w:r>
          </w:p>
        </w:tc>
        <w:tc>
          <w:tcPr>
            <w:tcW w:w="2017" w:type="dxa"/>
            <w:shd w:val="clear" w:color="auto" w:fill="auto"/>
          </w:tcPr>
          <w:p w14:paraId="041684C5" w14:textId="77777777" w:rsidR="00896135" w:rsidRPr="00A053D0" w:rsidRDefault="00896135" w:rsidP="00F12314">
            <w:pPr>
              <w:pStyle w:val="TableText"/>
              <w:jc w:val="right"/>
              <w:rPr>
                <w:color w:val="000000"/>
              </w:rPr>
            </w:pPr>
            <w:r w:rsidRPr="00A053D0">
              <w:rPr>
                <w:color w:val="000000"/>
              </w:rPr>
              <w:t>1,292</w:t>
            </w:r>
          </w:p>
        </w:tc>
        <w:tc>
          <w:tcPr>
            <w:tcW w:w="2018" w:type="dxa"/>
            <w:shd w:val="clear" w:color="auto" w:fill="auto"/>
          </w:tcPr>
          <w:p w14:paraId="6EF02446" w14:textId="77777777" w:rsidR="00896135" w:rsidRPr="00A053D0" w:rsidRDefault="00896135" w:rsidP="00F12314">
            <w:pPr>
              <w:pStyle w:val="TableText"/>
              <w:jc w:val="right"/>
              <w:rPr>
                <w:color w:val="000000"/>
              </w:rPr>
            </w:pPr>
            <w:r w:rsidRPr="00A053D0">
              <w:rPr>
                <w:color w:val="000000"/>
              </w:rPr>
              <w:t>6%</w:t>
            </w:r>
          </w:p>
        </w:tc>
      </w:tr>
      <w:tr w:rsidR="00896135" w:rsidRPr="004F572F" w14:paraId="16BC639F" w14:textId="77777777" w:rsidTr="008E7244">
        <w:tc>
          <w:tcPr>
            <w:tcW w:w="2017" w:type="dxa"/>
            <w:shd w:val="clear" w:color="auto" w:fill="auto"/>
          </w:tcPr>
          <w:p w14:paraId="2DAFA461" w14:textId="77777777" w:rsidR="00896135" w:rsidRPr="00A053D0" w:rsidRDefault="00896135" w:rsidP="008E7244">
            <w:pPr>
              <w:pStyle w:val="TableText"/>
            </w:pPr>
            <w:proofErr w:type="spellStart"/>
            <w:r w:rsidRPr="00A053D0">
              <w:t>Tairawhiti</w:t>
            </w:r>
            <w:proofErr w:type="spellEnd"/>
          </w:p>
        </w:tc>
        <w:tc>
          <w:tcPr>
            <w:tcW w:w="2017" w:type="dxa"/>
            <w:shd w:val="clear" w:color="auto" w:fill="auto"/>
          </w:tcPr>
          <w:p w14:paraId="4641ECF6" w14:textId="77777777" w:rsidR="00896135" w:rsidRPr="00A053D0" w:rsidRDefault="00896135" w:rsidP="00F12314">
            <w:pPr>
              <w:pStyle w:val="TableText"/>
              <w:jc w:val="right"/>
              <w:rPr>
                <w:color w:val="000000"/>
              </w:rPr>
            </w:pPr>
            <w:r w:rsidRPr="00A053D0">
              <w:rPr>
                <w:color w:val="000000"/>
              </w:rPr>
              <w:t>730</w:t>
            </w:r>
          </w:p>
        </w:tc>
        <w:tc>
          <w:tcPr>
            <w:tcW w:w="2017" w:type="dxa"/>
            <w:shd w:val="clear" w:color="auto" w:fill="auto"/>
          </w:tcPr>
          <w:p w14:paraId="6A2C7D65" w14:textId="77777777" w:rsidR="00896135" w:rsidRPr="00A053D0" w:rsidRDefault="00896135" w:rsidP="00F12314">
            <w:pPr>
              <w:pStyle w:val="TableText"/>
              <w:jc w:val="right"/>
              <w:rPr>
                <w:color w:val="000000"/>
              </w:rPr>
            </w:pPr>
            <w:r w:rsidRPr="00A053D0">
              <w:rPr>
                <w:color w:val="000000"/>
              </w:rPr>
              <w:t>1,488</w:t>
            </w:r>
          </w:p>
        </w:tc>
        <w:tc>
          <w:tcPr>
            <w:tcW w:w="2018" w:type="dxa"/>
            <w:shd w:val="clear" w:color="auto" w:fill="auto"/>
          </w:tcPr>
          <w:p w14:paraId="47D37856" w14:textId="77777777" w:rsidR="00896135" w:rsidRPr="00A053D0" w:rsidRDefault="00896135" w:rsidP="00F12314">
            <w:pPr>
              <w:pStyle w:val="TableText"/>
              <w:jc w:val="right"/>
              <w:rPr>
                <w:color w:val="000000"/>
              </w:rPr>
            </w:pPr>
            <w:r w:rsidRPr="00A053D0">
              <w:rPr>
                <w:color w:val="000000"/>
              </w:rPr>
              <w:t>1%</w:t>
            </w:r>
          </w:p>
        </w:tc>
      </w:tr>
      <w:tr w:rsidR="00896135" w:rsidRPr="004F572F" w14:paraId="3EF6D94C" w14:textId="77777777" w:rsidTr="008E7244">
        <w:tc>
          <w:tcPr>
            <w:tcW w:w="2017" w:type="dxa"/>
            <w:shd w:val="clear" w:color="auto" w:fill="auto"/>
          </w:tcPr>
          <w:p w14:paraId="54467F36" w14:textId="77777777" w:rsidR="00896135" w:rsidRPr="00A053D0" w:rsidRDefault="00896135" w:rsidP="008E7244">
            <w:pPr>
              <w:pStyle w:val="TableText"/>
            </w:pPr>
            <w:r w:rsidRPr="00A053D0">
              <w:t>Taranaki</w:t>
            </w:r>
          </w:p>
        </w:tc>
        <w:tc>
          <w:tcPr>
            <w:tcW w:w="2017" w:type="dxa"/>
            <w:shd w:val="clear" w:color="auto" w:fill="auto"/>
          </w:tcPr>
          <w:p w14:paraId="2F8B1A27" w14:textId="77777777" w:rsidR="00896135" w:rsidRPr="00A053D0" w:rsidRDefault="00896135" w:rsidP="00F12314">
            <w:pPr>
              <w:pStyle w:val="TableText"/>
              <w:jc w:val="right"/>
              <w:rPr>
                <w:color w:val="000000"/>
              </w:rPr>
            </w:pPr>
            <w:r w:rsidRPr="00A053D0">
              <w:rPr>
                <w:color w:val="000000"/>
              </w:rPr>
              <w:t>1,638</w:t>
            </w:r>
          </w:p>
        </w:tc>
        <w:tc>
          <w:tcPr>
            <w:tcW w:w="2017" w:type="dxa"/>
            <w:shd w:val="clear" w:color="auto" w:fill="auto"/>
          </w:tcPr>
          <w:p w14:paraId="0677145A" w14:textId="77777777" w:rsidR="00896135" w:rsidRPr="00A053D0" w:rsidRDefault="00896135" w:rsidP="00F12314">
            <w:pPr>
              <w:pStyle w:val="TableText"/>
              <w:jc w:val="right"/>
              <w:rPr>
                <w:color w:val="000000"/>
              </w:rPr>
            </w:pPr>
            <w:r w:rsidRPr="00A053D0">
              <w:rPr>
                <w:color w:val="000000"/>
              </w:rPr>
              <w:t>1,364</w:t>
            </w:r>
          </w:p>
        </w:tc>
        <w:tc>
          <w:tcPr>
            <w:tcW w:w="2018" w:type="dxa"/>
            <w:shd w:val="clear" w:color="auto" w:fill="auto"/>
          </w:tcPr>
          <w:p w14:paraId="21546D6E" w14:textId="77777777" w:rsidR="00896135" w:rsidRPr="00A053D0" w:rsidRDefault="00896135" w:rsidP="00F12314">
            <w:pPr>
              <w:pStyle w:val="TableText"/>
              <w:jc w:val="right"/>
              <w:rPr>
                <w:color w:val="000000"/>
              </w:rPr>
            </w:pPr>
            <w:r w:rsidRPr="00A053D0">
              <w:rPr>
                <w:color w:val="000000"/>
              </w:rPr>
              <w:t>2%</w:t>
            </w:r>
          </w:p>
        </w:tc>
      </w:tr>
      <w:tr w:rsidR="00896135" w:rsidRPr="004F572F" w14:paraId="310692A4" w14:textId="77777777" w:rsidTr="008E7244">
        <w:tc>
          <w:tcPr>
            <w:tcW w:w="2017" w:type="dxa"/>
            <w:shd w:val="clear" w:color="auto" w:fill="auto"/>
          </w:tcPr>
          <w:p w14:paraId="1EFB0543" w14:textId="77777777" w:rsidR="00896135" w:rsidRPr="00A053D0" w:rsidRDefault="00896135" w:rsidP="008E7244">
            <w:pPr>
              <w:pStyle w:val="TableText"/>
            </w:pPr>
            <w:r w:rsidRPr="00A053D0">
              <w:t>Waikato</w:t>
            </w:r>
          </w:p>
        </w:tc>
        <w:tc>
          <w:tcPr>
            <w:tcW w:w="2017" w:type="dxa"/>
            <w:shd w:val="clear" w:color="auto" w:fill="auto"/>
          </w:tcPr>
          <w:p w14:paraId="1F05AE36" w14:textId="77777777" w:rsidR="00896135" w:rsidRPr="00A053D0" w:rsidRDefault="00896135" w:rsidP="00F12314">
            <w:pPr>
              <w:pStyle w:val="TableText"/>
              <w:jc w:val="right"/>
              <w:rPr>
                <w:color w:val="000000"/>
              </w:rPr>
            </w:pPr>
            <w:r w:rsidRPr="00A053D0">
              <w:rPr>
                <w:color w:val="000000"/>
              </w:rPr>
              <w:t>7,407</w:t>
            </w:r>
          </w:p>
        </w:tc>
        <w:tc>
          <w:tcPr>
            <w:tcW w:w="2017" w:type="dxa"/>
            <w:shd w:val="clear" w:color="auto" w:fill="auto"/>
          </w:tcPr>
          <w:p w14:paraId="37F92369" w14:textId="77777777" w:rsidR="00896135" w:rsidRPr="00A053D0" w:rsidRDefault="00896135" w:rsidP="00F12314">
            <w:pPr>
              <w:pStyle w:val="TableText"/>
              <w:jc w:val="right"/>
              <w:rPr>
                <w:color w:val="000000"/>
              </w:rPr>
            </w:pPr>
            <w:r w:rsidRPr="00A053D0">
              <w:rPr>
                <w:color w:val="000000"/>
              </w:rPr>
              <w:t>1,764</w:t>
            </w:r>
          </w:p>
        </w:tc>
        <w:tc>
          <w:tcPr>
            <w:tcW w:w="2018" w:type="dxa"/>
            <w:shd w:val="clear" w:color="auto" w:fill="auto"/>
          </w:tcPr>
          <w:p w14:paraId="6BD04C28" w14:textId="77777777" w:rsidR="00896135" w:rsidRPr="00A053D0" w:rsidRDefault="00896135" w:rsidP="00F12314">
            <w:pPr>
              <w:pStyle w:val="TableText"/>
              <w:jc w:val="right"/>
              <w:rPr>
                <w:color w:val="000000"/>
              </w:rPr>
            </w:pPr>
            <w:r w:rsidRPr="00A053D0">
              <w:rPr>
                <w:color w:val="000000"/>
              </w:rPr>
              <w:t>10%</w:t>
            </w:r>
          </w:p>
        </w:tc>
      </w:tr>
      <w:tr w:rsidR="00896135" w:rsidRPr="004F572F" w14:paraId="7D5FE286" w14:textId="77777777" w:rsidTr="008E7244">
        <w:tc>
          <w:tcPr>
            <w:tcW w:w="2017" w:type="dxa"/>
            <w:shd w:val="clear" w:color="auto" w:fill="auto"/>
          </w:tcPr>
          <w:p w14:paraId="64347E02" w14:textId="77777777" w:rsidR="00896135" w:rsidRPr="00A053D0" w:rsidRDefault="00896135" w:rsidP="008E7244">
            <w:pPr>
              <w:pStyle w:val="TableText"/>
            </w:pPr>
            <w:r w:rsidRPr="00A053D0">
              <w:t>Wairarapa</w:t>
            </w:r>
          </w:p>
        </w:tc>
        <w:tc>
          <w:tcPr>
            <w:tcW w:w="2017" w:type="dxa"/>
            <w:shd w:val="clear" w:color="auto" w:fill="auto"/>
          </w:tcPr>
          <w:p w14:paraId="4CD30A29" w14:textId="77777777" w:rsidR="00896135" w:rsidRPr="00A053D0" w:rsidRDefault="00896135" w:rsidP="00F12314">
            <w:pPr>
              <w:pStyle w:val="TableText"/>
              <w:jc w:val="right"/>
              <w:rPr>
                <w:color w:val="000000"/>
              </w:rPr>
            </w:pPr>
            <w:r w:rsidRPr="00A053D0">
              <w:rPr>
                <w:color w:val="000000"/>
              </w:rPr>
              <w:t>546</w:t>
            </w:r>
          </w:p>
        </w:tc>
        <w:tc>
          <w:tcPr>
            <w:tcW w:w="2017" w:type="dxa"/>
            <w:shd w:val="clear" w:color="auto" w:fill="auto"/>
          </w:tcPr>
          <w:p w14:paraId="5739B543" w14:textId="77777777" w:rsidR="00896135" w:rsidRPr="00A053D0" w:rsidRDefault="00896135" w:rsidP="00F12314">
            <w:pPr>
              <w:pStyle w:val="TableText"/>
              <w:jc w:val="right"/>
              <w:rPr>
                <w:color w:val="000000"/>
              </w:rPr>
            </w:pPr>
            <w:r w:rsidRPr="00A053D0">
              <w:rPr>
                <w:color w:val="000000"/>
              </w:rPr>
              <w:t>1,216</w:t>
            </w:r>
          </w:p>
        </w:tc>
        <w:tc>
          <w:tcPr>
            <w:tcW w:w="2018" w:type="dxa"/>
            <w:shd w:val="clear" w:color="auto" w:fill="auto"/>
          </w:tcPr>
          <w:p w14:paraId="5BEBBA88" w14:textId="77777777" w:rsidR="00896135" w:rsidRPr="00A053D0" w:rsidRDefault="00896135" w:rsidP="00F12314">
            <w:pPr>
              <w:pStyle w:val="TableText"/>
              <w:jc w:val="right"/>
              <w:rPr>
                <w:color w:val="000000"/>
              </w:rPr>
            </w:pPr>
            <w:r w:rsidRPr="00A053D0">
              <w:rPr>
                <w:color w:val="000000"/>
              </w:rPr>
              <w:t>1%</w:t>
            </w:r>
          </w:p>
        </w:tc>
      </w:tr>
      <w:tr w:rsidR="00896135" w:rsidRPr="004F572F" w14:paraId="21A4162A" w14:textId="77777777" w:rsidTr="008E7244">
        <w:tc>
          <w:tcPr>
            <w:tcW w:w="2017" w:type="dxa"/>
            <w:shd w:val="clear" w:color="auto" w:fill="auto"/>
          </w:tcPr>
          <w:p w14:paraId="628216D4" w14:textId="77777777" w:rsidR="00896135" w:rsidRPr="00A053D0" w:rsidRDefault="00896135" w:rsidP="008E7244">
            <w:pPr>
              <w:pStyle w:val="TableText"/>
            </w:pPr>
            <w:r w:rsidRPr="00A053D0">
              <w:t>Waitemata</w:t>
            </w:r>
          </w:p>
        </w:tc>
        <w:tc>
          <w:tcPr>
            <w:tcW w:w="2017" w:type="dxa"/>
            <w:shd w:val="clear" w:color="auto" w:fill="auto"/>
          </w:tcPr>
          <w:p w14:paraId="33B2AF70" w14:textId="77777777" w:rsidR="00896135" w:rsidRPr="00A053D0" w:rsidRDefault="00896135" w:rsidP="00F12314">
            <w:pPr>
              <w:pStyle w:val="TableText"/>
              <w:jc w:val="right"/>
              <w:rPr>
                <w:color w:val="000000"/>
              </w:rPr>
            </w:pPr>
            <w:r w:rsidRPr="00A053D0">
              <w:rPr>
                <w:color w:val="000000"/>
              </w:rPr>
              <w:t>7,396</w:t>
            </w:r>
          </w:p>
        </w:tc>
        <w:tc>
          <w:tcPr>
            <w:tcW w:w="2017" w:type="dxa"/>
            <w:shd w:val="clear" w:color="auto" w:fill="auto"/>
          </w:tcPr>
          <w:p w14:paraId="69012F28" w14:textId="77777777" w:rsidR="00896135" w:rsidRPr="00A053D0" w:rsidRDefault="00896135" w:rsidP="00F12314">
            <w:pPr>
              <w:pStyle w:val="TableText"/>
              <w:jc w:val="right"/>
              <w:rPr>
                <w:color w:val="000000"/>
              </w:rPr>
            </w:pPr>
            <w:r w:rsidRPr="00A053D0">
              <w:rPr>
                <w:color w:val="000000"/>
              </w:rPr>
              <w:t>1,176</w:t>
            </w:r>
          </w:p>
        </w:tc>
        <w:tc>
          <w:tcPr>
            <w:tcW w:w="2018" w:type="dxa"/>
            <w:shd w:val="clear" w:color="auto" w:fill="auto"/>
          </w:tcPr>
          <w:p w14:paraId="6D7AF8B4" w14:textId="77777777" w:rsidR="00896135" w:rsidRPr="00A053D0" w:rsidRDefault="00896135" w:rsidP="00F12314">
            <w:pPr>
              <w:pStyle w:val="TableText"/>
              <w:jc w:val="right"/>
              <w:rPr>
                <w:color w:val="000000"/>
              </w:rPr>
            </w:pPr>
            <w:r w:rsidRPr="00A053D0">
              <w:rPr>
                <w:color w:val="000000"/>
              </w:rPr>
              <w:t>10%</w:t>
            </w:r>
          </w:p>
        </w:tc>
      </w:tr>
      <w:tr w:rsidR="00896135" w:rsidRPr="004F572F" w14:paraId="4CD9D004" w14:textId="77777777" w:rsidTr="008E7244">
        <w:tc>
          <w:tcPr>
            <w:tcW w:w="2017" w:type="dxa"/>
            <w:shd w:val="clear" w:color="auto" w:fill="auto"/>
          </w:tcPr>
          <w:p w14:paraId="2EF31E01" w14:textId="77777777" w:rsidR="00896135" w:rsidRPr="00A053D0" w:rsidRDefault="00896135" w:rsidP="008E7244">
            <w:pPr>
              <w:pStyle w:val="TableText"/>
            </w:pPr>
            <w:r w:rsidRPr="00A053D0">
              <w:t>West Coast</w:t>
            </w:r>
          </w:p>
        </w:tc>
        <w:tc>
          <w:tcPr>
            <w:tcW w:w="2017" w:type="dxa"/>
            <w:shd w:val="clear" w:color="auto" w:fill="auto"/>
          </w:tcPr>
          <w:p w14:paraId="3FD2D08C" w14:textId="77777777" w:rsidR="00896135" w:rsidRPr="00A053D0" w:rsidRDefault="00896135" w:rsidP="00F12314">
            <w:pPr>
              <w:pStyle w:val="TableText"/>
              <w:jc w:val="right"/>
              <w:rPr>
                <w:color w:val="000000"/>
              </w:rPr>
            </w:pPr>
            <w:r w:rsidRPr="00A053D0">
              <w:rPr>
                <w:color w:val="000000"/>
              </w:rPr>
              <w:t>744</w:t>
            </w:r>
          </w:p>
        </w:tc>
        <w:tc>
          <w:tcPr>
            <w:tcW w:w="2017" w:type="dxa"/>
            <w:shd w:val="clear" w:color="auto" w:fill="auto"/>
          </w:tcPr>
          <w:p w14:paraId="15976FF1" w14:textId="77777777" w:rsidR="00896135" w:rsidRPr="00A053D0" w:rsidRDefault="00896135" w:rsidP="00F12314">
            <w:pPr>
              <w:pStyle w:val="TableText"/>
              <w:jc w:val="right"/>
              <w:rPr>
                <w:color w:val="000000"/>
              </w:rPr>
            </w:pPr>
            <w:r w:rsidRPr="00A053D0">
              <w:rPr>
                <w:color w:val="000000"/>
              </w:rPr>
              <w:t>2,296</w:t>
            </w:r>
          </w:p>
        </w:tc>
        <w:tc>
          <w:tcPr>
            <w:tcW w:w="2018" w:type="dxa"/>
            <w:shd w:val="clear" w:color="auto" w:fill="auto"/>
          </w:tcPr>
          <w:p w14:paraId="6DAE254C" w14:textId="77777777" w:rsidR="00896135" w:rsidRPr="00A053D0" w:rsidRDefault="00896135" w:rsidP="00F12314">
            <w:pPr>
              <w:pStyle w:val="TableText"/>
              <w:jc w:val="right"/>
              <w:rPr>
                <w:color w:val="000000"/>
              </w:rPr>
            </w:pPr>
            <w:r w:rsidRPr="00A053D0">
              <w:rPr>
                <w:color w:val="000000"/>
              </w:rPr>
              <w:t>1%</w:t>
            </w:r>
          </w:p>
        </w:tc>
      </w:tr>
      <w:tr w:rsidR="00896135" w:rsidRPr="004F572F" w14:paraId="5DBED6EC" w14:textId="77777777" w:rsidTr="008E7244">
        <w:tc>
          <w:tcPr>
            <w:tcW w:w="2017" w:type="dxa"/>
            <w:shd w:val="clear" w:color="auto" w:fill="auto"/>
          </w:tcPr>
          <w:p w14:paraId="5B0E0996" w14:textId="77777777" w:rsidR="00896135" w:rsidRPr="00A053D0" w:rsidRDefault="00896135" w:rsidP="008E7244">
            <w:pPr>
              <w:pStyle w:val="TableText"/>
            </w:pPr>
            <w:r w:rsidRPr="00A053D0">
              <w:t>Whanganui</w:t>
            </w:r>
          </w:p>
        </w:tc>
        <w:tc>
          <w:tcPr>
            <w:tcW w:w="2017" w:type="dxa"/>
            <w:shd w:val="clear" w:color="auto" w:fill="auto"/>
          </w:tcPr>
          <w:p w14:paraId="44929B0E" w14:textId="77777777" w:rsidR="00896135" w:rsidRPr="00A053D0" w:rsidRDefault="00896135" w:rsidP="00F12314">
            <w:pPr>
              <w:pStyle w:val="TableText"/>
              <w:jc w:val="right"/>
              <w:rPr>
                <w:color w:val="000000"/>
              </w:rPr>
            </w:pPr>
            <w:r w:rsidRPr="00A053D0">
              <w:rPr>
                <w:color w:val="000000"/>
              </w:rPr>
              <w:t>967</w:t>
            </w:r>
          </w:p>
        </w:tc>
        <w:tc>
          <w:tcPr>
            <w:tcW w:w="2017" w:type="dxa"/>
            <w:shd w:val="clear" w:color="auto" w:fill="auto"/>
          </w:tcPr>
          <w:p w14:paraId="47534093" w14:textId="77777777" w:rsidR="00896135" w:rsidRPr="00A053D0" w:rsidRDefault="00896135" w:rsidP="00F12314">
            <w:pPr>
              <w:pStyle w:val="TableText"/>
              <w:jc w:val="right"/>
              <w:rPr>
                <w:color w:val="000000"/>
              </w:rPr>
            </w:pPr>
            <w:r w:rsidRPr="00A053D0">
              <w:rPr>
                <w:color w:val="000000"/>
              </w:rPr>
              <w:t>1,498</w:t>
            </w:r>
          </w:p>
        </w:tc>
        <w:tc>
          <w:tcPr>
            <w:tcW w:w="2018" w:type="dxa"/>
            <w:shd w:val="clear" w:color="auto" w:fill="auto"/>
          </w:tcPr>
          <w:p w14:paraId="5FE13519" w14:textId="77777777" w:rsidR="00896135" w:rsidRPr="00A053D0" w:rsidRDefault="00896135" w:rsidP="00F12314">
            <w:pPr>
              <w:pStyle w:val="TableText"/>
              <w:jc w:val="right"/>
              <w:rPr>
                <w:color w:val="000000"/>
              </w:rPr>
            </w:pPr>
            <w:r w:rsidRPr="00A053D0">
              <w:rPr>
                <w:color w:val="000000"/>
              </w:rPr>
              <w:t>1%</w:t>
            </w:r>
          </w:p>
        </w:tc>
      </w:tr>
      <w:tr w:rsidR="00896135" w:rsidRPr="00F12314" w14:paraId="77C8FA1E" w14:textId="77777777" w:rsidTr="00F12314">
        <w:tc>
          <w:tcPr>
            <w:tcW w:w="2017" w:type="dxa"/>
            <w:shd w:val="clear" w:color="auto" w:fill="F2F2F2" w:themeFill="background1" w:themeFillShade="F2"/>
          </w:tcPr>
          <w:p w14:paraId="7D480993" w14:textId="77777777" w:rsidR="00896135" w:rsidRPr="00F12314" w:rsidRDefault="00896135" w:rsidP="008E7244">
            <w:pPr>
              <w:pStyle w:val="TableText"/>
              <w:rPr>
                <w:b/>
              </w:rPr>
            </w:pPr>
            <w:r w:rsidRPr="00F12314">
              <w:rPr>
                <w:b/>
              </w:rPr>
              <w:t>Total</w:t>
            </w:r>
          </w:p>
        </w:tc>
        <w:tc>
          <w:tcPr>
            <w:tcW w:w="2017" w:type="dxa"/>
            <w:shd w:val="clear" w:color="auto" w:fill="F2F2F2" w:themeFill="background1" w:themeFillShade="F2"/>
          </w:tcPr>
          <w:p w14:paraId="4FA4578B" w14:textId="77777777" w:rsidR="00896135" w:rsidRPr="00F12314" w:rsidRDefault="00896135" w:rsidP="00F12314">
            <w:pPr>
              <w:pStyle w:val="TableText"/>
              <w:jc w:val="right"/>
              <w:rPr>
                <w:b/>
                <w:color w:val="000000"/>
              </w:rPr>
            </w:pPr>
            <w:r w:rsidRPr="00F12314">
              <w:rPr>
                <w:b/>
                <w:color w:val="000000"/>
              </w:rPr>
              <w:t>74,106</w:t>
            </w:r>
          </w:p>
        </w:tc>
        <w:tc>
          <w:tcPr>
            <w:tcW w:w="2017" w:type="dxa"/>
            <w:shd w:val="clear" w:color="auto" w:fill="F2F2F2" w:themeFill="background1" w:themeFillShade="F2"/>
          </w:tcPr>
          <w:p w14:paraId="6EBF552C" w14:textId="77777777" w:rsidR="00896135" w:rsidRPr="00F12314" w:rsidRDefault="00896135" w:rsidP="00F12314">
            <w:pPr>
              <w:pStyle w:val="TableText"/>
              <w:jc w:val="right"/>
              <w:rPr>
                <w:b/>
                <w:color w:val="000000"/>
              </w:rPr>
            </w:pPr>
            <w:r w:rsidRPr="00F12314">
              <w:rPr>
                <w:b/>
                <w:color w:val="000000"/>
              </w:rPr>
              <w:t>1,499</w:t>
            </w:r>
          </w:p>
        </w:tc>
        <w:tc>
          <w:tcPr>
            <w:tcW w:w="2018" w:type="dxa"/>
            <w:shd w:val="clear" w:color="auto" w:fill="F2F2F2" w:themeFill="background1" w:themeFillShade="F2"/>
          </w:tcPr>
          <w:p w14:paraId="3D33657B" w14:textId="77777777" w:rsidR="00896135" w:rsidRPr="00F12314" w:rsidRDefault="00896135" w:rsidP="00F12314">
            <w:pPr>
              <w:pStyle w:val="TableText"/>
              <w:jc w:val="right"/>
              <w:rPr>
                <w:b/>
              </w:rPr>
            </w:pPr>
          </w:p>
        </w:tc>
      </w:tr>
    </w:tbl>
    <w:p w14:paraId="74305A50" w14:textId="44EA62CD" w:rsidR="00896135" w:rsidRDefault="00896135" w:rsidP="00896135">
      <w:pPr>
        <w:pStyle w:val="Source"/>
      </w:pPr>
      <w:r>
        <w:t>Source: Technical Advisory Services Health Workforce Information Programme</w:t>
      </w:r>
    </w:p>
    <w:p w14:paraId="7E05B45B" w14:textId="77777777" w:rsidR="00896135" w:rsidRPr="000A7DCC" w:rsidRDefault="00896135" w:rsidP="00896135">
      <w:pPr>
        <w:pStyle w:val="Source"/>
      </w:pPr>
    </w:p>
    <w:p w14:paraId="3BE50CA8" w14:textId="0C99A6FD" w:rsidR="00896135" w:rsidRDefault="00F12314" w:rsidP="00896135">
      <w:pPr>
        <w:pStyle w:val="Caption"/>
        <w:keepNext/>
      </w:pPr>
      <w:bookmarkStart w:id="28" w:name="_Ref54198810"/>
      <w:bookmarkStart w:id="29" w:name="_Toc41290473"/>
      <w:bookmarkStart w:id="30" w:name="_Toc54198912"/>
      <w:r w:rsidRPr="00E00C8D">
        <w:rPr>
          <w:rFonts w:eastAsia="Arial"/>
          <w:b/>
          <w:i w:val="0"/>
          <w:iCs w:val="0"/>
          <w:color w:val="auto"/>
          <w:sz w:val="20"/>
          <w:szCs w:val="20"/>
        </w:rPr>
        <w:lastRenderedPageBreak/>
        <w:t xml:space="preserve">Figure </w:t>
      </w:r>
      <w:r w:rsidRPr="00E00C8D">
        <w:rPr>
          <w:rFonts w:eastAsia="Arial"/>
          <w:b/>
          <w:i w:val="0"/>
          <w:iCs w:val="0"/>
          <w:color w:val="auto"/>
          <w:sz w:val="20"/>
          <w:szCs w:val="20"/>
        </w:rPr>
        <w:fldChar w:fldCharType="begin"/>
      </w:r>
      <w:r w:rsidRPr="00E00C8D">
        <w:rPr>
          <w:rFonts w:eastAsia="Arial"/>
          <w:b/>
          <w:i w:val="0"/>
          <w:iCs w:val="0"/>
          <w:color w:val="auto"/>
          <w:sz w:val="20"/>
          <w:szCs w:val="20"/>
        </w:rPr>
        <w:instrText xml:space="preserve"> SEQ Figure \* ARABIC </w:instrText>
      </w:r>
      <w:r w:rsidRPr="00E00C8D">
        <w:rPr>
          <w:rFonts w:eastAsia="Arial"/>
          <w:b/>
          <w:i w:val="0"/>
          <w:iCs w:val="0"/>
          <w:color w:val="auto"/>
          <w:sz w:val="20"/>
          <w:szCs w:val="20"/>
        </w:rPr>
        <w:fldChar w:fldCharType="separate"/>
      </w:r>
      <w:r w:rsidR="00884C99">
        <w:rPr>
          <w:rFonts w:eastAsia="Arial"/>
          <w:b/>
          <w:i w:val="0"/>
          <w:iCs w:val="0"/>
          <w:noProof/>
          <w:color w:val="auto"/>
          <w:sz w:val="20"/>
          <w:szCs w:val="20"/>
        </w:rPr>
        <w:t>3</w:t>
      </w:r>
      <w:r w:rsidRPr="00E00C8D">
        <w:rPr>
          <w:rFonts w:eastAsia="Arial"/>
          <w:b/>
          <w:i w:val="0"/>
          <w:iCs w:val="0"/>
          <w:color w:val="auto"/>
          <w:sz w:val="20"/>
          <w:szCs w:val="20"/>
        </w:rPr>
        <w:fldChar w:fldCharType="end"/>
      </w:r>
      <w:bookmarkEnd w:id="28"/>
      <w:r w:rsidR="00896135" w:rsidRPr="006B2D91">
        <w:rPr>
          <w:rFonts w:eastAsia="Arial"/>
          <w:b/>
          <w:i w:val="0"/>
          <w:iCs w:val="0"/>
          <w:color w:val="auto"/>
          <w:sz w:val="20"/>
          <w:szCs w:val="20"/>
        </w:rPr>
        <w:t xml:space="preserve">: Total FTEs by DHB and </w:t>
      </w:r>
      <w:r w:rsidR="00580C9E">
        <w:rPr>
          <w:rFonts w:eastAsia="Arial"/>
          <w:b/>
          <w:i w:val="0"/>
          <w:iCs w:val="0"/>
          <w:color w:val="auto"/>
          <w:sz w:val="20"/>
          <w:szCs w:val="20"/>
        </w:rPr>
        <w:t>o</w:t>
      </w:r>
      <w:r w:rsidR="00896135" w:rsidRPr="006B2D91">
        <w:rPr>
          <w:rFonts w:eastAsia="Arial"/>
          <w:b/>
          <w:i w:val="0"/>
          <w:iCs w:val="0"/>
          <w:color w:val="auto"/>
          <w:sz w:val="20"/>
          <w:szCs w:val="20"/>
        </w:rPr>
        <w:t>ccupation as at 31 December 2019</w:t>
      </w:r>
      <w:bookmarkEnd w:id="29"/>
      <w:bookmarkEnd w:id="30"/>
    </w:p>
    <w:p w14:paraId="5D235DC6" w14:textId="77777777" w:rsidR="00896135" w:rsidRPr="006B2D91" w:rsidRDefault="00896135" w:rsidP="00896135">
      <w:pPr>
        <w:keepNext/>
      </w:pPr>
      <w:r>
        <w:rPr>
          <w:noProof/>
        </w:rPr>
        <w:drawing>
          <wp:inline distT="0" distB="0" distL="0" distR="0" wp14:anchorId="0CE4D586" wp14:editId="09B2A213">
            <wp:extent cx="5136515" cy="3344545"/>
            <wp:effectExtent l="0" t="0" r="6985" b="8255"/>
            <wp:docPr id="16" name="Picture 16" descr="This graph shows that in most DHBs the largest number of full time employees are in the nursing, corporate and other, care and support, and allied and scientific s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6515" cy="3344545"/>
                    </a:xfrm>
                    <a:prstGeom prst="rect">
                      <a:avLst/>
                    </a:prstGeom>
                    <a:noFill/>
                    <a:ln>
                      <a:noFill/>
                    </a:ln>
                  </pic:spPr>
                </pic:pic>
              </a:graphicData>
            </a:graphic>
          </wp:inline>
        </w:drawing>
      </w:r>
    </w:p>
    <w:p w14:paraId="30D15F7B" w14:textId="16B3C56F" w:rsidR="00896135" w:rsidRDefault="00896135" w:rsidP="00896135">
      <w:pPr>
        <w:pStyle w:val="Source"/>
      </w:pPr>
      <w:r>
        <w:t xml:space="preserve">Source: Technical Advisory Services Health Workforce Information Programme </w:t>
      </w:r>
    </w:p>
    <w:p w14:paraId="6B48B065" w14:textId="77777777" w:rsidR="00896135" w:rsidRPr="000A7DCC" w:rsidRDefault="00896135" w:rsidP="00896135"/>
    <w:p w14:paraId="5EA4142A" w14:textId="72A7226A" w:rsidR="00896135" w:rsidRDefault="00896135" w:rsidP="00896135">
      <w:r>
        <w:t xml:space="preserve">Nurses account for the largest pool of health and disability workers employed by DHBs (39%). Corporate and other personnel account for 19% of all DHB employees, followed by allied health professionals (16%), care and support (11%) and </w:t>
      </w:r>
      <w:r w:rsidR="00580C9E">
        <w:t>s</w:t>
      </w:r>
      <w:r>
        <w:t xml:space="preserve">enior </w:t>
      </w:r>
      <w:r w:rsidR="00580C9E">
        <w:t>m</w:t>
      </w:r>
      <w:r>
        <w:t xml:space="preserve">edical </w:t>
      </w:r>
      <w:r w:rsidR="00580C9E">
        <w:t>o</w:t>
      </w:r>
      <w:r>
        <w:t>fficers (7%).</w:t>
      </w:r>
    </w:p>
    <w:p w14:paraId="57A68AAA" w14:textId="1F580DBC" w:rsidR="00896135" w:rsidRDefault="00896135" w:rsidP="00896135">
      <w:pPr>
        <w:pStyle w:val="Heading3"/>
      </w:pPr>
      <w:r>
        <w:t xml:space="preserve">Changes in </w:t>
      </w:r>
      <w:r w:rsidR="00580C9E">
        <w:t>district health bo</w:t>
      </w:r>
      <w:r>
        <w:t>ard FTE numbers over</w:t>
      </w:r>
      <w:r w:rsidR="00580C9E">
        <w:t xml:space="preserve"> </w:t>
      </w:r>
      <w:r>
        <w:t xml:space="preserve">time </w:t>
      </w:r>
    </w:p>
    <w:p w14:paraId="2B227BD1" w14:textId="3EF9A63C" w:rsidR="00896135" w:rsidRDefault="00896135" w:rsidP="00896135">
      <w:r>
        <w:t xml:space="preserve">FTE data was analysed from 31 December 2014 to 31 December 2019. </w:t>
      </w:r>
      <w:r w:rsidR="00F12314" w:rsidRPr="00F12314">
        <w:fldChar w:fldCharType="begin"/>
      </w:r>
      <w:r w:rsidR="00F12314" w:rsidRPr="00F12314">
        <w:instrText xml:space="preserve"> REF _Ref54198606 \h  \* MERGEFORMAT </w:instrText>
      </w:r>
      <w:r w:rsidR="00F12314" w:rsidRPr="00F12314">
        <w:fldChar w:fldCharType="separate"/>
      </w:r>
      <w:r w:rsidR="00884C99" w:rsidRPr="002A29A0">
        <w:rPr>
          <w:rFonts w:eastAsia="Arial"/>
        </w:rPr>
        <w:t xml:space="preserve">Table </w:t>
      </w:r>
      <w:r w:rsidR="00884C99">
        <w:rPr>
          <w:rFonts w:eastAsia="Arial"/>
          <w:noProof/>
        </w:rPr>
        <w:t>5</w:t>
      </w:r>
      <w:r w:rsidR="00F12314" w:rsidRPr="00F12314">
        <w:fldChar w:fldCharType="end"/>
      </w:r>
      <w:r w:rsidR="00F12314">
        <w:t xml:space="preserve"> </w:t>
      </w:r>
      <w:r>
        <w:t xml:space="preserve">and </w:t>
      </w:r>
      <w:r w:rsidR="00F12314" w:rsidRPr="00F12314">
        <w:fldChar w:fldCharType="begin"/>
      </w:r>
      <w:r w:rsidR="00F12314" w:rsidRPr="00F12314">
        <w:instrText xml:space="preserve"> REF _Ref54198707 \h  \* MERGEFORMAT </w:instrText>
      </w:r>
      <w:r w:rsidR="00F12314" w:rsidRPr="00F12314">
        <w:fldChar w:fldCharType="separate"/>
      </w:r>
      <w:r w:rsidR="00884C99" w:rsidRPr="00884C99">
        <w:rPr>
          <w:rFonts w:eastAsia="Arial"/>
          <w:iCs/>
          <w:sz w:val="20"/>
        </w:rPr>
        <w:t xml:space="preserve">Figure </w:t>
      </w:r>
      <w:r w:rsidR="00884C99" w:rsidRPr="00884C99">
        <w:rPr>
          <w:rFonts w:eastAsia="Arial"/>
          <w:iCs/>
          <w:noProof/>
          <w:sz w:val="20"/>
        </w:rPr>
        <w:t>4</w:t>
      </w:r>
      <w:r w:rsidR="00F12314" w:rsidRPr="00F12314">
        <w:fldChar w:fldCharType="end"/>
      </w:r>
      <w:r w:rsidR="00F12314" w:rsidRPr="00F12314">
        <w:t xml:space="preserve"> and </w:t>
      </w:r>
      <w:r w:rsidR="00F12314" w:rsidRPr="00F12314">
        <w:fldChar w:fldCharType="begin"/>
      </w:r>
      <w:r w:rsidR="00F12314" w:rsidRPr="00F12314">
        <w:instrText xml:space="preserve"> REF _Ref54198724 \h  \* MERGEFORMAT </w:instrText>
      </w:r>
      <w:r w:rsidR="00F12314" w:rsidRPr="00F12314">
        <w:fldChar w:fldCharType="separate"/>
      </w:r>
      <w:r w:rsidR="00884C99" w:rsidRPr="00884C99">
        <w:rPr>
          <w:rFonts w:eastAsia="Arial"/>
          <w:iCs/>
          <w:sz w:val="20"/>
        </w:rPr>
        <w:t xml:space="preserve">Figure </w:t>
      </w:r>
      <w:r w:rsidR="00884C99" w:rsidRPr="00884C99">
        <w:rPr>
          <w:rFonts w:eastAsia="Arial"/>
          <w:iCs/>
          <w:noProof/>
          <w:sz w:val="20"/>
        </w:rPr>
        <w:t>5</w:t>
      </w:r>
      <w:r w:rsidR="00F12314" w:rsidRPr="00F12314">
        <w:fldChar w:fldCharType="end"/>
      </w:r>
      <w:r w:rsidR="00F12314" w:rsidRPr="00F12314">
        <w:t xml:space="preserve"> </w:t>
      </w:r>
      <w:r>
        <w:t xml:space="preserve">show the change in total DHB </w:t>
      </w:r>
      <w:r w:rsidR="00580C9E">
        <w:t>FTE</w:t>
      </w:r>
      <w:r>
        <w:t>s over this period</w:t>
      </w:r>
      <w:r w:rsidR="00580C9E">
        <w:t>,</w:t>
      </w:r>
      <w:r>
        <w:t xml:space="preserve"> along with changes per 100,000 population.</w:t>
      </w:r>
    </w:p>
    <w:p w14:paraId="64F4D585" w14:textId="77777777" w:rsidR="00896135" w:rsidRDefault="00896135" w:rsidP="00896135"/>
    <w:p w14:paraId="2730A573" w14:textId="77777777" w:rsidR="008E7244" w:rsidRDefault="00896135" w:rsidP="00896135">
      <w:pPr>
        <w:sectPr w:rsidR="008E7244" w:rsidSect="0046268D">
          <w:pgSz w:w="11907" w:h="16834" w:code="9"/>
          <w:pgMar w:top="1418" w:right="1701" w:bottom="1134" w:left="1843" w:header="284" w:footer="567" w:gutter="284"/>
          <w:cols w:space="720"/>
          <w:docGrid w:linePitch="286"/>
        </w:sectPr>
      </w:pPr>
      <w:r>
        <w:t xml:space="preserve">The total DHB health and disability workforce has increased by 15% from 64,276 in December 2014 to 74,106 in December 2019. On a per population basis, after an initial decline from 2014 to 2016, the DHB workforce has increased from 1,417 FTEs per 100,000 population to 1,499 FTEs per 100,000. This is an increase of 6% over </w:t>
      </w:r>
      <w:r w:rsidR="00580C9E">
        <w:t xml:space="preserve">the </w:t>
      </w:r>
      <w:r>
        <w:t>period</w:t>
      </w:r>
      <w:r w:rsidR="00580C9E">
        <w:t>,</w:t>
      </w:r>
      <w:r>
        <w:t xml:space="preserve"> compared with an increase in overall population growth of 9%.</w:t>
      </w:r>
    </w:p>
    <w:p w14:paraId="328CB33C" w14:textId="40E3831F" w:rsidR="00896135" w:rsidRPr="00E00C8D" w:rsidRDefault="00F12314" w:rsidP="00F12314">
      <w:pPr>
        <w:pStyle w:val="Table"/>
        <w:rPr>
          <w:rFonts w:eastAsia="Arial"/>
        </w:rPr>
      </w:pPr>
      <w:bookmarkStart w:id="31" w:name="_Ref54198606"/>
      <w:bookmarkStart w:id="32" w:name="_Toc54706253"/>
      <w:r w:rsidRPr="002A29A0">
        <w:rPr>
          <w:rFonts w:eastAsia="Arial"/>
        </w:rPr>
        <w:lastRenderedPageBreak/>
        <w:t xml:space="preserve">Table </w:t>
      </w:r>
      <w:r w:rsidRPr="002A29A0">
        <w:rPr>
          <w:rFonts w:eastAsia="Arial"/>
        </w:rPr>
        <w:fldChar w:fldCharType="begin"/>
      </w:r>
      <w:r w:rsidRPr="002A29A0">
        <w:rPr>
          <w:rFonts w:eastAsia="Arial"/>
        </w:rPr>
        <w:instrText xml:space="preserve"> SEQ Table \* ARABIC </w:instrText>
      </w:r>
      <w:r w:rsidRPr="002A29A0">
        <w:rPr>
          <w:rFonts w:eastAsia="Arial"/>
        </w:rPr>
        <w:fldChar w:fldCharType="separate"/>
      </w:r>
      <w:r w:rsidR="00884C99">
        <w:rPr>
          <w:rFonts w:eastAsia="Arial"/>
          <w:noProof/>
        </w:rPr>
        <w:t>5</w:t>
      </w:r>
      <w:r w:rsidRPr="002A29A0">
        <w:rPr>
          <w:rFonts w:eastAsia="Arial"/>
        </w:rPr>
        <w:fldChar w:fldCharType="end"/>
      </w:r>
      <w:bookmarkEnd w:id="31"/>
      <w:r w:rsidRPr="002A29A0">
        <w:rPr>
          <w:rFonts w:eastAsia="Arial"/>
        </w:rPr>
        <w:t xml:space="preserve">: </w:t>
      </w:r>
      <w:r w:rsidR="00896135" w:rsidRPr="00E00C8D">
        <w:rPr>
          <w:rFonts w:eastAsia="Arial"/>
        </w:rPr>
        <w:t>Changes in FTEs employed by DHBs from 31 December 2014 to 31 December 2019</w:t>
      </w:r>
      <w:bookmarkEnd w:id="32"/>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2690"/>
        <w:gridCol w:w="2690"/>
      </w:tblGrid>
      <w:tr w:rsidR="00896135" w14:paraId="713F52DD" w14:textId="77777777" w:rsidTr="008E7244">
        <w:tc>
          <w:tcPr>
            <w:tcW w:w="2689" w:type="dxa"/>
            <w:shd w:val="clear" w:color="auto" w:fill="D9D9D9" w:themeFill="background1" w:themeFillShade="D9"/>
          </w:tcPr>
          <w:p w14:paraId="5AC4E0E2" w14:textId="77777777" w:rsidR="00896135" w:rsidRPr="008E7244" w:rsidRDefault="00896135" w:rsidP="008E7244">
            <w:pPr>
              <w:pStyle w:val="TableText"/>
              <w:rPr>
                <w:b/>
              </w:rPr>
            </w:pPr>
            <w:r w:rsidRPr="008E7244">
              <w:rPr>
                <w:b/>
              </w:rPr>
              <w:t>Year</w:t>
            </w:r>
          </w:p>
        </w:tc>
        <w:tc>
          <w:tcPr>
            <w:tcW w:w="2690" w:type="dxa"/>
            <w:shd w:val="clear" w:color="auto" w:fill="D9D9D9" w:themeFill="background1" w:themeFillShade="D9"/>
            <w:vAlign w:val="center"/>
          </w:tcPr>
          <w:p w14:paraId="4DF42102" w14:textId="77777777" w:rsidR="00896135" w:rsidRPr="008E7244" w:rsidRDefault="00896135" w:rsidP="00F12314">
            <w:pPr>
              <w:pStyle w:val="TableText"/>
              <w:jc w:val="right"/>
              <w:rPr>
                <w:b/>
              </w:rPr>
            </w:pPr>
            <w:r w:rsidRPr="008E7244">
              <w:rPr>
                <w:b/>
              </w:rPr>
              <w:t>DHB FTE count</w:t>
            </w:r>
          </w:p>
        </w:tc>
        <w:tc>
          <w:tcPr>
            <w:tcW w:w="2690" w:type="dxa"/>
            <w:shd w:val="clear" w:color="auto" w:fill="D9D9D9" w:themeFill="background1" w:themeFillShade="D9"/>
            <w:vAlign w:val="center"/>
          </w:tcPr>
          <w:p w14:paraId="29A31A93" w14:textId="77777777" w:rsidR="00896135" w:rsidRPr="008E7244" w:rsidRDefault="00896135" w:rsidP="00F12314">
            <w:pPr>
              <w:pStyle w:val="TableText"/>
              <w:jc w:val="right"/>
              <w:rPr>
                <w:b/>
              </w:rPr>
            </w:pPr>
            <w:r w:rsidRPr="008E7244">
              <w:rPr>
                <w:b/>
              </w:rPr>
              <w:t>DHB FTEs/100,000 NZ population</w:t>
            </w:r>
          </w:p>
        </w:tc>
      </w:tr>
      <w:tr w:rsidR="00896135" w14:paraId="33676B5D" w14:textId="77777777" w:rsidTr="008E7244">
        <w:tc>
          <w:tcPr>
            <w:tcW w:w="2689" w:type="dxa"/>
            <w:shd w:val="clear" w:color="auto" w:fill="auto"/>
          </w:tcPr>
          <w:p w14:paraId="255AE3D8" w14:textId="77777777" w:rsidR="00896135" w:rsidRPr="00A053D0" w:rsidRDefault="00896135" w:rsidP="008E7244">
            <w:pPr>
              <w:pStyle w:val="TableText"/>
            </w:pPr>
            <w:r w:rsidRPr="00A053D0">
              <w:t>2014</w:t>
            </w:r>
          </w:p>
        </w:tc>
        <w:tc>
          <w:tcPr>
            <w:tcW w:w="2690" w:type="dxa"/>
            <w:shd w:val="clear" w:color="auto" w:fill="auto"/>
            <w:vAlign w:val="center"/>
          </w:tcPr>
          <w:p w14:paraId="2AE39D2D" w14:textId="77777777" w:rsidR="00896135" w:rsidRPr="00A053D0" w:rsidRDefault="00896135" w:rsidP="00F12314">
            <w:pPr>
              <w:pStyle w:val="TableText"/>
              <w:jc w:val="right"/>
              <w:rPr>
                <w:rFonts w:cs="Segoe UI"/>
                <w:color w:val="000000"/>
                <w:szCs w:val="18"/>
              </w:rPr>
            </w:pPr>
            <w:r w:rsidRPr="00A053D0">
              <w:rPr>
                <w:rFonts w:cs="Segoe UI"/>
                <w:color w:val="000000"/>
                <w:szCs w:val="18"/>
              </w:rPr>
              <w:t>64,276</w:t>
            </w:r>
          </w:p>
        </w:tc>
        <w:tc>
          <w:tcPr>
            <w:tcW w:w="2690" w:type="dxa"/>
            <w:shd w:val="clear" w:color="auto" w:fill="auto"/>
            <w:vAlign w:val="center"/>
          </w:tcPr>
          <w:p w14:paraId="79119AAA" w14:textId="77777777" w:rsidR="00896135" w:rsidRPr="00A053D0" w:rsidRDefault="00896135" w:rsidP="00F12314">
            <w:pPr>
              <w:pStyle w:val="TableText"/>
              <w:jc w:val="right"/>
              <w:rPr>
                <w:rFonts w:cs="Segoe UI"/>
                <w:color w:val="000000"/>
                <w:szCs w:val="18"/>
                <w:lang w:eastAsia="en-NZ"/>
              </w:rPr>
            </w:pPr>
            <w:r w:rsidRPr="00A053D0">
              <w:rPr>
                <w:rFonts w:cs="Segoe UI"/>
                <w:color w:val="000000"/>
                <w:szCs w:val="18"/>
              </w:rPr>
              <w:t>1,417.0</w:t>
            </w:r>
          </w:p>
        </w:tc>
      </w:tr>
      <w:tr w:rsidR="00896135" w14:paraId="0C3901DD" w14:textId="77777777" w:rsidTr="008E7244">
        <w:tc>
          <w:tcPr>
            <w:tcW w:w="2689" w:type="dxa"/>
            <w:shd w:val="clear" w:color="auto" w:fill="auto"/>
          </w:tcPr>
          <w:p w14:paraId="218E8F27" w14:textId="77777777" w:rsidR="00896135" w:rsidRPr="00A053D0" w:rsidRDefault="00896135" w:rsidP="008E7244">
            <w:pPr>
              <w:pStyle w:val="TableText"/>
            </w:pPr>
            <w:r w:rsidRPr="00A053D0">
              <w:t>2015</w:t>
            </w:r>
          </w:p>
        </w:tc>
        <w:tc>
          <w:tcPr>
            <w:tcW w:w="2690" w:type="dxa"/>
            <w:shd w:val="clear" w:color="auto" w:fill="auto"/>
            <w:vAlign w:val="center"/>
          </w:tcPr>
          <w:p w14:paraId="75167FC4" w14:textId="77777777" w:rsidR="00896135" w:rsidRPr="00A053D0" w:rsidRDefault="00896135" w:rsidP="00F12314">
            <w:pPr>
              <w:pStyle w:val="TableText"/>
              <w:jc w:val="right"/>
              <w:rPr>
                <w:rFonts w:cs="Segoe UI"/>
                <w:color w:val="000000"/>
                <w:szCs w:val="18"/>
              </w:rPr>
            </w:pPr>
            <w:r w:rsidRPr="00A053D0">
              <w:rPr>
                <w:rFonts w:cs="Segoe UI"/>
                <w:color w:val="000000"/>
                <w:szCs w:val="18"/>
              </w:rPr>
              <w:t>65,454</w:t>
            </w:r>
          </w:p>
        </w:tc>
        <w:tc>
          <w:tcPr>
            <w:tcW w:w="2690" w:type="dxa"/>
            <w:shd w:val="clear" w:color="auto" w:fill="auto"/>
            <w:vAlign w:val="center"/>
          </w:tcPr>
          <w:p w14:paraId="7B306FAC" w14:textId="77777777" w:rsidR="00896135" w:rsidRPr="00A053D0" w:rsidRDefault="00896135" w:rsidP="00F12314">
            <w:pPr>
              <w:pStyle w:val="TableText"/>
              <w:jc w:val="right"/>
              <w:rPr>
                <w:rFonts w:cs="Segoe UI"/>
                <w:color w:val="000000"/>
                <w:szCs w:val="18"/>
              </w:rPr>
            </w:pPr>
            <w:r w:rsidRPr="00A053D0">
              <w:rPr>
                <w:rFonts w:cs="Segoe UI"/>
                <w:color w:val="000000"/>
                <w:szCs w:val="18"/>
              </w:rPr>
              <w:t>1,416.3</w:t>
            </w:r>
          </w:p>
        </w:tc>
      </w:tr>
      <w:tr w:rsidR="00896135" w14:paraId="69C8F740" w14:textId="77777777" w:rsidTr="008E7244">
        <w:tc>
          <w:tcPr>
            <w:tcW w:w="2689" w:type="dxa"/>
            <w:shd w:val="clear" w:color="auto" w:fill="auto"/>
          </w:tcPr>
          <w:p w14:paraId="02092FD0" w14:textId="77777777" w:rsidR="00896135" w:rsidRPr="00A053D0" w:rsidRDefault="00896135" w:rsidP="008E7244">
            <w:pPr>
              <w:pStyle w:val="TableText"/>
            </w:pPr>
            <w:r w:rsidRPr="00A053D0">
              <w:t>2016</w:t>
            </w:r>
          </w:p>
        </w:tc>
        <w:tc>
          <w:tcPr>
            <w:tcW w:w="2690" w:type="dxa"/>
            <w:shd w:val="clear" w:color="auto" w:fill="auto"/>
            <w:vAlign w:val="center"/>
          </w:tcPr>
          <w:p w14:paraId="357BFEB4" w14:textId="77777777" w:rsidR="00896135" w:rsidRPr="00A053D0" w:rsidRDefault="00896135" w:rsidP="00F12314">
            <w:pPr>
              <w:pStyle w:val="TableText"/>
              <w:jc w:val="right"/>
              <w:rPr>
                <w:rFonts w:cs="Segoe UI"/>
                <w:color w:val="000000"/>
                <w:szCs w:val="18"/>
              </w:rPr>
            </w:pPr>
            <w:r w:rsidRPr="00A053D0">
              <w:rPr>
                <w:rFonts w:cs="Segoe UI"/>
                <w:color w:val="000000"/>
                <w:szCs w:val="18"/>
              </w:rPr>
              <w:t>66,488</w:t>
            </w:r>
          </w:p>
        </w:tc>
        <w:tc>
          <w:tcPr>
            <w:tcW w:w="2690" w:type="dxa"/>
            <w:shd w:val="clear" w:color="auto" w:fill="auto"/>
            <w:vAlign w:val="center"/>
          </w:tcPr>
          <w:p w14:paraId="70E70573" w14:textId="77777777" w:rsidR="00896135" w:rsidRPr="00A053D0" w:rsidRDefault="00896135" w:rsidP="00F12314">
            <w:pPr>
              <w:pStyle w:val="TableText"/>
              <w:jc w:val="right"/>
              <w:rPr>
                <w:rFonts w:cs="Segoe UI"/>
                <w:color w:val="000000"/>
                <w:szCs w:val="18"/>
              </w:rPr>
            </w:pPr>
            <w:r w:rsidRPr="00A053D0">
              <w:rPr>
                <w:rFonts w:cs="Segoe UI"/>
                <w:color w:val="000000"/>
                <w:szCs w:val="18"/>
              </w:rPr>
              <w:t>1,410.5</w:t>
            </w:r>
          </w:p>
        </w:tc>
      </w:tr>
      <w:tr w:rsidR="00896135" w14:paraId="07A93BE3" w14:textId="77777777" w:rsidTr="008E7244">
        <w:tc>
          <w:tcPr>
            <w:tcW w:w="2689" w:type="dxa"/>
            <w:shd w:val="clear" w:color="auto" w:fill="auto"/>
          </w:tcPr>
          <w:p w14:paraId="5DC2306F" w14:textId="77777777" w:rsidR="00896135" w:rsidRPr="00A053D0" w:rsidRDefault="00896135" w:rsidP="008E7244">
            <w:pPr>
              <w:pStyle w:val="TableText"/>
            </w:pPr>
            <w:r w:rsidRPr="00A053D0">
              <w:t>2017</w:t>
            </w:r>
          </w:p>
        </w:tc>
        <w:tc>
          <w:tcPr>
            <w:tcW w:w="2690" w:type="dxa"/>
            <w:shd w:val="clear" w:color="auto" w:fill="auto"/>
            <w:vAlign w:val="center"/>
          </w:tcPr>
          <w:p w14:paraId="7DC8F886" w14:textId="77777777" w:rsidR="00896135" w:rsidRPr="00A053D0" w:rsidRDefault="00896135" w:rsidP="00F12314">
            <w:pPr>
              <w:pStyle w:val="TableText"/>
              <w:jc w:val="right"/>
              <w:rPr>
                <w:rFonts w:cs="Segoe UI"/>
                <w:color w:val="000000"/>
                <w:szCs w:val="18"/>
              </w:rPr>
            </w:pPr>
            <w:r w:rsidRPr="00A053D0">
              <w:rPr>
                <w:rFonts w:cs="Segoe UI"/>
                <w:color w:val="000000"/>
                <w:szCs w:val="18"/>
              </w:rPr>
              <w:t>68,308</w:t>
            </w:r>
          </w:p>
        </w:tc>
        <w:tc>
          <w:tcPr>
            <w:tcW w:w="2690" w:type="dxa"/>
            <w:shd w:val="clear" w:color="auto" w:fill="auto"/>
            <w:vAlign w:val="center"/>
          </w:tcPr>
          <w:p w14:paraId="21F32398" w14:textId="77777777" w:rsidR="00896135" w:rsidRPr="00A053D0" w:rsidRDefault="00896135" w:rsidP="00F12314">
            <w:pPr>
              <w:pStyle w:val="TableText"/>
              <w:jc w:val="right"/>
              <w:rPr>
                <w:rFonts w:cs="Segoe UI"/>
                <w:color w:val="000000"/>
                <w:szCs w:val="18"/>
              </w:rPr>
            </w:pPr>
            <w:r w:rsidRPr="00A053D0">
              <w:rPr>
                <w:rFonts w:cs="Segoe UI"/>
                <w:color w:val="000000"/>
                <w:szCs w:val="18"/>
              </w:rPr>
              <w:t>1,424.5</w:t>
            </w:r>
          </w:p>
        </w:tc>
      </w:tr>
      <w:tr w:rsidR="00896135" w14:paraId="39270035" w14:textId="77777777" w:rsidTr="008E7244">
        <w:tc>
          <w:tcPr>
            <w:tcW w:w="2689" w:type="dxa"/>
            <w:shd w:val="clear" w:color="auto" w:fill="auto"/>
          </w:tcPr>
          <w:p w14:paraId="026B39C0" w14:textId="77777777" w:rsidR="00896135" w:rsidRPr="00A053D0" w:rsidRDefault="00896135" w:rsidP="008E7244">
            <w:pPr>
              <w:pStyle w:val="TableText"/>
            </w:pPr>
            <w:r w:rsidRPr="00A053D0">
              <w:t>2018</w:t>
            </w:r>
          </w:p>
        </w:tc>
        <w:tc>
          <w:tcPr>
            <w:tcW w:w="2690" w:type="dxa"/>
            <w:shd w:val="clear" w:color="auto" w:fill="auto"/>
            <w:vAlign w:val="center"/>
          </w:tcPr>
          <w:p w14:paraId="66933CC3" w14:textId="77777777" w:rsidR="00896135" w:rsidRPr="00A053D0" w:rsidRDefault="00896135" w:rsidP="00F12314">
            <w:pPr>
              <w:pStyle w:val="TableText"/>
              <w:jc w:val="right"/>
              <w:rPr>
                <w:rFonts w:cs="Segoe UI"/>
                <w:color w:val="000000"/>
                <w:szCs w:val="18"/>
              </w:rPr>
            </w:pPr>
            <w:r w:rsidRPr="00A053D0">
              <w:rPr>
                <w:rFonts w:cs="Segoe UI"/>
                <w:color w:val="000000"/>
                <w:szCs w:val="18"/>
              </w:rPr>
              <w:t>70,785</w:t>
            </w:r>
          </w:p>
        </w:tc>
        <w:tc>
          <w:tcPr>
            <w:tcW w:w="2690" w:type="dxa"/>
            <w:shd w:val="clear" w:color="auto" w:fill="auto"/>
            <w:vAlign w:val="center"/>
          </w:tcPr>
          <w:p w14:paraId="398EDFA8" w14:textId="77777777" w:rsidR="00896135" w:rsidRPr="00A053D0" w:rsidRDefault="00896135" w:rsidP="00F12314">
            <w:pPr>
              <w:pStyle w:val="TableText"/>
              <w:jc w:val="right"/>
              <w:rPr>
                <w:rFonts w:cs="Segoe UI"/>
                <w:color w:val="000000"/>
                <w:szCs w:val="18"/>
              </w:rPr>
            </w:pPr>
            <w:r w:rsidRPr="00A053D0">
              <w:rPr>
                <w:rFonts w:cs="Segoe UI"/>
                <w:color w:val="000000"/>
                <w:szCs w:val="18"/>
              </w:rPr>
              <w:t>1,453.1</w:t>
            </w:r>
          </w:p>
        </w:tc>
      </w:tr>
      <w:tr w:rsidR="00896135" w14:paraId="3A7F9028" w14:textId="77777777" w:rsidTr="008E7244">
        <w:tc>
          <w:tcPr>
            <w:tcW w:w="2689" w:type="dxa"/>
            <w:shd w:val="clear" w:color="auto" w:fill="auto"/>
          </w:tcPr>
          <w:p w14:paraId="283FB25E" w14:textId="77777777" w:rsidR="00896135" w:rsidRPr="00A053D0" w:rsidRDefault="00896135" w:rsidP="008E7244">
            <w:pPr>
              <w:pStyle w:val="TableText"/>
            </w:pPr>
            <w:r w:rsidRPr="00A053D0">
              <w:t>2019</w:t>
            </w:r>
          </w:p>
        </w:tc>
        <w:tc>
          <w:tcPr>
            <w:tcW w:w="2690" w:type="dxa"/>
            <w:shd w:val="clear" w:color="auto" w:fill="auto"/>
            <w:vAlign w:val="center"/>
          </w:tcPr>
          <w:p w14:paraId="2EAA9412" w14:textId="77777777" w:rsidR="00896135" w:rsidRPr="00A053D0" w:rsidRDefault="00896135" w:rsidP="00F12314">
            <w:pPr>
              <w:pStyle w:val="TableText"/>
              <w:jc w:val="right"/>
              <w:rPr>
                <w:rFonts w:cs="Segoe UI"/>
                <w:color w:val="000000"/>
                <w:szCs w:val="18"/>
              </w:rPr>
            </w:pPr>
            <w:r w:rsidRPr="00A053D0">
              <w:rPr>
                <w:rFonts w:cs="Segoe UI"/>
                <w:color w:val="000000"/>
                <w:szCs w:val="18"/>
              </w:rPr>
              <w:t>74,106</w:t>
            </w:r>
          </w:p>
        </w:tc>
        <w:tc>
          <w:tcPr>
            <w:tcW w:w="2690" w:type="dxa"/>
            <w:shd w:val="clear" w:color="auto" w:fill="auto"/>
            <w:vAlign w:val="center"/>
          </w:tcPr>
          <w:p w14:paraId="60FF3ACC" w14:textId="77777777" w:rsidR="00896135" w:rsidRPr="00A053D0" w:rsidRDefault="00896135" w:rsidP="00F12314">
            <w:pPr>
              <w:pStyle w:val="TableText"/>
              <w:jc w:val="right"/>
              <w:rPr>
                <w:rFonts w:cs="Segoe UI"/>
                <w:color w:val="000000"/>
                <w:szCs w:val="18"/>
              </w:rPr>
            </w:pPr>
            <w:r w:rsidRPr="00A053D0">
              <w:rPr>
                <w:rFonts w:cs="Segoe UI"/>
                <w:color w:val="000000"/>
                <w:szCs w:val="18"/>
              </w:rPr>
              <w:t>1,499.2</w:t>
            </w:r>
          </w:p>
        </w:tc>
      </w:tr>
    </w:tbl>
    <w:p w14:paraId="4ACA2586" w14:textId="68DEBC22" w:rsidR="00896135" w:rsidRDefault="00896135" w:rsidP="00896135">
      <w:pPr>
        <w:pStyle w:val="Source"/>
      </w:pPr>
      <w:r>
        <w:rPr>
          <w:rFonts w:eastAsia="Arial"/>
        </w:rPr>
        <w:t xml:space="preserve">Source: </w:t>
      </w:r>
      <w:r>
        <w:t xml:space="preserve">Technical Advisory Services Health Workforce Information Programme </w:t>
      </w:r>
    </w:p>
    <w:p w14:paraId="480E5B19" w14:textId="77777777" w:rsidR="00896135" w:rsidRDefault="00896135" w:rsidP="00896135">
      <w:pPr>
        <w:pStyle w:val="Caption"/>
        <w:rPr>
          <w:rFonts w:eastAsia="Arial"/>
          <w:b/>
          <w:i w:val="0"/>
          <w:iCs w:val="0"/>
          <w:color w:val="auto"/>
          <w:sz w:val="20"/>
          <w:szCs w:val="20"/>
        </w:rPr>
      </w:pPr>
    </w:p>
    <w:p w14:paraId="69C9AA9E" w14:textId="4E131F2F" w:rsidR="00896135" w:rsidRPr="00E00C8D" w:rsidRDefault="00896135" w:rsidP="00896135">
      <w:pPr>
        <w:pStyle w:val="Caption"/>
        <w:rPr>
          <w:rFonts w:eastAsia="Arial"/>
          <w:b/>
          <w:i w:val="0"/>
          <w:iCs w:val="0"/>
          <w:color w:val="auto"/>
          <w:sz w:val="20"/>
          <w:szCs w:val="20"/>
        </w:rPr>
      </w:pPr>
      <w:bookmarkStart w:id="33" w:name="_Ref54198707"/>
      <w:bookmarkStart w:id="34" w:name="_Toc41290474"/>
      <w:bookmarkStart w:id="35" w:name="_Toc54198913"/>
      <w:r w:rsidRPr="00E00C8D">
        <w:rPr>
          <w:rFonts w:eastAsia="Arial"/>
          <w:b/>
          <w:i w:val="0"/>
          <w:iCs w:val="0"/>
          <w:color w:val="auto"/>
          <w:sz w:val="20"/>
          <w:szCs w:val="20"/>
        </w:rPr>
        <w:t xml:space="preserve">Figure </w:t>
      </w:r>
      <w:r w:rsidRPr="00E00C8D">
        <w:rPr>
          <w:rFonts w:eastAsia="Arial"/>
          <w:b/>
          <w:i w:val="0"/>
          <w:iCs w:val="0"/>
          <w:color w:val="auto"/>
          <w:sz w:val="20"/>
          <w:szCs w:val="20"/>
        </w:rPr>
        <w:fldChar w:fldCharType="begin"/>
      </w:r>
      <w:r w:rsidRPr="00E00C8D">
        <w:rPr>
          <w:rFonts w:eastAsia="Arial"/>
          <w:b/>
          <w:i w:val="0"/>
          <w:iCs w:val="0"/>
          <w:color w:val="auto"/>
          <w:sz w:val="20"/>
          <w:szCs w:val="20"/>
        </w:rPr>
        <w:instrText xml:space="preserve"> SEQ Figure \* ARABIC </w:instrText>
      </w:r>
      <w:r w:rsidRPr="00E00C8D">
        <w:rPr>
          <w:rFonts w:eastAsia="Arial"/>
          <w:b/>
          <w:i w:val="0"/>
          <w:iCs w:val="0"/>
          <w:color w:val="auto"/>
          <w:sz w:val="20"/>
          <w:szCs w:val="20"/>
        </w:rPr>
        <w:fldChar w:fldCharType="separate"/>
      </w:r>
      <w:r w:rsidR="00884C99">
        <w:rPr>
          <w:rFonts w:eastAsia="Arial"/>
          <w:b/>
          <w:i w:val="0"/>
          <w:iCs w:val="0"/>
          <w:noProof/>
          <w:color w:val="auto"/>
          <w:sz w:val="20"/>
          <w:szCs w:val="20"/>
        </w:rPr>
        <w:t>4</w:t>
      </w:r>
      <w:r w:rsidRPr="00E00C8D">
        <w:rPr>
          <w:rFonts w:eastAsia="Arial"/>
          <w:b/>
          <w:i w:val="0"/>
          <w:iCs w:val="0"/>
          <w:color w:val="auto"/>
          <w:sz w:val="20"/>
          <w:szCs w:val="20"/>
        </w:rPr>
        <w:fldChar w:fldCharType="end"/>
      </w:r>
      <w:bookmarkEnd w:id="33"/>
      <w:r w:rsidRPr="00E00C8D">
        <w:rPr>
          <w:rFonts w:eastAsia="Arial"/>
          <w:b/>
          <w:i w:val="0"/>
          <w:iCs w:val="0"/>
          <w:color w:val="auto"/>
          <w:sz w:val="20"/>
          <w:szCs w:val="20"/>
        </w:rPr>
        <w:t>: Total FTEs employed in DHBs from 31 December 2014 to 31 December 2019</w:t>
      </w:r>
      <w:bookmarkEnd w:id="34"/>
      <w:bookmarkEnd w:id="35"/>
    </w:p>
    <w:p w14:paraId="78A355BF" w14:textId="77777777" w:rsidR="00896135" w:rsidRPr="006B2D91" w:rsidRDefault="00896135" w:rsidP="00896135">
      <w:r>
        <w:rPr>
          <w:noProof/>
        </w:rPr>
        <w:drawing>
          <wp:inline distT="0" distB="0" distL="0" distR="0" wp14:anchorId="51D97B35" wp14:editId="1DE28C34">
            <wp:extent cx="5149627" cy="2881563"/>
            <wp:effectExtent l="0" t="0" r="0" b="0"/>
            <wp:docPr id="15" name="Picture 15" descr="This line graph shows that the number of full time employees at DHBs has grown from just over 64,000 in 2014 to 74,000 i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59930" cy="2887328"/>
                    </a:xfrm>
                    <a:prstGeom prst="rect">
                      <a:avLst/>
                    </a:prstGeom>
                    <a:noFill/>
                    <a:ln>
                      <a:noFill/>
                    </a:ln>
                  </pic:spPr>
                </pic:pic>
              </a:graphicData>
            </a:graphic>
          </wp:inline>
        </w:drawing>
      </w:r>
    </w:p>
    <w:p w14:paraId="2D1D853C" w14:textId="43E45EDC" w:rsidR="00896135" w:rsidRDefault="00896135" w:rsidP="00896135">
      <w:pPr>
        <w:pStyle w:val="Source"/>
      </w:pPr>
      <w:r>
        <w:t>Source: Technical Advisory Services Health Workforce Information Programme</w:t>
      </w:r>
    </w:p>
    <w:p w14:paraId="608D2A95" w14:textId="77777777" w:rsidR="00896135" w:rsidRDefault="00896135" w:rsidP="00896135"/>
    <w:p w14:paraId="22A78387" w14:textId="77777777" w:rsidR="00896135" w:rsidRPr="000A7DCC" w:rsidRDefault="00896135" w:rsidP="00896135"/>
    <w:p w14:paraId="0F6D8D04" w14:textId="008AD0B1" w:rsidR="00896135" w:rsidRPr="00E00C8D" w:rsidRDefault="00896135" w:rsidP="00896135">
      <w:pPr>
        <w:pStyle w:val="Caption"/>
        <w:keepNext/>
        <w:rPr>
          <w:rFonts w:eastAsia="Arial"/>
          <w:b/>
          <w:i w:val="0"/>
          <w:iCs w:val="0"/>
          <w:color w:val="auto"/>
          <w:sz w:val="20"/>
          <w:szCs w:val="20"/>
        </w:rPr>
      </w:pPr>
      <w:bookmarkStart w:id="36" w:name="_Ref54198724"/>
      <w:bookmarkStart w:id="37" w:name="_Toc41290475"/>
      <w:bookmarkStart w:id="38" w:name="_Toc54198914"/>
      <w:r>
        <w:rPr>
          <w:rFonts w:eastAsia="Arial"/>
          <w:b/>
          <w:i w:val="0"/>
          <w:iCs w:val="0"/>
          <w:color w:val="auto"/>
          <w:sz w:val="20"/>
          <w:szCs w:val="20"/>
        </w:rPr>
        <w:lastRenderedPageBreak/>
        <w:t>Figure</w:t>
      </w:r>
      <w:r w:rsidRPr="00E00C8D">
        <w:rPr>
          <w:rFonts w:eastAsia="Arial"/>
          <w:b/>
          <w:i w:val="0"/>
          <w:iCs w:val="0"/>
          <w:color w:val="auto"/>
          <w:sz w:val="20"/>
          <w:szCs w:val="20"/>
        </w:rPr>
        <w:t xml:space="preserve"> </w:t>
      </w:r>
      <w:r>
        <w:rPr>
          <w:rFonts w:eastAsia="Arial"/>
          <w:b/>
          <w:i w:val="0"/>
          <w:iCs w:val="0"/>
          <w:color w:val="auto"/>
          <w:sz w:val="20"/>
          <w:szCs w:val="20"/>
        </w:rPr>
        <w:fldChar w:fldCharType="begin"/>
      </w:r>
      <w:r>
        <w:rPr>
          <w:rFonts w:eastAsia="Arial"/>
          <w:b/>
          <w:i w:val="0"/>
          <w:iCs w:val="0"/>
          <w:color w:val="auto"/>
          <w:sz w:val="20"/>
          <w:szCs w:val="20"/>
        </w:rPr>
        <w:instrText xml:space="preserve"> SEQ Figure \* ARABIC </w:instrText>
      </w:r>
      <w:r>
        <w:rPr>
          <w:rFonts w:eastAsia="Arial"/>
          <w:b/>
          <w:i w:val="0"/>
          <w:iCs w:val="0"/>
          <w:color w:val="auto"/>
          <w:sz w:val="20"/>
          <w:szCs w:val="20"/>
        </w:rPr>
        <w:fldChar w:fldCharType="separate"/>
      </w:r>
      <w:r w:rsidR="00884C99">
        <w:rPr>
          <w:rFonts w:eastAsia="Arial"/>
          <w:b/>
          <w:i w:val="0"/>
          <w:iCs w:val="0"/>
          <w:noProof/>
          <w:color w:val="auto"/>
          <w:sz w:val="20"/>
          <w:szCs w:val="20"/>
        </w:rPr>
        <w:t>5</w:t>
      </w:r>
      <w:r>
        <w:rPr>
          <w:rFonts w:eastAsia="Arial"/>
          <w:b/>
          <w:i w:val="0"/>
          <w:iCs w:val="0"/>
          <w:color w:val="auto"/>
          <w:sz w:val="20"/>
          <w:szCs w:val="20"/>
        </w:rPr>
        <w:fldChar w:fldCharType="end"/>
      </w:r>
      <w:bookmarkEnd w:id="36"/>
      <w:r w:rsidRPr="00E00C8D">
        <w:rPr>
          <w:rFonts w:eastAsia="Arial"/>
          <w:b/>
          <w:i w:val="0"/>
          <w:iCs w:val="0"/>
          <w:color w:val="auto"/>
          <w:sz w:val="20"/>
          <w:szCs w:val="20"/>
        </w:rPr>
        <w:t>: Total FTEs employed in DHBs from 31 December 2014 to 31 December 2019 per 100,000 population</w:t>
      </w:r>
      <w:bookmarkEnd w:id="37"/>
      <w:bookmarkEnd w:id="38"/>
    </w:p>
    <w:p w14:paraId="78C7840D" w14:textId="77777777" w:rsidR="00896135" w:rsidRDefault="00896135" w:rsidP="00896135">
      <w:pPr>
        <w:keepNext/>
      </w:pPr>
      <w:r>
        <w:rPr>
          <w:noProof/>
        </w:rPr>
        <w:drawing>
          <wp:inline distT="0" distB="0" distL="0" distR="0" wp14:anchorId="22984224" wp14:editId="294B9083">
            <wp:extent cx="5114160" cy="2875548"/>
            <wp:effectExtent l="0" t="0" r="0" b="1270"/>
            <wp:docPr id="14" name="Picture 14" descr="This line graph shows that the number of full time employees per 100,000 people in New Zealand was relatively steady around 1410 from 2014 to 2016. Since then it has grown to 1500 per 100,000 i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19265" cy="2878418"/>
                    </a:xfrm>
                    <a:prstGeom prst="rect">
                      <a:avLst/>
                    </a:prstGeom>
                    <a:noFill/>
                    <a:ln>
                      <a:noFill/>
                    </a:ln>
                  </pic:spPr>
                </pic:pic>
              </a:graphicData>
            </a:graphic>
          </wp:inline>
        </w:drawing>
      </w:r>
    </w:p>
    <w:p w14:paraId="1921F05E" w14:textId="2B17F717" w:rsidR="00896135" w:rsidRDefault="00896135" w:rsidP="00896135">
      <w:pPr>
        <w:pStyle w:val="Source"/>
      </w:pPr>
      <w:r>
        <w:t xml:space="preserve">Source: Technical Advisory Services Health Workforce Information Programme </w:t>
      </w:r>
    </w:p>
    <w:p w14:paraId="460F138D" w14:textId="77777777" w:rsidR="00896135" w:rsidRDefault="00896135" w:rsidP="00896135">
      <w:pPr>
        <w:pStyle w:val="Heading2"/>
      </w:pPr>
      <w:bookmarkStart w:id="39" w:name="_Toc54706220"/>
      <w:r>
        <w:t>Non-DHB employed health and disability support workforce</w:t>
      </w:r>
      <w:bookmarkEnd w:id="39"/>
    </w:p>
    <w:p w14:paraId="4B6DD40D" w14:textId="77777777" w:rsidR="00896135" w:rsidRDefault="00896135" w:rsidP="00896135">
      <w:r>
        <w:t xml:space="preserve">It is very difficult to get accurate information on the non-DHB employed health workforce, particularly the primary care and </w:t>
      </w:r>
      <w:proofErr w:type="spellStart"/>
      <w:r>
        <w:t>kai</w:t>
      </w:r>
      <w:r>
        <w:rPr>
          <w:rFonts w:cs="Segoe UI"/>
        </w:rPr>
        <w:t>ā</w:t>
      </w:r>
      <w:r>
        <w:t>whina</w:t>
      </w:r>
      <w:proofErr w:type="spellEnd"/>
      <w:r>
        <w:t xml:space="preserve"> (unregulated) workforce. </w:t>
      </w:r>
    </w:p>
    <w:p w14:paraId="4F6CC9AB" w14:textId="77777777" w:rsidR="00896135" w:rsidRDefault="00896135" w:rsidP="00896135"/>
    <w:p w14:paraId="1B8181E3" w14:textId="269452F7" w:rsidR="00896135" w:rsidRDefault="00896135" w:rsidP="00896135">
      <w:r>
        <w:t xml:space="preserve">As noted above, in December 2019 213,100 people </w:t>
      </w:r>
      <w:r w:rsidR="00580C9E">
        <w:t xml:space="preserve">were </w:t>
      </w:r>
      <w:r>
        <w:t>employed in hospitals, medical and other health care services</w:t>
      </w:r>
      <w:r w:rsidR="000A1B4E">
        <w:t>,</w:t>
      </w:r>
      <w:r>
        <w:t xml:space="preserve"> and residential care services. Of this we know that 76,213 are employed directly by DHBs. We can therefore estimate that </w:t>
      </w:r>
      <w:r w:rsidRPr="00026CC9">
        <w:t>136,887 people</w:t>
      </w:r>
      <w:r w:rsidR="000A1B4E">
        <w:t xml:space="preserve"> are</w:t>
      </w:r>
      <w:r w:rsidRPr="00026CC9">
        <w:t xml:space="preserve"> not directly employed by DHBs. These may be DHB-funded workers or other non-DHB health care workers.</w:t>
      </w:r>
    </w:p>
    <w:p w14:paraId="52608FFF" w14:textId="77777777" w:rsidR="00896135" w:rsidRDefault="00896135" w:rsidP="00896135"/>
    <w:p w14:paraId="5D80FBC2" w14:textId="59CD7793" w:rsidR="00896135" w:rsidRDefault="00896135" w:rsidP="00896135">
      <w:r>
        <w:t xml:space="preserve">The Ministry is in the process of compiling more accurate information on the primary and community care workforce. To estimate non-DHB employed numbers by occupation, data has been gathered on </w:t>
      </w:r>
      <w:r w:rsidR="000A1B4E">
        <w:t>those</w:t>
      </w:r>
      <w:r w:rsidRPr="006C7CF6">
        <w:t xml:space="preserve"> in regulated profession</w:t>
      </w:r>
      <w:r>
        <w:t>s by using the number wi</w:t>
      </w:r>
      <w:r w:rsidRPr="006C7CF6">
        <w:t xml:space="preserve">th </w:t>
      </w:r>
      <w:r w:rsidR="00D62718">
        <w:t>a</w:t>
      </w:r>
      <w:r w:rsidRPr="006C7CF6">
        <w:t xml:space="preserve">nnual </w:t>
      </w:r>
      <w:r w:rsidR="00D62718">
        <w:t>p</w:t>
      </w:r>
      <w:r w:rsidRPr="006C7CF6">
        <w:t xml:space="preserve">ractising </w:t>
      </w:r>
      <w:r w:rsidR="00D62718">
        <w:t>c</w:t>
      </w:r>
      <w:r w:rsidRPr="006C7CF6">
        <w:t>ertificates, and then subtract</w:t>
      </w:r>
      <w:r>
        <w:t>ing</w:t>
      </w:r>
      <w:r w:rsidRPr="006C7CF6">
        <w:t xml:space="preserve"> the number of DHB-employed in each occupation. </w:t>
      </w:r>
    </w:p>
    <w:p w14:paraId="38471E50" w14:textId="77777777" w:rsidR="00896135" w:rsidRDefault="00896135" w:rsidP="00896135"/>
    <w:p w14:paraId="1B62BEED" w14:textId="3FD25292" w:rsidR="00896135" w:rsidRDefault="00896135" w:rsidP="00896135">
      <w:r>
        <w:t>The non-regulated (</w:t>
      </w:r>
      <w:proofErr w:type="spellStart"/>
      <w:r>
        <w:t>kai</w:t>
      </w:r>
      <w:r>
        <w:rPr>
          <w:rFonts w:cs="Segoe UI"/>
        </w:rPr>
        <w:t>ā</w:t>
      </w:r>
      <w:r>
        <w:t>whina</w:t>
      </w:r>
      <w:proofErr w:type="spellEnd"/>
      <w:r>
        <w:t xml:space="preserve">) workforce is much harder to estimate as very limited information is available. Pay equity data is currently the main </w:t>
      </w:r>
      <w:r w:rsidR="00632C94">
        <w:t>source and</w:t>
      </w:r>
      <w:r>
        <w:t xml:space="preserve"> estimates of the </w:t>
      </w:r>
      <w:proofErr w:type="spellStart"/>
      <w:r>
        <w:t>kai</w:t>
      </w:r>
      <w:r>
        <w:rPr>
          <w:rFonts w:cs="Segoe UI"/>
        </w:rPr>
        <w:t>ā</w:t>
      </w:r>
      <w:r>
        <w:t>whina</w:t>
      </w:r>
      <w:proofErr w:type="spellEnd"/>
      <w:r>
        <w:t xml:space="preserve"> workforce using this data range from 49,000 to 110,000 depending on the source used.</w:t>
      </w:r>
    </w:p>
    <w:p w14:paraId="36435819" w14:textId="77777777" w:rsidR="00896135" w:rsidRDefault="00896135" w:rsidP="00896135"/>
    <w:p w14:paraId="5097944B" w14:textId="4F8C33E6" w:rsidR="00896135" w:rsidRDefault="00F12314" w:rsidP="00896135">
      <w:r w:rsidRPr="00F12314">
        <w:fldChar w:fldCharType="begin"/>
      </w:r>
      <w:r w:rsidRPr="00F12314">
        <w:instrText xml:space="preserve"> REF _Ref54198617 \h  \* MERGEFORMAT </w:instrText>
      </w:r>
      <w:r w:rsidRPr="00F12314">
        <w:fldChar w:fldCharType="separate"/>
      </w:r>
      <w:r w:rsidR="00884C99" w:rsidRPr="002A29A0">
        <w:rPr>
          <w:rFonts w:eastAsia="Arial"/>
        </w:rPr>
        <w:t xml:space="preserve">Table </w:t>
      </w:r>
      <w:r w:rsidR="00884C99">
        <w:rPr>
          <w:rFonts w:eastAsia="Arial"/>
          <w:noProof/>
        </w:rPr>
        <w:t>6</w:t>
      </w:r>
      <w:r w:rsidRPr="00F12314">
        <w:fldChar w:fldCharType="end"/>
      </w:r>
      <w:r w:rsidR="00896135">
        <w:t xml:space="preserve"> provides an indication of the number of non-DHB employed health and disability workers by occupation. Note that this does not include </w:t>
      </w:r>
      <w:r w:rsidR="00896135" w:rsidRPr="00C120D3">
        <w:t xml:space="preserve">non-clinical managers, </w:t>
      </w:r>
      <w:r w:rsidR="000A1B4E">
        <w:t xml:space="preserve">or </w:t>
      </w:r>
      <w:r w:rsidR="00896135" w:rsidRPr="00C120D3">
        <w:t>administrative and clerical workers</w:t>
      </w:r>
      <w:r w:rsidR="00896135">
        <w:t xml:space="preserve"> and therefore adds up to less than the estimated total non-DHB employed workforce of 136,887.</w:t>
      </w:r>
    </w:p>
    <w:p w14:paraId="69498955" w14:textId="5E753212" w:rsidR="00896135" w:rsidRPr="00EE2DA1" w:rsidRDefault="00F12314" w:rsidP="00F12314">
      <w:pPr>
        <w:pStyle w:val="Table"/>
        <w:rPr>
          <w:rFonts w:eastAsia="Arial"/>
        </w:rPr>
      </w:pPr>
      <w:bookmarkStart w:id="40" w:name="_Ref54198617"/>
      <w:bookmarkStart w:id="41" w:name="_Toc54706254"/>
      <w:r w:rsidRPr="002A29A0">
        <w:rPr>
          <w:rFonts w:eastAsia="Arial"/>
        </w:rPr>
        <w:lastRenderedPageBreak/>
        <w:t xml:space="preserve">Table </w:t>
      </w:r>
      <w:r w:rsidRPr="002A29A0">
        <w:rPr>
          <w:rFonts w:eastAsia="Arial"/>
        </w:rPr>
        <w:fldChar w:fldCharType="begin"/>
      </w:r>
      <w:r w:rsidRPr="002A29A0">
        <w:rPr>
          <w:rFonts w:eastAsia="Arial"/>
        </w:rPr>
        <w:instrText xml:space="preserve"> SEQ Table \* ARABIC </w:instrText>
      </w:r>
      <w:r w:rsidRPr="002A29A0">
        <w:rPr>
          <w:rFonts w:eastAsia="Arial"/>
        </w:rPr>
        <w:fldChar w:fldCharType="separate"/>
      </w:r>
      <w:r w:rsidR="00884C99">
        <w:rPr>
          <w:rFonts w:eastAsia="Arial"/>
          <w:noProof/>
        </w:rPr>
        <w:t>6</w:t>
      </w:r>
      <w:r w:rsidRPr="002A29A0">
        <w:rPr>
          <w:rFonts w:eastAsia="Arial"/>
        </w:rPr>
        <w:fldChar w:fldCharType="end"/>
      </w:r>
      <w:bookmarkEnd w:id="40"/>
      <w:r w:rsidRPr="002A29A0">
        <w:rPr>
          <w:rFonts w:eastAsia="Arial"/>
        </w:rPr>
        <w:t xml:space="preserve">: </w:t>
      </w:r>
      <w:r w:rsidR="00896135">
        <w:rPr>
          <w:rFonts w:eastAsia="Arial"/>
        </w:rPr>
        <w:t>Headcount of the non</w:t>
      </w:r>
      <w:r w:rsidR="00896135" w:rsidRPr="00EE2DA1">
        <w:rPr>
          <w:rFonts w:eastAsia="Arial"/>
        </w:rPr>
        <w:t>-DHB employed workforce as a</w:t>
      </w:r>
      <w:r w:rsidR="00896135">
        <w:rPr>
          <w:rFonts w:eastAsia="Arial"/>
        </w:rPr>
        <w:t>t</w:t>
      </w:r>
      <w:r w:rsidR="00896135" w:rsidRPr="00EE2DA1">
        <w:rPr>
          <w:rFonts w:eastAsia="Arial"/>
        </w:rPr>
        <w:t xml:space="preserve"> June 2020</w:t>
      </w:r>
      <w:bookmarkEnd w:id="41"/>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53"/>
        <w:gridCol w:w="3826"/>
      </w:tblGrid>
      <w:tr w:rsidR="00896135" w:rsidRPr="00830E98" w14:paraId="2DA1B63F" w14:textId="77777777" w:rsidTr="008E7244">
        <w:trPr>
          <w:trHeight w:val="288"/>
        </w:trPr>
        <w:tc>
          <w:tcPr>
            <w:tcW w:w="4253" w:type="dxa"/>
            <w:shd w:val="clear" w:color="auto" w:fill="D9D9D9" w:themeFill="background1" w:themeFillShade="D9"/>
            <w:noWrap/>
            <w:hideMark/>
          </w:tcPr>
          <w:p w14:paraId="45266EF9" w14:textId="77777777" w:rsidR="00896135" w:rsidRPr="008E7244" w:rsidRDefault="00896135" w:rsidP="008E7244">
            <w:pPr>
              <w:pStyle w:val="TableText"/>
              <w:rPr>
                <w:b/>
                <w:bCs/>
              </w:rPr>
            </w:pPr>
            <w:r w:rsidRPr="008E7244">
              <w:rPr>
                <w:b/>
              </w:rPr>
              <w:t>Occupation</w:t>
            </w:r>
          </w:p>
        </w:tc>
        <w:tc>
          <w:tcPr>
            <w:tcW w:w="3826" w:type="dxa"/>
            <w:shd w:val="clear" w:color="auto" w:fill="D9D9D9" w:themeFill="background1" w:themeFillShade="D9"/>
            <w:noWrap/>
            <w:hideMark/>
          </w:tcPr>
          <w:p w14:paraId="6E7C3247" w14:textId="77777777" w:rsidR="00896135" w:rsidRPr="008E7244" w:rsidRDefault="00896135" w:rsidP="00F12314">
            <w:pPr>
              <w:pStyle w:val="TableText"/>
              <w:jc w:val="right"/>
              <w:rPr>
                <w:b/>
                <w:bCs/>
              </w:rPr>
            </w:pPr>
            <w:r w:rsidRPr="008E7244">
              <w:rPr>
                <w:b/>
                <w:bCs/>
              </w:rPr>
              <w:t>Headcount of non-DHB-employed and/or casual DHB-employed</w:t>
            </w:r>
          </w:p>
        </w:tc>
      </w:tr>
      <w:tr w:rsidR="00896135" w:rsidRPr="00830E98" w14:paraId="277FFD16" w14:textId="77777777" w:rsidTr="008E7244">
        <w:trPr>
          <w:trHeight w:val="288"/>
        </w:trPr>
        <w:tc>
          <w:tcPr>
            <w:tcW w:w="4253" w:type="dxa"/>
            <w:shd w:val="clear" w:color="auto" w:fill="auto"/>
            <w:noWrap/>
            <w:hideMark/>
          </w:tcPr>
          <w:p w14:paraId="2FD94A75" w14:textId="414F9918" w:rsidR="00896135" w:rsidRPr="00A053D0" w:rsidRDefault="00896135" w:rsidP="008E7244">
            <w:pPr>
              <w:pStyle w:val="TableText"/>
            </w:pPr>
            <w:r w:rsidRPr="00A053D0">
              <w:t xml:space="preserve">Addiction practitioner </w:t>
            </w:r>
          </w:p>
        </w:tc>
        <w:tc>
          <w:tcPr>
            <w:tcW w:w="3826" w:type="dxa"/>
            <w:shd w:val="clear" w:color="auto" w:fill="auto"/>
            <w:noWrap/>
            <w:hideMark/>
          </w:tcPr>
          <w:p w14:paraId="3E0A2D7E" w14:textId="77777777" w:rsidR="00896135" w:rsidRPr="00A053D0" w:rsidRDefault="00896135" w:rsidP="00F12314">
            <w:pPr>
              <w:pStyle w:val="TableText"/>
              <w:jc w:val="right"/>
            </w:pPr>
            <w:r w:rsidRPr="00A053D0">
              <w:t>1,288</w:t>
            </w:r>
          </w:p>
        </w:tc>
      </w:tr>
      <w:tr w:rsidR="00896135" w:rsidRPr="00830E98" w14:paraId="7994EB12" w14:textId="77777777" w:rsidTr="008E7244">
        <w:trPr>
          <w:trHeight w:val="288"/>
        </w:trPr>
        <w:tc>
          <w:tcPr>
            <w:tcW w:w="4253" w:type="dxa"/>
            <w:shd w:val="clear" w:color="auto" w:fill="auto"/>
            <w:noWrap/>
            <w:hideMark/>
          </w:tcPr>
          <w:p w14:paraId="741D0550" w14:textId="638B8814" w:rsidR="00896135" w:rsidRPr="00A053D0" w:rsidRDefault="00896135" w:rsidP="008E7244">
            <w:pPr>
              <w:pStyle w:val="TableText"/>
            </w:pPr>
            <w:r w:rsidRPr="00A053D0">
              <w:t xml:space="preserve">Care and </w:t>
            </w:r>
            <w:r w:rsidR="00580C9E" w:rsidRPr="00A053D0">
              <w:t xml:space="preserve">support </w:t>
            </w:r>
            <w:r w:rsidRPr="00A053D0">
              <w:t>worker/</w:t>
            </w:r>
            <w:proofErr w:type="spellStart"/>
            <w:r w:rsidR="00580C9E" w:rsidRPr="00A053D0">
              <w:t>kaiāwhina</w:t>
            </w:r>
            <w:proofErr w:type="spellEnd"/>
          </w:p>
        </w:tc>
        <w:tc>
          <w:tcPr>
            <w:tcW w:w="3826" w:type="dxa"/>
            <w:shd w:val="clear" w:color="auto" w:fill="auto"/>
            <w:noWrap/>
            <w:hideMark/>
          </w:tcPr>
          <w:p w14:paraId="1861C37A" w14:textId="77777777" w:rsidR="00896135" w:rsidRPr="00A053D0" w:rsidRDefault="00896135" w:rsidP="00F12314">
            <w:pPr>
              <w:pStyle w:val="TableText"/>
              <w:jc w:val="right"/>
            </w:pPr>
            <w:r w:rsidRPr="00A053D0">
              <w:t>48,947</w:t>
            </w:r>
          </w:p>
        </w:tc>
      </w:tr>
      <w:tr w:rsidR="00896135" w:rsidRPr="00830E98" w14:paraId="7583FB05" w14:textId="77777777" w:rsidTr="008E7244">
        <w:trPr>
          <w:trHeight w:val="288"/>
        </w:trPr>
        <w:tc>
          <w:tcPr>
            <w:tcW w:w="4253" w:type="dxa"/>
            <w:shd w:val="clear" w:color="auto" w:fill="auto"/>
            <w:noWrap/>
            <w:hideMark/>
          </w:tcPr>
          <w:p w14:paraId="610B03E1" w14:textId="77777777" w:rsidR="00896135" w:rsidRPr="00A053D0" w:rsidRDefault="00896135" w:rsidP="008E7244">
            <w:pPr>
              <w:pStyle w:val="TableText"/>
            </w:pPr>
            <w:r w:rsidRPr="00A053D0">
              <w:t>Chiropractor</w:t>
            </w:r>
          </w:p>
        </w:tc>
        <w:tc>
          <w:tcPr>
            <w:tcW w:w="3826" w:type="dxa"/>
            <w:shd w:val="clear" w:color="auto" w:fill="auto"/>
            <w:noWrap/>
            <w:hideMark/>
          </w:tcPr>
          <w:p w14:paraId="7EA0AFC4" w14:textId="77777777" w:rsidR="00896135" w:rsidRPr="00A053D0" w:rsidRDefault="00896135" w:rsidP="00F12314">
            <w:pPr>
              <w:pStyle w:val="TableText"/>
              <w:jc w:val="right"/>
            </w:pPr>
            <w:r w:rsidRPr="00A053D0">
              <w:t>652</w:t>
            </w:r>
          </w:p>
        </w:tc>
      </w:tr>
      <w:tr w:rsidR="00896135" w:rsidRPr="00830E98" w14:paraId="3AB1F29A" w14:textId="77777777" w:rsidTr="008E7244">
        <w:trPr>
          <w:trHeight w:val="288"/>
        </w:trPr>
        <w:tc>
          <w:tcPr>
            <w:tcW w:w="4253" w:type="dxa"/>
            <w:shd w:val="clear" w:color="auto" w:fill="auto"/>
            <w:noWrap/>
            <w:hideMark/>
          </w:tcPr>
          <w:p w14:paraId="6341E2BB" w14:textId="77777777" w:rsidR="00896135" w:rsidRPr="00A053D0" w:rsidRDefault="00896135" w:rsidP="008E7244">
            <w:pPr>
              <w:pStyle w:val="TableText"/>
            </w:pPr>
            <w:r w:rsidRPr="00A053D0">
              <w:t>Counsellor</w:t>
            </w:r>
          </w:p>
        </w:tc>
        <w:tc>
          <w:tcPr>
            <w:tcW w:w="3826" w:type="dxa"/>
            <w:shd w:val="clear" w:color="auto" w:fill="auto"/>
            <w:noWrap/>
            <w:hideMark/>
          </w:tcPr>
          <w:p w14:paraId="71A3F9C5" w14:textId="77777777" w:rsidR="00896135" w:rsidRPr="00A053D0" w:rsidRDefault="00896135" w:rsidP="00F12314">
            <w:pPr>
              <w:pStyle w:val="TableText"/>
              <w:jc w:val="right"/>
            </w:pPr>
            <w:r w:rsidRPr="00A053D0">
              <w:t>2,885</w:t>
            </w:r>
          </w:p>
        </w:tc>
      </w:tr>
      <w:tr w:rsidR="00896135" w:rsidRPr="00830E98" w14:paraId="68FEB720" w14:textId="77777777" w:rsidTr="008E7244">
        <w:trPr>
          <w:trHeight w:val="288"/>
        </w:trPr>
        <w:tc>
          <w:tcPr>
            <w:tcW w:w="4253" w:type="dxa"/>
            <w:shd w:val="clear" w:color="auto" w:fill="auto"/>
            <w:noWrap/>
            <w:hideMark/>
          </w:tcPr>
          <w:p w14:paraId="57B4D77C" w14:textId="77777777" w:rsidR="00896135" w:rsidRPr="00A053D0" w:rsidRDefault="00896135" w:rsidP="008E7244">
            <w:pPr>
              <w:pStyle w:val="TableText"/>
            </w:pPr>
            <w:r w:rsidRPr="00A053D0">
              <w:t>Dietitian</w:t>
            </w:r>
          </w:p>
        </w:tc>
        <w:tc>
          <w:tcPr>
            <w:tcW w:w="3826" w:type="dxa"/>
            <w:shd w:val="clear" w:color="auto" w:fill="auto"/>
            <w:noWrap/>
            <w:hideMark/>
          </w:tcPr>
          <w:p w14:paraId="4FBB8C35" w14:textId="77777777" w:rsidR="00896135" w:rsidRPr="00A053D0" w:rsidRDefault="00896135" w:rsidP="00F12314">
            <w:pPr>
              <w:pStyle w:val="TableText"/>
              <w:jc w:val="right"/>
            </w:pPr>
            <w:r w:rsidRPr="00A053D0">
              <w:t>393</w:t>
            </w:r>
          </w:p>
        </w:tc>
      </w:tr>
      <w:tr w:rsidR="00896135" w:rsidRPr="00830E98" w14:paraId="70444A75" w14:textId="77777777" w:rsidTr="008E7244">
        <w:trPr>
          <w:trHeight w:val="288"/>
        </w:trPr>
        <w:tc>
          <w:tcPr>
            <w:tcW w:w="4253" w:type="dxa"/>
            <w:shd w:val="clear" w:color="auto" w:fill="auto"/>
            <w:noWrap/>
            <w:hideMark/>
          </w:tcPr>
          <w:p w14:paraId="0EC439B8" w14:textId="77777777" w:rsidR="00896135" w:rsidRPr="00A053D0" w:rsidRDefault="00896135" w:rsidP="008E7244">
            <w:pPr>
              <w:pStyle w:val="TableText"/>
            </w:pPr>
            <w:r w:rsidRPr="00A053D0">
              <w:t>Doctor</w:t>
            </w:r>
          </w:p>
        </w:tc>
        <w:tc>
          <w:tcPr>
            <w:tcW w:w="3826" w:type="dxa"/>
            <w:shd w:val="clear" w:color="auto" w:fill="auto"/>
            <w:noWrap/>
            <w:hideMark/>
          </w:tcPr>
          <w:p w14:paraId="18E6FB52" w14:textId="77777777" w:rsidR="00896135" w:rsidRPr="00A053D0" w:rsidRDefault="00896135" w:rsidP="00F12314">
            <w:pPr>
              <w:pStyle w:val="TableText"/>
              <w:jc w:val="right"/>
            </w:pPr>
            <w:r w:rsidRPr="00A053D0">
              <w:t>7,406</w:t>
            </w:r>
          </w:p>
        </w:tc>
      </w:tr>
      <w:tr w:rsidR="00896135" w:rsidRPr="00830E98" w14:paraId="27485A84" w14:textId="77777777" w:rsidTr="008E7244">
        <w:trPr>
          <w:trHeight w:val="288"/>
        </w:trPr>
        <w:tc>
          <w:tcPr>
            <w:tcW w:w="4253" w:type="dxa"/>
            <w:shd w:val="clear" w:color="auto" w:fill="auto"/>
            <w:noWrap/>
            <w:hideMark/>
          </w:tcPr>
          <w:p w14:paraId="06E96A43" w14:textId="77777777" w:rsidR="00896135" w:rsidRPr="00A053D0" w:rsidRDefault="00896135" w:rsidP="008E7244">
            <w:pPr>
              <w:pStyle w:val="TableText"/>
            </w:pPr>
            <w:r w:rsidRPr="00A053D0">
              <w:t>Enrolled nurse</w:t>
            </w:r>
          </w:p>
        </w:tc>
        <w:tc>
          <w:tcPr>
            <w:tcW w:w="3826" w:type="dxa"/>
            <w:shd w:val="clear" w:color="auto" w:fill="auto"/>
            <w:noWrap/>
            <w:hideMark/>
          </w:tcPr>
          <w:p w14:paraId="439E3447" w14:textId="77777777" w:rsidR="00896135" w:rsidRPr="00A053D0" w:rsidRDefault="00896135" w:rsidP="00F12314">
            <w:pPr>
              <w:pStyle w:val="TableText"/>
              <w:jc w:val="right"/>
            </w:pPr>
            <w:r w:rsidRPr="00A053D0">
              <w:t>1,574</w:t>
            </w:r>
          </w:p>
        </w:tc>
      </w:tr>
      <w:tr w:rsidR="00896135" w:rsidRPr="00830E98" w14:paraId="7E11F07F" w14:textId="77777777" w:rsidTr="008E7244">
        <w:trPr>
          <w:trHeight w:val="288"/>
        </w:trPr>
        <w:tc>
          <w:tcPr>
            <w:tcW w:w="4253" w:type="dxa"/>
            <w:shd w:val="clear" w:color="auto" w:fill="auto"/>
            <w:noWrap/>
            <w:hideMark/>
          </w:tcPr>
          <w:p w14:paraId="1DC541D0" w14:textId="25D8241E" w:rsidR="00896135" w:rsidRPr="00A053D0" w:rsidRDefault="00896135" w:rsidP="008E7244">
            <w:pPr>
              <w:pStyle w:val="TableText"/>
            </w:pPr>
            <w:r w:rsidRPr="00A053D0">
              <w:t xml:space="preserve">Medical </w:t>
            </w:r>
            <w:r w:rsidR="00580C9E" w:rsidRPr="00A053D0">
              <w:t>radiation tec</w:t>
            </w:r>
            <w:r w:rsidRPr="00A053D0">
              <w:t>hnologists</w:t>
            </w:r>
          </w:p>
        </w:tc>
        <w:tc>
          <w:tcPr>
            <w:tcW w:w="3826" w:type="dxa"/>
            <w:shd w:val="clear" w:color="auto" w:fill="auto"/>
            <w:noWrap/>
            <w:hideMark/>
          </w:tcPr>
          <w:p w14:paraId="337A8375" w14:textId="77777777" w:rsidR="00896135" w:rsidRPr="00A053D0" w:rsidRDefault="00896135" w:rsidP="00F12314">
            <w:pPr>
              <w:pStyle w:val="TableText"/>
              <w:jc w:val="right"/>
            </w:pPr>
            <w:r w:rsidRPr="00A053D0">
              <w:t>1,795</w:t>
            </w:r>
          </w:p>
        </w:tc>
      </w:tr>
      <w:tr w:rsidR="00896135" w:rsidRPr="00830E98" w14:paraId="75AEE264" w14:textId="77777777" w:rsidTr="008E7244">
        <w:trPr>
          <w:trHeight w:val="288"/>
        </w:trPr>
        <w:tc>
          <w:tcPr>
            <w:tcW w:w="4253" w:type="dxa"/>
            <w:shd w:val="clear" w:color="auto" w:fill="auto"/>
            <w:noWrap/>
            <w:hideMark/>
          </w:tcPr>
          <w:p w14:paraId="114445E7" w14:textId="69C51E3D" w:rsidR="00896135" w:rsidRPr="00A053D0" w:rsidRDefault="00896135" w:rsidP="008E7244">
            <w:pPr>
              <w:pStyle w:val="TableText"/>
            </w:pPr>
            <w:r w:rsidRPr="00A053D0">
              <w:t xml:space="preserve">Medical </w:t>
            </w:r>
            <w:r w:rsidR="00580C9E" w:rsidRPr="00A053D0">
              <w:t>scientist/tech</w:t>
            </w:r>
            <w:r w:rsidRPr="00A053D0">
              <w:t>nician</w:t>
            </w:r>
          </w:p>
        </w:tc>
        <w:tc>
          <w:tcPr>
            <w:tcW w:w="3826" w:type="dxa"/>
            <w:shd w:val="clear" w:color="auto" w:fill="auto"/>
            <w:noWrap/>
            <w:hideMark/>
          </w:tcPr>
          <w:p w14:paraId="033A7BE0" w14:textId="77777777" w:rsidR="00896135" w:rsidRPr="00A053D0" w:rsidRDefault="00896135" w:rsidP="00F12314">
            <w:pPr>
              <w:pStyle w:val="TableText"/>
              <w:jc w:val="right"/>
            </w:pPr>
            <w:r w:rsidRPr="00A053D0">
              <w:t>2,182</w:t>
            </w:r>
          </w:p>
        </w:tc>
      </w:tr>
      <w:tr w:rsidR="00896135" w:rsidRPr="00830E98" w14:paraId="08C5C7EA" w14:textId="77777777" w:rsidTr="008E7244">
        <w:trPr>
          <w:trHeight w:val="288"/>
        </w:trPr>
        <w:tc>
          <w:tcPr>
            <w:tcW w:w="4253" w:type="dxa"/>
            <w:shd w:val="clear" w:color="auto" w:fill="auto"/>
            <w:noWrap/>
            <w:hideMark/>
          </w:tcPr>
          <w:p w14:paraId="51300200" w14:textId="77777777" w:rsidR="00896135" w:rsidRPr="00A053D0" w:rsidRDefault="00896135" w:rsidP="008E7244">
            <w:pPr>
              <w:pStyle w:val="TableText"/>
            </w:pPr>
            <w:r w:rsidRPr="00A053D0">
              <w:t>Midwife</w:t>
            </w:r>
          </w:p>
        </w:tc>
        <w:tc>
          <w:tcPr>
            <w:tcW w:w="3826" w:type="dxa"/>
            <w:shd w:val="clear" w:color="auto" w:fill="auto"/>
            <w:noWrap/>
            <w:hideMark/>
          </w:tcPr>
          <w:p w14:paraId="39C9AB84" w14:textId="77777777" w:rsidR="00896135" w:rsidRPr="00A053D0" w:rsidRDefault="00896135" w:rsidP="00F12314">
            <w:pPr>
              <w:pStyle w:val="TableText"/>
              <w:jc w:val="right"/>
            </w:pPr>
            <w:r w:rsidRPr="00A053D0">
              <w:t>1,770</w:t>
            </w:r>
          </w:p>
        </w:tc>
      </w:tr>
      <w:tr w:rsidR="00896135" w:rsidRPr="00830E98" w14:paraId="254B5AD4" w14:textId="77777777" w:rsidTr="008E7244">
        <w:trPr>
          <w:trHeight w:val="288"/>
        </w:trPr>
        <w:tc>
          <w:tcPr>
            <w:tcW w:w="4253" w:type="dxa"/>
            <w:shd w:val="clear" w:color="auto" w:fill="auto"/>
            <w:noWrap/>
            <w:hideMark/>
          </w:tcPr>
          <w:p w14:paraId="26931122" w14:textId="77777777" w:rsidR="00896135" w:rsidRPr="00A053D0" w:rsidRDefault="00896135" w:rsidP="008E7244">
            <w:pPr>
              <w:pStyle w:val="TableText"/>
            </w:pPr>
            <w:r w:rsidRPr="00A053D0">
              <w:t>Nurse practitioner</w:t>
            </w:r>
          </w:p>
        </w:tc>
        <w:tc>
          <w:tcPr>
            <w:tcW w:w="3826" w:type="dxa"/>
            <w:shd w:val="clear" w:color="auto" w:fill="auto"/>
            <w:noWrap/>
            <w:hideMark/>
          </w:tcPr>
          <w:p w14:paraId="730516DF" w14:textId="77777777" w:rsidR="00896135" w:rsidRPr="00A053D0" w:rsidRDefault="00896135" w:rsidP="00F12314">
            <w:pPr>
              <w:pStyle w:val="TableText"/>
              <w:jc w:val="right"/>
            </w:pPr>
            <w:r w:rsidRPr="00A053D0">
              <w:t>246</w:t>
            </w:r>
          </w:p>
        </w:tc>
      </w:tr>
      <w:tr w:rsidR="00896135" w:rsidRPr="00830E98" w14:paraId="3C3884A2" w14:textId="77777777" w:rsidTr="008E7244">
        <w:trPr>
          <w:trHeight w:val="288"/>
        </w:trPr>
        <w:tc>
          <w:tcPr>
            <w:tcW w:w="4253" w:type="dxa"/>
            <w:shd w:val="clear" w:color="auto" w:fill="auto"/>
            <w:noWrap/>
            <w:hideMark/>
          </w:tcPr>
          <w:p w14:paraId="56E84D8F" w14:textId="77777777" w:rsidR="00896135" w:rsidRPr="00A053D0" w:rsidRDefault="00896135" w:rsidP="008E7244">
            <w:pPr>
              <w:pStyle w:val="TableText"/>
            </w:pPr>
            <w:r w:rsidRPr="00A053D0">
              <w:t>Occupational therapist</w:t>
            </w:r>
          </w:p>
        </w:tc>
        <w:tc>
          <w:tcPr>
            <w:tcW w:w="3826" w:type="dxa"/>
            <w:shd w:val="clear" w:color="auto" w:fill="auto"/>
            <w:noWrap/>
            <w:hideMark/>
          </w:tcPr>
          <w:p w14:paraId="28F438EC" w14:textId="77777777" w:rsidR="00896135" w:rsidRPr="00A053D0" w:rsidRDefault="00896135" w:rsidP="00F12314">
            <w:pPr>
              <w:pStyle w:val="TableText"/>
              <w:jc w:val="right"/>
            </w:pPr>
            <w:r w:rsidRPr="00A053D0">
              <w:t>1,559</w:t>
            </w:r>
          </w:p>
        </w:tc>
      </w:tr>
      <w:tr w:rsidR="00896135" w:rsidRPr="00830E98" w14:paraId="0C1623DF" w14:textId="77777777" w:rsidTr="008E7244">
        <w:trPr>
          <w:trHeight w:val="288"/>
        </w:trPr>
        <w:tc>
          <w:tcPr>
            <w:tcW w:w="4253" w:type="dxa"/>
            <w:shd w:val="clear" w:color="auto" w:fill="auto"/>
            <w:noWrap/>
            <w:hideMark/>
          </w:tcPr>
          <w:p w14:paraId="5F451EF4" w14:textId="70F0D9CD" w:rsidR="00896135" w:rsidRPr="00A053D0" w:rsidRDefault="00580C9E" w:rsidP="008E7244">
            <w:pPr>
              <w:pStyle w:val="TableText"/>
            </w:pPr>
            <w:r w:rsidRPr="00A053D0">
              <w:t>Optometrist/dispensing optician</w:t>
            </w:r>
          </w:p>
        </w:tc>
        <w:tc>
          <w:tcPr>
            <w:tcW w:w="3826" w:type="dxa"/>
            <w:shd w:val="clear" w:color="auto" w:fill="auto"/>
            <w:noWrap/>
            <w:hideMark/>
          </w:tcPr>
          <w:p w14:paraId="79C16A40" w14:textId="77777777" w:rsidR="00896135" w:rsidRPr="00A053D0" w:rsidRDefault="00896135" w:rsidP="00F12314">
            <w:pPr>
              <w:pStyle w:val="TableText"/>
              <w:jc w:val="right"/>
            </w:pPr>
            <w:r w:rsidRPr="00A053D0">
              <w:t>916</w:t>
            </w:r>
          </w:p>
        </w:tc>
      </w:tr>
      <w:tr w:rsidR="00896135" w:rsidRPr="00830E98" w14:paraId="6816BAD4" w14:textId="77777777" w:rsidTr="008E7244">
        <w:trPr>
          <w:trHeight w:val="288"/>
        </w:trPr>
        <w:tc>
          <w:tcPr>
            <w:tcW w:w="4253" w:type="dxa"/>
            <w:shd w:val="clear" w:color="auto" w:fill="auto"/>
            <w:noWrap/>
            <w:hideMark/>
          </w:tcPr>
          <w:p w14:paraId="486AD6FC" w14:textId="77777777" w:rsidR="00896135" w:rsidRPr="00A053D0" w:rsidRDefault="00896135" w:rsidP="008E7244">
            <w:pPr>
              <w:pStyle w:val="TableText"/>
            </w:pPr>
            <w:r w:rsidRPr="00A053D0">
              <w:t>Oral health practitioner</w:t>
            </w:r>
          </w:p>
        </w:tc>
        <w:tc>
          <w:tcPr>
            <w:tcW w:w="3826" w:type="dxa"/>
            <w:shd w:val="clear" w:color="auto" w:fill="auto"/>
            <w:noWrap/>
            <w:hideMark/>
          </w:tcPr>
          <w:p w14:paraId="45C66B7F" w14:textId="77777777" w:rsidR="00896135" w:rsidRPr="00A053D0" w:rsidRDefault="00896135" w:rsidP="00F12314">
            <w:pPr>
              <w:pStyle w:val="TableText"/>
              <w:jc w:val="right"/>
            </w:pPr>
            <w:r w:rsidRPr="00A053D0">
              <w:t>4,402</w:t>
            </w:r>
          </w:p>
        </w:tc>
      </w:tr>
      <w:tr w:rsidR="00896135" w:rsidRPr="00830E98" w14:paraId="5CFE9FDB" w14:textId="77777777" w:rsidTr="008E7244">
        <w:trPr>
          <w:trHeight w:val="288"/>
        </w:trPr>
        <w:tc>
          <w:tcPr>
            <w:tcW w:w="4253" w:type="dxa"/>
            <w:shd w:val="clear" w:color="auto" w:fill="auto"/>
            <w:noWrap/>
            <w:hideMark/>
          </w:tcPr>
          <w:p w14:paraId="4B0A5319" w14:textId="77777777" w:rsidR="00896135" w:rsidRPr="00A053D0" w:rsidRDefault="00896135" w:rsidP="008E7244">
            <w:pPr>
              <w:pStyle w:val="TableText"/>
            </w:pPr>
            <w:r w:rsidRPr="00A053D0">
              <w:t>Osteopath</w:t>
            </w:r>
          </w:p>
        </w:tc>
        <w:tc>
          <w:tcPr>
            <w:tcW w:w="3826" w:type="dxa"/>
            <w:shd w:val="clear" w:color="auto" w:fill="auto"/>
            <w:noWrap/>
            <w:hideMark/>
          </w:tcPr>
          <w:p w14:paraId="6622B820" w14:textId="77777777" w:rsidR="00896135" w:rsidRPr="00A053D0" w:rsidRDefault="00896135" w:rsidP="00F12314">
            <w:pPr>
              <w:pStyle w:val="TableText"/>
              <w:jc w:val="right"/>
            </w:pPr>
            <w:r w:rsidRPr="00A053D0">
              <w:t>550</w:t>
            </w:r>
          </w:p>
        </w:tc>
      </w:tr>
      <w:tr w:rsidR="00896135" w:rsidRPr="00830E98" w14:paraId="601373FE" w14:textId="77777777" w:rsidTr="008E7244">
        <w:trPr>
          <w:trHeight w:val="288"/>
        </w:trPr>
        <w:tc>
          <w:tcPr>
            <w:tcW w:w="4253" w:type="dxa"/>
            <w:shd w:val="clear" w:color="auto" w:fill="auto"/>
            <w:noWrap/>
            <w:hideMark/>
          </w:tcPr>
          <w:p w14:paraId="2F47748B" w14:textId="40158162" w:rsidR="00896135" w:rsidRPr="00A053D0" w:rsidRDefault="00896135" w:rsidP="008E7244">
            <w:pPr>
              <w:pStyle w:val="TableText"/>
            </w:pPr>
            <w:r w:rsidRPr="00A053D0">
              <w:t>Paramedics/</w:t>
            </w:r>
            <w:r w:rsidR="00580C9E" w:rsidRPr="00A053D0">
              <w:t>ambulance officers/ emergency medical technicians</w:t>
            </w:r>
          </w:p>
        </w:tc>
        <w:tc>
          <w:tcPr>
            <w:tcW w:w="3826" w:type="dxa"/>
            <w:shd w:val="clear" w:color="auto" w:fill="auto"/>
            <w:noWrap/>
            <w:hideMark/>
          </w:tcPr>
          <w:p w14:paraId="634EC61F" w14:textId="77777777" w:rsidR="00896135" w:rsidRPr="00A053D0" w:rsidRDefault="00896135" w:rsidP="00F12314">
            <w:pPr>
              <w:pStyle w:val="TableText"/>
              <w:jc w:val="right"/>
            </w:pPr>
            <w:r w:rsidRPr="00A053D0">
              <w:t>5,765</w:t>
            </w:r>
          </w:p>
        </w:tc>
      </w:tr>
      <w:tr w:rsidR="00896135" w:rsidRPr="00830E98" w14:paraId="37A57FC3" w14:textId="77777777" w:rsidTr="008E7244">
        <w:trPr>
          <w:trHeight w:val="288"/>
        </w:trPr>
        <w:tc>
          <w:tcPr>
            <w:tcW w:w="4253" w:type="dxa"/>
            <w:shd w:val="clear" w:color="auto" w:fill="auto"/>
            <w:noWrap/>
            <w:hideMark/>
          </w:tcPr>
          <w:p w14:paraId="6555C438" w14:textId="77777777" w:rsidR="00896135" w:rsidRPr="00A053D0" w:rsidRDefault="00896135" w:rsidP="008E7244">
            <w:pPr>
              <w:pStyle w:val="TableText"/>
            </w:pPr>
            <w:r w:rsidRPr="00A053D0">
              <w:t>Pharmacist</w:t>
            </w:r>
          </w:p>
        </w:tc>
        <w:tc>
          <w:tcPr>
            <w:tcW w:w="3826" w:type="dxa"/>
            <w:shd w:val="clear" w:color="auto" w:fill="auto"/>
            <w:noWrap/>
            <w:hideMark/>
          </w:tcPr>
          <w:p w14:paraId="2655763B" w14:textId="77777777" w:rsidR="00896135" w:rsidRPr="00A053D0" w:rsidRDefault="00896135" w:rsidP="00F12314">
            <w:pPr>
              <w:pStyle w:val="TableText"/>
              <w:jc w:val="right"/>
            </w:pPr>
            <w:r w:rsidRPr="00A053D0">
              <w:t>3,268</w:t>
            </w:r>
          </w:p>
        </w:tc>
      </w:tr>
      <w:tr w:rsidR="00896135" w:rsidRPr="00830E98" w14:paraId="7854DDFE" w14:textId="77777777" w:rsidTr="008E7244">
        <w:trPr>
          <w:trHeight w:val="288"/>
        </w:trPr>
        <w:tc>
          <w:tcPr>
            <w:tcW w:w="4253" w:type="dxa"/>
            <w:shd w:val="clear" w:color="auto" w:fill="auto"/>
            <w:noWrap/>
            <w:hideMark/>
          </w:tcPr>
          <w:p w14:paraId="63233CDF" w14:textId="77777777" w:rsidR="00896135" w:rsidRPr="00A053D0" w:rsidRDefault="00896135" w:rsidP="008E7244">
            <w:pPr>
              <w:pStyle w:val="TableText"/>
            </w:pPr>
            <w:r w:rsidRPr="00A053D0">
              <w:t>Physiotherapist</w:t>
            </w:r>
          </w:p>
        </w:tc>
        <w:tc>
          <w:tcPr>
            <w:tcW w:w="3826" w:type="dxa"/>
            <w:shd w:val="clear" w:color="auto" w:fill="auto"/>
            <w:noWrap/>
            <w:hideMark/>
          </w:tcPr>
          <w:p w14:paraId="59E31977" w14:textId="77777777" w:rsidR="00896135" w:rsidRPr="00A053D0" w:rsidRDefault="00896135" w:rsidP="00F12314">
            <w:pPr>
              <w:pStyle w:val="TableText"/>
              <w:jc w:val="right"/>
            </w:pPr>
            <w:r w:rsidRPr="00A053D0">
              <w:t>4,352</w:t>
            </w:r>
          </w:p>
        </w:tc>
      </w:tr>
      <w:tr w:rsidR="00896135" w:rsidRPr="00830E98" w14:paraId="50FD862F" w14:textId="77777777" w:rsidTr="008E7244">
        <w:trPr>
          <w:trHeight w:val="288"/>
        </w:trPr>
        <w:tc>
          <w:tcPr>
            <w:tcW w:w="4253" w:type="dxa"/>
            <w:shd w:val="clear" w:color="auto" w:fill="auto"/>
            <w:noWrap/>
            <w:hideMark/>
          </w:tcPr>
          <w:p w14:paraId="6AD54B76" w14:textId="77777777" w:rsidR="00896135" w:rsidRPr="00A053D0" w:rsidRDefault="00896135" w:rsidP="008E7244">
            <w:pPr>
              <w:pStyle w:val="TableText"/>
            </w:pPr>
            <w:r w:rsidRPr="00A053D0">
              <w:t>Podiatrist</w:t>
            </w:r>
          </w:p>
        </w:tc>
        <w:tc>
          <w:tcPr>
            <w:tcW w:w="3826" w:type="dxa"/>
            <w:shd w:val="clear" w:color="auto" w:fill="auto"/>
            <w:noWrap/>
            <w:hideMark/>
          </w:tcPr>
          <w:p w14:paraId="13BCE72E" w14:textId="77777777" w:rsidR="00896135" w:rsidRPr="00A053D0" w:rsidRDefault="00896135" w:rsidP="00F12314">
            <w:pPr>
              <w:pStyle w:val="TableText"/>
              <w:jc w:val="right"/>
            </w:pPr>
            <w:r w:rsidRPr="00A053D0">
              <w:t>417</w:t>
            </w:r>
          </w:p>
        </w:tc>
      </w:tr>
      <w:tr w:rsidR="00896135" w:rsidRPr="00830E98" w14:paraId="5E1AD3A6" w14:textId="77777777" w:rsidTr="008E7244">
        <w:trPr>
          <w:trHeight w:val="288"/>
        </w:trPr>
        <w:tc>
          <w:tcPr>
            <w:tcW w:w="4253" w:type="dxa"/>
            <w:shd w:val="clear" w:color="auto" w:fill="auto"/>
            <w:noWrap/>
            <w:hideMark/>
          </w:tcPr>
          <w:p w14:paraId="291194F0" w14:textId="77777777" w:rsidR="00896135" w:rsidRPr="00A053D0" w:rsidRDefault="00896135" w:rsidP="008E7244">
            <w:pPr>
              <w:pStyle w:val="TableText"/>
            </w:pPr>
            <w:r w:rsidRPr="00A053D0">
              <w:t>Psychologist</w:t>
            </w:r>
          </w:p>
        </w:tc>
        <w:tc>
          <w:tcPr>
            <w:tcW w:w="3826" w:type="dxa"/>
            <w:shd w:val="clear" w:color="auto" w:fill="auto"/>
            <w:noWrap/>
            <w:hideMark/>
          </w:tcPr>
          <w:p w14:paraId="228B8931" w14:textId="77777777" w:rsidR="00896135" w:rsidRPr="00A053D0" w:rsidRDefault="00896135" w:rsidP="00F12314">
            <w:pPr>
              <w:pStyle w:val="TableText"/>
              <w:jc w:val="right"/>
            </w:pPr>
            <w:r w:rsidRPr="00A053D0">
              <w:t>2158</w:t>
            </w:r>
          </w:p>
        </w:tc>
      </w:tr>
      <w:tr w:rsidR="00896135" w:rsidRPr="00830E98" w14:paraId="3259DE1D" w14:textId="77777777" w:rsidTr="008E7244">
        <w:trPr>
          <w:trHeight w:val="288"/>
        </w:trPr>
        <w:tc>
          <w:tcPr>
            <w:tcW w:w="4253" w:type="dxa"/>
            <w:shd w:val="clear" w:color="auto" w:fill="auto"/>
            <w:noWrap/>
            <w:hideMark/>
          </w:tcPr>
          <w:p w14:paraId="46365FA5" w14:textId="77777777" w:rsidR="00896135" w:rsidRPr="00A053D0" w:rsidRDefault="00896135" w:rsidP="008E7244">
            <w:pPr>
              <w:pStyle w:val="TableText"/>
            </w:pPr>
            <w:r w:rsidRPr="00A053D0">
              <w:t>Psychotherapist (all scopes)</w:t>
            </w:r>
          </w:p>
        </w:tc>
        <w:tc>
          <w:tcPr>
            <w:tcW w:w="3826" w:type="dxa"/>
            <w:shd w:val="clear" w:color="auto" w:fill="auto"/>
            <w:noWrap/>
            <w:hideMark/>
          </w:tcPr>
          <w:p w14:paraId="2F001CB3" w14:textId="77777777" w:rsidR="00896135" w:rsidRPr="00A053D0" w:rsidRDefault="00896135" w:rsidP="00F12314">
            <w:pPr>
              <w:pStyle w:val="TableText"/>
              <w:jc w:val="right"/>
            </w:pPr>
            <w:r w:rsidRPr="00A053D0">
              <w:t>513</w:t>
            </w:r>
          </w:p>
        </w:tc>
      </w:tr>
      <w:tr w:rsidR="00896135" w:rsidRPr="00830E98" w14:paraId="1133D622" w14:textId="77777777" w:rsidTr="008E7244">
        <w:trPr>
          <w:trHeight w:val="288"/>
        </w:trPr>
        <w:tc>
          <w:tcPr>
            <w:tcW w:w="4253" w:type="dxa"/>
            <w:shd w:val="clear" w:color="auto" w:fill="auto"/>
            <w:noWrap/>
            <w:hideMark/>
          </w:tcPr>
          <w:p w14:paraId="3CAAC545" w14:textId="77777777" w:rsidR="00896135" w:rsidRPr="00A053D0" w:rsidRDefault="00896135" w:rsidP="008E7244">
            <w:pPr>
              <w:pStyle w:val="TableText"/>
            </w:pPr>
            <w:r w:rsidRPr="00A053D0">
              <w:t>Registered nurse</w:t>
            </w:r>
          </w:p>
        </w:tc>
        <w:tc>
          <w:tcPr>
            <w:tcW w:w="3826" w:type="dxa"/>
            <w:shd w:val="clear" w:color="auto" w:fill="auto"/>
            <w:noWrap/>
            <w:hideMark/>
          </w:tcPr>
          <w:p w14:paraId="7E5EAD85" w14:textId="77777777" w:rsidR="00896135" w:rsidRPr="00A053D0" w:rsidRDefault="00896135" w:rsidP="00F12314">
            <w:pPr>
              <w:pStyle w:val="TableText"/>
              <w:jc w:val="right"/>
            </w:pPr>
            <w:r w:rsidRPr="00A053D0">
              <w:t>29,524</w:t>
            </w:r>
          </w:p>
        </w:tc>
      </w:tr>
      <w:tr w:rsidR="00896135" w:rsidRPr="00830E98" w14:paraId="2E5CF485" w14:textId="77777777" w:rsidTr="008E7244">
        <w:trPr>
          <w:trHeight w:val="288"/>
        </w:trPr>
        <w:tc>
          <w:tcPr>
            <w:tcW w:w="4253" w:type="dxa"/>
            <w:shd w:val="clear" w:color="auto" w:fill="auto"/>
            <w:noWrap/>
            <w:hideMark/>
          </w:tcPr>
          <w:p w14:paraId="0CAA91EC" w14:textId="77777777" w:rsidR="00896135" w:rsidRPr="00A053D0" w:rsidRDefault="00896135" w:rsidP="008E7244">
            <w:pPr>
              <w:pStyle w:val="TableText"/>
            </w:pPr>
            <w:r w:rsidRPr="00A053D0">
              <w:t>Social worker</w:t>
            </w:r>
          </w:p>
        </w:tc>
        <w:tc>
          <w:tcPr>
            <w:tcW w:w="3826" w:type="dxa"/>
            <w:shd w:val="clear" w:color="auto" w:fill="auto"/>
            <w:noWrap/>
            <w:hideMark/>
          </w:tcPr>
          <w:p w14:paraId="06ACCDB9" w14:textId="77777777" w:rsidR="00896135" w:rsidRPr="00A053D0" w:rsidRDefault="00896135" w:rsidP="00F12314">
            <w:pPr>
              <w:pStyle w:val="TableText"/>
              <w:jc w:val="right"/>
            </w:pPr>
            <w:r w:rsidRPr="00A053D0">
              <w:t>6,455</w:t>
            </w:r>
          </w:p>
        </w:tc>
      </w:tr>
      <w:tr w:rsidR="00896135" w:rsidRPr="00830E98" w14:paraId="61B1782A" w14:textId="77777777" w:rsidTr="008E7244">
        <w:trPr>
          <w:trHeight w:val="288"/>
        </w:trPr>
        <w:tc>
          <w:tcPr>
            <w:tcW w:w="4253" w:type="dxa"/>
            <w:shd w:val="clear" w:color="auto" w:fill="auto"/>
            <w:noWrap/>
            <w:hideMark/>
          </w:tcPr>
          <w:p w14:paraId="3F1D62A4" w14:textId="77777777" w:rsidR="00896135" w:rsidRPr="00A053D0" w:rsidRDefault="00896135" w:rsidP="008E7244">
            <w:pPr>
              <w:pStyle w:val="TableText"/>
            </w:pPr>
            <w:r w:rsidRPr="00A053D0">
              <w:t>Speech language therapist</w:t>
            </w:r>
          </w:p>
        </w:tc>
        <w:tc>
          <w:tcPr>
            <w:tcW w:w="3826" w:type="dxa"/>
            <w:shd w:val="clear" w:color="auto" w:fill="auto"/>
            <w:noWrap/>
            <w:hideMark/>
          </w:tcPr>
          <w:p w14:paraId="655DFCA0" w14:textId="77777777" w:rsidR="00896135" w:rsidRPr="00A053D0" w:rsidRDefault="00896135" w:rsidP="00F12314">
            <w:pPr>
              <w:pStyle w:val="TableText"/>
              <w:jc w:val="right"/>
            </w:pPr>
            <w:r w:rsidRPr="00A053D0">
              <w:t>554</w:t>
            </w:r>
          </w:p>
        </w:tc>
      </w:tr>
      <w:tr w:rsidR="00896135" w:rsidRPr="00F12314" w14:paraId="277B44EB" w14:textId="77777777" w:rsidTr="00F12314">
        <w:trPr>
          <w:trHeight w:val="288"/>
        </w:trPr>
        <w:tc>
          <w:tcPr>
            <w:tcW w:w="4253" w:type="dxa"/>
            <w:shd w:val="clear" w:color="auto" w:fill="F2F2F2" w:themeFill="background1" w:themeFillShade="F2"/>
            <w:noWrap/>
            <w:hideMark/>
          </w:tcPr>
          <w:p w14:paraId="705BCEA1" w14:textId="77777777" w:rsidR="00896135" w:rsidRPr="00F12314" w:rsidRDefault="00896135" w:rsidP="008E7244">
            <w:pPr>
              <w:pStyle w:val="TableText"/>
              <w:rPr>
                <w:b/>
              </w:rPr>
            </w:pPr>
            <w:r w:rsidRPr="00F12314">
              <w:rPr>
                <w:b/>
              </w:rPr>
              <w:t>TOTAL (approximate estimate)</w:t>
            </w:r>
          </w:p>
        </w:tc>
        <w:tc>
          <w:tcPr>
            <w:tcW w:w="3826" w:type="dxa"/>
            <w:shd w:val="clear" w:color="auto" w:fill="F2F2F2" w:themeFill="background1" w:themeFillShade="F2"/>
            <w:noWrap/>
            <w:hideMark/>
          </w:tcPr>
          <w:p w14:paraId="0D12DB7F" w14:textId="77777777" w:rsidR="00896135" w:rsidRPr="00F12314" w:rsidRDefault="00896135" w:rsidP="00F12314">
            <w:pPr>
              <w:pStyle w:val="TableText"/>
              <w:jc w:val="right"/>
              <w:rPr>
                <w:b/>
              </w:rPr>
            </w:pPr>
            <w:r w:rsidRPr="00F12314">
              <w:rPr>
                <w:b/>
              </w:rPr>
              <w:t>129,571</w:t>
            </w:r>
          </w:p>
        </w:tc>
      </w:tr>
    </w:tbl>
    <w:p w14:paraId="3F0FC489" w14:textId="77777777" w:rsidR="00896135" w:rsidRDefault="00896135" w:rsidP="00896135"/>
    <w:p w14:paraId="5AF39B74" w14:textId="77777777" w:rsidR="00896135" w:rsidRPr="00E718B8" w:rsidRDefault="00896135" w:rsidP="00896135"/>
    <w:p w14:paraId="4E9F8941" w14:textId="77777777" w:rsidR="00896135" w:rsidRDefault="00896135" w:rsidP="00896135">
      <w:pPr>
        <w:pStyle w:val="Heading1"/>
        <w:ind w:right="-710"/>
      </w:pPr>
      <w:r>
        <w:br w:type="page"/>
      </w:r>
    </w:p>
    <w:p w14:paraId="596173D4" w14:textId="77777777" w:rsidR="00896135" w:rsidRDefault="00896135" w:rsidP="00896135">
      <w:pPr>
        <w:pStyle w:val="Heading1"/>
        <w:ind w:right="-710"/>
      </w:pPr>
      <w:bookmarkStart w:id="42" w:name="_Toc54706221"/>
      <w:r>
        <w:lastRenderedPageBreak/>
        <w:t>Expenditure on the health and disability system</w:t>
      </w:r>
      <w:bookmarkEnd w:id="42"/>
    </w:p>
    <w:p w14:paraId="0AA57777" w14:textId="77777777" w:rsidR="00896135" w:rsidRDefault="00896135" w:rsidP="00896135">
      <w:r>
        <w:t>Vote Health was $19.87 billion in 2019/20 and will increase to $20.27 billion in 2020/21 as a result of a significant injection of funding through Budget 2020. This is the primary source of funding for New Zealand’s health and disability system and makes up about a fifth of government spending (the second largest component of Crown spending after social security and welfare). The substantial size of this expenditure provides a significant opportunity to influence the nation’s economy.</w:t>
      </w:r>
    </w:p>
    <w:p w14:paraId="08E4D5D8" w14:textId="77777777" w:rsidR="00896135" w:rsidRDefault="00896135" w:rsidP="00896135"/>
    <w:p w14:paraId="4DEC6921" w14:textId="7A61127D" w:rsidR="00896135" w:rsidRDefault="00896135" w:rsidP="00896135">
      <w:r>
        <w:t xml:space="preserve">The health care and social assistance industries represented 5.79% of </w:t>
      </w:r>
      <w:r w:rsidR="007720C0">
        <w:t>gross domestic product</w:t>
      </w:r>
      <w:r>
        <w:t xml:space="preserve"> (GDP) for the year ended December 2019. This compares with education and training</w:t>
      </w:r>
      <w:r w:rsidR="007720C0">
        <w:t>,</w:t>
      </w:r>
      <w:r>
        <w:t xml:space="preserve"> and public administration and safety</w:t>
      </w:r>
      <w:r w:rsidR="007720C0">
        <w:t>,</w:t>
      </w:r>
      <w:r>
        <w:t xml:space="preserve"> </w:t>
      </w:r>
      <w:r w:rsidR="007720C0">
        <w:t xml:space="preserve">which </w:t>
      </w:r>
      <w:r>
        <w:t xml:space="preserve">both </w:t>
      </w:r>
      <w:r w:rsidR="00C80F70">
        <w:t xml:space="preserve">make up </w:t>
      </w:r>
      <w:r>
        <w:t>4% of GDP.</w:t>
      </w:r>
      <w:r>
        <w:rPr>
          <w:rStyle w:val="FootnoteReference"/>
        </w:rPr>
        <w:footnoteReference w:id="4"/>
      </w:r>
    </w:p>
    <w:p w14:paraId="0189F088" w14:textId="639089CA" w:rsidR="00896135" w:rsidRDefault="00896135" w:rsidP="00896135">
      <w:r>
        <w:t>Over the last 40 years</w:t>
      </w:r>
      <w:r w:rsidR="000A1B4E">
        <w:t>,</w:t>
      </w:r>
      <w:r>
        <w:t xml:space="preserve"> expenditure on health care and social assistance has remained relatively static at around 5% or 6% of GDP</w:t>
      </w:r>
      <w:r w:rsidR="00C80F70">
        <w:t>,</w:t>
      </w:r>
      <w:r>
        <w:t xml:space="preserve"> as shown in </w:t>
      </w:r>
      <w:r w:rsidR="00F12314" w:rsidRPr="00F12314">
        <w:fldChar w:fldCharType="begin"/>
      </w:r>
      <w:r w:rsidR="00F12314" w:rsidRPr="00F12314">
        <w:instrText xml:space="preserve"> REF _Ref54198729 \h  \* MERGEFORMAT </w:instrText>
      </w:r>
      <w:r w:rsidR="00F12314" w:rsidRPr="00F12314">
        <w:fldChar w:fldCharType="separate"/>
      </w:r>
      <w:r w:rsidR="00884C99" w:rsidRPr="00884C99">
        <w:rPr>
          <w:rFonts w:eastAsia="Arial"/>
          <w:iCs/>
          <w:sz w:val="20"/>
        </w:rPr>
        <w:t xml:space="preserve">Figure </w:t>
      </w:r>
      <w:r w:rsidR="00884C99" w:rsidRPr="00884C99">
        <w:rPr>
          <w:rFonts w:eastAsia="Arial"/>
          <w:iCs/>
          <w:noProof/>
          <w:sz w:val="20"/>
        </w:rPr>
        <w:t>6</w:t>
      </w:r>
      <w:r w:rsidR="00F12314" w:rsidRPr="00F12314">
        <w:fldChar w:fldCharType="end"/>
      </w:r>
      <w:r>
        <w:t>.</w:t>
      </w:r>
    </w:p>
    <w:p w14:paraId="23DD4735" w14:textId="77777777" w:rsidR="00896135" w:rsidRDefault="00896135" w:rsidP="00896135"/>
    <w:p w14:paraId="7B017FC3" w14:textId="27E4BAA5" w:rsidR="00896135" w:rsidRPr="008E0DA5" w:rsidRDefault="00896135" w:rsidP="00896135">
      <w:pPr>
        <w:pStyle w:val="Caption"/>
        <w:rPr>
          <w:rFonts w:eastAsia="Arial"/>
          <w:b/>
          <w:i w:val="0"/>
          <w:iCs w:val="0"/>
          <w:color w:val="auto"/>
          <w:sz w:val="20"/>
          <w:szCs w:val="20"/>
        </w:rPr>
      </w:pPr>
      <w:bookmarkStart w:id="43" w:name="_Ref54198729"/>
      <w:bookmarkStart w:id="44" w:name="_Toc41290476"/>
      <w:bookmarkStart w:id="45" w:name="_Toc54198915"/>
      <w:r w:rsidRPr="008E0DA5">
        <w:rPr>
          <w:rFonts w:eastAsia="Arial"/>
          <w:b/>
          <w:i w:val="0"/>
          <w:iCs w:val="0"/>
          <w:color w:val="auto"/>
          <w:sz w:val="20"/>
          <w:szCs w:val="20"/>
        </w:rPr>
        <w:t xml:space="preserve">Figure </w:t>
      </w:r>
      <w:r w:rsidRPr="008E0DA5">
        <w:rPr>
          <w:rFonts w:eastAsia="Arial"/>
          <w:b/>
          <w:i w:val="0"/>
          <w:iCs w:val="0"/>
          <w:color w:val="auto"/>
          <w:sz w:val="20"/>
          <w:szCs w:val="20"/>
        </w:rPr>
        <w:fldChar w:fldCharType="begin"/>
      </w:r>
      <w:r w:rsidRPr="008E0DA5">
        <w:rPr>
          <w:rFonts w:eastAsia="Arial"/>
          <w:b/>
          <w:i w:val="0"/>
          <w:iCs w:val="0"/>
          <w:color w:val="auto"/>
          <w:sz w:val="20"/>
          <w:szCs w:val="20"/>
        </w:rPr>
        <w:instrText xml:space="preserve"> SEQ Figure \* ARABIC </w:instrText>
      </w:r>
      <w:r w:rsidRPr="008E0DA5">
        <w:rPr>
          <w:rFonts w:eastAsia="Arial"/>
          <w:b/>
          <w:i w:val="0"/>
          <w:iCs w:val="0"/>
          <w:color w:val="auto"/>
          <w:sz w:val="20"/>
          <w:szCs w:val="20"/>
        </w:rPr>
        <w:fldChar w:fldCharType="separate"/>
      </w:r>
      <w:r w:rsidR="00884C99">
        <w:rPr>
          <w:rFonts w:eastAsia="Arial"/>
          <w:b/>
          <w:i w:val="0"/>
          <w:iCs w:val="0"/>
          <w:noProof/>
          <w:color w:val="auto"/>
          <w:sz w:val="20"/>
          <w:szCs w:val="20"/>
        </w:rPr>
        <w:t>6</w:t>
      </w:r>
      <w:r w:rsidRPr="008E0DA5">
        <w:rPr>
          <w:rFonts w:eastAsia="Arial"/>
          <w:b/>
          <w:i w:val="0"/>
          <w:iCs w:val="0"/>
          <w:color w:val="auto"/>
          <w:sz w:val="20"/>
          <w:szCs w:val="20"/>
        </w:rPr>
        <w:fldChar w:fldCharType="end"/>
      </w:r>
      <w:bookmarkEnd w:id="43"/>
      <w:r w:rsidRPr="008E0DA5">
        <w:rPr>
          <w:rFonts w:eastAsia="Arial"/>
          <w:b/>
          <w:i w:val="0"/>
          <w:iCs w:val="0"/>
          <w:color w:val="auto"/>
          <w:sz w:val="20"/>
          <w:szCs w:val="20"/>
        </w:rPr>
        <w:t>: Health care and social assistance sector as a proportion of total GDP (2009/10 prices)</w:t>
      </w:r>
      <w:bookmarkEnd w:id="44"/>
      <w:bookmarkEnd w:id="45"/>
    </w:p>
    <w:p w14:paraId="038F5A6F" w14:textId="77777777" w:rsidR="00896135" w:rsidRDefault="00896135" w:rsidP="00896135">
      <w:r>
        <w:rPr>
          <w:noProof/>
        </w:rPr>
        <w:drawing>
          <wp:inline distT="0" distB="0" distL="0" distR="0" wp14:anchorId="7195F73A" wp14:editId="6985FE08">
            <wp:extent cx="5099518" cy="3056021"/>
            <wp:effectExtent l="0" t="0" r="6350" b="0"/>
            <wp:docPr id="13" name="Picture 13" descr="This line graph shows that health care and social assistance has increased as a proportion of total GDP. In 1978 it was around 5%. It reached a peak of just over 6% in 2010 and has fallen to just under 6%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06863" cy="3060423"/>
                    </a:xfrm>
                    <a:prstGeom prst="rect">
                      <a:avLst/>
                    </a:prstGeom>
                    <a:noFill/>
                    <a:ln>
                      <a:noFill/>
                    </a:ln>
                  </pic:spPr>
                </pic:pic>
              </a:graphicData>
            </a:graphic>
          </wp:inline>
        </w:drawing>
      </w:r>
    </w:p>
    <w:p w14:paraId="2D8D167D" w14:textId="77777777" w:rsidR="00896135" w:rsidRDefault="00896135" w:rsidP="00896135">
      <w:pPr>
        <w:pStyle w:val="Source"/>
      </w:pPr>
      <w:r>
        <w:t>Source: Statistics New Zealand Gross Domestic Product by industry – annual values December 2019 quarter</w:t>
      </w:r>
    </w:p>
    <w:p w14:paraId="18A47BCD" w14:textId="77777777" w:rsidR="00896135" w:rsidRDefault="00896135" w:rsidP="00896135"/>
    <w:p w14:paraId="792E1866" w14:textId="77777777" w:rsidR="00896135" w:rsidRDefault="00896135" w:rsidP="00896135">
      <w:pPr>
        <w:pStyle w:val="Heading2"/>
      </w:pPr>
      <w:bookmarkStart w:id="46" w:name="_Toc54706222"/>
      <w:r>
        <w:lastRenderedPageBreak/>
        <w:t>Salary expenditure on health and disability workers</w:t>
      </w:r>
      <w:bookmarkEnd w:id="46"/>
    </w:p>
    <w:p w14:paraId="786AF258" w14:textId="5157DB58" w:rsidR="00896135" w:rsidRDefault="00896135" w:rsidP="00896135">
      <w:r>
        <w:t>About three</w:t>
      </w:r>
      <w:r w:rsidR="003D5D14">
        <w:t>-</w:t>
      </w:r>
      <w:r>
        <w:t xml:space="preserve">quarters of Vote Health funding goes to the country’s 20 </w:t>
      </w:r>
      <w:r w:rsidR="00D62718">
        <w:t>DHBs</w:t>
      </w:r>
      <w:r>
        <w:t xml:space="preserve"> and nearly half of this allocation is spent on workers’ salaries. It is difficult to obtain information on the total salary cost of the entire health and disability workforce, particularly health and care workers employed privately by </w:t>
      </w:r>
      <w:r w:rsidR="003D5D14">
        <w:t>primary health organi</w:t>
      </w:r>
      <w:r>
        <w:t>sations</w:t>
      </w:r>
      <w:r w:rsidR="003D5D14">
        <w:t>,</w:t>
      </w:r>
      <w:r>
        <w:t xml:space="preserve"> and health and care workers employed in the not-for-profit sector. </w:t>
      </w:r>
    </w:p>
    <w:p w14:paraId="39E00C63" w14:textId="77777777" w:rsidR="00896135" w:rsidRDefault="00896135" w:rsidP="00896135">
      <w:pPr>
        <w:pStyle w:val="Heading3"/>
      </w:pPr>
      <w:r>
        <w:t xml:space="preserve">Salary costs for each </w:t>
      </w:r>
      <w:r w:rsidR="00D62718">
        <w:t>d</w:t>
      </w:r>
      <w:r>
        <w:t xml:space="preserve">istrict </w:t>
      </w:r>
      <w:r w:rsidR="00D62718">
        <w:t>h</w:t>
      </w:r>
      <w:r>
        <w:t xml:space="preserve">ealth </w:t>
      </w:r>
      <w:r w:rsidR="00D62718">
        <w:t>b</w:t>
      </w:r>
      <w:r>
        <w:t>oard</w:t>
      </w:r>
    </w:p>
    <w:p w14:paraId="6347F386" w14:textId="5030D336" w:rsidR="00896135" w:rsidRDefault="00896135" w:rsidP="00896135">
      <w:r>
        <w:t>For the year ending 31 December 2019, $6.2 billion was spent by DHBs on health and care worker</w:t>
      </w:r>
      <w:r w:rsidR="003D5D14">
        <w:t>s</w:t>
      </w:r>
      <w:r>
        <w:t>.</w:t>
      </w:r>
      <w:r>
        <w:rPr>
          <w:rStyle w:val="FootnoteReference"/>
        </w:rPr>
        <w:footnoteReference w:id="5"/>
      </w:r>
      <w:r>
        <w:t xml:space="preserve"> This represents 31% of total Vote Health budget of $19,871</w:t>
      </w:r>
      <w:r w:rsidR="003D5D14">
        <w:t> </w:t>
      </w:r>
      <w:r>
        <w:t xml:space="preserve">million for the 2019/20 year and 45% of the $13,980 million provided to the 20 DHBs for services to meet the needs of each district’s population. </w:t>
      </w:r>
    </w:p>
    <w:p w14:paraId="5A565968" w14:textId="77777777" w:rsidR="00896135" w:rsidRDefault="00896135" w:rsidP="00896135"/>
    <w:p w14:paraId="3DB0E30B" w14:textId="3286ABC4" w:rsidR="00896135" w:rsidRDefault="00896135" w:rsidP="00896135">
      <w:r>
        <w:t>Core Crown expenses as at June 2019 were $87.02 billion.</w:t>
      </w:r>
      <w:r>
        <w:rPr>
          <w:rStyle w:val="FootnoteReference"/>
        </w:rPr>
        <w:footnoteReference w:id="6"/>
      </w:r>
      <w:r>
        <w:t xml:space="preserve"> Expenditure on DHB employee salaries therefore</w:t>
      </w:r>
      <w:r w:rsidR="000A1B4E">
        <w:t xml:space="preserve"> makes up </w:t>
      </w:r>
      <w:r>
        <w:t xml:space="preserve">7.2% of core Crown expenses. Expenditure on health and disability DHB employee salaries represents 45% of health and social assistance </w:t>
      </w:r>
      <w:r w:rsidR="003D5D14">
        <w:t>GDP</w:t>
      </w:r>
      <w:r>
        <w:t xml:space="preserve"> and 2% of total </w:t>
      </w:r>
      <w:r w:rsidR="003D5D14">
        <w:t>GDP</w:t>
      </w:r>
      <w:r>
        <w:t>.</w:t>
      </w:r>
    </w:p>
    <w:p w14:paraId="4602E4ED" w14:textId="77777777" w:rsidR="00896135" w:rsidRDefault="00896135" w:rsidP="00896135"/>
    <w:p w14:paraId="3B4CC60A" w14:textId="77777777" w:rsidR="008E7244" w:rsidRDefault="00896135" w:rsidP="00896135">
      <w:pPr>
        <w:sectPr w:rsidR="008E7244" w:rsidSect="0046268D">
          <w:pgSz w:w="11907" w:h="16834" w:code="9"/>
          <w:pgMar w:top="1418" w:right="1701" w:bottom="1134" w:left="1843" w:header="284" w:footer="567" w:gutter="284"/>
          <w:cols w:space="720"/>
          <w:docGrid w:linePitch="286"/>
        </w:sectPr>
      </w:pPr>
      <w:r>
        <w:t>Consistent with DHB FTE numbers, the largest proportion of salary cost is spent on nurses ($2.2 billion or 36% of total DHB salary costs), followed</w:t>
      </w:r>
      <w:r w:rsidR="003D5D14">
        <w:t xml:space="preserve"> by</w:t>
      </w:r>
      <w:r>
        <w:t xml:space="preserve"> </w:t>
      </w:r>
      <w:r w:rsidR="003D5D14">
        <w:t>senior medical officer</w:t>
      </w:r>
      <w:r>
        <w:t>s ($1.1 billion</w:t>
      </w:r>
      <w:r w:rsidR="003D5D14">
        <w:t>,</w:t>
      </w:r>
      <w:r>
        <w:t xml:space="preserve"> 18%), corporate and other services ($932 million</w:t>
      </w:r>
      <w:r w:rsidR="003D5D14">
        <w:t>,</w:t>
      </w:r>
      <w:r>
        <w:t xml:space="preserve"> 15%) and allied health and scientific health workers ($884 million</w:t>
      </w:r>
      <w:r w:rsidR="003D5D14">
        <w:t>,</w:t>
      </w:r>
      <w:r>
        <w:t xml:space="preserve"> 14%). The smallest component is spent on midwifery ($120 million</w:t>
      </w:r>
      <w:r w:rsidR="003D5D14">
        <w:t>,</w:t>
      </w:r>
      <w:r>
        <w:t xml:space="preserve"> 2%).</w:t>
      </w:r>
    </w:p>
    <w:p w14:paraId="6B365D77" w14:textId="3D815755" w:rsidR="00896135" w:rsidRPr="00CD6866" w:rsidRDefault="00F12314" w:rsidP="00F12314">
      <w:pPr>
        <w:pStyle w:val="Table"/>
        <w:rPr>
          <w:rFonts w:eastAsia="Arial"/>
        </w:rPr>
      </w:pPr>
      <w:bookmarkStart w:id="47" w:name="_Toc54706255"/>
      <w:r w:rsidRPr="002A29A0">
        <w:rPr>
          <w:rFonts w:eastAsia="Arial"/>
        </w:rPr>
        <w:lastRenderedPageBreak/>
        <w:t xml:space="preserve">Table </w:t>
      </w:r>
      <w:r w:rsidRPr="002A29A0">
        <w:rPr>
          <w:rFonts w:eastAsia="Arial"/>
        </w:rPr>
        <w:fldChar w:fldCharType="begin"/>
      </w:r>
      <w:r w:rsidRPr="002A29A0">
        <w:rPr>
          <w:rFonts w:eastAsia="Arial"/>
        </w:rPr>
        <w:instrText xml:space="preserve"> SEQ Table \* ARABIC </w:instrText>
      </w:r>
      <w:r w:rsidRPr="002A29A0">
        <w:rPr>
          <w:rFonts w:eastAsia="Arial"/>
        </w:rPr>
        <w:fldChar w:fldCharType="separate"/>
      </w:r>
      <w:r w:rsidR="00884C99">
        <w:rPr>
          <w:rFonts w:eastAsia="Arial"/>
          <w:noProof/>
        </w:rPr>
        <w:t>7</w:t>
      </w:r>
      <w:r w:rsidRPr="002A29A0">
        <w:rPr>
          <w:rFonts w:eastAsia="Arial"/>
        </w:rPr>
        <w:fldChar w:fldCharType="end"/>
      </w:r>
      <w:r w:rsidRPr="002A29A0">
        <w:rPr>
          <w:rFonts w:eastAsia="Arial"/>
        </w:rPr>
        <w:t xml:space="preserve">: </w:t>
      </w:r>
      <w:r w:rsidR="00896135" w:rsidRPr="00CD6866">
        <w:rPr>
          <w:rFonts w:eastAsia="Arial"/>
        </w:rPr>
        <w:t>Total DHB salary expenditure by occupation for the year ending 31</w:t>
      </w:r>
      <w:r w:rsidR="00BF3B28">
        <w:rPr>
          <w:rFonts w:eastAsia="Arial"/>
        </w:rPr>
        <w:t> </w:t>
      </w:r>
      <w:r w:rsidR="00896135" w:rsidRPr="00CD6866">
        <w:rPr>
          <w:rFonts w:eastAsia="Arial"/>
        </w:rPr>
        <w:t>December 2019</w:t>
      </w:r>
      <w:bookmarkEnd w:id="47"/>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2690"/>
        <w:gridCol w:w="2690"/>
      </w:tblGrid>
      <w:tr w:rsidR="00896135" w14:paraId="093D2D8D" w14:textId="77777777" w:rsidTr="008E7244">
        <w:tc>
          <w:tcPr>
            <w:tcW w:w="2689" w:type="dxa"/>
            <w:shd w:val="clear" w:color="auto" w:fill="D9D9D9" w:themeFill="background1" w:themeFillShade="D9"/>
          </w:tcPr>
          <w:p w14:paraId="1FAC9BF6" w14:textId="77777777" w:rsidR="00896135" w:rsidRPr="008E7244" w:rsidRDefault="00896135" w:rsidP="008E7244">
            <w:pPr>
              <w:pStyle w:val="TableText"/>
              <w:rPr>
                <w:b/>
              </w:rPr>
            </w:pPr>
            <w:r w:rsidRPr="008E7244">
              <w:rPr>
                <w:b/>
              </w:rPr>
              <w:t>Occupation</w:t>
            </w:r>
          </w:p>
        </w:tc>
        <w:tc>
          <w:tcPr>
            <w:tcW w:w="2690" w:type="dxa"/>
            <w:shd w:val="clear" w:color="auto" w:fill="D9D9D9" w:themeFill="background1" w:themeFillShade="D9"/>
          </w:tcPr>
          <w:p w14:paraId="3BE7FE6A" w14:textId="77777777" w:rsidR="00896135" w:rsidRPr="008E7244" w:rsidRDefault="00896135" w:rsidP="00F12314">
            <w:pPr>
              <w:pStyle w:val="TableText"/>
              <w:jc w:val="right"/>
              <w:rPr>
                <w:b/>
              </w:rPr>
            </w:pPr>
            <w:r w:rsidRPr="008E7244">
              <w:rPr>
                <w:b/>
              </w:rPr>
              <w:t>Salary cost</w:t>
            </w:r>
          </w:p>
          <w:p w14:paraId="4E17FE60" w14:textId="77777777" w:rsidR="00896135" w:rsidRPr="008E7244" w:rsidRDefault="00896135" w:rsidP="00F12314">
            <w:pPr>
              <w:pStyle w:val="TableText"/>
              <w:jc w:val="right"/>
              <w:rPr>
                <w:b/>
              </w:rPr>
            </w:pPr>
            <w:r w:rsidRPr="008E7244">
              <w:rPr>
                <w:b/>
              </w:rPr>
              <w:t>($ millions)</w:t>
            </w:r>
          </w:p>
        </w:tc>
        <w:tc>
          <w:tcPr>
            <w:tcW w:w="2690" w:type="dxa"/>
            <w:shd w:val="clear" w:color="auto" w:fill="D9D9D9" w:themeFill="background1" w:themeFillShade="D9"/>
          </w:tcPr>
          <w:p w14:paraId="098688DD" w14:textId="77777777" w:rsidR="00896135" w:rsidRPr="008E7244" w:rsidRDefault="00896135" w:rsidP="00F12314">
            <w:pPr>
              <w:pStyle w:val="TableText"/>
              <w:jc w:val="right"/>
              <w:rPr>
                <w:b/>
              </w:rPr>
            </w:pPr>
            <w:r w:rsidRPr="008E7244">
              <w:rPr>
                <w:b/>
              </w:rPr>
              <w:t>Percentage of total DHB salary cost</w:t>
            </w:r>
          </w:p>
        </w:tc>
      </w:tr>
      <w:tr w:rsidR="00896135" w14:paraId="7704CAD3" w14:textId="77777777" w:rsidTr="008E7244">
        <w:tc>
          <w:tcPr>
            <w:tcW w:w="2689" w:type="dxa"/>
            <w:shd w:val="clear" w:color="auto" w:fill="auto"/>
          </w:tcPr>
          <w:p w14:paraId="0B093498" w14:textId="77777777" w:rsidR="00896135" w:rsidRPr="008E7244" w:rsidRDefault="00896135" w:rsidP="008E7244">
            <w:pPr>
              <w:pStyle w:val="TableText"/>
            </w:pPr>
            <w:r w:rsidRPr="008E7244">
              <w:t>Allied and scientific</w:t>
            </w:r>
          </w:p>
        </w:tc>
        <w:tc>
          <w:tcPr>
            <w:tcW w:w="2690" w:type="dxa"/>
            <w:shd w:val="clear" w:color="auto" w:fill="auto"/>
          </w:tcPr>
          <w:p w14:paraId="7B3371CC" w14:textId="77777777" w:rsidR="00896135" w:rsidRPr="008E7244" w:rsidRDefault="00896135" w:rsidP="00F12314">
            <w:pPr>
              <w:pStyle w:val="TableText"/>
              <w:jc w:val="right"/>
            </w:pPr>
            <w:r w:rsidRPr="008E7244">
              <w:t>883.65</w:t>
            </w:r>
          </w:p>
        </w:tc>
        <w:tc>
          <w:tcPr>
            <w:tcW w:w="2690" w:type="dxa"/>
            <w:shd w:val="clear" w:color="auto" w:fill="auto"/>
          </w:tcPr>
          <w:p w14:paraId="7FA1A35B" w14:textId="77777777" w:rsidR="00896135" w:rsidRPr="008E7244" w:rsidRDefault="00896135" w:rsidP="00F12314">
            <w:pPr>
              <w:pStyle w:val="TableText"/>
              <w:jc w:val="right"/>
            </w:pPr>
            <w:r w:rsidRPr="008E7244">
              <w:t>14%</w:t>
            </w:r>
          </w:p>
        </w:tc>
      </w:tr>
      <w:tr w:rsidR="00896135" w14:paraId="0D20E07B" w14:textId="77777777" w:rsidTr="008E7244">
        <w:tc>
          <w:tcPr>
            <w:tcW w:w="2689" w:type="dxa"/>
            <w:shd w:val="clear" w:color="auto" w:fill="auto"/>
          </w:tcPr>
          <w:p w14:paraId="0DE5E8BB" w14:textId="77777777" w:rsidR="00896135" w:rsidRPr="008E7244" w:rsidRDefault="00896135" w:rsidP="008E7244">
            <w:pPr>
              <w:pStyle w:val="TableText"/>
            </w:pPr>
            <w:r w:rsidRPr="008E7244">
              <w:t>Care and support</w:t>
            </w:r>
          </w:p>
        </w:tc>
        <w:tc>
          <w:tcPr>
            <w:tcW w:w="2690" w:type="dxa"/>
            <w:shd w:val="clear" w:color="auto" w:fill="auto"/>
          </w:tcPr>
          <w:p w14:paraId="481E0CF3" w14:textId="77777777" w:rsidR="00896135" w:rsidRPr="008E7244" w:rsidRDefault="00896135" w:rsidP="00F12314">
            <w:pPr>
              <w:pStyle w:val="TableText"/>
              <w:jc w:val="right"/>
            </w:pPr>
            <w:r w:rsidRPr="008E7244">
              <w:t>417.51</w:t>
            </w:r>
          </w:p>
        </w:tc>
        <w:tc>
          <w:tcPr>
            <w:tcW w:w="2690" w:type="dxa"/>
            <w:shd w:val="clear" w:color="auto" w:fill="auto"/>
          </w:tcPr>
          <w:p w14:paraId="43E396E6" w14:textId="77777777" w:rsidR="00896135" w:rsidRPr="008E7244" w:rsidRDefault="00896135" w:rsidP="00F12314">
            <w:pPr>
              <w:pStyle w:val="TableText"/>
              <w:jc w:val="right"/>
            </w:pPr>
            <w:r w:rsidRPr="008E7244">
              <w:t>7%</w:t>
            </w:r>
          </w:p>
        </w:tc>
      </w:tr>
      <w:tr w:rsidR="00896135" w14:paraId="09EF134A" w14:textId="77777777" w:rsidTr="008E7244">
        <w:tc>
          <w:tcPr>
            <w:tcW w:w="2689" w:type="dxa"/>
            <w:shd w:val="clear" w:color="auto" w:fill="auto"/>
          </w:tcPr>
          <w:p w14:paraId="415089E1" w14:textId="77777777" w:rsidR="00896135" w:rsidRPr="008E7244" w:rsidRDefault="00896135" w:rsidP="008E7244">
            <w:pPr>
              <w:pStyle w:val="TableText"/>
            </w:pPr>
            <w:r w:rsidRPr="008E7244">
              <w:t>Corporate and other</w:t>
            </w:r>
          </w:p>
        </w:tc>
        <w:tc>
          <w:tcPr>
            <w:tcW w:w="2690" w:type="dxa"/>
            <w:shd w:val="clear" w:color="auto" w:fill="auto"/>
          </w:tcPr>
          <w:p w14:paraId="49C6433F" w14:textId="77777777" w:rsidR="00896135" w:rsidRPr="008E7244" w:rsidRDefault="00896135" w:rsidP="00F12314">
            <w:pPr>
              <w:pStyle w:val="TableText"/>
              <w:jc w:val="right"/>
            </w:pPr>
            <w:r w:rsidRPr="008E7244">
              <w:t>932.45</w:t>
            </w:r>
          </w:p>
        </w:tc>
        <w:tc>
          <w:tcPr>
            <w:tcW w:w="2690" w:type="dxa"/>
            <w:shd w:val="clear" w:color="auto" w:fill="auto"/>
          </w:tcPr>
          <w:p w14:paraId="560E9ECD" w14:textId="77777777" w:rsidR="00896135" w:rsidRPr="008E7244" w:rsidRDefault="00896135" w:rsidP="00F12314">
            <w:pPr>
              <w:pStyle w:val="TableText"/>
              <w:jc w:val="right"/>
            </w:pPr>
            <w:r w:rsidRPr="008E7244">
              <w:t>15%</w:t>
            </w:r>
          </w:p>
        </w:tc>
      </w:tr>
      <w:tr w:rsidR="00896135" w14:paraId="668414D9" w14:textId="77777777" w:rsidTr="008E7244">
        <w:tc>
          <w:tcPr>
            <w:tcW w:w="2689" w:type="dxa"/>
            <w:shd w:val="clear" w:color="auto" w:fill="auto"/>
          </w:tcPr>
          <w:p w14:paraId="33C3B82E" w14:textId="77777777" w:rsidR="00896135" w:rsidRPr="008E7244" w:rsidRDefault="00896135" w:rsidP="008E7244">
            <w:pPr>
              <w:pStyle w:val="TableText"/>
            </w:pPr>
            <w:r w:rsidRPr="008E7244">
              <w:t>Midwifery</w:t>
            </w:r>
          </w:p>
        </w:tc>
        <w:tc>
          <w:tcPr>
            <w:tcW w:w="2690" w:type="dxa"/>
            <w:shd w:val="clear" w:color="auto" w:fill="auto"/>
          </w:tcPr>
          <w:p w14:paraId="767D7C52" w14:textId="77777777" w:rsidR="00896135" w:rsidRPr="008E7244" w:rsidRDefault="00896135" w:rsidP="00F12314">
            <w:pPr>
              <w:pStyle w:val="TableText"/>
              <w:jc w:val="right"/>
            </w:pPr>
            <w:r w:rsidRPr="008E7244">
              <w:t>119.74</w:t>
            </w:r>
          </w:p>
        </w:tc>
        <w:tc>
          <w:tcPr>
            <w:tcW w:w="2690" w:type="dxa"/>
            <w:shd w:val="clear" w:color="auto" w:fill="auto"/>
          </w:tcPr>
          <w:p w14:paraId="47175E29" w14:textId="77777777" w:rsidR="00896135" w:rsidRPr="008E7244" w:rsidRDefault="00896135" w:rsidP="00F12314">
            <w:pPr>
              <w:pStyle w:val="TableText"/>
              <w:jc w:val="right"/>
            </w:pPr>
            <w:r w:rsidRPr="008E7244">
              <w:t>2%</w:t>
            </w:r>
          </w:p>
        </w:tc>
      </w:tr>
      <w:tr w:rsidR="00896135" w14:paraId="154E75D4" w14:textId="77777777" w:rsidTr="008E7244">
        <w:tc>
          <w:tcPr>
            <w:tcW w:w="2689" w:type="dxa"/>
            <w:shd w:val="clear" w:color="auto" w:fill="auto"/>
          </w:tcPr>
          <w:p w14:paraId="7420AD62" w14:textId="77777777" w:rsidR="00896135" w:rsidRPr="008E7244" w:rsidRDefault="00896135" w:rsidP="008E7244">
            <w:pPr>
              <w:pStyle w:val="TableText"/>
            </w:pPr>
            <w:r w:rsidRPr="008E7244">
              <w:t>Nursing</w:t>
            </w:r>
          </w:p>
        </w:tc>
        <w:tc>
          <w:tcPr>
            <w:tcW w:w="2690" w:type="dxa"/>
            <w:shd w:val="clear" w:color="auto" w:fill="auto"/>
          </w:tcPr>
          <w:p w14:paraId="24A87FAA" w14:textId="77777777" w:rsidR="00896135" w:rsidRPr="008E7244" w:rsidRDefault="00896135" w:rsidP="00F12314">
            <w:pPr>
              <w:pStyle w:val="TableText"/>
              <w:jc w:val="right"/>
            </w:pPr>
            <w:r w:rsidRPr="008E7244">
              <w:t>2,238.62</w:t>
            </w:r>
          </w:p>
        </w:tc>
        <w:tc>
          <w:tcPr>
            <w:tcW w:w="2690" w:type="dxa"/>
            <w:shd w:val="clear" w:color="auto" w:fill="auto"/>
          </w:tcPr>
          <w:p w14:paraId="6F36685C" w14:textId="77777777" w:rsidR="00896135" w:rsidRPr="008E7244" w:rsidRDefault="00896135" w:rsidP="00F12314">
            <w:pPr>
              <w:pStyle w:val="TableText"/>
              <w:jc w:val="right"/>
            </w:pPr>
            <w:r w:rsidRPr="008E7244">
              <w:t>36%</w:t>
            </w:r>
          </w:p>
        </w:tc>
      </w:tr>
      <w:tr w:rsidR="00896135" w14:paraId="0AFE342C" w14:textId="77777777" w:rsidTr="008E7244">
        <w:tc>
          <w:tcPr>
            <w:tcW w:w="2689" w:type="dxa"/>
            <w:shd w:val="clear" w:color="auto" w:fill="auto"/>
          </w:tcPr>
          <w:p w14:paraId="7E0B08C6" w14:textId="7B8B7E75" w:rsidR="00896135" w:rsidRPr="008E7244" w:rsidRDefault="00896135" w:rsidP="008E7244">
            <w:pPr>
              <w:pStyle w:val="TableText"/>
            </w:pPr>
            <w:r w:rsidRPr="008E7244">
              <w:t xml:space="preserve">Resident </w:t>
            </w:r>
            <w:r w:rsidR="00BF3B28" w:rsidRPr="008E7244">
              <w:t>medical offic</w:t>
            </w:r>
            <w:r w:rsidRPr="008E7244">
              <w:t xml:space="preserve">er </w:t>
            </w:r>
          </w:p>
        </w:tc>
        <w:tc>
          <w:tcPr>
            <w:tcW w:w="2690" w:type="dxa"/>
            <w:shd w:val="clear" w:color="auto" w:fill="auto"/>
          </w:tcPr>
          <w:p w14:paraId="085C8E11" w14:textId="77777777" w:rsidR="00896135" w:rsidRPr="008E7244" w:rsidRDefault="00896135" w:rsidP="00F12314">
            <w:pPr>
              <w:pStyle w:val="TableText"/>
              <w:jc w:val="right"/>
            </w:pPr>
            <w:r w:rsidRPr="008E7244">
              <w:t>500.07</w:t>
            </w:r>
          </w:p>
        </w:tc>
        <w:tc>
          <w:tcPr>
            <w:tcW w:w="2690" w:type="dxa"/>
            <w:shd w:val="clear" w:color="auto" w:fill="auto"/>
          </w:tcPr>
          <w:p w14:paraId="61C2D8A6" w14:textId="77777777" w:rsidR="00896135" w:rsidRPr="008E7244" w:rsidRDefault="00896135" w:rsidP="00F12314">
            <w:pPr>
              <w:pStyle w:val="TableText"/>
              <w:jc w:val="right"/>
            </w:pPr>
            <w:r w:rsidRPr="008E7244">
              <w:t>8%</w:t>
            </w:r>
          </w:p>
        </w:tc>
      </w:tr>
      <w:tr w:rsidR="00896135" w14:paraId="621ED8DE" w14:textId="77777777" w:rsidTr="008E7244">
        <w:tc>
          <w:tcPr>
            <w:tcW w:w="2689" w:type="dxa"/>
            <w:shd w:val="clear" w:color="auto" w:fill="auto"/>
          </w:tcPr>
          <w:p w14:paraId="5524239F" w14:textId="317F5633" w:rsidR="00896135" w:rsidRPr="008E7244" w:rsidRDefault="00896135" w:rsidP="008E7244">
            <w:pPr>
              <w:pStyle w:val="TableText"/>
            </w:pPr>
            <w:r w:rsidRPr="008E7244">
              <w:t xml:space="preserve">Senior </w:t>
            </w:r>
            <w:r w:rsidR="00BF3B28" w:rsidRPr="008E7244">
              <w:t>medical offic</w:t>
            </w:r>
            <w:r w:rsidRPr="008E7244">
              <w:t xml:space="preserve">er </w:t>
            </w:r>
          </w:p>
        </w:tc>
        <w:tc>
          <w:tcPr>
            <w:tcW w:w="2690" w:type="dxa"/>
            <w:shd w:val="clear" w:color="auto" w:fill="auto"/>
          </w:tcPr>
          <w:p w14:paraId="667767F8" w14:textId="77777777" w:rsidR="00896135" w:rsidRPr="008E7244" w:rsidRDefault="00896135" w:rsidP="00F12314">
            <w:pPr>
              <w:pStyle w:val="TableText"/>
              <w:jc w:val="right"/>
            </w:pPr>
            <w:r w:rsidRPr="008E7244">
              <w:t>1,136.05</w:t>
            </w:r>
          </w:p>
        </w:tc>
        <w:tc>
          <w:tcPr>
            <w:tcW w:w="2690" w:type="dxa"/>
            <w:shd w:val="clear" w:color="auto" w:fill="auto"/>
          </w:tcPr>
          <w:p w14:paraId="0DDC93CD" w14:textId="77777777" w:rsidR="00896135" w:rsidRPr="008E7244" w:rsidRDefault="00896135" w:rsidP="00F12314">
            <w:pPr>
              <w:pStyle w:val="TableText"/>
              <w:jc w:val="right"/>
            </w:pPr>
            <w:r w:rsidRPr="008E7244">
              <w:t>18%</w:t>
            </w:r>
          </w:p>
        </w:tc>
      </w:tr>
      <w:tr w:rsidR="00896135" w:rsidRPr="008E7244" w14:paraId="4DE0C23C" w14:textId="77777777" w:rsidTr="00F12314">
        <w:tc>
          <w:tcPr>
            <w:tcW w:w="2689" w:type="dxa"/>
            <w:shd w:val="clear" w:color="auto" w:fill="F2F2F2" w:themeFill="background1" w:themeFillShade="F2"/>
          </w:tcPr>
          <w:p w14:paraId="54729BBB" w14:textId="77777777" w:rsidR="00896135" w:rsidRPr="008E7244" w:rsidRDefault="00896135" w:rsidP="008E7244">
            <w:pPr>
              <w:pStyle w:val="TableText"/>
              <w:rPr>
                <w:b/>
              </w:rPr>
            </w:pPr>
            <w:r w:rsidRPr="008E7244">
              <w:rPr>
                <w:b/>
              </w:rPr>
              <w:t>TOTAL</w:t>
            </w:r>
          </w:p>
        </w:tc>
        <w:tc>
          <w:tcPr>
            <w:tcW w:w="2690" w:type="dxa"/>
            <w:shd w:val="clear" w:color="auto" w:fill="F2F2F2" w:themeFill="background1" w:themeFillShade="F2"/>
          </w:tcPr>
          <w:p w14:paraId="4BCD4207" w14:textId="77777777" w:rsidR="00896135" w:rsidRPr="008E7244" w:rsidRDefault="00896135" w:rsidP="00F12314">
            <w:pPr>
              <w:pStyle w:val="TableText"/>
              <w:jc w:val="right"/>
              <w:rPr>
                <w:b/>
              </w:rPr>
            </w:pPr>
            <w:r w:rsidRPr="008E7244">
              <w:rPr>
                <w:b/>
              </w:rPr>
              <w:t>6,228.10</w:t>
            </w:r>
          </w:p>
        </w:tc>
        <w:tc>
          <w:tcPr>
            <w:tcW w:w="2690" w:type="dxa"/>
            <w:shd w:val="clear" w:color="auto" w:fill="F2F2F2" w:themeFill="background1" w:themeFillShade="F2"/>
          </w:tcPr>
          <w:p w14:paraId="1C6AF25E" w14:textId="77777777" w:rsidR="00896135" w:rsidRPr="008E7244" w:rsidRDefault="00896135" w:rsidP="00F12314">
            <w:pPr>
              <w:pStyle w:val="TableText"/>
              <w:jc w:val="right"/>
              <w:rPr>
                <w:b/>
              </w:rPr>
            </w:pPr>
          </w:p>
        </w:tc>
      </w:tr>
    </w:tbl>
    <w:p w14:paraId="42885994" w14:textId="7D1ABA91" w:rsidR="00896135" w:rsidRDefault="00896135" w:rsidP="00896135">
      <w:pPr>
        <w:pStyle w:val="Source"/>
      </w:pPr>
      <w:r>
        <w:t xml:space="preserve">Source: Technical Advisory Services Health Workforce Information Programme </w:t>
      </w:r>
    </w:p>
    <w:p w14:paraId="03E15E2F" w14:textId="77777777" w:rsidR="00896135" w:rsidRPr="00BB028B" w:rsidRDefault="00896135" w:rsidP="00896135"/>
    <w:p w14:paraId="77E6D543" w14:textId="1159D29D" w:rsidR="00896135" w:rsidRDefault="00F12314" w:rsidP="00896135">
      <w:r w:rsidRPr="00F12314">
        <w:fldChar w:fldCharType="begin"/>
      </w:r>
      <w:r w:rsidRPr="00F12314">
        <w:instrText xml:space="preserve"> REF _Ref54198637 \h  \* MERGEFORMAT </w:instrText>
      </w:r>
      <w:r w:rsidRPr="00F12314">
        <w:fldChar w:fldCharType="separate"/>
      </w:r>
      <w:r w:rsidR="00884C99" w:rsidRPr="002A29A0">
        <w:rPr>
          <w:rFonts w:eastAsia="Arial"/>
        </w:rPr>
        <w:t xml:space="preserve">Table </w:t>
      </w:r>
      <w:r w:rsidR="00884C99">
        <w:rPr>
          <w:rFonts w:eastAsia="Arial"/>
          <w:noProof/>
        </w:rPr>
        <w:t>8</w:t>
      </w:r>
      <w:r w:rsidRPr="00F12314">
        <w:fldChar w:fldCharType="end"/>
      </w:r>
      <w:r w:rsidRPr="00F12314">
        <w:t xml:space="preserve"> </w:t>
      </w:r>
      <w:r w:rsidR="00896135">
        <w:t>shows the total salary cost by DHB and as a proportion of total FTEs and total DHB population. The largest salary cost is borne by Auckland ($911 million), followed by Canterbury ($781 million), Counties Manukau ($646 million) and Waitemata ($608 million). Wairarapa has the smallest salary cost ($42 million)</w:t>
      </w:r>
      <w:r w:rsidR="007B25BC">
        <w:t>,</w:t>
      </w:r>
      <w:r w:rsidR="00896135">
        <w:t xml:space="preserve"> followed by West Coast ($54 million).</w:t>
      </w:r>
    </w:p>
    <w:p w14:paraId="6D906146" w14:textId="77777777" w:rsidR="00896135" w:rsidRDefault="00896135" w:rsidP="00896135"/>
    <w:p w14:paraId="56F0B709" w14:textId="23D18E8D" w:rsidR="00896135" w:rsidRDefault="00896135" w:rsidP="00896135">
      <w:r>
        <w:t xml:space="preserve">Salary costs as a proportion of FTE count are highest for Counties Manukau ($89,207 per FTE), followed by South Canterbury ($88,559) and Auckland ($88,390). Costs are the </w:t>
      </w:r>
      <w:r w:rsidR="00EB4519">
        <w:t xml:space="preserve">lowest </w:t>
      </w:r>
      <w:r>
        <w:t>at West Coast ($73,419) and Wairarapa ($77,716).</w:t>
      </w:r>
    </w:p>
    <w:p w14:paraId="6BAAB0CE" w14:textId="77777777" w:rsidR="00896135" w:rsidRDefault="00896135" w:rsidP="00896135"/>
    <w:p w14:paraId="0E4DB531" w14:textId="15F1BBBA" w:rsidR="00896135" w:rsidRPr="007213CE" w:rsidRDefault="00896135" w:rsidP="00896135">
      <w:r>
        <w:t>Salary costs as a proportion of the DHB population are highest for West Coast ($1,685 per DHB population), followed by Auckland ($1,669) and Capital and Coast ($1,485). Salary costs per proportion of the DHB population are lowest for Wairarapa ($995) and South Canterbury ($963</w:t>
      </w:r>
      <w:r w:rsidR="00EB4519">
        <w:t>)</w:t>
      </w:r>
      <w:r>
        <w:t xml:space="preserve">. </w:t>
      </w:r>
    </w:p>
    <w:p w14:paraId="562CD112" w14:textId="77777777" w:rsidR="00896135" w:rsidRDefault="00896135" w:rsidP="00896135">
      <w:r>
        <w:br w:type="page"/>
      </w:r>
    </w:p>
    <w:p w14:paraId="105D8931" w14:textId="20701CAD" w:rsidR="00896135" w:rsidRPr="00FA5118" w:rsidRDefault="00F12314" w:rsidP="00F12314">
      <w:pPr>
        <w:pStyle w:val="Table"/>
        <w:rPr>
          <w:rFonts w:eastAsia="Arial"/>
        </w:rPr>
      </w:pPr>
      <w:bookmarkStart w:id="48" w:name="_Ref54198637"/>
      <w:bookmarkStart w:id="49" w:name="_Toc54706256"/>
      <w:r w:rsidRPr="002A29A0">
        <w:rPr>
          <w:rFonts w:eastAsia="Arial"/>
        </w:rPr>
        <w:lastRenderedPageBreak/>
        <w:t xml:space="preserve">Table </w:t>
      </w:r>
      <w:r w:rsidRPr="002A29A0">
        <w:rPr>
          <w:rFonts w:eastAsia="Arial"/>
        </w:rPr>
        <w:fldChar w:fldCharType="begin"/>
      </w:r>
      <w:r w:rsidRPr="002A29A0">
        <w:rPr>
          <w:rFonts w:eastAsia="Arial"/>
        </w:rPr>
        <w:instrText xml:space="preserve"> SEQ Table \* ARABIC </w:instrText>
      </w:r>
      <w:r w:rsidRPr="002A29A0">
        <w:rPr>
          <w:rFonts w:eastAsia="Arial"/>
        </w:rPr>
        <w:fldChar w:fldCharType="separate"/>
      </w:r>
      <w:r w:rsidR="00884C99">
        <w:rPr>
          <w:rFonts w:eastAsia="Arial"/>
          <w:noProof/>
        </w:rPr>
        <w:t>8</w:t>
      </w:r>
      <w:r w:rsidRPr="002A29A0">
        <w:rPr>
          <w:rFonts w:eastAsia="Arial"/>
        </w:rPr>
        <w:fldChar w:fldCharType="end"/>
      </w:r>
      <w:bookmarkEnd w:id="48"/>
      <w:r w:rsidRPr="002A29A0">
        <w:rPr>
          <w:rFonts w:eastAsia="Arial"/>
        </w:rPr>
        <w:t xml:space="preserve">: </w:t>
      </w:r>
      <w:r w:rsidR="00896135" w:rsidRPr="00FA5118">
        <w:rPr>
          <w:rFonts w:eastAsia="Arial"/>
        </w:rPr>
        <w:t>Salary costs by DHBs as at 31 December 2019</w:t>
      </w:r>
      <w:bookmarkEnd w:id="49"/>
    </w:p>
    <w:tbl>
      <w:tblPr>
        <w:tblW w:w="8320"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8"/>
        <w:gridCol w:w="2017"/>
        <w:gridCol w:w="2017"/>
        <w:gridCol w:w="2018"/>
      </w:tblGrid>
      <w:tr w:rsidR="00896135" w:rsidRPr="008E7244" w14:paraId="763FB536" w14:textId="77777777" w:rsidTr="008E7244">
        <w:tc>
          <w:tcPr>
            <w:tcW w:w="2268" w:type="dxa"/>
            <w:shd w:val="clear" w:color="auto" w:fill="D9D9D9" w:themeFill="background1" w:themeFillShade="D9"/>
          </w:tcPr>
          <w:p w14:paraId="6F64D49F" w14:textId="77777777" w:rsidR="00896135" w:rsidRPr="008E7244" w:rsidRDefault="00896135" w:rsidP="008E7244">
            <w:pPr>
              <w:pStyle w:val="TableText"/>
              <w:rPr>
                <w:b/>
              </w:rPr>
            </w:pPr>
            <w:r w:rsidRPr="008E7244">
              <w:rPr>
                <w:b/>
              </w:rPr>
              <w:t>DHBs</w:t>
            </w:r>
          </w:p>
        </w:tc>
        <w:tc>
          <w:tcPr>
            <w:tcW w:w="2017" w:type="dxa"/>
            <w:shd w:val="clear" w:color="auto" w:fill="D9D9D9" w:themeFill="background1" w:themeFillShade="D9"/>
          </w:tcPr>
          <w:p w14:paraId="0A3DBDF8" w14:textId="75BB82A4" w:rsidR="00896135" w:rsidRPr="008E7244" w:rsidRDefault="00896135" w:rsidP="00F12314">
            <w:pPr>
              <w:pStyle w:val="TableText"/>
              <w:jc w:val="right"/>
              <w:rPr>
                <w:b/>
              </w:rPr>
            </w:pPr>
            <w:r w:rsidRPr="008E7244">
              <w:rPr>
                <w:b/>
              </w:rPr>
              <w:t>DHB salary cost ($ millions)</w:t>
            </w:r>
          </w:p>
        </w:tc>
        <w:tc>
          <w:tcPr>
            <w:tcW w:w="2017" w:type="dxa"/>
            <w:shd w:val="clear" w:color="auto" w:fill="D9D9D9" w:themeFill="background1" w:themeFillShade="D9"/>
          </w:tcPr>
          <w:p w14:paraId="7DAD7D46" w14:textId="77777777" w:rsidR="00896135" w:rsidRPr="008E7244" w:rsidRDefault="00896135" w:rsidP="00F12314">
            <w:pPr>
              <w:pStyle w:val="TableText"/>
              <w:jc w:val="right"/>
              <w:rPr>
                <w:b/>
              </w:rPr>
            </w:pPr>
            <w:r w:rsidRPr="008E7244">
              <w:rPr>
                <w:b/>
              </w:rPr>
              <w:t>DHB salary cost per FTE count ($)</w:t>
            </w:r>
          </w:p>
        </w:tc>
        <w:tc>
          <w:tcPr>
            <w:tcW w:w="2018" w:type="dxa"/>
            <w:shd w:val="clear" w:color="auto" w:fill="D9D9D9" w:themeFill="background1" w:themeFillShade="D9"/>
          </w:tcPr>
          <w:p w14:paraId="03ABF0C0" w14:textId="77777777" w:rsidR="00896135" w:rsidRPr="008E7244" w:rsidRDefault="00896135" w:rsidP="00F12314">
            <w:pPr>
              <w:pStyle w:val="TableText"/>
              <w:jc w:val="right"/>
              <w:rPr>
                <w:b/>
              </w:rPr>
            </w:pPr>
            <w:r w:rsidRPr="008E7244">
              <w:rPr>
                <w:b/>
              </w:rPr>
              <w:t>DHB salary cost per DHB population ($)</w:t>
            </w:r>
          </w:p>
        </w:tc>
      </w:tr>
      <w:tr w:rsidR="00896135" w14:paraId="1C8668E1" w14:textId="77777777" w:rsidTr="008E7244">
        <w:tc>
          <w:tcPr>
            <w:tcW w:w="2268" w:type="dxa"/>
            <w:shd w:val="clear" w:color="auto" w:fill="auto"/>
          </w:tcPr>
          <w:p w14:paraId="0517D30E" w14:textId="77777777" w:rsidR="00896135" w:rsidRPr="00A053D0" w:rsidRDefault="00896135" w:rsidP="008E7244">
            <w:pPr>
              <w:pStyle w:val="TableText"/>
            </w:pPr>
            <w:r w:rsidRPr="00A053D0">
              <w:t>Auckland</w:t>
            </w:r>
          </w:p>
        </w:tc>
        <w:tc>
          <w:tcPr>
            <w:tcW w:w="2017" w:type="dxa"/>
            <w:shd w:val="clear" w:color="auto" w:fill="auto"/>
            <w:vAlign w:val="bottom"/>
          </w:tcPr>
          <w:p w14:paraId="7E086C11" w14:textId="77777777" w:rsidR="00896135" w:rsidRPr="002F2F03" w:rsidRDefault="00896135" w:rsidP="00F12314">
            <w:pPr>
              <w:pStyle w:val="TableText"/>
              <w:jc w:val="right"/>
            </w:pPr>
            <w:r w:rsidRPr="002F2F03">
              <w:t>911.0</w:t>
            </w:r>
          </w:p>
        </w:tc>
        <w:tc>
          <w:tcPr>
            <w:tcW w:w="2017" w:type="dxa"/>
            <w:shd w:val="clear" w:color="auto" w:fill="auto"/>
            <w:vAlign w:val="bottom"/>
          </w:tcPr>
          <w:p w14:paraId="2426B9EB" w14:textId="77777777" w:rsidR="00896135" w:rsidRPr="002F2F03" w:rsidRDefault="00896135" w:rsidP="00F12314">
            <w:pPr>
              <w:pStyle w:val="TableText"/>
              <w:jc w:val="right"/>
            </w:pPr>
            <w:r w:rsidRPr="002F2F03">
              <w:t>88,390</w:t>
            </w:r>
          </w:p>
        </w:tc>
        <w:tc>
          <w:tcPr>
            <w:tcW w:w="2018" w:type="dxa"/>
            <w:shd w:val="clear" w:color="auto" w:fill="auto"/>
            <w:vAlign w:val="bottom"/>
          </w:tcPr>
          <w:p w14:paraId="7CB73C04" w14:textId="77777777" w:rsidR="00896135" w:rsidRPr="002F2F03" w:rsidRDefault="00896135" w:rsidP="00F12314">
            <w:pPr>
              <w:pStyle w:val="TableText"/>
              <w:jc w:val="right"/>
            </w:pPr>
            <w:r w:rsidRPr="002F2F03">
              <w:t>1,670</w:t>
            </w:r>
          </w:p>
        </w:tc>
      </w:tr>
      <w:tr w:rsidR="00896135" w14:paraId="4B9B312E" w14:textId="77777777" w:rsidTr="008E7244">
        <w:tc>
          <w:tcPr>
            <w:tcW w:w="2268" w:type="dxa"/>
            <w:shd w:val="clear" w:color="auto" w:fill="auto"/>
          </w:tcPr>
          <w:p w14:paraId="6B724A4A" w14:textId="77777777" w:rsidR="00896135" w:rsidRPr="00A053D0" w:rsidRDefault="00896135" w:rsidP="008E7244">
            <w:pPr>
              <w:pStyle w:val="TableText"/>
            </w:pPr>
            <w:r w:rsidRPr="00A053D0">
              <w:t>Bay of Plenty</w:t>
            </w:r>
          </w:p>
        </w:tc>
        <w:tc>
          <w:tcPr>
            <w:tcW w:w="2017" w:type="dxa"/>
            <w:shd w:val="clear" w:color="auto" w:fill="auto"/>
            <w:vAlign w:val="bottom"/>
          </w:tcPr>
          <w:p w14:paraId="1A98EED3" w14:textId="77777777" w:rsidR="00896135" w:rsidRPr="002F2F03" w:rsidRDefault="00896135" w:rsidP="00F12314">
            <w:pPr>
              <w:pStyle w:val="TableText"/>
              <w:jc w:val="right"/>
            </w:pPr>
            <w:r w:rsidRPr="002F2F03">
              <w:t>261.6</w:t>
            </w:r>
          </w:p>
        </w:tc>
        <w:tc>
          <w:tcPr>
            <w:tcW w:w="2017" w:type="dxa"/>
            <w:shd w:val="clear" w:color="auto" w:fill="auto"/>
            <w:vAlign w:val="bottom"/>
          </w:tcPr>
          <w:p w14:paraId="780EC487" w14:textId="77777777" w:rsidR="00896135" w:rsidRPr="002F2F03" w:rsidRDefault="00896135" w:rsidP="00F12314">
            <w:pPr>
              <w:pStyle w:val="TableText"/>
              <w:jc w:val="right"/>
            </w:pPr>
            <w:r w:rsidRPr="002F2F03">
              <w:t>85,252</w:t>
            </w:r>
          </w:p>
        </w:tc>
        <w:tc>
          <w:tcPr>
            <w:tcW w:w="2018" w:type="dxa"/>
            <w:shd w:val="clear" w:color="auto" w:fill="auto"/>
            <w:vAlign w:val="bottom"/>
          </w:tcPr>
          <w:p w14:paraId="699671DE" w14:textId="77777777" w:rsidR="00896135" w:rsidRPr="002F2F03" w:rsidRDefault="00896135" w:rsidP="00F12314">
            <w:pPr>
              <w:pStyle w:val="TableText"/>
              <w:jc w:val="right"/>
            </w:pPr>
            <w:r w:rsidRPr="002F2F03">
              <w:t>1,097</w:t>
            </w:r>
          </w:p>
        </w:tc>
      </w:tr>
      <w:tr w:rsidR="00896135" w14:paraId="1A44E09F" w14:textId="77777777" w:rsidTr="008E7244">
        <w:tc>
          <w:tcPr>
            <w:tcW w:w="2268" w:type="dxa"/>
            <w:shd w:val="clear" w:color="auto" w:fill="auto"/>
          </w:tcPr>
          <w:p w14:paraId="1BBAA241" w14:textId="77777777" w:rsidR="00896135" w:rsidRPr="00A053D0" w:rsidRDefault="00896135" w:rsidP="008E7244">
            <w:pPr>
              <w:pStyle w:val="TableText"/>
            </w:pPr>
            <w:r w:rsidRPr="00A053D0">
              <w:t>Canterbury</w:t>
            </w:r>
          </w:p>
        </w:tc>
        <w:tc>
          <w:tcPr>
            <w:tcW w:w="2017" w:type="dxa"/>
            <w:shd w:val="clear" w:color="auto" w:fill="auto"/>
            <w:vAlign w:val="bottom"/>
          </w:tcPr>
          <w:p w14:paraId="61EF6AB5" w14:textId="77777777" w:rsidR="00896135" w:rsidRPr="002F2F03" w:rsidRDefault="00896135" w:rsidP="00F12314">
            <w:pPr>
              <w:pStyle w:val="TableText"/>
              <w:jc w:val="right"/>
            </w:pPr>
            <w:r w:rsidRPr="002F2F03">
              <w:t>780.5</w:t>
            </w:r>
          </w:p>
        </w:tc>
        <w:tc>
          <w:tcPr>
            <w:tcW w:w="2017" w:type="dxa"/>
            <w:shd w:val="clear" w:color="auto" w:fill="auto"/>
            <w:vAlign w:val="bottom"/>
          </w:tcPr>
          <w:p w14:paraId="38DD8C74" w14:textId="77777777" w:rsidR="00896135" w:rsidRPr="002F2F03" w:rsidRDefault="00896135" w:rsidP="00F12314">
            <w:pPr>
              <w:pStyle w:val="TableText"/>
              <w:jc w:val="right"/>
            </w:pPr>
            <w:r w:rsidRPr="002F2F03">
              <w:t>80,524</w:t>
            </w:r>
          </w:p>
        </w:tc>
        <w:tc>
          <w:tcPr>
            <w:tcW w:w="2018" w:type="dxa"/>
            <w:shd w:val="clear" w:color="auto" w:fill="auto"/>
            <w:vAlign w:val="bottom"/>
          </w:tcPr>
          <w:p w14:paraId="26620ACB" w14:textId="77777777" w:rsidR="00896135" w:rsidRPr="002F2F03" w:rsidRDefault="00896135" w:rsidP="00F12314">
            <w:pPr>
              <w:pStyle w:val="TableText"/>
              <w:jc w:val="right"/>
            </w:pPr>
            <w:r w:rsidRPr="002F2F03">
              <w:t>1,374</w:t>
            </w:r>
          </w:p>
        </w:tc>
      </w:tr>
      <w:tr w:rsidR="00896135" w14:paraId="7A091471" w14:textId="77777777" w:rsidTr="008E7244">
        <w:tc>
          <w:tcPr>
            <w:tcW w:w="2268" w:type="dxa"/>
            <w:shd w:val="clear" w:color="auto" w:fill="auto"/>
          </w:tcPr>
          <w:p w14:paraId="5F69E331" w14:textId="77777777" w:rsidR="00896135" w:rsidRPr="00A053D0" w:rsidRDefault="00896135" w:rsidP="008E7244">
            <w:pPr>
              <w:pStyle w:val="TableText"/>
            </w:pPr>
            <w:r w:rsidRPr="00A053D0">
              <w:t>Capital and Coast</w:t>
            </w:r>
          </w:p>
        </w:tc>
        <w:tc>
          <w:tcPr>
            <w:tcW w:w="2017" w:type="dxa"/>
            <w:shd w:val="clear" w:color="auto" w:fill="auto"/>
            <w:vAlign w:val="bottom"/>
          </w:tcPr>
          <w:p w14:paraId="7C3DA7D0" w14:textId="77777777" w:rsidR="00896135" w:rsidRPr="002F2F03" w:rsidRDefault="00896135" w:rsidP="00F12314">
            <w:pPr>
              <w:pStyle w:val="TableText"/>
              <w:jc w:val="right"/>
            </w:pPr>
            <w:r w:rsidRPr="002F2F03">
              <w:t>472.4</w:t>
            </w:r>
          </w:p>
        </w:tc>
        <w:tc>
          <w:tcPr>
            <w:tcW w:w="2017" w:type="dxa"/>
            <w:shd w:val="clear" w:color="auto" w:fill="auto"/>
            <w:vAlign w:val="bottom"/>
          </w:tcPr>
          <w:p w14:paraId="645BCEAC" w14:textId="77777777" w:rsidR="00896135" w:rsidRPr="002F2F03" w:rsidRDefault="00896135" w:rsidP="00F12314">
            <w:pPr>
              <w:pStyle w:val="TableText"/>
              <w:jc w:val="right"/>
            </w:pPr>
            <w:r w:rsidRPr="002F2F03">
              <w:t>87,767</w:t>
            </w:r>
          </w:p>
        </w:tc>
        <w:tc>
          <w:tcPr>
            <w:tcW w:w="2018" w:type="dxa"/>
            <w:shd w:val="clear" w:color="auto" w:fill="auto"/>
            <w:vAlign w:val="bottom"/>
          </w:tcPr>
          <w:p w14:paraId="31147CEB" w14:textId="77777777" w:rsidR="00896135" w:rsidRPr="002F2F03" w:rsidRDefault="00896135" w:rsidP="00F12314">
            <w:pPr>
              <w:pStyle w:val="TableText"/>
              <w:jc w:val="right"/>
            </w:pPr>
            <w:r w:rsidRPr="002F2F03">
              <w:t>1,485</w:t>
            </w:r>
          </w:p>
        </w:tc>
      </w:tr>
      <w:tr w:rsidR="00896135" w14:paraId="0683643A" w14:textId="77777777" w:rsidTr="008E7244">
        <w:tc>
          <w:tcPr>
            <w:tcW w:w="2268" w:type="dxa"/>
            <w:shd w:val="clear" w:color="auto" w:fill="auto"/>
          </w:tcPr>
          <w:p w14:paraId="4962216B" w14:textId="77777777" w:rsidR="00896135" w:rsidRPr="00A053D0" w:rsidRDefault="00896135" w:rsidP="008E7244">
            <w:pPr>
              <w:pStyle w:val="TableText"/>
            </w:pPr>
            <w:r w:rsidRPr="00A053D0">
              <w:t>Counties Manukau</w:t>
            </w:r>
          </w:p>
        </w:tc>
        <w:tc>
          <w:tcPr>
            <w:tcW w:w="2017" w:type="dxa"/>
            <w:shd w:val="clear" w:color="auto" w:fill="auto"/>
            <w:vAlign w:val="bottom"/>
          </w:tcPr>
          <w:p w14:paraId="54A8F523" w14:textId="77777777" w:rsidR="00896135" w:rsidRPr="002F2F03" w:rsidRDefault="00896135" w:rsidP="00F12314">
            <w:pPr>
              <w:pStyle w:val="TableText"/>
              <w:jc w:val="right"/>
            </w:pPr>
            <w:r w:rsidRPr="002F2F03">
              <w:t>646.0</w:t>
            </w:r>
          </w:p>
        </w:tc>
        <w:tc>
          <w:tcPr>
            <w:tcW w:w="2017" w:type="dxa"/>
            <w:shd w:val="clear" w:color="auto" w:fill="auto"/>
            <w:vAlign w:val="bottom"/>
          </w:tcPr>
          <w:p w14:paraId="70D135CD" w14:textId="77777777" w:rsidR="00896135" w:rsidRPr="002F2F03" w:rsidRDefault="00896135" w:rsidP="00F12314">
            <w:pPr>
              <w:pStyle w:val="TableText"/>
              <w:jc w:val="right"/>
            </w:pPr>
            <w:r w:rsidRPr="002F2F03">
              <w:t>89,207</w:t>
            </w:r>
          </w:p>
        </w:tc>
        <w:tc>
          <w:tcPr>
            <w:tcW w:w="2018" w:type="dxa"/>
            <w:shd w:val="clear" w:color="auto" w:fill="auto"/>
            <w:vAlign w:val="bottom"/>
          </w:tcPr>
          <w:p w14:paraId="2509DD81" w14:textId="77777777" w:rsidR="00896135" w:rsidRPr="002F2F03" w:rsidRDefault="00896135" w:rsidP="00F12314">
            <w:pPr>
              <w:pStyle w:val="TableText"/>
              <w:jc w:val="right"/>
            </w:pPr>
            <w:r w:rsidRPr="002F2F03">
              <w:t>1,147</w:t>
            </w:r>
          </w:p>
        </w:tc>
      </w:tr>
      <w:tr w:rsidR="00896135" w14:paraId="67BC6CDC" w14:textId="77777777" w:rsidTr="008E7244">
        <w:tc>
          <w:tcPr>
            <w:tcW w:w="2268" w:type="dxa"/>
            <w:shd w:val="clear" w:color="auto" w:fill="auto"/>
          </w:tcPr>
          <w:p w14:paraId="79A8A7AF" w14:textId="77777777" w:rsidR="00896135" w:rsidRPr="00A053D0" w:rsidRDefault="00896135" w:rsidP="008E7244">
            <w:pPr>
              <w:pStyle w:val="TableText"/>
            </w:pPr>
            <w:r w:rsidRPr="00A053D0">
              <w:t>Hawke’s Bay</w:t>
            </w:r>
          </w:p>
        </w:tc>
        <w:tc>
          <w:tcPr>
            <w:tcW w:w="2017" w:type="dxa"/>
            <w:shd w:val="clear" w:color="auto" w:fill="auto"/>
            <w:vAlign w:val="bottom"/>
          </w:tcPr>
          <w:p w14:paraId="5635E1A1" w14:textId="77777777" w:rsidR="00896135" w:rsidRPr="002F2F03" w:rsidRDefault="00896135" w:rsidP="00F12314">
            <w:pPr>
              <w:pStyle w:val="TableText"/>
              <w:jc w:val="right"/>
            </w:pPr>
            <w:r w:rsidRPr="002F2F03">
              <w:t>224.1</w:t>
            </w:r>
          </w:p>
        </w:tc>
        <w:tc>
          <w:tcPr>
            <w:tcW w:w="2017" w:type="dxa"/>
            <w:shd w:val="clear" w:color="auto" w:fill="auto"/>
            <w:vAlign w:val="bottom"/>
          </w:tcPr>
          <w:p w14:paraId="6C1DBD78" w14:textId="77777777" w:rsidR="00896135" w:rsidRPr="002F2F03" w:rsidRDefault="00896135" w:rsidP="00F12314">
            <w:pPr>
              <w:pStyle w:val="TableText"/>
              <w:jc w:val="right"/>
            </w:pPr>
            <w:r w:rsidRPr="002F2F03">
              <w:t>81,715</w:t>
            </w:r>
          </w:p>
        </w:tc>
        <w:tc>
          <w:tcPr>
            <w:tcW w:w="2018" w:type="dxa"/>
            <w:shd w:val="clear" w:color="auto" w:fill="auto"/>
            <w:vAlign w:val="bottom"/>
          </w:tcPr>
          <w:p w14:paraId="4BFA9895" w14:textId="77777777" w:rsidR="00896135" w:rsidRPr="002F2F03" w:rsidRDefault="00896135" w:rsidP="00F12314">
            <w:pPr>
              <w:pStyle w:val="TableText"/>
              <w:jc w:val="right"/>
            </w:pPr>
            <w:r w:rsidRPr="002F2F03">
              <w:t>1,353</w:t>
            </w:r>
          </w:p>
        </w:tc>
      </w:tr>
      <w:tr w:rsidR="00896135" w14:paraId="0CF886FF" w14:textId="77777777" w:rsidTr="008E7244">
        <w:tc>
          <w:tcPr>
            <w:tcW w:w="2268" w:type="dxa"/>
            <w:shd w:val="clear" w:color="auto" w:fill="auto"/>
          </w:tcPr>
          <w:p w14:paraId="42A920DE" w14:textId="77777777" w:rsidR="00896135" w:rsidRPr="00A053D0" w:rsidRDefault="00896135" w:rsidP="008E7244">
            <w:pPr>
              <w:pStyle w:val="TableText"/>
            </w:pPr>
            <w:r w:rsidRPr="00A053D0">
              <w:t>Hutt Valley</w:t>
            </w:r>
          </w:p>
        </w:tc>
        <w:tc>
          <w:tcPr>
            <w:tcW w:w="2017" w:type="dxa"/>
            <w:shd w:val="clear" w:color="auto" w:fill="auto"/>
            <w:vAlign w:val="bottom"/>
          </w:tcPr>
          <w:p w14:paraId="6D5EC288" w14:textId="77777777" w:rsidR="00896135" w:rsidRPr="002F2F03" w:rsidRDefault="00896135" w:rsidP="00F12314">
            <w:pPr>
              <w:pStyle w:val="TableText"/>
              <w:jc w:val="right"/>
            </w:pPr>
            <w:r w:rsidRPr="002F2F03">
              <w:t>178.6</w:t>
            </w:r>
          </w:p>
        </w:tc>
        <w:tc>
          <w:tcPr>
            <w:tcW w:w="2017" w:type="dxa"/>
            <w:shd w:val="clear" w:color="auto" w:fill="auto"/>
            <w:vAlign w:val="bottom"/>
          </w:tcPr>
          <w:p w14:paraId="6759CC19" w14:textId="77777777" w:rsidR="00896135" w:rsidRPr="002F2F03" w:rsidRDefault="00896135" w:rsidP="00F12314">
            <w:pPr>
              <w:pStyle w:val="TableText"/>
              <w:jc w:val="right"/>
            </w:pPr>
            <w:r w:rsidRPr="002F2F03">
              <w:t>85,722</w:t>
            </w:r>
          </w:p>
        </w:tc>
        <w:tc>
          <w:tcPr>
            <w:tcW w:w="2018" w:type="dxa"/>
            <w:shd w:val="clear" w:color="auto" w:fill="auto"/>
            <w:vAlign w:val="bottom"/>
          </w:tcPr>
          <w:p w14:paraId="7AF7BC1C" w14:textId="77777777" w:rsidR="00896135" w:rsidRPr="002F2F03" w:rsidRDefault="00896135" w:rsidP="00F12314">
            <w:pPr>
              <w:pStyle w:val="TableText"/>
              <w:jc w:val="right"/>
            </w:pPr>
            <w:r w:rsidRPr="002F2F03">
              <w:t>1,193</w:t>
            </w:r>
          </w:p>
        </w:tc>
      </w:tr>
      <w:tr w:rsidR="00896135" w14:paraId="34A930DC" w14:textId="77777777" w:rsidTr="008E7244">
        <w:tc>
          <w:tcPr>
            <w:tcW w:w="2268" w:type="dxa"/>
            <w:shd w:val="clear" w:color="auto" w:fill="auto"/>
          </w:tcPr>
          <w:p w14:paraId="355F8BD3" w14:textId="77777777" w:rsidR="00896135" w:rsidRPr="00A053D0" w:rsidRDefault="00896135" w:rsidP="008E7244">
            <w:pPr>
              <w:pStyle w:val="TableText"/>
            </w:pPr>
            <w:r w:rsidRPr="00A053D0">
              <w:t>Lakes</w:t>
            </w:r>
          </w:p>
        </w:tc>
        <w:tc>
          <w:tcPr>
            <w:tcW w:w="2017" w:type="dxa"/>
            <w:shd w:val="clear" w:color="auto" w:fill="auto"/>
            <w:vAlign w:val="bottom"/>
          </w:tcPr>
          <w:p w14:paraId="2D83F76B" w14:textId="77777777" w:rsidR="00896135" w:rsidRPr="002F2F03" w:rsidRDefault="00896135" w:rsidP="00F12314">
            <w:pPr>
              <w:pStyle w:val="TableText"/>
              <w:jc w:val="right"/>
            </w:pPr>
            <w:r w:rsidRPr="002F2F03">
              <w:t>114.0</w:t>
            </w:r>
          </w:p>
        </w:tc>
        <w:tc>
          <w:tcPr>
            <w:tcW w:w="2017" w:type="dxa"/>
            <w:shd w:val="clear" w:color="auto" w:fill="auto"/>
            <w:vAlign w:val="bottom"/>
          </w:tcPr>
          <w:p w14:paraId="3AB78E93" w14:textId="77777777" w:rsidR="00896135" w:rsidRPr="002F2F03" w:rsidRDefault="00896135" w:rsidP="00F12314">
            <w:pPr>
              <w:pStyle w:val="TableText"/>
              <w:jc w:val="right"/>
            </w:pPr>
            <w:r w:rsidRPr="002F2F03">
              <w:t>85,880</w:t>
            </w:r>
          </w:p>
        </w:tc>
        <w:tc>
          <w:tcPr>
            <w:tcW w:w="2018" w:type="dxa"/>
            <w:shd w:val="clear" w:color="auto" w:fill="auto"/>
            <w:vAlign w:val="bottom"/>
          </w:tcPr>
          <w:p w14:paraId="2EE57AEA" w14:textId="77777777" w:rsidR="00896135" w:rsidRPr="002F2F03" w:rsidRDefault="00896135" w:rsidP="00F12314">
            <w:pPr>
              <w:pStyle w:val="TableText"/>
              <w:jc w:val="right"/>
            </w:pPr>
            <w:r w:rsidRPr="002F2F03">
              <w:t>1,033</w:t>
            </w:r>
          </w:p>
        </w:tc>
      </w:tr>
      <w:tr w:rsidR="00896135" w14:paraId="1B4CD4DF" w14:textId="77777777" w:rsidTr="008E7244">
        <w:tc>
          <w:tcPr>
            <w:tcW w:w="2268" w:type="dxa"/>
            <w:shd w:val="clear" w:color="auto" w:fill="auto"/>
          </w:tcPr>
          <w:p w14:paraId="59C43732" w14:textId="77777777" w:rsidR="00896135" w:rsidRPr="00A053D0" w:rsidRDefault="00896135" w:rsidP="008E7244">
            <w:pPr>
              <w:pStyle w:val="TableText"/>
            </w:pPr>
            <w:proofErr w:type="spellStart"/>
            <w:r w:rsidRPr="00A053D0">
              <w:t>MidCentral</w:t>
            </w:r>
            <w:proofErr w:type="spellEnd"/>
          </w:p>
        </w:tc>
        <w:tc>
          <w:tcPr>
            <w:tcW w:w="2017" w:type="dxa"/>
            <w:shd w:val="clear" w:color="auto" w:fill="auto"/>
            <w:vAlign w:val="bottom"/>
          </w:tcPr>
          <w:p w14:paraId="578659BF" w14:textId="77777777" w:rsidR="00896135" w:rsidRPr="002F2F03" w:rsidRDefault="00896135" w:rsidP="00F12314">
            <w:pPr>
              <w:pStyle w:val="TableText"/>
              <w:jc w:val="right"/>
            </w:pPr>
            <w:r w:rsidRPr="002F2F03">
              <w:t>208.0</w:t>
            </w:r>
          </w:p>
        </w:tc>
        <w:tc>
          <w:tcPr>
            <w:tcW w:w="2017" w:type="dxa"/>
            <w:shd w:val="clear" w:color="auto" w:fill="auto"/>
            <w:vAlign w:val="bottom"/>
          </w:tcPr>
          <w:p w14:paraId="582DD365" w14:textId="77777777" w:rsidR="00896135" w:rsidRPr="002F2F03" w:rsidRDefault="00896135" w:rsidP="00F12314">
            <w:pPr>
              <w:pStyle w:val="TableText"/>
              <w:jc w:val="right"/>
            </w:pPr>
            <w:r w:rsidRPr="002F2F03">
              <w:t>84,084</w:t>
            </w:r>
          </w:p>
        </w:tc>
        <w:tc>
          <w:tcPr>
            <w:tcW w:w="2018" w:type="dxa"/>
            <w:shd w:val="clear" w:color="auto" w:fill="auto"/>
            <w:vAlign w:val="bottom"/>
          </w:tcPr>
          <w:p w14:paraId="7113AFD1" w14:textId="77777777" w:rsidR="00896135" w:rsidRPr="002F2F03" w:rsidRDefault="00896135" w:rsidP="00F12314">
            <w:pPr>
              <w:pStyle w:val="TableText"/>
              <w:jc w:val="right"/>
            </w:pPr>
            <w:r w:rsidRPr="002F2F03">
              <w:t>1,163</w:t>
            </w:r>
          </w:p>
        </w:tc>
      </w:tr>
      <w:tr w:rsidR="00896135" w14:paraId="445E1C61" w14:textId="77777777" w:rsidTr="008E7244">
        <w:tc>
          <w:tcPr>
            <w:tcW w:w="2268" w:type="dxa"/>
            <w:shd w:val="clear" w:color="auto" w:fill="auto"/>
          </w:tcPr>
          <w:p w14:paraId="6D8F30DF" w14:textId="77777777" w:rsidR="00896135" w:rsidRPr="00A053D0" w:rsidRDefault="00896135" w:rsidP="008E7244">
            <w:pPr>
              <w:pStyle w:val="TableText"/>
            </w:pPr>
            <w:r w:rsidRPr="00A053D0">
              <w:t>Nelson Marlborough</w:t>
            </w:r>
          </w:p>
        </w:tc>
        <w:tc>
          <w:tcPr>
            <w:tcW w:w="2017" w:type="dxa"/>
            <w:shd w:val="clear" w:color="auto" w:fill="auto"/>
            <w:vAlign w:val="bottom"/>
          </w:tcPr>
          <w:p w14:paraId="2952CE41" w14:textId="77777777" w:rsidR="00896135" w:rsidRPr="002F2F03" w:rsidRDefault="00896135" w:rsidP="00F12314">
            <w:pPr>
              <w:pStyle w:val="TableText"/>
              <w:jc w:val="right"/>
            </w:pPr>
            <w:r w:rsidRPr="002F2F03">
              <w:t>190.5</w:t>
            </w:r>
          </w:p>
        </w:tc>
        <w:tc>
          <w:tcPr>
            <w:tcW w:w="2017" w:type="dxa"/>
            <w:shd w:val="clear" w:color="auto" w:fill="auto"/>
            <w:vAlign w:val="bottom"/>
          </w:tcPr>
          <w:p w14:paraId="68BF552C" w14:textId="77777777" w:rsidR="00896135" w:rsidRPr="002F2F03" w:rsidRDefault="00896135" w:rsidP="00F12314">
            <w:pPr>
              <w:pStyle w:val="TableText"/>
              <w:jc w:val="right"/>
            </w:pPr>
            <w:r w:rsidRPr="002F2F03">
              <w:t>79,646</w:t>
            </w:r>
          </w:p>
        </w:tc>
        <w:tc>
          <w:tcPr>
            <w:tcW w:w="2018" w:type="dxa"/>
            <w:shd w:val="clear" w:color="auto" w:fill="auto"/>
            <w:vAlign w:val="bottom"/>
          </w:tcPr>
          <w:p w14:paraId="0F3376B8" w14:textId="77777777" w:rsidR="00896135" w:rsidRPr="002F2F03" w:rsidRDefault="00896135" w:rsidP="00F12314">
            <w:pPr>
              <w:pStyle w:val="TableText"/>
              <w:jc w:val="right"/>
            </w:pPr>
            <w:r w:rsidRPr="002F2F03">
              <w:t>1,264</w:t>
            </w:r>
          </w:p>
        </w:tc>
      </w:tr>
      <w:tr w:rsidR="00896135" w14:paraId="529418D6" w14:textId="77777777" w:rsidTr="008E7244">
        <w:trPr>
          <w:trHeight w:val="58"/>
        </w:trPr>
        <w:tc>
          <w:tcPr>
            <w:tcW w:w="2268" w:type="dxa"/>
            <w:shd w:val="clear" w:color="auto" w:fill="auto"/>
          </w:tcPr>
          <w:p w14:paraId="69737D2B" w14:textId="77777777" w:rsidR="00896135" w:rsidRPr="00A053D0" w:rsidRDefault="00896135" w:rsidP="008E7244">
            <w:pPr>
              <w:pStyle w:val="TableText"/>
            </w:pPr>
            <w:r w:rsidRPr="00A053D0">
              <w:t>Northland</w:t>
            </w:r>
          </w:p>
        </w:tc>
        <w:tc>
          <w:tcPr>
            <w:tcW w:w="2017" w:type="dxa"/>
            <w:shd w:val="clear" w:color="auto" w:fill="auto"/>
            <w:vAlign w:val="bottom"/>
          </w:tcPr>
          <w:p w14:paraId="0E95C2DA" w14:textId="77777777" w:rsidR="00896135" w:rsidRPr="002F2F03" w:rsidRDefault="00896135" w:rsidP="00F12314">
            <w:pPr>
              <w:pStyle w:val="TableText"/>
              <w:jc w:val="right"/>
            </w:pPr>
            <w:r w:rsidRPr="002F2F03">
              <w:t>248.3</w:t>
            </w:r>
          </w:p>
        </w:tc>
        <w:tc>
          <w:tcPr>
            <w:tcW w:w="2017" w:type="dxa"/>
            <w:shd w:val="clear" w:color="auto" w:fill="auto"/>
            <w:vAlign w:val="bottom"/>
          </w:tcPr>
          <w:p w14:paraId="2260CBB6" w14:textId="77777777" w:rsidR="00896135" w:rsidRPr="002F2F03" w:rsidRDefault="00896135" w:rsidP="00F12314">
            <w:pPr>
              <w:pStyle w:val="TableText"/>
              <w:jc w:val="right"/>
            </w:pPr>
            <w:r w:rsidRPr="002F2F03">
              <w:t>81,451</w:t>
            </w:r>
          </w:p>
        </w:tc>
        <w:tc>
          <w:tcPr>
            <w:tcW w:w="2018" w:type="dxa"/>
            <w:shd w:val="clear" w:color="auto" w:fill="auto"/>
            <w:vAlign w:val="bottom"/>
          </w:tcPr>
          <w:p w14:paraId="7673C687" w14:textId="77777777" w:rsidR="00896135" w:rsidRPr="002F2F03" w:rsidRDefault="00896135" w:rsidP="00F12314">
            <w:pPr>
              <w:pStyle w:val="TableText"/>
              <w:jc w:val="right"/>
            </w:pPr>
            <w:r w:rsidRPr="002F2F03">
              <w:t>1,385</w:t>
            </w:r>
          </w:p>
        </w:tc>
      </w:tr>
      <w:tr w:rsidR="00896135" w14:paraId="37272BD2" w14:textId="77777777" w:rsidTr="008E7244">
        <w:tc>
          <w:tcPr>
            <w:tcW w:w="2268" w:type="dxa"/>
            <w:shd w:val="clear" w:color="auto" w:fill="auto"/>
          </w:tcPr>
          <w:p w14:paraId="1689A3E2" w14:textId="77777777" w:rsidR="00896135" w:rsidRPr="00A053D0" w:rsidRDefault="00896135" w:rsidP="008E7244">
            <w:pPr>
              <w:pStyle w:val="TableText"/>
            </w:pPr>
            <w:r w:rsidRPr="00A053D0">
              <w:t>South Canterbury</w:t>
            </w:r>
          </w:p>
        </w:tc>
        <w:tc>
          <w:tcPr>
            <w:tcW w:w="2017" w:type="dxa"/>
            <w:shd w:val="clear" w:color="auto" w:fill="auto"/>
            <w:vAlign w:val="bottom"/>
          </w:tcPr>
          <w:p w14:paraId="3960DC49" w14:textId="77777777" w:rsidR="00896135" w:rsidRPr="002F2F03" w:rsidRDefault="00896135" w:rsidP="00F12314">
            <w:pPr>
              <w:pStyle w:val="TableText"/>
              <w:jc w:val="right"/>
            </w:pPr>
            <w:r w:rsidRPr="002F2F03">
              <w:t>58.0</w:t>
            </w:r>
          </w:p>
        </w:tc>
        <w:tc>
          <w:tcPr>
            <w:tcW w:w="2017" w:type="dxa"/>
            <w:shd w:val="clear" w:color="auto" w:fill="auto"/>
            <w:vAlign w:val="bottom"/>
          </w:tcPr>
          <w:p w14:paraId="53EFA56D" w14:textId="77777777" w:rsidR="00896135" w:rsidRPr="002F2F03" w:rsidRDefault="00896135" w:rsidP="00F12314">
            <w:pPr>
              <w:pStyle w:val="TableText"/>
              <w:jc w:val="right"/>
            </w:pPr>
            <w:r w:rsidRPr="002F2F03">
              <w:t>88,559</w:t>
            </w:r>
          </w:p>
        </w:tc>
        <w:tc>
          <w:tcPr>
            <w:tcW w:w="2018" w:type="dxa"/>
            <w:shd w:val="clear" w:color="auto" w:fill="auto"/>
            <w:vAlign w:val="bottom"/>
          </w:tcPr>
          <w:p w14:paraId="2BAA1653" w14:textId="77777777" w:rsidR="00896135" w:rsidRPr="002F2F03" w:rsidRDefault="00896135" w:rsidP="00F12314">
            <w:pPr>
              <w:pStyle w:val="TableText"/>
              <w:jc w:val="right"/>
            </w:pPr>
            <w:r w:rsidRPr="002F2F03">
              <w:t>963</w:t>
            </w:r>
          </w:p>
        </w:tc>
      </w:tr>
      <w:tr w:rsidR="00896135" w14:paraId="4A504839" w14:textId="77777777" w:rsidTr="008E7244">
        <w:tc>
          <w:tcPr>
            <w:tcW w:w="2268" w:type="dxa"/>
            <w:shd w:val="clear" w:color="auto" w:fill="auto"/>
          </w:tcPr>
          <w:p w14:paraId="74C8DD92" w14:textId="77777777" w:rsidR="00896135" w:rsidRPr="00A053D0" w:rsidRDefault="00896135" w:rsidP="008E7244">
            <w:pPr>
              <w:pStyle w:val="TableText"/>
            </w:pPr>
            <w:r w:rsidRPr="00A053D0">
              <w:t>Southern</w:t>
            </w:r>
          </w:p>
        </w:tc>
        <w:tc>
          <w:tcPr>
            <w:tcW w:w="2017" w:type="dxa"/>
            <w:shd w:val="clear" w:color="auto" w:fill="auto"/>
            <w:vAlign w:val="bottom"/>
          </w:tcPr>
          <w:p w14:paraId="58E9126A" w14:textId="77777777" w:rsidR="00896135" w:rsidRPr="002F2F03" w:rsidRDefault="00896135" w:rsidP="00F12314">
            <w:pPr>
              <w:pStyle w:val="TableText"/>
              <w:jc w:val="right"/>
            </w:pPr>
            <w:r w:rsidRPr="002F2F03">
              <w:t>363.7</w:t>
            </w:r>
          </w:p>
        </w:tc>
        <w:tc>
          <w:tcPr>
            <w:tcW w:w="2017" w:type="dxa"/>
            <w:shd w:val="clear" w:color="auto" w:fill="auto"/>
            <w:vAlign w:val="bottom"/>
          </w:tcPr>
          <w:p w14:paraId="00744766" w14:textId="77777777" w:rsidR="00896135" w:rsidRPr="002F2F03" w:rsidRDefault="00896135" w:rsidP="00F12314">
            <w:pPr>
              <w:pStyle w:val="TableText"/>
              <w:jc w:val="right"/>
            </w:pPr>
            <w:r w:rsidRPr="002F2F03">
              <w:t>85,320</w:t>
            </w:r>
          </w:p>
        </w:tc>
        <w:tc>
          <w:tcPr>
            <w:tcW w:w="2018" w:type="dxa"/>
            <w:shd w:val="clear" w:color="auto" w:fill="auto"/>
            <w:vAlign w:val="bottom"/>
          </w:tcPr>
          <w:p w14:paraId="07E3D432" w14:textId="77777777" w:rsidR="00896135" w:rsidRPr="002F2F03" w:rsidRDefault="00896135" w:rsidP="00F12314">
            <w:pPr>
              <w:pStyle w:val="TableText"/>
              <w:jc w:val="right"/>
            </w:pPr>
            <w:r w:rsidRPr="002F2F03">
              <w:t>1,103</w:t>
            </w:r>
          </w:p>
        </w:tc>
      </w:tr>
      <w:tr w:rsidR="00896135" w14:paraId="0558B98B" w14:textId="77777777" w:rsidTr="008E7244">
        <w:tc>
          <w:tcPr>
            <w:tcW w:w="2268" w:type="dxa"/>
            <w:shd w:val="clear" w:color="auto" w:fill="auto"/>
          </w:tcPr>
          <w:p w14:paraId="04EF91AF" w14:textId="77777777" w:rsidR="00896135" w:rsidRPr="00A053D0" w:rsidRDefault="00896135" w:rsidP="008E7244">
            <w:pPr>
              <w:pStyle w:val="TableText"/>
            </w:pPr>
            <w:proofErr w:type="spellStart"/>
            <w:r w:rsidRPr="00A053D0">
              <w:t>Tairawhiti</w:t>
            </w:r>
            <w:proofErr w:type="spellEnd"/>
          </w:p>
        </w:tc>
        <w:tc>
          <w:tcPr>
            <w:tcW w:w="2017" w:type="dxa"/>
            <w:shd w:val="clear" w:color="auto" w:fill="auto"/>
            <w:vAlign w:val="bottom"/>
          </w:tcPr>
          <w:p w14:paraId="75B48FA2" w14:textId="77777777" w:rsidR="00896135" w:rsidRPr="002F2F03" w:rsidRDefault="00896135" w:rsidP="00F12314">
            <w:pPr>
              <w:pStyle w:val="TableText"/>
              <w:jc w:val="right"/>
            </w:pPr>
            <w:r w:rsidRPr="002F2F03">
              <w:t>63.4</w:t>
            </w:r>
          </w:p>
        </w:tc>
        <w:tc>
          <w:tcPr>
            <w:tcW w:w="2017" w:type="dxa"/>
            <w:shd w:val="clear" w:color="auto" w:fill="auto"/>
            <w:vAlign w:val="bottom"/>
          </w:tcPr>
          <w:p w14:paraId="2AF7285F" w14:textId="77777777" w:rsidR="00896135" w:rsidRPr="002F2F03" w:rsidRDefault="00896135" w:rsidP="00F12314">
            <w:pPr>
              <w:pStyle w:val="TableText"/>
              <w:jc w:val="right"/>
            </w:pPr>
            <w:r w:rsidRPr="002F2F03">
              <w:t>86,866</w:t>
            </w:r>
          </w:p>
        </w:tc>
        <w:tc>
          <w:tcPr>
            <w:tcW w:w="2018" w:type="dxa"/>
            <w:shd w:val="clear" w:color="auto" w:fill="auto"/>
            <w:vAlign w:val="bottom"/>
          </w:tcPr>
          <w:p w14:paraId="66D49B5A" w14:textId="77777777" w:rsidR="00896135" w:rsidRPr="002F2F03" w:rsidRDefault="00896135" w:rsidP="00F12314">
            <w:pPr>
              <w:pStyle w:val="TableText"/>
              <w:jc w:val="right"/>
            </w:pPr>
            <w:r w:rsidRPr="002F2F03">
              <w:t>1,293</w:t>
            </w:r>
          </w:p>
        </w:tc>
      </w:tr>
      <w:tr w:rsidR="00896135" w14:paraId="38C39902" w14:textId="77777777" w:rsidTr="008E7244">
        <w:tc>
          <w:tcPr>
            <w:tcW w:w="2268" w:type="dxa"/>
            <w:shd w:val="clear" w:color="auto" w:fill="auto"/>
          </w:tcPr>
          <w:p w14:paraId="37D2C7EA" w14:textId="77777777" w:rsidR="00896135" w:rsidRPr="00A053D0" w:rsidRDefault="00896135" w:rsidP="008E7244">
            <w:pPr>
              <w:pStyle w:val="TableText"/>
            </w:pPr>
            <w:r w:rsidRPr="00A053D0">
              <w:t>Taranaki</w:t>
            </w:r>
          </w:p>
        </w:tc>
        <w:tc>
          <w:tcPr>
            <w:tcW w:w="2017" w:type="dxa"/>
            <w:shd w:val="clear" w:color="auto" w:fill="auto"/>
            <w:vAlign w:val="bottom"/>
          </w:tcPr>
          <w:p w14:paraId="2C4C1B40" w14:textId="77777777" w:rsidR="00896135" w:rsidRPr="002F2F03" w:rsidRDefault="00896135" w:rsidP="00F12314">
            <w:pPr>
              <w:pStyle w:val="TableText"/>
              <w:jc w:val="right"/>
            </w:pPr>
            <w:r w:rsidRPr="002F2F03">
              <w:t>135.2</w:t>
            </w:r>
          </w:p>
        </w:tc>
        <w:tc>
          <w:tcPr>
            <w:tcW w:w="2017" w:type="dxa"/>
            <w:shd w:val="clear" w:color="auto" w:fill="auto"/>
            <w:vAlign w:val="bottom"/>
          </w:tcPr>
          <w:p w14:paraId="7EBE2569" w14:textId="77777777" w:rsidR="00896135" w:rsidRPr="002F2F03" w:rsidRDefault="00896135" w:rsidP="00F12314">
            <w:pPr>
              <w:pStyle w:val="TableText"/>
              <w:jc w:val="right"/>
            </w:pPr>
            <w:r w:rsidRPr="002F2F03">
              <w:t>82,550</w:t>
            </w:r>
          </w:p>
        </w:tc>
        <w:tc>
          <w:tcPr>
            <w:tcW w:w="2018" w:type="dxa"/>
            <w:shd w:val="clear" w:color="auto" w:fill="auto"/>
            <w:vAlign w:val="bottom"/>
          </w:tcPr>
          <w:p w14:paraId="5FAE3211" w14:textId="77777777" w:rsidR="00896135" w:rsidRPr="002F2F03" w:rsidRDefault="00896135" w:rsidP="00F12314">
            <w:pPr>
              <w:pStyle w:val="TableText"/>
              <w:jc w:val="right"/>
            </w:pPr>
            <w:r w:rsidRPr="002F2F03">
              <w:t>1,126</w:t>
            </w:r>
          </w:p>
        </w:tc>
      </w:tr>
      <w:tr w:rsidR="00896135" w14:paraId="5ED2A0FB" w14:textId="77777777" w:rsidTr="008E7244">
        <w:tc>
          <w:tcPr>
            <w:tcW w:w="2268" w:type="dxa"/>
            <w:shd w:val="clear" w:color="auto" w:fill="auto"/>
          </w:tcPr>
          <w:p w14:paraId="42D1AB9B" w14:textId="77777777" w:rsidR="00896135" w:rsidRPr="00A053D0" w:rsidRDefault="00896135" w:rsidP="008E7244">
            <w:pPr>
              <w:pStyle w:val="TableText"/>
            </w:pPr>
            <w:r w:rsidRPr="00A053D0">
              <w:t>Waikato</w:t>
            </w:r>
          </w:p>
        </w:tc>
        <w:tc>
          <w:tcPr>
            <w:tcW w:w="2017" w:type="dxa"/>
            <w:shd w:val="clear" w:color="auto" w:fill="auto"/>
            <w:vAlign w:val="bottom"/>
          </w:tcPr>
          <w:p w14:paraId="00B136E6" w14:textId="77777777" w:rsidR="00896135" w:rsidRPr="002F2F03" w:rsidRDefault="00896135" w:rsidP="00F12314">
            <w:pPr>
              <w:pStyle w:val="TableText"/>
              <w:jc w:val="right"/>
            </w:pPr>
            <w:r w:rsidRPr="002F2F03">
              <w:t>590.9</w:t>
            </w:r>
          </w:p>
        </w:tc>
        <w:tc>
          <w:tcPr>
            <w:tcW w:w="2017" w:type="dxa"/>
            <w:shd w:val="clear" w:color="auto" w:fill="auto"/>
            <w:vAlign w:val="bottom"/>
          </w:tcPr>
          <w:p w14:paraId="2993C403" w14:textId="77777777" w:rsidR="00896135" w:rsidRPr="002F2F03" w:rsidRDefault="00896135" w:rsidP="00F12314">
            <w:pPr>
              <w:pStyle w:val="TableText"/>
              <w:jc w:val="right"/>
            </w:pPr>
            <w:r w:rsidRPr="002F2F03">
              <w:t>79,774</w:t>
            </w:r>
          </w:p>
        </w:tc>
        <w:tc>
          <w:tcPr>
            <w:tcW w:w="2018" w:type="dxa"/>
            <w:shd w:val="clear" w:color="auto" w:fill="auto"/>
            <w:vAlign w:val="bottom"/>
          </w:tcPr>
          <w:p w14:paraId="24D3723F" w14:textId="77777777" w:rsidR="00896135" w:rsidRPr="002F2F03" w:rsidRDefault="00896135" w:rsidP="00F12314">
            <w:pPr>
              <w:pStyle w:val="TableText"/>
              <w:jc w:val="right"/>
            </w:pPr>
            <w:r w:rsidRPr="002F2F03">
              <w:t>1,407</w:t>
            </w:r>
          </w:p>
        </w:tc>
      </w:tr>
      <w:tr w:rsidR="00896135" w14:paraId="2FF62775" w14:textId="77777777" w:rsidTr="008E7244">
        <w:tc>
          <w:tcPr>
            <w:tcW w:w="2268" w:type="dxa"/>
            <w:shd w:val="clear" w:color="auto" w:fill="auto"/>
          </w:tcPr>
          <w:p w14:paraId="5176A752" w14:textId="77777777" w:rsidR="00896135" w:rsidRPr="00A053D0" w:rsidRDefault="00896135" w:rsidP="008E7244">
            <w:pPr>
              <w:pStyle w:val="TableText"/>
            </w:pPr>
            <w:r w:rsidRPr="00A053D0">
              <w:t>Wairarapa</w:t>
            </w:r>
          </w:p>
        </w:tc>
        <w:tc>
          <w:tcPr>
            <w:tcW w:w="2017" w:type="dxa"/>
            <w:shd w:val="clear" w:color="auto" w:fill="auto"/>
            <w:vAlign w:val="bottom"/>
          </w:tcPr>
          <w:p w14:paraId="4FFDC6C3" w14:textId="77777777" w:rsidR="00896135" w:rsidRPr="002F2F03" w:rsidRDefault="00896135" w:rsidP="00F12314">
            <w:pPr>
              <w:pStyle w:val="TableText"/>
              <w:jc w:val="right"/>
            </w:pPr>
            <w:r w:rsidRPr="002F2F03">
              <w:t>42.4</w:t>
            </w:r>
          </w:p>
        </w:tc>
        <w:tc>
          <w:tcPr>
            <w:tcW w:w="2017" w:type="dxa"/>
            <w:shd w:val="clear" w:color="auto" w:fill="auto"/>
            <w:vAlign w:val="bottom"/>
          </w:tcPr>
          <w:p w14:paraId="55BEF5BD" w14:textId="77777777" w:rsidR="00896135" w:rsidRPr="002F2F03" w:rsidRDefault="00896135" w:rsidP="00F12314">
            <w:pPr>
              <w:pStyle w:val="TableText"/>
              <w:jc w:val="right"/>
            </w:pPr>
            <w:r w:rsidRPr="002F2F03">
              <w:t>77,716</w:t>
            </w:r>
          </w:p>
        </w:tc>
        <w:tc>
          <w:tcPr>
            <w:tcW w:w="2018" w:type="dxa"/>
            <w:shd w:val="clear" w:color="auto" w:fill="auto"/>
            <w:vAlign w:val="bottom"/>
          </w:tcPr>
          <w:p w14:paraId="19E637C4" w14:textId="77777777" w:rsidR="00896135" w:rsidRPr="002F2F03" w:rsidRDefault="00896135" w:rsidP="00F12314">
            <w:pPr>
              <w:pStyle w:val="TableText"/>
              <w:jc w:val="right"/>
            </w:pPr>
            <w:r w:rsidRPr="002F2F03">
              <w:t>945</w:t>
            </w:r>
          </w:p>
        </w:tc>
      </w:tr>
      <w:tr w:rsidR="00896135" w14:paraId="39E04EE8" w14:textId="77777777" w:rsidTr="008E7244">
        <w:tc>
          <w:tcPr>
            <w:tcW w:w="2268" w:type="dxa"/>
            <w:shd w:val="clear" w:color="auto" w:fill="auto"/>
          </w:tcPr>
          <w:p w14:paraId="11547166" w14:textId="77777777" w:rsidR="00896135" w:rsidRPr="00A053D0" w:rsidRDefault="00896135" w:rsidP="008E7244">
            <w:pPr>
              <w:pStyle w:val="TableText"/>
            </w:pPr>
            <w:r w:rsidRPr="00A053D0">
              <w:t>Waitemata</w:t>
            </w:r>
          </w:p>
        </w:tc>
        <w:tc>
          <w:tcPr>
            <w:tcW w:w="2017" w:type="dxa"/>
            <w:shd w:val="clear" w:color="auto" w:fill="auto"/>
            <w:vAlign w:val="bottom"/>
          </w:tcPr>
          <w:p w14:paraId="6F8F0AE0" w14:textId="77777777" w:rsidR="00896135" w:rsidRPr="002F2F03" w:rsidRDefault="00896135" w:rsidP="00F12314">
            <w:pPr>
              <w:pStyle w:val="TableText"/>
              <w:jc w:val="right"/>
            </w:pPr>
            <w:r w:rsidRPr="002F2F03">
              <w:t>608.8</w:t>
            </w:r>
          </w:p>
        </w:tc>
        <w:tc>
          <w:tcPr>
            <w:tcW w:w="2017" w:type="dxa"/>
            <w:shd w:val="clear" w:color="auto" w:fill="auto"/>
            <w:vAlign w:val="bottom"/>
          </w:tcPr>
          <w:p w14:paraId="5DA135C0" w14:textId="77777777" w:rsidR="00896135" w:rsidRPr="002F2F03" w:rsidRDefault="00896135" w:rsidP="00F12314">
            <w:pPr>
              <w:pStyle w:val="TableText"/>
              <w:jc w:val="right"/>
            </w:pPr>
            <w:r w:rsidRPr="002F2F03">
              <w:t>82,312</w:t>
            </w:r>
          </w:p>
        </w:tc>
        <w:tc>
          <w:tcPr>
            <w:tcW w:w="2018" w:type="dxa"/>
            <w:shd w:val="clear" w:color="auto" w:fill="auto"/>
            <w:vAlign w:val="bottom"/>
          </w:tcPr>
          <w:p w14:paraId="0C97E2B1" w14:textId="77777777" w:rsidR="00896135" w:rsidRPr="002F2F03" w:rsidRDefault="00896135" w:rsidP="00F12314">
            <w:pPr>
              <w:pStyle w:val="TableText"/>
              <w:jc w:val="right"/>
            </w:pPr>
            <w:r w:rsidRPr="002F2F03">
              <w:t>968</w:t>
            </w:r>
          </w:p>
        </w:tc>
      </w:tr>
      <w:tr w:rsidR="00896135" w14:paraId="45DAAB51" w14:textId="77777777" w:rsidTr="008E7244">
        <w:tc>
          <w:tcPr>
            <w:tcW w:w="2268" w:type="dxa"/>
            <w:shd w:val="clear" w:color="auto" w:fill="auto"/>
          </w:tcPr>
          <w:p w14:paraId="6D3FF35E" w14:textId="77777777" w:rsidR="00896135" w:rsidRPr="00A053D0" w:rsidRDefault="00896135" w:rsidP="008E7244">
            <w:pPr>
              <w:pStyle w:val="TableText"/>
            </w:pPr>
            <w:r w:rsidRPr="00A053D0">
              <w:t>West Coast</w:t>
            </w:r>
          </w:p>
        </w:tc>
        <w:tc>
          <w:tcPr>
            <w:tcW w:w="2017" w:type="dxa"/>
            <w:shd w:val="clear" w:color="auto" w:fill="auto"/>
            <w:vAlign w:val="bottom"/>
          </w:tcPr>
          <w:p w14:paraId="49685C3A" w14:textId="77777777" w:rsidR="00896135" w:rsidRPr="00FA5118" w:rsidRDefault="00896135" w:rsidP="00F12314">
            <w:pPr>
              <w:pStyle w:val="TableText"/>
              <w:jc w:val="right"/>
            </w:pPr>
            <w:r w:rsidRPr="00FA5118">
              <w:t>54.6</w:t>
            </w:r>
          </w:p>
        </w:tc>
        <w:tc>
          <w:tcPr>
            <w:tcW w:w="2017" w:type="dxa"/>
            <w:shd w:val="clear" w:color="auto" w:fill="auto"/>
            <w:vAlign w:val="bottom"/>
          </w:tcPr>
          <w:p w14:paraId="43A6F94F" w14:textId="77777777" w:rsidR="00896135" w:rsidRPr="00FA5118" w:rsidRDefault="00896135" w:rsidP="00F12314">
            <w:pPr>
              <w:pStyle w:val="TableText"/>
              <w:jc w:val="right"/>
            </w:pPr>
            <w:r w:rsidRPr="00FA5118">
              <w:t>73,420</w:t>
            </w:r>
          </w:p>
        </w:tc>
        <w:tc>
          <w:tcPr>
            <w:tcW w:w="2018" w:type="dxa"/>
            <w:shd w:val="clear" w:color="auto" w:fill="auto"/>
            <w:vAlign w:val="bottom"/>
          </w:tcPr>
          <w:p w14:paraId="77B7162D" w14:textId="77777777" w:rsidR="00896135" w:rsidRPr="00FA5118" w:rsidRDefault="00896135" w:rsidP="00F12314">
            <w:pPr>
              <w:pStyle w:val="TableText"/>
              <w:jc w:val="right"/>
            </w:pPr>
            <w:r w:rsidRPr="00FA5118">
              <w:t>1685</w:t>
            </w:r>
          </w:p>
        </w:tc>
      </w:tr>
      <w:tr w:rsidR="00896135" w14:paraId="1AEACA6E" w14:textId="77777777" w:rsidTr="008E7244">
        <w:tc>
          <w:tcPr>
            <w:tcW w:w="2268" w:type="dxa"/>
            <w:shd w:val="clear" w:color="auto" w:fill="auto"/>
          </w:tcPr>
          <w:p w14:paraId="70EB1CB6" w14:textId="77777777" w:rsidR="00896135" w:rsidRPr="00A053D0" w:rsidRDefault="00896135" w:rsidP="008E7244">
            <w:pPr>
              <w:pStyle w:val="TableText"/>
            </w:pPr>
            <w:r w:rsidRPr="00A053D0">
              <w:t>Whanganui</w:t>
            </w:r>
          </w:p>
        </w:tc>
        <w:tc>
          <w:tcPr>
            <w:tcW w:w="2017" w:type="dxa"/>
            <w:shd w:val="clear" w:color="auto" w:fill="auto"/>
            <w:vAlign w:val="bottom"/>
          </w:tcPr>
          <w:p w14:paraId="06B96D9A" w14:textId="77777777" w:rsidR="00896135" w:rsidRPr="00FA5118" w:rsidRDefault="00896135" w:rsidP="00F12314">
            <w:pPr>
              <w:pStyle w:val="TableText"/>
              <w:jc w:val="right"/>
            </w:pPr>
            <w:r w:rsidRPr="00FA5118">
              <w:t>76.0</w:t>
            </w:r>
          </w:p>
        </w:tc>
        <w:tc>
          <w:tcPr>
            <w:tcW w:w="2017" w:type="dxa"/>
            <w:shd w:val="clear" w:color="auto" w:fill="auto"/>
            <w:vAlign w:val="bottom"/>
          </w:tcPr>
          <w:p w14:paraId="12AE6D9D" w14:textId="77777777" w:rsidR="00896135" w:rsidRPr="00FA5118" w:rsidRDefault="00896135" w:rsidP="00F12314">
            <w:pPr>
              <w:pStyle w:val="TableText"/>
              <w:jc w:val="right"/>
            </w:pPr>
            <w:r w:rsidRPr="00FA5118">
              <w:t>78,561</w:t>
            </w:r>
          </w:p>
        </w:tc>
        <w:tc>
          <w:tcPr>
            <w:tcW w:w="2018" w:type="dxa"/>
            <w:shd w:val="clear" w:color="auto" w:fill="auto"/>
            <w:vAlign w:val="bottom"/>
          </w:tcPr>
          <w:p w14:paraId="48AFCA25" w14:textId="77777777" w:rsidR="00896135" w:rsidRPr="00FA5118" w:rsidRDefault="00896135" w:rsidP="00F12314">
            <w:pPr>
              <w:pStyle w:val="TableText"/>
              <w:jc w:val="right"/>
            </w:pPr>
            <w:r w:rsidRPr="00FA5118">
              <w:t>1,177</w:t>
            </w:r>
          </w:p>
        </w:tc>
      </w:tr>
      <w:tr w:rsidR="00896135" w:rsidRPr="00F12314" w14:paraId="4ECC0C8C" w14:textId="77777777" w:rsidTr="00F12314">
        <w:tc>
          <w:tcPr>
            <w:tcW w:w="2268" w:type="dxa"/>
            <w:shd w:val="clear" w:color="auto" w:fill="F2F2F2" w:themeFill="background1" w:themeFillShade="F2"/>
          </w:tcPr>
          <w:p w14:paraId="3C64A166" w14:textId="77777777" w:rsidR="00896135" w:rsidRPr="00F12314" w:rsidRDefault="00896135" w:rsidP="008E7244">
            <w:pPr>
              <w:pStyle w:val="TableText"/>
              <w:rPr>
                <w:b/>
              </w:rPr>
            </w:pPr>
            <w:r w:rsidRPr="00F12314">
              <w:rPr>
                <w:b/>
              </w:rPr>
              <w:t>TOTAL</w:t>
            </w:r>
          </w:p>
        </w:tc>
        <w:tc>
          <w:tcPr>
            <w:tcW w:w="2017" w:type="dxa"/>
            <w:shd w:val="clear" w:color="auto" w:fill="F2F2F2" w:themeFill="background1" w:themeFillShade="F2"/>
          </w:tcPr>
          <w:p w14:paraId="7B908BCF" w14:textId="77777777" w:rsidR="00896135" w:rsidRPr="00F12314" w:rsidRDefault="00896135" w:rsidP="00F12314">
            <w:pPr>
              <w:pStyle w:val="TableText"/>
              <w:jc w:val="right"/>
              <w:rPr>
                <w:b/>
              </w:rPr>
            </w:pPr>
            <w:r w:rsidRPr="00F12314">
              <w:rPr>
                <w:b/>
              </w:rPr>
              <w:t>6,228.1</w:t>
            </w:r>
          </w:p>
        </w:tc>
        <w:tc>
          <w:tcPr>
            <w:tcW w:w="2017" w:type="dxa"/>
            <w:shd w:val="clear" w:color="auto" w:fill="F2F2F2" w:themeFill="background1" w:themeFillShade="F2"/>
          </w:tcPr>
          <w:p w14:paraId="73508885" w14:textId="77777777" w:rsidR="00896135" w:rsidRPr="00F12314" w:rsidRDefault="00896135" w:rsidP="00F12314">
            <w:pPr>
              <w:pStyle w:val="TableText"/>
              <w:jc w:val="right"/>
              <w:rPr>
                <w:b/>
              </w:rPr>
            </w:pPr>
            <w:r w:rsidRPr="00F12314">
              <w:rPr>
                <w:b/>
              </w:rPr>
              <w:t>84,043</w:t>
            </w:r>
          </w:p>
        </w:tc>
        <w:tc>
          <w:tcPr>
            <w:tcW w:w="2018" w:type="dxa"/>
            <w:shd w:val="clear" w:color="auto" w:fill="F2F2F2" w:themeFill="background1" w:themeFillShade="F2"/>
            <w:vAlign w:val="center"/>
          </w:tcPr>
          <w:p w14:paraId="73924E20" w14:textId="77777777" w:rsidR="00896135" w:rsidRPr="00F12314" w:rsidRDefault="00896135" w:rsidP="00F12314">
            <w:pPr>
              <w:pStyle w:val="TableText"/>
              <w:jc w:val="right"/>
              <w:rPr>
                <w:b/>
              </w:rPr>
            </w:pPr>
            <w:r w:rsidRPr="00F12314">
              <w:rPr>
                <w:b/>
              </w:rPr>
              <w:t>1,266</w:t>
            </w:r>
          </w:p>
        </w:tc>
      </w:tr>
    </w:tbl>
    <w:p w14:paraId="050A387F" w14:textId="358FD6FF" w:rsidR="00896135" w:rsidRDefault="00896135" w:rsidP="00896135">
      <w:pPr>
        <w:pStyle w:val="Source"/>
      </w:pPr>
      <w:r>
        <w:t>Source: Technical Advisory Services Health Workforce Information Programme</w:t>
      </w:r>
    </w:p>
    <w:p w14:paraId="7426073F" w14:textId="77777777" w:rsidR="00896135" w:rsidRPr="00FA5118" w:rsidRDefault="00896135" w:rsidP="00896135"/>
    <w:p w14:paraId="71F0F50B" w14:textId="4BB6329E" w:rsidR="00896135" w:rsidRDefault="00F12314" w:rsidP="00896135">
      <w:r w:rsidRPr="00F12314">
        <w:fldChar w:fldCharType="begin"/>
      </w:r>
      <w:r w:rsidRPr="00F12314">
        <w:instrText xml:space="preserve"> REF _Ref54198875 \h  \* MERGEFORMAT </w:instrText>
      </w:r>
      <w:r w:rsidRPr="00F12314">
        <w:fldChar w:fldCharType="separate"/>
      </w:r>
      <w:r w:rsidR="00884C99" w:rsidRPr="00884C99">
        <w:rPr>
          <w:rFonts w:eastAsia="Arial"/>
          <w:iCs/>
          <w:sz w:val="20"/>
        </w:rPr>
        <w:t xml:space="preserve">Figure </w:t>
      </w:r>
      <w:r w:rsidR="00884C99" w:rsidRPr="00884C99">
        <w:rPr>
          <w:rFonts w:eastAsia="Arial"/>
          <w:iCs/>
          <w:noProof/>
          <w:sz w:val="20"/>
        </w:rPr>
        <w:t>7</w:t>
      </w:r>
      <w:r w:rsidRPr="00F12314">
        <w:fldChar w:fldCharType="end"/>
      </w:r>
      <w:r w:rsidRPr="00F12314">
        <w:t xml:space="preserve"> </w:t>
      </w:r>
      <w:r w:rsidR="00896135">
        <w:t>shows the total salary costs by occupation for each of the DHBs. (More detailed information is in Appendix A</w:t>
      </w:r>
      <w:r w:rsidR="00EB4519">
        <w:t>.</w:t>
      </w:r>
      <w:r w:rsidR="00896135">
        <w:t>) The general proportionate mix of salaries across DHBs is very similar.</w:t>
      </w:r>
    </w:p>
    <w:p w14:paraId="43F59C42" w14:textId="77777777" w:rsidR="00896135" w:rsidRDefault="00896135" w:rsidP="00896135"/>
    <w:p w14:paraId="40787428" w14:textId="7937D46E" w:rsidR="00896135" w:rsidRDefault="00896135" w:rsidP="00896135">
      <w:pPr>
        <w:pStyle w:val="Caption"/>
        <w:keepNext/>
      </w:pPr>
      <w:bookmarkStart w:id="50" w:name="_Ref54198875"/>
      <w:bookmarkStart w:id="51" w:name="_Toc41290477"/>
      <w:bookmarkStart w:id="52" w:name="_Toc54198916"/>
      <w:r w:rsidRPr="00D50F87">
        <w:rPr>
          <w:rFonts w:eastAsia="Arial"/>
          <w:b/>
          <w:i w:val="0"/>
          <w:iCs w:val="0"/>
          <w:color w:val="auto"/>
          <w:sz w:val="20"/>
          <w:szCs w:val="20"/>
        </w:rPr>
        <w:lastRenderedPageBreak/>
        <w:t xml:space="preserve">Figure </w:t>
      </w:r>
      <w:r w:rsidRPr="00D50F87">
        <w:rPr>
          <w:rFonts w:eastAsia="Arial"/>
          <w:b/>
          <w:i w:val="0"/>
          <w:iCs w:val="0"/>
          <w:color w:val="auto"/>
          <w:sz w:val="20"/>
          <w:szCs w:val="20"/>
        </w:rPr>
        <w:fldChar w:fldCharType="begin"/>
      </w:r>
      <w:r w:rsidRPr="00D50F87">
        <w:rPr>
          <w:rFonts w:eastAsia="Arial"/>
          <w:b/>
          <w:i w:val="0"/>
          <w:iCs w:val="0"/>
          <w:color w:val="auto"/>
          <w:sz w:val="20"/>
          <w:szCs w:val="20"/>
        </w:rPr>
        <w:instrText xml:space="preserve"> SEQ Figure \* ARABIC </w:instrText>
      </w:r>
      <w:r w:rsidRPr="00D50F87">
        <w:rPr>
          <w:rFonts w:eastAsia="Arial"/>
          <w:b/>
          <w:i w:val="0"/>
          <w:iCs w:val="0"/>
          <w:color w:val="auto"/>
          <w:sz w:val="20"/>
          <w:szCs w:val="20"/>
        </w:rPr>
        <w:fldChar w:fldCharType="separate"/>
      </w:r>
      <w:r w:rsidR="00884C99">
        <w:rPr>
          <w:rFonts w:eastAsia="Arial"/>
          <w:b/>
          <w:i w:val="0"/>
          <w:iCs w:val="0"/>
          <w:noProof/>
          <w:color w:val="auto"/>
          <w:sz w:val="20"/>
          <w:szCs w:val="20"/>
        </w:rPr>
        <w:t>7</w:t>
      </w:r>
      <w:r w:rsidRPr="00D50F87">
        <w:rPr>
          <w:rFonts w:eastAsia="Arial"/>
          <w:b/>
          <w:i w:val="0"/>
          <w:iCs w:val="0"/>
          <w:color w:val="auto"/>
          <w:sz w:val="20"/>
          <w:szCs w:val="20"/>
        </w:rPr>
        <w:fldChar w:fldCharType="end"/>
      </w:r>
      <w:bookmarkEnd w:id="50"/>
      <w:r w:rsidRPr="00D50F87">
        <w:rPr>
          <w:rFonts w:eastAsia="Arial"/>
          <w:b/>
          <w:i w:val="0"/>
          <w:iCs w:val="0"/>
          <w:color w:val="auto"/>
          <w:sz w:val="20"/>
          <w:szCs w:val="20"/>
        </w:rPr>
        <w:t>: DHB salary costs by occupation as at 31 December 2019</w:t>
      </w:r>
      <w:bookmarkEnd w:id="51"/>
      <w:bookmarkEnd w:id="52"/>
    </w:p>
    <w:p w14:paraId="680CF6C0" w14:textId="77777777" w:rsidR="00896135" w:rsidRPr="00D50F87" w:rsidRDefault="00896135" w:rsidP="00896135">
      <w:pPr>
        <w:keepNext/>
      </w:pPr>
      <w:r>
        <w:rPr>
          <w:noProof/>
        </w:rPr>
        <w:drawing>
          <wp:inline distT="0" distB="0" distL="0" distR="0" wp14:anchorId="5955AB61" wp14:editId="53A8774A">
            <wp:extent cx="5136515" cy="3340735"/>
            <wp:effectExtent l="0" t="0" r="6985" b="0"/>
            <wp:docPr id="12" name="Picture 12" descr="This bar graph shows that DHBs generally spend the most on salaries for those in the nursing, senior medical officer and allied and scientific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36515" cy="3340735"/>
                    </a:xfrm>
                    <a:prstGeom prst="rect">
                      <a:avLst/>
                    </a:prstGeom>
                    <a:noFill/>
                    <a:ln>
                      <a:noFill/>
                    </a:ln>
                  </pic:spPr>
                </pic:pic>
              </a:graphicData>
            </a:graphic>
          </wp:inline>
        </w:drawing>
      </w:r>
    </w:p>
    <w:p w14:paraId="546303E2" w14:textId="1E6D8B0B" w:rsidR="00896135" w:rsidRDefault="00896135" w:rsidP="00896135">
      <w:pPr>
        <w:pStyle w:val="Source"/>
      </w:pPr>
      <w:r>
        <w:t>Source: Technical Advisory Services Health Workforce Information Programme</w:t>
      </w:r>
    </w:p>
    <w:p w14:paraId="7598D0A9" w14:textId="77777777" w:rsidR="00896135" w:rsidRDefault="00896135" w:rsidP="00896135">
      <w:pPr>
        <w:pStyle w:val="Heading3"/>
      </w:pPr>
      <w:r>
        <w:t>Salary costs for non-DHB employed workforce</w:t>
      </w:r>
    </w:p>
    <w:p w14:paraId="0289E241" w14:textId="6B7BF7A4" w:rsidR="00896135" w:rsidRDefault="00896135" w:rsidP="00896135">
      <w:r>
        <w:t>The Ministry is looking at options for progressing the development of an information database on the non-regulated health and disability workforce. The aim of this work is to provide a pathway for building an information database that will be useful to the Ministry, D</w:t>
      </w:r>
      <w:r w:rsidR="00D62718">
        <w:t>HBs</w:t>
      </w:r>
      <w:r>
        <w:t xml:space="preserve"> and other stakeholders involved in developing and maintaining the capacity and capability of the non-regulated workforce, both nationally and locally.</w:t>
      </w:r>
    </w:p>
    <w:p w14:paraId="7EB978A7" w14:textId="77777777" w:rsidR="00896135" w:rsidRDefault="00896135" w:rsidP="00896135"/>
    <w:p w14:paraId="2C56A2D8" w14:textId="69470F92" w:rsidR="00896135" w:rsidRDefault="00896135" w:rsidP="00896135">
      <w:r>
        <w:t xml:space="preserve">It is possible to derive an estimate of the salary cost of the non-DHB employed workforce by looking at average salary rates. If we assume that one headcount equals 0.8 FTE and multiply the FTE number by the average salary, we derive a total cost per occupation for the non-DHB employed workforce of $7 billion (see </w:t>
      </w:r>
      <w:r w:rsidR="00F12314" w:rsidRPr="00F12314">
        <w:fldChar w:fldCharType="begin"/>
      </w:r>
      <w:r w:rsidR="00F12314" w:rsidRPr="00F12314">
        <w:instrText xml:space="preserve"> REF _Ref54198649 \h  \* MERGEFORMAT </w:instrText>
      </w:r>
      <w:r w:rsidR="00F12314" w:rsidRPr="00F12314">
        <w:fldChar w:fldCharType="separate"/>
      </w:r>
      <w:r w:rsidR="00884C99" w:rsidRPr="002A29A0">
        <w:rPr>
          <w:rFonts w:eastAsia="Arial"/>
        </w:rPr>
        <w:t xml:space="preserve">Table </w:t>
      </w:r>
      <w:r w:rsidR="00884C99">
        <w:rPr>
          <w:rFonts w:eastAsia="Arial"/>
          <w:noProof/>
        </w:rPr>
        <w:t>9</w:t>
      </w:r>
      <w:r w:rsidR="00F12314" w:rsidRPr="00F12314">
        <w:fldChar w:fldCharType="end"/>
      </w:r>
      <w:r>
        <w:t xml:space="preserve">). </w:t>
      </w:r>
    </w:p>
    <w:p w14:paraId="12B212E9" w14:textId="77777777" w:rsidR="00896135" w:rsidRDefault="00896135" w:rsidP="00896135"/>
    <w:p w14:paraId="548C3156" w14:textId="77777777" w:rsidR="00896135" w:rsidRDefault="00896135" w:rsidP="00896135">
      <w:r>
        <w:t>This would mean that the total cost of the health and disability sector workforce is around $13.2 billion per annum (adding the $6.2 billion DHB employee salary cost to the $7 billion non-DHB employee cost). This comprises 66% of total Vote Health and 15% of core Crown expenses. Given the uncertainty around these numbers, this only provides an indication and should not be relied upon.</w:t>
      </w:r>
    </w:p>
    <w:p w14:paraId="214D8F07" w14:textId="77777777" w:rsidR="00896135" w:rsidRDefault="00896135" w:rsidP="00896135"/>
    <w:p w14:paraId="3774D0C4" w14:textId="13EF228F" w:rsidR="00896135" w:rsidRPr="008409D2" w:rsidRDefault="00F12314" w:rsidP="00F12314">
      <w:pPr>
        <w:pStyle w:val="Table"/>
        <w:rPr>
          <w:rFonts w:eastAsia="Arial"/>
        </w:rPr>
      </w:pPr>
      <w:bookmarkStart w:id="53" w:name="_Ref54198649"/>
      <w:bookmarkStart w:id="54" w:name="_Toc54706257"/>
      <w:r w:rsidRPr="002A29A0">
        <w:rPr>
          <w:rFonts w:eastAsia="Arial"/>
        </w:rPr>
        <w:lastRenderedPageBreak/>
        <w:t xml:space="preserve">Table </w:t>
      </w:r>
      <w:r w:rsidRPr="002A29A0">
        <w:rPr>
          <w:rFonts w:eastAsia="Arial"/>
        </w:rPr>
        <w:fldChar w:fldCharType="begin"/>
      </w:r>
      <w:r w:rsidRPr="002A29A0">
        <w:rPr>
          <w:rFonts w:eastAsia="Arial"/>
        </w:rPr>
        <w:instrText xml:space="preserve"> SEQ Table \* ARABIC </w:instrText>
      </w:r>
      <w:r w:rsidRPr="002A29A0">
        <w:rPr>
          <w:rFonts w:eastAsia="Arial"/>
        </w:rPr>
        <w:fldChar w:fldCharType="separate"/>
      </w:r>
      <w:r w:rsidR="00884C99">
        <w:rPr>
          <w:rFonts w:eastAsia="Arial"/>
          <w:noProof/>
        </w:rPr>
        <w:t>9</w:t>
      </w:r>
      <w:r w:rsidRPr="002A29A0">
        <w:rPr>
          <w:rFonts w:eastAsia="Arial"/>
        </w:rPr>
        <w:fldChar w:fldCharType="end"/>
      </w:r>
      <w:bookmarkEnd w:id="53"/>
      <w:r w:rsidRPr="002A29A0">
        <w:rPr>
          <w:rFonts w:eastAsia="Arial"/>
        </w:rPr>
        <w:t xml:space="preserve">: </w:t>
      </w:r>
      <w:r w:rsidR="00896135" w:rsidRPr="008409D2">
        <w:rPr>
          <w:rFonts w:eastAsia="Arial"/>
        </w:rPr>
        <w:t>Non-DHB employed salary costs by occupation</w:t>
      </w:r>
      <w:bookmarkEnd w:id="54"/>
    </w:p>
    <w:tbl>
      <w:tblPr>
        <w:tblW w:w="8080"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1240"/>
        <w:gridCol w:w="1311"/>
        <w:gridCol w:w="1169"/>
        <w:gridCol w:w="1241"/>
      </w:tblGrid>
      <w:tr w:rsidR="00896135" w:rsidRPr="00B265DB" w14:paraId="44739121" w14:textId="77777777" w:rsidTr="008E7244">
        <w:trPr>
          <w:trHeight w:val="300"/>
        </w:trPr>
        <w:tc>
          <w:tcPr>
            <w:tcW w:w="3119" w:type="dxa"/>
            <w:shd w:val="clear" w:color="auto" w:fill="D9D9D9" w:themeFill="background1" w:themeFillShade="D9"/>
            <w:noWrap/>
            <w:hideMark/>
          </w:tcPr>
          <w:p w14:paraId="1779C526" w14:textId="77777777" w:rsidR="00896135" w:rsidRPr="008E7244" w:rsidRDefault="00896135" w:rsidP="00AA2D7C">
            <w:pPr>
              <w:pStyle w:val="TableText"/>
              <w:keepNext/>
              <w:spacing w:line="264" w:lineRule="auto"/>
              <w:rPr>
                <w:b/>
              </w:rPr>
            </w:pPr>
            <w:r w:rsidRPr="008E7244">
              <w:rPr>
                <w:b/>
              </w:rPr>
              <w:t>Occupation</w:t>
            </w:r>
          </w:p>
        </w:tc>
        <w:tc>
          <w:tcPr>
            <w:tcW w:w="1240" w:type="dxa"/>
            <w:shd w:val="clear" w:color="auto" w:fill="D9D9D9" w:themeFill="background1" w:themeFillShade="D9"/>
            <w:noWrap/>
            <w:hideMark/>
          </w:tcPr>
          <w:p w14:paraId="358D0365" w14:textId="5BCF96F5" w:rsidR="00896135" w:rsidRPr="008E7244" w:rsidRDefault="00896135" w:rsidP="00AA2D7C">
            <w:pPr>
              <w:pStyle w:val="TableText"/>
              <w:keepNext/>
              <w:spacing w:line="264" w:lineRule="auto"/>
              <w:jc w:val="right"/>
              <w:rPr>
                <w:b/>
              </w:rPr>
            </w:pPr>
            <w:r w:rsidRPr="008E7244">
              <w:rPr>
                <w:b/>
              </w:rPr>
              <w:t>Headcount of non-DHB</w:t>
            </w:r>
            <w:r w:rsidR="00EB4519" w:rsidRPr="008E7244">
              <w:rPr>
                <w:b/>
              </w:rPr>
              <w:t xml:space="preserve"> </w:t>
            </w:r>
            <w:r w:rsidRPr="008E7244">
              <w:rPr>
                <w:b/>
              </w:rPr>
              <w:t>employed</w:t>
            </w:r>
          </w:p>
        </w:tc>
        <w:tc>
          <w:tcPr>
            <w:tcW w:w="1311" w:type="dxa"/>
            <w:shd w:val="clear" w:color="auto" w:fill="D9D9D9" w:themeFill="background1" w:themeFillShade="D9"/>
          </w:tcPr>
          <w:p w14:paraId="7DC80331" w14:textId="77777777" w:rsidR="00896135" w:rsidRPr="008E7244" w:rsidRDefault="00896135" w:rsidP="00AA2D7C">
            <w:pPr>
              <w:pStyle w:val="TableText"/>
              <w:keepNext/>
              <w:spacing w:line="264" w:lineRule="auto"/>
              <w:jc w:val="right"/>
              <w:rPr>
                <w:b/>
              </w:rPr>
            </w:pPr>
            <w:r w:rsidRPr="008E7244">
              <w:rPr>
                <w:b/>
              </w:rPr>
              <w:t>Total FTEs (0.8 of one headcount)</w:t>
            </w:r>
          </w:p>
        </w:tc>
        <w:tc>
          <w:tcPr>
            <w:tcW w:w="1169" w:type="dxa"/>
            <w:shd w:val="clear" w:color="auto" w:fill="D9D9D9" w:themeFill="background1" w:themeFillShade="D9"/>
            <w:noWrap/>
            <w:hideMark/>
          </w:tcPr>
          <w:p w14:paraId="7D2F7645" w14:textId="77777777" w:rsidR="00896135" w:rsidRPr="008E7244" w:rsidRDefault="00896135" w:rsidP="00AA2D7C">
            <w:pPr>
              <w:pStyle w:val="TableText"/>
              <w:keepNext/>
              <w:spacing w:line="264" w:lineRule="auto"/>
              <w:jc w:val="right"/>
              <w:rPr>
                <w:b/>
              </w:rPr>
            </w:pPr>
            <w:r w:rsidRPr="008E7244">
              <w:rPr>
                <w:b/>
              </w:rPr>
              <w:t>Average salary ($)</w:t>
            </w:r>
            <w:r w:rsidRPr="008E7244">
              <w:rPr>
                <w:rStyle w:val="FootnoteReference"/>
                <w:b/>
              </w:rPr>
              <w:footnoteReference w:id="7"/>
            </w:r>
          </w:p>
        </w:tc>
        <w:tc>
          <w:tcPr>
            <w:tcW w:w="1241" w:type="dxa"/>
            <w:shd w:val="clear" w:color="auto" w:fill="D9D9D9" w:themeFill="background1" w:themeFillShade="D9"/>
            <w:noWrap/>
            <w:hideMark/>
          </w:tcPr>
          <w:p w14:paraId="20D91E7E" w14:textId="77777777" w:rsidR="00896135" w:rsidRPr="008E7244" w:rsidRDefault="00896135" w:rsidP="00AA2D7C">
            <w:pPr>
              <w:pStyle w:val="TableText"/>
              <w:keepNext/>
              <w:spacing w:line="264" w:lineRule="auto"/>
              <w:jc w:val="right"/>
              <w:rPr>
                <w:b/>
              </w:rPr>
            </w:pPr>
            <w:r w:rsidRPr="008E7244">
              <w:rPr>
                <w:b/>
              </w:rPr>
              <w:t>Total salary ($ millions)</w:t>
            </w:r>
          </w:p>
        </w:tc>
      </w:tr>
      <w:tr w:rsidR="00896135" w:rsidRPr="00B265DB" w14:paraId="1B293E99" w14:textId="77777777" w:rsidTr="008E7244">
        <w:trPr>
          <w:trHeight w:val="300"/>
        </w:trPr>
        <w:tc>
          <w:tcPr>
            <w:tcW w:w="3119" w:type="dxa"/>
            <w:shd w:val="clear" w:color="auto" w:fill="auto"/>
            <w:noWrap/>
            <w:hideMark/>
          </w:tcPr>
          <w:p w14:paraId="20937229" w14:textId="247A120F" w:rsidR="00896135" w:rsidRPr="00EA36F7" w:rsidRDefault="00896135" w:rsidP="00AA2D7C">
            <w:pPr>
              <w:pStyle w:val="TableText"/>
              <w:keepNext/>
              <w:spacing w:line="264" w:lineRule="auto"/>
            </w:pPr>
            <w:r w:rsidRPr="00EA36F7">
              <w:t xml:space="preserve">Addiction practitioner </w:t>
            </w:r>
          </w:p>
        </w:tc>
        <w:tc>
          <w:tcPr>
            <w:tcW w:w="1240" w:type="dxa"/>
            <w:shd w:val="clear" w:color="auto" w:fill="auto"/>
            <w:noWrap/>
            <w:vAlign w:val="center"/>
            <w:hideMark/>
          </w:tcPr>
          <w:p w14:paraId="538F5A32" w14:textId="77777777" w:rsidR="00896135" w:rsidRPr="00EA36F7" w:rsidRDefault="00896135" w:rsidP="00AA2D7C">
            <w:pPr>
              <w:pStyle w:val="TableText"/>
              <w:keepNext/>
              <w:spacing w:line="264" w:lineRule="auto"/>
              <w:jc w:val="right"/>
            </w:pPr>
            <w:r w:rsidRPr="00EA36F7">
              <w:t>1</w:t>
            </w:r>
            <w:r>
              <w:t>,</w:t>
            </w:r>
            <w:r w:rsidRPr="00EA36F7">
              <w:t>288</w:t>
            </w:r>
          </w:p>
        </w:tc>
        <w:tc>
          <w:tcPr>
            <w:tcW w:w="1311" w:type="dxa"/>
            <w:shd w:val="clear" w:color="auto" w:fill="auto"/>
            <w:vAlign w:val="center"/>
          </w:tcPr>
          <w:p w14:paraId="3D841F0F" w14:textId="77777777" w:rsidR="00896135" w:rsidRPr="00EA36F7" w:rsidRDefault="00896135" w:rsidP="00AA2D7C">
            <w:pPr>
              <w:pStyle w:val="TableText"/>
              <w:keepNext/>
              <w:spacing w:line="264" w:lineRule="auto"/>
              <w:jc w:val="right"/>
            </w:pPr>
            <w:r w:rsidRPr="00834D90">
              <w:t>1,030.4</w:t>
            </w:r>
          </w:p>
        </w:tc>
        <w:tc>
          <w:tcPr>
            <w:tcW w:w="1169" w:type="dxa"/>
            <w:shd w:val="clear" w:color="auto" w:fill="auto"/>
            <w:noWrap/>
            <w:vAlign w:val="center"/>
            <w:hideMark/>
          </w:tcPr>
          <w:p w14:paraId="10A855B3" w14:textId="77777777" w:rsidR="00896135" w:rsidRPr="00EA36F7" w:rsidRDefault="00896135" w:rsidP="00AA2D7C">
            <w:pPr>
              <w:pStyle w:val="TableText"/>
              <w:keepNext/>
              <w:spacing w:line="264" w:lineRule="auto"/>
              <w:jc w:val="right"/>
            </w:pPr>
            <w:r w:rsidRPr="00EA36F7">
              <w:t>57</w:t>
            </w:r>
            <w:r>
              <w:t>,</w:t>
            </w:r>
            <w:r w:rsidRPr="00EA36F7">
              <w:t>016</w:t>
            </w:r>
          </w:p>
        </w:tc>
        <w:tc>
          <w:tcPr>
            <w:tcW w:w="1241" w:type="dxa"/>
            <w:shd w:val="clear" w:color="auto" w:fill="auto"/>
            <w:noWrap/>
            <w:vAlign w:val="center"/>
          </w:tcPr>
          <w:p w14:paraId="24EC5FF0" w14:textId="77777777" w:rsidR="00896135" w:rsidRPr="00EA36F7" w:rsidRDefault="00896135" w:rsidP="00AA2D7C">
            <w:pPr>
              <w:pStyle w:val="TableText"/>
              <w:keepNext/>
              <w:spacing w:line="264" w:lineRule="auto"/>
              <w:jc w:val="right"/>
            </w:pPr>
            <w:r w:rsidRPr="00834D90">
              <w:t>58.7</w:t>
            </w:r>
          </w:p>
        </w:tc>
      </w:tr>
      <w:tr w:rsidR="00896135" w:rsidRPr="00B265DB" w14:paraId="219640C2" w14:textId="77777777" w:rsidTr="008E7244">
        <w:trPr>
          <w:trHeight w:val="300"/>
        </w:trPr>
        <w:tc>
          <w:tcPr>
            <w:tcW w:w="3119" w:type="dxa"/>
            <w:shd w:val="clear" w:color="auto" w:fill="auto"/>
            <w:noWrap/>
            <w:hideMark/>
          </w:tcPr>
          <w:p w14:paraId="18534734" w14:textId="3B3982C4" w:rsidR="00896135" w:rsidRPr="00EA36F7" w:rsidRDefault="00896135" w:rsidP="00AA2D7C">
            <w:pPr>
              <w:pStyle w:val="TableText"/>
              <w:keepNext/>
              <w:spacing w:line="264" w:lineRule="auto"/>
            </w:pPr>
            <w:r w:rsidRPr="00EA36F7">
              <w:t xml:space="preserve">Care and </w:t>
            </w:r>
            <w:r w:rsidR="00EB4519" w:rsidRPr="00EA36F7">
              <w:t xml:space="preserve">support </w:t>
            </w:r>
            <w:r w:rsidRPr="00EA36F7">
              <w:t>worker/</w:t>
            </w:r>
            <w:proofErr w:type="spellStart"/>
            <w:r w:rsidR="00EB4519" w:rsidRPr="00EA36F7">
              <w:t>kaiāwhina</w:t>
            </w:r>
            <w:proofErr w:type="spellEnd"/>
          </w:p>
        </w:tc>
        <w:tc>
          <w:tcPr>
            <w:tcW w:w="1240" w:type="dxa"/>
            <w:shd w:val="clear" w:color="auto" w:fill="auto"/>
            <w:noWrap/>
            <w:vAlign w:val="center"/>
            <w:hideMark/>
          </w:tcPr>
          <w:p w14:paraId="4DDF64A4" w14:textId="77777777" w:rsidR="00896135" w:rsidRPr="00EA36F7" w:rsidRDefault="00896135" w:rsidP="00AA2D7C">
            <w:pPr>
              <w:pStyle w:val="TableText"/>
              <w:keepNext/>
              <w:spacing w:line="264" w:lineRule="auto"/>
              <w:jc w:val="right"/>
            </w:pPr>
            <w:r w:rsidRPr="00EA36F7">
              <w:t>48</w:t>
            </w:r>
            <w:r>
              <w:t>,</w:t>
            </w:r>
            <w:r w:rsidRPr="00EA36F7">
              <w:t>947</w:t>
            </w:r>
          </w:p>
        </w:tc>
        <w:tc>
          <w:tcPr>
            <w:tcW w:w="1311" w:type="dxa"/>
            <w:shd w:val="clear" w:color="auto" w:fill="auto"/>
            <w:vAlign w:val="center"/>
          </w:tcPr>
          <w:p w14:paraId="0E24BDC0" w14:textId="77777777" w:rsidR="00896135" w:rsidRPr="00EA36F7" w:rsidRDefault="00896135" w:rsidP="00AA2D7C">
            <w:pPr>
              <w:pStyle w:val="TableText"/>
              <w:keepNext/>
              <w:spacing w:line="264" w:lineRule="auto"/>
              <w:jc w:val="right"/>
            </w:pPr>
            <w:r w:rsidRPr="00834D90">
              <w:t>39,157.6</w:t>
            </w:r>
          </w:p>
        </w:tc>
        <w:tc>
          <w:tcPr>
            <w:tcW w:w="1169" w:type="dxa"/>
            <w:shd w:val="clear" w:color="auto" w:fill="auto"/>
            <w:noWrap/>
            <w:vAlign w:val="center"/>
            <w:hideMark/>
          </w:tcPr>
          <w:p w14:paraId="32901DE2" w14:textId="77777777" w:rsidR="00896135" w:rsidRPr="00EA36F7" w:rsidRDefault="00896135" w:rsidP="00AA2D7C">
            <w:pPr>
              <w:pStyle w:val="TableText"/>
              <w:keepNext/>
              <w:spacing w:line="264" w:lineRule="auto"/>
              <w:jc w:val="right"/>
            </w:pPr>
            <w:r w:rsidRPr="00EA36F7">
              <w:t>41</w:t>
            </w:r>
            <w:r>
              <w:t>,</w:t>
            </w:r>
            <w:r w:rsidRPr="00EA36F7">
              <w:t>396</w:t>
            </w:r>
          </w:p>
        </w:tc>
        <w:tc>
          <w:tcPr>
            <w:tcW w:w="1241" w:type="dxa"/>
            <w:shd w:val="clear" w:color="auto" w:fill="auto"/>
            <w:noWrap/>
            <w:vAlign w:val="center"/>
          </w:tcPr>
          <w:p w14:paraId="5DD7243E" w14:textId="77777777" w:rsidR="00896135" w:rsidRPr="00EA36F7" w:rsidRDefault="00896135" w:rsidP="00AA2D7C">
            <w:pPr>
              <w:pStyle w:val="TableText"/>
              <w:keepNext/>
              <w:spacing w:line="264" w:lineRule="auto"/>
              <w:jc w:val="right"/>
            </w:pPr>
            <w:r w:rsidRPr="00834D90">
              <w:t>1,621.0</w:t>
            </w:r>
          </w:p>
        </w:tc>
      </w:tr>
      <w:tr w:rsidR="00896135" w:rsidRPr="00B265DB" w14:paraId="3EAF2AA1" w14:textId="77777777" w:rsidTr="008E7244">
        <w:trPr>
          <w:trHeight w:val="300"/>
        </w:trPr>
        <w:tc>
          <w:tcPr>
            <w:tcW w:w="3119" w:type="dxa"/>
            <w:shd w:val="clear" w:color="auto" w:fill="auto"/>
            <w:noWrap/>
            <w:hideMark/>
          </w:tcPr>
          <w:p w14:paraId="1C3F0AFA" w14:textId="77777777" w:rsidR="00896135" w:rsidRPr="00EA36F7" w:rsidRDefault="00896135" w:rsidP="00AA2D7C">
            <w:pPr>
              <w:pStyle w:val="TableText"/>
              <w:keepNext/>
              <w:spacing w:line="264" w:lineRule="auto"/>
            </w:pPr>
            <w:r w:rsidRPr="00EA36F7">
              <w:t>Chiropractor</w:t>
            </w:r>
          </w:p>
        </w:tc>
        <w:tc>
          <w:tcPr>
            <w:tcW w:w="1240" w:type="dxa"/>
            <w:shd w:val="clear" w:color="auto" w:fill="auto"/>
            <w:noWrap/>
            <w:vAlign w:val="center"/>
            <w:hideMark/>
          </w:tcPr>
          <w:p w14:paraId="3994CAA6" w14:textId="77777777" w:rsidR="00896135" w:rsidRPr="00EA36F7" w:rsidRDefault="00896135" w:rsidP="00AA2D7C">
            <w:pPr>
              <w:pStyle w:val="TableText"/>
              <w:keepNext/>
              <w:spacing w:line="264" w:lineRule="auto"/>
              <w:jc w:val="right"/>
            </w:pPr>
            <w:r w:rsidRPr="00EA36F7">
              <w:t>652</w:t>
            </w:r>
          </w:p>
        </w:tc>
        <w:tc>
          <w:tcPr>
            <w:tcW w:w="1311" w:type="dxa"/>
            <w:shd w:val="clear" w:color="auto" w:fill="auto"/>
            <w:vAlign w:val="center"/>
          </w:tcPr>
          <w:p w14:paraId="1C2F1421" w14:textId="77777777" w:rsidR="00896135" w:rsidRPr="00EA36F7" w:rsidRDefault="00896135" w:rsidP="00AA2D7C">
            <w:pPr>
              <w:pStyle w:val="TableText"/>
              <w:keepNext/>
              <w:spacing w:line="264" w:lineRule="auto"/>
              <w:jc w:val="right"/>
            </w:pPr>
            <w:r w:rsidRPr="00834D90">
              <w:t>521.6</w:t>
            </w:r>
          </w:p>
        </w:tc>
        <w:tc>
          <w:tcPr>
            <w:tcW w:w="1169" w:type="dxa"/>
            <w:shd w:val="clear" w:color="auto" w:fill="auto"/>
            <w:noWrap/>
            <w:vAlign w:val="center"/>
            <w:hideMark/>
          </w:tcPr>
          <w:p w14:paraId="5523F6F3" w14:textId="77777777" w:rsidR="00896135" w:rsidRPr="00EA36F7" w:rsidRDefault="00896135" w:rsidP="00AA2D7C">
            <w:pPr>
              <w:pStyle w:val="TableText"/>
              <w:keepNext/>
              <w:spacing w:line="264" w:lineRule="auto"/>
              <w:jc w:val="right"/>
            </w:pPr>
            <w:r w:rsidRPr="00EA36F7">
              <w:t>75</w:t>
            </w:r>
            <w:r>
              <w:t>,</w:t>
            </w:r>
            <w:r w:rsidRPr="00EA36F7">
              <w:t>792</w:t>
            </w:r>
          </w:p>
        </w:tc>
        <w:tc>
          <w:tcPr>
            <w:tcW w:w="1241" w:type="dxa"/>
            <w:shd w:val="clear" w:color="auto" w:fill="auto"/>
            <w:noWrap/>
            <w:vAlign w:val="center"/>
          </w:tcPr>
          <w:p w14:paraId="5FC5B49F" w14:textId="77777777" w:rsidR="00896135" w:rsidRPr="00EA36F7" w:rsidRDefault="00896135" w:rsidP="00AA2D7C">
            <w:pPr>
              <w:pStyle w:val="TableText"/>
              <w:keepNext/>
              <w:spacing w:line="264" w:lineRule="auto"/>
              <w:jc w:val="right"/>
            </w:pPr>
            <w:r w:rsidRPr="00834D90">
              <w:t>39.5</w:t>
            </w:r>
          </w:p>
        </w:tc>
      </w:tr>
      <w:tr w:rsidR="00896135" w:rsidRPr="00B265DB" w14:paraId="7B4D93DF" w14:textId="77777777" w:rsidTr="008E7244">
        <w:trPr>
          <w:trHeight w:val="300"/>
        </w:trPr>
        <w:tc>
          <w:tcPr>
            <w:tcW w:w="3119" w:type="dxa"/>
            <w:shd w:val="clear" w:color="auto" w:fill="auto"/>
            <w:noWrap/>
            <w:hideMark/>
          </w:tcPr>
          <w:p w14:paraId="6103276C" w14:textId="77777777" w:rsidR="00896135" w:rsidRPr="00EA36F7" w:rsidRDefault="00896135" w:rsidP="00AA2D7C">
            <w:pPr>
              <w:pStyle w:val="TableText"/>
              <w:keepNext/>
              <w:spacing w:line="264" w:lineRule="auto"/>
            </w:pPr>
            <w:r w:rsidRPr="00EA36F7">
              <w:t>Counsellor</w:t>
            </w:r>
          </w:p>
        </w:tc>
        <w:tc>
          <w:tcPr>
            <w:tcW w:w="1240" w:type="dxa"/>
            <w:shd w:val="clear" w:color="auto" w:fill="auto"/>
            <w:noWrap/>
            <w:vAlign w:val="center"/>
            <w:hideMark/>
          </w:tcPr>
          <w:p w14:paraId="510C3845" w14:textId="77777777" w:rsidR="00896135" w:rsidRPr="00EA36F7" w:rsidRDefault="00896135" w:rsidP="00AA2D7C">
            <w:pPr>
              <w:pStyle w:val="TableText"/>
              <w:keepNext/>
              <w:spacing w:line="264" w:lineRule="auto"/>
              <w:jc w:val="right"/>
            </w:pPr>
            <w:r w:rsidRPr="00EA36F7">
              <w:t>2</w:t>
            </w:r>
            <w:r>
              <w:t>,</w:t>
            </w:r>
            <w:r w:rsidRPr="00EA36F7">
              <w:t>885</w:t>
            </w:r>
          </w:p>
        </w:tc>
        <w:tc>
          <w:tcPr>
            <w:tcW w:w="1311" w:type="dxa"/>
            <w:shd w:val="clear" w:color="auto" w:fill="auto"/>
            <w:vAlign w:val="center"/>
          </w:tcPr>
          <w:p w14:paraId="5CD78755" w14:textId="77777777" w:rsidR="00896135" w:rsidRPr="00EA36F7" w:rsidRDefault="00896135" w:rsidP="00AA2D7C">
            <w:pPr>
              <w:pStyle w:val="TableText"/>
              <w:keepNext/>
              <w:spacing w:line="264" w:lineRule="auto"/>
              <w:jc w:val="right"/>
            </w:pPr>
            <w:r w:rsidRPr="00834D90">
              <w:t>2,308.0</w:t>
            </w:r>
          </w:p>
        </w:tc>
        <w:tc>
          <w:tcPr>
            <w:tcW w:w="1169" w:type="dxa"/>
            <w:shd w:val="clear" w:color="auto" w:fill="auto"/>
            <w:noWrap/>
            <w:vAlign w:val="center"/>
            <w:hideMark/>
          </w:tcPr>
          <w:p w14:paraId="536FA0AB" w14:textId="77777777" w:rsidR="00896135" w:rsidRPr="00EA36F7" w:rsidRDefault="00896135" w:rsidP="00AA2D7C">
            <w:pPr>
              <w:pStyle w:val="TableText"/>
              <w:keepNext/>
              <w:spacing w:line="264" w:lineRule="auto"/>
              <w:jc w:val="right"/>
            </w:pPr>
            <w:r w:rsidRPr="00EA36F7">
              <w:t>56</w:t>
            </w:r>
            <w:r>
              <w:t>,</w:t>
            </w:r>
            <w:r w:rsidRPr="00EA36F7">
              <w:t>000</w:t>
            </w:r>
          </w:p>
        </w:tc>
        <w:tc>
          <w:tcPr>
            <w:tcW w:w="1241" w:type="dxa"/>
            <w:shd w:val="clear" w:color="auto" w:fill="auto"/>
            <w:noWrap/>
            <w:vAlign w:val="center"/>
          </w:tcPr>
          <w:p w14:paraId="7C73A353" w14:textId="77777777" w:rsidR="00896135" w:rsidRPr="00EA36F7" w:rsidRDefault="00896135" w:rsidP="00AA2D7C">
            <w:pPr>
              <w:pStyle w:val="TableText"/>
              <w:keepNext/>
              <w:spacing w:line="264" w:lineRule="auto"/>
              <w:jc w:val="right"/>
            </w:pPr>
            <w:r w:rsidRPr="00834D90">
              <w:t>129.2</w:t>
            </w:r>
          </w:p>
        </w:tc>
      </w:tr>
      <w:tr w:rsidR="00896135" w:rsidRPr="00B265DB" w14:paraId="129D4241" w14:textId="77777777" w:rsidTr="008E7244">
        <w:trPr>
          <w:trHeight w:val="300"/>
        </w:trPr>
        <w:tc>
          <w:tcPr>
            <w:tcW w:w="3119" w:type="dxa"/>
            <w:shd w:val="clear" w:color="auto" w:fill="auto"/>
            <w:noWrap/>
            <w:hideMark/>
          </w:tcPr>
          <w:p w14:paraId="6A2EC16E" w14:textId="77777777" w:rsidR="00896135" w:rsidRPr="00EA36F7" w:rsidRDefault="00896135" w:rsidP="00AA2D7C">
            <w:pPr>
              <w:pStyle w:val="TableText"/>
              <w:keepNext/>
              <w:spacing w:line="264" w:lineRule="auto"/>
            </w:pPr>
            <w:r w:rsidRPr="00EA36F7">
              <w:t>Dietitian</w:t>
            </w:r>
          </w:p>
        </w:tc>
        <w:tc>
          <w:tcPr>
            <w:tcW w:w="1240" w:type="dxa"/>
            <w:shd w:val="clear" w:color="auto" w:fill="auto"/>
            <w:noWrap/>
            <w:vAlign w:val="center"/>
            <w:hideMark/>
          </w:tcPr>
          <w:p w14:paraId="1EBF76B3" w14:textId="77777777" w:rsidR="00896135" w:rsidRPr="00EA36F7" w:rsidRDefault="00896135" w:rsidP="00AA2D7C">
            <w:pPr>
              <w:pStyle w:val="TableText"/>
              <w:keepNext/>
              <w:spacing w:line="264" w:lineRule="auto"/>
              <w:jc w:val="right"/>
            </w:pPr>
            <w:r w:rsidRPr="00EA36F7">
              <w:t>393</w:t>
            </w:r>
          </w:p>
        </w:tc>
        <w:tc>
          <w:tcPr>
            <w:tcW w:w="1311" w:type="dxa"/>
            <w:shd w:val="clear" w:color="auto" w:fill="auto"/>
            <w:vAlign w:val="center"/>
          </w:tcPr>
          <w:p w14:paraId="32396D6C" w14:textId="77777777" w:rsidR="00896135" w:rsidRPr="00EA36F7" w:rsidRDefault="00896135" w:rsidP="00AA2D7C">
            <w:pPr>
              <w:pStyle w:val="TableText"/>
              <w:keepNext/>
              <w:spacing w:line="264" w:lineRule="auto"/>
              <w:jc w:val="right"/>
            </w:pPr>
            <w:r w:rsidRPr="00834D90">
              <w:t>314.4</w:t>
            </w:r>
          </w:p>
        </w:tc>
        <w:tc>
          <w:tcPr>
            <w:tcW w:w="1169" w:type="dxa"/>
            <w:shd w:val="clear" w:color="auto" w:fill="auto"/>
            <w:noWrap/>
            <w:vAlign w:val="center"/>
            <w:hideMark/>
          </w:tcPr>
          <w:p w14:paraId="60278B25" w14:textId="77777777" w:rsidR="00896135" w:rsidRPr="00EA36F7" w:rsidRDefault="00896135" w:rsidP="00AA2D7C">
            <w:pPr>
              <w:pStyle w:val="TableText"/>
              <w:keepNext/>
              <w:spacing w:line="264" w:lineRule="auto"/>
              <w:jc w:val="right"/>
            </w:pPr>
            <w:r w:rsidRPr="00EA36F7">
              <w:t>56</w:t>
            </w:r>
            <w:r>
              <w:t>,</w:t>
            </w:r>
            <w:r w:rsidRPr="00EA36F7">
              <w:t>989</w:t>
            </w:r>
          </w:p>
        </w:tc>
        <w:tc>
          <w:tcPr>
            <w:tcW w:w="1241" w:type="dxa"/>
            <w:shd w:val="clear" w:color="auto" w:fill="auto"/>
            <w:noWrap/>
            <w:vAlign w:val="center"/>
          </w:tcPr>
          <w:p w14:paraId="6811EC25" w14:textId="77777777" w:rsidR="00896135" w:rsidRPr="00EA36F7" w:rsidRDefault="00896135" w:rsidP="00AA2D7C">
            <w:pPr>
              <w:pStyle w:val="TableText"/>
              <w:keepNext/>
              <w:spacing w:line="264" w:lineRule="auto"/>
              <w:jc w:val="right"/>
            </w:pPr>
            <w:r w:rsidRPr="00834D90">
              <w:t>17.9</w:t>
            </w:r>
          </w:p>
        </w:tc>
      </w:tr>
      <w:tr w:rsidR="00896135" w:rsidRPr="00B265DB" w14:paraId="5E4AEC2F" w14:textId="77777777" w:rsidTr="008E7244">
        <w:trPr>
          <w:trHeight w:val="300"/>
        </w:trPr>
        <w:tc>
          <w:tcPr>
            <w:tcW w:w="3119" w:type="dxa"/>
            <w:shd w:val="clear" w:color="auto" w:fill="auto"/>
            <w:noWrap/>
            <w:hideMark/>
          </w:tcPr>
          <w:p w14:paraId="36035FED" w14:textId="77777777" w:rsidR="00896135" w:rsidRPr="00EA36F7" w:rsidRDefault="00896135" w:rsidP="00AA2D7C">
            <w:pPr>
              <w:pStyle w:val="TableText"/>
              <w:keepNext/>
              <w:spacing w:line="264" w:lineRule="auto"/>
            </w:pPr>
            <w:r w:rsidRPr="00EA36F7">
              <w:t>Doctor</w:t>
            </w:r>
          </w:p>
        </w:tc>
        <w:tc>
          <w:tcPr>
            <w:tcW w:w="1240" w:type="dxa"/>
            <w:shd w:val="clear" w:color="auto" w:fill="auto"/>
            <w:noWrap/>
            <w:vAlign w:val="center"/>
            <w:hideMark/>
          </w:tcPr>
          <w:p w14:paraId="3A83D64C" w14:textId="77777777" w:rsidR="00896135" w:rsidRPr="00EA36F7" w:rsidRDefault="00896135" w:rsidP="00AA2D7C">
            <w:pPr>
              <w:pStyle w:val="TableText"/>
              <w:keepNext/>
              <w:spacing w:line="264" w:lineRule="auto"/>
              <w:jc w:val="right"/>
            </w:pPr>
            <w:r w:rsidRPr="00EA36F7">
              <w:t>7</w:t>
            </w:r>
            <w:r>
              <w:t>,</w:t>
            </w:r>
            <w:r w:rsidRPr="00EA36F7">
              <w:t>406</w:t>
            </w:r>
          </w:p>
        </w:tc>
        <w:tc>
          <w:tcPr>
            <w:tcW w:w="1311" w:type="dxa"/>
            <w:shd w:val="clear" w:color="auto" w:fill="auto"/>
            <w:vAlign w:val="center"/>
          </w:tcPr>
          <w:p w14:paraId="6EC0FB39" w14:textId="77777777" w:rsidR="00896135" w:rsidRPr="00EA36F7" w:rsidRDefault="00896135" w:rsidP="00AA2D7C">
            <w:pPr>
              <w:pStyle w:val="TableText"/>
              <w:keepNext/>
              <w:spacing w:line="264" w:lineRule="auto"/>
              <w:jc w:val="right"/>
            </w:pPr>
            <w:r w:rsidRPr="00834D90">
              <w:t>5,924.8</w:t>
            </w:r>
          </w:p>
        </w:tc>
        <w:tc>
          <w:tcPr>
            <w:tcW w:w="1169" w:type="dxa"/>
            <w:shd w:val="clear" w:color="auto" w:fill="auto"/>
            <w:noWrap/>
            <w:vAlign w:val="center"/>
            <w:hideMark/>
          </w:tcPr>
          <w:p w14:paraId="7C729CD5" w14:textId="77777777" w:rsidR="00896135" w:rsidRPr="00EA36F7" w:rsidRDefault="00896135" w:rsidP="00AA2D7C">
            <w:pPr>
              <w:pStyle w:val="TableText"/>
              <w:keepNext/>
              <w:spacing w:line="264" w:lineRule="auto"/>
              <w:jc w:val="right"/>
            </w:pPr>
            <w:r w:rsidRPr="00EA36F7">
              <w:t>160</w:t>
            </w:r>
            <w:r>
              <w:t>,</w:t>
            </w:r>
            <w:r w:rsidRPr="00EA36F7">
              <w:t>000</w:t>
            </w:r>
          </w:p>
        </w:tc>
        <w:tc>
          <w:tcPr>
            <w:tcW w:w="1241" w:type="dxa"/>
            <w:shd w:val="clear" w:color="auto" w:fill="auto"/>
            <w:noWrap/>
            <w:vAlign w:val="center"/>
          </w:tcPr>
          <w:p w14:paraId="53F7A392" w14:textId="77777777" w:rsidR="00896135" w:rsidRPr="00EA36F7" w:rsidRDefault="00896135" w:rsidP="00AA2D7C">
            <w:pPr>
              <w:pStyle w:val="TableText"/>
              <w:keepNext/>
              <w:spacing w:line="264" w:lineRule="auto"/>
              <w:jc w:val="right"/>
            </w:pPr>
            <w:r w:rsidRPr="00834D90">
              <w:t>948.0</w:t>
            </w:r>
          </w:p>
        </w:tc>
      </w:tr>
      <w:tr w:rsidR="00896135" w:rsidRPr="00B265DB" w14:paraId="34B3BBAF" w14:textId="77777777" w:rsidTr="008E7244">
        <w:trPr>
          <w:trHeight w:val="300"/>
        </w:trPr>
        <w:tc>
          <w:tcPr>
            <w:tcW w:w="3119" w:type="dxa"/>
            <w:shd w:val="clear" w:color="auto" w:fill="auto"/>
            <w:noWrap/>
            <w:hideMark/>
          </w:tcPr>
          <w:p w14:paraId="7B53A03C" w14:textId="77777777" w:rsidR="00896135" w:rsidRPr="00EA36F7" w:rsidRDefault="00896135" w:rsidP="00AA2D7C">
            <w:pPr>
              <w:pStyle w:val="TableText"/>
              <w:keepNext/>
              <w:spacing w:line="264" w:lineRule="auto"/>
            </w:pPr>
            <w:r w:rsidRPr="00EA36F7">
              <w:t>Enrolled nurse</w:t>
            </w:r>
          </w:p>
        </w:tc>
        <w:tc>
          <w:tcPr>
            <w:tcW w:w="1240" w:type="dxa"/>
            <w:shd w:val="clear" w:color="auto" w:fill="auto"/>
            <w:noWrap/>
            <w:vAlign w:val="center"/>
            <w:hideMark/>
          </w:tcPr>
          <w:p w14:paraId="523723D8" w14:textId="77777777" w:rsidR="00896135" w:rsidRPr="00EA36F7" w:rsidRDefault="00896135" w:rsidP="00AA2D7C">
            <w:pPr>
              <w:pStyle w:val="TableText"/>
              <w:keepNext/>
              <w:spacing w:line="264" w:lineRule="auto"/>
              <w:jc w:val="right"/>
            </w:pPr>
            <w:r w:rsidRPr="00EA36F7">
              <w:t>1</w:t>
            </w:r>
            <w:r>
              <w:t>,</w:t>
            </w:r>
            <w:r w:rsidRPr="00EA36F7">
              <w:t>574</w:t>
            </w:r>
          </w:p>
        </w:tc>
        <w:tc>
          <w:tcPr>
            <w:tcW w:w="1311" w:type="dxa"/>
            <w:shd w:val="clear" w:color="auto" w:fill="auto"/>
            <w:vAlign w:val="center"/>
          </w:tcPr>
          <w:p w14:paraId="2866EDA9" w14:textId="77777777" w:rsidR="00896135" w:rsidRPr="00EA36F7" w:rsidRDefault="00896135" w:rsidP="00AA2D7C">
            <w:pPr>
              <w:pStyle w:val="TableText"/>
              <w:keepNext/>
              <w:spacing w:line="264" w:lineRule="auto"/>
              <w:jc w:val="right"/>
            </w:pPr>
            <w:r w:rsidRPr="00834D90">
              <w:t>1,259.2</w:t>
            </w:r>
          </w:p>
        </w:tc>
        <w:tc>
          <w:tcPr>
            <w:tcW w:w="1169" w:type="dxa"/>
            <w:shd w:val="clear" w:color="auto" w:fill="auto"/>
            <w:noWrap/>
            <w:vAlign w:val="center"/>
            <w:hideMark/>
          </w:tcPr>
          <w:p w14:paraId="0FB83E38" w14:textId="77777777" w:rsidR="00896135" w:rsidRPr="00EA36F7" w:rsidRDefault="00896135" w:rsidP="00AA2D7C">
            <w:pPr>
              <w:pStyle w:val="TableText"/>
              <w:keepNext/>
              <w:spacing w:line="264" w:lineRule="auto"/>
              <w:jc w:val="right"/>
            </w:pPr>
            <w:r w:rsidRPr="00EA36F7">
              <w:t>40</w:t>
            </w:r>
            <w:r>
              <w:t>,</w:t>
            </w:r>
            <w:r w:rsidRPr="00EA36F7">
              <w:t>700</w:t>
            </w:r>
          </w:p>
        </w:tc>
        <w:tc>
          <w:tcPr>
            <w:tcW w:w="1241" w:type="dxa"/>
            <w:shd w:val="clear" w:color="auto" w:fill="auto"/>
            <w:noWrap/>
            <w:vAlign w:val="center"/>
          </w:tcPr>
          <w:p w14:paraId="2A37AB4F" w14:textId="77777777" w:rsidR="00896135" w:rsidRPr="00EA36F7" w:rsidRDefault="00896135" w:rsidP="00AA2D7C">
            <w:pPr>
              <w:pStyle w:val="TableText"/>
              <w:keepNext/>
              <w:spacing w:line="264" w:lineRule="auto"/>
              <w:jc w:val="right"/>
            </w:pPr>
            <w:r w:rsidRPr="00834D90">
              <w:t>51.2</w:t>
            </w:r>
          </w:p>
        </w:tc>
      </w:tr>
      <w:tr w:rsidR="00896135" w:rsidRPr="00B265DB" w14:paraId="4C3F4388" w14:textId="77777777" w:rsidTr="008E7244">
        <w:trPr>
          <w:trHeight w:val="300"/>
        </w:trPr>
        <w:tc>
          <w:tcPr>
            <w:tcW w:w="3119" w:type="dxa"/>
            <w:shd w:val="clear" w:color="auto" w:fill="auto"/>
            <w:noWrap/>
            <w:hideMark/>
          </w:tcPr>
          <w:p w14:paraId="6E33F513" w14:textId="20FD3A00" w:rsidR="00896135" w:rsidRPr="00EA36F7" w:rsidRDefault="00896135" w:rsidP="00AA2D7C">
            <w:pPr>
              <w:pStyle w:val="TableText"/>
              <w:keepNext/>
              <w:spacing w:line="264" w:lineRule="auto"/>
            </w:pPr>
            <w:r w:rsidRPr="00EA36F7">
              <w:t xml:space="preserve">Medical </w:t>
            </w:r>
            <w:r w:rsidR="00EB4519" w:rsidRPr="00EA36F7">
              <w:t>radiation tec</w:t>
            </w:r>
            <w:r w:rsidRPr="00EA36F7">
              <w:t>hnologists</w:t>
            </w:r>
          </w:p>
        </w:tc>
        <w:tc>
          <w:tcPr>
            <w:tcW w:w="1240" w:type="dxa"/>
            <w:shd w:val="clear" w:color="auto" w:fill="auto"/>
            <w:noWrap/>
            <w:vAlign w:val="center"/>
            <w:hideMark/>
          </w:tcPr>
          <w:p w14:paraId="5A4DC533" w14:textId="77777777" w:rsidR="00896135" w:rsidRPr="00EA36F7" w:rsidRDefault="00896135" w:rsidP="00AA2D7C">
            <w:pPr>
              <w:pStyle w:val="TableText"/>
              <w:keepNext/>
              <w:spacing w:line="264" w:lineRule="auto"/>
              <w:jc w:val="right"/>
            </w:pPr>
            <w:r w:rsidRPr="00EA36F7">
              <w:t>1</w:t>
            </w:r>
            <w:r>
              <w:t>,</w:t>
            </w:r>
            <w:r w:rsidRPr="00EA36F7">
              <w:t>795</w:t>
            </w:r>
          </w:p>
        </w:tc>
        <w:tc>
          <w:tcPr>
            <w:tcW w:w="1311" w:type="dxa"/>
            <w:shd w:val="clear" w:color="auto" w:fill="auto"/>
            <w:vAlign w:val="center"/>
          </w:tcPr>
          <w:p w14:paraId="7493138F" w14:textId="77777777" w:rsidR="00896135" w:rsidRPr="00EA36F7" w:rsidRDefault="00896135" w:rsidP="00AA2D7C">
            <w:pPr>
              <w:pStyle w:val="TableText"/>
              <w:keepNext/>
              <w:spacing w:line="264" w:lineRule="auto"/>
              <w:jc w:val="right"/>
            </w:pPr>
            <w:r w:rsidRPr="00834D90">
              <w:t>1,436.0</w:t>
            </w:r>
          </w:p>
        </w:tc>
        <w:tc>
          <w:tcPr>
            <w:tcW w:w="1169" w:type="dxa"/>
            <w:shd w:val="clear" w:color="auto" w:fill="auto"/>
            <w:noWrap/>
            <w:vAlign w:val="center"/>
            <w:hideMark/>
          </w:tcPr>
          <w:p w14:paraId="49625394" w14:textId="77777777" w:rsidR="00896135" w:rsidRPr="00EA36F7" w:rsidRDefault="00896135" w:rsidP="00AA2D7C">
            <w:pPr>
              <w:pStyle w:val="TableText"/>
              <w:keepNext/>
              <w:spacing w:line="264" w:lineRule="auto"/>
              <w:jc w:val="right"/>
            </w:pPr>
            <w:r w:rsidRPr="00EA36F7">
              <w:t>70</w:t>
            </w:r>
            <w:r>
              <w:t>,</w:t>
            </w:r>
            <w:r w:rsidRPr="00EA36F7">
              <w:t>000</w:t>
            </w:r>
          </w:p>
        </w:tc>
        <w:tc>
          <w:tcPr>
            <w:tcW w:w="1241" w:type="dxa"/>
            <w:shd w:val="clear" w:color="auto" w:fill="auto"/>
            <w:noWrap/>
            <w:vAlign w:val="center"/>
          </w:tcPr>
          <w:p w14:paraId="5C2D2DB4" w14:textId="77777777" w:rsidR="00896135" w:rsidRPr="00EA36F7" w:rsidRDefault="00896135" w:rsidP="00AA2D7C">
            <w:pPr>
              <w:pStyle w:val="TableText"/>
              <w:keepNext/>
              <w:spacing w:line="264" w:lineRule="auto"/>
              <w:jc w:val="right"/>
            </w:pPr>
            <w:r w:rsidRPr="00834D90">
              <w:t>100.5</w:t>
            </w:r>
          </w:p>
        </w:tc>
      </w:tr>
      <w:tr w:rsidR="00896135" w:rsidRPr="00B265DB" w14:paraId="651123EF" w14:textId="77777777" w:rsidTr="008E7244">
        <w:trPr>
          <w:trHeight w:val="300"/>
        </w:trPr>
        <w:tc>
          <w:tcPr>
            <w:tcW w:w="3119" w:type="dxa"/>
            <w:shd w:val="clear" w:color="auto" w:fill="auto"/>
            <w:noWrap/>
            <w:hideMark/>
          </w:tcPr>
          <w:p w14:paraId="320E9CE3" w14:textId="4F157A99" w:rsidR="00896135" w:rsidRPr="00EA36F7" w:rsidRDefault="00896135" w:rsidP="00AA2D7C">
            <w:pPr>
              <w:pStyle w:val="TableText"/>
              <w:keepNext/>
              <w:spacing w:line="264" w:lineRule="auto"/>
            </w:pPr>
            <w:r w:rsidRPr="00EA36F7">
              <w:t xml:space="preserve">Medical </w:t>
            </w:r>
            <w:r w:rsidR="00EB4519" w:rsidRPr="00EA36F7">
              <w:t>scientist/tec</w:t>
            </w:r>
            <w:r w:rsidRPr="00EA36F7">
              <w:t>hnician</w:t>
            </w:r>
          </w:p>
        </w:tc>
        <w:tc>
          <w:tcPr>
            <w:tcW w:w="1240" w:type="dxa"/>
            <w:shd w:val="clear" w:color="auto" w:fill="auto"/>
            <w:noWrap/>
            <w:vAlign w:val="center"/>
            <w:hideMark/>
          </w:tcPr>
          <w:p w14:paraId="75A57A31" w14:textId="77777777" w:rsidR="00896135" w:rsidRPr="00EA36F7" w:rsidRDefault="00896135" w:rsidP="00AA2D7C">
            <w:pPr>
              <w:pStyle w:val="TableText"/>
              <w:keepNext/>
              <w:spacing w:line="264" w:lineRule="auto"/>
              <w:jc w:val="right"/>
            </w:pPr>
            <w:r w:rsidRPr="00EA36F7">
              <w:t>2</w:t>
            </w:r>
            <w:r>
              <w:t>,</w:t>
            </w:r>
            <w:r w:rsidRPr="00EA36F7">
              <w:t>182</w:t>
            </w:r>
          </w:p>
        </w:tc>
        <w:tc>
          <w:tcPr>
            <w:tcW w:w="1311" w:type="dxa"/>
            <w:shd w:val="clear" w:color="auto" w:fill="auto"/>
            <w:vAlign w:val="center"/>
          </w:tcPr>
          <w:p w14:paraId="684D9FD0" w14:textId="77777777" w:rsidR="00896135" w:rsidRPr="00EA36F7" w:rsidRDefault="00896135" w:rsidP="00AA2D7C">
            <w:pPr>
              <w:pStyle w:val="TableText"/>
              <w:keepNext/>
              <w:spacing w:line="264" w:lineRule="auto"/>
              <w:jc w:val="right"/>
            </w:pPr>
            <w:r w:rsidRPr="00834D90">
              <w:t>1,745.6</w:t>
            </w:r>
          </w:p>
        </w:tc>
        <w:tc>
          <w:tcPr>
            <w:tcW w:w="1169" w:type="dxa"/>
            <w:shd w:val="clear" w:color="auto" w:fill="auto"/>
            <w:noWrap/>
            <w:vAlign w:val="center"/>
            <w:hideMark/>
          </w:tcPr>
          <w:p w14:paraId="04F8CBB4" w14:textId="77777777" w:rsidR="00896135" w:rsidRPr="00EA36F7" w:rsidRDefault="00896135" w:rsidP="00AA2D7C">
            <w:pPr>
              <w:pStyle w:val="TableText"/>
              <w:keepNext/>
              <w:spacing w:line="264" w:lineRule="auto"/>
              <w:jc w:val="right"/>
            </w:pPr>
            <w:r w:rsidRPr="00EA36F7">
              <w:t>59</w:t>
            </w:r>
            <w:r>
              <w:t>,</w:t>
            </w:r>
            <w:r w:rsidRPr="00EA36F7">
              <w:t>226</w:t>
            </w:r>
          </w:p>
        </w:tc>
        <w:tc>
          <w:tcPr>
            <w:tcW w:w="1241" w:type="dxa"/>
            <w:shd w:val="clear" w:color="auto" w:fill="auto"/>
            <w:noWrap/>
            <w:vAlign w:val="center"/>
          </w:tcPr>
          <w:p w14:paraId="57AB6366" w14:textId="77777777" w:rsidR="00896135" w:rsidRPr="00EA36F7" w:rsidRDefault="00896135" w:rsidP="00AA2D7C">
            <w:pPr>
              <w:pStyle w:val="TableText"/>
              <w:keepNext/>
              <w:spacing w:line="264" w:lineRule="auto"/>
              <w:jc w:val="right"/>
            </w:pPr>
            <w:r w:rsidRPr="00834D90">
              <w:t>103.4</w:t>
            </w:r>
          </w:p>
        </w:tc>
      </w:tr>
      <w:tr w:rsidR="00896135" w:rsidRPr="00B265DB" w14:paraId="4C61142D" w14:textId="77777777" w:rsidTr="008E7244">
        <w:trPr>
          <w:trHeight w:val="300"/>
        </w:trPr>
        <w:tc>
          <w:tcPr>
            <w:tcW w:w="3119" w:type="dxa"/>
            <w:shd w:val="clear" w:color="auto" w:fill="auto"/>
            <w:noWrap/>
            <w:hideMark/>
          </w:tcPr>
          <w:p w14:paraId="5D9C6688" w14:textId="77777777" w:rsidR="00896135" w:rsidRPr="00EA36F7" w:rsidRDefault="00896135" w:rsidP="00AA2D7C">
            <w:pPr>
              <w:pStyle w:val="TableText"/>
              <w:keepNext/>
              <w:spacing w:line="264" w:lineRule="auto"/>
            </w:pPr>
            <w:r w:rsidRPr="00EA36F7">
              <w:t>Midwife</w:t>
            </w:r>
          </w:p>
        </w:tc>
        <w:tc>
          <w:tcPr>
            <w:tcW w:w="1240" w:type="dxa"/>
            <w:shd w:val="clear" w:color="auto" w:fill="auto"/>
            <w:noWrap/>
            <w:vAlign w:val="center"/>
            <w:hideMark/>
          </w:tcPr>
          <w:p w14:paraId="54166006" w14:textId="77777777" w:rsidR="00896135" w:rsidRPr="00EA36F7" w:rsidRDefault="00896135" w:rsidP="00AA2D7C">
            <w:pPr>
              <w:pStyle w:val="TableText"/>
              <w:keepNext/>
              <w:spacing w:line="264" w:lineRule="auto"/>
              <w:jc w:val="right"/>
            </w:pPr>
            <w:r w:rsidRPr="00EA36F7">
              <w:t>1</w:t>
            </w:r>
            <w:r>
              <w:t>,</w:t>
            </w:r>
            <w:r w:rsidRPr="00EA36F7">
              <w:t>770</w:t>
            </w:r>
          </w:p>
        </w:tc>
        <w:tc>
          <w:tcPr>
            <w:tcW w:w="1311" w:type="dxa"/>
            <w:shd w:val="clear" w:color="auto" w:fill="auto"/>
            <w:vAlign w:val="center"/>
          </w:tcPr>
          <w:p w14:paraId="796EA03E" w14:textId="77777777" w:rsidR="00896135" w:rsidRPr="00EA36F7" w:rsidRDefault="00896135" w:rsidP="00AA2D7C">
            <w:pPr>
              <w:pStyle w:val="TableText"/>
              <w:keepNext/>
              <w:spacing w:line="264" w:lineRule="auto"/>
              <w:jc w:val="right"/>
            </w:pPr>
            <w:r w:rsidRPr="00834D90">
              <w:t>1,416.0</w:t>
            </w:r>
          </w:p>
        </w:tc>
        <w:tc>
          <w:tcPr>
            <w:tcW w:w="1169" w:type="dxa"/>
            <w:shd w:val="clear" w:color="auto" w:fill="auto"/>
            <w:noWrap/>
            <w:vAlign w:val="center"/>
            <w:hideMark/>
          </w:tcPr>
          <w:p w14:paraId="2406511A" w14:textId="77777777" w:rsidR="00896135" w:rsidRPr="00EA36F7" w:rsidRDefault="00896135" w:rsidP="00AA2D7C">
            <w:pPr>
              <w:pStyle w:val="TableText"/>
              <w:keepNext/>
              <w:spacing w:line="264" w:lineRule="auto"/>
              <w:jc w:val="right"/>
            </w:pPr>
            <w:r w:rsidRPr="00EA36F7">
              <w:t>61</w:t>
            </w:r>
            <w:r>
              <w:t>,</w:t>
            </w:r>
            <w:r w:rsidRPr="00EA36F7">
              <w:t>323</w:t>
            </w:r>
          </w:p>
        </w:tc>
        <w:tc>
          <w:tcPr>
            <w:tcW w:w="1241" w:type="dxa"/>
            <w:shd w:val="clear" w:color="auto" w:fill="auto"/>
            <w:noWrap/>
            <w:vAlign w:val="center"/>
          </w:tcPr>
          <w:p w14:paraId="21621F8C" w14:textId="77777777" w:rsidR="00896135" w:rsidRPr="00EA36F7" w:rsidRDefault="00896135" w:rsidP="00AA2D7C">
            <w:pPr>
              <w:pStyle w:val="TableText"/>
              <w:keepNext/>
              <w:spacing w:line="264" w:lineRule="auto"/>
              <w:jc w:val="right"/>
            </w:pPr>
            <w:r w:rsidRPr="00834D90">
              <w:t>86.8</w:t>
            </w:r>
          </w:p>
        </w:tc>
      </w:tr>
      <w:tr w:rsidR="00896135" w:rsidRPr="00B265DB" w14:paraId="4E05F9BE" w14:textId="77777777" w:rsidTr="008E7244">
        <w:trPr>
          <w:trHeight w:val="300"/>
        </w:trPr>
        <w:tc>
          <w:tcPr>
            <w:tcW w:w="3119" w:type="dxa"/>
            <w:shd w:val="clear" w:color="auto" w:fill="auto"/>
            <w:noWrap/>
            <w:hideMark/>
          </w:tcPr>
          <w:p w14:paraId="434FE5C7" w14:textId="77777777" w:rsidR="00896135" w:rsidRPr="00EA36F7" w:rsidRDefault="00896135" w:rsidP="00AA2D7C">
            <w:pPr>
              <w:pStyle w:val="TableText"/>
              <w:keepNext/>
              <w:spacing w:line="264" w:lineRule="auto"/>
            </w:pPr>
            <w:r w:rsidRPr="00EA36F7">
              <w:t>Nurse practitioner</w:t>
            </w:r>
          </w:p>
        </w:tc>
        <w:tc>
          <w:tcPr>
            <w:tcW w:w="1240" w:type="dxa"/>
            <w:shd w:val="clear" w:color="auto" w:fill="auto"/>
            <w:noWrap/>
            <w:vAlign w:val="center"/>
            <w:hideMark/>
          </w:tcPr>
          <w:p w14:paraId="6B2EDE8E" w14:textId="77777777" w:rsidR="00896135" w:rsidRPr="00EA36F7" w:rsidRDefault="00896135" w:rsidP="00AA2D7C">
            <w:pPr>
              <w:pStyle w:val="TableText"/>
              <w:keepNext/>
              <w:spacing w:line="264" w:lineRule="auto"/>
              <w:jc w:val="right"/>
            </w:pPr>
            <w:r w:rsidRPr="00EA36F7">
              <w:t>246</w:t>
            </w:r>
          </w:p>
        </w:tc>
        <w:tc>
          <w:tcPr>
            <w:tcW w:w="1311" w:type="dxa"/>
            <w:shd w:val="clear" w:color="auto" w:fill="auto"/>
            <w:vAlign w:val="center"/>
          </w:tcPr>
          <w:p w14:paraId="001CD092" w14:textId="77777777" w:rsidR="00896135" w:rsidRPr="00EA36F7" w:rsidRDefault="00896135" w:rsidP="00AA2D7C">
            <w:pPr>
              <w:pStyle w:val="TableText"/>
              <w:keepNext/>
              <w:spacing w:line="264" w:lineRule="auto"/>
              <w:jc w:val="right"/>
            </w:pPr>
            <w:r w:rsidRPr="00834D90">
              <w:t>196.8</w:t>
            </w:r>
          </w:p>
        </w:tc>
        <w:tc>
          <w:tcPr>
            <w:tcW w:w="1169" w:type="dxa"/>
            <w:shd w:val="clear" w:color="auto" w:fill="auto"/>
            <w:noWrap/>
            <w:vAlign w:val="center"/>
            <w:hideMark/>
          </w:tcPr>
          <w:p w14:paraId="6C7A2290" w14:textId="77777777" w:rsidR="00896135" w:rsidRPr="00EA36F7" w:rsidRDefault="00896135" w:rsidP="00AA2D7C">
            <w:pPr>
              <w:pStyle w:val="TableText"/>
              <w:keepNext/>
              <w:spacing w:line="264" w:lineRule="auto"/>
              <w:jc w:val="right"/>
            </w:pPr>
            <w:r w:rsidRPr="00EA36F7">
              <w:t>122</w:t>
            </w:r>
            <w:r>
              <w:t>,</w:t>
            </w:r>
            <w:r w:rsidRPr="00EA36F7">
              <w:t>707</w:t>
            </w:r>
          </w:p>
        </w:tc>
        <w:tc>
          <w:tcPr>
            <w:tcW w:w="1241" w:type="dxa"/>
            <w:shd w:val="clear" w:color="auto" w:fill="auto"/>
            <w:noWrap/>
            <w:vAlign w:val="center"/>
          </w:tcPr>
          <w:p w14:paraId="248CF0FE" w14:textId="77777777" w:rsidR="00896135" w:rsidRPr="00EA36F7" w:rsidRDefault="00896135" w:rsidP="00AA2D7C">
            <w:pPr>
              <w:pStyle w:val="TableText"/>
              <w:keepNext/>
              <w:spacing w:line="264" w:lineRule="auto"/>
              <w:jc w:val="right"/>
            </w:pPr>
            <w:r w:rsidRPr="00834D90">
              <w:t>24.1</w:t>
            </w:r>
          </w:p>
        </w:tc>
      </w:tr>
      <w:tr w:rsidR="00896135" w:rsidRPr="00B265DB" w14:paraId="39B2C239" w14:textId="77777777" w:rsidTr="008E7244">
        <w:trPr>
          <w:trHeight w:val="300"/>
        </w:trPr>
        <w:tc>
          <w:tcPr>
            <w:tcW w:w="3119" w:type="dxa"/>
            <w:shd w:val="clear" w:color="auto" w:fill="auto"/>
            <w:noWrap/>
            <w:hideMark/>
          </w:tcPr>
          <w:p w14:paraId="564AD413" w14:textId="77777777" w:rsidR="00896135" w:rsidRPr="00EA36F7" w:rsidRDefault="00896135" w:rsidP="00AA2D7C">
            <w:pPr>
              <w:pStyle w:val="TableText"/>
              <w:keepNext/>
              <w:spacing w:line="264" w:lineRule="auto"/>
            </w:pPr>
            <w:r w:rsidRPr="00EA36F7">
              <w:t>Occupational therapist</w:t>
            </w:r>
          </w:p>
        </w:tc>
        <w:tc>
          <w:tcPr>
            <w:tcW w:w="1240" w:type="dxa"/>
            <w:shd w:val="clear" w:color="auto" w:fill="auto"/>
            <w:noWrap/>
            <w:vAlign w:val="center"/>
            <w:hideMark/>
          </w:tcPr>
          <w:p w14:paraId="0FB6C5E1" w14:textId="77777777" w:rsidR="00896135" w:rsidRPr="00EA36F7" w:rsidRDefault="00896135" w:rsidP="00AA2D7C">
            <w:pPr>
              <w:pStyle w:val="TableText"/>
              <w:keepNext/>
              <w:spacing w:line="264" w:lineRule="auto"/>
              <w:jc w:val="right"/>
            </w:pPr>
            <w:r w:rsidRPr="00EA36F7">
              <w:t>1</w:t>
            </w:r>
            <w:r>
              <w:t>,</w:t>
            </w:r>
            <w:r w:rsidRPr="00EA36F7">
              <w:t>559</w:t>
            </w:r>
          </w:p>
        </w:tc>
        <w:tc>
          <w:tcPr>
            <w:tcW w:w="1311" w:type="dxa"/>
            <w:shd w:val="clear" w:color="auto" w:fill="auto"/>
            <w:vAlign w:val="center"/>
          </w:tcPr>
          <w:p w14:paraId="71D20E92" w14:textId="77777777" w:rsidR="00896135" w:rsidRPr="00EA36F7" w:rsidRDefault="00896135" w:rsidP="00AA2D7C">
            <w:pPr>
              <w:pStyle w:val="TableText"/>
              <w:keepNext/>
              <w:spacing w:line="264" w:lineRule="auto"/>
              <w:jc w:val="right"/>
            </w:pPr>
            <w:r w:rsidRPr="00834D90">
              <w:t>1,247.2</w:t>
            </w:r>
          </w:p>
        </w:tc>
        <w:tc>
          <w:tcPr>
            <w:tcW w:w="1169" w:type="dxa"/>
            <w:shd w:val="clear" w:color="auto" w:fill="auto"/>
            <w:noWrap/>
            <w:vAlign w:val="center"/>
            <w:hideMark/>
          </w:tcPr>
          <w:p w14:paraId="2285DBF8" w14:textId="77777777" w:rsidR="00896135" w:rsidRPr="00EA36F7" w:rsidRDefault="00896135" w:rsidP="00AA2D7C">
            <w:pPr>
              <w:pStyle w:val="TableText"/>
              <w:keepNext/>
              <w:spacing w:line="264" w:lineRule="auto"/>
              <w:jc w:val="right"/>
            </w:pPr>
            <w:r w:rsidRPr="00EA36F7">
              <w:t>83</w:t>
            </w:r>
            <w:r>
              <w:t>,</w:t>
            </w:r>
            <w:r w:rsidRPr="00EA36F7">
              <w:t>000</w:t>
            </w:r>
          </w:p>
        </w:tc>
        <w:tc>
          <w:tcPr>
            <w:tcW w:w="1241" w:type="dxa"/>
            <w:shd w:val="clear" w:color="auto" w:fill="auto"/>
            <w:noWrap/>
            <w:vAlign w:val="center"/>
          </w:tcPr>
          <w:p w14:paraId="04548659" w14:textId="77777777" w:rsidR="00896135" w:rsidRPr="00EA36F7" w:rsidRDefault="00896135" w:rsidP="00AA2D7C">
            <w:pPr>
              <w:pStyle w:val="TableText"/>
              <w:keepNext/>
              <w:spacing w:line="264" w:lineRule="auto"/>
              <w:jc w:val="right"/>
            </w:pPr>
            <w:r w:rsidRPr="00834D90">
              <w:t>103.5</w:t>
            </w:r>
          </w:p>
        </w:tc>
      </w:tr>
      <w:tr w:rsidR="00896135" w:rsidRPr="00B265DB" w14:paraId="4A6E80EE" w14:textId="77777777" w:rsidTr="008E7244">
        <w:trPr>
          <w:trHeight w:val="300"/>
        </w:trPr>
        <w:tc>
          <w:tcPr>
            <w:tcW w:w="3119" w:type="dxa"/>
            <w:shd w:val="clear" w:color="auto" w:fill="auto"/>
            <w:noWrap/>
            <w:hideMark/>
          </w:tcPr>
          <w:p w14:paraId="19D1DFE6" w14:textId="2DB67A4E" w:rsidR="00896135" w:rsidRPr="00EA36F7" w:rsidRDefault="00896135" w:rsidP="00AA2D7C">
            <w:pPr>
              <w:pStyle w:val="TableText"/>
              <w:keepNext/>
              <w:spacing w:line="264" w:lineRule="auto"/>
            </w:pPr>
            <w:r w:rsidRPr="00EA36F7">
              <w:t>Optometrist/</w:t>
            </w:r>
            <w:r w:rsidR="00EB4519" w:rsidRPr="00EA36F7">
              <w:t>dispensing optic</w:t>
            </w:r>
            <w:r w:rsidRPr="00EA36F7">
              <w:t>ian</w:t>
            </w:r>
          </w:p>
        </w:tc>
        <w:tc>
          <w:tcPr>
            <w:tcW w:w="1240" w:type="dxa"/>
            <w:shd w:val="clear" w:color="auto" w:fill="auto"/>
            <w:noWrap/>
            <w:vAlign w:val="center"/>
            <w:hideMark/>
          </w:tcPr>
          <w:p w14:paraId="23873035" w14:textId="77777777" w:rsidR="00896135" w:rsidRPr="00EA36F7" w:rsidRDefault="00896135" w:rsidP="00AA2D7C">
            <w:pPr>
              <w:pStyle w:val="TableText"/>
              <w:keepNext/>
              <w:spacing w:line="264" w:lineRule="auto"/>
              <w:jc w:val="right"/>
            </w:pPr>
            <w:r w:rsidRPr="00EA36F7">
              <w:t>916</w:t>
            </w:r>
          </w:p>
        </w:tc>
        <w:tc>
          <w:tcPr>
            <w:tcW w:w="1311" w:type="dxa"/>
            <w:shd w:val="clear" w:color="auto" w:fill="auto"/>
            <w:vAlign w:val="center"/>
          </w:tcPr>
          <w:p w14:paraId="145116D5" w14:textId="77777777" w:rsidR="00896135" w:rsidRPr="00EA36F7" w:rsidRDefault="00896135" w:rsidP="00AA2D7C">
            <w:pPr>
              <w:pStyle w:val="TableText"/>
              <w:keepNext/>
              <w:spacing w:line="264" w:lineRule="auto"/>
              <w:jc w:val="right"/>
            </w:pPr>
            <w:r w:rsidRPr="00834D90">
              <w:t>732.8</w:t>
            </w:r>
          </w:p>
        </w:tc>
        <w:tc>
          <w:tcPr>
            <w:tcW w:w="1169" w:type="dxa"/>
            <w:shd w:val="clear" w:color="auto" w:fill="auto"/>
            <w:noWrap/>
            <w:vAlign w:val="center"/>
            <w:hideMark/>
          </w:tcPr>
          <w:p w14:paraId="05E597FD" w14:textId="77777777" w:rsidR="00896135" w:rsidRPr="00EA36F7" w:rsidRDefault="00896135" w:rsidP="00AA2D7C">
            <w:pPr>
              <w:pStyle w:val="TableText"/>
              <w:keepNext/>
              <w:spacing w:line="264" w:lineRule="auto"/>
              <w:jc w:val="right"/>
            </w:pPr>
            <w:r w:rsidRPr="00EA36F7">
              <w:t>81</w:t>
            </w:r>
            <w:r>
              <w:t>,</w:t>
            </w:r>
            <w:r w:rsidRPr="00EA36F7">
              <w:t>785</w:t>
            </w:r>
          </w:p>
        </w:tc>
        <w:tc>
          <w:tcPr>
            <w:tcW w:w="1241" w:type="dxa"/>
            <w:shd w:val="clear" w:color="auto" w:fill="auto"/>
            <w:noWrap/>
            <w:vAlign w:val="center"/>
          </w:tcPr>
          <w:p w14:paraId="540477A3" w14:textId="77777777" w:rsidR="00896135" w:rsidRPr="00EA36F7" w:rsidRDefault="00896135" w:rsidP="00AA2D7C">
            <w:pPr>
              <w:pStyle w:val="TableText"/>
              <w:keepNext/>
              <w:spacing w:line="264" w:lineRule="auto"/>
              <w:jc w:val="right"/>
            </w:pPr>
            <w:r w:rsidRPr="00834D90">
              <w:t>59.9</w:t>
            </w:r>
          </w:p>
        </w:tc>
      </w:tr>
      <w:tr w:rsidR="00896135" w:rsidRPr="00B265DB" w14:paraId="3D57D94C" w14:textId="77777777" w:rsidTr="008E7244">
        <w:trPr>
          <w:trHeight w:val="300"/>
        </w:trPr>
        <w:tc>
          <w:tcPr>
            <w:tcW w:w="3119" w:type="dxa"/>
            <w:shd w:val="clear" w:color="auto" w:fill="auto"/>
            <w:noWrap/>
            <w:hideMark/>
          </w:tcPr>
          <w:p w14:paraId="0C5506B3" w14:textId="77777777" w:rsidR="00896135" w:rsidRPr="00EA36F7" w:rsidRDefault="00896135" w:rsidP="00AA2D7C">
            <w:pPr>
              <w:pStyle w:val="TableText"/>
              <w:keepNext/>
              <w:spacing w:line="264" w:lineRule="auto"/>
            </w:pPr>
            <w:r w:rsidRPr="00EA36F7">
              <w:t>Oral health practitioner</w:t>
            </w:r>
          </w:p>
        </w:tc>
        <w:tc>
          <w:tcPr>
            <w:tcW w:w="1240" w:type="dxa"/>
            <w:shd w:val="clear" w:color="auto" w:fill="auto"/>
            <w:noWrap/>
            <w:vAlign w:val="center"/>
            <w:hideMark/>
          </w:tcPr>
          <w:p w14:paraId="34EECB82" w14:textId="77777777" w:rsidR="00896135" w:rsidRPr="00EA36F7" w:rsidRDefault="00896135" w:rsidP="00AA2D7C">
            <w:pPr>
              <w:pStyle w:val="TableText"/>
              <w:keepNext/>
              <w:spacing w:line="264" w:lineRule="auto"/>
              <w:jc w:val="right"/>
            </w:pPr>
            <w:r w:rsidRPr="00EA36F7">
              <w:t>4</w:t>
            </w:r>
            <w:r>
              <w:t>,</w:t>
            </w:r>
            <w:r w:rsidRPr="00EA36F7">
              <w:t>402</w:t>
            </w:r>
          </w:p>
        </w:tc>
        <w:tc>
          <w:tcPr>
            <w:tcW w:w="1311" w:type="dxa"/>
            <w:shd w:val="clear" w:color="auto" w:fill="auto"/>
            <w:vAlign w:val="center"/>
          </w:tcPr>
          <w:p w14:paraId="480202D5" w14:textId="77777777" w:rsidR="00896135" w:rsidRPr="00EA36F7" w:rsidRDefault="00896135" w:rsidP="00AA2D7C">
            <w:pPr>
              <w:pStyle w:val="TableText"/>
              <w:keepNext/>
              <w:spacing w:line="264" w:lineRule="auto"/>
              <w:jc w:val="right"/>
            </w:pPr>
            <w:r w:rsidRPr="00834D90">
              <w:t>3,521.6</w:t>
            </w:r>
          </w:p>
        </w:tc>
        <w:tc>
          <w:tcPr>
            <w:tcW w:w="1169" w:type="dxa"/>
            <w:shd w:val="clear" w:color="auto" w:fill="auto"/>
            <w:noWrap/>
            <w:vAlign w:val="center"/>
            <w:hideMark/>
          </w:tcPr>
          <w:p w14:paraId="10337F99" w14:textId="77777777" w:rsidR="00896135" w:rsidRPr="00EA36F7" w:rsidRDefault="00896135" w:rsidP="00AA2D7C">
            <w:pPr>
              <w:pStyle w:val="TableText"/>
              <w:keepNext/>
              <w:spacing w:line="264" w:lineRule="auto"/>
              <w:jc w:val="right"/>
            </w:pPr>
            <w:r w:rsidRPr="00EA36F7">
              <w:t>93</w:t>
            </w:r>
            <w:r>
              <w:t>,</w:t>
            </w:r>
            <w:r w:rsidRPr="00EA36F7">
              <w:t>600</w:t>
            </w:r>
          </w:p>
        </w:tc>
        <w:tc>
          <w:tcPr>
            <w:tcW w:w="1241" w:type="dxa"/>
            <w:shd w:val="clear" w:color="auto" w:fill="auto"/>
            <w:noWrap/>
            <w:vAlign w:val="center"/>
          </w:tcPr>
          <w:p w14:paraId="22B2B85F" w14:textId="77777777" w:rsidR="00896135" w:rsidRPr="00EA36F7" w:rsidRDefault="00896135" w:rsidP="00AA2D7C">
            <w:pPr>
              <w:pStyle w:val="TableText"/>
              <w:keepNext/>
              <w:spacing w:line="264" w:lineRule="auto"/>
              <w:jc w:val="right"/>
            </w:pPr>
            <w:r w:rsidRPr="00834D90">
              <w:t>329.6</w:t>
            </w:r>
          </w:p>
        </w:tc>
      </w:tr>
      <w:tr w:rsidR="00896135" w:rsidRPr="00B265DB" w14:paraId="7C53ED85" w14:textId="77777777" w:rsidTr="008E7244">
        <w:trPr>
          <w:trHeight w:val="300"/>
        </w:trPr>
        <w:tc>
          <w:tcPr>
            <w:tcW w:w="3119" w:type="dxa"/>
            <w:shd w:val="clear" w:color="auto" w:fill="auto"/>
            <w:noWrap/>
            <w:hideMark/>
          </w:tcPr>
          <w:p w14:paraId="6E3808B5" w14:textId="77777777" w:rsidR="00896135" w:rsidRPr="00EA36F7" w:rsidRDefault="00896135" w:rsidP="00AA2D7C">
            <w:pPr>
              <w:pStyle w:val="TableText"/>
              <w:keepNext/>
              <w:spacing w:line="264" w:lineRule="auto"/>
            </w:pPr>
            <w:r w:rsidRPr="00EA36F7">
              <w:t>Osteopath</w:t>
            </w:r>
          </w:p>
        </w:tc>
        <w:tc>
          <w:tcPr>
            <w:tcW w:w="1240" w:type="dxa"/>
            <w:shd w:val="clear" w:color="auto" w:fill="auto"/>
            <w:noWrap/>
            <w:vAlign w:val="center"/>
            <w:hideMark/>
          </w:tcPr>
          <w:p w14:paraId="76B2E842" w14:textId="77777777" w:rsidR="00896135" w:rsidRPr="00EA36F7" w:rsidRDefault="00896135" w:rsidP="00AA2D7C">
            <w:pPr>
              <w:pStyle w:val="TableText"/>
              <w:keepNext/>
              <w:spacing w:line="264" w:lineRule="auto"/>
              <w:jc w:val="right"/>
            </w:pPr>
            <w:r w:rsidRPr="00EA36F7">
              <w:t>550</w:t>
            </w:r>
          </w:p>
        </w:tc>
        <w:tc>
          <w:tcPr>
            <w:tcW w:w="1311" w:type="dxa"/>
            <w:shd w:val="clear" w:color="auto" w:fill="auto"/>
            <w:vAlign w:val="center"/>
          </w:tcPr>
          <w:p w14:paraId="48852A61" w14:textId="77777777" w:rsidR="00896135" w:rsidRPr="00EA36F7" w:rsidRDefault="00896135" w:rsidP="00AA2D7C">
            <w:pPr>
              <w:pStyle w:val="TableText"/>
              <w:keepNext/>
              <w:spacing w:line="264" w:lineRule="auto"/>
              <w:jc w:val="right"/>
            </w:pPr>
            <w:r w:rsidRPr="00834D90">
              <w:t>440.0</w:t>
            </w:r>
          </w:p>
        </w:tc>
        <w:tc>
          <w:tcPr>
            <w:tcW w:w="1169" w:type="dxa"/>
            <w:shd w:val="clear" w:color="auto" w:fill="auto"/>
            <w:noWrap/>
            <w:vAlign w:val="center"/>
            <w:hideMark/>
          </w:tcPr>
          <w:p w14:paraId="37B7B590" w14:textId="77777777" w:rsidR="00896135" w:rsidRPr="00EA36F7" w:rsidRDefault="00896135" w:rsidP="00AA2D7C">
            <w:pPr>
              <w:pStyle w:val="TableText"/>
              <w:keepNext/>
              <w:spacing w:line="264" w:lineRule="auto"/>
              <w:jc w:val="right"/>
            </w:pPr>
            <w:r w:rsidRPr="00EA36F7">
              <w:t>54</w:t>
            </w:r>
            <w:r>
              <w:t>,</w:t>
            </w:r>
            <w:r w:rsidRPr="00EA36F7">
              <w:t>047</w:t>
            </w:r>
          </w:p>
        </w:tc>
        <w:tc>
          <w:tcPr>
            <w:tcW w:w="1241" w:type="dxa"/>
            <w:shd w:val="clear" w:color="auto" w:fill="auto"/>
            <w:noWrap/>
            <w:vAlign w:val="center"/>
          </w:tcPr>
          <w:p w14:paraId="1DBD257D" w14:textId="77777777" w:rsidR="00896135" w:rsidRPr="00EA36F7" w:rsidRDefault="00896135" w:rsidP="00AA2D7C">
            <w:pPr>
              <w:pStyle w:val="TableText"/>
              <w:keepNext/>
              <w:spacing w:line="264" w:lineRule="auto"/>
              <w:jc w:val="right"/>
            </w:pPr>
            <w:r w:rsidRPr="00834D90">
              <w:t>23.8</w:t>
            </w:r>
          </w:p>
        </w:tc>
      </w:tr>
      <w:tr w:rsidR="00896135" w:rsidRPr="00B265DB" w14:paraId="2B9BF187" w14:textId="77777777" w:rsidTr="008E7244">
        <w:trPr>
          <w:trHeight w:val="300"/>
        </w:trPr>
        <w:tc>
          <w:tcPr>
            <w:tcW w:w="3119" w:type="dxa"/>
            <w:shd w:val="clear" w:color="auto" w:fill="auto"/>
            <w:noWrap/>
            <w:hideMark/>
          </w:tcPr>
          <w:p w14:paraId="3ACC019A" w14:textId="5654DDD3" w:rsidR="00896135" w:rsidRPr="00EA36F7" w:rsidRDefault="00896135" w:rsidP="00AA2D7C">
            <w:pPr>
              <w:pStyle w:val="TableText"/>
              <w:keepNext/>
              <w:spacing w:line="264" w:lineRule="auto"/>
            </w:pPr>
            <w:r w:rsidRPr="00EA36F7">
              <w:t>Paramedics/</w:t>
            </w:r>
            <w:r w:rsidR="00EB4519" w:rsidRPr="00EA36F7">
              <w:t>ambulance officers/ emergency medical techn</w:t>
            </w:r>
            <w:r w:rsidRPr="00EA36F7">
              <w:t>icians</w:t>
            </w:r>
          </w:p>
        </w:tc>
        <w:tc>
          <w:tcPr>
            <w:tcW w:w="1240" w:type="dxa"/>
            <w:shd w:val="clear" w:color="auto" w:fill="auto"/>
            <w:noWrap/>
            <w:vAlign w:val="center"/>
            <w:hideMark/>
          </w:tcPr>
          <w:p w14:paraId="3F663535" w14:textId="77777777" w:rsidR="00896135" w:rsidRPr="00EA36F7" w:rsidRDefault="00896135" w:rsidP="00AA2D7C">
            <w:pPr>
              <w:pStyle w:val="TableText"/>
              <w:keepNext/>
              <w:spacing w:line="264" w:lineRule="auto"/>
              <w:jc w:val="right"/>
            </w:pPr>
            <w:r w:rsidRPr="00EA36F7">
              <w:t>5</w:t>
            </w:r>
            <w:r>
              <w:t>,</w:t>
            </w:r>
            <w:r w:rsidRPr="00EA36F7">
              <w:t>765</w:t>
            </w:r>
          </w:p>
        </w:tc>
        <w:tc>
          <w:tcPr>
            <w:tcW w:w="1311" w:type="dxa"/>
            <w:shd w:val="clear" w:color="auto" w:fill="auto"/>
            <w:vAlign w:val="center"/>
          </w:tcPr>
          <w:p w14:paraId="4F13F7F0" w14:textId="77777777" w:rsidR="00896135" w:rsidRPr="00EA36F7" w:rsidRDefault="00896135" w:rsidP="00AA2D7C">
            <w:pPr>
              <w:pStyle w:val="TableText"/>
              <w:keepNext/>
              <w:spacing w:line="264" w:lineRule="auto"/>
              <w:jc w:val="right"/>
            </w:pPr>
            <w:r w:rsidRPr="00834D90">
              <w:t>4,612.0</w:t>
            </w:r>
          </w:p>
        </w:tc>
        <w:tc>
          <w:tcPr>
            <w:tcW w:w="1169" w:type="dxa"/>
            <w:shd w:val="clear" w:color="auto" w:fill="auto"/>
            <w:noWrap/>
            <w:vAlign w:val="center"/>
            <w:hideMark/>
          </w:tcPr>
          <w:p w14:paraId="4C1B892E" w14:textId="77777777" w:rsidR="00896135" w:rsidRPr="00EA36F7" w:rsidRDefault="00896135" w:rsidP="00AA2D7C">
            <w:pPr>
              <w:pStyle w:val="TableText"/>
              <w:keepNext/>
              <w:spacing w:line="264" w:lineRule="auto"/>
              <w:jc w:val="right"/>
            </w:pPr>
            <w:r w:rsidRPr="00EA36F7">
              <w:t>67</w:t>
            </w:r>
            <w:r>
              <w:t>,</w:t>
            </w:r>
            <w:r w:rsidRPr="00EA36F7">
              <w:t>666</w:t>
            </w:r>
          </w:p>
        </w:tc>
        <w:tc>
          <w:tcPr>
            <w:tcW w:w="1241" w:type="dxa"/>
            <w:shd w:val="clear" w:color="auto" w:fill="auto"/>
            <w:noWrap/>
            <w:vAlign w:val="center"/>
          </w:tcPr>
          <w:p w14:paraId="576A7F21" w14:textId="77777777" w:rsidR="00896135" w:rsidRPr="00EA36F7" w:rsidRDefault="00896135" w:rsidP="00AA2D7C">
            <w:pPr>
              <w:pStyle w:val="TableText"/>
              <w:keepNext/>
              <w:spacing w:line="264" w:lineRule="auto"/>
              <w:jc w:val="right"/>
            </w:pPr>
            <w:r w:rsidRPr="00834D90">
              <w:t>312.1</w:t>
            </w:r>
          </w:p>
        </w:tc>
      </w:tr>
      <w:tr w:rsidR="00896135" w:rsidRPr="00B265DB" w14:paraId="7328A082" w14:textId="77777777" w:rsidTr="008E7244">
        <w:trPr>
          <w:trHeight w:val="70"/>
        </w:trPr>
        <w:tc>
          <w:tcPr>
            <w:tcW w:w="3119" w:type="dxa"/>
            <w:shd w:val="clear" w:color="auto" w:fill="auto"/>
            <w:noWrap/>
            <w:hideMark/>
          </w:tcPr>
          <w:p w14:paraId="188D8809" w14:textId="77777777" w:rsidR="00896135" w:rsidRPr="00EA36F7" w:rsidRDefault="00896135" w:rsidP="00AA2D7C">
            <w:pPr>
              <w:pStyle w:val="TableText"/>
              <w:keepNext/>
              <w:spacing w:line="264" w:lineRule="auto"/>
            </w:pPr>
            <w:r w:rsidRPr="00EA36F7">
              <w:t>Pharmacist</w:t>
            </w:r>
          </w:p>
        </w:tc>
        <w:tc>
          <w:tcPr>
            <w:tcW w:w="1240" w:type="dxa"/>
            <w:shd w:val="clear" w:color="auto" w:fill="auto"/>
            <w:noWrap/>
            <w:vAlign w:val="center"/>
            <w:hideMark/>
          </w:tcPr>
          <w:p w14:paraId="08A87965" w14:textId="77777777" w:rsidR="00896135" w:rsidRPr="00EA36F7" w:rsidRDefault="00896135" w:rsidP="00AA2D7C">
            <w:pPr>
              <w:pStyle w:val="TableText"/>
              <w:keepNext/>
              <w:spacing w:line="264" w:lineRule="auto"/>
              <w:jc w:val="right"/>
            </w:pPr>
            <w:r w:rsidRPr="00EA36F7">
              <w:t>3</w:t>
            </w:r>
            <w:r>
              <w:t>,</w:t>
            </w:r>
            <w:r w:rsidRPr="00EA36F7">
              <w:t>268</w:t>
            </w:r>
          </w:p>
        </w:tc>
        <w:tc>
          <w:tcPr>
            <w:tcW w:w="1311" w:type="dxa"/>
            <w:shd w:val="clear" w:color="auto" w:fill="auto"/>
            <w:vAlign w:val="center"/>
          </w:tcPr>
          <w:p w14:paraId="4245CD0A" w14:textId="77777777" w:rsidR="00896135" w:rsidRPr="00EA36F7" w:rsidRDefault="00896135" w:rsidP="00AA2D7C">
            <w:pPr>
              <w:pStyle w:val="TableText"/>
              <w:keepNext/>
              <w:spacing w:line="264" w:lineRule="auto"/>
              <w:jc w:val="right"/>
            </w:pPr>
            <w:r w:rsidRPr="00834D90">
              <w:t>2,614.4</w:t>
            </w:r>
          </w:p>
        </w:tc>
        <w:tc>
          <w:tcPr>
            <w:tcW w:w="1169" w:type="dxa"/>
            <w:shd w:val="clear" w:color="auto" w:fill="auto"/>
            <w:noWrap/>
            <w:vAlign w:val="center"/>
            <w:hideMark/>
          </w:tcPr>
          <w:p w14:paraId="0AD7DF10" w14:textId="77777777" w:rsidR="00896135" w:rsidRPr="00EA36F7" w:rsidRDefault="00896135" w:rsidP="00AA2D7C">
            <w:pPr>
              <w:pStyle w:val="TableText"/>
              <w:keepNext/>
              <w:spacing w:line="264" w:lineRule="auto"/>
              <w:jc w:val="right"/>
            </w:pPr>
            <w:r w:rsidRPr="00EA36F7">
              <w:t>145</w:t>
            </w:r>
            <w:r>
              <w:t>,</w:t>
            </w:r>
            <w:r w:rsidRPr="00EA36F7">
              <w:t>075</w:t>
            </w:r>
          </w:p>
        </w:tc>
        <w:tc>
          <w:tcPr>
            <w:tcW w:w="1241" w:type="dxa"/>
            <w:shd w:val="clear" w:color="auto" w:fill="auto"/>
            <w:noWrap/>
            <w:vAlign w:val="center"/>
          </w:tcPr>
          <w:p w14:paraId="169527E8" w14:textId="77777777" w:rsidR="00896135" w:rsidRPr="00EA36F7" w:rsidRDefault="00896135" w:rsidP="00AA2D7C">
            <w:pPr>
              <w:pStyle w:val="TableText"/>
              <w:keepNext/>
              <w:spacing w:line="264" w:lineRule="auto"/>
              <w:jc w:val="right"/>
            </w:pPr>
            <w:r w:rsidRPr="00834D90">
              <w:t>379.3</w:t>
            </w:r>
          </w:p>
        </w:tc>
      </w:tr>
      <w:tr w:rsidR="00896135" w:rsidRPr="00B265DB" w14:paraId="2CB058C3" w14:textId="77777777" w:rsidTr="008E7244">
        <w:trPr>
          <w:trHeight w:val="300"/>
        </w:trPr>
        <w:tc>
          <w:tcPr>
            <w:tcW w:w="3119" w:type="dxa"/>
            <w:shd w:val="clear" w:color="auto" w:fill="auto"/>
            <w:noWrap/>
            <w:hideMark/>
          </w:tcPr>
          <w:p w14:paraId="78A28206" w14:textId="77777777" w:rsidR="00896135" w:rsidRPr="00EA36F7" w:rsidRDefault="00896135" w:rsidP="00AA2D7C">
            <w:pPr>
              <w:pStyle w:val="TableText"/>
              <w:keepNext/>
              <w:spacing w:line="264" w:lineRule="auto"/>
            </w:pPr>
            <w:r w:rsidRPr="00EA36F7">
              <w:t>Physiotherapist</w:t>
            </w:r>
          </w:p>
        </w:tc>
        <w:tc>
          <w:tcPr>
            <w:tcW w:w="1240" w:type="dxa"/>
            <w:shd w:val="clear" w:color="auto" w:fill="auto"/>
            <w:noWrap/>
            <w:vAlign w:val="center"/>
            <w:hideMark/>
          </w:tcPr>
          <w:p w14:paraId="0D63287A" w14:textId="77777777" w:rsidR="00896135" w:rsidRPr="00EA36F7" w:rsidRDefault="00896135" w:rsidP="00AA2D7C">
            <w:pPr>
              <w:pStyle w:val="TableText"/>
              <w:keepNext/>
              <w:spacing w:line="264" w:lineRule="auto"/>
              <w:jc w:val="right"/>
            </w:pPr>
            <w:r w:rsidRPr="00EA36F7">
              <w:t>4</w:t>
            </w:r>
            <w:r>
              <w:t>,</w:t>
            </w:r>
            <w:r w:rsidRPr="00EA36F7">
              <w:t>352</w:t>
            </w:r>
          </w:p>
        </w:tc>
        <w:tc>
          <w:tcPr>
            <w:tcW w:w="1311" w:type="dxa"/>
            <w:shd w:val="clear" w:color="auto" w:fill="auto"/>
            <w:vAlign w:val="center"/>
          </w:tcPr>
          <w:p w14:paraId="30149362" w14:textId="77777777" w:rsidR="00896135" w:rsidRPr="00EA36F7" w:rsidRDefault="00896135" w:rsidP="00AA2D7C">
            <w:pPr>
              <w:pStyle w:val="TableText"/>
              <w:keepNext/>
              <w:spacing w:line="264" w:lineRule="auto"/>
              <w:jc w:val="right"/>
            </w:pPr>
            <w:r w:rsidRPr="00834D90">
              <w:t>3,481.6</w:t>
            </w:r>
          </w:p>
        </w:tc>
        <w:tc>
          <w:tcPr>
            <w:tcW w:w="1169" w:type="dxa"/>
            <w:shd w:val="clear" w:color="auto" w:fill="auto"/>
            <w:noWrap/>
            <w:vAlign w:val="center"/>
            <w:hideMark/>
          </w:tcPr>
          <w:p w14:paraId="2066DFE2" w14:textId="77777777" w:rsidR="00896135" w:rsidRPr="00EA36F7" w:rsidRDefault="00896135" w:rsidP="00AA2D7C">
            <w:pPr>
              <w:pStyle w:val="TableText"/>
              <w:keepNext/>
              <w:spacing w:line="264" w:lineRule="auto"/>
              <w:jc w:val="right"/>
            </w:pPr>
            <w:r w:rsidRPr="00EA36F7">
              <w:t>95</w:t>
            </w:r>
            <w:r>
              <w:t>,</w:t>
            </w:r>
            <w:r w:rsidRPr="00EA36F7">
              <w:t>153</w:t>
            </w:r>
          </w:p>
        </w:tc>
        <w:tc>
          <w:tcPr>
            <w:tcW w:w="1241" w:type="dxa"/>
            <w:shd w:val="clear" w:color="auto" w:fill="auto"/>
            <w:noWrap/>
            <w:vAlign w:val="center"/>
          </w:tcPr>
          <w:p w14:paraId="25A7AD4E" w14:textId="77777777" w:rsidR="00896135" w:rsidRPr="00EA36F7" w:rsidRDefault="00896135" w:rsidP="00AA2D7C">
            <w:pPr>
              <w:pStyle w:val="TableText"/>
              <w:keepNext/>
              <w:spacing w:line="264" w:lineRule="auto"/>
              <w:jc w:val="right"/>
            </w:pPr>
            <w:r w:rsidRPr="00834D90">
              <w:t>331.3</w:t>
            </w:r>
          </w:p>
        </w:tc>
      </w:tr>
      <w:tr w:rsidR="00896135" w:rsidRPr="00B265DB" w14:paraId="67BDF22B" w14:textId="77777777" w:rsidTr="008E7244">
        <w:trPr>
          <w:trHeight w:val="300"/>
        </w:trPr>
        <w:tc>
          <w:tcPr>
            <w:tcW w:w="3119" w:type="dxa"/>
            <w:shd w:val="clear" w:color="auto" w:fill="auto"/>
            <w:noWrap/>
            <w:hideMark/>
          </w:tcPr>
          <w:p w14:paraId="0449F900" w14:textId="77777777" w:rsidR="00896135" w:rsidRPr="00EA36F7" w:rsidRDefault="00896135" w:rsidP="00AA2D7C">
            <w:pPr>
              <w:pStyle w:val="TableText"/>
              <w:keepNext/>
              <w:spacing w:line="264" w:lineRule="auto"/>
            </w:pPr>
            <w:r w:rsidRPr="00EA36F7">
              <w:t>Podiatrist</w:t>
            </w:r>
          </w:p>
        </w:tc>
        <w:tc>
          <w:tcPr>
            <w:tcW w:w="1240" w:type="dxa"/>
            <w:shd w:val="clear" w:color="auto" w:fill="auto"/>
            <w:noWrap/>
            <w:vAlign w:val="center"/>
            <w:hideMark/>
          </w:tcPr>
          <w:p w14:paraId="24E22568" w14:textId="77777777" w:rsidR="00896135" w:rsidRPr="00EA36F7" w:rsidRDefault="00896135" w:rsidP="00AA2D7C">
            <w:pPr>
              <w:pStyle w:val="TableText"/>
              <w:keepNext/>
              <w:spacing w:line="264" w:lineRule="auto"/>
              <w:jc w:val="right"/>
            </w:pPr>
            <w:r w:rsidRPr="00EA36F7">
              <w:t>417</w:t>
            </w:r>
          </w:p>
        </w:tc>
        <w:tc>
          <w:tcPr>
            <w:tcW w:w="1311" w:type="dxa"/>
            <w:shd w:val="clear" w:color="auto" w:fill="auto"/>
            <w:vAlign w:val="center"/>
          </w:tcPr>
          <w:p w14:paraId="12C1C74C" w14:textId="77777777" w:rsidR="00896135" w:rsidRPr="00EA36F7" w:rsidRDefault="00896135" w:rsidP="00AA2D7C">
            <w:pPr>
              <w:pStyle w:val="TableText"/>
              <w:keepNext/>
              <w:spacing w:line="264" w:lineRule="auto"/>
              <w:jc w:val="right"/>
            </w:pPr>
            <w:r w:rsidRPr="00834D90">
              <w:t>333.6</w:t>
            </w:r>
          </w:p>
        </w:tc>
        <w:tc>
          <w:tcPr>
            <w:tcW w:w="1169" w:type="dxa"/>
            <w:shd w:val="clear" w:color="auto" w:fill="auto"/>
            <w:noWrap/>
            <w:vAlign w:val="center"/>
            <w:hideMark/>
          </w:tcPr>
          <w:p w14:paraId="2F077126" w14:textId="77777777" w:rsidR="00896135" w:rsidRPr="00EA36F7" w:rsidRDefault="00896135" w:rsidP="00AA2D7C">
            <w:pPr>
              <w:pStyle w:val="TableText"/>
              <w:keepNext/>
              <w:spacing w:line="264" w:lineRule="auto"/>
              <w:jc w:val="right"/>
            </w:pPr>
            <w:r w:rsidRPr="00EA36F7">
              <w:t>55</w:t>
            </w:r>
            <w:r>
              <w:t>,</w:t>
            </w:r>
            <w:r w:rsidRPr="00EA36F7">
              <w:t>691</w:t>
            </w:r>
          </w:p>
        </w:tc>
        <w:tc>
          <w:tcPr>
            <w:tcW w:w="1241" w:type="dxa"/>
            <w:shd w:val="clear" w:color="auto" w:fill="auto"/>
            <w:noWrap/>
            <w:vAlign w:val="center"/>
          </w:tcPr>
          <w:p w14:paraId="4B8C7DAB" w14:textId="77777777" w:rsidR="00896135" w:rsidRPr="00EA36F7" w:rsidRDefault="00896135" w:rsidP="00AA2D7C">
            <w:pPr>
              <w:pStyle w:val="TableText"/>
              <w:keepNext/>
              <w:spacing w:line="264" w:lineRule="auto"/>
              <w:jc w:val="right"/>
            </w:pPr>
            <w:r w:rsidRPr="00834D90">
              <w:t>18.6</w:t>
            </w:r>
          </w:p>
        </w:tc>
      </w:tr>
      <w:tr w:rsidR="00896135" w:rsidRPr="00B265DB" w14:paraId="210E315E" w14:textId="77777777" w:rsidTr="008E7244">
        <w:trPr>
          <w:trHeight w:val="300"/>
        </w:trPr>
        <w:tc>
          <w:tcPr>
            <w:tcW w:w="3119" w:type="dxa"/>
            <w:shd w:val="clear" w:color="auto" w:fill="auto"/>
            <w:noWrap/>
            <w:hideMark/>
          </w:tcPr>
          <w:p w14:paraId="7D004EC8" w14:textId="77777777" w:rsidR="00896135" w:rsidRPr="00EA36F7" w:rsidRDefault="00896135" w:rsidP="00AA2D7C">
            <w:pPr>
              <w:pStyle w:val="TableText"/>
              <w:keepNext/>
              <w:spacing w:line="264" w:lineRule="auto"/>
            </w:pPr>
            <w:r w:rsidRPr="00EA36F7">
              <w:t>Psychologist</w:t>
            </w:r>
          </w:p>
        </w:tc>
        <w:tc>
          <w:tcPr>
            <w:tcW w:w="1240" w:type="dxa"/>
            <w:shd w:val="clear" w:color="auto" w:fill="auto"/>
            <w:noWrap/>
            <w:vAlign w:val="center"/>
            <w:hideMark/>
          </w:tcPr>
          <w:p w14:paraId="0FDB55D5" w14:textId="77777777" w:rsidR="00896135" w:rsidRPr="00EA36F7" w:rsidRDefault="00896135" w:rsidP="00AA2D7C">
            <w:pPr>
              <w:pStyle w:val="TableText"/>
              <w:keepNext/>
              <w:spacing w:line="264" w:lineRule="auto"/>
              <w:jc w:val="right"/>
            </w:pPr>
            <w:r w:rsidRPr="00EA36F7">
              <w:t>2</w:t>
            </w:r>
            <w:r>
              <w:t>,</w:t>
            </w:r>
            <w:r w:rsidRPr="00EA36F7">
              <w:t>158</w:t>
            </w:r>
          </w:p>
        </w:tc>
        <w:tc>
          <w:tcPr>
            <w:tcW w:w="1311" w:type="dxa"/>
            <w:shd w:val="clear" w:color="auto" w:fill="auto"/>
            <w:vAlign w:val="center"/>
          </w:tcPr>
          <w:p w14:paraId="6C787390" w14:textId="77777777" w:rsidR="00896135" w:rsidRPr="00EA36F7" w:rsidRDefault="00896135" w:rsidP="00AA2D7C">
            <w:pPr>
              <w:pStyle w:val="TableText"/>
              <w:keepNext/>
              <w:spacing w:line="264" w:lineRule="auto"/>
              <w:jc w:val="right"/>
            </w:pPr>
            <w:r w:rsidRPr="00834D90">
              <w:t>1,726.4</w:t>
            </w:r>
          </w:p>
        </w:tc>
        <w:tc>
          <w:tcPr>
            <w:tcW w:w="1169" w:type="dxa"/>
            <w:shd w:val="clear" w:color="auto" w:fill="auto"/>
            <w:noWrap/>
            <w:vAlign w:val="center"/>
            <w:hideMark/>
          </w:tcPr>
          <w:p w14:paraId="63F65B70" w14:textId="77777777" w:rsidR="00896135" w:rsidRPr="00EA36F7" w:rsidRDefault="00896135" w:rsidP="00AA2D7C">
            <w:pPr>
              <w:pStyle w:val="TableText"/>
              <w:keepNext/>
              <w:spacing w:line="264" w:lineRule="auto"/>
              <w:jc w:val="right"/>
            </w:pPr>
            <w:r w:rsidRPr="00EA36F7">
              <w:t>85</w:t>
            </w:r>
            <w:r>
              <w:t>,</w:t>
            </w:r>
            <w:r w:rsidRPr="00EA36F7">
              <w:t>268</w:t>
            </w:r>
          </w:p>
        </w:tc>
        <w:tc>
          <w:tcPr>
            <w:tcW w:w="1241" w:type="dxa"/>
            <w:shd w:val="clear" w:color="auto" w:fill="auto"/>
            <w:noWrap/>
            <w:vAlign w:val="center"/>
          </w:tcPr>
          <w:p w14:paraId="7D1EC8E7" w14:textId="77777777" w:rsidR="00896135" w:rsidRPr="00EA36F7" w:rsidRDefault="00896135" w:rsidP="00AA2D7C">
            <w:pPr>
              <w:pStyle w:val="TableText"/>
              <w:keepNext/>
              <w:spacing w:line="264" w:lineRule="auto"/>
              <w:jc w:val="right"/>
            </w:pPr>
            <w:r w:rsidRPr="00834D90">
              <w:t>147.2</w:t>
            </w:r>
          </w:p>
        </w:tc>
      </w:tr>
      <w:tr w:rsidR="00896135" w:rsidRPr="00B265DB" w14:paraId="72EB1630" w14:textId="77777777" w:rsidTr="008E7244">
        <w:trPr>
          <w:trHeight w:val="300"/>
        </w:trPr>
        <w:tc>
          <w:tcPr>
            <w:tcW w:w="3119" w:type="dxa"/>
            <w:shd w:val="clear" w:color="auto" w:fill="auto"/>
            <w:noWrap/>
            <w:hideMark/>
          </w:tcPr>
          <w:p w14:paraId="3888A8E8" w14:textId="77777777" w:rsidR="00896135" w:rsidRPr="00EA36F7" w:rsidRDefault="00896135" w:rsidP="00AA2D7C">
            <w:pPr>
              <w:pStyle w:val="TableText"/>
              <w:keepNext/>
              <w:spacing w:line="264" w:lineRule="auto"/>
            </w:pPr>
            <w:r w:rsidRPr="00EA36F7">
              <w:t>Psychotherapist (all scopes)</w:t>
            </w:r>
          </w:p>
        </w:tc>
        <w:tc>
          <w:tcPr>
            <w:tcW w:w="1240" w:type="dxa"/>
            <w:shd w:val="clear" w:color="auto" w:fill="auto"/>
            <w:noWrap/>
            <w:vAlign w:val="center"/>
            <w:hideMark/>
          </w:tcPr>
          <w:p w14:paraId="6DC4AA3D" w14:textId="77777777" w:rsidR="00896135" w:rsidRPr="00EA36F7" w:rsidRDefault="00896135" w:rsidP="00AA2D7C">
            <w:pPr>
              <w:pStyle w:val="TableText"/>
              <w:keepNext/>
              <w:spacing w:line="264" w:lineRule="auto"/>
              <w:jc w:val="right"/>
            </w:pPr>
            <w:r w:rsidRPr="00EA36F7">
              <w:t>513</w:t>
            </w:r>
          </w:p>
        </w:tc>
        <w:tc>
          <w:tcPr>
            <w:tcW w:w="1311" w:type="dxa"/>
            <w:shd w:val="clear" w:color="auto" w:fill="auto"/>
            <w:vAlign w:val="center"/>
          </w:tcPr>
          <w:p w14:paraId="2CC3DDD2" w14:textId="77777777" w:rsidR="00896135" w:rsidRPr="00EA36F7" w:rsidRDefault="00896135" w:rsidP="00AA2D7C">
            <w:pPr>
              <w:pStyle w:val="TableText"/>
              <w:keepNext/>
              <w:spacing w:line="264" w:lineRule="auto"/>
              <w:jc w:val="right"/>
            </w:pPr>
            <w:r w:rsidRPr="00834D90">
              <w:t>410.4</w:t>
            </w:r>
          </w:p>
        </w:tc>
        <w:tc>
          <w:tcPr>
            <w:tcW w:w="1169" w:type="dxa"/>
            <w:shd w:val="clear" w:color="auto" w:fill="auto"/>
            <w:noWrap/>
            <w:vAlign w:val="center"/>
            <w:hideMark/>
          </w:tcPr>
          <w:p w14:paraId="71219E46" w14:textId="77777777" w:rsidR="00896135" w:rsidRPr="00EA36F7" w:rsidRDefault="00896135" w:rsidP="00AA2D7C">
            <w:pPr>
              <w:pStyle w:val="TableText"/>
              <w:keepNext/>
              <w:spacing w:line="264" w:lineRule="auto"/>
              <w:jc w:val="right"/>
            </w:pPr>
            <w:r w:rsidRPr="00EA36F7">
              <w:t>61</w:t>
            </w:r>
            <w:r>
              <w:t>,</w:t>
            </w:r>
            <w:r w:rsidRPr="00EA36F7">
              <w:t>737</w:t>
            </w:r>
          </w:p>
        </w:tc>
        <w:tc>
          <w:tcPr>
            <w:tcW w:w="1241" w:type="dxa"/>
            <w:shd w:val="clear" w:color="auto" w:fill="auto"/>
            <w:noWrap/>
            <w:vAlign w:val="center"/>
          </w:tcPr>
          <w:p w14:paraId="31C1CD3B" w14:textId="77777777" w:rsidR="00896135" w:rsidRPr="00EA36F7" w:rsidRDefault="00896135" w:rsidP="00AA2D7C">
            <w:pPr>
              <w:pStyle w:val="TableText"/>
              <w:keepNext/>
              <w:spacing w:line="264" w:lineRule="auto"/>
              <w:jc w:val="right"/>
            </w:pPr>
            <w:r w:rsidRPr="00834D90">
              <w:t>25.3</w:t>
            </w:r>
          </w:p>
        </w:tc>
      </w:tr>
      <w:tr w:rsidR="00896135" w:rsidRPr="00B265DB" w14:paraId="690C6E5E" w14:textId="77777777" w:rsidTr="008E7244">
        <w:trPr>
          <w:trHeight w:val="300"/>
        </w:trPr>
        <w:tc>
          <w:tcPr>
            <w:tcW w:w="3119" w:type="dxa"/>
            <w:shd w:val="clear" w:color="auto" w:fill="auto"/>
            <w:noWrap/>
            <w:hideMark/>
          </w:tcPr>
          <w:p w14:paraId="3FBF33C3" w14:textId="77777777" w:rsidR="00896135" w:rsidRPr="00EA36F7" w:rsidRDefault="00896135" w:rsidP="00AA2D7C">
            <w:pPr>
              <w:pStyle w:val="TableText"/>
              <w:keepNext/>
              <w:spacing w:line="264" w:lineRule="auto"/>
            </w:pPr>
            <w:r w:rsidRPr="00EA36F7">
              <w:t>Registered nurse</w:t>
            </w:r>
          </w:p>
        </w:tc>
        <w:tc>
          <w:tcPr>
            <w:tcW w:w="1240" w:type="dxa"/>
            <w:shd w:val="clear" w:color="auto" w:fill="auto"/>
            <w:noWrap/>
            <w:vAlign w:val="center"/>
            <w:hideMark/>
          </w:tcPr>
          <w:p w14:paraId="2531914A" w14:textId="77777777" w:rsidR="00896135" w:rsidRPr="00EA36F7" w:rsidRDefault="00896135" w:rsidP="00AA2D7C">
            <w:pPr>
              <w:pStyle w:val="TableText"/>
              <w:keepNext/>
              <w:spacing w:line="264" w:lineRule="auto"/>
              <w:jc w:val="right"/>
            </w:pPr>
            <w:r w:rsidRPr="00EA36F7">
              <w:t>29</w:t>
            </w:r>
            <w:r>
              <w:t>,</w:t>
            </w:r>
            <w:r w:rsidRPr="00EA36F7">
              <w:t>524</w:t>
            </w:r>
          </w:p>
        </w:tc>
        <w:tc>
          <w:tcPr>
            <w:tcW w:w="1311" w:type="dxa"/>
            <w:shd w:val="clear" w:color="auto" w:fill="auto"/>
            <w:vAlign w:val="center"/>
          </w:tcPr>
          <w:p w14:paraId="799F885D" w14:textId="77777777" w:rsidR="00896135" w:rsidRPr="00EA36F7" w:rsidRDefault="00896135" w:rsidP="00AA2D7C">
            <w:pPr>
              <w:pStyle w:val="TableText"/>
              <w:keepNext/>
              <w:spacing w:line="264" w:lineRule="auto"/>
              <w:jc w:val="right"/>
            </w:pPr>
            <w:r w:rsidRPr="00834D90">
              <w:t>23,619.2</w:t>
            </w:r>
          </w:p>
        </w:tc>
        <w:tc>
          <w:tcPr>
            <w:tcW w:w="1169" w:type="dxa"/>
            <w:shd w:val="clear" w:color="auto" w:fill="auto"/>
            <w:noWrap/>
            <w:vAlign w:val="center"/>
            <w:hideMark/>
          </w:tcPr>
          <w:p w14:paraId="783F58BC" w14:textId="77777777" w:rsidR="00896135" w:rsidRPr="00EA36F7" w:rsidRDefault="00896135" w:rsidP="00AA2D7C">
            <w:pPr>
              <w:pStyle w:val="TableText"/>
              <w:keepNext/>
              <w:spacing w:line="264" w:lineRule="auto"/>
              <w:jc w:val="right"/>
            </w:pPr>
            <w:r w:rsidRPr="00EA36F7">
              <w:t>76</w:t>
            </w:r>
            <w:r>
              <w:t>,</w:t>
            </w:r>
            <w:r w:rsidRPr="00EA36F7">
              <w:t>800</w:t>
            </w:r>
          </w:p>
        </w:tc>
        <w:tc>
          <w:tcPr>
            <w:tcW w:w="1241" w:type="dxa"/>
            <w:shd w:val="clear" w:color="auto" w:fill="auto"/>
            <w:noWrap/>
            <w:vAlign w:val="center"/>
          </w:tcPr>
          <w:p w14:paraId="313C155D" w14:textId="77777777" w:rsidR="00896135" w:rsidRPr="00EA36F7" w:rsidRDefault="00896135" w:rsidP="00AA2D7C">
            <w:pPr>
              <w:pStyle w:val="TableText"/>
              <w:keepNext/>
              <w:spacing w:line="264" w:lineRule="auto"/>
              <w:jc w:val="right"/>
            </w:pPr>
            <w:r w:rsidRPr="00834D90">
              <w:t>1,814.0</w:t>
            </w:r>
          </w:p>
        </w:tc>
      </w:tr>
      <w:tr w:rsidR="00896135" w:rsidRPr="00B265DB" w14:paraId="73D8F997" w14:textId="77777777" w:rsidTr="008E7244">
        <w:trPr>
          <w:trHeight w:val="300"/>
        </w:trPr>
        <w:tc>
          <w:tcPr>
            <w:tcW w:w="3119" w:type="dxa"/>
            <w:shd w:val="clear" w:color="auto" w:fill="auto"/>
            <w:noWrap/>
            <w:hideMark/>
          </w:tcPr>
          <w:p w14:paraId="1CF30755" w14:textId="77777777" w:rsidR="00896135" w:rsidRPr="00EA36F7" w:rsidRDefault="00896135" w:rsidP="00AA2D7C">
            <w:pPr>
              <w:pStyle w:val="TableText"/>
              <w:keepNext/>
              <w:spacing w:line="264" w:lineRule="auto"/>
            </w:pPr>
            <w:r w:rsidRPr="00EA36F7">
              <w:t>Social worker</w:t>
            </w:r>
          </w:p>
        </w:tc>
        <w:tc>
          <w:tcPr>
            <w:tcW w:w="1240" w:type="dxa"/>
            <w:shd w:val="clear" w:color="auto" w:fill="auto"/>
            <w:noWrap/>
            <w:vAlign w:val="center"/>
            <w:hideMark/>
          </w:tcPr>
          <w:p w14:paraId="326D1308" w14:textId="77777777" w:rsidR="00896135" w:rsidRPr="00EA36F7" w:rsidRDefault="00896135" w:rsidP="00AA2D7C">
            <w:pPr>
              <w:pStyle w:val="TableText"/>
              <w:keepNext/>
              <w:spacing w:line="264" w:lineRule="auto"/>
              <w:jc w:val="right"/>
            </w:pPr>
            <w:r w:rsidRPr="00EA36F7">
              <w:t>6</w:t>
            </w:r>
            <w:r>
              <w:t>,</w:t>
            </w:r>
            <w:r w:rsidRPr="00EA36F7">
              <w:t>455</w:t>
            </w:r>
          </w:p>
        </w:tc>
        <w:tc>
          <w:tcPr>
            <w:tcW w:w="1311" w:type="dxa"/>
            <w:shd w:val="clear" w:color="auto" w:fill="auto"/>
            <w:vAlign w:val="center"/>
          </w:tcPr>
          <w:p w14:paraId="1D7FFADE" w14:textId="77777777" w:rsidR="00896135" w:rsidRPr="00EA36F7" w:rsidRDefault="00896135" w:rsidP="00AA2D7C">
            <w:pPr>
              <w:pStyle w:val="TableText"/>
              <w:keepNext/>
              <w:spacing w:line="264" w:lineRule="auto"/>
              <w:jc w:val="right"/>
            </w:pPr>
            <w:r w:rsidRPr="00834D90">
              <w:t>5,164.0</w:t>
            </w:r>
          </w:p>
        </w:tc>
        <w:tc>
          <w:tcPr>
            <w:tcW w:w="1169" w:type="dxa"/>
            <w:shd w:val="clear" w:color="auto" w:fill="auto"/>
            <w:noWrap/>
            <w:vAlign w:val="center"/>
            <w:hideMark/>
          </w:tcPr>
          <w:p w14:paraId="51C7CBC6" w14:textId="77777777" w:rsidR="00896135" w:rsidRPr="00EA36F7" w:rsidRDefault="00896135" w:rsidP="00AA2D7C">
            <w:pPr>
              <w:pStyle w:val="TableText"/>
              <w:keepNext/>
              <w:spacing w:line="264" w:lineRule="auto"/>
              <w:jc w:val="right"/>
            </w:pPr>
            <w:r w:rsidRPr="00EA36F7">
              <w:t>50</w:t>
            </w:r>
            <w:r>
              <w:t>,</w:t>
            </w:r>
            <w:r w:rsidRPr="00EA36F7">
              <w:t>000</w:t>
            </w:r>
          </w:p>
        </w:tc>
        <w:tc>
          <w:tcPr>
            <w:tcW w:w="1241" w:type="dxa"/>
            <w:shd w:val="clear" w:color="auto" w:fill="auto"/>
            <w:noWrap/>
            <w:vAlign w:val="center"/>
          </w:tcPr>
          <w:p w14:paraId="78E13C73" w14:textId="77777777" w:rsidR="00896135" w:rsidRPr="00EA36F7" w:rsidRDefault="00896135" w:rsidP="00AA2D7C">
            <w:pPr>
              <w:pStyle w:val="TableText"/>
              <w:keepNext/>
              <w:spacing w:line="264" w:lineRule="auto"/>
              <w:jc w:val="right"/>
            </w:pPr>
            <w:r w:rsidRPr="00834D90">
              <w:t>258.2</w:t>
            </w:r>
          </w:p>
        </w:tc>
      </w:tr>
      <w:tr w:rsidR="00896135" w:rsidRPr="00B265DB" w14:paraId="7B619C3F" w14:textId="77777777" w:rsidTr="008E7244">
        <w:trPr>
          <w:trHeight w:val="70"/>
        </w:trPr>
        <w:tc>
          <w:tcPr>
            <w:tcW w:w="3119" w:type="dxa"/>
            <w:shd w:val="clear" w:color="auto" w:fill="auto"/>
            <w:noWrap/>
            <w:hideMark/>
          </w:tcPr>
          <w:p w14:paraId="65EC12C2" w14:textId="77777777" w:rsidR="00896135" w:rsidRPr="00EA36F7" w:rsidRDefault="00896135" w:rsidP="00AA2D7C">
            <w:pPr>
              <w:pStyle w:val="TableText"/>
              <w:keepNext/>
              <w:spacing w:line="264" w:lineRule="auto"/>
            </w:pPr>
            <w:r w:rsidRPr="00EA36F7">
              <w:t>Speech language therapist</w:t>
            </w:r>
          </w:p>
        </w:tc>
        <w:tc>
          <w:tcPr>
            <w:tcW w:w="1240" w:type="dxa"/>
            <w:shd w:val="clear" w:color="auto" w:fill="auto"/>
            <w:noWrap/>
            <w:vAlign w:val="center"/>
            <w:hideMark/>
          </w:tcPr>
          <w:p w14:paraId="2C9894E3" w14:textId="77777777" w:rsidR="00896135" w:rsidRPr="00EA36F7" w:rsidRDefault="00896135" w:rsidP="00AA2D7C">
            <w:pPr>
              <w:pStyle w:val="TableText"/>
              <w:keepNext/>
              <w:spacing w:line="264" w:lineRule="auto"/>
              <w:jc w:val="right"/>
            </w:pPr>
            <w:r w:rsidRPr="00EA36F7">
              <w:t>554</w:t>
            </w:r>
          </w:p>
        </w:tc>
        <w:tc>
          <w:tcPr>
            <w:tcW w:w="1311" w:type="dxa"/>
            <w:shd w:val="clear" w:color="auto" w:fill="auto"/>
            <w:vAlign w:val="center"/>
          </w:tcPr>
          <w:p w14:paraId="74949E54" w14:textId="77777777" w:rsidR="00896135" w:rsidRPr="00EA36F7" w:rsidRDefault="00896135" w:rsidP="00AA2D7C">
            <w:pPr>
              <w:pStyle w:val="TableText"/>
              <w:keepNext/>
              <w:spacing w:line="264" w:lineRule="auto"/>
              <w:jc w:val="right"/>
            </w:pPr>
            <w:r w:rsidRPr="00834D90">
              <w:t>443.2</w:t>
            </w:r>
          </w:p>
        </w:tc>
        <w:tc>
          <w:tcPr>
            <w:tcW w:w="1169" w:type="dxa"/>
            <w:shd w:val="clear" w:color="auto" w:fill="auto"/>
            <w:noWrap/>
            <w:vAlign w:val="center"/>
            <w:hideMark/>
          </w:tcPr>
          <w:p w14:paraId="048B02DE" w14:textId="77777777" w:rsidR="00896135" w:rsidRPr="00EA36F7" w:rsidRDefault="00896135" w:rsidP="00AA2D7C">
            <w:pPr>
              <w:pStyle w:val="TableText"/>
              <w:keepNext/>
              <w:spacing w:line="264" w:lineRule="auto"/>
              <w:jc w:val="right"/>
            </w:pPr>
            <w:r w:rsidRPr="00EA36F7">
              <w:t>58</w:t>
            </w:r>
            <w:r>
              <w:t>,</w:t>
            </w:r>
            <w:r w:rsidRPr="00EA36F7">
              <w:t>684</w:t>
            </w:r>
          </w:p>
        </w:tc>
        <w:tc>
          <w:tcPr>
            <w:tcW w:w="1241" w:type="dxa"/>
            <w:shd w:val="clear" w:color="auto" w:fill="auto"/>
            <w:noWrap/>
            <w:vAlign w:val="center"/>
          </w:tcPr>
          <w:p w14:paraId="63F9A5FC" w14:textId="77777777" w:rsidR="00896135" w:rsidRPr="00EA36F7" w:rsidRDefault="00896135" w:rsidP="00AA2D7C">
            <w:pPr>
              <w:pStyle w:val="TableText"/>
              <w:keepNext/>
              <w:spacing w:line="264" w:lineRule="auto"/>
              <w:jc w:val="right"/>
            </w:pPr>
            <w:r w:rsidRPr="00834D90">
              <w:t>26.0</w:t>
            </w:r>
          </w:p>
        </w:tc>
      </w:tr>
      <w:tr w:rsidR="00896135" w:rsidRPr="00B265DB" w14:paraId="521913DB" w14:textId="77777777" w:rsidTr="008E7244">
        <w:trPr>
          <w:trHeight w:val="300"/>
        </w:trPr>
        <w:tc>
          <w:tcPr>
            <w:tcW w:w="3119" w:type="dxa"/>
            <w:shd w:val="clear" w:color="auto" w:fill="F2F2F2" w:themeFill="background1" w:themeFillShade="F2"/>
            <w:noWrap/>
            <w:hideMark/>
          </w:tcPr>
          <w:p w14:paraId="6AB405B6" w14:textId="77777777" w:rsidR="00896135" w:rsidRPr="00A053D0" w:rsidRDefault="00896135" w:rsidP="00AA2D7C">
            <w:pPr>
              <w:pStyle w:val="TableText"/>
              <w:keepNext/>
              <w:spacing w:line="264" w:lineRule="auto"/>
              <w:rPr>
                <w:b/>
              </w:rPr>
            </w:pPr>
            <w:r w:rsidRPr="00A053D0">
              <w:rPr>
                <w:b/>
              </w:rPr>
              <w:t>TOTAL (approximate estimate)</w:t>
            </w:r>
          </w:p>
        </w:tc>
        <w:tc>
          <w:tcPr>
            <w:tcW w:w="1240" w:type="dxa"/>
            <w:shd w:val="clear" w:color="auto" w:fill="F2F2F2" w:themeFill="background1" w:themeFillShade="F2"/>
            <w:noWrap/>
            <w:vAlign w:val="center"/>
            <w:hideMark/>
          </w:tcPr>
          <w:p w14:paraId="174BF574" w14:textId="77777777" w:rsidR="00896135" w:rsidRPr="00A053D0" w:rsidRDefault="00896135" w:rsidP="00AA2D7C">
            <w:pPr>
              <w:pStyle w:val="TableText"/>
              <w:keepNext/>
              <w:spacing w:line="264" w:lineRule="auto"/>
              <w:jc w:val="right"/>
              <w:rPr>
                <w:b/>
              </w:rPr>
            </w:pPr>
            <w:r w:rsidRPr="00A053D0">
              <w:rPr>
                <w:b/>
              </w:rPr>
              <w:t>129,571</w:t>
            </w:r>
          </w:p>
        </w:tc>
        <w:tc>
          <w:tcPr>
            <w:tcW w:w="1311" w:type="dxa"/>
            <w:shd w:val="clear" w:color="auto" w:fill="F2F2F2" w:themeFill="background1" w:themeFillShade="F2"/>
            <w:vAlign w:val="center"/>
          </w:tcPr>
          <w:p w14:paraId="581430EA" w14:textId="77777777" w:rsidR="00896135" w:rsidRPr="00A053D0" w:rsidRDefault="00896135" w:rsidP="00AA2D7C">
            <w:pPr>
              <w:pStyle w:val="TableText"/>
              <w:keepNext/>
              <w:spacing w:line="264" w:lineRule="auto"/>
              <w:jc w:val="right"/>
              <w:rPr>
                <w:b/>
              </w:rPr>
            </w:pPr>
            <w:r w:rsidRPr="00A053D0">
              <w:rPr>
                <w:b/>
              </w:rPr>
              <w:t>103,656.8</w:t>
            </w:r>
          </w:p>
        </w:tc>
        <w:tc>
          <w:tcPr>
            <w:tcW w:w="1169" w:type="dxa"/>
            <w:shd w:val="clear" w:color="auto" w:fill="F2F2F2" w:themeFill="background1" w:themeFillShade="F2"/>
            <w:noWrap/>
            <w:vAlign w:val="center"/>
            <w:hideMark/>
          </w:tcPr>
          <w:p w14:paraId="19A56FAE" w14:textId="77777777" w:rsidR="00896135" w:rsidRPr="00A053D0" w:rsidRDefault="00896135" w:rsidP="00AA2D7C">
            <w:pPr>
              <w:pStyle w:val="TableText"/>
              <w:keepNext/>
              <w:spacing w:line="264" w:lineRule="auto"/>
              <w:jc w:val="right"/>
              <w:rPr>
                <w:b/>
              </w:rPr>
            </w:pPr>
          </w:p>
        </w:tc>
        <w:tc>
          <w:tcPr>
            <w:tcW w:w="1241" w:type="dxa"/>
            <w:shd w:val="clear" w:color="auto" w:fill="F2F2F2" w:themeFill="background1" w:themeFillShade="F2"/>
            <w:noWrap/>
            <w:vAlign w:val="center"/>
          </w:tcPr>
          <w:p w14:paraId="7ABA248C" w14:textId="77777777" w:rsidR="00896135" w:rsidRPr="00A053D0" w:rsidRDefault="00896135" w:rsidP="00AA2D7C">
            <w:pPr>
              <w:pStyle w:val="TableText"/>
              <w:keepNext/>
              <w:spacing w:line="264" w:lineRule="auto"/>
              <w:jc w:val="right"/>
              <w:rPr>
                <w:b/>
              </w:rPr>
            </w:pPr>
            <w:r w:rsidRPr="00A053D0">
              <w:rPr>
                <w:b/>
              </w:rPr>
              <w:t>7,009.3</w:t>
            </w:r>
          </w:p>
        </w:tc>
      </w:tr>
    </w:tbl>
    <w:p w14:paraId="271BA249" w14:textId="77777777" w:rsidR="00896135" w:rsidRPr="0043478F" w:rsidRDefault="00896135" w:rsidP="00896135">
      <w:pPr>
        <w:rPr>
          <w:rFonts w:eastAsia="Arial Unicode MS"/>
        </w:rPr>
      </w:pPr>
    </w:p>
    <w:p w14:paraId="6A2D894F" w14:textId="77777777" w:rsidR="00896135" w:rsidRDefault="00896135" w:rsidP="00896135">
      <w:pPr>
        <w:pStyle w:val="Heading2"/>
      </w:pPr>
      <w:bookmarkStart w:id="55" w:name="_bookmark19"/>
      <w:bookmarkEnd w:id="55"/>
      <w:r>
        <w:br w:type="page"/>
      </w:r>
    </w:p>
    <w:p w14:paraId="6FF97DC7" w14:textId="77777777" w:rsidR="00896135" w:rsidRDefault="00896135" w:rsidP="00896135">
      <w:pPr>
        <w:pStyle w:val="Heading1"/>
      </w:pPr>
      <w:bookmarkStart w:id="56" w:name="_Toc54706223"/>
      <w:r>
        <w:lastRenderedPageBreak/>
        <w:t>Health employment and economic growth</w:t>
      </w:r>
      <w:bookmarkEnd w:id="56"/>
    </w:p>
    <w:p w14:paraId="515B3294" w14:textId="7A1385C3" w:rsidR="00896135" w:rsidRPr="00070602" w:rsidRDefault="00814E8A" w:rsidP="00896135">
      <w:pPr>
        <w:rPr>
          <w:iCs/>
        </w:rPr>
      </w:pPr>
      <w:r w:rsidRPr="00070602">
        <w:rPr>
          <w:iCs/>
        </w:rPr>
        <w:t>‘</w:t>
      </w:r>
      <w:r w:rsidR="00896135" w:rsidRPr="00070602">
        <w:rPr>
          <w:iCs/>
        </w:rPr>
        <w:t>The size and nature of the health system</w:t>
      </w:r>
      <w:r w:rsidRPr="00070602">
        <w:rPr>
          <w:iCs/>
        </w:rPr>
        <w:t xml:space="preserve"> </w:t>
      </w:r>
      <w:r w:rsidR="00896135" w:rsidRPr="00070602">
        <w:rPr>
          <w:iCs/>
        </w:rPr>
        <w:t>…</w:t>
      </w:r>
      <w:r w:rsidRPr="00070602">
        <w:rPr>
          <w:iCs/>
        </w:rPr>
        <w:t xml:space="preserve"> </w:t>
      </w:r>
      <w:r w:rsidR="00896135" w:rsidRPr="00070602">
        <w:rPr>
          <w:iCs/>
        </w:rPr>
        <w:t>are likely to have profound direct implications for the performance of the economy as a whole</w:t>
      </w:r>
      <w:r w:rsidRPr="00070602">
        <w:rPr>
          <w:iCs/>
        </w:rPr>
        <w:t xml:space="preserve"> </w:t>
      </w:r>
      <w:r w:rsidR="00896135" w:rsidRPr="00070602">
        <w:rPr>
          <w:iCs/>
        </w:rPr>
        <w:t>…</w:t>
      </w:r>
      <w:r w:rsidRPr="00070602">
        <w:rPr>
          <w:iCs/>
        </w:rPr>
        <w:t>’</w:t>
      </w:r>
      <w:r w:rsidR="00896135" w:rsidRPr="00070602">
        <w:rPr>
          <w:iCs/>
        </w:rPr>
        <w:t xml:space="preserve"> (</w:t>
      </w:r>
      <w:proofErr w:type="spellStart"/>
      <w:r w:rsidR="00896135" w:rsidRPr="00070602">
        <w:rPr>
          <w:iCs/>
        </w:rPr>
        <w:t>Cylus</w:t>
      </w:r>
      <w:proofErr w:type="spellEnd"/>
      <w:r w:rsidR="00896135" w:rsidRPr="00070602">
        <w:rPr>
          <w:iCs/>
        </w:rPr>
        <w:t xml:space="preserve"> et al 2018).</w:t>
      </w:r>
    </w:p>
    <w:p w14:paraId="32B03833" w14:textId="77777777" w:rsidR="00896135" w:rsidRPr="00152C3E" w:rsidRDefault="00896135" w:rsidP="00896135">
      <w:pPr>
        <w:rPr>
          <w:i/>
        </w:rPr>
      </w:pPr>
    </w:p>
    <w:p w14:paraId="2D68CD9A" w14:textId="5BD71554" w:rsidR="00896135" w:rsidRDefault="00896135" w:rsidP="00896135">
      <w:r>
        <w:t>Given the significant proportion of government funding spent on health and disability workers’ salaries, it is important to understand the broader contribution</w:t>
      </w:r>
      <w:r w:rsidR="00814E8A">
        <w:t xml:space="preserve"> that</w:t>
      </w:r>
      <w:r>
        <w:t xml:space="preserve"> </w:t>
      </w:r>
      <w:r w:rsidR="00487778">
        <w:t xml:space="preserve">these </w:t>
      </w:r>
      <w:r>
        <w:t xml:space="preserve">workers make to the economy. Although the benefits to individuals and society of improved health status and quality of life are acknowledged and considered to be substantial, the health sector and the health workforce have not been viewed as important sources of inclusive economic growth. The health sector is often seen as a cost to the economy and an expense to be controlled. </w:t>
      </w:r>
    </w:p>
    <w:p w14:paraId="28A454F4" w14:textId="77777777" w:rsidR="00896135" w:rsidRDefault="00896135" w:rsidP="00896135"/>
    <w:p w14:paraId="435BDD79" w14:textId="655A29A1" w:rsidR="00896135" w:rsidRDefault="00896135" w:rsidP="00896135">
      <w:r>
        <w:t>In recent years there has been a shift in thinking and an understanding that the health sector has an economy, it makes an economic footprint and it has a labour market dynamic of its own. Evidence suggests that investments in the health workforce and broader health sector can promote inclusive economic growth and that health and inclusive economic growth are complementary</w:t>
      </w:r>
      <w:r w:rsidR="002C4F5D">
        <w:t>,</w:t>
      </w:r>
      <w:r>
        <w:t xml:space="preserve"> not </w:t>
      </w:r>
      <w:r w:rsidR="00487778">
        <w:t xml:space="preserve">necessarily </w:t>
      </w:r>
      <w:r>
        <w:t>opposing goals (Horton et al 2016).</w:t>
      </w:r>
    </w:p>
    <w:p w14:paraId="364C33B7" w14:textId="4EFBF7D4" w:rsidR="00896135" w:rsidRDefault="00896135" w:rsidP="00896135">
      <w:pPr>
        <w:pStyle w:val="Heading2"/>
      </w:pPr>
      <w:bookmarkStart w:id="57" w:name="_Toc54706224"/>
      <w:r>
        <w:t>High</w:t>
      </w:r>
      <w:r w:rsidR="008E68D2">
        <w:t>-Level Comm</w:t>
      </w:r>
      <w:r>
        <w:t xml:space="preserve">ission on </w:t>
      </w:r>
      <w:r w:rsidR="008E68D2">
        <w:t xml:space="preserve">Employment </w:t>
      </w:r>
      <w:r>
        <w:t xml:space="preserve">and </w:t>
      </w:r>
      <w:r w:rsidR="008E68D2">
        <w:t>Economic G</w:t>
      </w:r>
      <w:r>
        <w:t>rowth</w:t>
      </w:r>
      <w:bookmarkEnd w:id="57"/>
    </w:p>
    <w:p w14:paraId="2468B545" w14:textId="7384B74A" w:rsidR="00896135" w:rsidRDefault="00896135" w:rsidP="00896135">
      <w:r>
        <w:t xml:space="preserve">In March 2016, a High-Level Commission on Health Employment and Economic Growth </w:t>
      </w:r>
      <w:r w:rsidR="00487778">
        <w:t xml:space="preserve">(the Commission) </w:t>
      </w:r>
      <w:r>
        <w:t>was established by United Nations Secretary-General Ban Ki-moon to make recommendations to stimulate and guide the creation of at least 40 million new jobs in the health and social sectors. As part of this work, the Commission sought to draw the attention of the international community to the social and economic benefits of investing in the health workforce, locally and globally.</w:t>
      </w:r>
    </w:p>
    <w:p w14:paraId="5FFEDDF9" w14:textId="77777777" w:rsidR="00896135" w:rsidRDefault="00896135" w:rsidP="00896135"/>
    <w:p w14:paraId="4F96855A" w14:textId="6048AA8B" w:rsidR="00896135" w:rsidRDefault="00896135" w:rsidP="00896135">
      <w:r>
        <w:t xml:space="preserve">The Commission’s vision is for an </w:t>
      </w:r>
      <w:r w:rsidR="008E68D2">
        <w:t>‘</w:t>
      </w:r>
      <w:r>
        <w:t>expanded, transformed and sustainable health workforce to improve health outcomes, wellbeing, equity and social cohesion and foster inclusive economic growth</w:t>
      </w:r>
      <w:r w:rsidR="008E68D2">
        <w:t>’</w:t>
      </w:r>
      <w:r>
        <w:t xml:space="preserve"> (HLC 2016 p28).</w:t>
      </w:r>
    </w:p>
    <w:p w14:paraId="5C86BD1D" w14:textId="77777777" w:rsidR="00896135" w:rsidRDefault="00896135" w:rsidP="00896135"/>
    <w:p w14:paraId="3811DF32" w14:textId="0A7A1175" w:rsidR="00896135" w:rsidRDefault="00896135" w:rsidP="00896135">
      <w:r>
        <w:t xml:space="preserve">The Commission noted that </w:t>
      </w:r>
      <w:r w:rsidR="008E68D2">
        <w:t>‘</w:t>
      </w:r>
      <w:r>
        <w:t>health workers are the backbone of strong, resilient health systems</w:t>
      </w:r>
      <w:r w:rsidR="008E68D2">
        <w:t>’</w:t>
      </w:r>
      <w:r>
        <w:t xml:space="preserve"> (HLC 2016 p15). </w:t>
      </w:r>
      <w:bookmarkStart w:id="58" w:name="_Hlk42160743"/>
      <w:r>
        <w:t xml:space="preserve">The Commission hoped to change the mindset of political leaders, policy makers and economists who view health employment as a burden on the economy (as it </w:t>
      </w:r>
      <w:proofErr w:type="gramStart"/>
      <w:r>
        <w:t>is considered to be</w:t>
      </w:r>
      <w:proofErr w:type="gramEnd"/>
      <w:r>
        <w:t xml:space="preserve"> inefficient, resistant to gains in productivity</w:t>
      </w:r>
      <w:r w:rsidR="008E68D2">
        <w:t>,</w:t>
      </w:r>
      <w:r>
        <w:t xml:space="preserve"> and an expense to be stringently controlled). The Commission wanted to shift the focus of health employment as </w:t>
      </w:r>
      <w:r w:rsidR="008E68D2">
        <w:t>‘</w:t>
      </w:r>
      <w:r>
        <w:t>consumption</w:t>
      </w:r>
      <w:r w:rsidR="008E68D2">
        <w:t>’</w:t>
      </w:r>
      <w:r>
        <w:t xml:space="preserve"> to health employment as an </w:t>
      </w:r>
      <w:r w:rsidR="008E68D2">
        <w:t>‘</w:t>
      </w:r>
      <w:r>
        <w:t>investment</w:t>
      </w:r>
      <w:r w:rsidR="008E68D2">
        <w:t>’</w:t>
      </w:r>
      <w:r>
        <w:t>.</w:t>
      </w:r>
      <w:bookmarkEnd w:id="58"/>
    </w:p>
    <w:p w14:paraId="20AC5CF4" w14:textId="77777777" w:rsidR="00896135" w:rsidRDefault="00896135" w:rsidP="00896135"/>
    <w:p w14:paraId="0F76C3AD" w14:textId="63222C53" w:rsidR="00896135" w:rsidRDefault="00896135" w:rsidP="00896135">
      <w:r>
        <w:lastRenderedPageBreak/>
        <w:t xml:space="preserve">The Commission noted </w:t>
      </w:r>
      <w:proofErr w:type="gramStart"/>
      <w:r>
        <w:t>a number of</w:t>
      </w:r>
      <w:proofErr w:type="gramEnd"/>
      <w:r>
        <w:t xml:space="preserve"> pathways through which health systems, including the health workforce, can promote economic growth. Based on an extensive review of the available evidence, the Commission concluded that, to the extent that resources are wisely spent, and the right policies and enablers are put in place, investment in education and job creation in the health and social sectors will make a positive contribution to inclusive economic growth (HLC 2016).</w:t>
      </w:r>
    </w:p>
    <w:p w14:paraId="5A3D7ED1" w14:textId="77777777" w:rsidR="00896135" w:rsidRDefault="00896135" w:rsidP="00896135">
      <w:pPr>
        <w:pStyle w:val="Heading2"/>
      </w:pPr>
      <w:bookmarkStart w:id="59" w:name="_Toc54706225"/>
      <w:r>
        <w:t>The health sector, economic growth and social cohesion</w:t>
      </w:r>
      <w:bookmarkEnd w:id="59"/>
    </w:p>
    <w:p w14:paraId="0436EFE5" w14:textId="784EA29F" w:rsidR="00896135" w:rsidRDefault="00896135" w:rsidP="00896135">
      <w:r>
        <w:t xml:space="preserve">The WHO </w:t>
      </w:r>
      <w:r w:rsidRPr="00A44F4F">
        <w:rPr>
          <w:i/>
        </w:rPr>
        <w:t>Global Strategy on Human Resources for Health: Workforce 2030</w:t>
      </w:r>
      <w:r>
        <w:t xml:space="preserve">, adopted at the World Health Assembly in May 2016, notes one of its objectives as creating linkages between investments in the health workforce and </w:t>
      </w:r>
      <w:r w:rsidR="008E68D2">
        <w:t>‘</w:t>
      </w:r>
      <w:r>
        <w:t>improvements in health outcomes, social welfare, employment creation and economic growth</w:t>
      </w:r>
      <w:r w:rsidR="008E68D2">
        <w:t>’</w:t>
      </w:r>
      <w:r>
        <w:t xml:space="preserve"> (WHO 2016).</w:t>
      </w:r>
      <w:r w:rsidR="001326EC">
        <w:t xml:space="preserve"> </w:t>
      </w:r>
    </w:p>
    <w:p w14:paraId="4A9DE11C" w14:textId="77777777" w:rsidR="00896135" w:rsidRDefault="00896135" w:rsidP="00896135"/>
    <w:p w14:paraId="25D1BC80" w14:textId="7D5C31DA" w:rsidR="00896135" w:rsidRDefault="00896135" w:rsidP="00896135">
      <w:r>
        <w:t xml:space="preserve">At the Fourth Global Forum on Human Resources for Health, held in Ireland in November 2017, the Dublin declaration was created. This built on the report of the Commission and mentions that strategic investments in the health workforce could contribute to sustainable and inclusive growth and are imperative </w:t>
      </w:r>
      <w:r w:rsidR="008E68D2">
        <w:t xml:space="preserve">for </w:t>
      </w:r>
      <w:r>
        <w:t>shared prosperity (WHO 2017).</w:t>
      </w:r>
    </w:p>
    <w:p w14:paraId="7A393F5B" w14:textId="77777777" w:rsidR="00896135" w:rsidRDefault="00896135" w:rsidP="00896135"/>
    <w:p w14:paraId="0140837E" w14:textId="4BAAF526" w:rsidR="00896135" w:rsidRDefault="00896135" w:rsidP="00896135">
      <w:r>
        <w:t xml:space="preserve">In September 2019, the New Zealand Government released its </w:t>
      </w:r>
      <w:r>
        <w:rPr>
          <w:i/>
        </w:rPr>
        <w:t xml:space="preserve">Economic Plan for a Productive, Sustainable and Inclusive Economy. </w:t>
      </w:r>
      <w:r>
        <w:t xml:space="preserve">The Economic Plan aligns with a broader view of economic growth and wellbeing, which is not limited by a singular focus on GDP. This Plan has a vision of </w:t>
      </w:r>
      <w:r w:rsidR="008E68D2">
        <w:t>‘</w:t>
      </w:r>
      <w:r>
        <w:t>wellbeing for all New Zealanders now and in the future</w:t>
      </w:r>
      <w:r w:rsidR="008E68D2">
        <w:t>’</w:t>
      </w:r>
      <w:r>
        <w:t xml:space="preserve">. Priorities include growing and sharing New Zealand’s prosperity more </w:t>
      </w:r>
      <w:proofErr w:type="gramStart"/>
      <w:r>
        <w:t>fairly</w:t>
      </w:r>
      <w:r w:rsidR="008E68D2">
        <w:t>,</w:t>
      </w:r>
      <w:r>
        <w:t xml:space="preserve"> and</w:t>
      </w:r>
      <w:proofErr w:type="gramEnd"/>
      <w:r>
        <w:t xml:space="preserve"> achieving thriving and sustainable regions.</w:t>
      </w:r>
    </w:p>
    <w:p w14:paraId="23012EF3" w14:textId="77777777" w:rsidR="00896135" w:rsidRDefault="00896135" w:rsidP="00896135"/>
    <w:p w14:paraId="7F72E044" w14:textId="2C109FD6" w:rsidR="00896135" w:rsidRDefault="00896135" w:rsidP="00896135">
      <w:r>
        <w:t xml:space="preserve">This broader focus on economic growth and wellbeing has been reinforced by the development of the Treasury’s Living Standards Framework and its four capitals – financial/physical, human, natural and social. The Framework is flexible </w:t>
      </w:r>
      <w:r w:rsidR="008E68D2">
        <w:t>and designed to</w:t>
      </w:r>
      <w:r>
        <w:t xml:space="preserve"> prompt thinking about policy impacts across the different dimensions of wellbeing. </w:t>
      </w:r>
    </w:p>
    <w:p w14:paraId="75127AB0" w14:textId="77777777" w:rsidR="00896135" w:rsidRDefault="00896135" w:rsidP="00896135"/>
    <w:p w14:paraId="60F99C69" w14:textId="25E30E50" w:rsidR="00896135" w:rsidRDefault="00896135" w:rsidP="00896135">
      <w:r>
        <w:t xml:space="preserve">Health is one of the 12 wellbeing domains set out in the Framework. The health </w:t>
      </w:r>
      <w:r w:rsidR="008E68D2">
        <w:t>and disability system</w:t>
      </w:r>
      <w:r>
        <w:t xml:space="preserve">, including employment in the health sector, cuts across several of the wellbeing domains and these </w:t>
      </w:r>
      <w:r w:rsidR="008E68D2">
        <w:t xml:space="preserve">affect </w:t>
      </w:r>
      <w:r>
        <w:t>five key pathways to economic growth and wellbeing</w:t>
      </w:r>
      <w:r w:rsidR="008E68D2">
        <w:t>:</w:t>
      </w:r>
      <w:r>
        <w:t xml:space="preserve"> </w:t>
      </w:r>
      <w:r w:rsidR="008E68D2">
        <w:t>life expectancy</w:t>
      </w:r>
      <w:r w:rsidR="008E68D2" w:rsidRPr="008E68D2">
        <w:t xml:space="preserve"> </w:t>
      </w:r>
      <w:r w:rsidR="008E68D2">
        <w:t xml:space="preserve">and quality of life, labour supply and productivity, economic output, </w:t>
      </w:r>
      <w:r w:rsidR="00D67F43">
        <w:t>inequality,</w:t>
      </w:r>
      <w:r w:rsidR="008E68D2">
        <w:t xml:space="preserve"> and social cohesion. </w:t>
      </w:r>
      <w:r>
        <w:t xml:space="preserve">These </w:t>
      </w:r>
      <w:r w:rsidR="008E68D2">
        <w:t xml:space="preserve">links </w:t>
      </w:r>
      <w:r>
        <w:t xml:space="preserve">are shown in </w:t>
      </w:r>
      <w:r w:rsidR="00F12314" w:rsidRPr="00F12314">
        <w:fldChar w:fldCharType="begin"/>
      </w:r>
      <w:r w:rsidR="00F12314" w:rsidRPr="00F12314">
        <w:instrText xml:space="preserve"> REF _Ref54198891 \h  \* MERGEFORMAT </w:instrText>
      </w:r>
      <w:r w:rsidR="00F12314" w:rsidRPr="00F12314">
        <w:fldChar w:fldCharType="separate"/>
      </w:r>
      <w:r w:rsidR="00884C99" w:rsidRPr="00884C99">
        <w:rPr>
          <w:rFonts w:eastAsia="Arial"/>
          <w:iCs/>
          <w:sz w:val="20"/>
        </w:rPr>
        <w:t xml:space="preserve">Figure </w:t>
      </w:r>
      <w:r w:rsidR="00884C99" w:rsidRPr="00884C99">
        <w:rPr>
          <w:rFonts w:eastAsia="Arial"/>
          <w:iCs/>
          <w:noProof/>
          <w:sz w:val="20"/>
        </w:rPr>
        <w:t>8</w:t>
      </w:r>
      <w:r w:rsidR="00F12314" w:rsidRPr="00F12314">
        <w:fldChar w:fldCharType="end"/>
      </w:r>
      <w:r w:rsidR="008E68D2" w:rsidRPr="00F12314">
        <w:t xml:space="preserve"> </w:t>
      </w:r>
      <w:r w:rsidR="008E68D2">
        <w:t>and the pathways are discussed in more detail in the next sections.</w:t>
      </w:r>
    </w:p>
    <w:p w14:paraId="62F24654" w14:textId="77777777" w:rsidR="00896135" w:rsidRDefault="00896135" w:rsidP="00896135"/>
    <w:p w14:paraId="3E995CD6" w14:textId="0008DF76" w:rsidR="00896135" w:rsidRPr="005F4DDF" w:rsidRDefault="00896135" w:rsidP="00896135">
      <w:pPr>
        <w:pStyle w:val="Caption"/>
        <w:keepNext/>
        <w:rPr>
          <w:rFonts w:eastAsia="Arial"/>
          <w:b/>
          <w:i w:val="0"/>
          <w:iCs w:val="0"/>
          <w:color w:val="auto"/>
          <w:sz w:val="20"/>
          <w:szCs w:val="20"/>
        </w:rPr>
      </w:pPr>
      <w:bookmarkStart w:id="60" w:name="_Ref54198891"/>
      <w:bookmarkStart w:id="61" w:name="_Toc41290478"/>
      <w:bookmarkStart w:id="62" w:name="_Toc54198917"/>
      <w:r w:rsidRPr="005F4DDF">
        <w:rPr>
          <w:rFonts w:eastAsia="Arial"/>
          <w:b/>
          <w:i w:val="0"/>
          <w:iCs w:val="0"/>
          <w:color w:val="auto"/>
          <w:sz w:val="20"/>
          <w:szCs w:val="20"/>
        </w:rPr>
        <w:lastRenderedPageBreak/>
        <w:t xml:space="preserve">Figure </w:t>
      </w:r>
      <w:r w:rsidRPr="005F4DDF">
        <w:rPr>
          <w:rFonts w:eastAsia="Arial"/>
          <w:b/>
          <w:i w:val="0"/>
          <w:iCs w:val="0"/>
          <w:color w:val="auto"/>
          <w:sz w:val="20"/>
          <w:szCs w:val="20"/>
        </w:rPr>
        <w:fldChar w:fldCharType="begin"/>
      </w:r>
      <w:r w:rsidRPr="005F4DDF">
        <w:rPr>
          <w:rFonts w:eastAsia="Arial"/>
          <w:b/>
          <w:i w:val="0"/>
          <w:iCs w:val="0"/>
          <w:color w:val="auto"/>
          <w:sz w:val="20"/>
          <w:szCs w:val="20"/>
        </w:rPr>
        <w:instrText xml:space="preserve"> SEQ Figure \* ARABIC </w:instrText>
      </w:r>
      <w:r w:rsidRPr="005F4DDF">
        <w:rPr>
          <w:rFonts w:eastAsia="Arial"/>
          <w:b/>
          <w:i w:val="0"/>
          <w:iCs w:val="0"/>
          <w:color w:val="auto"/>
          <w:sz w:val="20"/>
          <w:szCs w:val="20"/>
        </w:rPr>
        <w:fldChar w:fldCharType="separate"/>
      </w:r>
      <w:r w:rsidR="00884C99">
        <w:rPr>
          <w:rFonts w:eastAsia="Arial"/>
          <w:b/>
          <w:i w:val="0"/>
          <w:iCs w:val="0"/>
          <w:noProof/>
          <w:color w:val="auto"/>
          <w:sz w:val="20"/>
          <w:szCs w:val="20"/>
        </w:rPr>
        <w:t>8</w:t>
      </w:r>
      <w:r w:rsidRPr="005F4DDF">
        <w:rPr>
          <w:rFonts w:eastAsia="Arial"/>
          <w:b/>
          <w:i w:val="0"/>
          <w:iCs w:val="0"/>
          <w:color w:val="auto"/>
          <w:sz w:val="20"/>
          <w:szCs w:val="20"/>
        </w:rPr>
        <w:fldChar w:fldCharType="end"/>
      </w:r>
      <w:bookmarkEnd w:id="60"/>
      <w:r w:rsidRPr="005F4DDF">
        <w:rPr>
          <w:rFonts w:eastAsia="Arial"/>
          <w:b/>
          <w:i w:val="0"/>
          <w:iCs w:val="0"/>
          <w:color w:val="auto"/>
          <w:sz w:val="20"/>
          <w:szCs w:val="20"/>
        </w:rPr>
        <w:t>: Pathways linking health sector employment to economic growth and wellbeing</w:t>
      </w:r>
      <w:bookmarkEnd w:id="61"/>
      <w:bookmarkEnd w:id="62"/>
    </w:p>
    <w:p w14:paraId="1C8B43F4" w14:textId="77777777" w:rsidR="00896135" w:rsidRPr="00E57F17" w:rsidRDefault="00896135" w:rsidP="00896135">
      <w:pPr>
        <w:keepNext/>
      </w:pPr>
      <w:r>
        <w:rPr>
          <w:noProof/>
        </w:rPr>
        <w:drawing>
          <wp:inline distT="0" distB="0" distL="0" distR="0" wp14:anchorId="7FDA8C8B" wp14:editId="5CA03B94">
            <wp:extent cx="5618480" cy="3180080"/>
            <wp:effectExtent l="0" t="0" r="1270" b="1270"/>
            <wp:docPr id="11" name="Picture 11" descr="This diagram shows the health and disability system, including health sector employment, feeds into the living standards framework wellbeing domains impacted by the health sector, which feed into the pathways to economic growth and wellbeing. Health and time use both contribute to life expectancy and quality of life and labour supply and productivity. Jobs and earnings, income and consumption, and knowledge and skills contribute to economic output-goods and services and capital assets and levels of inequality. Social connection and subjective wellbeing contribute to social cohesion. Together, the standards and pathways contribute to economic growth and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8480" cy="3180080"/>
                    </a:xfrm>
                    <a:prstGeom prst="rect">
                      <a:avLst/>
                    </a:prstGeom>
                    <a:noFill/>
                    <a:ln>
                      <a:noFill/>
                    </a:ln>
                  </pic:spPr>
                </pic:pic>
              </a:graphicData>
            </a:graphic>
          </wp:inline>
        </w:drawing>
      </w:r>
    </w:p>
    <w:p w14:paraId="25BAA2B0" w14:textId="77777777" w:rsidR="00896135" w:rsidRDefault="00896135" w:rsidP="00896135">
      <w:pPr>
        <w:pStyle w:val="Heading3"/>
      </w:pPr>
      <w:r>
        <w:t>Life expectancy and quality of life</w:t>
      </w:r>
    </w:p>
    <w:p w14:paraId="03FFF283" w14:textId="77777777" w:rsidR="00896135" w:rsidRDefault="00896135" w:rsidP="00896135">
      <w:r>
        <w:t>In its broadest sense, the health and disability system, through its health workforce, contributes to the improved health and wellbeing of the New Zealand population. Economic growth depends on a healthy population.</w:t>
      </w:r>
    </w:p>
    <w:p w14:paraId="0D074464" w14:textId="77777777" w:rsidR="00896135" w:rsidRDefault="00896135" w:rsidP="00896135"/>
    <w:p w14:paraId="6AD757AA" w14:textId="3F4745AF" w:rsidR="00896135" w:rsidRDefault="00896135" w:rsidP="00896135">
      <w:r>
        <w:t>Health has intrinsic value and economic benefits are released through increased life expectancy and improved quality of life. There are also advantages for famil</w:t>
      </w:r>
      <w:r w:rsidR="00D67F43">
        <w:t>ies</w:t>
      </w:r>
      <w:r>
        <w:t xml:space="preserve"> and broader participation in society through optimal levels of health.</w:t>
      </w:r>
    </w:p>
    <w:p w14:paraId="624AFC75" w14:textId="77777777" w:rsidR="00896135" w:rsidRDefault="00896135" w:rsidP="00896135"/>
    <w:p w14:paraId="71C3FD53" w14:textId="0D4F1AFE" w:rsidR="00896135" w:rsidRDefault="00896135" w:rsidP="00896135">
      <w:r>
        <w:t xml:space="preserve">Health wellbeing and overall wellbeing are interconnected. The Living Standards Framework Dashboard’s heatmap shows that people with low wellbeing for health are 17 percentage points more likely to have low income and consumption and 12 percentage points more likely to have low knowledge and skills, compared with people who have medium or high </w:t>
      </w:r>
      <w:r w:rsidR="00D67F43">
        <w:t xml:space="preserve">health </w:t>
      </w:r>
      <w:r>
        <w:t>wellbeing (The Treasury 2019).</w:t>
      </w:r>
    </w:p>
    <w:p w14:paraId="06DA5DC7" w14:textId="77777777" w:rsidR="00896135" w:rsidRDefault="00896135" w:rsidP="00896135"/>
    <w:p w14:paraId="024C6241" w14:textId="2C4930B4" w:rsidR="00896135" w:rsidRDefault="00896135" w:rsidP="00896135">
      <w:r>
        <w:t>Poor health early in life can lead to poor educational outcomes and reduce the prospects of securing a well-paying job. Poor health can affect education through lower attendance rates, inabilit</w:t>
      </w:r>
      <w:r w:rsidR="00D67F43">
        <w:t>y</w:t>
      </w:r>
      <w:r>
        <w:t xml:space="preserve"> to concentrate and learning disabilities.</w:t>
      </w:r>
    </w:p>
    <w:p w14:paraId="47620B9D" w14:textId="77777777" w:rsidR="00896135" w:rsidRDefault="00896135" w:rsidP="00896135"/>
    <w:p w14:paraId="17646221" w14:textId="1B15890C" w:rsidR="00896135" w:rsidRDefault="00896135" w:rsidP="00896135">
      <w:r>
        <w:t>Good health also has benefits at a population and economy-wide level. Better population health can encourage greater domestic savings and foreign investment</w:t>
      </w:r>
      <w:r w:rsidR="00D67F43">
        <w:t>,</w:t>
      </w:r>
      <w:r>
        <w:t xml:space="preserve"> and improved social stability.</w:t>
      </w:r>
    </w:p>
    <w:p w14:paraId="0115392D" w14:textId="77777777" w:rsidR="00896135" w:rsidRPr="003B3D94" w:rsidRDefault="00896135" w:rsidP="00896135">
      <w:pPr>
        <w:pStyle w:val="Heading3"/>
      </w:pPr>
      <w:r>
        <w:t>Labour supply and productivity</w:t>
      </w:r>
    </w:p>
    <w:p w14:paraId="263F14C5" w14:textId="749B192C" w:rsidR="00896135" w:rsidRDefault="00896135" w:rsidP="00896135">
      <w:r>
        <w:t>Improved health leads to enhanced activity in the labour market</w:t>
      </w:r>
      <w:r w:rsidR="00817955">
        <w:t>,</w:t>
      </w:r>
      <w:r>
        <w:t xml:space="preserve"> thereby increasing economic activity. Healthier workers are more productive, resulting in supply-side </w:t>
      </w:r>
      <w:r>
        <w:lastRenderedPageBreak/>
        <w:t>benefits to the economy. Adults who experience poor health are more likely to be absent from work (absenteeism) or more likely to be unproductive at work (presenteeism).</w:t>
      </w:r>
    </w:p>
    <w:p w14:paraId="5D0C7D7E" w14:textId="77777777" w:rsidR="00896135" w:rsidRDefault="00896135" w:rsidP="00896135"/>
    <w:p w14:paraId="43372B65" w14:textId="26FBA7C1" w:rsidR="00896135" w:rsidRDefault="00896135" w:rsidP="00896135">
      <w:r>
        <w:t>A New Zealand Treasury working paper looked at the cost of ill</w:t>
      </w:r>
      <w:r w:rsidR="00817955">
        <w:t>-</w:t>
      </w:r>
      <w:r>
        <w:t>health by estimating the cost of absenteeism, presenteeism, working less and not working owing to ill</w:t>
      </w:r>
      <w:r w:rsidR="00D67F43">
        <w:t>-</w:t>
      </w:r>
      <w:r>
        <w:t xml:space="preserve">health. Evaluated at the average full-time pay rate, the estimated </w:t>
      </w:r>
      <w:r w:rsidR="00817955">
        <w:t xml:space="preserve">cost of </w:t>
      </w:r>
      <w:r>
        <w:t xml:space="preserve">hours lost </w:t>
      </w:r>
      <w:r w:rsidR="00D67F43">
        <w:t>range</w:t>
      </w:r>
      <w:r w:rsidR="00817955">
        <w:t>s</w:t>
      </w:r>
      <w:r w:rsidR="00D67F43">
        <w:t xml:space="preserve"> from</w:t>
      </w:r>
      <w:r>
        <w:t xml:space="preserve"> $4.127 billion to $11.563 billion in 2004/05. This is 2.7% to 7.6% of GDP, with the large range due to the different methods and assumptions used to estimate presenteeism. Taking the estimate at the midpoint range, indirect costs are estimated to be $7,483</w:t>
      </w:r>
      <w:r w:rsidR="00D67F43">
        <w:t> </w:t>
      </w:r>
      <w:r>
        <w:t>billion or 4.9% of GDP. Presenteeism accounts for 55% of this cost, not working 23%, working less 19% and absenteeism only 3% (Holt 2010a).</w:t>
      </w:r>
    </w:p>
    <w:p w14:paraId="368890F7" w14:textId="77777777" w:rsidR="00896135" w:rsidRDefault="00896135" w:rsidP="00896135"/>
    <w:p w14:paraId="302E3450" w14:textId="1F5F5FDF" w:rsidR="00896135" w:rsidRDefault="00896135" w:rsidP="00896135">
      <w:r>
        <w:t xml:space="preserve">The New Zealand Treasury also examined the relationship between health and labour force participation using data from the first three waves of the Survey of Family, Income and Employment (2002 to 2005). The results of standard regression models indicated that five out of nine chronic diseases considered have a significant negative relationship with labour force participation once other factors are controlled for. They estimated that, if there was an improvement in health, the additional number of people who </w:t>
      </w:r>
      <w:r w:rsidR="00D67F43">
        <w:t xml:space="preserve">could </w:t>
      </w:r>
      <w:r>
        <w:t>participate in the labour force is likely to be between 5,300 and 38,700</w:t>
      </w:r>
      <w:r w:rsidR="00D67F43">
        <w:t>,</w:t>
      </w:r>
      <w:r>
        <w:t xml:space="preserve"> or a 0.3% or 2.1% increase in the total number of people participating (Holt 2010b).</w:t>
      </w:r>
    </w:p>
    <w:p w14:paraId="7799C012" w14:textId="77777777" w:rsidR="00896135" w:rsidRDefault="00896135" w:rsidP="00896135"/>
    <w:p w14:paraId="606A58AA" w14:textId="77777777" w:rsidR="00896135" w:rsidRDefault="00896135" w:rsidP="00896135">
      <w:r>
        <w:t>Just as improved health can lead to more productive employment, employment also has health benefits. Literature on the benefits of employment in the health sector is scarce, so for this paper we have drawn on studies that discuss the general benefits of employment compared to unemployment.</w:t>
      </w:r>
    </w:p>
    <w:p w14:paraId="6AD861C6" w14:textId="77777777" w:rsidR="00896135" w:rsidRDefault="00896135" w:rsidP="00896135"/>
    <w:p w14:paraId="0A2BD7FA" w14:textId="28EDAFCD" w:rsidR="00896135" w:rsidRDefault="00896135" w:rsidP="00896135">
      <w:r>
        <w:t>The literature shows that a favourable work environment and high job security lead to better health outcomes. Being employed with good working conditions plays a protective role on physical and mental health (</w:t>
      </w:r>
      <w:proofErr w:type="spellStart"/>
      <w:r>
        <w:t>Barnay</w:t>
      </w:r>
      <w:proofErr w:type="spellEnd"/>
      <w:r>
        <w:t xml:space="preserve"> 2016). For example, a study in the Netherlands, which compared the self-rated health and quality of life of people before and after employment, found that paid employment improved quality of life and self-rated health</w:t>
      </w:r>
      <w:r w:rsidR="008623D9">
        <w:t>,</w:t>
      </w:r>
      <w:r>
        <w:t xml:space="preserve"> and that labour force participation should be considered as an important measure to improve the health of unemployed </w:t>
      </w:r>
      <w:r w:rsidR="00817955">
        <w:t xml:space="preserve">people </w:t>
      </w:r>
      <w:r>
        <w:t>(</w:t>
      </w:r>
      <w:proofErr w:type="spellStart"/>
      <w:r>
        <w:t>Carlier</w:t>
      </w:r>
      <w:proofErr w:type="spellEnd"/>
      <w:r>
        <w:t xml:space="preserve"> et al 2013).</w:t>
      </w:r>
    </w:p>
    <w:p w14:paraId="4F094CCA" w14:textId="77777777" w:rsidR="00896135" w:rsidRDefault="00896135" w:rsidP="00896135"/>
    <w:p w14:paraId="32D3B95A" w14:textId="741FB9D3" w:rsidR="00896135" w:rsidRDefault="00896135" w:rsidP="00896135">
      <w:r>
        <w:t xml:space="preserve">There is evidence that employment can have a protective effect on depression and general mental health (van der </w:t>
      </w:r>
      <w:proofErr w:type="spellStart"/>
      <w:r>
        <w:t>Noordt</w:t>
      </w:r>
      <w:proofErr w:type="spellEnd"/>
      <w:r>
        <w:t xml:space="preserve"> et al 2014)</w:t>
      </w:r>
      <w:r w:rsidR="008623D9">
        <w:t>,</w:t>
      </w:r>
      <w:r>
        <w:t xml:space="preserve"> and research by psychologists and others has consistently found that employees experience better psychological wellbeing than those who are unemployed (Wood and Burchell 2018). Globally, depression and anxiety have led to 15 billion lost days of work every year at an estimated annual cost of US$1.5 trillion (Chisholm 2016).</w:t>
      </w:r>
    </w:p>
    <w:p w14:paraId="7F7A6E9C" w14:textId="77777777" w:rsidR="00896135" w:rsidRDefault="00896135" w:rsidP="00896135">
      <w:pPr>
        <w:pStyle w:val="Heading4"/>
      </w:pPr>
      <w:r>
        <w:t>A strong health workforce can reduce impacts on the economy</w:t>
      </w:r>
    </w:p>
    <w:p w14:paraId="16F24A5D" w14:textId="77777777" w:rsidR="00896135" w:rsidRDefault="00896135" w:rsidP="00896135">
      <w:r>
        <w:t xml:space="preserve">As recent events have shown, a widespread pandemic can bring a country’s labour supply and economy to a halt. Horton (2016) notes that weak health systems, with inadequate numbers of health workers, perform poorly in the surveillance, prevention and control of pandemics and infectious disease outbreaks. Recent experience shows the significant damage pandemics can do to the economy because of the effects on trade, travel, tourism and investment. Strong and responsive health systems strengthen </w:t>
      </w:r>
      <w:r>
        <w:lastRenderedPageBreak/>
        <w:t xml:space="preserve">the ability of a country to respond to health pandemics and help to minimise the impact on the economy. </w:t>
      </w:r>
    </w:p>
    <w:p w14:paraId="681B96A4" w14:textId="77777777" w:rsidR="00896135" w:rsidRDefault="00896135" w:rsidP="00896135"/>
    <w:p w14:paraId="056F0F03" w14:textId="417E1162" w:rsidR="00896135" w:rsidRDefault="00896135" w:rsidP="00896135">
      <w:r>
        <w:t xml:space="preserve">The health and disability sector also </w:t>
      </w:r>
      <w:proofErr w:type="gramStart"/>
      <w:r>
        <w:t>improve</w:t>
      </w:r>
      <w:r w:rsidR="00EB6B91">
        <w:t>s</w:t>
      </w:r>
      <w:proofErr w:type="gramEnd"/>
      <w:r>
        <w:t xml:space="preserve"> labour productivity and equity by pro</w:t>
      </w:r>
      <w:r w:rsidRPr="00CF2ADA">
        <w:t xml:space="preserve">viding progression and training. The sector </w:t>
      </w:r>
      <w:r w:rsidR="00126A0C">
        <w:t>offers</w:t>
      </w:r>
      <w:r w:rsidR="00126A0C" w:rsidRPr="00CF2ADA">
        <w:t xml:space="preserve"> </w:t>
      </w:r>
      <w:r w:rsidRPr="00CF2ADA">
        <w:t>a range of education and training opportunities</w:t>
      </w:r>
      <w:r w:rsidR="00EB6B91">
        <w:t>,</w:t>
      </w:r>
      <w:r w:rsidRPr="00CF2ADA">
        <w:t xml:space="preserve"> and people are required to maintain and improve their skills. For example, in 2018/19, around $185 million was allocated to training and development of the health and disability workforce, including supporting medical vocational training, Nurse Entry to Practice, Midwifery First </w:t>
      </w:r>
      <w:r w:rsidR="00D62718">
        <w:t>Y</w:t>
      </w:r>
      <w:r w:rsidRPr="00CF2ADA">
        <w:t>ear of Practice Programme, postgraduate nurse education and the Voluntary Bonding Scheme. In 2019</w:t>
      </w:r>
      <w:r>
        <w:t>/20 total funding for training increased to $211 million, plus an additional $5 million for leadership training.</w:t>
      </w:r>
    </w:p>
    <w:p w14:paraId="109F9C1E" w14:textId="77777777" w:rsidR="00896135" w:rsidRDefault="00896135" w:rsidP="00896135"/>
    <w:p w14:paraId="5634DCF3" w14:textId="1BA7D875" w:rsidR="00896135" w:rsidRDefault="00896135" w:rsidP="00896135">
      <w:proofErr w:type="spellStart"/>
      <w:r w:rsidRPr="00E67F52">
        <w:t>Pálsdóttir</w:t>
      </w:r>
      <w:proofErr w:type="spellEnd"/>
      <w:r w:rsidRPr="00E67F52">
        <w:t xml:space="preserve"> et al</w:t>
      </w:r>
      <w:r>
        <w:t xml:space="preserve"> (2016) found that strategies such as training health workers within communities, better aligning skills and competencies with population and system health needs, ensuring a gender-balanced workforce</w:t>
      </w:r>
      <w:r w:rsidR="004A275C">
        <w:t>,</w:t>
      </w:r>
      <w:r>
        <w:t xml:space="preserve"> and enhancing inter-professional learning can maximise the social and economic return on investment.</w:t>
      </w:r>
    </w:p>
    <w:p w14:paraId="450D3D01" w14:textId="77777777" w:rsidR="00896135" w:rsidRDefault="00896135" w:rsidP="00896135"/>
    <w:p w14:paraId="27EA2A54" w14:textId="602ABEE7" w:rsidR="00896135" w:rsidRDefault="00896135" w:rsidP="00896135">
      <w:r>
        <w:t>Having an appropriately trained health workforce is vital to efficiently and effectively responding to health emergencies, promoting and managing public health</w:t>
      </w:r>
      <w:r w:rsidR="004A275C">
        <w:t>,</w:t>
      </w:r>
      <w:r>
        <w:t xml:space="preserve"> and enabling economic production to continue. Investments in the health workforce, including epidemic surveillance and response, help to strengthen a country’s response to infectious diseases, protecting</w:t>
      </w:r>
      <w:r w:rsidR="004A275C" w:rsidRPr="004A275C">
        <w:t xml:space="preserve"> </w:t>
      </w:r>
      <w:r w:rsidR="004A275C">
        <w:t>both</w:t>
      </w:r>
      <w:r>
        <w:t xml:space="preserve"> people and the economy.</w:t>
      </w:r>
    </w:p>
    <w:p w14:paraId="5D669F9F" w14:textId="6C07F60F" w:rsidR="00896135" w:rsidRDefault="00896135" w:rsidP="00896135">
      <w:pPr>
        <w:pStyle w:val="Heading3"/>
      </w:pPr>
      <w:r>
        <w:t>Economic output</w:t>
      </w:r>
      <w:r w:rsidR="004A275C">
        <w:t xml:space="preserve"> </w:t>
      </w:r>
    </w:p>
    <w:p w14:paraId="45067F10" w14:textId="3C35540E" w:rsidR="00896135" w:rsidRDefault="00896135" w:rsidP="00896135">
      <w:r>
        <w:t xml:space="preserve">The health and disability system </w:t>
      </w:r>
      <w:proofErr w:type="gramStart"/>
      <w:r>
        <w:t>deliver</w:t>
      </w:r>
      <w:r w:rsidR="004A275C">
        <w:t>s</w:t>
      </w:r>
      <w:proofErr w:type="gramEnd"/>
      <w:r>
        <w:t xml:space="preserve"> direct economic value through its effects on the wider economy. It employ</w:t>
      </w:r>
      <w:r w:rsidR="004A275C">
        <w:t>s</w:t>
      </w:r>
      <w:r>
        <w:t xml:space="preserve"> people, build</w:t>
      </w:r>
      <w:r w:rsidR="004A275C">
        <w:t>s</w:t>
      </w:r>
      <w:r>
        <w:t xml:space="preserve"> skills through education and training, creat</w:t>
      </w:r>
      <w:r w:rsidR="004A275C">
        <w:t>es</w:t>
      </w:r>
      <w:r>
        <w:t xml:space="preserve"> infrastructure and facilities, purchas</w:t>
      </w:r>
      <w:r w:rsidR="004A275C">
        <w:t>es</w:t>
      </w:r>
      <w:r>
        <w:t xml:space="preserve"> supplies, and deliver</w:t>
      </w:r>
      <w:r w:rsidR="004A275C">
        <w:t>s</w:t>
      </w:r>
      <w:r>
        <w:t xml:space="preserve"> communications and logistics (Horton et al 2016). Health systems need a range of services and products, </w:t>
      </w:r>
      <w:r w:rsidR="007977A3">
        <w:t xml:space="preserve">creating </w:t>
      </w:r>
      <w:r>
        <w:t xml:space="preserve">business </w:t>
      </w:r>
      <w:r w:rsidR="007977A3">
        <w:t xml:space="preserve">for </w:t>
      </w:r>
      <w:r>
        <w:t>local companies. As the health sector expands, so does its impact on the economy.</w:t>
      </w:r>
    </w:p>
    <w:p w14:paraId="25455CA9" w14:textId="77777777" w:rsidR="00896135" w:rsidRDefault="00896135" w:rsidP="00896135">
      <w:pPr>
        <w:pStyle w:val="Heading4"/>
      </w:pPr>
      <w:r>
        <w:t>Health institutions as anchor institutions</w:t>
      </w:r>
    </w:p>
    <w:p w14:paraId="71007CAF" w14:textId="763CACFC" w:rsidR="00896135" w:rsidRDefault="00896135" w:rsidP="00896135">
      <w:r>
        <w:t xml:space="preserve">Health institutions are often viewed as </w:t>
      </w:r>
      <w:r w:rsidR="007977A3">
        <w:t>‘</w:t>
      </w:r>
      <w:r>
        <w:t>anchor institutions</w:t>
      </w:r>
      <w:r w:rsidR="007977A3">
        <w:t>’</w:t>
      </w:r>
      <w:r>
        <w:t xml:space="preserve">, a term used to describe that fact that in tough economic times they are economically and socially connected to the communities in which they are based, and so act as economic stabilisers. Employment in the health and disability sector tends to be less sensitive to cyclical fluctuations (such as economic recessions) than employment in other sectors of the economy. The health sector can create jobs in deprived areas and regions and keep the productive sector going through an economic downturn (Boyce and Brown 2019; </w:t>
      </w:r>
      <w:proofErr w:type="spellStart"/>
      <w:r>
        <w:t>Maignan</w:t>
      </w:r>
      <w:proofErr w:type="spellEnd"/>
      <w:r>
        <w:t xml:space="preserve"> 2012).</w:t>
      </w:r>
    </w:p>
    <w:p w14:paraId="3ABC35BE" w14:textId="77777777" w:rsidR="00896135" w:rsidRDefault="00896135" w:rsidP="00896135"/>
    <w:p w14:paraId="616690B7" w14:textId="3472430A" w:rsidR="00896135" w:rsidRDefault="00896135" w:rsidP="00896135">
      <w:r>
        <w:t>A study by Dall et al (2009) sought to quantify the economic value of professional nursing. Using hospital discharge data to estimate</w:t>
      </w:r>
      <w:r w:rsidR="001814D3">
        <w:t xml:space="preserve"> the</w:t>
      </w:r>
      <w:r>
        <w:t xml:space="preserve"> incidence and cost of different patient outcomes along with productivity measures, they estimated the economic implications of changing nurse staffing levels.</w:t>
      </w:r>
      <w:r w:rsidR="001326EC">
        <w:t xml:space="preserve"> </w:t>
      </w:r>
      <w:r>
        <w:t>They found that as nurse staffing levels increase, patient risk of contracting a hospital-related disease (nosocomial complications) and hospital length of stay decrease, resulting in medical cost savings, improved national productivity, and lives saved. The authors note that:</w:t>
      </w:r>
    </w:p>
    <w:p w14:paraId="36CA9C64" w14:textId="79CC9ED6" w:rsidR="00896135" w:rsidRDefault="00896135" w:rsidP="00896135">
      <w:pPr>
        <w:pStyle w:val="Quote"/>
      </w:pPr>
      <w:r>
        <w:lastRenderedPageBreak/>
        <w:t>Only a portion of the services that professional nurses provide can be quantified in pecuniary terms, but the partial estimates of economic value presented illustrate the economic value to society of improved quality of care achieved through higher staffing levels (p97).</w:t>
      </w:r>
    </w:p>
    <w:p w14:paraId="15DE6EFD" w14:textId="77777777" w:rsidR="00896135" w:rsidRDefault="00896135" w:rsidP="00896135">
      <w:pPr>
        <w:pStyle w:val="Heading4"/>
      </w:pPr>
      <w:r>
        <w:t>Strategic purchasing</w:t>
      </w:r>
    </w:p>
    <w:p w14:paraId="11549E67" w14:textId="77777777" w:rsidR="00896135" w:rsidRDefault="00896135" w:rsidP="00896135">
      <w:r>
        <w:t xml:space="preserve">The WHO (Boyce and Brown 2019) notes that purchasing is often seen as separate from regional economic plans and political decisions, and it is often regarded as a cost rather than an opportunity for economic growth and community development. However, purchasing and procurement by the health and disability sector has the potential to achieve social, economic and environmental benefits. </w:t>
      </w:r>
    </w:p>
    <w:p w14:paraId="764D9B9F" w14:textId="77777777" w:rsidR="00896135" w:rsidRDefault="00896135" w:rsidP="00896135"/>
    <w:p w14:paraId="1A582A89" w14:textId="67E8DC5C" w:rsidR="00896135" w:rsidRDefault="00896135" w:rsidP="00896135">
      <w:r>
        <w:t>The WHO, the World Bank and the European Union all advocate that strategic purchasing has a significant role in creating sustainable economies and communities (W</w:t>
      </w:r>
      <w:r w:rsidR="00D62718">
        <w:t>HO</w:t>
      </w:r>
      <w:r>
        <w:t xml:space="preserve"> 2018</w:t>
      </w:r>
      <w:r w:rsidR="00126A0C">
        <w:t>;</w:t>
      </w:r>
      <w:r>
        <w:t xml:space="preserve"> </w:t>
      </w:r>
      <w:proofErr w:type="spellStart"/>
      <w:r>
        <w:t>Preker</w:t>
      </w:r>
      <w:proofErr w:type="spellEnd"/>
      <w:r>
        <w:t xml:space="preserve"> et al 2007). They advocate for </w:t>
      </w:r>
      <w:r w:rsidR="001814D3">
        <w:t>‘</w:t>
      </w:r>
      <w:r>
        <w:t>strategic social purchasing</w:t>
      </w:r>
      <w:r w:rsidR="001814D3">
        <w:t>’</w:t>
      </w:r>
      <w:r>
        <w:t xml:space="preserve"> to support local and regional economies, with local businesses employing local people so that wealth circulates in the area. The WHO notes that:</w:t>
      </w:r>
    </w:p>
    <w:p w14:paraId="43648257" w14:textId="6B5AA31D" w:rsidR="00896135" w:rsidRDefault="00896135" w:rsidP="00896135">
      <w:pPr>
        <w:pStyle w:val="Quote"/>
      </w:pPr>
      <w:r>
        <w:t>Health systems have a powerful economic and social role to play in national and local communities. By demonstrating their value in positively influencing local economies, through their employment and procurement practices, health systems can be leading contributors to local and national economic development (Boyce and Brown 2019 p32).</w:t>
      </w:r>
    </w:p>
    <w:p w14:paraId="01E922C5" w14:textId="77777777" w:rsidR="00896135" w:rsidRDefault="00896135" w:rsidP="00896135">
      <w:pPr>
        <w:pStyle w:val="Heading3"/>
      </w:pPr>
      <w:r>
        <w:t>Levels of inequality</w:t>
      </w:r>
    </w:p>
    <w:p w14:paraId="67E786E7" w14:textId="54941C94" w:rsidR="00896135" w:rsidRDefault="00896135" w:rsidP="00896135">
      <w:r>
        <w:t xml:space="preserve">Highly unequal societies tend to be less economically productive (Stiglitz 2012). Political stability that results from more equal societies along with </w:t>
      </w:r>
      <w:r w:rsidR="001814D3">
        <w:t xml:space="preserve">greater </w:t>
      </w:r>
      <w:r>
        <w:t>equality of opportunities are important foundations for economic growth and overall wellbeing.</w:t>
      </w:r>
    </w:p>
    <w:p w14:paraId="382F339F" w14:textId="77777777" w:rsidR="00896135" w:rsidRDefault="00896135" w:rsidP="00896135"/>
    <w:p w14:paraId="05DC343B" w14:textId="19195C72" w:rsidR="00896135" w:rsidRDefault="00896135" w:rsidP="00896135">
      <w:r>
        <w:t>Women drive wealth creation through their employment in the health economy. In a sample of 123 countries, women made up 67% of employment in the health and social sectors compared with 41% of total employment (Magar et al 2016). In New Zealand, the health care and social assistance sector has a predominately female workforce</w:t>
      </w:r>
      <w:r w:rsidR="001814D3">
        <w:t xml:space="preserve"> – in 2019</w:t>
      </w:r>
      <w:r>
        <w:t xml:space="preserve"> 83% of the workforce </w:t>
      </w:r>
      <w:r w:rsidR="001814D3">
        <w:t xml:space="preserve">was </w:t>
      </w:r>
      <w:r>
        <w:t>female.</w:t>
      </w:r>
    </w:p>
    <w:p w14:paraId="6BCC6A43" w14:textId="77777777" w:rsidR="00896135" w:rsidRDefault="00896135" w:rsidP="00896135"/>
    <w:p w14:paraId="1C157A56" w14:textId="77777777" w:rsidR="00896135" w:rsidRDefault="00896135" w:rsidP="00896135">
      <w:r>
        <w:t>The gender gap in New Zealand’s medical workforce is closing. In 2013 women made up 41.7% of the workforce and outnumbered men among new doctors. Further:</w:t>
      </w:r>
    </w:p>
    <w:p w14:paraId="7F030197" w14:textId="77777777" w:rsidR="00896135" w:rsidRDefault="00896135" w:rsidP="008E7244">
      <w:pPr>
        <w:pStyle w:val="Bullet"/>
      </w:pPr>
      <w:r>
        <w:t>45% of female doctors were under 40 years of age</w:t>
      </w:r>
    </w:p>
    <w:p w14:paraId="31610195" w14:textId="77777777" w:rsidR="00896135" w:rsidRDefault="00896135" w:rsidP="008E7244">
      <w:pPr>
        <w:pStyle w:val="Bullet"/>
      </w:pPr>
      <w:r>
        <w:t>28% of male doctors were under 40 years of age</w:t>
      </w:r>
    </w:p>
    <w:p w14:paraId="71867131" w14:textId="77777777" w:rsidR="00896135" w:rsidRDefault="00896135" w:rsidP="008E7244">
      <w:pPr>
        <w:pStyle w:val="Bullet"/>
      </w:pPr>
      <w:r>
        <w:t>57% of house officers and 50% of registrars were women (Ministry of Health 2016).</w:t>
      </w:r>
    </w:p>
    <w:p w14:paraId="4DB14A41" w14:textId="77777777" w:rsidR="00896135" w:rsidRDefault="00896135" w:rsidP="00896135"/>
    <w:p w14:paraId="257A775B" w14:textId="1F8B5F2B" w:rsidR="00896135" w:rsidRDefault="00896135" w:rsidP="00896135">
      <w:r>
        <w:t xml:space="preserve">The </w:t>
      </w:r>
      <w:r w:rsidR="001814D3">
        <w:t xml:space="preserve">UN’s High-Level Commission on Health Employment and Economic Growth </w:t>
      </w:r>
      <w:r>
        <w:t>note</w:t>
      </w:r>
      <w:r w:rsidR="001814D3">
        <w:t>d</w:t>
      </w:r>
      <w:r>
        <w:t xml:space="preserve"> that women in the health sector are under-represented in positions of leadership relative to their share of employment in </w:t>
      </w:r>
      <w:r w:rsidR="00126A0C">
        <w:t>the sector</w:t>
      </w:r>
      <w:r>
        <w:t xml:space="preserve">. They may also be subject to physical and sexual violence or other targeted attacks. The Commission </w:t>
      </w:r>
      <w:r w:rsidR="001814D3">
        <w:t xml:space="preserve">pointed to </w:t>
      </w:r>
      <w:r>
        <w:t xml:space="preserve">the need to address gender biases, ensure equal pay for work of equal value, recognise and value women’s unpaid work and provide for leadership roles for women (HLC 2016). Targeted investment in this labour group will help to address gender inequality </w:t>
      </w:r>
      <w:r w:rsidR="001814D3">
        <w:lastRenderedPageBreak/>
        <w:t xml:space="preserve">in </w:t>
      </w:r>
      <w:r>
        <w:t>the workplace and have a</w:t>
      </w:r>
      <w:r w:rsidR="001814D3">
        <w:t xml:space="preserve"> positive</w:t>
      </w:r>
      <w:r>
        <w:t xml:space="preserve"> impact on households and society in general (van de Pas et al 2018).</w:t>
      </w:r>
    </w:p>
    <w:p w14:paraId="6641AC6E" w14:textId="77777777" w:rsidR="00896135" w:rsidRDefault="00896135" w:rsidP="00896135"/>
    <w:p w14:paraId="0080F805" w14:textId="53BD311F" w:rsidR="00896135" w:rsidRDefault="00896135" w:rsidP="00896135">
      <w:r>
        <w:t xml:space="preserve">The health and disability sector also </w:t>
      </w:r>
      <w:proofErr w:type="gramStart"/>
      <w:r>
        <w:t>plays</w:t>
      </w:r>
      <w:proofErr w:type="gramEnd"/>
      <w:r>
        <w:t xml:space="preserve"> an important role in reducing geographic</w:t>
      </w:r>
      <w:r w:rsidR="001814D3">
        <w:t>al</w:t>
      </w:r>
      <w:r>
        <w:t xml:space="preserve"> inequities. It does this through the education and training it provides, the geographical spread of jobs and promoting jobs for young people. The health sector can use targeted strategies to attract young people from rural and</w:t>
      </w:r>
      <w:r w:rsidR="00503C68">
        <w:t xml:space="preserve"> </w:t>
      </w:r>
      <w:r w:rsidR="00B177DD">
        <w:t xml:space="preserve">other communities and ethnicities </w:t>
      </w:r>
      <w:r w:rsidR="00503C68">
        <w:t xml:space="preserve">underrepresented in the </w:t>
      </w:r>
      <w:proofErr w:type="gramStart"/>
      <w:r w:rsidR="00503C68">
        <w:t xml:space="preserve">workforce </w:t>
      </w:r>
      <w:r>
        <w:t xml:space="preserve"> to</w:t>
      </w:r>
      <w:proofErr w:type="gramEnd"/>
      <w:r>
        <w:t xml:space="preserve"> a career in the health and disability sector.</w:t>
      </w:r>
    </w:p>
    <w:p w14:paraId="6EB77530" w14:textId="77777777" w:rsidR="00896135" w:rsidRDefault="00896135" w:rsidP="00896135"/>
    <w:p w14:paraId="0F179413" w14:textId="275060EF" w:rsidR="00896135" w:rsidRDefault="00896135" w:rsidP="00896135">
      <w:r>
        <w:t xml:space="preserve">Limited information is available on the number of health and disability workers in rural areas, but </w:t>
      </w:r>
      <w:r w:rsidR="001376AA" w:rsidRPr="004F676C">
        <w:t>an extract of</w:t>
      </w:r>
      <w:r w:rsidR="001376AA" w:rsidDel="001376AA">
        <w:t xml:space="preserve"> </w:t>
      </w:r>
      <w:r w:rsidR="001376AA" w:rsidRPr="004F676C">
        <w:t xml:space="preserve">NES data on 17 March </w:t>
      </w:r>
      <w:r w:rsidR="001376AA">
        <w:t>2020</w:t>
      </w:r>
      <w:r>
        <w:t xml:space="preserve"> shows that o</w:t>
      </w:r>
      <w:r w:rsidRPr="004F676C">
        <w:t>ut of 4</w:t>
      </w:r>
      <w:r>
        <w:t>,</w:t>
      </w:r>
      <w:r w:rsidRPr="004F676C">
        <w:t xml:space="preserve">343 GPs, 702 </w:t>
      </w:r>
      <w:r w:rsidR="001376AA">
        <w:t>are</w:t>
      </w:r>
      <w:r w:rsidRPr="004F676C">
        <w:t xml:space="preserve"> in practices belonging to the Rural General Practice Network (16% of all GPs).</w:t>
      </w:r>
    </w:p>
    <w:p w14:paraId="16984FA2" w14:textId="77777777" w:rsidR="00896135" w:rsidRDefault="00896135" w:rsidP="00896135"/>
    <w:p w14:paraId="6C33AC33" w14:textId="019BF68D" w:rsidR="00896135" w:rsidRDefault="00896135" w:rsidP="00896135">
      <w:r>
        <w:t xml:space="preserve">Equity can also be improved in other areas of employment, such as increasing opportunities for groups who may have more challenges </w:t>
      </w:r>
      <w:r w:rsidR="001376AA">
        <w:t xml:space="preserve">in </w:t>
      </w:r>
      <w:r>
        <w:t xml:space="preserve">obtaining full-time employment (for example, people with disabilities or minority groups). </w:t>
      </w:r>
      <w:r w:rsidR="001376AA">
        <w:t xml:space="preserve">The health and disability sector </w:t>
      </w:r>
      <w:proofErr w:type="gramStart"/>
      <w:r w:rsidR="001376AA">
        <w:t>has</w:t>
      </w:r>
      <w:proofErr w:type="gramEnd"/>
      <w:r w:rsidR="001376AA">
        <w:t xml:space="preserve"> some of </w:t>
      </w:r>
      <w:r>
        <w:t>the highest proportions of older workers. For example, a little over 40.1% of doctors were aged 50 or over in 2015, up from 35.3% on 2009.</w:t>
      </w:r>
      <w:r w:rsidR="001326EC">
        <w:t xml:space="preserve"> </w:t>
      </w:r>
      <w:r>
        <w:t>The average age of nurses is 46.3 years (the average is lower in main centres and higher in rural areas) (Ministry of Health 2016).</w:t>
      </w:r>
    </w:p>
    <w:p w14:paraId="15622321" w14:textId="77777777" w:rsidR="00896135" w:rsidRDefault="00896135" w:rsidP="00896135"/>
    <w:p w14:paraId="70EA738A" w14:textId="77777777" w:rsidR="00896135" w:rsidRDefault="00896135" w:rsidP="00896135">
      <w:r>
        <w:t>Māori and Pacific peoples remain under-represented in the medical workforce. Overall, 11% of those working in the health care and social assistance sector are Māori (compared with 16.5% of the population), 11.9% are Asian (compared with 15.1% of the population) and 4.8% are Pacific peoples (compared with 8.1% of the population).</w:t>
      </w:r>
    </w:p>
    <w:p w14:paraId="6D5F6B11" w14:textId="77777777" w:rsidR="00896135" w:rsidRDefault="00896135" w:rsidP="00896135"/>
    <w:p w14:paraId="009B67C9" w14:textId="77777777" w:rsidR="00896135" w:rsidRDefault="00896135" w:rsidP="00896135">
      <w:r>
        <w:t xml:space="preserve">The percentage of Māori nurses within the nursing workforce is slowly rising – increasing from 3.6% in 2009 to 6.5% in 2015, but the percentage of Pacific nurses has remained static at 2.6% since 2009. The number of Pacific nurses is rising, but so is the size of the overall nursing workforce (Ministry of Health 2016). </w:t>
      </w:r>
    </w:p>
    <w:p w14:paraId="64E94031" w14:textId="77777777" w:rsidR="00896135" w:rsidRDefault="00896135" w:rsidP="00896135">
      <w:pPr>
        <w:pStyle w:val="Heading3"/>
      </w:pPr>
      <w:r>
        <w:t>Social cohesion</w:t>
      </w:r>
    </w:p>
    <w:p w14:paraId="63507E27" w14:textId="574E27C2" w:rsidR="00896135" w:rsidRDefault="00896135" w:rsidP="00896135">
      <w:r>
        <w:t>A job provides social contact and contributes to social cohesion. Jobs connect people to others, can help people to expand their networks, and can encourage people from different walks of life to interact. This expansion of networks is important to engender trust and understanding between different groups of people (World Bank 2013).</w:t>
      </w:r>
    </w:p>
    <w:p w14:paraId="2204881E" w14:textId="77777777" w:rsidR="00896135" w:rsidRDefault="00896135" w:rsidP="00896135"/>
    <w:p w14:paraId="22E6BA98" w14:textId="77777777" w:rsidR="00896135" w:rsidRDefault="00896135" w:rsidP="00896135">
      <w:r>
        <w:t>Employment in the health and disability system creates multiple economic and social benefits that help to build social cohesion, particularly if the sector is employing people who live locally. This includes:</w:t>
      </w:r>
    </w:p>
    <w:p w14:paraId="08912EF1" w14:textId="6C582194" w:rsidR="00896135" w:rsidRDefault="001376AA" w:rsidP="008E7244">
      <w:pPr>
        <w:pStyle w:val="Bullet"/>
      </w:pPr>
      <w:r>
        <w:t xml:space="preserve">increasing </w:t>
      </w:r>
      <w:r w:rsidR="00896135">
        <w:t>local wealth as employees who live locally often spend locally</w:t>
      </w:r>
      <w:r>
        <w:t>, which</w:t>
      </w:r>
      <w:r w:rsidR="00896135">
        <w:t xml:space="preserve"> helps to build the social and economic resilience of the community</w:t>
      </w:r>
    </w:p>
    <w:p w14:paraId="44C27F3C" w14:textId="75CC2D3B" w:rsidR="00896135" w:rsidRDefault="001376AA" w:rsidP="008E7244">
      <w:pPr>
        <w:pStyle w:val="Bullet"/>
      </w:pPr>
      <w:r>
        <w:t xml:space="preserve">reducing </w:t>
      </w:r>
      <w:r w:rsidR="00896135">
        <w:t xml:space="preserve">carbon emissions and improving environmental quality </w:t>
      </w:r>
      <w:r>
        <w:t xml:space="preserve">because </w:t>
      </w:r>
      <w:r w:rsidR="00896135">
        <w:t xml:space="preserve">people travel </w:t>
      </w:r>
      <w:r>
        <w:t>shorter distances</w:t>
      </w:r>
      <w:r w:rsidR="00896135">
        <w:t xml:space="preserve"> to work</w:t>
      </w:r>
    </w:p>
    <w:p w14:paraId="7497F6A9" w14:textId="34F01F8E" w:rsidR="00896135" w:rsidRDefault="001376AA" w:rsidP="008E7244">
      <w:pPr>
        <w:pStyle w:val="Bullet"/>
      </w:pPr>
      <w:r>
        <w:t xml:space="preserve">housing </w:t>
      </w:r>
      <w:r w:rsidR="00896135">
        <w:t>and nutrition benefits from health employees having a decent wage and working conditions.</w:t>
      </w:r>
    </w:p>
    <w:p w14:paraId="04DEB7BF" w14:textId="77777777" w:rsidR="00896135" w:rsidRDefault="00896135" w:rsidP="00896135"/>
    <w:p w14:paraId="6F3BC1B9" w14:textId="7AF74C72" w:rsidR="00896135" w:rsidRDefault="00896135" w:rsidP="00896135">
      <w:r>
        <w:lastRenderedPageBreak/>
        <w:t xml:space="preserve">Generally, the social effects of having a job are experienced at two levels – by an individual and their household, and by the community in which they live. Having a job is critical to individual wellbeing and to sustaining communities. A World Bank Development Report (2013 p8) says: </w:t>
      </w:r>
    </w:p>
    <w:p w14:paraId="6283BDE8" w14:textId="77777777" w:rsidR="00896135" w:rsidRDefault="00896135" w:rsidP="00896135">
      <w:pPr>
        <w:pStyle w:val="Quote"/>
      </w:pPr>
      <w:r>
        <w:t>Jobs are transformational. They are more than just the earnings and benefits they provide. They are also the output they generate, and part of who we are and how we interact with others in society. Jobs boost living standards, raise productivity and foster social cohesion.</w:t>
      </w:r>
    </w:p>
    <w:p w14:paraId="7319561A" w14:textId="77777777" w:rsidR="00896135" w:rsidRDefault="00896135" w:rsidP="00896135"/>
    <w:p w14:paraId="2E092812" w14:textId="153AACDE" w:rsidR="00896135" w:rsidRDefault="00896135" w:rsidP="00896135">
      <w:r>
        <w:t xml:space="preserve">However, it is not only the existence of a job that is important but the adequacy of its remuneration. Rates of pay vary greatly in the health sector depending on the nature of the </w:t>
      </w:r>
      <w:r w:rsidR="00681076">
        <w:t>work</w:t>
      </w:r>
      <w:r>
        <w:t>. A 2018 report by MBIE found that the health care and social services industry is one of the main low</w:t>
      </w:r>
      <w:r w:rsidR="000B5803">
        <w:t>-</w:t>
      </w:r>
      <w:r>
        <w:t>pay industries, with 12.7 percent of its workers regarded as receiving low pay using the OECD low</w:t>
      </w:r>
      <w:r w:rsidR="000B5803">
        <w:t>-</w:t>
      </w:r>
      <w:r>
        <w:t>pay definition</w:t>
      </w:r>
      <w:r>
        <w:rPr>
          <w:rStyle w:val="FootnoteReference"/>
        </w:rPr>
        <w:footnoteReference w:id="8"/>
      </w:r>
      <w:r>
        <w:t xml:space="preserve"> (Cochrane et al 2018).</w:t>
      </w:r>
    </w:p>
    <w:p w14:paraId="3053017F" w14:textId="77777777" w:rsidR="00896135" w:rsidRDefault="00896135" w:rsidP="00896135"/>
    <w:p w14:paraId="7B6D3F7F" w14:textId="3D858298" w:rsidR="00896135" w:rsidRDefault="00896135" w:rsidP="00896135">
      <w:r w:rsidRPr="00217EDF">
        <w:t>Having a job does not necessarily improve life satisfaction. This can depend on security of work, earnings variability, or health and safety concerns</w:t>
      </w:r>
      <w:r>
        <w:t>. A World Bank Development Report notes that workers often care more about job security than about income (World Bank 2013).</w:t>
      </w:r>
    </w:p>
    <w:p w14:paraId="2929ED97" w14:textId="77777777" w:rsidR="00896135" w:rsidRDefault="00896135" w:rsidP="00896135"/>
    <w:p w14:paraId="488C7679" w14:textId="76D0C409" w:rsidR="00896135" w:rsidRDefault="00896135" w:rsidP="00896135">
      <w:r>
        <w:t xml:space="preserve">The </w:t>
      </w:r>
      <w:r w:rsidR="009D433B">
        <w:t>same r</w:t>
      </w:r>
      <w:r>
        <w:t xml:space="preserve">eport also shows that people feel strongly that their job should be meaningful and contribute to society. For example, results from a survey of 29 </w:t>
      </w:r>
      <w:r w:rsidR="009D433B">
        <w:t xml:space="preserve">high-income </w:t>
      </w:r>
      <w:r>
        <w:t xml:space="preserve">countries </w:t>
      </w:r>
      <w:r w:rsidR="009D433B">
        <w:t xml:space="preserve">showed </w:t>
      </w:r>
      <w:r>
        <w:t xml:space="preserve">that three-quarters of participants said it was important to have a job that was useful to society, and a similar share agreed it was important that their jobs help other people (World Bank 2013). As most health and disability workers </w:t>
      </w:r>
      <w:r w:rsidR="009D433B">
        <w:t>interact</w:t>
      </w:r>
      <w:r>
        <w:t xml:space="preserve"> with people </w:t>
      </w:r>
      <w:r w:rsidR="009D433B">
        <w:t>every day</w:t>
      </w:r>
      <w:r>
        <w:t>, it can be expected that this would provide a high level of personal satisfaction and motivation in knowing they are helping others.</w:t>
      </w:r>
    </w:p>
    <w:p w14:paraId="4FA9D7C6" w14:textId="77777777" w:rsidR="00896135" w:rsidRDefault="00896135" w:rsidP="00896135"/>
    <w:p w14:paraId="41C79C46" w14:textId="2DF4E521" w:rsidR="00896135" w:rsidRDefault="00896135" w:rsidP="00896135">
      <w:r>
        <w:t>A study in the USA looked at the quality of health</w:t>
      </w:r>
      <w:r w:rsidR="009D433B">
        <w:t xml:space="preserve"> </w:t>
      </w:r>
      <w:r>
        <w:t>care jobs in terms of the extrinsic benefits (</w:t>
      </w:r>
      <w:proofErr w:type="spellStart"/>
      <w:r>
        <w:t>eg</w:t>
      </w:r>
      <w:proofErr w:type="spellEnd"/>
      <w:r w:rsidR="009D433B">
        <w:t>,</w:t>
      </w:r>
      <w:r>
        <w:t xml:space="preserve"> wages and other benefits) versus the intrinsic characteristics (</w:t>
      </w:r>
      <w:proofErr w:type="spellStart"/>
      <w:r>
        <w:t>eg</w:t>
      </w:r>
      <w:proofErr w:type="spellEnd"/>
      <w:r w:rsidR="009D433B">
        <w:t>,</w:t>
      </w:r>
      <w:r>
        <w:t xml:space="preserve"> doing meaningful tasks and helping others). The considered the impacts of these characteristics on job satisfaction and willingness to stay with an employer. They used survey data, interviews and focus groups. The results </w:t>
      </w:r>
      <w:r w:rsidR="00565A6A">
        <w:t xml:space="preserve">of this study </w:t>
      </w:r>
      <w:r>
        <w:t>indicated that both extrinsic and intrinsic characteristics are significant predictors of job satisfaction, but it is only the extrinsic characteristics that help to explain why people will stay with an employer (Morgan et al 2013).</w:t>
      </w:r>
    </w:p>
    <w:p w14:paraId="21C2FF00" w14:textId="77777777" w:rsidR="00896135" w:rsidRDefault="00896135" w:rsidP="00896135"/>
    <w:p w14:paraId="50BD671C" w14:textId="362C3816" w:rsidR="00896135" w:rsidRDefault="00896135" w:rsidP="00896135">
      <w:r>
        <w:t>Bhatnagar and Srivastava (2012) looked at job satisfaction in health</w:t>
      </w:r>
      <w:r w:rsidR="00D62718">
        <w:t xml:space="preserve"> </w:t>
      </w:r>
      <w:r>
        <w:t>care organisations. They noted that, according to the literature, job satisfaction in health</w:t>
      </w:r>
      <w:r w:rsidR="00D62718">
        <w:t xml:space="preserve"> </w:t>
      </w:r>
      <w:r>
        <w:t xml:space="preserve">care organisations is related to many factors, including optimal work arrangements, the ability to participate actively in decision-making processes, effective communication among staff and supervisors, and the ability to freely express </w:t>
      </w:r>
      <w:r w:rsidR="00C03FC3">
        <w:t xml:space="preserve">an </w:t>
      </w:r>
      <w:r>
        <w:t>opinion. Collective problem solving and the attitude of management were also found to affect the satisfaction of employees.</w:t>
      </w:r>
    </w:p>
    <w:p w14:paraId="0D297B49" w14:textId="77777777" w:rsidR="00896135" w:rsidRDefault="00896135" w:rsidP="00896135"/>
    <w:p w14:paraId="0B6B5865" w14:textId="496D5F03" w:rsidR="00896135" w:rsidRDefault="00896135" w:rsidP="00896135">
      <w:r>
        <w:lastRenderedPageBreak/>
        <w:t>Employment in the health and disability sector can also reduce social exclusion at an individual and community level, particularly for people who may face discrimination. This is particularly so in the health sector where there is a lot of diversity in the workforce. Through initiatives such as the Voluntary Bonding Scheme, there is a greater up</w:t>
      </w:r>
      <w:r w:rsidR="00D62718">
        <w:t>t</w:t>
      </w:r>
      <w:r>
        <w:t>a</w:t>
      </w:r>
      <w:r w:rsidR="00D62718">
        <w:t>k</w:t>
      </w:r>
      <w:r>
        <w:t xml:space="preserve">e of registrations by Māori and Pacific people. For example, the distribution of the 2020 </w:t>
      </w:r>
      <w:r w:rsidR="00C03FC3">
        <w:t xml:space="preserve">Scheme </w:t>
      </w:r>
      <w:r>
        <w:t>registrations show that 19.1% are Māori and 10.5% are Pacific people.</w:t>
      </w:r>
    </w:p>
    <w:p w14:paraId="302AC900" w14:textId="13A7CC23" w:rsidR="00896135" w:rsidRDefault="00896135" w:rsidP="00896135">
      <w:pPr>
        <w:pStyle w:val="Heading2"/>
      </w:pPr>
      <w:bookmarkStart w:id="63" w:name="_Toc54706226"/>
      <w:r>
        <w:t>Impact of employment in the health sector on families</w:t>
      </w:r>
      <w:bookmarkEnd w:id="63"/>
    </w:p>
    <w:p w14:paraId="746DC237" w14:textId="50F415ED" w:rsidR="00896135" w:rsidRDefault="00896135" w:rsidP="008E7244">
      <w:r>
        <w:t xml:space="preserve">There is very little literature on the impact </w:t>
      </w:r>
      <w:r w:rsidR="00CE76DD">
        <w:t xml:space="preserve">that </w:t>
      </w:r>
      <w:r>
        <w:t xml:space="preserve">working in the health sector </w:t>
      </w:r>
      <w:r w:rsidR="00CE76DD">
        <w:t xml:space="preserve">has </w:t>
      </w:r>
      <w:r>
        <w:t xml:space="preserve">on </w:t>
      </w:r>
      <w:r w:rsidR="00D27989">
        <w:t xml:space="preserve">employees’ </w:t>
      </w:r>
      <w:r>
        <w:t xml:space="preserve">children and families, while there is some literature on the general influence </w:t>
      </w:r>
      <w:r w:rsidR="00D27989">
        <w:t>that parents’ employment has</w:t>
      </w:r>
      <w:r>
        <w:t xml:space="preserve"> on children in a family. A 2011 report by the Royal Australasian College of Physicians found </w:t>
      </w:r>
      <w:r w:rsidR="00C03FC3">
        <w:t>three key</w:t>
      </w:r>
      <w:r>
        <w:t xml:space="preserve"> impact</w:t>
      </w:r>
      <w:r w:rsidR="00C03FC3">
        <w:t>s</w:t>
      </w:r>
      <w:r>
        <w:t xml:space="preserve"> on children from a parent having a job</w:t>
      </w:r>
      <w:r w:rsidR="00C03FC3">
        <w:t xml:space="preserve"> that</w:t>
      </w:r>
      <w:r>
        <w:t xml:space="preserve"> contributes a living wage</w:t>
      </w:r>
      <w:r w:rsidR="00C03FC3">
        <w:t>.</w:t>
      </w:r>
    </w:p>
    <w:p w14:paraId="31C0A12E" w14:textId="71AAC593" w:rsidR="00896135" w:rsidRPr="008E7244" w:rsidRDefault="00C03FC3" w:rsidP="008E7244">
      <w:pPr>
        <w:pStyle w:val="Bullet"/>
      </w:pPr>
      <w:r w:rsidRPr="008E7244">
        <w:t xml:space="preserve">Children </w:t>
      </w:r>
      <w:r w:rsidR="00896135" w:rsidRPr="008E7244">
        <w:t xml:space="preserve">in the families where one or both parents </w:t>
      </w:r>
      <w:r w:rsidRPr="008E7244">
        <w:t xml:space="preserve">had </w:t>
      </w:r>
      <w:r w:rsidR="00896135" w:rsidRPr="008E7244">
        <w:t>worked in the previous six months</w:t>
      </w:r>
      <w:r w:rsidRPr="008E7244">
        <w:t xml:space="preserve"> had a lower likelihood of chronic illnesses, psychosomatic symptoms and an enhanced sense of wellbeing.</w:t>
      </w:r>
    </w:p>
    <w:p w14:paraId="45F43C73" w14:textId="3F6A7E61" w:rsidR="00896135" w:rsidRPr="008E7244" w:rsidRDefault="00C03FC3" w:rsidP="008E7244">
      <w:pPr>
        <w:pStyle w:val="Bullet"/>
      </w:pPr>
      <w:r w:rsidRPr="008E7244">
        <w:t xml:space="preserve">Children </w:t>
      </w:r>
      <w:r w:rsidR="00896135" w:rsidRPr="008E7244">
        <w:t>living in households where one or both parents have jobs are less likely to be unemployed</w:t>
      </w:r>
      <w:r w:rsidR="00960888" w:rsidRPr="008E7244">
        <w:t xml:space="preserve"> in the future.</w:t>
      </w:r>
    </w:p>
    <w:p w14:paraId="45BFE058" w14:textId="7193E7B5" w:rsidR="00896135" w:rsidRPr="008E7244" w:rsidRDefault="00960888" w:rsidP="008E7244">
      <w:pPr>
        <w:pStyle w:val="Bullet"/>
      </w:pPr>
      <w:r w:rsidRPr="008E7244">
        <w:t xml:space="preserve">Psychological </w:t>
      </w:r>
      <w:r w:rsidR="00896135" w:rsidRPr="008E7244">
        <w:t xml:space="preserve">distress is less likely in children whose parents face reduced economic pressure. This reduces anxiety and depression in children, and reduces the likelihood of aggressive, delinquent behaviour and substance abuse. </w:t>
      </w:r>
    </w:p>
    <w:p w14:paraId="44BA990C" w14:textId="77777777" w:rsidR="008E7244" w:rsidRDefault="008E7244" w:rsidP="00896135">
      <w:pPr>
        <w:pStyle w:val="Bullet"/>
        <w:numPr>
          <w:ilvl w:val="0"/>
          <w:numId w:val="0"/>
        </w:numPr>
      </w:pPr>
    </w:p>
    <w:p w14:paraId="6D0E5E44" w14:textId="458E405E" w:rsidR="00896135" w:rsidRDefault="00896135" w:rsidP="008E7244">
      <w:r>
        <w:t>A position paper from the U</w:t>
      </w:r>
      <w:r w:rsidR="00D62718">
        <w:t>SA</w:t>
      </w:r>
      <w:r>
        <w:t xml:space="preserve"> also found a similar impact on families and children from having one or more parents </w:t>
      </w:r>
      <w:r w:rsidR="00960888">
        <w:t>in work</w:t>
      </w:r>
      <w:r>
        <w:t>, including an enhanced sense of individual and family wellbeing</w:t>
      </w:r>
      <w:r w:rsidR="00960888">
        <w:t>,</w:t>
      </w:r>
      <w:r>
        <w:t xml:space="preserve"> and lower rates of distress and depressive symptoms (American Psychological Association 2014).</w:t>
      </w:r>
    </w:p>
    <w:p w14:paraId="7D483C46" w14:textId="77777777" w:rsidR="008E7244" w:rsidRDefault="008E7244" w:rsidP="008E7244"/>
    <w:p w14:paraId="5B434FC9" w14:textId="166BBCD5" w:rsidR="00896135" w:rsidRPr="007D3654" w:rsidRDefault="00896135" w:rsidP="008E7244">
      <w:r>
        <w:t xml:space="preserve">There may also be some risks to families of employment. For example, an article by Heinrich (2014) notes that </w:t>
      </w:r>
      <w:r w:rsidR="00D27989">
        <w:t xml:space="preserve">parents’ </w:t>
      </w:r>
      <w:r>
        <w:t xml:space="preserve">work is not </w:t>
      </w:r>
      <w:r w:rsidR="00960888">
        <w:t xml:space="preserve">universally </w:t>
      </w:r>
      <w:r>
        <w:t xml:space="preserve">beneficial for children. Although working parents can be positive role models, working long hours, particularly evenings and shift work, could impair the developing bond between parents and young children. Parents may also bring home stress that detracts from their parenting skills or causes their children to feel stressed. The paper notes the need to provide </w:t>
      </w:r>
      <w:proofErr w:type="gramStart"/>
      <w:r>
        <w:t>sufficient</w:t>
      </w:r>
      <w:proofErr w:type="gramEnd"/>
      <w:r>
        <w:t xml:space="preserve"> time off to allow </w:t>
      </w:r>
      <w:r w:rsidR="00D27989">
        <w:t>parents</w:t>
      </w:r>
      <w:r>
        <w:t xml:space="preserve"> to bond with </w:t>
      </w:r>
      <w:r w:rsidR="00D27989">
        <w:t>a new baby</w:t>
      </w:r>
      <w:r w:rsidR="00960888">
        <w:t>,</w:t>
      </w:r>
      <w:r>
        <w:t xml:space="preserve"> and high-quality childcare. Flexible working arrangements are also important.</w:t>
      </w:r>
    </w:p>
    <w:p w14:paraId="4058C03D" w14:textId="77777777" w:rsidR="00896135" w:rsidRDefault="00896135" w:rsidP="00896135">
      <w:pPr>
        <w:pStyle w:val="Heading2"/>
      </w:pPr>
      <w:r>
        <w:br w:type="page"/>
      </w:r>
    </w:p>
    <w:p w14:paraId="27D3C56B" w14:textId="77777777" w:rsidR="00896135" w:rsidRDefault="00896135" w:rsidP="00896135">
      <w:pPr>
        <w:pStyle w:val="Heading2"/>
      </w:pPr>
      <w:bookmarkStart w:id="64" w:name="_Toc54706227"/>
      <w:r>
        <w:lastRenderedPageBreak/>
        <w:t>Discussion</w:t>
      </w:r>
      <w:bookmarkEnd w:id="64"/>
    </w:p>
    <w:p w14:paraId="02496ADF" w14:textId="3E37E490" w:rsidR="00896135" w:rsidRDefault="00896135" w:rsidP="00896135">
      <w:r>
        <w:t xml:space="preserve">This paper has examined the size and cost of the health and disability sector in terms of its workforce, with a </w:t>
      </w:r>
      <w:proofErr w:type="gramStart"/>
      <w:r>
        <w:t>particular focus</w:t>
      </w:r>
      <w:proofErr w:type="gramEnd"/>
      <w:r>
        <w:t xml:space="preserve"> on the DHB workforce. Given the significant </w:t>
      </w:r>
      <w:r w:rsidR="008719B8">
        <w:t>g</w:t>
      </w:r>
      <w:r>
        <w:t xml:space="preserve">overnment expenditure on the health and disability workforce, the paper has also considered whether this expenditure should </w:t>
      </w:r>
      <w:proofErr w:type="gramStart"/>
      <w:r>
        <w:t>be seen as</w:t>
      </w:r>
      <w:proofErr w:type="gramEnd"/>
      <w:r>
        <w:t xml:space="preserve"> an important investment, rather than a cost to be managed.</w:t>
      </w:r>
    </w:p>
    <w:p w14:paraId="5595AE0C" w14:textId="77777777" w:rsidR="00896135" w:rsidRDefault="00896135" w:rsidP="00896135"/>
    <w:p w14:paraId="6A42F5AD" w14:textId="77777777" w:rsidR="00896135" w:rsidRDefault="00896135" w:rsidP="00896135">
      <w:r>
        <w:t>The WHO and other international bodies have been building an evidence base to demonstrate that targeted investment in health systems, including the health workforce, can promote economic growth and social cohesion along several pathways.</w:t>
      </w:r>
    </w:p>
    <w:p w14:paraId="25D7CD3C" w14:textId="77777777" w:rsidR="00896135" w:rsidRDefault="00896135" w:rsidP="00896135"/>
    <w:p w14:paraId="62E9330A" w14:textId="77777777" w:rsidR="00896135" w:rsidRDefault="00896135" w:rsidP="00896135">
      <w:r>
        <w:t>This is a developing area and this paper has been limited by the evidence available. There is a lack of evidence on the overall health benefits to society of having a health workforce (due to the difficulties in quantifying a vast array of health conditions and possible outcomes). Literature is also scarce on the impact of health sector employment on individual and family wellbeing.</w:t>
      </w:r>
    </w:p>
    <w:p w14:paraId="2757E1F9" w14:textId="77777777" w:rsidR="00896135" w:rsidRDefault="00896135" w:rsidP="00896135"/>
    <w:p w14:paraId="7184D10A" w14:textId="01483019" w:rsidR="00896135" w:rsidRPr="00B66FD9" w:rsidRDefault="00896135" w:rsidP="00896135">
      <w:r>
        <w:t xml:space="preserve">More research and evidence </w:t>
      </w:r>
      <w:proofErr w:type="gramStart"/>
      <w:r>
        <w:t>is</w:t>
      </w:r>
      <w:proofErr w:type="gramEnd"/>
      <w:r>
        <w:t xml:space="preserve"> needed on how to best enhance the productivity of the health and disability workforce to improve social outcomes. The </w:t>
      </w:r>
      <w:r w:rsidR="00D27989">
        <w:t xml:space="preserve">UN’s High-Level Commission on Health Employment and Economic Growth </w:t>
      </w:r>
      <w:r>
        <w:t>(2016) notes that there is a deficit of studies on the relationship between skill mix, scopes of practice and the resulting economic outcomes.</w:t>
      </w:r>
    </w:p>
    <w:p w14:paraId="0F5466B2" w14:textId="77777777" w:rsidR="00896135" w:rsidRDefault="00896135" w:rsidP="00896135"/>
    <w:p w14:paraId="33F46A18" w14:textId="0F9288F6" w:rsidR="00896135" w:rsidRDefault="00896135" w:rsidP="00896135">
      <w:r>
        <w:t xml:space="preserve">Recent studies show that the health and disability system, particularly through its employment of health and care workers, has an important impact on economic, social and human outcomes. By effectively using its assets and resources within communities, and by taking a strategic approach to employment, training, and the production and purchase of goods and services, the health and disability sector can </w:t>
      </w:r>
      <w:r w:rsidR="008719B8">
        <w:t>‘</w:t>
      </w:r>
      <w:r>
        <w:t>transform local economies so that they work for everyone</w:t>
      </w:r>
      <w:r w:rsidR="008719B8">
        <w:t>’</w:t>
      </w:r>
      <w:r>
        <w:t xml:space="preserve"> (Boyce and Brown 2019 p6).</w:t>
      </w:r>
    </w:p>
    <w:p w14:paraId="4296F3BC" w14:textId="77777777" w:rsidR="00896135" w:rsidRDefault="00896135" w:rsidP="00896135"/>
    <w:p w14:paraId="3411450B" w14:textId="77777777" w:rsidR="00896135" w:rsidRDefault="00896135" w:rsidP="00896135">
      <w:r>
        <w:t>The evidence suggests that investing in the health and disability workforce will increase employment of women and youth, reduce social inequalities and drive inclusive economic growth. As the WHO (Boyce and Brown 2019) noted, the health and disability sector:</w:t>
      </w:r>
    </w:p>
    <w:p w14:paraId="1592975B" w14:textId="77777777" w:rsidR="00896135" w:rsidRDefault="00896135" w:rsidP="00896135">
      <w:pPr>
        <w:pStyle w:val="Bullet"/>
      </w:pPr>
      <w:r>
        <w:t>plays an important role in determining the economic performance and stability of a country</w:t>
      </w:r>
    </w:p>
    <w:p w14:paraId="33C5482A" w14:textId="77777777" w:rsidR="00896135" w:rsidRDefault="00896135" w:rsidP="00896135">
      <w:pPr>
        <w:pStyle w:val="Bullet"/>
      </w:pPr>
      <w:r>
        <w:t>has a positive impact on the economic performance of other sectors in the national economy, through the jobs it generates and from the purchase of goods and services</w:t>
      </w:r>
    </w:p>
    <w:p w14:paraId="326E3F63" w14:textId="77777777" w:rsidR="00896135" w:rsidRPr="00587D5C" w:rsidRDefault="00896135" w:rsidP="00896135">
      <w:pPr>
        <w:pStyle w:val="Bullet"/>
      </w:pPr>
      <w:r>
        <w:t>helps to reduce social exclusion at a local level, due to its impact on employment, training, working conditions and household income.</w:t>
      </w:r>
    </w:p>
    <w:p w14:paraId="4A82816C" w14:textId="77777777" w:rsidR="00896135" w:rsidRDefault="00896135" w:rsidP="00896135"/>
    <w:p w14:paraId="0BABD884" w14:textId="02D8B1AF" w:rsidR="00896135" w:rsidRDefault="00896135" w:rsidP="00896135">
      <w:r>
        <w:t>A key message that emerged from the consultation undertaken by the Commission was that workforce and health service reforms and policy making should be much more closely coordinated and integrated. Investments in the health workforce can achieve efficiency gains and be beneficial for economic growth if focused on community-based intervention and primary prevention</w:t>
      </w:r>
      <w:r w:rsidR="008719B8">
        <w:t>,</w:t>
      </w:r>
      <w:r>
        <w:t xml:space="preserve"> and self-care for chronic conditions (Horton et al 2016).</w:t>
      </w:r>
    </w:p>
    <w:p w14:paraId="5A9DEFFB" w14:textId="77777777" w:rsidR="00896135" w:rsidRDefault="00896135" w:rsidP="00896135"/>
    <w:p w14:paraId="780C5A94" w14:textId="039D0DD4" w:rsidR="00896135" w:rsidRDefault="00896135" w:rsidP="00896135">
      <w:r>
        <w:t>As the Commission (2016 p16) noted:</w:t>
      </w:r>
    </w:p>
    <w:p w14:paraId="0CFBDD46" w14:textId="77777777" w:rsidR="00896135" w:rsidRPr="004E1F97" w:rsidRDefault="00896135" w:rsidP="00896135">
      <w:pPr>
        <w:pStyle w:val="Quote"/>
      </w:pPr>
      <w:r w:rsidRPr="004E1F97">
        <w:t>There is now an urgent need to move away from the notion of health and health workers as purely an expenditure to be contained. To the extent that resources are wisely spent, investing in health is a productive investment. In addition to rights-based arguments for health and health equity, we should also view the health workforce as an opportunity to create decent jobs and accelerate sustainable social and economic development – critically important returns to society.</w:t>
      </w:r>
    </w:p>
    <w:p w14:paraId="3564837F" w14:textId="77777777" w:rsidR="00896135" w:rsidRDefault="00896135" w:rsidP="00896135">
      <w:pPr>
        <w:rPr>
          <w:i/>
        </w:rPr>
      </w:pPr>
    </w:p>
    <w:p w14:paraId="6C157A66" w14:textId="77777777" w:rsidR="00896135" w:rsidRDefault="00896135" w:rsidP="00896135">
      <w:pPr>
        <w:rPr>
          <w:i/>
        </w:rPr>
      </w:pPr>
    </w:p>
    <w:p w14:paraId="0F057E0A" w14:textId="77777777" w:rsidR="00896135" w:rsidRPr="00CF60ED" w:rsidRDefault="00896135" w:rsidP="00F12314">
      <w:pPr>
        <w:pStyle w:val="Heading1"/>
        <w:pageBreakBefore/>
        <w:spacing w:before="0" w:after="320"/>
      </w:pPr>
      <w:bookmarkStart w:id="65" w:name="_bookmark70"/>
      <w:bookmarkStart w:id="66" w:name="_Toc54706228"/>
      <w:bookmarkEnd w:id="65"/>
      <w:r w:rsidRPr="00CF60ED">
        <w:lastRenderedPageBreak/>
        <w:t>References</w:t>
      </w:r>
      <w:bookmarkEnd w:id="66"/>
    </w:p>
    <w:p w14:paraId="60C0F729" w14:textId="77777777" w:rsidR="00896135" w:rsidRDefault="00896135" w:rsidP="00F12314">
      <w:pPr>
        <w:pStyle w:val="References"/>
        <w:ind w:right="-143"/>
      </w:pPr>
      <w:r>
        <w:t xml:space="preserve">American Psychological Association. 2014. </w:t>
      </w:r>
      <w:r>
        <w:rPr>
          <w:i/>
        </w:rPr>
        <w:t>Psychological effects of unemployment and under employment</w:t>
      </w:r>
      <w:r>
        <w:t xml:space="preserve">, cited in Quigley et al. 2014. </w:t>
      </w:r>
      <w:r>
        <w:rPr>
          <w:i/>
        </w:rPr>
        <w:t>The social value of a job</w:t>
      </w:r>
      <w:r>
        <w:t>. Wellington: Ministry of Primary Industries.</w:t>
      </w:r>
    </w:p>
    <w:p w14:paraId="65D6BC34" w14:textId="77777777" w:rsidR="00896135" w:rsidRPr="00C20A67" w:rsidRDefault="00896135" w:rsidP="00F12314">
      <w:pPr>
        <w:pStyle w:val="References"/>
        <w:ind w:right="-143"/>
      </w:pPr>
      <w:r>
        <w:t xml:space="preserve">Bakersfield CA. 2016. </w:t>
      </w:r>
      <w:r>
        <w:rPr>
          <w:i/>
        </w:rPr>
        <w:t xml:space="preserve">Economic and health impact of hospitals. </w:t>
      </w:r>
      <w:r>
        <w:t xml:space="preserve">Hospital Council of Northern and Central California. URL: </w:t>
      </w:r>
      <w:hyperlink r:id="rId30" w:history="1">
        <w:r w:rsidRPr="00F12314">
          <w:rPr>
            <w:rStyle w:val="Hyperlink"/>
          </w:rPr>
          <w:t>https://www.hospitalcouncil.org/sites/main/files/file-attachments/hospitalc_eir-report_fmtk.pdf</w:t>
        </w:r>
      </w:hyperlink>
      <w:r w:rsidRPr="0018061B">
        <w:t xml:space="preserve"> </w:t>
      </w:r>
      <w:r>
        <w:t>(accessed 29 May 2020).</w:t>
      </w:r>
    </w:p>
    <w:p w14:paraId="79FF0EB3" w14:textId="3B2823EE" w:rsidR="00896135" w:rsidRPr="006633D0" w:rsidRDefault="00896135" w:rsidP="00F12314">
      <w:pPr>
        <w:pStyle w:val="References"/>
        <w:ind w:right="-143"/>
        <w:rPr>
          <w:i/>
        </w:rPr>
      </w:pPr>
      <w:proofErr w:type="spellStart"/>
      <w:r>
        <w:t>Barnay</w:t>
      </w:r>
      <w:proofErr w:type="spellEnd"/>
      <w:r>
        <w:t xml:space="preserve"> T. 2016. Health, Work and Working Conditions: A review of the European Economic Literature. </w:t>
      </w:r>
      <w:r>
        <w:rPr>
          <w:i/>
        </w:rPr>
        <w:t xml:space="preserve">European Journal of Health Economics </w:t>
      </w:r>
      <w:r w:rsidRPr="006633D0">
        <w:t>17(6): 693</w:t>
      </w:r>
      <w:r w:rsidR="00631C25">
        <w:t>–</w:t>
      </w:r>
      <w:r w:rsidRPr="006633D0">
        <w:t>709.</w:t>
      </w:r>
    </w:p>
    <w:p w14:paraId="48E3D3E0" w14:textId="0DF737DB" w:rsidR="00896135" w:rsidRDefault="00896135" w:rsidP="00F12314">
      <w:pPr>
        <w:pStyle w:val="References"/>
        <w:ind w:right="-143"/>
      </w:pPr>
      <w:r>
        <w:t xml:space="preserve">Bhatnagar K and Srivastava K. 2012. Job satisfaction in healthcare organisations. </w:t>
      </w:r>
      <w:r>
        <w:rPr>
          <w:i/>
        </w:rPr>
        <w:t xml:space="preserve">Industrial Psychiatry Journal </w:t>
      </w:r>
      <w:r>
        <w:t>21(1): 75</w:t>
      </w:r>
      <w:r w:rsidR="00631C25">
        <w:t>–</w:t>
      </w:r>
      <w:r>
        <w:t>78.</w:t>
      </w:r>
    </w:p>
    <w:p w14:paraId="6744131C" w14:textId="77777777" w:rsidR="00896135" w:rsidRDefault="00896135" w:rsidP="00F12314">
      <w:pPr>
        <w:pStyle w:val="References"/>
        <w:ind w:right="-143"/>
      </w:pPr>
      <w:r>
        <w:t xml:space="preserve">Boyce T and Brown C. 2019. </w:t>
      </w:r>
      <w:r>
        <w:rPr>
          <w:i/>
        </w:rPr>
        <w:t xml:space="preserve">Economic and Social Impacts and Benefits of Health Systems. </w:t>
      </w:r>
      <w:r>
        <w:t>Denmark: WHO Regional Office for Europe.</w:t>
      </w:r>
    </w:p>
    <w:p w14:paraId="399E181A" w14:textId="77777777" w:rsidR="00896135" w:rsidRPr="00850D87" w:rsidRDefault="00896135" w:rsidP="00F12314">
      <w:pPr>
        <w:pStyle w:val="References"/>
        <w:ind w:right="-143"/>
      </w:pPr>
      <w:r>
        <w:t xml:space="preserve">Buchan J, Dhillon I, Campbell J (eds). 2017. </w:t>
      </w:r>
      <w:r>
        <w:rPr>
          <w:i/>
        </w:rPr>
        <w:t xml:space="preserve">Health employment and economic growth: An evidence base. </w:t>
      </w:r>
      <w:r>
        <w:t>Geneva: World Health Organisation.</w:t>
      </w:r>
    </w:p>
    <w:p w14:paraId="010F6BC0" w14:textId="77777777" w:rsidR="00896135" w:rsidRDefault="00896135" w:rsidP="00F12314">
      <w:pPr>
        <w:pStyle w:val="References"/>
        <w:ind w:right="-143"/>
      </w:pPr>
      <w:proofErr w:type="spellStart"/>
      <w:r>
        <w:t>Carlier</w:t>
      </w:r>
      <w:proofErr w:type="spellEnd"/>
      <w:r>
        <w:t xml:space="preserve"> BE, </w:t>
      </w:r>
      <w:proofErr w:type="spellStart"/>
      <w:r>
        <w:t>Schuring</w:t>
      </w:r>
      <w:proofErr w:type="spellEnd"/>
      <w:r>
        <w:t xml:space="preserve"> M, Lotters, FJB, et al. 2013. </w:t>
      </w:r>
      <w:r w:rsidRPr="00F6495A">
        <w:t>The influence of re-employment on quality of life and self-rated health, a longitudinal study among unemployed persons in the Netherlands.</w:t>
      </w:r>
      <w:r>
        <w:t xml:space="preserve"> </w:t>
      </w:r>
      <w:r>
        <w:rPr>
          <w:i/>
        </w:rPr>
        <w:t xml:space="preserve">BMC Public Health </w:t>
      </w:r>
      <w:r>
        <w:t>13: 503.</w:t>
      </w:r>
    </w:p>
    <w:p w14:paraId="47A5511B" w14:textId="60269098" w:rsidR="00896135" w:rsidRPr="0053249F" w:rsidRDefault="00896135" w:rsidP="00F12314">
      <w:pPr>
        <w:pStyle w:val="References"/>
        <w:ind w:right="-143"/>
      </w:pPr>
      <w:r>
        <w:t xml:space="preserve">Chisholm D, Sweeny K, Sheehan P, et al. 2016. </w:t>
      </w:r>
      <w:r w:rsidRPr="00327F94">
        <w:t>Scaling-up treatment of depression and anxiety: a global return on investment analysis</w:t>
      </w:r>
      <w:r>
        <w:rPr>
          <w:i/>
        </w:rPr>
        <w:t xml:space="preserve">. </w:t>
      </w:r>
      <w:r w:rsidRPr="00327F94">
        <w:rPr>
          <w:i/>
        </w:rPr>
        <w:t>Lancet Psychiatry</w:t>
      </w:r>
      <w:r>
        <w:t xml:space="preserve"> May 2016 3(5): 415</w:t>
      </w:r>
      <w:r w:rsidR="00631C25">
        <w:t>–</w:t>
      </w:r>
      <w:r>
        <w:t>24.</w:t>
      </w:r>
    </w:p>
    <w:p w14:paraId="2C256708" w14:textId="77777777" w:rsidR="00896135" w:rsidRDefault="00896135" w:rsidP="00F12314">
      <w:pPr>
        <w:pStyle w:val="References"/>
        <w:ind w:right="-143"/>
      </w:pPr>
      <w:r>
        <w:t xml:space="preserve">Cochrane B, Fletcher M, Pacheco G, Plum A. 2018. </w:t>
      </w:r>
      <w:r w:rsidRPr="00E73FDE">
        <w:rPr>
          <w:i/>
        </w:rPr>
        <w:t>Low pay in NZ</w:t>
      </w:r>
      <w:r>
        <w:t>. Report prepared for the Ministry of Business, Innovation and Employment by the New Zealand Work Research Institute. Auckland: AUT University.</w:t>
      </w:r>
    </w:p>
    <w:p w14:paraId="31EE6444" w14:textId="77777777" w:rsidR="00896135" w:rsidRPr="00654015" w:rsidRDefault="00896135" w:rsidP="00F12314">
      <w:pPr>
        <w:pStyle w:val="References"/>
        <w:ind w:right="-143"/>
        <w:rPr>
          <w:i/>
        </w:rPr>
      </w:pPr>
      <w:r>
        <w:t xml:space="preserve">Congressional Research Service. 2020. </w:t>
      </w:r>
      <w:r>
        <w:rPr>
          <w:i/>
        </w:rPr>
        <w:t xml:space="preserve">Global Economic Effects of Covid-19. Updated May </w:t>
      </w:r>
      <w:proofErr w:type="gramStart"/>
      <w:r>
        <w:rPr>
          <w:i/>
        </w:rPr>
        <w:t>1</w:t>
      </w:r>
      <w:proofErr w:type="gramEnd"/>
      <w:r>
        <w:rPr>
          <w:i/>
        </w:rPr>
        <w:t xml:space="preserve"> 2020. </w:t>
      </w:r>
      <w:r w:rsidRPr="00981E7D">
        <w:t>CRS Report R46270.</w:t>
      </w:r>
      <w:r>
        <w:t xml:space="preserve"> URL</w:t>
      </w:r>
      <w:r w:rsidRPr="00632C94">
        <w:rPr>
          <w:bCs/>
        </w:rPr>
        <w:t xml:space="preserve">: </w:t>
      </w:r>
      <w:hyperlink r:id="rId31" w:history="1">
        <w:r w:rsidRPr="00F12314">
          <w:rPr>
            <w:rStyle w:val="Hyperlink"/>
          </w:rPr>
          <w:t>https://fas.org/sgp/crs/row/R46270.pdf</w:t>
        </w:r>
      </w:hyperlink>
      <w:r w:rsidRPr="00F12314">
        <w:rPr>
          <w:rStyle w:val="Hyperlink"/>
        </w:rPr>
        <w:t xml:space="preserve"> </w:t>
      </w:r>
      <w:r>
        <w:t>(accessed 1 May 2020).</w:t>
      </w:r>
    </w:p>
    <w:p w14:paraId="21894DAF" w14:textId="77777777" w:rsidR="00896135" w:rsidRPr="00F17AFF" w:rsidRDefault="00896135" w:rsidP="00F12314">
      <w:pPr>
        <w:pStyle w:val="References"/>
        <w:ind w:right="-143"/>
      </w:pPr>
      <w:proofErr w:type="spellStart"/>
      <w:r>
        <w:t>Cylus</w:t>
      </w:r>
      <w:proofErr w:type="spellEnd"/>
      <w:r>
        <w:t xml:space="preserve"> J, </w:t>
      </w:r>
      <w:proofErr w:type="spellStart"/>
      <w:r>
        <w:t>Permanand</w:t>
      </w:r>
      <w:proofErr w:type="spellEnd"/>
      <w:r>
        <w:t xml:space="preserve"> G, Smith PC. 2018. </w:t>
      </w:r>
      <w:r w:rsidRPr="00F17AFF">
        <w:rPr>
          <w:i/>
        </w:rPr>
        <w:t>Policy brief. Making</w:t>
      </w:r>
      <w:r>
        <w:rPr>
          <w:i/>
        </w:rPr>
        <w:t xml:space="preserve"> the economic case for investing in health systems: What is the evidence that health systems advance economic </w:t>
      </w:r>
      <w:r w:rsidRPr="001358F8">
        <w:rPr>
          <w:i/>
        </w:rPr>
        <w:t xml:space="preserve">and fiscal objectives? </w:t>
      </w:r>
      <w:r w:rsidRPr="001358F8">
        <w:t xml:space="preserve">Copenhagen: WHO Regional Office for Europe. URL: </w:t>
      </w:r>
      <w:hyperlink r:id="rId32" w:history="1">
        <w:r w:rsidRPr="00F12314">
          <w:rPr>
            <w:rStyle w:val="Hyperlink"/>
          </w:rPr>
          <w:t>http://www.euro.who.int/__data/assets/pdf_file/0010/380728/pb-tallinn-01-eng.pdf?ua=1</w:t>
        </w:r>
      </w:hyperlink>
      <w:r w:rsidRPr="001358F8">
        <w:t xml:space="preserve"> </w:t>
      </w:r>
      <w:r>
        <w:t>(accessed on 25 May 2020).</w:t>
      </w:r>
    </w:p>
    <w:p w14:paraId="2B760945" w14:textId="4285EE5C" w:rsidR="00896135" w:rsidRDefault="00896135" w:rsidP="00F12314">
      <w:pPr>
        <w:pStyle w:val="References"/>
        <w:ind w:right="-143"/>
      </w:pPr>
      <w:r>
        <w:t xml:space="preserve">Dall TM, Chen YJ, Seifert RF, Maddox PJ and Hogan PF. 2009. The Economic Value of Professional Nursing. </w:t>
      </w:r>
      <w:r>
        <w:rPr>
          <w:i/>
        </w:rPr>
        <w:t xml:space="preserve">Med Care </w:t>
      </w:r>
      <w:r>
        <w:t>47: 97</w:t>
      </w:r>
      <w:r w:rsidR="00631C25">
        <w:t>–</w:t>
      </w:r>
      <w:r>
        <w:t>104.</w:t>
      </w:r>
    </w:p>
    <w:p w14:paraId="6A4E559C" w14:textId="17410097" w:rsidR="00896135" w:rsidRDefault="00896135" w:rsidP="00F12314">
      <w:pPr>
        <w:pStyle w:val="References"/>
        <w:ind w:right="-143"/>
      </w:pPr>
      <w:proofErr w:type="spellStart"/>
      <w:r w:rsidRPr="00B561C4">
        <w:t>Eilrich</w:t>
      </w:r>
      <w:proofErr w:type="spellEnd"/>
      <w:r w:rsidRPr="00B561C4">
        <w:t xml:space="preserve"> FC. (2016). The economic effect of a physician assistant or nurse practitioner in rural America. </w:t>
      </w:r>
      <w:proofErr w:type="gramStart"/>
      <w:r w:rsidRPr="00D5475C">
        <w:rPr>
          <w:i/>
        </w:rPr>
        <w:t>JAAPA :</w:t>
      </w:r>
      <w:proofErr w:type="gramEnd"/>
      <w:r w:rsidRPr="00D5475C">
        <w:rPr>
          <w:i/>
        </w:rPr>
        <w:t xml:space="preserve"> official journal of the American Academy of Physician Assistants</w:t>
      </w:r>
      <w:r w:rsidRPr="00B561C4">
        <w:t xml:space="preserve"> 29(10): 44</w:t>
      </w:r>
      <w:r w:rsidR="00631C25">
        <w:t>–</w:t>
      </w:r>
      <w:r w:rsidRPr="00B561C4">
        <w:t>48.</w:t>
      </w:r>
    </w:p>
    <w:p w14:paraId="5A372EB1" w14:textId="33C06198" w:rsidR="00896135" w:rsidRDefault="00896135" w:rsidP="00F12314">
      <w:pPr>
        <w:pStyle w:val="References"/>
        <w:ind w:right="-143"/>
      </w:pPr>
      <w:proofErr w:type="spellStart"/>
      <w:r>
        <w:t>Gretton</w:t>
      </w:r>
      <w:proofErr w:type="spellEnd"/>
      <w:r>
        <w:t xml:space="preserve"> P. 2013. </w:t>
      </w:r>
      <w:r>
        <w:rPr>
          <w:i/>
        </w:rPr>
        <w:t xml:space="preserve">On input-output </w:t>
      </w:r>
      <w:proofErr w:type="gramStart"/>
      <w:r>
        <w:rPr>
          <w:i/>
        </w:rPr>
        <w:t>tables:</w:t>
      </w:r>
      <w:proofErr w:type="gramEnd"/>
      <w:r>
        <w:rPr>
          <w:i/>
        </w:rPr>
        <w:t xml:space="preserve"> uses and abuses. </w:t>
      </w:r>
      <w:r>
        <w:t>Productivity Commission Staff Research Note. September 2013. Canberra</w:t>
      </w:r>
      <w:r w:rsidR="00631C25">
        <w:t>:</w:t>
      </w:r>
      <w:r>
        <w:t xml:space="preserve"> Productivity Commission.</w:t>
      </w:r>
    </w:p>
    <w:p w14:paraId="12072128" w14:textId="77777777" w:rsidR="00896135" w:rsidRPr="00001DFC" w:rsidRDefault="00896135" w:rsidP="00F12314">
      <w:pPr>
        <w:pStyle w:val="References"/>
        <w:ind w:right="-143"/>
      </w:pPr>
      <w:r>
        <w:lastRenderedPageBreak/>
        <w:t xml:space="preserve">Health and Disability System Review. 2019. </w:t>
      </w:r>
      <w:r>
        <w:rPr>
          <w:i/>
        </w:rPr>
        <w:t xml:space="preserve">Health and Disability System Review – Interim Report. Hauora Manaaki </w:t>
      </w:r>
      <w:proofErr w:type="spellStart"/>
      <w:r>
        <w:rPr>
          <w:i/>
        </w:rPr>
        <w:t>ki</w:t>
      </w:r>
      <w:proofErr w:type="spellEnd"/>
      <w:r>
        <w:rPr>
          <w:i/>
        </w:rPr>
        <w:t xml:space="preserve"> Aotearoa </w:t>
      </w:r>
      <w:proofErr w:type="spellStart"/>
      <w:r>
        <w:rPr>
          <w:i/>
        </w:rPr>
        <w:t>Whānui</w:t>
      </w:r>
      <w:proofErr w:type="spellEnd"/>
      <w:r>
        <w:rPr>
          <w:i/>
        </w:rPr>
        <w:t xml:space="preserve"> – </w:t>
      </w:r>
      <w:proofErr w:type="spellStart"/>
      <w:r>
        <w:rPr>
          <w:i/>
        </w:rPr>
        <w:t>Pūrongo</w:t>
      </w:r>
      <w:proofErr w:type="spellEnd"/>
      <w:r>
        <w:rPr>
          <w:i/>
        </w:rPr>
        <w:t xml:space="preserve"> </w:t>
      </w:r>
      <w:proofErr w:type="spellStart"/>
      <w:r>
        <w:rPr>
          <w:i/>
        </w:rPr>
        <w:t>mō</w:t>
      </w:r>
      <w:proofErr w:type="spellEnd"/>
      <w:r>
        <w:rPr>
          <w:i/>
        </w:rPr>
        <w:t xml:space="preserve"> </w:t>
      </w:r>
      <w:proofErr w:type="spellStart"/>
      <w:r>
        <w:rPr>
          <w:i/>
        </w:rPr>
        <w:t>Tēnei</w:t>
      </w:r>
      <w:proofErr w:type="spellEnd"/>
      <w:r>
        <w:rPr>
          <w:i/>
        </w:rPr>
        <w:t xml:space="preserve"> </w:t>
      </w:r>
      <w:proofErr w:type="spellStart"/>
      <w:r>
        <w:rPr>
          <w:i/>
        </w:rPr>
        <w:t>Wā</w:t>
      </w:r>
      <w:proofErr w:type="spellEnd"/>
      <w:r>
        <w:rPr>
          <w:i/>
        </w:rPr>
        <w:t xml:space="preserve">. </w:t>
      </w:r>
      <w:r>
        <w:t>Wellington: HDSR.</w:t>
      </w:r>
    </w:p>
    <w:p w14:paraId="368FC1BD" w14:textId="77777777" w:rsidR="00896135" w:rsidRDefault="00896135" w:rsidP="00F12314">
      <w:pPr>
        <w:pStyle w:val="References"/>
        <w:ind w:right="-143"/>
      </w:pPr>
      <w:r>
        <w:t xml:space="preserve">Health Workforce New Zealand. 2016. </w:t>
      </w:r>
      <w:r>
        <w:rPr>
          <w:i/>
        </w:rPr>
        <w:t xml:space="preserve">Health Workforce 2015. A report by Health Workforce New Zealand. </w:t>
      </w:r>
      <w:r>
        <w:t>Wellington: Ministry of Health.</w:t>
      </w:r>
    </w:p>
    <w:p w14:paraId="44085111" w14:textId="766CDBA8" w:rsidR="00896135" w:rsidRDefault="00896135" w:rsidP="00F12314">
      <w:pPr>
        <w:pStyle w:val="References"/>
        <w:ind w:right="-143"/>
      </w:pPr>
      <w:r w:rsidRPr="00A50C5D">
        <w:t>Heinrich CJ. 2014. Parents' employment and children's wellbeing</w:t>
      </w:r>
      <w:r w:rsidRPr="0066198E">
        <w:rPr>
          <w:i/>
        </w:rPr>
        <w:t>. The Future of children</w:t>
      </w:r>
      <w:r w:rsidRPr="00A50C5D">
        <w:t xml:space="preserve"> 24(1): 121</w:t>
      </w:r>
      <w:r w:rsidR="00631C25">
        <w:t>–</w:t>
      </w:r>
      <w:r w:rsidRPr="00A50C5D">
        <w:t>146.</w:t>
      </w:r>
    </w:p>
    <w:p w14:paraId="0E1AD81D" w14:textId="60A3BD4C" w:rsidR="00896135" w:rsidRDefault="00896135" w:rsidP="00F12314">
      <w:pPr>
        <w:pStyle w:val="References"/>
        <w:ind w:right="-143"/>
      </w:pPr>
      <w:r>
        <w:t xml:space="preserve">Hemp P. 2004. </w:t>
      </w:r>
      <w:r>
        <w:rPr>
          <w:i/>
        </w:rPr>
        <w:t xml:space="preserve">Presenteeism: at work – but out of it. </w:t>
      </w:r>
      <w:r>
        <w:t>Harvard Business Review, October 2004 82(10):</w:t>
      </w:r>
      <w:r w:rsidR="00631C25">
        <w:t xml:space="preserve"> </w:t>
      </w:r>
      <w:r>
        <w:t>49</w:t>
      </w:r>
      <w:r w:rsidR="00631C25">
        <w:t>–</w:t>
      </w:r>
      <w:r>
        <w:t>58.</w:t>
      </w:r>
    </w:p>
    <w:p w14:paraId="36E18955" w14:textId="04A20326" w:rsidR="00896135" w:rsidRPr="00537F30" w:rsidRDefault="00896135" w:rsidP="00F12314">
      <w:pPr>
        <w:pStyle w:val="References"/>
        <w:ind w:right="-143"/>
      </w:pPr>
      <w:r>
        <w:t xml:space="preserve">Henke KD. 2013. </w:t>
      </w:r>
      <w:r>
        <w:rPr>
          <w:i/>
        </w:rPr>
        <w:t>The economic and health dividend of the health care system.</w:t>
      </w:r>
      <w:r>
        <w:t xml:space="preserve"> Presentation at: Health Forum, </w:t>
      </w:r>
      <w:proofErr w:type="spellStart"/>
      <w:r>
        <w:t>Vilnus</w:t>
      </w:r>
      <w:proofErr w:type="spellEnd"/>
      <w:r>
        <w:t>, Lithuania, 19</w:t>
      </w:r>
      <w:r w:rsidR="00631C25">
        <w:t>–</w:t>
      </w:r>
      <w:r>
        <w:t xml:space="preserve">20 November 2013, cited in HLC. 2016. </w:t>
      </w:r>
      <w:r>
        <w:rPr>
          <w:i/>
        </w:rPr>
        <w:t xml:space="preserve">Working for health and growth: investing in the health workforce. </w:t>
      </w:r>
      <w:r>
        <w:t>Report of the High-Level Commission on Health Employment and Economic Growth. Switzerland: World Health Organisation.</w:t>
      </w:r>
    </w:p>
    <w:p w14:paraId="055E4F95" w14:textId="77777777" w:rsidR="00896135" w:rsidRDefault="00896135" w:rsidP="00F12314">
      <w:pPr>
        <w:pStyle w:val="References"/>
        <w:ind w:right="-143"/>
      </w:pPr>
      <w:r>
        <w:t xml:space="preserve">HLC. 2016. </w:t>
      </w:r>
      <w:r>
        <w:rPr>
          <w:i/>
        </w:rPr>
        <w:t xml:space="preserve">Working for health and growth: investing in the health workforce. </w:t>
      </w:r>
      <w:r>
        <w:t>Report of the High-Level Commission on Health Employment and Economic Growth. Switzerland: World Health Organisation.</w:t>
      </w:r>
    </w:p>
    <w:p w14:paraId="0E1FC878" w14:textId="2A3AD04B" w:rsidR="00896135" w:rsidRPr="00441D08" w:rsidRDefault="00896135" w:rsidP="00F12314">
      <w:pPr>
        <w:pStyle w:val="References"/>
        <w:ind w:right="-143"/>
      </w:pPr>
      <w:r>
        <w:t xml:space="preserve">Holmes GM, </w:t>
      </w:r>
      <w:proofErr w:type="spellStart"/>
      <w:r>
        <w:t>Slifkin</w:t>
      </w:r>
      <w:proofErr w:type="spellEnd"/>
      <w:r>
        <w:t xml:space="preserve"> RT, Randolph RK, </w:t>
      </w:r>
      <w:r w:rsidR="00631C25">
        <w:t>et al</w:t>
      </w:r>
      <w:r>
        <w:t xml:space="preserve">. 2006. The effect of rural hospital closures on community economic health. </w:t>
      </w:r>
      <w:r>
        <w:rPr>
          <w:i/>
        </w:rPr>
        <w:t xml:space="preserve">Health Services Research, </w:t>
      </w:r>
      <w:r>
        <w:t>41:467</w:t>
      </w:r>
      <w:r w:rsidR="00631C25">
        <w:t>–</w:t>
      </w:r>
      <w:r>
        <w:t>485.</w:t>
      </w:r>
    </w:p>
    <w:p w14:paraId="745A660D" w14:textId="77777777" w:rsidR="00896135" w:rsidRDefault="00896135" w:rsidP="00F12314">
      <w:pPr>
        <w:pStyle w:val="References"/>
        <w:ind w:right="-143"/>
      </w:pPr>
      <w:r>
        <w:t xml:space="preserve">Holt H. 2010a. </w:t>
      </w:r>
      <w:r w:rsidRPr="00FF24A0">
        <w:rPr>
          <w:i/>
        </w:rPr>
        <w:t>The Cost of Ill Health</w:t>
      </w:r>
      <w:r>
        <w:t>. New Zealand Treasury Working Paper 10/04, Wellington: NZ Treasury.</w:t>
      </w:r>
    </w:p>
    <w:p w14:paraId="4B0A0558" w14:textId="77777777" w:rsidR="00896135" w:rsidRDefault="00896135" w:rsidP="00F12314">
      <w:pPr>
        <w:pStyle w:val="References"/>
        <w:ind w:right="-143"/>
      </w:pPr>
      <w:r>
        <w:t xml:space="preserve">Holt H. 2010b. </w:t>
      </w:r>
      <w:r w:rsidRPr="00FF24A0">
        <w:rPr>
          <w:i/>
        </w:rPr>
        <w:t>Health and Labour Force Participation</w:t>
      </w:r>
      <w:r>
        <w:t>. New Zealand Treasury Working Paper 10/03. Wellington: NZ Treasury.</w:t>
      </w:r>
    </w:p>
    <w:p w14:paraId="5A7BEE4A" w14:textId="77777777" w:rsidR="00896135" w:rsidRDefault="00896135" w:rsidP="00F12314">
      <w:pPr>
        <w:pStyle w:val="References"/>
        <w:ind w:right="-143"/>
      </w:pPr>
      <w:r>
        <w:t xml:space="preserve">Horton R, Araujo EC, </w:t>
      </w:r>
      <w:proofErr w:type="spellStart"/>
      <w:r>
        <w:t>Bhorat</w:t>
      </w:r>
      <w:proofErr w:type="spellEnd"/>
      <w:r>
        <w:t xml:space="preserve"> H, et al. 2016. </w:t>
      </w:r>
      <w:r>
        <w:rPr>
          <w:i/>
        </w:rPr>
        <w:t xml:space="preserve">Final report of the expert group to the High-Level Commission on Health Employment and Economic Growth. </w:t>
      </w:r>
      <w:r>
        <w:t>Switzerland: World Health Organisation.</w:t>
      </w:r>
    </w:p>
    <w:p w14:paraId="5F71673F" w14:textId="77777777" w:rsidR="00896135" w:rsidRPr="000C18AD" w:rsidRDefault="00896135" w:rsidP="00F12314">
      <w:pPr>
        <w:pStyle w:val="References"/>
        <w:ind w:right="-143"/>
      </w:pPr>
      <w:r>
        <w:t xml:space="preserve">Magar V, </w:t>
      </w:r>
      <w:proofErr w:type="spellStart"/>
      <w:r>
        <w:t>Gerecke</w:t>
      </w:r>
      <w:proofErr w:type="spellEnd"/>
      <w:r>
        <w:t xml:space="preserve"> M, Dhillon I, Campbell J. 2016. </w:t>
      </w:r>
      <w:r>
        <w:rPr>
          <w:i/>
        </w:rPr>
        <w:t xml:space="preserve">Women’s contributions to sustainable development through work in health using a gender lens to advance a transformative 2030 agenda, </w:t>
      </w:r>
      <w:r w:rsidRPr="00CA363E">
        <w:t>cited in Buchan</w:t>
      </w:r>
      <w:r>
        <w:t xml:space="preserve"> J, Dhillon I, Campbell J (eds). 2017. </w:t>
      </w:r>
      <w:r>
        <w:rPr>
          <w:i/>
        </w:rPr>
        <w:t xml:space="preserve">Health employment and economic growth: An evidence base. </w:t>
      </w:r>
      <w:r>
        <w:t>Geneva: World Health Organisation.</w:t>
      </w:r>
    </w:p>
    <w:p w14:paraId="1C92B7FA" w14:textId="2D559182" w:rsidR="00896135" w:rsidRDefault="00896135" w:rsidP="00F12314">
      <w:pPr>
        <w:pStyle w:val="References"/>
        <w:ind w:right="-143"/>
      </w:pPr>
      <w:proofErr w:type="spellStart"/>
      <w:r w:rsidRPr="009F394E">
        <w:t>Maignan</w:t>
      </w:r>
      <w:proofErr w:type="spellEnd"/>
      <w:r w:rsidRPr="009F394E">
        <w:t xml:space="preserve"> CJ. (2012). Unemployment and health: What are the new challenges and opportunities for health systems in Europe. </w:t>
      </w:r>
      <w:r w:rsidRPr="00EE105F">
        <w:rPr>
          <w:i/>
        </w:rPr>
        <w:t xml:space="preserve">Unemployment, precarious work and health: </w:t>
      </w:r>
      <w:r>
        <w:rPr>
          <w:i/>
        </w:rPr>
        <w:t>r</w:t>
      </w:r>
      <w:r w:rsidRPr="00EE105F">
        <w:rPr>
          <w:i/>
        </w:rPr>
        <w:t>esearch and policy issues</w:t>
      </w:r>
      <w:r w:rsidRPr="009F394E">
        <w:t>: 35</w:t>
      </w:r>
      <w:r w:rsidR="00631C25">
        <w:t>–</w:t>
      </w:r>
      <w:r w:rsidRPr="009F394E">
        <w:t>52.</w:t>
      </w:r>
    </w:p>
    <w:p w14:paraId="43A8AE5D" w14:textId="10080CEA" w:rsidR="00896135" w:rsidRPr="00BA13A0" w:rsidRDefault="00896135" w:rsidP="00F12314">
      <w:pPr>
        <w:pStyle w:val="References"/>
        <w:ind w:right="-143"/>
      </w:pPr>
      <w:r>
        <w:t xml:space="preserve">McDermott RE, </w:t>
      </w:r>
      <w:proofErr w:type="spellStart"/>
      <w:r>
        <w:t>Cornia</w:t>
      </w:r>
      <w:proofErr w:type="spellEnd"/>
      <w:r>
        <w:t xml:space="preserve"> GC and Parson RJ. 1991. The economic impact of hospitals in rural communities. </w:t>
      </w:r>
      <w:r>
        <w:rPr>
          <w:i/>
        </w:rPr>
        <w:t xml:space="preserve">The Journal of Rural Health, </w:t>
      </w:r>
      <w:r>
        <w:t>7:117</w:t>
      </w:r>
      <w:r w:rsidR="00631C25">
        <w:t>–</w:t>
      </w:r>
      <w:r>
        <w:t xml:space="preserve">133, cited in </w:t>
      </w:r>
      <w:proofErr w:type="spellStart"/>
      <w:r>
        <w:t>Stuckler</w:t>
      </w:r>
      <w:proofErr w:type="spellEnd"/>
      <w:r>
        <w:t xml:space="preserve"> et al. 2017. Social and economic multipliers: What they are and why they are important for health policy in Europe. </w:t>
      </w:r>
      <w:r>
        <w:rPr>
          <w:i/>
        </w:rPr>
        <w:t xml:space="preserve">Scandinavian Journal of Public Health </w:t>
      </w:r>
      <w:r>
        <w:t>45</w:t>
      </w:r>
      <w:r w:rsidR="00631C25">
        <w:t xml:space="preserve"> </w:t>
      </w:r>
      <w:proofErr w:type="spellStart"/>
      <w:r>
        <w:t>Suppl</w:t>
      </w:r>
      <w:proofErr w:type="spellEnd"/>
      <w:r>
        <w:t xml:space="preserve"> 18:</w:t>
      </w:r>
      <w:r w:rsidR="00631C25">
        <w:t xml:space="preserve"> </w:t>
      </w:r>
      <w:r>
        <w:t>17</w:t>
      </w:r>
      <w:r w:rsidR="00631C25">
        <w:t>–</w:t>
      </w:r>
      <w:r>
        <w:t>21.</w:t>
      </w:r>
    </w:p>
    <w:p w14:paraId="3935F6A2" w14:textId="77777777" w:rsidR="00896135" w:rsidRPr="00465CAE" w:rsidRDefault="00896135" w:rsidP="00F12314">
      <w:pPr>
        <w:pStyle w:val="References"/>
        <w:ind w:right="-143"/>
      </w:pPr>
      <w:r>
        <w:t xml:space="preserve">Ministry of Health. 2016. </w:t>
      </w:r>
      <w:r>
        <w:rPr>
          <w:i/>
        </w:rPr>
        <w:t xml:space="preserve">Health of the Health Workforce 2015. </w:t>
      </w:r>
      <w:r>
        <w:t>Wellington: Ministry of Health.</w:t>
      </w:r>
    </w:p>
    <w:p w14:paraId="66437E50" w14:textId="1FE4226F" w:rsidR="00896135" w:rsidRDefault="00896135" w:rsidP="00F12314">
      <w:pPr>
        <w:pStyle w:val="References"/>
        <w:ind w:right="-143"/>
      </w:pPr>
      <w:r>
        <w:t xml:space="preserve">Morgan JC, Dill J and </w:t>
      </w:r>
      <w:proofErr w:type="spellStart"/>
      <w:r>
        <w:t>Kalleberg</w:t>
      </w:r>
      <w:proofErr w:type="spellEnd"/>
      <w:r>
        <w:t xml:space="preserve"> AL. 2013. The quality of healthcare jobs: can intrinsic rewards compensate for low extrinsic rewards? </w:t>
      </w:r>
      <w:r>
        <w:rPr>
          <w:i/>
        </w:rPr>
        <w:t xml:space="preserve">Work, employment and society </w:t>
      </w:r>
      <w:r>
        <w:t>29(5) 802</w:t>
      </w:r>
      <w:r w:rsidR="00631C25">
        <w:t>–</w:t>
      </w:r>
      <w:r>
        <w:t>822.</w:t>
      </w:r>
    </w:p>
    <w:p w14:paraId="4651BE9F" w14:textId="2C2EC171" w:rsidR="00896135" w:rsidRPr="006C3170" w:rsidRDefault="00896135" w:rsidP="00F12314">
      <w:pPr>
        <w:pStyle w:val="References"/>
        <w:ind w:right="-143"/>
      </w:pPr>
      <w:r>
        <w:lastRenderedPageBreak/>
        <w:t xml:space="preserve">New Zealand Government. 2019. </w:t>
      </w:r>
      <w:r>
        <w:rPr>
          <w:i/>
        </w:rPr>
        <w:t xml:space="preserve">Economic Plan for a productive, sustainable and inclusive economy, September 2019. </w:t>
      </w:r>
      <w:r>
        <w:t>Wellington: New Zealand Government</w:t>
      </w:r>
      <w:r w:rsidR="00631C25">
        <w:t>.</w:t>
      </w:r>
    </w:p>
    <w:p w14:paraId="490AA165" w14:textId="1AF6E34C" w:rsidR="00896135" w:rsidRPr="00632C94" w:rsidRDefault="00896135" w:rsidP="00F12314">
      <w:pPr>
        <w:pStyle w:val="References"/>
        <w:ind w:right="-143"/>
        <w:rPr>
          <w:rFonts w:cs="Segoe UI"/>
          <w:b/>
          <w:bCs/>
          <w:color w:val="333333"/>
          <w:szCs w:val="21"/>
          <w:lang w:val="en"/>
        </w:rPr>
      </w:pPr>
      <w:proofErr w:type="spellStart"/>
      <w:r w:rsidRPr="00F12314">
        <w:t>Pálsdóttir</w:t>
      </w:r>
      <w:proofErr w:type="spellEnd"/>
      <w:r w:rsidRPr="00F12314">
        <w:t xml:space="preserve"> B, Barry J, Bruno A, et al. 2016. Training for impact: the socio-economic impact of a fit for purpose health workforce on communities. Human Resources for Health 14(49). URL:</w:t>
      </w:r>
      <w:r w:rsidRPr="00632C94">
        <w:rPr>
          <w:rFonts w:cs="Segoe UI"/>
          <w:b/>
          <w:bCs/>
          <w:color w:val="333333"/>
          <w:szCs w:val="21"/>
          <w:lang w:val="en"/>
        </w:rPr>
        <w:t xml:space="preserve"> </w:t>
      </w:r>
      <w:hyperlink r:id="rId33" w:anchor="citeas" w:history="1">
        <w:r w:rsidRPr="00F12314">
          <w:rPr>
            <w:rStyle w:val="Hyperlink"/>
          </w:rPr>
          <w:t>https://human-resources-health.biomedcentral.com/articles/10.1186/s12960-016-0143-6#citeas</w:t>
        </w:r>
      </w:hyperlink>
      <w:r w:rsidRPr="00F12314">
        <w:rPr>
          <w:rStyle w:val="Hyperlink"/>
        </w:rPr>
        <w:t xml:space="preserve"> (accessed on 21 May 2020).</w:t>
      </w:r>
    </w:p>
    <w:p w14:paraId="37DE6C0B" w14:textId="0C7A9788" w:rsidR="00896135" w:rsidRPr="00F12314" w:rsidRDefault="00896135" w:rsidP="00F12314">
      <w:pPr>
        <w:pStyle w:val="References"/>
        <w:ind w:right="-143"/>
      </w:pPr>
      <w:proofErr w:type="spellStart"/>
      <w:r w:rsidRPr="00F12314">
        <w:t>Preker</w:t>
      </w:r>
      <w:proofErr w:type="spellEnd"/>
      <w:r w:rsidRPr="00F12314">
        <w:t xml:space="preserve"> AS, Liu X, </w:t>
      </w:r>
      <w:proofErr w:type="spellStart"/>
      <w:r w:rsidRPr="00F12314">
        <w:t>Velenyu</w:t>
      </w:r>
      <w:proofErr w:type="spellEnd"/>
      <w:r w:rsidRPr="00F12314">
        <w:t xml:space="preserve"> EE, </w:t>
      </w:r>
      <w:r w:rsidR="00631C25" w:rsidRPr="00F12314">
        <w:t>et al</w:t>
      </w:r>
      <w:r w:rsidRPr="00F12314">
        <w:t xml:space="preserve">. 2007. Public end, private means: strategic purchasing of health services. Washington DC: World Bank. URL: </w:t>
      </w:r>
      <w:hyperlink r:id="rId34" w:history="1">
        <w:r w:rsidRPr="00F12314">
          <w:rPr>
            <w:rStyle w:val="Hyperlink"/>
          </w:rPr>
          <w:t>https://openknowledge.worldbank.org/bitstream/handle/10986/6683/399790PAPER0Pu101OFFICIAL0USE0ONLY1.pdf?sequence=1&amp;isAllowed=y</w:t>
        </w:r>
      </w:hyperlink>
      <w:r w:rsidRPr="00F12314">
        <w:t xml:space="preserve"> (accessed on 25 May 2020).</w:t>
      </w:r>
    </w:p>
    <w:p w14:paraId="6AE3BF5B" w14:textId="77777777" w:rsidR="00896135" w:rsidRPr="00C4263E" w:rsidRDefault="00896135" w:rsidP="00F12314">
      <w:pPr>
        <w:pStyle w:val="References"/>
        <w:ind w:right="-143"/>
      </w:pPr>
      <w:r>
        <w:t xml:space="preserve">Reeves A, </w:t>
      </w:r>
      <w:proofErr w:type="spellStart"/>
      <w:r>
        <w:t>Basu</w:t>
      </w:r>
      <w:proofErr w:type="spellEnd"/>
      <w:r>
        <w:t xml:space="preserve"> S, McKee M, Meissner C and </w:t>
      </w:r>
      <w:proofErr w:type="spellStart"/>
      <w:r>
        <w:t>Stuckler</w:t>
      </w:r>
      <w:proofErr w:type="spellEnd"/>
      <w:r>
        <w:t xml:space="preserve"> D. 2013. </w:t>
      </w:r>
      <w:r>
        <w:rPr>
          <w:i/>
        </w:rPr>
        <w:t xml:space="preserve">Does investment in the health sector promote or inhibit economic growth? </w:t>
      </w:r>
      <w:r w:rsidRPr="00C4263E">
        <w:t>England:</w:t>
      </w:r>
      <w:r>
        <w:rPr>
          <w:i/>
        </w:rPr>
        <w:t xml:space="preserve"> </w:t>
      </w:r>
      <w:r>
        <w:t>University of Oxford.</w:t>
      </w:r>
    </w:p>
    <w:p w14:paraId="3E30EC56" w14:textId="77777777" w:rsidR="00896135" w:rsidRDefault="00896135" w:rsidP="00F12314">
      <w:pPr>
        <w:pStyle w:val="References"/>
        <w:ind w:right="-143"/>
      </w:pPr>
      <w:r>
        <w:t xml:space="preserve">Royal Australasian College of Physicians. 2011. </w:t>
      </w:r>
      <w:r>
        <w:rPr>
          <w:i/>
        </w:rPr>
        <w:t xml:space="preserve">Australian and New Zealand Consensus Statement of the health benefits of work. Position Statement: Realising the health benefits of work. </w:t>
      </w:r>
      <w:r>
        <w:t xml:space="preserve">Wellington: Royal Australasian College of Physicians, cited in Quigley et al. 2014. </w:t>
      </w:r>
      <w:r>
        <w:rPr>
          <w:i/>
        </w:rPr>
        <w:t>The social value of a job</w:t>
      </w:r>
      <w:r>
        <w:t>. Wellington: Ministry of Primary Industries.</w:t>
      </w:r>
    </w:p>
    <w:p w14:paraId="75E776D5" w14:textId="77777777" w:rsidR="00896135" w:rsidRDefault="00896135" w:rsidP="00F12314">
      <w:pPr>
        <w:pStyle w:val="References"/>
        <w:ind w:right="-143"/>
      </w:pPr>
      <w:r>
        <w:t xml:space="preserve">Scholz S, Greiner W. 2016. </w:t>
      </w:r>
      <w:r>
        <w:rPr>
          <w:i/>
        </w:rPr>
        <w:t>Regional disparities in outpatient physician supply in Germany</w:t>
      </w:r>
      <w:r>
        <w:t xml:space="preserve">, cited in Buchan J. Dhillon I, Campbell J (eds). 2017. </w:t>
      </w:r>
      <w:r>
        <w:rPr>
          <w:i/>
        </w:rPr>
        <w:t>Health employment and economic growth: an evidence base.</w:t>
      </w:r>
      <w:r>
        <w:t xml:space="preserve"> Geneva: World Health Organisation.</w:t>
      </w:r>
    </w:p>
    <w:p w14:paraId="4BC6B02E" w14:textId="77777777" w:rsidR="00896135" w:rsidRDefault="00896135" w:rsidP="00F12314">
      <w:pPr>
        <w:pStyle w:val="References"/>
        <w:ind w:right="-143"/>
      </w:pPr>
      <w:r>
        <w:t xml:space="preserve">Stiglitz J. </w:t>
      </w:r>
      <w:r>
        <w:rPr>
          <w:i/>
        </w:rPr>
        <w:t xml:space="preserve">The Price of Inequality. </w:t>
      </w:r>
      <w:r>
        <w:t xml:space="preserve">New York: WW. Norton and Company, cited in Horton R, Araujo EC, </w:t>
      </w:r>
      <w:proofErr w:type="spellStart"/>
      <w:r>
        <w:t>Bhorat</w:t>
      </w:r>
      <w:proofErr w:type="spellEnd"/>
      <w:r>
        <w:t xml:space="preserve"> H, et al. 2016. </w:t>
      </w:r>
      <w:r>
        <w:rPr>
          <w:i/>
        </w:rPr>
        <w:t xml:space="preserve">Final report of the expert group to the High-Level Commission on Health Employment and Economic Growth. </w:t>
      </w:r>
      <w:r>
        <w:t>Switzerland: World Health Organisation.</w:t>
      </w:r>
    </w:p>
    <w:p w14:paraId="2061B6A5" w14:textId="1744AB95" w:rsidR="00896135" w:rsidRDefault="00896135" w:rsidP="00F12314">
      <w:pPr>
        <w:pStyle w:val="References"/>
        <w:ind w:right="-143"/>
      </w:pPr>
      <w:proofErr w:type="spellStart"/>
      <w:r>
        <w:t>Stuckler</w:t>
      </w:r>
      <w:proofErr w:type="spellEnd"/>
      <w:r>
        <w:t xml:space="preserve"> D, Reeves A and McKee M. 2017. Social and economic multipliers: What they are and why they are important for health policy in Europe. </w:t>
      </w:r>
      <w:r>
        <w:rPr>
          <w:i/>
        </w:rPr>
        <w:t xml:space="preserve">Scandinavian Journal of Public Health </w:t>
      </w:r>
      <w:r>
        <w:t xml:space="preserve">45 </w:t>
      </w:r>
      <w:proofErr w:type="spellStart"/>
      <w:r>
        <w:t>Suppl</w:t>
      </w:r>
      <w:proofErr w:type="spellEnd"/>
      <w:r>
        <w:t xml:space="preserve"> 18:</w:t>
      </w:r>
      <w:r w:rsidR="00631C25">
        <w:t xml:space="preserve"> </w:t>
      </w:r>
      <w:r>
        <w:t>17</w:t>
      </w:r>
      <w:r w:rsidR="00631C25">
        <w:t>–</w:t>
      </w:r>
      <w:r>
        <w:t>21.</w:t>
      </w:r>
    </w:p>
    <w:p w14:paraId="5FA89AED" w14:textId="77777777" w:rsidR="00896135" w:rsidRPr="003B0520" w:rsidRDefault="00896135" w:rsidP="00F12314">
      <w:pPr>
        <w:pStyle w:val="References"/>
        <w:ind w:right="-143"/>
      </w:pPr>
      <w:r>
        <w:t xml:space="preserve">The Treasury. 2015. </w:t>
      </w:r>
      <w:r>
        <w:rPr>
          <w:i/>
        </w:rPr>
        <w:t xml:space="preserve">Guide to Social Cost Benefit Analysis. </w:t>
      </w:r>
      <w:r>
        <w:t>Wellington: The Treasury.</w:t>
      </w:r>
    </w:p>
    <w:p w14:paraId="624C5EC5" w14:textId="77777777" w:rsidR="00896135" w:rsidRPr="00B02E8C" w:rsidRDefault="00896135" w:rsidP="00F12314">
      <w:pPr>
        <w:pStyle w:val="References"/>
        <w:ind w:right="-143"/>
      </w:pPr>
      <w:r>
        <w:t xml:space="preserve">The Treasury. 2019. </w:t>
      </w:r>
      <w:r>
        <w:rPr>
          <w:i/>
        </w:rPr>
        <w:t xml:space="preserve">Our country, our future, our people. The Living Standards Framework: Dashboard Update. </w:t>
      </w:r>
      <w:r>
        <w:t>Wellington: The Treasury.</w:t>
      </w:r>
    </w:p>
    <w:p w14:paraId="26DCA241" w14:textId="40772927" w:rsidR="00896135" w:rsidRDefault="00896135" w:rsidP="00F12314">
      <w:pPr>
        <w:pStyle w:val="References"/>
        <w:tabs>
          <w:tab w:val="left" w:pos="1080"/>
        </w:tabs>
        <w:ind w:right="-143"/>
      </w:pPr>
      <w:r w:rsidRPr="00A32F68">
        <w:t xml:space="preserve">van der </w:t>
      </w:r>
      <w:proofErr w:type="spellStart"/>
      <w:r w:rsidRPr="00A32F68">
        <w:t>Noordt</w:t>
      </w:r>
      <w:proofErr w:type="spellEnd"/>
      <w:r w:rsidRPr="00A32F68">
        <w:t xml:space="preserve"> M, </w:t>
      </w:r>
      <w:proofErr w:type="spellStart"/>
      <w:r>
        <w:t>IJzelenberg</w:t>
      </w:r>
      <w:proofErr w:type="spellEnd"/>
      <w:r>
        <w:t xml:space="preserve">, H, </w:t>
      </w:r>
      <w:proofErr w:type="spellStart"/>
      <w:r>
        <w:t>Droomers</w:t>
      </w:r>
      <w:proofErr w:type="spellEnd"/>
      <w:r>
        <w:t xml:space="preserve">, </w:t>
      </w:r>
      <w:proofErr w:type="spellStart"/>
      <w:proofErr w:type="gramStart"/>
      <w:r>
        <w:t>M,</w:t>
      </w:r>
      <w:r w:rsidRPr="00A32F68">
        <w:t>et</w:t>
      </w:r>
      <w:proofErr w:type="spellEnd"/>
      <w:r w:rsidRPr="00A32F68">
        <w:t xml:space="preserve"> al.</w:t>
      </w:r>
      <w:proofErr w:type="gramEnd"/>
      <w:r w:rsidRPr="00A32F68">
        <w:t xml:space="preserve"> (2014). Health effects of employment: a systematic review of prospective studies. </w:t>
      </w:r>
      <w:r w:rsidRPr="009B4D7D">
        <w:rPr>
          <w:i/>
        </w:rPr>
        <w:t xml:space="preserve">Occupational and </w:t>
      </w:r>
      <w:r>
        <w:rPr>
          <w:i/>
        </w:rPr>
        <w:t>E</w:t>
      </w:r>
      <w:r w:rsidRPr="009B4D7D">
        <w:rPr>
          <w:i/>
        </w:rPr>
        <w:t xml:space="preserve">nvironmental </w:t>
      </w:r>
      <w:r>
        <w:rPr>
          <w:i/>
        </w:rPr>
        <w:t>M</w:t>
      </w:r>
      <w:r w:rsidRPr="009B4D7D">
        <w:rPr>
          <w:i/>
        </w:rPr>
        <w:t>edicine</w:t>
      </w:r>
      <w:r w:rsidRPr="00A32F68">
        <w:t xml:space="preserve"> 71(10): 730</w:t>
      </w:r>
      <w:r w:rsidR="00631C25">
        <w:t>–</w:t>
      </w:r>
      <w:r w:rsidRPr="00A32F68">
        <w:t>736.</w:t>
      </w:r>
    </w:p>
    <w:p w14:paraId="794966A9" w14:textId="36729596" w:rsidR="00896135" w:rsidRDefault="00896135" w:rsidP="00F12314">
      <w:pPr>
        <w:pStyle w:val="References"/>
        <w:tabs>
          <w:tab w:val="left" w:pos="1080"/>
        </w:tabs>
        <w:ind w:right="-143"/>
      </w:pPr>
      <w:r w:rsidRPr="00004CD7">
        <w:t xml:space="preserve">van de Pas R, </w:t>
      </w:r>
      <w:r>
        <w:t xml:space="preserve">Mans L, Bemelmans M, </w:t>
      </w:r>
      <w:r w:rsidRPr="00004CD7">
        <w:t xml:space="preserve">et al. 2018. Framing the Health Workforce Agenda Beyond Economic Growth. </w:t>
      </w:r>
      <w:r w:rsidRPr="00871F8D">
        <w:rPr>
          <w:i/>
        </w:rPr>
        <w:t xml:space="preserve">International </w:t>
      </w:r>
      <w:r>
        <w:rPr>
          <w:i/>
        </w:rPr>
        <w:t>J</w:t>
      </w:r>
      <w:r w:rsidRPr="00871F8D">
        <w:rPr>
          <w:i/>
        </w:rPr>
        <w:t xml:space="preserve">ournal of </w:t>
      </w:r>
      <w:r>
        <w:rPr>
          <w:i/>
        </w:rPr>
        <w:t>H</w:t>
      </w:r>
      <w:r w:rsidRPr="00871F8D">
        <w:rPr>
          <w:i/>
        </w:rPr>
        <w:t xml:space="preserve">ealth </w:t>
      </w:r>
      <w:r>
        <w:rPr>
          <w:i/>
        </w:rPr>
        <w:t>P</w:t>
      </w:r>
      <w:r w:rsidRPr="00871F8D">
        <w:rPr>
          <w:i/>
        </w:rPr>
        <w:t xml:space="preserve">olicy and </w:t>
      </w:r>
      <w:r>
        <w:rPr>
          <w:i/>
        </w:rPr>
        <w:t>M</w:t>
      </w:r>
      <w:r w:rsidRPr="00871F8D">
        <w:rPr>
          <w:i/>
        </w:rPr>
        <w:t>anagement</w:t>
      </w:r>
      <w:r w:rsidRPr="00004CD7">
        <w:t xml:space="preserve"> 7(8): 678</w:t>
      </w:r>
      <w:r w:rsidR="00631C25">
        <w:t>–</w:t>
      </w:r>
      <w:r w:rsidRPr="00004CD7">
        <w:t>682.</w:t>
      </w:r>
    </w:p>
    <w:p w14:paraId="0FF45370" w14:textId="348DBB86" w:rsidR="00896135" w:rsidRDefault="00896135" w:rsidP="00F12314">
      <w:pPr>
        <w:pStyle w:val="References"/>
        <w:ind w:right="-143"/>
      </w:pPr>
      <w:r w:rsidRPr="00D03ADE">
        <w:t>Wood</w:t>
      </w:r>
      <w:r>
        <w:t xml:space="preserve"> AJ</w:t>
      </w:r>
      <w:r w:rsidRPr="00D03ADE">
        <w:t xml:space="preserve"> and Burchell </w:t>
      </w:r>
      <w:r>
        <w:t xml:space="preserve">B. </w:t>
      </w:r>
      <w:r w:rsidRPr="00D03ADE">
        <w:t xml:space="preserve">(2018). </w:t>
      </w:r>
      <w:r>
        <w:t>U</w:t>
      </w:r>
      <w:r w:rsidRPr="00D03ADE">
        <w:t xml:space="preserve">nemployment and well-being. </w:t>
      </w:r>
      <w:r w:rsidRPr="009B4D7D">
        <w:rPr>
          <w:i/>
        </w:rPr>
        <w:t>The Cambridge handbook of psychology and economic behaviour, 2nd ed</w:t>
      </w:r>
      <w:r w:rsidRPr="00D03ADE">
        <w:t>: 234</w:t>
      </w:r>
      <w:r w:rsidR="00631C25">
        <w:t>–</w:t>
      </w:r>
      <w:r w:rsidRPr="00D03ADE">
        <w:t>259.</w:t>
      </w:r>
    </w:p>
    <w:p w14:paraId="2B31B4D9" w14:textId="77777777" w:rsidR="00896135" w:rsidRDefault="00896135" w:rsidP="00F12314">
      <w:pPr>
        <w:pStyle w:val="References"/>
        <w:ind w:right="-143"/>
      </w:pPr>
      <w:proofErr w:type="gramStart"/>
      <w:r w:rsidRPr="00AD43BF">
        <w:t>WHO.</w:t>
      </w:r>
      <w:proofErr w:type="gramEnd"/>
      <w:r w:rsidRPr="00AD43BF">
        <w:t xml:space="preserve"> </w:t>
      </w:r>
      <w:r>
        <w:t xml:space="preserve">2016. </w:t>
      </w:r>
      <w:r w:rsidRPr="00AA110C">
        <w:rPr>
          <w:i/>
        </w:rPr>
        <w:t>Global Strategy on Human Resources for Health: Workforce 2030.</w:t>
      </w:r>
      <w:r>
        <w:t xml:space="preserve"> URL: </w:t>
      </w:r>
      <w:hyperlink r:id="rId35" w:history="1">
        <w:r w:rsidRPr="00F12314">
          <w:rPr>
            <w:rStyle w:val="Hyperlink"/>
          </w:rPr>
          <w:t>http://who.int/hrh/resources/globstrathrh-2030/en/</w:t>
        </w:r>
      </w:hyperlink>
      <w:r w:rsidRPr="00F12314">
        <w:rPr>
          <w:rStyle w:val="Hyperlink"/>
        </w:rPr>
        <w:t xml:space="preserve"> </w:t>
      </w:r>
      <w:r>
        <w:t>(accessed on 21 May 2020).</w:t>
      </w:r>
    </w:p>
    <w:p w14:paraId="2CF3B569" w14:textId="77777777" w:rsidR="00D62718" w:rsidRDefault="00D62718">
      <w:pPr>
        <w:spacing w:after="160" w:line="259" w:lineRule="auto"/>
      </w:pPr>
      <w:r>
        <w:br w:type="page"/>
      </w:r>
    </w:p>
    <w:p w14:paraId="1C83490D" w14:textId="3C5FCACA" w:rsidR="00896135" w:rsidRDefault="00896135" w:rsidP="00896135">
      <w:pPr>
        <w:pStyle w:val="References"/>
      </w:pPr>
      <w:proofErr w:type="gramStart"/>
      <w:r>
        <w:lastRenderedPageBreak/>
        <w:t>WHO.</w:t>
      </w:r>
      <w:proofErr w:type="gramEnd"/>
      <w:r>
        <w:t xml:space="preserve"> 2017. </w:t>
      </w:r>
      <w:r w:rsidRPr="002569AC">
        <w:rPr>
          <w:i/>
        </w:rPr>
        <w:t>Fourth Global Forum on Human Resources for Health. 13</w:t>
      </w:r>
      <w:r w:rsidR="00631C25">
        <w:rPr>
          <w:i/>
        </w:rPr>
        <w:t>–</w:t>
      </w:r>
      <w:r w:rsidRPr="002569AC">
        <w:rPr>
          <w:i/>
        </w:rPr>
        <w:t>17 November 2017</w:t>
      </w:r>
      <w:r>
        <w:t xml:space="preserve">. Dublin Ireland: World Health Organisation. URL: </w:t>
      </w:r>
      <w:hyperlink r:id="rId36" w:history="1">
        <w:r w:rsidRPr="00F12314">
          <w:rPr>
            <w:rStyle w:val="Hyperlink"/>
          </w:rPr>
          <w:t>https://www.who.int/hrh/events/4th-global-forum-hrh/en/</w:t>
        </w:r>
      </w:hyperlink>
      <w:r w:rsidRPr="00F12314">
        <w:rPr>
          <w:rStyle w:val="Hyperlink"/>
        </w:rPr>
        <w:t xml:space="preserve"> </w:t>
      </w:r>
      <w:r>
        <w:t>(accessed on 21 May 2020).</w:t>
      </w:r>
    </w:p>
    <w:p w14:paraId="73962B45" w14:textId="77777777" w:rsidR="00896135" w:rsidRPr="00B5686D" w:rsidRDefault="00896135" w:rsidP="00896135">
      <w:pPr>
        <w:pStyle w:val="References"/>
      </w:pPr>
      <w:proofErr w:type="gramStart"/>
      <w:r>
        <w:t>WHO.</w:t>
      </w:r>
      <w:proofErr w:type="gramEnd"/>
      <w:r>
        <w:t xml:space="preserve"> 2018. </w:t>
      </w:r>
      <w:r>
        <w:rPr>
          <w:i/>
        </w:rPr>
        <w:t xml:space="preserve">Moving from passive to strategic purchasing. </w:t>
      </w:r>
      <w:r>
        <w:t xml:space="preserve">Geneva: World Health Organisation. URL: </w:t>
      </w:r>
      <w:hyperlink r:id="rId37" w:history="1">
        <w:r w:rsidRPr="00F12314">
          <w:rPr>
            <w:rStyle w:val="Hyperlink"/>
          </w:rPr>
          <w:t>https://www.who.int/health_financing/topics/purchasing/passive-to-strategic-purchasing/en/</w:t>
        </w:r>
      </w:hyperlink>
      <w:r w:rsidRPr="00254063">
        <w:rPr>
          <w:b/>
        </w:rPr>
        <w:t xml:space="preserve"> </w:t>
      </w:r>
      <w:r w:rsidRPr="00254063">
        <w:t>(accessed on 27 May 2020).</w:t>
      </w:r>
    </w:p>
    <w:p w14:paraId="6306F511" w14:textId="77777777" w:rsidR="00896135" w:rsidRDefault="00896135" w:rsidP="00896135">
      <w:pPr>
        <w:pStyle w:val="References"/>
      </w:pPr>
      <w:r>
        <w:t xml:space="preserve">World Bank. 2013. </w:t>
      </w:r>
      <w:r w:rsidRPr="002B0E68">
        <w:rPr>
          <w:i/>
        </w:rPr>
        <w:t>World Bank Development Report: Jobs</w:t>
      </w:r>
      <w:r>
        <w:rPr>
          <w:i/>
        </w:rPr>
        <w:t xml:space="preserve">. </w:t>
      </w:r>
      <w:r>
        <w:t xml:space="preserve">Washington DC: World Bank, cited in Quigley et al. 2014. </w:t>
      </w:r>
      <w:r>
        <w:rPr>
          <w:i/>
        </w:rPr>
        <w:t>The social value of a job</w:t>
      </w:r>
      <w:r>
        <w:t>. Wellington: Ministry of Primary Industries.</w:t>
      </w:r>
    </w:p>
    <w:p w14:paraId="2381D135" w14:textId="77777777" w:rsidR="007047E8" w:rsidRPr="00896135" w:rsidRDefault="007047E8" w:rsidP="00896135"/>
    <w:sectPr w:rsidR="007047E8" w:rsidRPr="00896135" w:rsidSect="0046268D">
      <w:pgSz w:w="11907" w:h="16834" w:code="9"/>
      <w:pgMar w:top="1418" w:right="1701" w:bottom="1134" w:left="1843" w:header="284" w:footer="567" w:gutter="284"/>
      <w:cols w:space="720"/>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8AD2" w16cex:dateUtc="2020-10-14T01:33:00Z"/>
  <w16cex:commentExtensible w16cex:durableId="2332DCD1" w16cex:dateUtc="2020-10-15T01:36:00Z"/>
  <w16cex:commentExtensible w16cex:durableId="23318C15" w16cex:dateUtc="2020-10-14T01:39:00Z"/>
  <w16cex:commentExtensible w16cex:durableId="2332D042" w16cex:dateUtc="2020-10-15T00:42:00Z"/>
  <w16cex:commentExtensible w16cex:durableId="2332D06B" w16cex:dateUtc="2020-10-15T00:43:00Z"/>
  <w16cex:commentExtensible w16cex:durableId="2331A63B" w16cex:dateUtc="2020-10-14T03:30:00Z"/>
  <w16cex:commentExtensible w16cex:durableId="2331A67F" w16cex:dateUtc="2020-10-14T03:31:00Z"/>
  <w16cex:commentExtensible w16cex:durableId="2332CD92" w16cex:dateUtc="2020-10-15T00:30:00Z"/>
  <w16cex:commentExtensible w16cex:durableId="2331A90C" w16cex:dateUtc="2020-10-14T03:42:00Z"/>
  <w16cex:commentExtensible w16cex:durableId="2331AB55" w16cex:dateUtc="2020-10-14T03:52:00Z"/>
  <w16cex:commentExtensible w16cex:durableId="2331AD2E" w16cex:dateUtc="2020-10-14T04:00:00Z"/>
  <w16cex:commentExtensible w16cex:durableId="2332D1B9" w16cex:dateUtc="2020-10-15T00:48:00Z"/>
  <w16cex:commentExtensible w16cex:durableId="2332D166" w16cex:dateUtc="2020-10-15T00:47:00Z"/>
  <w16cex:commentExtensible w16cex:durableId="2332CCCB" w16cex:dateUtc="2020-10-15T00:27:00Z"/>
  <w16cex:commentExtensible w16cex:durableId="2332D1E5" w16cex:dateUtc="2020-10-15T00:49:00Z"/>
  <w16cex:commentExtensible w16cex:durableId="2332D1EF" w16cex:dateUtc="2020-10-15T00:49:00Z"/>
  <w16cex:commentExtensible w16cex:durableId="2332974A" w16cex:dateUtc="2020-10-14T20:39:00Z"/>
  <w16cex:commentExtensible w16cex:durableId="23329790" w16cex:dateUtc="2020-10-14T20:40:00Z"/>
  <w16cex:commentExtensible w16cex:durableId="2332D23B" w16cex:dateUtc="2020-10-15T00:50:00Z"/>
  <w16cex:commentExtensible w16cex:durableId="23329D46" w16cex:dateUtc="2020-10-14T21:04:00Z"/>
  <w16cex:commentExtensible w16cex:durableId="23329DD5" w16cex:dateUtc="2020-10-14T21:07:00Z"/>
  <w16cex:commentExtensible w16cex:durableId="2332A490" w16cex:dateUtc="2020-10-14T21:36:00Z"/>
  <w16cex:commentExtensible w16cex:durableId="2332A9DB" w16cex:dateUtc="2020-10-14T21:58:00Z"/>
  <w16cex:commentExtensible w16cex:durableId="2332AA93" w16cex:dateUtc="2020-10-14T22:01:00Z"/>
  <w16cex:commentExtensible w16cex:durableId="2332B254" w16cex:dateUtc="2020-10-14T2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0F3AD" w14:textId="77777777" w:rsidR="00F12314" w:rsidRDefault="00F12314" w:rsidP="00D13519">
      <w:r>
        <w:separator/>
      </w:r>
    </w:p>
  </w:endnote>
  <w:endnote w:type="continuationSeparator" w:id="0">
    <w:p w14:paraId="3FC9A51F" w14:textId="77777777" w:rsidR="00F12314" w:rsidRDefault="00F12314" w:rsidP="00D1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B660" w14:textId="77777777" w:rsidR="00F12314" w:rsidRDefault="00F12314" w:rsidP="00AA2D7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1B10A" w14:textId="77777777" w:rsidR="00F12314" w:rsidRDefault="00F12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1" w:type="dxa"/>
      <w:tblInd w:w="-426" w:type="dxa"/>
      <w:tblLayout w:type="fixed"/>
      <w:tblCellMar>
        <w:left w:w="0" w:type="dxa"/>
        <w:right w:w="0" w:type="dxa"/>
      </w:tblCellMar>
      <w:tblLook w:val="04A0" w:firstRow="1" w:lastRow="0" w:firstColumn="1" w:lastColumn="0" w:noHBand="0" w:noVBand="1"/>
    </w:tblPr>
    <w:tblGrid>
      <w:gridCol w:w="851"/>
      <w:gridCol w:w="8080"/>
    </w:tblGrid>
    <w:tr w:rsidR="00F12314" w14:paraId="3C447A3C" w14:textId="77777777" w:rsidTr="005F08D9">
      <w:trPr>
        <w:cantSplit/>
      </w:trPr>
      <w:tc>
        <w:tcPr>
          <w:tcW w:w="851" w:type="dxa"/>
          <w:shd w:val="clear" w:color="auto" w:fill="auto"/>
          <w:vAlign w:val="center"/>
        </w:tcPr>
        <w:p w14:paraId="4D39F6F2" w14:textId="77777777" w:rsidR="00F12314" w:rsidRPr="00931466" w:rsidRDefault="00F12314" w:rsidP="00AA2D7C">
          <w:pPr>
            <w:pStyle w:val="Footer"/>
            <w:spacing w:line="264" w:lineRule="auto"/>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shd w:val="clear" w:color="auto" w:fill="auto"/>
          <w:vAlign w:val="center"/>
        </w:tcPr>
        <w:p w14:paraId="43C373F6" w14:textId="77777777" w:rsidR="00F12314" w:rsidRDefault="00F12314" w:rsidP="00AA2D7C">
          <w:pPr>
            <w:pStyle w:val="RectoFooter"/>
            <w:spacing w:line="264" w:lineRule="auto"/>
            <w:jc w:val="left"/>
          </w:pPr>
          <w:r>
            <w:t xml:space="preserve">The cost and value of employment in the health and disability sector </w:t>
          </w:r>
        </w:p>
      </w:tc>
    </w:tr>
  </w:tbl>
  <w:p w14:paraId="2A122FC8" w14:textId="77777777" w:rsidR="00F12314" w:rsidRPr="00571223" w:rsidRDefault="00F12314" w:rsidP="00AA2D7C">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22" w:type="dxa"/>
      <w:tblLayout w:type="fixed"/>
      <w:tblCellMar>
        <w:left w:w="0" w:type="dxa"/>
        <w:right w:w="0" w:type="dxa"/>
      </w:tblCellMar>
      <w:tblLook w:val="04A0" w:firstRow="1" w:lastRow="0" w:firstColumn="1" w:lastColumn="0" w:noHBand="0" w:noVBand="1"/>
    </w:tblPr>
    <w:tblGrid>
      <w:gridCol w:w="7513"/>
      <w:gridCol w:w="709"/>
    </w:tblGrid>
    <w:tr w:rsidR="00F12314" w14:paraId="354DDE08" w14:textId="77777777" w:rsidTr="005F08D9">
      <w:trPr>
        <w:cantSplit/>
      </w:trPr>
      <w:tc>
        <w:tcPr>
          <w:tcW w:w="7513" w:type="dxa"/>
          <w:shd w:val="clear" w:color="auto" w:fill="auto"/>
          <w:vAlign w:val="center"/>
        </w:tcPr>
        <w:p w14:paraId="58FF7FE3" w14:textId="77777777" w:rsidR="00F12314" w:rsidRDefault="00F12314" w:rsidP="00AA2D7C">
          <w:pPr>
            <w:pStyle w:val="RectoFooter"/>
            <w:spacing w:line="264" w:lineRule="auto"/>
          </w:pPr>
          <w:r>
            <w:t>The cost and value of employment in the health and disability sector</w:t>
          </w:r>
        </w:p>
      </w:tc>
      <w:tc>
        <w:tcPr>
          <w:tcW w:w="709" w:type="dxa"/>
          <w:shd w:val="clear" w:color="auto" w:fill="auto"/>
          <w:vAlign w:val="center"/>
        </w:tcPr>
        <w:p w14:paraId="5CDA1469" w14:textId="77777777" w:rsidR="00F12314" w:rsidRPr="00931466" w:rsidRDefault="00F12314" w:rsidP="00AA2D7C">
          <w:pPr>
            <w:pStyle w:val="Footer"/>
            <w:spacing w:line="264" w:lineRule="auto"/>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074BA33D" w14:textId="77777777" w:rsidR="00F12314" w:rsidRPr="00581EB8" w:rsidRDefault="00F12314" w:rsidP="00AA2D7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28CAE" w14:textId="77777777" w:rsidR="00F12314" w:rsidRDefault="00F12314" w:rsidP="00D13519">
      <w:r>
        <w:separator/>
      </w:r>
    </w:p>
  </w:footnote>
  <w:footnote w:type="continuationSeparator" w:id="0">
    <w:p w14:paraId="1C71F1CE" w14:textId="77777777" w:rsidR="00F12314" w:rsidRDefault="00F12314" w:rsidP="00D13519">
      <w:r>
        <w:continuationSeparator/>
      </w:r>
    </w:p>
  </w:footnote>
  <w:footnote w:id="1">
    <w:p w14:paraId="41847719" w14:textId="33012914" w:rsidR="00F12314" w:rsidRDefault="00F12314">
      <w:pPr>
        <w:pStyle w:val="FootnoteText"/>
      </w:pPr>
      <w:r>
        <w:rPr>
          <w:rStyle w:val="FootnoteReference"/>
        </w:rPr>
        <w:footnoteRef/>
      </w:r>
      <w:r>
        <w:t xml:space="preserve">  Note that Statistics New Zealand uses the Australian and New Zealand Standard Classification system for industries and occupations. Health occupations sit within the Health Care and Social Assistance industry division. The Social Assistance grouping includes occupations that do not sit within health and disability services, for example, child care. </w:t>
      </w:r>
    </w:p>
  </w:footnote>
  <w:footnote w:id="2">
    <w:tbl>
      <w:tblPr>
        <w:tblW w:w="9624" w:type="dxa"/>
        <w:tblLook w:val="04A0" w:firstRow="1" w:lastRow="0" w:firstColumn="1" w:lastColumn="0" w:noHBand="0" w:noVBand="1"/>
      </w:tblPr>
      <w:tblGrid>
        <w:gridCol w:w="8250"/>
        <w:gridCol w:w="687"/>
        <w:gridCol w:w="687"/>
      </w:tblGrid>
      <w:tr w:rsidR="00F12314" w:rsidRPr="00EA7331" w14:paraId="697AA88E" w14:textId="77777777" w:rsidTr="00AA2D7C">
        <w:trPr>
          <w:trHeight w:val="286"/>
        </w:trPr>
        <w:tc>
          <w:tcPr>
            <w:tcW w:w="8250" w:type="dxa"/>
            <w:tcBorders>
              <w:top w:val="nil"/>
              <w:left w:val="nil"/>
              <w:bottom w:val="nil"/>
              <w:right w:val="nil"/>
            </w:tcBorders>
            <w:shd w:val="clear" w:color="000000" w:fill="FFFFFF"/>
            <w:noWrap/>
            <w:vAlign w:val="center"/>
          </w:tcPr>
          <w:p w14:paraId="6C1D0DB4" w14:textId="4966E1D9" w:rsidR="00F12314" w:rsidRPr="00EA7331" w:rsidRDefault="00F12314" w:rsidP="00AA2D7C">
            <w:pPr>
              <w:rPr>
                <w:rFonts w:cs="Segoe UI"/>
                <w:color w:val="0563C1"/>
                <w:sz w:val="17"/>
                <w:szCs w:val="17"/>
                <w:u w:val="single"/>
                <w:lang w:eastAsia="en-NZ"/>
              </w:rPr>
            </w:pPr>
            <w:r w:rsidRPr="00567C37">
              <w:rPr>
                <w:sz w:val="17"/>
                <w:vertAlign w:val="superscript"/>
              </w:rPr>
              <w:footnoteRef/>
            </w:r>
            <w:r w:rsidRPr="00567C37">
              <w:rPr>
                <w:sz w:val="17"/>
              </w:rPr>
              <w:t xml:space="preserve"> More information on this can be found </w:t>
            </w:r>
            <w:r>
              <w:rPr>
                <w:sz w:val="17"/>
              </w:rPr>
              <w:t xml:space="preserve">at </w:t>
            </w:r>
            <w:hyperlink r:id="rId1" w:history="1">
              <w:r w:rsidRPr="008E7244">
                <w:rPr>
                  <w:rStyle w:val="Hyperlink"/>
                  <w:sz w:val="16"/>
                </w:rPr>
                <w:t>https://tas.health.nz/employment-and-capability-building/workforce-information-and-projects/health-workforce-information-programme-hwip</w:t>
              </w:r>
            </w:hyperlink>
          </w:p>
        </w:tc>
        <w:tc>
          <w:tcPr>
            <w:tcW w:w="687" w:type="dxa"/>
            <w:tcBorders>
              <w:top w:val="nil"/>
              <w:left w:val="nil"/>
              <w:bottom w:val="nil"/>
              <w:right w:val="nil"/>
            </w:tcBorders>
            <w:shd w:val="clear" w:color="auto" w:fill="auto"/>
            <w:noWrap/>
            <w:vAlign w:val="bottom"/>
          </w:tcPr>
          <w:p w14:paraId="31A3B3A5" w14:textId="77777777" w:rsidR="00F12314" w:rsidRPr="00EA7331" w:rsidRDefault="00F12314" w:rsidP="00AA2D7C">
            <w:pPr>
              <w:rPr>
                <w:rFonts w:cs="Segoe UI"/>
                <w:color w:val="0563C1"/>
                <w:sz w:val="17"/>
                <w:szCs w:val="17"/>
                <w:u w:val="single"/>
                <w:lang w:eastAsia="en-NZ"/>
              </w:rPr>
            </w:pPr>
          </w:p>
        </w:tc>
        <w:tc>
          <w:tcPr>
            <w:tcW w:w="687" w:type="dxa"/>
            <w:tcBorders>
              <w:top w:val="nil"/>
              <w:left w:val="nil"/>
              <w:bottom w:val="nil"/>
              <w:right w:val="nil"/>
            </w:tcBorders>
            <w:shd w:val="clear" w:color="auto" w:fill="auto"/>
            <w:noWrap/>
            <w:vAlign w:val="bottom"/>
          </w:tcPr>
          <w:p w14:paraId="702F8127" w14:textId="77777777" w:rsidR="00F12314" w:rsidRPr="00EA7331" w:rsidRDefault="00F12314" w:rsidP="00AA2D7C">
            <w:pPr>
              <w:rPr>
                <w:rFonts w:cs="Segoe UI"/>
                <w:sz w:val="17"/>
                <w:szCs w:val="17"/>
                <w:lang w:eastAsia="en-NZ"/>
              </w:rPr>
            </w:pPr>
          </w:p>
        </w:tc>
      </w:tr>
    </w:tbl>
    <w:p w14:paraId="21A1454D" w14:textId="77777777" w:rsidR="00F12314" w:rsidRDefault="00F12314" w:rsidP="00896135">
      <w:pPr>
        <w:pStyle w:val="FootnoteText"/>
      </w:pPr>
    </w:p>
  </w:footnote>
  <w:footnote w:id="3">
    <w:p w14:paraId="42EC5C29" w14:textId="127F4868" w:rsidR="00F12314" w:rsidRDefault="00F12314" w:rsidP="008E7244">
      <w:pPr>
        <w:pStyle w:val="FootnoteText"/>
        <w:ind w:left="238"/>
      </w:pPr>
      <w:r>
        <w:rPr>
          <w:rStyle w:val="FootnoteReference"/>
        </w:rPr>
        <w:footnoteRef/>
      </w:r>
      <w:r>
        <w:t xml:space="preserve"> The reason for the difference is that the TAS data did not specify the exact number for positions where the total number in the role was four our fewer for reasons of confidentiality. If it is assumed that only one person works in each of those positions, then there is a total of 74,106 FTEs employed by DHBs. If we assume there are four workers for each anonymised entry the total is 78,607. The actual number employed by DHBs is 76,213.</w:t>
      </w:r>
    </w:p>
  </w:footnote>
  <w:footnote w:id="4">
    <w:p w14:paraId="00986BC9" w14:textId="77777777" w:rsidR="00F12314" w:rsidRDefault="00F12314" w:rsidP="00896135">
      <w:pPr>
        <w:pStyle w:val="FootnoteText"/>
      </w:pPr>
      <w:r>
        <w:rPr>
          <w:rStyle w:val="FootnoteReference"/>
        </w:rPr>
        <w:footnoteRef/>
      </w:r>
      <w:r>
        <w:t xml:space="preserve"> Source: Statistics New Zealand Gross Domestic Product by Industry</w:t>
      </w:r>
    </w:p>
  </w:footnote>
  <w:footnote w:id="5">
    <w:p w14:paraId="726BBE28" w14:textId="5AC0021D" w:rsidR="00F12314" w:rsidRDefault="00F12314" w:rsidP="00896135">
      <w:pPr>
        <w:pStyle w:val="FootnoteText"/>
      </w:pPr>
      <w:r>
        <w:rPr>
          <w:rStyle w:val="FootnoteReference"/>
        </w:rPr>
        <w:footnoteRef/>
      </w:r>
      <w:r>
        <w:t xml:space="preserve"> Note that this is potentially an underestimate as the data received from TAS did not include FTE numbers if there are four or fewer people in a role. The analysis presented in this report assumes there is only one worker in each of those roles. To compensate for this underestimate, salary costs were also estimated assuming a total of four workers for those anonymised occupations. </w:t>
      </w:r>
      <w:r w:rsidRPr="00361F24">
        <w:t xml:space="preserve">The results of this analysis are shown in </w:t>
      </w:r>
      <w:r>
        <w:t xml:space="preserve">Table 12 in </w:t>
      </w:r>
      <w:r w:rsidRPr="00361F24">
        <w:t>Appendix A.</w:t>
      </w:r>
      <w:r>
        <w:t xml:space="preserve"> Total salary costs under this assumption are $6.56 billion, or an increase of $335 million compared to assuming there is only one health worker for each anonymised entry.</w:t>
      </w:r>
    </w:p>
  </w:footnote>
  <w:footnote w:id="6">
    <w:p w14:paraId="2A6AF0F5" w14:textId="7FE7BAB0" w:rsidR="00F12314" w:rsidRDefault="00F12314" w:rsidP="00896135">
      <w:pPr>
        <w:pStyle w:val="FootnoteText"/>
      </w:pPr>
      <w:r>
        <w:rPr>
          <w:rStyle w:val="FootnoteReference"/>
        </w:rPr>
        <w:footnoteRef/>
      </w:r>
      <w:r>
        <w:t xml:space="preserve"> The Treasury (2019). </w:t>
      </w:r>
      <w:r w:rsidRPr="00632C94">
        <w:rPr>
          <w:i/>
          <w:iCs/>
        </w:rPr>
        <w:t>Financial Statements of the Government of New Zealand for the year ended 30 June 2019</w:t>
      </w:r>
      <w:r>
        <w:t xml:space="preserve">. The Treasury, Wellington. Accessed on 23 April 2020 at </w:t>
      </w:r>
      <w:r w:rsidRPr="00203185">
        <w:t>https://treasury.govt.nz/sites/default/files/2019-10/fsgnz-2019.pdf</w:t>
      </w:r>
    </w:p>
  </w:footnote>
  <w:footnote w:id="7">
    <w:p w14:paraId="63AA9FB9" w14:textId="77777777" w:rsidR="00F12314" w:rsidRDefault="00F12314" w:rsidP="00896135">
      <w:pPr>
        <w:pStyle w:val="FootnoteText"/>
      </w:pPr>
      <w:r>
        <w:rPr>
          <w:rStyle w:val="FootnoteReference"/>
        </w:rPr>
        <w:footnoteRef/>
      </w:r>
      <w:r>
        <w:t xml:space="preserve"> </w:t>
      </w:r>
      <w:r w:rsidRPr="00CA39E4">
        <w:t xml:space="preserve">The average salaries were sourced from various websites including </w:t>
      </w:r>
      <w:hyperlink r:id="rId2" w:history="1">
        <w:r w:rsidRPr="00CA39E4">
          <w:t>www.payscale.com</w:t>
        </w:r>
      </w:hyperlink>
      <w:r w:rsidRPr="00CA39E4">
        <w:t xml:space="preserve">, </w:t>
      </w:r>
      <w:hyperlink r:id="rId3" w:history="1">
        <w:r w:rsidRPr="00CA39E4">
          <w:t>www.careers.govt.nz</w:t>
        </w:r>
      </w:hyperlink>
      <w:r w:rsidRPr="00CA39E4">
        <w:t xml:space="preserve"> and www.salaryexpert.com.</w:t>
      </w:r>
    </w:p>
  </w:footnote>
  <w:footnote w:id="8">
    <w:p w14:paraId="23BE694E" w14:textId="6210D63F" w:rsidR="00F12314" w:rsidRDefault="00F12314" w:rsidP="00896135">
      <w:pPr>
        <w:pStyle w:val="FootnoteText"/>
      </w:pPr>
      <w:r>
        <w:rPr>
          <w:rStyle w:val="FootnoteReference"/>
        </w:rPr>
        <w:footnoteRef/>
      </w:r>
      <w:r>
        <w:t xml:space="preserve"> OECD low pay is defined as two-thirds</w:t>
      </w:r>
      <w:r w:rsidRPr="009969F1">
        <w:t xml:space="preserve"> of the median wage (based on all employees).</w:t>
      </w:r>
      <w:r>
        <w:t xml:space="preserve"> W</w:t>
      </w:r>
      <w:r w:rsidRPr="009969F1">
        <w:t>hile there is no agreed definition across the literature, this measure appears to be most widely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F12314" w14:paraId="0BE6BE65" w14:textId="77777777" w:rsidTr="00AA2D7C">
      <w:trPr>
        <w:cantSplit/>
      </w:trPr>
      <w:tc>
        <w:tcPr>
          <w:tcW w:w="5210" w:type="dxa"/>
          <w:shd w:val="clear" w:color="auto" w:fill="auto"/>
        </w:tcPr>
        <w:p w14:paraId="776E81CC" w14:textId="77777777" w:rsidR="00F12314" w:rsidRDefault="00F12314" w:rsidP="00AA2D7C">
          <w:pPr>
            <w:pStyle w:val="Header"/>
            <w:spacing w:line="264" w:lineRule="auto"/>
          </w:pPr>
          <w:r>
            <w:rPr>
              <w:noProof/>
              <w:lang w:eastAsia="en-NZ"/>
            </w:rPr>
            <w:drawing>
              <wp:inline distT="0" distB="0" distL="0" distR="0" wp14:anchorId="04636DFB" wp14:editId="20C51B0C">
                <wp:extent cx="1391920" cy="576580"/>
                <wp:effectExtent l="0" t="0" r="0" b="0"/>
                <wp:docPr id="22" name="Picture 2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7327" t="15285" r="7327" b="13947"/>
                        <a:stretch>
                          <a:fillRect/>
                        </a:stretch>
                      </pic:blipFill>
                      <pic:spPr bwMode="auto">
                        <a:xfrm>
                          <a:off x="0" y="0"/>
                          <a:ext cx="1391920" cy="576580"/>
                        </a:xfrm>
                        <a:prstGeom prst="rect">
                          <a:avLst/>
                        </a:prstGeom>
                        <a:noFill/>
                        <a:ln>
                          <a:noFill/>
                        </a:ln>
                      </pic:spPr>
                    </pic:pic>
                  </a:graphicData>
                </a:graphic>
              </wp:inline>
            </w:drawing>
          </w:r>
        </w:p>
      </w:tc>
      <w:tc>
        <w:tcPr>
          <w:tcW w:w="4429" w:type="dxa"/>
          <w:shd w:val="clear" w:color="auto" w:fill="auto"/>
          <w:vAlign w:val="center"/>
        </w:tcPr>
        <w:p w14:paraId="65767155" w14:textId="77777777" w:rsidR="00F12314" w:rsidRDefault="00F12314" w:rsidP="00AA2D7C">
          <w:pPr>
            <w:pStyle w:val="Header"/>
            <w:spacing w:line="264" w:lineRule="auto"/>
            <w:jc w:val="right"/>
          </w:pPr>
          <w:r>
            <w:rPr>
              <w:noProof/>
              <w:lang w:eastAsia="en-NZ"/>
            </w:rPr>
            <w:drawing>
              <wp:inline distT="0" distB="0" distL="0" distR="0" wp14:anchorId="2163A3BB" wp14:editId="6130A134">
                <wp:extent cx="1725930" cy="180975"/>
                <wp:effectExtent l="0" t="0" r="7620" b="9525"/>
                <wp:docPr id="21" name="Picture 2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930" cy="180975"/>
                        </a:xfrm>
                        <a:prstGeom prst="rect">
                          <a:avLst/>
                        </a:prstGeom>
                        <a:noFill/>
                        <a:ln>
                          <a:noFill/>
                        </a:ln>
                      </pic:spPr>
                    </pic:pic>
                  </a:graphicData>
                </a:graphic>
              </wp:inline>
            </w:drawing>
          </w:r>
        </w:p>
      </w:tc>
    </w:tr>
  </w:tbl>
  <w:p w14:paraId="2E22ED7A" w14:textId="77777777" w:rsidR="00F12314" w:rsidRDefault="00F12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F12314" w14:paraId="4FF7CB42" w14:textId="77777777" w:rsidTr="00AA2D7C">
      <w:trPr>
        <w:cantSplit/>
      </w:trPr>
      <w:tc>
        <w:tcPr>
          <w:tcW w:w="5210" w:type="dxa"/>
          <w:shd w:val="clear" w:color="auto" w:fill="auto"/>
        </w:tcPr>
        <w:p w14:paraId="71BAB5D5" w14:textId="6096E44A" w:rsidR="00F12314" w:rsidRDefault="00F12314" w:rsidP="00AA2D7C">
          <w:pPr>
            <w:pStyle w:val="Header"/>
            <w:spacing w:line="264" w:lineRule="auto"/>
          </w:pPr>
        </w:p>
      </w:tc>
      <w:tc>
        <w:tcPr>
          <w:tcW w:w="4429" w:type="dxa"/>
          <w:shd w:val="clear" w:color="auto" w:fill="auto"/>
          <w:vAlign w:val="center"/>
        </w:tcPr>
        <w:p w14:paraId="22DE949B" w14:textId="3FBF3998" w:rsidR="00F12314" w:rsidRDefault="00F12314" w:rsidP="00AA2D7C">
          <w:pPr>
            <w:pStyle w:val="Header"/>
            <w:spacing w:line="264" w:lineRule="auto"/>
            <w:jc w:val="right"/>
          </w:pPr>
        </w:p>
      </w:tc>
    </w:tr>
  </w:tbl>
  <w:p w14:paraId="703D91B8" w14:textId="77777777" w:rsidR="00F12314" w:rsidRDefault="00F12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9BF1" w14:textId="77777777" w:rsidR="00F12314" w:rsidRDefault="00F12314" w:rsidP="00AA2D7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E911" w14:textId="77777777" w:rsidR="00F12314" w:rsidRDefault="00F12314" w:rsidP="00AA2D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4878" w14:textId="77777777" w:rsidR="00F12314" w:rsidRDefault="00F123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DA75548"/>
    <w:multiLevelType w:val="hybridMultilevel"/>
    <w:tmpl w:val="C64E339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0"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1" w15:restartNumberingAfterBreak="0">
    <w:nsid w:val="23DC7796"/>
    <w:multiLevelType w:val="multilevel"/>
    <w:tmpl w:val="38243F0A"/>
    <w:lvl w:ilvl="0">
      <w:start w:val="1"/>
      <w:numFmt w:val="decimal"/>
      <w:pStyle w:val="Number"/>
      <w:lvlText w:val="%1."/>
      <w:lvlJc w:val="left"/>
      <w:pPr>
        <w:ind w:left="567" w:hanging="567"/>
      </w:pPr>
    </w:lvl>
    <w:lvl w:ilvl="1">
      <w:start w:val="1"/>
      <w:numFmt w:val="lowerLetter"/>
      <w:pStyle w:val="Letter"/>
      <w:lvlText w:val="%2)"/>
      <w:lvlJc w:val="left"/>
      <w:pPr>
        <w:ind w:left="1134" w:hanging="567"/>
      </w:pPr>
    </w:lvl>
    <w:lvl w:ilvl="2">
      <w:start w:val="1"/>
      <w:numFmt w:val="lowerRoman"/>
      <w:pStyle w:val="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15:restartNumberingAfterBreak="0">
    <w:nsid w:val="2C4D4D3B"/>
    <w:multiLevelType w:val="hybridMultilevel"/>
    <w:tmpl w:val="333AB6E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8B47DC5"/>
    <w:multiLevelType w:val="hybridMultilevel"/>
    <w:tmpl w:val="7C9CD0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cs="Times New Roman" w:hint="default"/>
        <w:b w:val="0"/>
        <w:i w:val="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1"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2" w15:restartNumberingAfterBreak="0">
    <w:nsid w:val="4EBD7310"/>
    <w:multiLevelType w:val="hybridMultilevel"/>
    <w:tmpl w:val="0F6026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5888199C"/>
    <w:multiLevelType w:val="hybridMultilevel"/>
    <w:tmpl w:val="4D90F7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6"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7" w15:restartNumberingAfterBreak="0">
    <w:nsid w:val="5E5B07FF"/>
    <w:multiLevelType w:val="hybridMultilevel"/>
    <w:tmpl w:val="EE48C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9"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0"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1"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2"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4"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6" w15:restartNumberingAfterBreak="0">
    <w:nsid w:val="7C1B76F9"/>
    <w:multiLevelType w:val="hybridMultilevel"/>
    <w:tmpl w:val="16609E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8"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5"/>
  </w:num>
  <w:num w:numId="2">
    <w:abstractNumId w:val="35"/>
  </w:num>
  <w:num w:numId="3">
    <w:abstractNumId w:val="18"/>
  </w:num>
  <w:num w:numId="4">
    <w:abstractNumId w:val="18"/>
  </w:num>
  <w:num w:numId="5">
    <w:abstractNumId w:val="0"/>
  </w:num>
  <w:num w:numId="6">
    <w:abstractNumId w:val="0"/>
  </w:num>
  <w:num w:numId="7">
    <w:abstractNumId w:val="19"/>
  </w:num>
  <w:num w:numId="8">
    <w:abstractNumId w:val="19"/>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num>
  <w:num w:numId="13">
    <w:abstractNumId w:val="9"/>
  </w:num>
  <w:num w:numId="14">
    <w:abstractNumId w:val="9"/>
  </w:num>
  <w:num w:numId="15">
    <w:abstractNumId w:val="22"/>
  </w:num>
  <w:num w:numId="16">
    <w:abstractNumId w:val="22"/>
  </w:num>
  <w:num w:numId="17">
    <w:abstractNumId w:val="23"/>
  </w:num>
  <w:num w:numId="18">
    <w:abstractNumId w:val="23"/>
  </w:num>
  <w:num w:numId="19">
    <w:abstractNumId w:val="28"/>
  </w:num>
  <w:num w:numId="20">
    <w:abstractNumId w:val="38"/>
  </w:num>
  <w:num w:numId="21">
    <w:abstractNumId w:val="13"/>
  </w:num>
  <w:num w:numId="22">
    <w:abstractNumId w:val="2"/>
  </w:num>
  <w:num w:numId="23">
    <w:abstractNumId w:val="34"/>
  </w:num>
  <w:num w:numId="24">
    <w:abstractNumId w:val="1"/>
  </w:num>
  <w:num w:numId="25">
    <w:abstractNumId w:val="32"/>
  </w:num>
  <w:num w:numId="26">
    <w:abstractNumId w:val="3"/>
  </w:num>
  <w:num w:numId="27">
    <w:abstractNumId w:val="7"/>
  </w:num>
  <w:num w:numId="28">
    <w:abstractNumId w:val="5"/>
  </w:num>
  <w:num w:numId="29">
    <w:abstractNumId w:val="8"/>
  </w:num>
  <w:num w:numId="30">
    <w:abstractNumId w:val="24"/>
  </w:num>
  <w:num w:numId="31">
    <w:abstractNumId w:val="30"/>
  </w:num>
  <w:num w:numId="32">
    <w:abstractNumId w:val="12"/>
  </w:num>
  <w:num w:numId="33">
    <w:abstractNumId w:val="21"/>
  </w:num>
  <w:num w:numId="34">
    <w:abstractNumId w:val="6"/>
  </w:num>
  <w:num w:numId="35">
    <w:abstractNumId w:val="4"/>
  </w:num>
  <w:num w:numId="36">
    <w:abstractNumId w:val="26"/>
  </w:num>
  <w:num w:numId="37">
    <w:abstractNumId w:val="25"/>
  </w:num>
  <w:num w:numId="38">
    <w:abstractNumId w:val="37"/>
  </w:num>
  <w:num w:numId="39">
    <w:abstractNumId w:val="15"/>
  </w:num>
  <w:num w:numId="40">
    <w:abstractNumId w:val="31"/>
  </w:num>
  <w:num w:numId="41">
    <w:abstractNumId w:val="29"/>
  </w:num>
  <w:num w:numId="42">
    <w:abstractNumId w:val="20"/>
  </w:num>
  <w:num w:numId="43">
    <w:abstractNumId w:val="10"/>
  </w:num>
  <w:num w:numId="44">
    <w:abstractNumId w:val="33"/>
  </w:num>
  <w:num w:numId="45">
    <w:abstractNumId w:val="16"/>
  </w:num>
  <w:num w:numId="46">
    <w:abstractNumId w:val="27"/>
  </w:num>
  <w:num w:numId="47">
    <w:abstractNumId w:val="3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19"/>
    <w:rsid w:val="000409CD"/>
    <w:rsid w:val="00070602"/>
    <w:rsid w:val="000A1B4E"/>
    <w:rsid w:val="000A60B2"/>
    <w:rsid w:val="000A627A"/>
    <w:rsid w:val="000A77FE"/>
    <w:rsid w:val="000B5803"/>
    <w:rsid w:val="000C43D3"/>
    <w:rsid w:val="000D3814"/>
    <w:rsid w:val="000E1666"/>
    <w:rsid w:val="000E520A"/>
    <w:rsid w:val="00126A0C"/>
    <w:rsid w:val="001313F2"/>
    <w:rsid w:val="001326EC"/>
    <w:rsid w:val="001376AA"/>
    <w:rsid w:val="00145F83"/>
    <w:rsid w:val="0015380E"/>
    <w:rsid w:val="0017703F"/>
    <w:rsid w:val="001814D3"/>
    <w:rsid w:val="001A4960"/>
    <w:rsid w:val="001B351D"/>
    <w:rsid w:val="001C173C"/>
    <w:rsid w:val="001D03C1"/>
    <w:rsid w:val="001F0A4C"/>
    <w:rsid w:val="001F3C2E"/>
    <w:rsid w:val="001F696E"/>
    <w:rsid w:val="002128A2"/>
    <w:rsid w:val="00214984"/>
    <w:rsid w:val="00232FE1"/>
    <w:rsid w:val="00241F02"/>
    <w:rsid w:val="002501F1"/>
    <w:rsid w:val="002535F6"/>
    <w:rsid w:val="002B217E"/>
    <w:rsid w:val="002B2E10"/>
    <w:rsid w:val="002C4F5D"/>
    <w:rsid w:val="002F2274"/>
    <w:rsid w:val="00314981"/>
    <w:rsid w:val="003460C9"/>
    <w:rsid w:val="0036629E"/>
    <w:rsid w:val="003A7F5C"/>
    <w:rsid w:val="003D5D14"/>
    <w:rsid w:val="003D6C18"/>
    <w:rsid w:val="00402005"/>
    <w:rsid w:val="00422350"/>
    <w:rsid w:val="00424116"/>
    <w:rsid w:val="0046268D"/>
    <w:rsid w:val="00470025"/>
    <w:rsid w:val="00486C26"/>
    <w:rsid w:val="00487778"/>
    <w:rsid w:val="00491B1D"/>
    <w:rsid w:val="004A275C"/>
    <w:rsid w:val="004D080E"/>
    <w:rsid w:val="004D0A8F"/>
    <w:rsid w:val="004D3935"/>
    <w:rsid w:val="004D5D1F"/>
    <w:rsid w:val="004E2E88"/>
    <w:rsid w:val="00503C68"/>
    <w:rsid w:val="0051438C"/>
    <w:rsid w:val="005251ED"/>
    <w:rsid w:val="00545B21"/>
    <w:rsid w:val="0055002A"/>
    <w:rsid w:val="00565A6A"/>
    <w:rsid w:val="00577288"/>
    <w:rsid w:val="00580C9E"/>
    <w:rsid w:val="005A1344"/>
    <w:rsid w:val="005B0C4E"/>
    <w:rsid w:val="005D707A"/>
    <w:rsid w:val="005F08D9"/>
    <w:rsid w:val="00606D02"/>
    <w:rsid w:val="00611A03"/>
    <w:rsid w:val="00630E0F"/>
    <w:rsid w:val="00631C25"/>
    <w:rsid w:val="00632C94"/>
    <w:rsid w:val="00677008"/>
    <w:rsid w:val="00681076"/>
    <w:rsid w:val="006817A2"/>
    <w:rsid w:val="00681D67"/>
    <w:rsid w:val="00690E04"/>
    <w:rsid w:val="006C1E67"/>
    <w:rsid w:val="006D3AE7"/>
    <w:rsid w:val="007047E8"/>
    <w:rsid w:val="00710159"/>
    <w:rsid w:val="00721214"/>
    <w:rsid w:val="0074015E"/>
    <w:rsid w:val="007407BF"/>
    <w:rsid w:val="007720C0"/>
    <w:rsid w:val="00773038"/>
    <w:rsid w:val="00774784"/>
    <w:rsid w:val="00782905"/>
    <w:rsid w:val="00783242"/>
    <w:rsid w:val="007977A3"/>
    <w:rsid w:val="007A7CF3"/>
    <w:rsid w:val="007B25BC"/>
    <w:rsid w:val="00814E8A"/>
    <w:rsid w:val="00817955"/>
    <w:rsid w:val="00824925"/>
    <w:rsid w:val="00837E43"/>
    <w:rsid w:val="00841494"/>
    <w:rsid w:val="00841B25"/>
    <w:rsid w:val="00860960"/>
    <w:rsid w:val="008623D9"/>
    <w:rsid w:val="0086366C"/>
    <w:rsid w:val="008719B8"/>
    <w:rsid w:val="00884C99"/>
    <w:rsid w:val="00896135"/>
    <w:rsid w:val="008B374F"/>
    <w:rsid w:val="008B44A6"/>
    <w:rsid w:val="008B5A8F"/>
    <w:rsid w:val="008E5143"/>
    <w:rsid w:val="008E68D2"/>
    <w:rsid w:val="008E7244"/>
    <w:rsid w:val="0091120E"/>
    <w:rsid w:val="0091456A"/>
    <w:rsid w:val="00937157"/>
    <w:rsid w:val="009528AA"/>
    <w:rsid w:val="00960888"/>
    <w:rsid w:val="00961164"/>
    <w:rsid w:val="00962C23"/>
    <w:rsid w:val="009A54D5"/>
    <w:rsid w:val="009B2BD7"/>
    <w:rsid w:val="009D433B"/>
    <w:rsid w:val="009E5B95"/>
    <w:rsid w:val="00A41863"/>
    <w:rsid w:val="00A43047"/>
    <w:rsid w:val="00A576A3"/>
    <w:rsid w:val="00A61E2A"/>
    <w:rsid w:val="00A76CCA"/>
    <w:rsid w:val="00A921FC"/>
    <w:rsid w:val="00AA2D7C"/>
    <w:rsid w:val="00AC3BE5"/>
    <w:rsid w:val="00AF0B55"/>
    <w:rsid w:val="00B05885"/>
    <w:rsid w:val="00B1103D"/>
    <w:rsid w:val="00B177DD"/>
    <w:rsid w:val="00B50F93"/>
    <w:rsid w:val="00B55351"/>
    <w:rsid w:val="00B72456"/>
    <w:rsid w:val="00B73C47"/>
    <w:rsid w:val="00BA3800"/>
    <w:rsid w:val="00BA7439"/>
    <w:rsid w:val="00BB50D3"/>
    <w:rsid w:val="00BC261C"/>
    <w:rsid w:val="00BE5BD0"/>
    <w:rsid w:val="00BF3B28"/>
    <w:rsid w:val="00C03FC3"/>
    <w:rsid w:val="00C17E76"/>
    <w:rsid w:val="00C37181"/>
    <w:rsid w:val="00C46E2F"/>
    <w:rsid w:val="00C6743B"/>
    <w:rsid w:val="00C80F70"/>
    <w:rsid w:val="00C97CD6"/>
    <w:rsid w:val="00CB6A3D"/>
    <w:rsid w:val="00CD5E59"/>
    <w:rsid w:val="00CE76DD"/>
    <w:rsid w:val="00CF45BB"/>
    <w:rsid w:val="00D01154"/>
    <w:rsid w:val="00D13519"/>
    <w:rsid w:val="00D27989"/>
    <w:rsid w:val="00D54C22"/>
    <w:rsid w:val="00D60207"/>
    <w:rsid w:val="00D62718"/>
    <w:rsid w:val="00D67F43"/>
    <w:rsid w:val="00D90EB1"/>
    <w:rsid w:val="00DA11AC"/>
    <w:rsid w:val="00DB49F9"/>
    <w:rsid w:val="00DD1B27"/>
    <w:rsid w:val="00DE7A89"/>
    <w:rsid w:val="00E036B4"/>
    <w:rsid w:val="00E64A30"/>
    <w:rsid w:val="00E8117A"/>
    <w:rsid w:val="00E92A93"/>
    <w:rsid w:val="00EB4519"/>
    <w:rsid w:val="00EB6B91"/>
    <w:rsid w:val="00EC56EF"/>
    <w:rsid w:val="00F12314"/>
    <w:rsid w:val="00F2724A"/>
    <w:rsid w:val="00F34ED3"/>
    <w:rsid w:val="00F55AA6"/>
    <w:rsid w:val="00FC1F93"/>
    <w:rsid w:val="00FD09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CDF3"/>
  <w15:chartTrackingRefBased/>
  <w15:docId w15:val="{4226F546-A33F-43C6-BC96-6B502D6F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8D9"/>
    <w:pPr>
      <w:spacing w:after="0" w:line="240" w:lineRule="auto"/>
    </w:pPr>
    <w:rPr>
      <w:rFonts w:ascii="Segoe UI" w:eastAsia="Times New Roman" w:hAnsi="Segoe UI" w:cs="Times New Roman"/>
      <w:sz w:val="21"/>
      <w:szCs w:val="20"/>
      <w:lang w:eastAsia="en-GB"/>
    </w:rPr>
  </w:style>
  <w:style w:type="paragraph" w:styleId="Heading1">
    <w:name w:val="heading 1"/>
    <w:basedOn w:val="Normal"/>
    <w:next w:val="Normal"/>
    <w:link w:val="Heading1Char"/>
    <w:uiPriority w:val="1"/>
    <w:qFormat/>
    <w:rsid w:val="00D13519"/>
    <w:pPr>
      <w:keepNext/>
      <w:spacing w:before="600" w:after="360"/>
      <w:outlineLvl w:val="0"/>
    </w:pPr>
    <w:rPr>
      <w:b/>
      <w:color w:val="23305D"/>
      <w:spacing w:val="-10"/>
      <w:sz w:val="72"/>
    </w:rPr>
  </w:style>
  <w:style w:type="paragraph" w:styleId="Heading2">
    <w:name w:val="heading 2"/>
    <w:basedOn w:val="Normal"/>
    <w:next w:val="Normal"/>
    <w:link w:val="Heading2Char"/>
    <w:uiPriority w:val="1"/>
    <w:unhideWhenUsed/>
    <w:qFormat/>
    <w:rsid w:val="00D13519"/>
    <w:pPr>
      <w:keepNext/>
      <w:spacing w:before="480" w:after="180"/>
      <w:outlineLvl w:val="1"/>
    </w:pPr>
    <w:rPr>
      <w:b/>
      <w:color w:val="0A6AB4"/>
      <w:spacing w:val="-5"/>
      <w:sz w:val="48"/>
    </w:rPr>
  </w:style>
  <w:style w:type="paragraph" w:styleId="Heading3">
    <w:name w:val="heading 3"/>
    <w:basedOn w:val="Normal"/>
    <w:next w:val="Normal"/>
    <w:link w:val="Heading3Char"/>
    <w:uiPriority w:val="1"/>
    <w:unhideWhenUsed/>
    <w:qFormat/>
    <w:rsid w:val="00D13519"/>
    <w:pPr>
      <w:keepNext/>
      <w:spacing w:before="360" w:after="180"/>
      <w:outlineLvl w:val="2"/>
    </w:pPr>
    <w:rPr>
      <w:color w:val="0A6AB4"/>
      <w:spacing w:val="-5"/>
      <w:sz w:val="36"/>
    </w:rPr>
  </w:style>
  <w:style w:type="paragraph" w:styleId="Heading4">
    <w:name w:val="heading 4"/>
    <w:basedOn w:val="Normal"/>
    <w:next w:val="Normal"/>
    <w:link w:val="Heading4Char"/>
    <w:uiPriority w:val="1"/>
    <w:unhideWhenUsed/>
    <w:qFormat/>
    <w:rsid w:val="00D13519"/>
    <w:pPr>
      <w:keepNext/>
      <w:spacing w:before="240" w:after="120"/>
      <w:outlineLvl w:val="3"/>
    </w:pPr>
    <w:rPr>
      <w:color w:val="0A6AB4"/>
      <w:sz w:val="28"/>
    </w:rPr>
  </w:style>
  <w:style w:type="paragraph" w:styleId="Heading5">
    <w:name w:val="heading 5"/>
    <w:basedOn w:val="Normal"/>
    <w:next w:val="Normal"/>
    <w:link w:val="Heading5Char"/>
    <w:uiPriority w:val="1"/>
    <w:unhideWhenUsed/>
    <w:qFormat/>
    <w:rsid w:val="00D13519"/>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D13519"/>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D13519"/>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D13519"/>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D13519"/>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3519"/>
    <w:rPr>
      <w:rFonts w:ascii="Segoe UI" w:eastAsia="Times New Roman" w:hAnsi="Segoe UI" w:cs="Times New Roman"/>
      <w:b/>
      <w:color w:val="23305D"/>
      <w:spacing w:val="-10"/>
      <w:sz w:val="72"/>
      <w:szCs w:val="20"/>
      <w:lang w:eastAsia="en-GB"/>
    </w:rPr>
  </w:style>
  <w:style w:type="character" w:customStyle="1" w:styleId="Heading2Char">
    <w:name w:val="Heading 2 Char"/>
    <w:basedOn w:val="DefaultParagraphFont"/>
    <w:link w:val="Heading2"/>
    <w:uiPriority w:val="1"/>
    <w:rsid w:val="00D13519"/>
    <w:rPr>
      <w:rFonts w:ascii="Segoe UI" w:eastAsia="Times New Roman" w:hAnsi="Segoe UI" w:cs="Times New Roman"/>
      <w:b/>
      <w:color w:val="0A6AB4"/>
      <w:spacing w:val="-5"/>
      <w:sz w:val="48"/>
      <w:szCs w:val="20"/>
      <w:lang w:eastAsia="en-GB"/>
    </w:rPr>
  </w:style>
  <w:style w:type="character" w:customStyle="1" w:styleId="Heading3Char">
    <w:name w:val="Heading 3 Char"/>
    <w:basedOn w:val="DefaultParagraphFont"/>
    <w:link w:val="Heading3"/>
    <w:uiPriority w:val="1"/>
    <w:rsid w:val="00D13519"/>
    <w:rPr>
      <w:rFonts w:ascii="Segoe UI" w:eastAsia="Times New Roman" w:hAnsi="Segoe UI" w:cs="Times New Roman"/>
      <w:color w:val="0A6AB4"/>
      <w:spacing w:val="-5"/>
      <w:sz w:val="36"/>
      <w:szCs w:val="20"/>
      <w:lang w:eastAsia="en-GB"/>
    </w:rPr>
  </w:style>
  <w:style w:type="character" w:customStyle="1" w:styleId="Heading4Char">
    <w:name w:val="Heading 4 Char"/>
    <w:basedOn w:val="DefaultParagraphFont"/>
    <w:link w:val="Heading4"/>
    <w:uiPriority w:val="1"/>
    <w:rsid w:val="00D13519"/>
    <w:rPr>
      <w:rFonts w:ascii="Segoe UI" w:eastAsia="Times New Roman" w:hAnsi="Segoe UI" w:cs="Times New Roman"/>
      <w:color w:val="0A6AB4"/>
      <w:sz w:val="28"/>
      <w:szCs w:val="20"/>
      <w:lang w:eastAsia="en-GB"/>
    </w:rPr>
  </w:style>
  <w:style w:type="character" w:customStyle="1" w:styleId="Heading5Char">
    <w:name w:val="Heading 5 Char"/>
    <w:basedOn w:val="DefaultParagraphFont"/>
    <w:link w:val="Heading5"/>
    <w:uiPriority w:val="1"/>
    <w:rsid w:val="00D13519"/>
    <w:rPr>
      <w:rFonts w:ascii="Segoe UI" w:eastAsia="Times New Roman" w:hAnsi="Segoe UI" w:cs="Times New Roman"/>
      <w:color w:val="0A6AB4"/>
      <w:sz w:val="24"/>
      <w:szCs w:val="20"/>
      <w:lang w:eastAsia="en-GB"/>
    </w:rPr>
  </w:style>
  <w:style w:type="character" w:customStyle="1" w:styleId="Heading6Char">
    <w:name w:val="Heading 6 Char"/>
    <w:basedOn w:val="DefaultParagraphFont"/>
    <w:link w:val="Heading6"/>
    <w:uiPriority w:val="1"/>
    <w:rsid w:val="00D13519"/>
    <w:rPr>
      <w:rFonts w:ascii="Calibri" w:eastAsia="MS Gothic" w:hAnsi="Calibri" w:cs="Times New Roman"/>
      <w:i/>
      <w:iCs/>
      <w:color w:val="243F60"/>
      <w:sz w:val="21"/>
      <w:szCs w:val="24"/>
      <w:lang w:val="en-GB"/>
    </w:rPr>
  </w:style>
  <w:style w:type="character" w:customStyle="1" w:styleId="Heading7Char">
    <w:name w:val="Heading 7 Char"/>
    <w:basedOn w:val="DefaultParagraphFont"/>
    <w:link w:val="Heading7"/>
    <w:uiPriority w:val="1"/>
    <w:rsid w:val="00D13519"/>
    <w:rPr>
      <w:rFonts w:ascii="Calibri" w:eastAsia="MS Gothic" w:hAnsi="Calibri" w:cs="Times New Roman"/>
      <w:i/>
      <w:iCs/>
      <w:color w:val="404040"/>
      <w:sz w:val="21"/>
      <w:szCs w:val="24"/>
      <w:lang w:val="en-GB"/>
    </w:rPr>
  </w:style>
  <w:style w:type="character" w:customStyle="1" w:styleId="Heading8Char">
    <w:name w:val="Heading 8 Char"/>
    <w:basedOn w:val="DefaultParagraphFont"/>
    <w:link w:val="Heading8"/>
    <w:uiPriority w:val="1"/>
    <w:rsid w:val="00D13519"/>
    <w:rPr>
      <w:rFonts w:ascii="Segoe UI" w:eastAsia="MS Gothic" w:hAnsi="Segoe UI" w:cs="Times New Roman"/>
      <w:color w:val="0A6AB4"/>
      <w:spacing w:val="-10"/>
      <w:sz w:val="36"/>
      <w:szCs w:val="24"/>
    </w:rPr>
  </w:style>
  <w:style w:type="character" w:customStyle="1" w:styleId="Heading9Char">
    <w:name w:val="Heading 9 Char"/>
    <w:basedOn w:val="DefaultParagraphFont"/>
    <w:link w:val="Heading9"/>
    <w:uiPriority w:val="1"/>
    <w:rsid w:val="00D13519"/>
    <w:rPr>
      <w:rFonts w:ascii="Calibri" w:eastAsia="MS Gothic" w:hAnsi="Calibri" w:cs="Times New Roman"/>
      <w:i/>
      <w:iCs/>
      <w:color w:val="404040"/>
      <w:sz w:val="21"/>
      <w:szCs w:val="24"/>
      <w:lang w:val="en-GB"/>
    </w:rPr>
  </w:style>
  <w:style w:type="character" w:styleId="Hyperlink">
    <w:name w:val="Hyperlink"/>
    <w:uiPriority w:val="99"/>
    <w:unhideWhenUsed/>
    <w:rsid w:val="00D13519"/>
    <w:rPr>
      <w:b/>
      <w:bCs w:val="0"/>
      <w:strike w:val="0"/>
      <w:dstrike w:val="0"/>
      <w:color w:val="595959"/>
      <w:u w:val="none"/>
      <w:effect w:val="none"/>
    </w:rPr>
  </w:style>
  <w:style w:type="character" w:styleId="FollowedHyperlink">
    <w:name w:val="FollowedHyperlink"/>
    <w:uiPriority w:val="99"/>
    <w:semiHidden/>
    <w:unhideWhenUsed/>
    <w:rsid w:val="00D13519"/>
    <w:rPr>
      <w:color w:val="800080"/>
      <w:u w:val="single"/>
    </w:rPr>
  </w:style>
  <w:style w:type="paragraph" w:customStyle="1" w:styleId="msonormal0">
    <w:name w:val="msonormal"/>
    <w:basedOn w:val="Normal"/>
    <w:rsid w:val="00D13519"/>
    <w:pPr>
      <w:spacing w:before="100" w:beforeAutospacing="1" w:after="100" w:afterAutospacing="1"/>
    </w:pPr>
    <w:rPr>
      <w:rFonts w:ascii="Times New Roman" w:hAnsi="Times New Roman"/>
      <w:sz w:val="24"/>
      <w:szCs w:val="24"/>
      <w:lang w:eastAsia="en-NZ"/>
    </w:rPr>
  </w:style>
  <w:style w:type="paragraph" w:styleId="TOC1">
    <w:name w:val="toc 1"/>
    <w:basedOn w:val="Normal"/>
    <w:next w:val="Normal"/>
    <w:autoRedefine/>
    <w:uiPriority w:val="39"/>
    <w:unhideWhenUsed/>
    <w:qFormat/>
    <w:rsid w:val="00F12314"/>
    <w:pPr>
      <w:tabs>
        <w:tab w:val="right" w:pos="8080"/>
      </w:tabs>
      <w:spacing w:before="300" w:after="120"/>
      <w:ind w:right="567"/>
    </w:pPr>
    <w:rPr>
      <w:rFonts w:ascii="Segoe UI Semibold" w:hAnsi="Segoe UI Semibold"/>
      <w:sz w:val="24"/>
    </w:rPr>
  </w:style>
  <w:style w:type="paragraph" w:styleId="TOC2">
    <w:name w:val="toc 2"/>
    <w:basedOn w:val="Normal"/>
    <w:next w:val="Normal"/>
    <w:autoRedefine/>
    <w:uiPriority w:val="39"/>
    <w:unhideWhenUsed/>
    <w:qFormat/>
    <w:rsid w:val="00D13519"/>
    <w:pPr>
      <w:tabs>
        <w:tab w:val="right" w:pos="8080"/>
      </w:tabs>
      <w:spacing w:before="60"/>
      <w:ind w:left="284" w:right="567"/>
    </w:pPr>
    <w:rPr>
      <w:sz w:val="22"/>
    </w:rPr>
  </w:style>
  <w:style w:type="paragraph" w:styleId="TOC3">
    <w:name w:val="toc 3"/>
    <w:basedOn w:val="Normal"/>
    <w:next w:val="Normal"/>
    <w:autoRedefine/>
    <w:unhideWhenUsed/>
    <w:rsid w:val="00D13519"/>
    <w:pPr>
      <w:tabs>
        <w:tab w:val="right" w:pos="8080"/>
      </w:tabs>
      <w:spacing w:before="120"/>
      <w:ind w:left="1276" w:right="567" w:hanging="1276"/>
    </w:pPr>
  </w:style>
  <w:style w:type="paragraph" w:styleId="FootnoteText">
    <w:name w:val="footnote text"/>
    <w:basedOn w:val="Normal"/>
    <w:link w:val="FootnoteTextChar"/>
    <w:unhideWhenUsed/>
    <w:rsid w:val="00D13519"/>
    <w:pPr>
      <w:spacing w:before="60" w:line="228" w:lineRule="auto"/>
      <w:ind w:left="284" w:hanging="284"/>
    </w:pPr>
    <w:rPr>
      <w:sz w:val="17"/>
    </w:rPr>
  </w:style>
  <w:style w:type="character" w:customStyle="1" w:styleId="FootnoteTextChar">
    <w:name w:val="Footnote Text Char"/>
    <w:basedOn w:val="DefaultParagraphFont"/>
    <w:link w:val="FootnoteText"/>
    <w:rsid w:val="00D13519"/>
    <w:rPr>
      <w:rFonts w:ascii="Segoe UI" w:eastAsia="Times New Roman" w:hAnsi="Segoe UI" w:cs="Times New Roman"/>
      <w:sz w:val="17"/>
      <w:szCs w:val="20"/>
      <w:lang w:eastAsia="en-GB"/>
    </w:rPr>
  </w:style>
  <w:style w:type="paragraph" w:styleId="CommentText">
    <w:name w:val="annotation text"/>
    <w:basedOn w:val="Normal"/>
    <w:link w:val="CommentTextChar"/>
    <w:uiPriority w:val="99"/>
    <w:semiHidden/>
    <w:unhideWhenUsed/>
    <w:rsid w:val="00D13519"/>
    <w:rPr>
      <w:sz w:val="20"/>
    </w:rPr>
  </w:style>
  <w:style w:type="character" w:customStyle="1" w:styleId="CommentTextChar">
    <w:name w:val="Comment Text Char"/>
    <w:basedOn w:val="DefaultParagraphFont"/>
    <w:link w:val="CommentText"/>
    <w:uiPriority w:val="99"/>
    <w:semiHidden/>
    <w:rsid w:val="00D13519"/>
    <w:rPr>
      <w:rFonts w:ascii="Segoe UI" w:eastAsia="Times New Roman" w:hAnsi="Segoe UI" w:cs="Times New Roman"/>
      <w:sz w:val="20"/>
      <w:szCs w:val="20"/>
      <w:lang w:eastAsia="en-GB"/>
    </w:rPr>
  </w:style>
  <w:style w:type="paragraph" w:styleId="Header">
    <w:name w:val="header"/>
    <w:basedOn w:val="Normal"/>
    <w:link w:val="HeaderChar"/>
    <w:unhideWhenUsed/>
    <w:qFormat/>
    <w:rsid w:val="00D13519"/>
  </w:style>
  <w:style w:type="character" w:customStyle="1" w:styleId="HeaderChar">
    <w:name w:val="Header Char"/>
    <w:basedOn w:val="DefaultParagraphFont"/>
    <w:link w:val="Header"/>
    <w:rsid w:val="00D13519"/>
    <w:rPr>
      <w:rFonts w:ascii="Segoe UI" w:eastAsia="Times New Roman" w:hAnsi="Segoe UI" w:cs="Times New Roman"/>
      <w:sz w:val="21"/>
      <w:szCs w:val="20"/>
      <w:lang w:eastAsia="en-GB"/>
    </w:rPr>
  </w:style>
  <w:style w:type="paragraph" w:styleId="Footer">
    <w:name w:val="footer"/>
    <w:basedOn w:val="Normal"/>
    <w:link w:val="FooterChar"/>
    <w:uiPriority w:val="99"/>
    <w:unhideWhenUsed/>
    <w:qFormat/>
    <w:rsid w:val="00D13519"/>
  </w:style>
  <w:style w:type="character" w:customStyle="1" w:styleId="FooterChar">
    <w:name w:val="Footer Char"/>
    <w:basedOn w:val="DefaultParagraphFont"/>
    <w:link w:val="Footer"/>
    <w:uiPriority w:val="99"/>
    <w:rsid w:val="00D13519"/>
    <w:rPr>
      <w:rFonts w:ascii="Segoe UI" w:eastAsia="Times New Roman" w:hAnsi="Segoe UI" w:cs="Times New Roman"/>
      <w:sz w:val="21"/>
      <w:szCs w:val="20"/>
      <w:lang w:eastAsia="en-GB"/>
    </w:rPr>
  </w:style>
  <w:style w:type="paragraph" w:styleId="Caption">
    <w:name w:val="caption"/>
    <w:basedOn w:val="Normal"/>
    <w:next w:val="Normal"/>
    <w:unhideWhenUsed/>
    <w:qFormat/>
    <w:rsid w:val="00D13519"/>
    <w:pPr>
      <w:spacing w:after="200"/>
    </w:pPr>
    <w:rPr>
      <w:i/>
      <w:iCs/>
      <w:color w:val="44546A"/>
      <w:sz w:val="18"/>
      <w:szCs w:val="18"/>
    </w:rPr>
  </w:style>
  <w:style w:type="paragraph" w:styleId="TableofFigures">
    <w:name w:val="table of figures"/>
    <w:basedOn w:val="Normal"/>
    <w:next w:val="Normal"/>
    <w:uiPriority w:val="99"/>
    <w:unhideWhenUsed/>
    <w:rsid w:val="00D13519"/>
  </w:style>
  <w:style w:type="paragraph" w:styleId="Title">
    <w:name w:val="Title"/>
    <w:basedOn w:val="Normal"/>
    <w:next w:val="Normal"/>
    <w:link w:val="TitleChar"/>
    <w:uiPriority w:val="99"/>
    <w:qFormat/>
    <w:rsid w:val="00D13519"/>
    <w:pPr>
      <w:spacing w:line="216" w:lineRule="auto"/>
      <w:ind w:right="3402"/>
    </w:pPr>
    <w:rPr>
      <w:rFonts w:ascii="Segoe UI Black" w:hAnsi="Segoe UI Black" w:cs="Lucida Sans Unicode"/>
      <w:b/>
      <w:sz w:val="72"/>
      <w:szCs w:val="72"/>
    </w:rPr>
  </w:style>
  <w:style w:type="character" w:customStyle="1" w:styleId="TitleChar">
    <w:name w:val="Title Char"/>
    <w:basedOn w:val="DefaultParagraphFont"/>
    <w:link w:val="Title"/>
    <w:uiPriority w:val="99"/>
    <w:rsid w:val="00D13519"/>
    <w:rPr>
      <w:rFonts w:ascii="Segoe UI Black" w:eastAsia="Times New Roman" w:hAnsi="Segoe UI Black" w:cs="Lucida Sans Unicode"/>
      <w:b/>
      <w:sz w:val="72"/>
      <w:szCs w:val="72"/>
      <w:lang w:eastAsia="en-GB"/>
    </w:rPr>
  </w:style>
  <w:style w:type="paragraph" w:styleId="CommentSubject">
    <w:name w:val="annotation subject"/>
    <w:basedOn w:val="CommentText"/>
    <w:next w:val="CommentText"/>
    <w:link w:val="CommentSubjectChar"/>
    <w:uiPriority w:val="99"/>
    <w:semiHidden/>
    <w:unhideWhenUsed/>
    <w:rsid w:val="00D13519"/>
    <w:rPr>
      <w:b/>
      <w:bCs/>
    </w:rPr>
  </w:style>
  <w:style w:type="character" w:customStyle="1" w:styleId="CommentSubjectChar">
    <w:name w:val="Comment Subject Char"/>
    <w:basedOn w:val="CommentTextChar"/>
    <w:link w:val="CommentSubject"/>
    <w:uiPriority w:val="99"/>
    <w:semiHidden/>
    <w:rsid w:val="00D13519"/>
    <w:rPr>
      <w:rFonts w:ascii="Segoe UI" w:eastAsia="Times New Roman" w:hAnsi="Segoe UI" w:cs="Times New Roman"/>
      <w:b/>
      <w:bCs/>
      <w:sz w:val="20"/>
      <w:szCs w:val="20"/>
      <w:lang w:eastAsia="en-GB"/>
    </w:rPr>
  </w:style>
  <w:style w:type="paragraph" w:styleId="BalloonText">
    <w:name w:val="Balloon Text"/>
    <w:basedOn w:val="Normal"/>
    <w:link w:val="BalloonTextChar"/>
    <w:uiPriority w:val="99"/>
    <w:semiHidden/>
    <w:unhideWhenUsed/>
    <w:rsid w:val="00D13519"/>
    <w:rPr>
      <w:rFonts w:cs="Segoe UI"/>
      <w:sz w:val="18"/>
      <w:szCs w:val="18"/>
    </w:rPr>
  </w:style>
  <w:style w:type="character" w:customStyle="1" w:styleId="BalloonTextChar">
    <w:name w:val="Balloon Text Char"/>
    <w:basedOn w:val="DefaultParagraphFont"/>
    <w:link w:val="BalloonText"/>
    <w:uiPriority w:val="99"/>
    <w:semiHidden/>
    <w:rsid w:val="00D13519"/>
    <w:rPr>
      <w:rFonts w:ascii="Segoe UI" w:eastAsia="Times New Roman" w:hAnsi="Segoe UI" w:cs="Segoe UI"/>
      <w:sz w:val="18"/>
      <w:szCs w:val="18"/>
      <w:lang w:eastAsia="en-GB"/>
    </w:rPr>
  </w:style>
  <w:style w:type="paragraph" w:styleId="Revision">
    <w:name w:val="Revision"/>
    <w:uiPriority w:val="99"/>
    <w:rsid w:val="00D13519"/>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D13519"/>
    <w:pPr>
      <w:ind w:left="720"/>
      <w:contextualSpacing/>
    </w:pPr>
  </w:style>
  <w:style w:type="paragraph" w:styleId="Quote">
    <w:name w:val="Quote"/>
    <w:basedOn w:val="Normal"/>
    <w:next w:val="Normal"/>
    <w:link w:val="QuoteChar"/>
    <w:qFormat/>
    <w:rsid w:val="00D13519"/>
    <w:pPr>
      <w:spacing w:before="120"/>
      <w:ind w:left="284" w:right="284"/>
    </w:pPr>
  </w:style>
  <w:style w:type="character" w:customStyle="1" w:styleId="QuoteChar">
    <w:name w:val="Quote Char"/>
    <w:basedOn w:val="DefaultParagraphFont"/>
    <w:link w:val="Quote"/>
    <w:rsid w:val="00D13519"/>
    <w:rPr>
      <w:rFonts w:ascii="Segoe UI" w:eastAsia="Times New Roman" w:hAnsi="Segoe UI" w:cs="Times New Roman"/>
      <w:sz w:val="21"/>
      <w:szCs w:val="20"/>
      <w:lang w:eastAsia="en-GB"/>
    </w:rPr>
  </w:style>
  <w:style w:type="paragraph" w:customStyle="1" w:styleId="Bullet">
    <w:name w:val="Bullet"/>
    <w:basedOn w:val="Normal"/>
    <w:qFormat/>
    <w:rsid w:val="00D13519"/>
    <w:pPr>
      <w:numPr>
        <w:numId w:val="1"/>
      </w:numPr>
      <w:spacing w:before="90"/>
    </w:pPr>
  </w:style>
  <w:style w:type="paragraph" w:customStyle="1" w:styleId="Imprint">
    <w:name w:val="Imprint"/>
    <w:basedOn w:val="Normal"/>
    <w:next w:val="Normal"/>
    <w:qFormat/>
    <w:rsid w:val="00D13519"/>
    <w:pPr>
      <w:spacing w:after="240"/>
    </w:pPr>
    <w:rPr>
      <w:sz w:val="20"/>
    </w:rPr>
  </w:style>
  <w:style w:type="paragraph" w:customStyle="1" w:styleId="VersoFooter">
    <w:name w:val="Verso Footer"/>
    <w:basedOn w:val="Footer"/>
    <w:rsid w:val="00D13519"/>
    <w:rPr>
      <w:sz w:val="15"/>
    </w:rPr>
  </w:style>
  <w:style w:type="paragraph" w:customStyle="1" w:styleId="RectoFooter">
    <w:name w:val="Recto Footer"/>
    <w:basedOn w:val="Footer"/>
    <w:rsid w:val="00D13519"/>
    <w:pPr>
      <w:jc w:val="right"/>
    </w:pPr>
    <w:rPr>
      <w:caps/>
      <w:sz w:val="15"/>
    </w:rPr>
  </w:style>
  <w:style w:type="paragraph" w:customStyle="1" w:styleId="Figure">
    <w:name w:val="Figure"/>
    <w:basedOn w:val="Normal"/>
    <w:next w:val="Normal"/>
    <w:qFormat/>
    <w:rsid w:val="00D13519"/>
    <w:pPr>
      <w:keepNext/>
      <w:spacing w:before="120" w:after="120"/>
    </w:pPr>
    <w:rPr>
      <w:b/>
      <w:sz w:val="20"/>
    </w:rPr>
  </w:style>
  <w:style w:type="paragraph" w:customStyle="1" w:styleId="Table">
    <w:name w:val="Table"/>
    <w:basedOn w:val="Figure"/>
    <w:qFormat/>
    <w:rsid w:val="00D13519"/>
  </w:style>
  <w:style w:type="paragraph" w:customStyle="1" w:styleId="Dash">
    <w:name w:val="Dash"/>
    <w:basedOn w:val="Bullet"/>
    <w:qFormat/>
    <w:rsid w:val="00D13519"/>
    <w:pPr>
      <w:numPr>
        <w:numId w:val="3"/>
      </w:numPr>
      <w:spacing w:before="60"/>
    </w:pPr>
  </w:style>
  <w:style w:type="paragraph" w:customStyle="1" w:styleId="TableText">
    <w:name w:val="TableText"/>
    <w:basedOn w:val="Normal"/>
    <w:uiPriority w:val="99"/>
    <w:qFormat/>
    <w:rsid w:val="00D13519"/>
    <w:pPr>
      <w:spacing w:before="60" w:after="60"/>
    </w:pPr>
    <w:rPr>
      <w:sz w:val="18"/>
    </w:rPr>
  </w:style>
  <w:style w:type="paragraph" w:customStyle="1" w:styleId="TableBullet">
    <w:name w:val="TableBullet"/>
    <w:basedOn w:val="TableText"/>
    <w:qFormat/>
    <w:rsid w:val="00D13519"/>
    <w:pPr>
      <w:numPr>
        <w:numId w:val="5"/>
      </w:numPr>
      <w:spacing w:before="0"/>
    </w:pPr>
  </w:style>
  <w:style w:type="paragraph" w:customStyle="1" w:styleId="Box">
    <w:name w:val="Box"/>
    <w:basedOn w:val="Normal"/>
    <w:qFormat/>
    <w:rsid w:val="00D13519"/>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13519"/>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D13519"/>
    <w:pPr>
      <w:spacing w:line="264" w:lineRule="auto"/>
    </w:pPr>
    <w:rPr>
      <w:color w:val="FFFFFF"/>
    </w:rPr>
  </w:style>
  <w:style w:type="paragraph" w:customStyle="1" w:styleId="IntroHead">
    <w:name w:val="IntroHead"/>
    <w:basedOn w:val="Heading1"/>
    <w:next w:val="Normal"/>
    <w:qFormat/>
    <w:rsid w:val="00D13519"/>
    <w:pPr>
      <w:spacing w:before="0"/>
      <w:outlineLvl w:val="9"/>
    </w:pPr>
  </w:style>
  <w:style w:type="character" w:customStyle="1" w:styleId="NoteChar">
    <w:name w:val="Note Char"/>
    <w:link w:val="Note"/>
    <w:locked/>
    <w:rsid w:val="00D13519"/>
    <w:rPr>
      <w:rFonts w:ascii="Segoe UI" w:eastAsia="Times New Roman" w:hAnsi="Segoe UI" w:cs="Segoe UI"/>
      <w:sz w:val="17"/>
      <w:lang w:eastAsia="en-GB"/>
    </w:rPr>
  </w:style>
  <w:style w:type="paragraph" w:customStyle="1" w:styleId="Note">
    <w:name w:val="Note"/>
    <w:basedOn w:val="Normal"/>
    <w:next w:val="Normal"/>
    <w:link w:val="NoteChar"/>
    <w:qFormat/>
    <w:rsid w:val="00D13519"/>
    <w:pPr>
      <w:spacing w:before="80"/>
    </w:pPr>
    <w:rPr>
      <w:rFonts w:cs="Segoe UI"/>
      <w:sz w:val="17"/>
      <w:szCs w:val="22"/>
    </w:rPr>
  </w:style>
  <w:style w:type="paragraph" w:customStyle="1" w:styleId="Year">
    <w:name w:val="Year"/>
    <w:basedOn w:val="Subhead"/>
    <w:next w:val="Subhead"/>
    <w:qFormat/>
    <w:rsid w:val="00D13519"/>
    <w:rPr>
      <w:sz w:val="28"/>
    </w:rPr>
  </w:style>
  <w:style w:type="paragraph" w:customStyle="1" w:styleId="Subhead">
    <w:name w:val="Subhead"/>
    <w:basedOn w:val="Normal"/>
    <w:next w:val="Year"/>
    <w:qFormat/>
    <w:rsid w:val="00D13519"/>
    <w:pPr>
      <w:spacing w:before="840"/>
      <w:ind w:right="3402"/>
    </w:pPr>
    <w:rPr>
      <w:rFonts w:ascii="Segoe UI Semibold" w:hAnsi="Segoe UI Semibold" w:cs="Segoe UI Semibold"/>
      <w:sz w:val="36"/>
      <w:szCs w:val="26"/>
    </w:rPr>
  </w:style>
  <w:style w:type="paragraph" w:customStyle="1" w:styleId="References">
    <w:name w:val="References"/>
    <w:basedOn w:val="Normal"/>
    <w:qFormat/>
    <w:rsid w:val="00D13519"/>
    <w:pPr>
      <w:spacing w:after="180"/>
    </w:pPr>
  </w:style>
  <w:style w:type="paragraph" w:customStyle="1" w:styleId="TableDash">
    <w:name w:val="TableDash"/>
    <w:basedOn w:val="TableText"/>
    <w:qFormat/>
    <w:rsid w:val="00D13519"/>
    <w:pPr>
      <w:numPr>
        <w:numId w:val="7"/>
      </w:numPr>
      <w:spacing w:before="40" w:after="0"/>
    </w:pPr>
    <w:rPr>
      <w:szCs w:val="22"/>
    </w:rPr>
  </w:style>
  <w:style w:type="paragraph" w:customStyle="1" w:styleId="Number">
    <w:name w:val="Number"/>
    <w:basedOn w:val="Normal"/>
    <w:rsid w:val="00D13519"/>
    <w:pPr>
      <w:numPr>
        <w:numId w:val="9"/>
      </w:numPr>
      <w:spacing w:before="180"/>
    </w:pPr>
    <w:rPr>
      <w:szCs w:val="24"/>
    </w:rPr>
  </w:style>
  <w:style w:type="paragraph" w:customStyle="1" w:styleId="Letter">
    <w:name w:val="Letter"/>
    <w:basedOn w:val="Normal"/>
    <w:qFormat/>
    <w:rsid w:val="00D13519"/>
    <w:pPr>
      <w:numPr>
        <w:ilvl w:val="1"/>
        <w:numId w:val="9"/>
      </w:numPr>
      <w:spacing w:before="120"/>
    </w:pPr>
  </w:style>
  <w:style w:type="paragraph" w:customStyle="1" w:styleId="Introductoryparagraph">
    <w:name w:val="Introductory paragraph"/>
    <w:basedOn w:val="Normal"/>
    <w:next w:val="Normal"/>
    <w:qFormat/>
    <w:rsid w:val="00D13519"/>
    <w:pPr>
      <w:spacing w:after="240" w:line="216" w:lineRule="auto"/>
      <w:ind w:right="1134"/>
    </w:pPr>
    <w:rPr>
      <w:rFonts w:ascii="Segoe UI Light" w:hAnsi="Segoe UI Light"/>
      <w:color w:val="404040"/>
      <w:sz w:val="44"/>
    </w:rPr>
  </w:style>
  <w:style w:type="paragraph" w:customStyle="1" w:styleId="Shadedboxtext">
    <w:name w:val="Shaded box text"/>
    <w:basedOn w:val="Normal"/>
    <w:qFormat/>
    <w:rsid w:val="00D13519"/>
    <w:pPr>
      <w:pBdr>
        <w:top w:val="single" w:sz="4" w:space="12" w:color="FFFFFF"/>
        <w:left w:val="single" w:sz="4" w:space="12" w:color="FFFFFF"/>
        <w:bottom w:val="single" w:sz="4" w:space="12" w:color="FFFFFF"/>
        <w:right w:val="single" w:sz="4" w:space="12" w:color="FFFFFF"/>
      </w:pBdr>
      <w:shd w:val="clear" w:color="auto" w:fill="D9D9D9"/>
      <w:spacing w:line="264" w:lineRule="auto"/>
      <w:ind w:left="284" w:right="284"/>
    </w:pPr>
    <w:rPr>
      <w:rFonts w:eastAsia="Arial Unicode MS"/>
    </w:rPr>
  </w:style>
  <w:style w:type="paragraph" w:customStyle="1" w:styleId="Shadedboxheading">
    <w:name w:val="Shaded box heading"/>
    <w:basedOn w:val="BoxHeading"/>
    <w:next w:val="Shadedboxtext"/>
    <w:qFormat/>
    <w:rsid w:val="00D13519"/>
    <w:pPr>
      <w:pBdr>
        <w:top w:val="single" w:sz="4" w:space="12" w:color="FFFFFF"/>
        <w:left w:val="single" w:sz="4" w:space="12" w:color="FFFFFF"/>
        <w:bottom w:val="single" w:sz="4" w:space="12" w:color="FFFFFF"/>
        <w:right w:val="single" w:sz="4" w:space="12" w:color="FFFFFF"/>
      </w:pBdr>
      <w:shd w:val="clear" w:color="auto" w:fill="D9D9D9"/>
      <w:spacing w:after="120"/>
    </w:pPr>
    <w:rPr>
      <w:rFonts w:eastAsia="Arial Unicode MS"/>
    </w:rPr>
  </w:style>
  <w:style w:type="paragraph" w:customStyle="1" w:styleId="Roman">
    <w:name w:val="Roman"/>
    <w:basedOn w:val="Normal"/>
    <w:qFormat/>
    <w:rsid w:val="00D13519"/>
    <w:pPr>
      <w:numPr>
        <w:ilvl w:val="2"/>
        <w:numId w:val="9"/>
      </w:numPr>
      <w:spacing w:before="90"/>
    </w:pPr>
    <w:rPr>
      <w:rFonts w:eastAsia="Arial Unicode MS"/>
    </w:rPr>
  </w:style>
  <w:style w:type="paragraph" w:customStyle="1" w:styleId="xl69">
    <w:name w:val="xl69"/>
    <w:basedOn w:val="Normal"/>
    <w:rsid w:val="00D13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äori" w:hAnsi="Arial Mäori"/>
      <w:sz w:val="16"/>
      <w:szCs w:val="16"/>
      <w:lang w:eastAsia="en-NZ"/>
    </w:rPr>
  </w:style>
  <w:style w:type="paragraph" w:customStyle="1" w:styleId="xl71">
    <w:name w:val="xl71"/>
    <w:basedOn w:val="Normal"/>
    <w:rsid w:val="00D13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NZ"/>
    </w:rPr>
  </w:style>
  <w:style w:type="paragraph" w:customStyle="1" w:styleId="xl72">
    <w:name w:val="xl72"/>
    <w:basedOn w:val="Normal"/>
    <w:rsid w:val="00D13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äori" w:hAnsi="Arial Mäori"/>
      <w:sz w:val="16"/>
      <w:szCs w:val="16"/>
      <w:lang w:eastAsia="en-NZ"/>
    </w:rPr>
  </w:style>
  <w:style w:type="paragraph" w:customStyle="1" w:styleId="xl73">
    <w:name w:val="xl73"/>
    <w:basedOn w:val="Normal"/>
    <w:rsid w:val="00D13519"/>
    <w:pPr>
      <w:spacing w:before="100" w:beforeAutospacing="1" w:after="100" w:afterAutospacing="1"/>
    </w:pPr>
    <w:rPr>
      <w:rFonts w:ascii="Times New Roman" w:hAnsi="Times New Roman"/>
      <w:sz w:val="16"/>
      <w:szCs w:val="16"/>
      <w:lang w:eastAsia="en-NZ"/>
    </w:rPr>
  </w:style>
  <w:style w:type="paragraph" w:customStyle="1" w:styleId="xl74">
    <w:name w:val="xl74"/>
    <w:basedOn w:val="Normal"/>
    <w:rsid w:val="00D13519"/>
    <w:pPr>
      <w:spacing w:before="100" w:beforeAutospacing="1" w:after="100" w:afterAutospacing="1"/>
    </w:pPr>
    <w:rPr>
      <w:rFonts w:ascii="Times New Roman" w:hAnsi="Times New Roman"/>
      <w:b/>
      <w:bCs/>
      <w:sz w:val="16"/>
      <w:szCs w:val="16"/>
      <w:lang w:eastAsia="en-NZ"/>
    </w:rPr>
  </w:style>
  <w:style w:type="paragraph" w:customStyle="1" w:styleId="xl75">
    <w:name w:val="xl75"/>
    <w:basedOn w:val="Normal"/>
    <w:rsid w:val="00D13519"/>
    <w:pPr>
      <w:pBdr>
        <w:bottom w:val="single" w:sz="4" w:space="0" w:color="auto"/>
      </w:pBdr>
      <w:spacing w:before="100" w:beforeAutospacing="1" w:after="100" w:afterAutospacing="1"/>
    </w:pPr>
    <w:rPr>
      <w:rFonts w:ascii="Times New Roman" w:hAnsi="Times New Roman"/>
      <w:b/>
      <w:bCs/>
      <w:sz w:val="16"/>
      <w:szCs w:val="16"/>
      <w:lang w:eastAsia="en-NZ"/>
    </w:rPr>
  </w:style>
  <w:style w:type="paragraph" w:customStyle="1" w:styleId="xl76">
    <w:name w:val="xl76"/>
    <w:basedOn w:val="Normal"/>
    <w:rsid w:val="00D13519"/>
    <w:pPr>
      <w:spacing w:before="100" w:beforeAutospacing="1" w:after="100" w:afterAutospacing="1"/>
    </w:pPr>
    <w:rPr>
      <w:rFonts w:ascii="Times New Roman" w:hAnsi="Times New Roman"/>
      <w:sz w:val="16"/>
      <w:szCs w:val="16"/>
      <w:lang w:eastAsia="en-NZ"/>
    </w:rPr>
  </w:style>
  <w:style w:type="paragraph" w:customStyle="1" w:styleId="xl77">
    <w:name w:val="xl77"/>
    <w:basedOn w:val="Normal"/>
    <w:rsid w:val="00D13519"/>
    <w:pPr>
      <w:spacing w:before="100" w:beforeAutospacing="1" w:after="100" w:afterAutospacing="1"/>
      <w:ind w:firstLineChars="100" w:firstLine="100"/>
      <w:jc w:val="right"/>
    </w:pPr>
    <w:rPr>
      <w:rFonts w:ascii="Times New Roman" w:hAnsi="Times New Roman"/>
      <w:sz w:val="16"/>
      <w:szCs w:val="16"/>
      <w:lang w:eastAsia="en-NZ"/>
    </w:rPr>
  </w:style>
  <w:style w:type="paragraph" w:customStyle="1" w:styleId="xl78">
    <w:name w:val="xl78"/>
    <w:basedOn w:val="Normal"/>
    <w:rsid w:val="00D13519"/>
    <w:pPr>
      <w:spacing w:before="100" w:beforeAutospacing="1" w:after="100" w:afterAutospacing="1"/>
      <w:ind w:firstLineChars="100" w:firstLine="100"/>
      <w:jc w:val="right"/>
    </w:pPr>
    <w:rPr>
      <w:rFonts w:ascii="Times New Roman" w:hAnsi="Times New Roman"/>
      <w:sz w:val="16"/>
      <w:szCs w:val="16"/>
      <w:lang w:eastAsia="en-NZ"/>
    </w:rPr>
  </w:style>
  <w:style w:type="paragraph" w:customStyle="1" w:styleId="xl79">
    <w:name w:val="xl79"/>
    <w:basedOn w:val="Normal"/>
    <w:rsid w:val="00D13519"/>
    <w:pPr>
      <w:spacing w:before="100" w:beforeAutospacing="1" w:after="100" w:afterAutospacing="1"/>
      <w:ind w:firstLineChars="100" w:firstLine="100"/>
      <w:jc w:val="right"/>
    </w:pPr>
    <w:rPr>
      <w:rFonts w:ascii="Times New Roman" w:hAnsi="Times New Roman"/>
      <w:b/>
      <w:bCs/>
      <w:sz w:val="16"/>
      <w:szCs w:val="16"/>
      <w:lang w:eastAsia="en-NZ"/>
    </w:rPr>
  </w:style>
  <w:style w:type="paragraph" w:customStyle="1" w:styleId="xl80">
    <w:name w:val="xl80"/>
    <w:basedOn w:val="Normal"/>
    <w:rsid w:val="00D13519"/>
    <w:pPr>
      <w:pBdr>
        <w:bottom w:val="single" w:sz="4" w:space="0" w:color="auto"/>
      </w:pBdr>
      <w:spacing w:before="100" w:beforeAutospacing="1" w:after="100" w:afterAutospacing="1"/>
      <w:ind w:firstLineChars="100" w:firstLine="100"/>
      <w:jc w:val="right"/>
    </w:pPr>
    <w:rPr>
      <w:rFonts w:ascii="Times New Roman" w:hAnsi="Times New Roman"/>
      <w:b/>
      <w:bCs/>
      <w:sz w:val="16"/>
      <w:szCs w:val="16"/>
      <w:lang w:eastAsia="en-NZ"/>
    </w:rPr>
  </w:style>
  <w:style w:type="character" w:styleId="FootnoteReference">
    <w:name w:val="footnote reference"/>
    <w:unhideWhenUsed/>
    <w:rsid w:val="00D13519"/>
    <w:rPr>
      <w:vertAlign w:val="superscript"/>
    </w:rPr>
  </w:style>
  <w:style w:type="character" w:styleId="CommentReference">
    <w:name w:val="annotation reference"/>
    <w:uiPriority w:val="99"/>
    <w:semiHidden/>
    <w:unhideWhenUsed/>
    <w:rsid w:val="00D13519"/>
    <w:rPr>
      <w:sz w:val="16"/>
      <w:szCs w:val="16"/>
    </w:rPr>
  </w:style>
  <w:style w:type="character" w:styleId="PageNumber">
    <w:name w:val="page number"/>
    <w:unhideWhenUsed/>
    <w:rsid w:val="00D13519"/>
    <w:rPr>
      <w:rFonts w:ascii="Segoe UI" w:hAnsi="Segoe UI" w:cs="Segoe UI" w:hint="default"/>
      <w:b/>
      <w:bCs w:val="0"/>
      <w:sz w:val="22"/>
    </w:rPr>
  </w:style>
  <w:style w:type="table" w:styleId="TableGrid">
    <w:name w:val="Table Grid"/>
    <w:basedOn w:val="TableNormal"/>
    <w:uiPriority w:val="39"/>
    <w:rsid w:val="00D13519"/>
    <w:pPr>
      <w:spacing w:after="0" w:line="264"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13519"/>
    <w:pPr>
      <w:spacing w:after="0" w:line="240" w:lineRule="auto"/>
    </w:pPr>
    <w:rPr>
      <w:rFonts w:ascii="Times New Roman" w:eastAsia="Times New Roman" w:hAnsi="Times New Roman" w:cs="Times New Roman"/>
      <w:sz w:val="20"/>
      <w:szCs w:val="20"/>
      <w:lang w:eastAsia="en-NZ"/>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ource">
    <w:name w:val="Source"/>
    <w:basedOn w:val="Note"/>
    <w:next w:val="Normal"/>
    <w:qFormat/>
    <w:rsid w:val="00D13519"/>
  </w:style>
  <w:style w:type="character" w:styleId="UnresolvedMention">
    <w:name w:val="Unresolved Mention"/>
    <w:uiPriority w:val="99"/>
    <w:semiHidden/>
    <w:unhideWhenUsed/>
    <w:rsid w:val="00896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38969">
      <w:bodyDiv w:val="1"/>
      <w:marLeft w:val="0"/>
      <w:marRight w:val="0"/>
      <w:marTop w:val="0"/>
      <w:marBottom w:val="0"/>
      <w:divBdr>
        <w:top w:val="none" w:sz="0" w:space="0" w:color="auto"/>
        <w:left w:val="none" w:sz="0" w:space="0" w:color="auto"/>
        <w:bottom w:val="none" w:sz="0" w:space="0" w:color="auto"/>
        <w:right w:val="none" w:sz="0" w:space="0" w:color="auto"/>
      </w:divBdr>
      <w:divsChild>
        <w:div w:id="611909776">
          <w:marLeft w:val="0"/>
          <w:marRight w:val="0"/>
          <w:marTop w:val="0"/>
          <w:marBottom w:val="0"/>
          <w:divBdr>
            <w:top w:val="none" w:sz="0" w:space="0" w:color="auto"/>
            <w:left w:val="none" w:sz="0" w:space="0" w:color="auto"/>
            <w:bottom w:val="none" w:sz="0" w:space="0" w:color="auto"/>
            <w:right w:val="none" w:sz="0" w:space="0" w:color="auto"/>
          </w:divBdr>
          <w:divsChild>
            <w:div w:id="9841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image" Target="media/image9.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hyperlink" Target="https://openknowledge.worldbank.org/bitstream/handle/10986/6683/399790PAPER0Pu101OFFICIAL0USE0ONLY1.pdf?sequence=1&amp;isAllowed=y"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8.emf"/><Relationship Id="rId33" Type="http://schemas.openxmlformats.org/officeDocument/2006/relationships/hyperlink" Target="https://human-resources-health.biomedcentral.com/articles/10.1186/s12960-016-0143-6"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emf"/><Relationship Id="rId32" Type="http://schemas.openxmlformats.org/officeDocument/2006/relationships/hyperlink" Target="http://www.euro.who.int/__data/assets/pdf_file/0010/380728/pb-tallinn-01-eng.pdf?ua=1" TargetMode="External"/><Relationship Id="rId37" Type="http://schemas.openxmlformats.org/officeDocument/2006/relationships/hyperlink" Target="https://www.who.int/health_financing/topics/purchasing/passive-to-strategic-purchasing/en/" TargetMode="Externa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image" Target="media/image11.emf"/><Relationship Id="rId36" Type="http://schemas.openxmlformats.org/officeDocument/2006/relationships/hyperlink" Target="https://www.who.int/hrh/events/4th-global-forum-hrh/en/"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fas.org/sgp/crs/row/R4627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emf"/><Relationship Id="rId27" Type="http://schemas.openxmlformats.org/officeDocument/2006/relationships/image" Target="media/image10.emf"/><Relationship Id="rId30" Type="http://schemas.openxmlformats.org/officeDocument/2006/relationships/hyperlink" Target="https://www.hospitalcouncil.org/sites/main/files/file-attachments/hospitalc_eir-report_fmtk.pdf" TargetMode="External"/><Relationship Id="rId35" Type="http://schemas.openxmlformats.org/officeDocument/2006/relationships/hyperlink" Target="http://who.int/hrh/resources/globstrathrh-2030/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areers.govt.nz" TargetMode="External"/><Relationship Id="rId2" Type="http://schemas.openxmlformats.org/officeDocument/2006/relationships/hyperlink" Target="http://www.payscale.com" TargetMode="External"/><Relationship Id="rId1" Type="http://schemas.openxmlformats.org/officeDocument/2006/relationships/hyperlink" Target="https://tas.health.nz/employment-and-capability-building/workforce-information-and-projects/health-workforce-information-programme-hwi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78fb08c3f9ed1acfc8b60216ee3b6090">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ff2e8f7da96e48ed77233c9bd7f181d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76FD-D485-40EB-9515-00AFE69FFDF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aea5d07-0eb0-44bf-96eb-22637babf967"/>
    <ds:schemaRef ds:uri="http://schemas.openxmlformats.org/package/2006/metadata/core-properties"/>
    <ds:schemaRef ds:uri="http://purl.org/dc/terms/"/>
    <ds:schemaRef ds:uri="2ffa5dc2-4451-4ee2-b115-33f870a805e6"/>
    <ds:schemaRef ds:uri="http://www.w3.org/XML/1998/namespace"/>
    <ds:schemaRef ds:uri="http://purl.org/dc/dcmitype/"/>
  </ds:schemaRefs>
</ds:datastoreItem>
</file>

<file path=customXml/itemProps2.xml><?xml version="1.0" encoding="utf-8"?>
<ds:datastoreItem xmlns:ds="http://schemas.openxmlformats.org/officeDocument/2006/customXml" ds:itemID="{8B983ED4-4F9E-4DFD-BEDE-1CC3539DB282}">
  <ds:schemaRefs>
    <ds:schemaRef ds:uri="http://schemas.microsoft.com/sharepoint/v3/contenttype/forms"/>
  </ds:schemaRefs>
</ds:datastoreItem>
</file>

<file path=customXml/itemProps3.xml><?xml version="1.0" encoding="utf-8"?>
<ds:datastoreItem xmlns:ds="http://schemas.openxmlformats.org/officeDocument/2006/customXml" ds:itemID="{581E3E0D-9400-4C95-BD19-054F2487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8CB71-B7D4-4632-BA3D-B106CE15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11291</Words>
  <Characters>64361</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The cost and value of employment in the health and disability sector</vt:lpstr>
    </vt:vector>
  </TitlesOfParts>
  <Company>Ministry of Health</Company>
  <LinksUpToDate>false</LinksUpToDate>
  <CharactersWithSpaces>75501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 and value of employment in the health and disability sector</dc:title>
  <dc:subject/>
  <dc:creator>Ministry of Health</dc:creator>
  <cp:keywords/>
  <dc:description/>
  <cp:lastModifiedBy>Geneva Ruppert-Wise</cp:lastModifiedBy>
  <cp:revision>3</cp:revision>
  <cp:lastPrinted>2020-11-25T03:22:00Z</cp:lastPrinted>
  <dcterms:created xsi:type="dcterms:W3CDTF">2020-11-25T03:22:00Z</dcterms:created>
  <dcterms:modified xsi:type="dcterms:W3CDTF">2020-11-25T03:22:00Z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