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D54D50" w:rsidRDefault="00A41627" w:rsidP="00D54D50">
      <w:pPr>
        <w:pStyle w:val="Title"/>
      </w:pPr>
      <w:bookmarkStart w:id="0" w:name="_GoBack"/>
      <w:bookmarkEnd w:id="0"/>
      <w:r>
        <w:t>Code of Practice for the Security of Radioactive Material</w:t>
      </w:r>
    </w:p>
    <w:p w:rsidR="00343365" w:rsidRDefault="00A41627" w:rsidP="00343365">
      <w:pPr>
        <w:pStyle w:val="Year"/>
      </w:pPr>
      <w:r>
        <w:t>2015</w:t>
      </w:r>
    </w:p>
    <w:p w:rsidR="00C86248" w:rsidRDefault="00A41627" w:rsidP="00343365">
      <w:pPr>
        <w:pStyle w:val="Subhead"/>
      </w:pPr>
      <w:r>
        <w:t>Draft for consultation</w:t>
      </w:r>
    </w:p>
    <w:p w:rsidR="00142954" w:rsidRPr="00142954" w:rsidRDefault="00142954" w:rsidP="00142954">
      <w:pPr>
        <w:sectPr w:rsidR="00142954" w:rsidRPr="00142954" w:rsidSect="000F2AE2">
          <w:headerReference w:type="even" r:id="rId8"/>
          <w:headerReference w:type="default" r:id="rId9"/>
          <w:footerReference w:type="even" r:id="rId10"/>
          <w:footerReference w:type="default" r:id="rId11"/>
          <w:headerReference w:type="first" r:id="rId12"/>
          <w:footerReference w:type="first" r:id="rId13"/>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A41627">
        <w:t>2015</w:t>
      </w:r>
      <w:r w:rsidR="00442C1C">
        <w:t xml:space="preserve">. </w:t>
      </w:r>
      <w:r w:rsidR="00A41627">
        <w:rPr>
          <w:i/>
        </w:rPr>
        <w:t>Code of Practice for the Security of Radioactive Material</w:t>
      </w:r>
      <w:r w:rsidR="00442C1C">
        <w:t>. Wellington: Ministry of Health.</w:t>
      </w:r>
    </w:p>
    <w:p w:rsidR="00C86248" w:rsidRDefault="00C86248">
      <w:pPr>
        <w:pStyle w:val="Imprint"/>
      </w:pPr>
      <w:r>
        <w:t xml:space="preserve">Published in </w:t>
      </w:r>
      <w:r w:rsidR="00990E57">
        <w:t>November</w:t>
      </w:r>
      <w:r w:rsidR="00A41627">
        <w:t xml:space="preserve"> 2015</w:t>
      </w:r>
      <w:r w:rsidR="005019AE">
        <w:br/>
      </w:r>
      <w:r>
        <w:t>by the</w:t>
      </w:r>
      <w:r w:rsidR="00442C1C">
        <w:t xml:space="preserve"> </w:t>
      </w:r>
      <w:r>
        <w:t>Ministry of Health</w:t>
      </w:r>
      <w:r>
        <w:br/>
        <w:t>PO Box 5013, Wellington</w:t>
      </w:r>
      <w:r w:rsidR="00A80363">
        <w:t xml:space="preserve"> 6145</w:t>
      </w:r>
      <w:r>
        <w:t>, New Zealand</w:t>
      </w:r>
    </w:p>
    <w:p w:rsidR="00082CD6" w:rsidRPr="009C0F2D" w:rsidRDefault="00D863D0" w:rsidP="00082CD6">
      <w:pPr>
        <w:pStyle w:val="Imprint"/>
      </w:pPr>
      <w:r>
        <w:t>ISBN</w:t>
      </w:r>
      <w:r w:rsidR="00A41627">
        <w:t xml:space="preserve"> </w:t>
      </w:r>
      <w:r w:rsidR="006E14D9">
        <w:t>978-0-947491-30-7</w:t>
      </w:r>
      <w:r w:rsidR="00442C1C">
        <w:t xml:space="preserve"> </w:t>
      </w:r>
      <w:r>
        <w:t>(</w:t>
      </w:r>
      <w:r w:rsidR="00442C1C">
        <w:t>online</w:t>
      </w:r>
      <w:proofErr w:type="gramStart"/>
      <w:r>
        <w:t>)</w:t>
      </w:r>
      <w:proofErr w:type="gramEnd"/>
      <w:r w:rsidR="00082CD6">
        <w:br/>
      </w:r>
      <w:r w:rsidR="00082CD6" w:rsidRPr="009C0F2D">
        <w:t xml:space="preserve">HP </w:t>
      </w:r>
      <w:r w:rsidR="00E458D2">
        <w:t>6293</w:t>
      </w:r>
    </w:p>
    <w:p w:rsidR="00C86248" w:rsidRDefault="00C86248">
      <w:pPr>
        <w:pStyle w:val="Imprint"/>
      </w:pPr>
      <w:r>
        <w:t xml:space="preserve">This document is available </w:t>
      </w:r>
      <w:r w:rsidR="0071741C">
        <w:t xml:space="preserve">at </w:t>
      </w:r>
      <w:r>
        <w:t>h</w:t>
      </w:r>
      <w:r w:rsidR="00A80363">
        <w:t>ealth</w:t>
      </w:r>
      <w:r>
        <w:t>.govt.nz</w:t>
      </w:r>
    </w:p>
    <w:p w:rsidR="00C86248" w:rsidRDefault="008C64C4">
      <w:pPr>
        <w:jc w:val="center"/>
      </w:pPr>
      <w:r>
        <w:rPr>
          <w:noProof/>
          <w:lang w:eastAsia="en-NZ"/>
        </w:rPr>
        <w:drawing>
          <wp:inline distT="0" distB="0" distL="0" distR="0" wp14:anchorId="55966BF6" wp14:editId="06B89ED4">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7E74F1" w:rsidRDefault="007E74F1" w:rsidP="007E74F1">
      <w:pPr>
        <w:pStyle w:val="Heading3"/>
        <w:keepNext w:val="0"/>
        <w:shd w:val="clear" w:color="auto" w:fill="FFFFFF"/>
        <w:ind w:right="-851"/>
        <w:rPr>
          <w:sz w:val="18"/>
          <w:szCs w:val="18"/>
        </w:rPr>
      </w:pPr>
      <w:r>
        <w:rPr>
          <w:b w:val="0"/>
          <w:noProof/>
          <w:sz w:val="22"/>
          <w:szCs w:val="22"/>
          <w:lang w:eastAsia="en-NZ"/>
        </w:rPr>
        <w:drawing>
          <wp:inline distT="0" distB="0" distL="0" distR="0" wp14:anchorId="73B1D20D" wp14:editId="07D42EE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w:t>
      </w:r>
      <w:proofErr w:type="spellStart"/>
      <w:r w:rsidRPr="00D535D0">
        <w:rPr>
          <w:rFonts w:cs="Arial"/>
          <w:b w:val="0"/>
          <w:sz w:val="18"/>
          <w:szCs w:val="18"/>
        </w:rPr>
        <w:t>ie</w:t>
      </w:r>
      <w:proofErr w:type="spellEnd"/>
      <w:r w:rsidRPr="00D535D0">
        <w:rPr>
          <w:rFonts w:cs="Arial"/>
          <w:b w:val="0"/>
          <w:sz w:val="18"/>
          <w:szCs w:val="18"/>
        </w:rPr>
        <w:t xml:space="preserve">, copy and redistribute the material in any medium or format; adapt </w:t>
      </w:r>
      <w:proofErr w:type="spellStart"/>
      <w:r w:rsidRPr="00D535D0">
        <w:rPr>
          <w:rFonts w:cs="Arial"/>
          <w:b w:val="0"/>
          <w:sz w:val="18"/>
          <w:szCs w:val="18"/>
        </w:rPr>
        <w:t>ie</w:t>
      </w:r>
      <w:proofErr w:type="spellEnd"/>
      <w:r w:rsidRPr="00D535D0">
        <w:rPr>
          <w:rFonts w:cs="Arial"/>
          <w:b w:val="0"/>
          <w:sz w:val="18"/>
          <w:szCs w:val="18"/>
        </w:rPr>
        <w:t xml:space="preserv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6"/>
          <w:footerReference w:type="default" r:id="rId17"/>
          <w:pgSz w:w="11907" w:h="16834" w:code="9"/>
          <w:pgMar w:top="1701" w:right="1134" w:bottom="1134" w:left="1985" w:header="0" w:footer="0" w:gutter="0"/>
          <w:cols w:space="720"/>
          <w:vAlign w:val="bottom"/>
        </w:sectPr>
      </w:pPr>
    </w:p>
    <w:p w:rsidR="00C86248" w:rsidRDefault="00C86248">
      <w:pPr>
        <w:pStyle w:val="IntroHead"/>
      </w:pPr>
      <w:bookmarkStart w:id="1" w:name="_Toc405792991"/>
      <w:bookmarkStart w:id="2" w:name="_Toc405793224"/>
      <w:r>
        <w:lastRenderedPageBreak/>
        <w:t>Contents</w:t>
      </w:r>
      <w:bookmarkEnd w:id="1"/>
      <w:bookmarkEnd w:id="2"/>
    </w:p>
    <w:p w:rsidR="00963F1A"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963F1A">
        <w:rPr>
          <w:noProof/>
        </w:rPr>
        <w:t>Introduction</w:t>
      </w:r>
      <w:r w:rsidR="00963F1A">
        <w:rPr>
          <w:noProof/>
        </w:rPr>
        <w:tab/>
      </w:r>
      <w:r w:rsidR="00963F1A">
        <w:rPr>
          <w:noProof/>
        </w:rPr>
        <w:fldChar w:fldCharType="begin"/>
      </w:r>
      <w:r w:rsidR="00963F1A">
        <w:rPr>
          <w:noProof/>
        </w:rPr>
        <w:instrText xml:space="preserve"> PAGEREF _Toc433740018 \h </w:instrText>
      </w:r>
      <w:r w:rsidR="00963F1A">
        <w:rPr>
          <w:noProof/>
        </w:rPr>
      </w:r>
      <w:r w:rsidR="00963F1A">
        <w:rPr>
          <w:noProof/>
        </w:rPr>
        <w:fldChar w:fldCharType="separate"/>
      </w:r>
      <w:r w:rsidR="004610FC">
        <w:rPr>
          <w:noProof/>
        </w:rPr>
        <w:t>1</w:t>
      </w:r>
      <w:r w:rsidR="00963F1A">
        <w:rPr>
          <w:noProof/>
        </w:rPr>
        <w:fldChar w:fldCharType="end"/>
      </w:r>
    </w:p>
    <w:p w:rsidR="00963F1A" w:rsidRDefault="00963F1A">
      <w:pPr>
        <w:pStyle w:val="TOC2"/>
        <w:rPr>
          <w:rFonts w:asciiTheme="minorHAnsi" w:eastAsiaTheme="minorEastAsia" w:hAnsiTheme="minorHAnsi" w:cstheme="minorBidi"/>
          <w:noProof/>
          <w:szCs w:val="22"/>
          <w:lang w:eastAsia="en-NZ"/>
        </w:rPr>
      </w:pPr>
      <w:r>
        <w:rPr>
          <w:noProof/>
        </w:rPr>
        <w:t>Purpose and scope</w:t>
      </w:r>
      <w:r>
        <w:rPr>
          <w:noProof/>
        </w:rPr>
        <w:tab/>
      </w:r>
      <w:r>
        <w:rPr>
          <w:noProof/>
        </w:rPr>
        <w:fldChar w:fldCharType="begin"/>
      </w:r>
      <w:r>
        <w:rPr>
          <w:noProof/>
        </w:rPr>
        <w:instrText xml:space="preserve"> PAGEREF _Toc433740019 \h </w:instrText>
      </w:r>
      <w:r>
        <w:rPr>
          <w:noProof/>
        </w:rPr>
      </w:r>
      <w:r>
        <w:rPr>
          <w:noProof/>
        </w:rPr>
        <w:fldChar w:fldCharType="separate"/>
      </w:r>
      <w:r w:rsidR="004610FC">
        <w:rPr>
          <w:noProof/>
        </w:rPr>
        <w:t>1</w:t>
      </w:r>
      <w:r>
        <w:rPr>
          <w:noProof/>
        </w:rPr>
        <w:fldChar w:fldCharType="end"/>
      </w:r>
    </w:p>
    <w:p w:rsidR="00963F1A" w:rsidRDefault="00963F1A">
      <w:pPr>
        <w:pStyle w:val="TOC2"/>
        <w:rPr>
          <w:rFonts w:asciiTheme="minorHAnsi" w:eastAsiaTheme="minorEastAsia" w:hAnsiTheme="minorHAnsi" w:cstheme="minorBidi"/>
          <w:noProof/>
          <w:szCs w:val="22"/>
          <w:lang w:eastAsia="en-NZ"/>
        </w:rPr>
      </w:pPr>
      <w:r>
        <w:rPr>
          <w:noProof/>
        </w:rPr>
        <w:t>Principles</w:t>
      </w:r>
      <w:r>
        <w:rPr>
          <w:noProof/>
        </w:rPr>
        <w:tab/>
      </w:r>
      <w:r>
        <w:rPr>
          <w:noProof/>
        </w:rPr>
        <w:fldChar w:fldCharType="begin"/>
      </w:r>
      <w:r>
        <w:rPr>
          <w:noProof/>
        </w:rPr>
        <w:instrText xml:space="preserve"> PAGEREF _Toc433740020 \h </w:instrText>
      </w:r>
      <w:r>
        <w:rPr>
          <w:noProof/>
        </w:rPr>
      </w:r>
      <w:r>
        <w:rPr>
          <w:noProof/>
        </w:rPr>
        <w:fldChar w:fldCharType="separate"/>
      </w:r>
      <w:r w:rsidR="004610FC">
        <w:rPr>
          <w:noProof/>
        </w:rPr>
        <w:t>1</w:t>
      </w:r>
      <w:r>
        <w:rPr>
          <w:noProof/>
        </w:rPr>
        <w:fldChar w:fldCharType="end"/>
      </w:r>
    </w:p>
    <w:p w:rsidR="00963F1A" w:rsidRDefault="00963F1A">
      <w:pPr>
        <w:pStyle w:val="TOC2"/>
        <w:rPr>
          <w:rFonts w:asciiTheme="minorHAnsi" w:eastAsiaTheme="minorEastAsia" w:hAnsiTheme="minorHAnsi" w:cstheme="minorBidi"/>
          <w:noProof/>
          <w:szCs w:val="22"/>
          <w:lang w:eastAsia="en-NZ"/>
        </w:rPr>
      </w:pPr>
      <w:r>
        <w:rPr>
          <w:noProof/>
        </w:rPr>
        <w:t>International instruments</w:t>
      </w:r>
      <w:r>
        <w:rPr>
          <w:noProof/>
        </w:rPr>
        <w:tab/>
      </w:r>
      <w:r>
        <w:rPr>
          <w:noProof/>
        </w:rPr>
        <w:fldChar w:fldCharType="begin"/>
      </w:r>
      <w:r>
        <w:rPr>
          <w:noProof/>
        </w:rPr>
        <w:instrText xml:space="preserve"> PAGEREF _Toc433740021 \h </w:instrText>
      </w:r>
      <w:r>
        <w:rPr>
          <w:noProof/>
        </w:rPr>
      </w:r>
      <w:r>
        <w:rPr>
          <w:noProof/>
        </w:rPr>
        <w:fldChar w:fldCharType="separate"/>
      </w:r>
      <w:r w:rsidR="004610FC">
        <w:rPr>
          <w:noProof/>
        </w:rPr>
        <w:t>1</w:t>
      </w:r>
      <w:r>
        <w:rPr>
          <w:noProof/>
        </w:rPr>
        <w:fldChar w:fldCharType="end"/>
      </w:r>
    </w:p>
    <w:p w:rsidR="00963F1A" w:rsidRDefault="00963F1A">
      <w:pPr>
        <w:pStyle w:val="TOC1"/>
        <w:rPr>
          <w:rFonts w:asciiTheme="minorHAnsi" w:eastAsiaTheme="minorEastAsia" w:hAnsiTheme="minorHAnsi" w:cstheme="minorBidi"/>
          <w:b w:val="0"/>
          <w:noProof/>
          <w:szCs w:val="22"/>
          <w:lang w:eastAsia="en-NZ"/>
        </w:rPr>
      </w:pPr>
      <w:r>
        <w:rPr>
          <w:noProof/>
        </w:rPr>
        <w:t>Accountabilities</w:t>
      </w:r>
      <w:r>
        <w:rPr>
          <w:noProof/>
        </w:rPr>
        <w:tab/>
      </w:r>
      <w:r>
        <w:rPr>
          <w:noProof/>
        </w:rPr>
        <w:fldChar w:fldCharType="begin"/>
      </w:r>
      <w:r>
        <w:rPr>
          <w:noProof/>
        </w:rPr>
        <w:instrText xml:space="preserve"> PAGEREF _Toc433740022 \h </w:instrText>
      </w:r>
      <w:r>
        <w:rPr>
          <w:noProof/>
        </w:rPr>
      </w:r>
      <w:r>
        <w:rPr>
          <w:noProof/>
        </w:rPr>
        <w:fldChar w:fldCharType="separate"/>
      </w:r>
      <w:r w:rsidR="004610FC">
        <w:rPr>
          <w:noProof/>
        </w:rPr>
        <w:t>2</w:t>
      </w:r>
      <w:r>
        <w:rPr>
          <w:noProof/>
        </w:rPr>
        <w:fldChar w:fldCharType="end"/>
      </w:r>
    </w:p>
    <w:p w:rsidR="00963F1A" w:rsidRDefault="00963F1A">
      <w:pPr>
        <w:pStyle w:val="TOC1"/>
        <w:rPr>
          <w:rFonts w:asciiTheme="minorHAnsi" w:eastAsiaTheme="minorEastAsia" w:hAnsiTheme="minorHAnsi" w:cstheme="minorBidi"/>
          <w:b w:val="0"/>
          <w:noProof/>
          <w:szCs w:val="22"/>
          <w:lang w:eastAsia="en-NZ"/>
        </w:rPr>
      </w:pPr>
      <w:r>
        <w:rPr>
          <w:noProof/>
        </w:rPr>
        <w:t>Definitions</w:t>
      </w:r>
      <w:r>
        <w:rPr>
          <w:noProof/>
        </w:rPr>
        <w:tab/>
      </w:r>
      <w:r>
        <w:rPr>
          <w:noProof/>
        </w:rPr>
        <w:fldChar w:fldCharType="begin"/>
      </w:r>
      <w:r>
        <w:rPr>
          <w:noProof/>
        </w:rPr>
        <w:instrText xml:space="preserve"> PAGEREF _Toc433740023 \h </w:instrText>
      </w:r>
      <w:r>
        <w:rPr>
          <w:noProof/>
        </w:rPr>
      </w:r>
      <w:r>
        <w:rPr>
          <w:noProof/>
        </w:rPr>
        <w:fldChar w:fldCharType="separate"/>
      </w:r>
      <w:r w:rsidR="004610FC">
        <w:rPr>
          <w:noProof/>
        </w:rPr>
        <w:t>3</w:t>
      </w:r>
      <w:r>
        <w:rPr>
          <w:noProof/>
        </w:rPr>
        <w:fldChar w:fldCharType="end"/>
      </w:r>
    </w:p>
    <w:p w:rsidR="00963F1A" w:rsidRDefault="00963F1A">
      <w:pPr>
        <w:pStyle w:val="TOC1"/>
        <w:rPr>
          <w:rFonts w:asciiTheme="minorHAnsi" w:eastAsiaTheme="minorEastAsia" w:hAnsiTheme="minorHAnsi" w:cstheme="minorBidi"/>
          <w:b w:val="0"/>
          <w:noProof/>
          <w:szCs w:val="22"/>
          <w:lang w:eastAsia="en-NZ"/>
        </w:rPr>
      </w:pPr>
      <w:r>
        <w:rPr>
          <w:noProof/>
        </w:rPr>
        <w:t>Material in use or storage</w:t>
      </w:r>
      <w:r>
        <w:rPr>
          <w:noProof/>
        </w:rPr>
        <w:tab/>
      </w:r>
      <w:r>
        <w:rPr>
          <w:noProof/>
        </w:rPr>
        <w:fldChar w:fldCharType="begin"/>
      </w:r>
      <w:r>
        <w:rPr>
          <w:noProof/>
        </w:rPr>
        <w:instrText xml:space="preserve"> PAGEREF _Toc433740024 \h </w:instrText>
      </w:r>
      <w:r>
        <w:rPr>
          <w:noProof/>
        </w:rPr>
      </w:r>
      <w:r>
        <w:rPr>
          <w:noProof/>
        </w:rPr>
        <w:fldChar w:fldCharType="separate"/>
      </w:r>
      <w:r w:rsidR="004610FC">
        <w:rPr>
          <w:noProof/>
        </w:rPr>
        <w:t>5</w:t>
      </w:r>
      <w:r>
        <w:rPr>
          <w:noProof/>
        </w:rPr>
        <w:fldChar w:fldCharType="end"/>
      </w:r>
    </w:p>
    <w:p w:rsidR="00963F1A" w:rsidRDefault="00963F1A">
      <w:pPr>
        <w:pStyle w:val="TOC1"/>
        <w:rPr>
          <w:rFonts w:asciiTheme="minorHAnsi" w:eastAsiaTheme="minorEastAsia" w:hAnsiTheme="minorHAnsi" w:cstheme="minorBidi"/>
          <w:b w:val="0"/>
          <w:noProof/>
          <w:szCs w:val="22"/>
          <w:lang w:eastAsia="en-NZ"/>
        </w:rPr>
      </w:pPr>
      <w:r>
        <w:rPr>
          <w:noProof/>
        </w:rPr>
        <w:t>Material in transport</w:t>
      </w:r>
      <w:r>
        <w:rPr>
          <w:noProof/>
        </w:rPr>
        <w:tab/>
      </w:r>
      <w:r>
        <w:rPr>
          <w:noProof/>
        </w:rPr>
        <w:fldChar w:fldCharType="begin"/>
      </w:r>
      <w:r>
        <w:rPr>
          <w:noProof/>
        </w:rPr>
        <w:instrText xml:space="preserve"> PAGEREF _Toc433740025 \h </w:instrText>
      </w:r>
      <w:r>
        <w:rPr>
          <w:noProof/>
        </w:rPr>
      </w:r>
      <w:r>
        <w:rPr>
          <w:noProof/>
        </w:rPr>
        <w:fldChar w:fldCharType="separate"/>
      </w:r>
      <w:r w:rsidR="004610FC">
        <w:rPr>
          <w:noProof/>
        </w:rPr>
        <w:t>8</w:t>
      </w:r>
      <w:r>
        <w:rPr>
          <w:noProof/>
        </w:rPr>
        <w:fldChar w:fldCharType="end"/>
      </w:r>
    </w:p>
    <w:p w:rsidR="00963F1A" w:rsidRDefault="00963F1A">
      <w:pPr>
        <w:pStyle w:val="TOC1"/>
        <w:rPr>
          <w:rFonts w:asciiTheme="minorHAnsi" w:eastAsiaTheme="minorEastAsia" w:hAnsiTheme="minorHAnsi" w:cstheme="minorBidi"/>
          <w:b w:val="0"/>
          <w:noProof/>
          <w:szCs w:val="22"/>
          <w:lang w:eastAsia="en-NZ"/>
        </w:rPr>
      </w:pPr>
      <w:r>
        <w:rPr>
          <w:noProof/>
        </w:rPr>
        <w:t>Appendix I: Minimum security plan requirements</w:t>
      </w:r>
      <w:r>
        <w:rPr>
          <w:noProof/>
        </w:rPr>
        <w:tab/>
      </w:r>
      <w:r>
        <w:rPr>
          <w:noProof/>
        </w:rPr>
        <w:fldChar w:fldCharType="begin"/>
      </w:r>
      <w:r>
        <w:rPr>
          <w:noProof/>
        </w:rPr>
        <w:instrText xml:space="preserve"> PAGEREF _Toc433740026 \h </w:instrText>
      </w:r>
      <w:r>
        <w:rPr>
          <w:noProof/>
        </w:rPr>
      </w:r>
      <w:r>
        <w:rPr>
          <w:noProof/>
        </w:rPr>
        <w:fldChar w:fldCharType="separate"/>
      </w:r>
      <w:r w:rsidR="004610FC">
        <w:rPr>
          <w:noProof/>
        </w:rPr>
        <w:t>10</w:t>
      </w:r>
      <w:r>
        <w:rPr>
          <w:noProof/>
        </w:rPr>
        <w:fldChar w:fldCharType="end"/>
      </w:r>
    </w:p>
    <w:p w:rsidR="00963F1A" w:rsidRDefault="00963F1A">
      <w:pPr>
        <w:pStyle w:val="TOC1"/>
        <w:rPr>
          <w:rFonts w:asciiTheme="minorHAnsi" w:eastAsiaTheme="minorEastAsia" w:hAnsiTheme="minorHAnsi" w:cstheme="minorBidi"/>
          <w:b w:val="0"/>
          <w:noProof/>
          <w:szCs w:val="22"/>
          <w:lang w:eastAsia="en-NZ"/>
        </w:rPr>
      </w:pPr>
      <w:r>
        <w:rPr>
          <w:noProof/>
        </w:rPr>
        <w:t>Consultation submission</w:t>
      </w:r>
      <w:r>
        <w:rPr>
          <w:noProof/>
        </w:rPr>
        <w:tab/>
      </w:r>
      <w:r>
        <w:rPr>
          <w:noProof/>
        </w:rPr>
        <w:fldChar w:fldCharType="begin"/>
      </w:r>
      <w:r>
        <w:rPr>
          <w:noProof/>
        </w:rPr>
        <w:instrText xml:space="preserve"> PAGEREF _Toc433740027 \h </w:instrText>
      </w:r>
      <w:r>
        <w:rPr>
          <w:noProof/>
        </w:rPr>
      </w:r>
      <w:r>
        <w:rPr>
          <w:noProof/>
        </w:rPr>
        <w:fldChar w:fldCharType="separate"/>
      </w:r>
      <w:r w:rsidR="004610FC">
        <w:rPr>
          <w:noProof/>
        </w:rPr>
        <w:t>11</w:t>
      </w:r>
      <w:r>
        <w:rPr>
          <w:noProof/>
        </w:rPr>
        <w:fldChar w:fldCharType="end"/>
      </w:r>
    </w:p>
    <w:p w:rsidR="00963F1A" w:rsidRDefault="00963F1A">
      <w:pPr>
        <w:pStyle w:val="TOC2"/>
        <w:rPr>
          <w:rFonts w:asciiTheme="minorHAnsi" w:eastAsiaTheme="minorEastAsia" w:hAnsiTheme="minorHAnsi" w:cstheme="minorBidi"/>
          <w:noProof/>
          <w:szCs w:val="22"/>
          <w:lang w:eastAsia="en-NZ"/>
        </w:rPr>
      </w:pPr>
      <w:r>
        <w:rPr>
          <w:noProof/>
        </w:rPr>
        <w:t>Consultation questions</w:t>
      </w:r>
      <w:r>
        <w:rPr>
          <w:noProof/>
        </w:rPr>
        <w:tab/>
      </w:r>
      <w:r>
        <w:rPr>
          <w:noProof/>
        </w:rPr>
        <w:fldChar w:fldCharType="begin"/>
      </w:r>
      <w:r>
        <w:rPr>
          <w:noProof/>
        </w:rPr>
        <w:instrText xml:space="preserve"> PAGEREF _Toc433740028 \h </w:instrText>
      </w:r>
      <w:r>
        <w:rPr>
          <w:noProof/>
        </w:rPr>
      </w:r>
      <w:r>
        <w:rPr>
          <w:noProof/>
        </w:rPr>
        <w:fldChar w:fldCharType="separate"/>
      </w:r>
      <w:r w:rsidR="004610FC">
        <w:rPr>
          <w:noProof/>
        </w:rPr>
        <w:t>12</w:t>
      </w:r>
      <w:r>
        <w:rPr>
          <w:noProof/>
        </w:rPr>
        <w:fldChar w:fldCharType="end"/>
      </w:r>
    </w:p>
    <w:p w:rsidR="00C86248" w:rsidRDefault="00C86248">
      <w:r>
        <w:rPr>
          <w:b/>
        </w:rPr>
        <w:fldChar w:fldCharType="end"/>
      </w:r>
    </w:p>
    <w:p w:rsidR="00C86248" w:rsidRDefault="00C86248" w:rsidP="00A41627"/>
    <w:p w:rsidR="00C86248" w:rsidRDefault="00C86248">
      <w:pPr>
        <w:sectPr w:rsidR="00C86248" w:rsidSect="009D5125">
          <w:headerReference w:type="even" r:id="rId18"/>
          <w:headerReference w:type="default" r:id="rId19"/>
          <w:footerReference w:type="even" r:id="rId20"/>
          <w:footerReference w:type="default" r:id="rId21"/>
          <w:pgSz w:w="11907" w:h="16840" w:code="9"/>
          <w:pgMar w:top="851" w:right="1134" w:bottom="1134" w:left="1134" w:header="284" w:footer="567" w:gutter="284"/>
          <w:pgNumType w:fmt="lowerRoman"/>
          <w:cols w:space="720"/>
        </w:sectPr>
      </w:pPr>
    </w:p>
    <w:p w:rsidR="008C2973" w:rsidRDefault="0086388B" w:rsidP="0086388B">
      <w:pPr>
        <w:pStyle w:val="Heading1"/>
      </w:pPr>
      <w:bookmarkStart w:id="3" w:name="_Toc433740018"/>
      <w:r>
        <w:lastRenderedPageBreak/>
        <w:t>Introduction</w:t>
      </w:r>
      <w:bookmarkEnd w:id="3"/>
    </w:p>
    <w:p w:rsidR="00F25970" w:rsidRDefault="00A41627" w:rsidP="00A41627">
      <w:pPr>
        <w:pStyle w:val="Heading2"/>
      </w:pPr>
      <w:bookmarkStart w:id="4" w:name="_Toc433740019"/>
      <w:r>
        <w:t>Purpose and scope</w:t>
      </w:r>
      <w:bookmarkEnd w:id="4"/>
    </w:p>
    <w:p w:rsidR="001A3B3B" w:rsidRDefault="00A41627" w:rsidP="001A3B3B">
      <w:pPr>
        <w:pStyle w:val="Number"/>
      </w:pPr>
      <w:r>
        <w:t>The c</w:t>
      </w:r>
      <w:r w:rsidRPr="00634231">
        <w:t xml:space="preserve">ode </w:t>
      </w:r>
      <w:r>
        <w:t xml:space="preserve">applies to </w:t>
      </w:r>
      <w:r w:rsidRPr="00634231">
        <w:t xml:space="preserve">the secure use, storage and transport of </w:t>
      </w:r>
      <w:r w:rsidRPr="008B4BF3">
        <w:rPr>
          <w:i/>
        </w:rPr>
        <w:t>radioactive material</w:t>
      </w:r>
      <w:r>
        <w:t xml:space="preserve"> and </w:t>
      </w:r>
      <w:r w:rsidRPr="008B4BF3">
        <w:rPr>
          <w:i/>
        </w:rPr>
        <w:t>nuclear material</w:t>
      </w:r>
      <w:r>
        <w:t>. Compliance satisfies security requirements in</w:t>
      </w:r>
      <w:r w:rsidRPr="004970A7">
        <w:t xml:space="preserve"> the Radiation Protection Re</w:t>
      </w:r>
      <w:r>
        <w:t>gulations 1982 (the Regulations) including those relating to safe care (r 9(1)), storage (r</w:t>
      </w:r>
      <w:r w:rsidR="001A3B3B">
        <w:t> </w:t>
      </w:r>
      <w:r>
        <w:t>9(4)), transport (r 3), tamper prevention (r 11(1</w:t>
      </w:r>
      <w:proofErr w:type="gramStart"/>
      <w:r>
        <w:t>)(</w:t>
      </w:r>
      <w:proofErr w:type="gramEnd"/>
      <w:r>
        <w:t>f)), loss prevention (r 11(1)(g)), post</w:t>
      </w:r>
      <w:r w:rsidR="001A3B3B">
        <w:noBreakHyphen/>
      </w:r>
      <w:r>
        <w:t>loss (r 11(2)) and safekeeping (r 12(1)).</w:t>
      </w:r>
      <w:r w:rsidR="001A3B3B">
        <w:t xml:space="preserve"> </w:t>
      </w:r>
      <w:r>
        <w:t xml:space="preserve">The code therefore has general application but licences and consents issued </w:t>
      </w:r>
      <w:r w:rsidRPr="004970A7">
        <w:t>under the Radiation Protection Act 1965 (the Act)</w:t>
      </w:r>
      <w:r>
        <w:t xml:space="preserve"> may also expressly require compliance.</w:t>
      </w:r>
    </w:p>
    <w:p w:rsidR="00A41627" w:rsidRPr="00A94C2D" w:rsidRDefault="001A3B3B" w:rsidP="001A3B3B">
      <w:pPr>
        <w:pStyle w:val="Number"/>
      </w:pPr>
      <w:r>
        <w:t>R</w:t>
      </w:r>
      <w:r w:rsidR="00A41627">
        <w:t>equirements</w:t>
      </w:r>
      <w:r w:rsidR="00A41627" w:rsidRPr="00634231">
        <w:t xml:space="preserve"> in related areas such as occupational safety</w:t>
      </w:r>
      <w:r w:rsidR="00A41627">
        <w:t xml:space="preserve"> and resource management must be satisfied separately</w:t>
      </w:r>
      <w:r w:rsidR="00A41627" w:rsidRPr="00634231">
        <w:t>.</w:t>
      </w:r>
      <w:r>
        <w:t xml:space="preserve"> </w:t>
      </w:r>
      <w:r w:rsidR="00A41627">
        <w:t>The c</w:t>
      </w:r>
      <w:r w:rsidR="00A41627" w:rsidRPr="00634231">
        <w:t xml:space="preserve">ode focuses on security but also recognises that society benefits from the safe use of </w:t>
      </w:r>
      <w:r w:rsidR="00A41627" w:rsidRPr="006F43D8">
        <w:rPr>
          <w:i/>
        </w:rPr>
        <w:t>radioactive material</w:t>
      </w:r>
      <w:r w:rsidR="00A41627" w:rsidRPr="00634231">
        <w:t>.</w:t>
      </w:r>
      <w:r>
        <w:t xml:space="preserve"> </w:t>
      </w:r>
      <w:r w:rsidR="00A41627" w:rsidRPr="00634231">
        <w:t xml:space="preserve">Security and safety must therefore be managed in a complementary way to ensure the continued safe use of </w:t>
      </w:r>
      <w:r w:rsidR="00A41627" w:rsidRPr="006F43D8">
        <w:rPr>
          <w:i/>
        </w:rPr>
        <w:t>radioactive material</w:t>
      </w:r>
      <w:r w:rsidR="00A41627" w:rsidRPr="00634231">
        <w:t xml:space="preserve"> by authorised persons.</w:t>
      </w:r>
    </w:p>
    <w:p w:rsidR="001A3B3B" w:rsidRDefault="001A3B3B" w:rsidP="001A3B3B"/>
    <w:p w:rsidR="001A3B3B" w:rsidRDefault="00A41627" w:rsidP="001A3B3B">
      <w:pPr>
        <w:pStyle w:val="Heading2"/>
      </w:pPr>
      <w:bookmarkStart w:id="5" w:name="_Toc433740020"/>
      <w:r w:rsidRPr="005E7316">
        <w:t>Principles</w:t>
      </w:r>
      <w:bookmarkEnd w:id="5"/>
    </w:p>
    <w:p w:rsidR="00A41627" w:rsidRDefault="00A41627" w:rsidP="001A3B3B">
      <w:pPr>
        <w:pStyle w:val="Number"/>
      </w:pPr>
      <w:r>
        <w:t xml:space="preserve">The code sets out the requirements to prevent, detect and respond to malicious acts involving </w:t>
      </w:r>
      <w:r w:rsidRPr="006F43D8">
        <w:rPr>
          <w:i/>
        </w:rPr>
        <w:t>radioactive material</w:t>
      </w:r>
      <w:r>
        <w:t xml:space="preserve"> and </w:t>
      </w:r>
      <w:r w:rsidRPr="006F43D8">
        <w:rPr>
          <w:i/>
        </w:rPr>
        <w:t>nuclear material</w:t>
      </w:r>
      <w:r>
        <w:t xml:space="preserve"> in use, storage and in transport.</w:t>
      </w:r>
      <w:r w:rsidR="001A3B3B">
        <w:t xml:space="preserve"> </w:t>
      </w:r>
      <w:r>
        <w:t>A</w:t>
      </w:r>
      <w:r w:rsidR="001A3B3B">
        <w:t> </w:t>
      </w:r>
      <w:r>
        <w:t xml:space="preserve">threshold is applied for determining which packages or material need to be protected beyond prudent management practice. Security requirements are applied on a graded approach that takes account of an assessment of the threat, the nature and relative attractiveness of the </w:t>
      </w:r>
      <w:r w:rsidRPr="008B4BF3">
        <w:rPr>
          <w:i/>
        </w:rPr>
        <w:t>radioactive material</w:t>
      </w:r>
      <w:r>
        <w:t xml:space="preserve"> or </w:t>
      </w:r>
      <w:r w:rsidRPr="008B4BF3">
        <w:rPr>
          <w:i/>
        </w:rPr>
        <w:t>nuclear material</w:t>
      </w:r>
      <w:r>
        <w:t xml:space="preserve"> and the potential consequences of unauthorised removal or sabotage. The requisite level of security is achieved through a combination of deterrence, detection, delay, response, and security management.</w:t>
      </w:r>
    </w:p>
    <w:p w:rsidR="00A41627" w:rsidRDefault="00A41627" w:rsidP="001A3B3B"/>
    <w:p w:rsidR="001A3B3B" w:rsidRDefault="00A41627" w:rsidP="001A3B3B">
      <w:pPr>
        <w:pStyle w:val="Heading2"/>
      </w:pPr>
      <w:bookmarkStart w:id="6" w:name="_Toc433740021"/>
      <w:r w:rsidRPr="005E7316">
        <w:t>International instruments</w:t>
      </w:r>
      <w:bookmarkEnd w:id="6"/>
    </w:p>
    <w:p w:rsidR="00A41627" w:rsidRDefault="00A41627" w:rsidP="001A3B3B">
      <w:pPr>
        <w:pStyle w:val="Number"/>
      </w:pPr>
      <w:r>
        <w:t>The code supports New Zealand</w:t>
      </w:r>
      <w:r w:rsidR="001A3B3B">
        <w:t>’</w:t>
      </w:r>
      <w:r>
        <w:t>s implementation of the Convention on</w:t>
      </w:r>
      <w:r w:rsidRPr="004970A7">
        <w:t xml:space="preserve"> the Physical</w:t>
      </w:r>
      <w:r>
        <w:t xml:space="preserve"> Protection of Nuclear Material, the International </w:t>
      </w:r>
      <w:r w:rsidRPr="00BD52A7">
        <w:t>Convention for the Suppression of Acts of Nuclear Terrorism</w:t>
      </w:r>
      <w:r>
        <w:t xml:space="preserve"> and the Code of Conduct on</w:t>
      </w:r>
      <w:r w:rsidRPr="00B775E3">
        <w:t xml:space="preserve"> the Safety and Security of Radioactive Sources</w:t>
      </w:r>
      <w:r>
        <w:t>.</w:t>
      </w:r>
    </w:p>
    <w:p w:rsidR="001A3B3B" w:rsidRDefault="001A3B3B" w:rsidP="001A3B3B"/>
    <w:p w:rsidR="001A3B3B" w:rsidRDefault="001A3B3B" w:rsidP="001A3B3B">
      <w:r>
        <w:br w:type="page"/>
      </w:r>
    </w:p>
    <w:p w:rsidR="001A3B3B" w:rsidRDefault="00A41627" w:rsidP="001A3B3B">
      <w:pPr>
        <w:pStyle w:val="Heading1"/>
      </w:pPr>
      <w:bookmarkStart w:id="7" w:name="_Toc433740022"/>
      <w:r w:rsidRPr="00634231">
        <w:lastRenderedPageBreak/>
        <w:t>A</w:t>
      </w:r>
      <w:r w:rsidR="001A3B3B">
        <w:t>ccountabilities</w:t>
      </w:r>
      <w:bookmarkEnd w:id="7"/>
    </w:p>
    <w:p w:rsidR="00A41627" w:rsidRDefault="00A41627" w:rsidP="001A3B3B">
      <w:pPr>
        <w:pStyle w:val="Number"/>
      </w:pPr>
      <w:r>
        <w:t>Office of Radiation Safety (ORS) – the regulatory body that administers the Act and Regulations and issues this code.</w:t>
      </w:r>
      <w:r w:rsidR="001A3B3B">
        <w:t xml:space="preserve"> </w:t>
      </w:r>
      <w:r>
        <w:t xml:space="preserve">ORS is responsible for implementing and maintaining a national regime for the security of </w:t>
      </w:r>
      <w:r w:rsidRPr="008B4BF3">
        <w:rPr>
          <w:i/>
        </w:rPr>
        <w:t>radioactive material</w:t>
      </w:r>
      <w:r>
        <w:t xml:space="preserve"> and </w:t>
      </w:r>
      <w:r w:rsidRPr="008B4BF3">
        <w:rPr>
          <w:i/>
        </w:rPr>
        <w:t>nuclear material</w:t>
      </w:r>
      <w:r>
        <w:t>.</w:t>
      </w:r>
    </w:p>
    <w:tbl>
      <w:tblPr>
        <w:tblW w:w="0" w:type="auto"/>
        <w:tblInd w:w="959" w:type="dxa"/>
        <w:tblLook w:val="04A0" w:firstRow="1" w:lastRow="0" w:firstColumn="1" w:lastColumn="0" w:noHBand="0" w:noVBand="1"/>
      </w:tblPr>
      <w:tblGrid>
        <w:gridCol w:w="3118"/>
        <w:gridCol w:w="4692"/>
      </w:tblGrid>
      <w:tr w:rsidR="00A41627" w:rsidRPr="004970A7" w:rsidTr="004F7F4E">
        <w:tc>
          <w:tcPr>
            <w:tcW w:w="3118" w:type="dxa"/>
            <w:hideMark/>
          </w:tcPr>
          <w:p w:rsidR="00A41627" w:rsidRPr="004970A7" w:rsidRDefault="00A41627" w:rsidP="001A3B3B">
            <w:pPr>
              <w:spacing w:before="120"/>
            </w:pPr>
            <w:r w:rsidRPr="004970A7">
              <w:t>Office of Radiation Safety</w:t>
            </w:r>
            <w:r w:rsidRPr="004970A7">
              <w:br/>
              <w:t>PO Box 3877</w:t>
            </w:r>
            <w:r w:rsidRPr="004970A7">
              <w:br/>
              <w:t>Christchurch 8140</w:t>
            </w:r>
          </w:p>
        </w:tc>
        <w:tc>
          <w:tcPr>
            <w:tcW w:w="4692" w:type="dxa"/>
            <w:hideMark/>
          </w:tcPr>
          <w:p w:rsidR="00A41627" w:rsidRPr="004970A7" w:rsidRDefault="00A41627" w:rsidP="001A3B3B">
            <w:pPr>
              <w:spacing w:before="120"/>
            </w:pPr>
            <w:r w:rsidRPr="004970A7">
              <w:t>03 974 2358</w:t>
            </w:r>
            <w:r>
              <w:t xml:space="preserve"> (Phone), 03 372 1015 (Fax)</w:t>
            </w:r>
            <w:r w:rsidR="001A3B3B">
              <w:br/>
            </w:r>
            <w:r>
              <w:t>021 393 632 (Emergency Response)</w:t>
            </w:r>
            <w:r w:rsidR="001A3B3B">
              <w:br/>
            </w:r>
            <w:hyperlink r:id="rId22" w:history="1">
              <w:r w:rsidRPr="001A3B3B">
                <w:t>orsenquiries@moh.govt.nz</w:t>
              </w:r>
            </w:hyperlink>
          </w:p>
        </w:tc>
      </w:tr>
    </w:tbl>
    <w:p w:rsidR="00A41627" w:rsidRDefault="00A41627" w:rsidP="001A3B3B">
      <w:pPr>
        <w:pStyle w:val="Number"/>
      </w:pPr>
      <w:r>
        <w:t xml:space="preserve">Managing </w:t>
      </w:r>
      <w:r w:rsidR="001A3B3B">
        <w:t>E</w:t>
      </w:r>
      <w:r>
        <w:t xml:space="preserve">ntity – </w:t>
      </w:r>
      <w:r w:rsidRPr="00634231">
        <w:t xml:space="preserve">the legal entity that </w:t>
      </w:r>
      <w:r>
        <w:t xml:space="preserve">manages or controls </w:t>
      </w:r>
      <w:r w:rsidRPr="008B4BF3">
        <w:rPr>
          <w:i/>
        </w:rPr>
        <w:t>radioactive material</w:t>
      </w:r>
      <w:r>
        <w:t xml:space="preserve"> or </w:t>
      </w:r>
      <w:r w:rsidRPr="008B4BF3">
        <w:rPr>
          <w:i/>
        </w:rPr>
        <w:t>nuclear material</w:t>
      </w:r>
      <w:r w:rsidRPr="00634231">
        <w:t>.</w:t>
      </w:r>
      <w:r w:rsidR="001A3B3B">
        <w:t xml:space="preserve"> </w:t>
      </w:r>
      <w:r w:rsidRPr="00634231">
        <w:t xml:space="preserve">This could for example be an individual, company, partnership, </w:t>
      </w:r>
      <w:r>
        <w:t xml:space="preserve">crown research institute, </w:t>
      </w:r>
      <w:r w:rsidRPr="00634231">
        <w:t>district health board or university.</w:t>
      </w:r>
      <w:r w:rsidR="001A3B3B">
        <w:t xml:space="preserve"> </w:t>
      </w:r>
      <w:r w:rsidRPr="00634231">
        <w:t xml:space="preserve">The </w:t>
      </w:r>
      <w:r>
        <w:t>Managing Entity is responsible</w:t>
      </w:r>
      <w:r w:rsidRPr="00634231">
        <w:t xml:space="preserve"> for security </w:t>
      </w:r>
      <w:r>
        <w:t xml:space="preserve">of material in its management or control </w:t>
      </w:r>
      <w:r w:rsidRPr="00634231">
        <w:t xml:space="preserve">and must </w:t>
      </w:r>
      <w:r>
        <w:t>either (1) appoint a licensed person to manage the safe care of material and provide all necessary equipment, material and support to that person to satisfy security requirements or (2) in cases where no such licensee is appointed, store the material to the satisfaction of ORS.</w:t>
      </w:r>
      <w:r w:rsidR="001A3B3B">
        <w:t xml:space="preserve"> </w:t>
      </w:r>
      <w:r>
        <w:t>In either case the requirements of this code must be satisfied.</w:t>
      </w:r>
    </w:p>
    <w:p w:rsidR="001A3B3B" w:rsidRDefault="00A41627" w:rsidP="001A3B3B">
      <w:pPr>
        <w:pStyle w:val="Number"/>
      </w:pPr>
      <w:r>
        <w:t>Licensee – the person who is licensed under section 13 of the Act and appointed to manage the safe care of material under regulation 9(1) of the Regulations.</w:t>
      </w:r>
      <w:r w:rsidR="001A3B3B">
        <w:t xml:space="preserve"> </w:t>
      </w:r>
      <w:r>
        <w:t>This person must comply with the conditions in licences issued by ORS and with the security requirements in the Regulations.</w:t>
      </w:r>
      <w:r w:rsidR="001A3B3B">
        <w:t xml:space="preserve"> </w:t>
      </w:r>
      <w:r>
        <w:t>This person is entitled to require full assistance from the Managing Entity to fulfil these security requirements.</w:t>
      </w:r>
    </w:p>
    <w:p w:rsidR="00A41627" w:rsidRPr="00A94C2D" w:rsidRDefault="00A41627" w:rsidP="001A3B3B">
      <w:pPr>
        <w:pStyle w:val="Number"/>
      </w:pPr>
      <w:r w:rsidRPr="00A94C2D">
        <w:t>Consignor – the legal entity that prepares a package for transport</w:t>
      </w:r>
      <w:r>
        <w:t>.</w:t>
      </w:r>
    </w:p>
    <w:p w:rsidR="00A41627" w:rsidRDefault="00A41627" w:rsidP="001A3B3B">
      <w:pPr>
        <w:pStyle w:val="Number"/>
      </w:pPr>
      <w:r>
        <w:t>Carrier – the legal entity that undertakes carriage of packages by any means of transport.</w:t>
      </w:r>
      <w:r w:rsidR="001A3B3B">
        <w:t xml:space="preserve"> </w:t>
      </w:r>
      <w:r>
        <w:t>This includes carriers for hire or reward (e.g. commercial transport companies) and those who carry on their own account (e.g. industrial radiographers).</w:t>
      </w:r>
    </w:p>
    <w:p w:rsidR="00A41627" w:rsidRDefault="00A41627" w:rsidP="001A3B3B">
      <w:pPr>
        <w:pStyle w:val="Number"/>
      </w:pPr>
      <w:r>
        <w:t>Consignee – the legal entity entitled to take delivery of the package.</w:t>
      </w:r>
    </w:p>
    <w:p w:rsidR="001A3B3B" w:rsidRPr="002B4D78" w:rsidRDefault="001A3B3B" w:rsidP="001A3B3B"/>
    <w:p w:rsidR="001A3B3B" w:rsidRDefault="001A3B3B" w:rsidP="001A3B3B">
      <w:r>
        <w:br w:type="page"/>
      </w:r>
    </w:p>
    <w:p w:rsidR="001A3B3B" w:rsidRDefault="00A41627" w:rsidP="001A3B3B">
      <w:pPr>
        <w:pStyle w:val="Heading1"/>
      </w:pPr>
      <w:bookmarkStart w:id="8" w:name="_Toc433740023"/>
      <w:r w:rsidRPr="002B4D78">
        <w:lastRenderedPageBreak/>
        <w:t>D</w:t>
      </w:r>
      <w:r w:rsidR="001A3B3B">
        <w:t>efinitions</w:t>
      </w:r>
      <w:bookmarkEnd w:id="8"/>
    </w:p>
    <w:p w:rsidR="001A3B3B" w:rsidRDefault="00A41627" w:rsidP="001A3B3B">
      <w:pPr>
        <w:pStyle w:val="Number"/>
      </w:pPr>
      <w:r>
        <w:t xml:space="preserve">Defined terms are displayed in </w:t>
      </w:r>
      <w:r w:rsidRPr="002B4D78">
        <w:rPr>
          <w:i/>
        </w:rPr>
        <w:t>italics</w:t>
      </w:r>
      <w:r>
        <w:t xml:space="preserve"> and have the following meanings:</w:t>
      </w:r>
    </w:p>
    <w:p w:rsidR="001A3B3B" w:rsidRPr="001A3B3B" w:rsidRDefault="00A41627" w:rsidP="001A3B3B">
      <w:pPr>
        <w:pStyle w:val="Sub-number"/>
      </w:pPr>
      <w:r w:rsidRPr="002B4D78">
        <w:t xml:space="preserve">A2-value – radioactivity level set for packages in the </w:t>
      </w:r>
      <w:r w:rsidRPr="00506761">
        <w:rPr>
          <w:i/>
        </w:rPr>
        <w:t>IAEA Transport Regulations</w:t>
      </w:r>
      <w:r>
        <w:rPr>
          <w:i/>
        </w:rPr>
        <w:t>.</w:t>
      </w:r>
    </w:p>
    <w:p w:rsidR="001A3B3B" w:rsidRDefault="00A41627" w:rsidP="001A3B3B">
      <w:pPr>
        <w:pStyle w:val="Sub-number"/>
      </w:pPr>
      <w:r w:rsidRPr="00506761">
        <w:t xml:space="preserve">Basic Security Package – package </w:t>
      </w:r>
      <w:r>
        <w:t xml:space="preserve">that is not an </w:t>
      </w:r>
      <w:r w:rsidRPr="00506761">
        <w:rPr>
          <w:i/>
        </w:rPr>
        <w:t>Enhanced Security Package</w:t>
      </w:r>
      <w:r>
        <w:rPr>
          <w:i/>
        </w:rPr>
        <w:t>,</w:t>
      </w:r>
      <w:r>
        <w:t xml:space="preserve"> containing material </w:t>
      </w:r>
      <w:r w:rsidRPr="00506761">
        <w:t>exceeding the excepted package quantity for non-special form contents</w:t>
      </w:r>
      <w:r>
        <w:t xml:space="preserve"> but excluding</w:t>
      </w:r>
      <w:r w:rsidRPr="00506761">
        <w:t xml:space="preserve"> LSA-1 and SCO-1 </w:t>
      </w:r>
      <w:r>
        <w:t>(</w:t>
      </w:r>
      <w:r w:rsidRPr="00506761">
        <w:t xml:space="preserve">as </w:t>
      </w:r>
      <w:r>
        <w:t xml:space="preserve">all of </w:t>
      </w:r>
      <w:r w:rsidRPr="00506761">
        <w:t xml:space="preserve">those terms are defined in the </w:t>
      </w:r>
      <w:r w:rsidRPr="00F750A1">
        <w:rPr>
          <w:i/>
        </w:rPr>
        <w:t>IAEA Transport Regulations</w:t>
      </w:r>
      <w:r>
        <w:t>).</w:t>
      </w:r>
    </w:p>
    <w:p w:rsidR="001A3B3B" w:rsidRDefault="00A41627" w:rsidP="001A3B3B">
      <w:pPr>
        <w:pStyle w:val="Sub-number"/>
      </w:pPr>
      <w:r w:rsidRPr="002B4D78">
        <w:t xml:space="preserve">Category </w:t>
      </w:r>
      <w:r>
        <w:t>A</w:t>
      </w:r>
      <w:r w:rsidRPr="002B4D78">
        <w:t xml:space="preserve"> Material – (1) </w:t>
      </w:r>
      <w:r w:rsidRPr="00A94C2D">
        <w:rPr>
          <w:i/>
        </w:rPr>
        <w:t>radioactive material</w:t>
      </w:r>
      <w:r w:rsidRPr="002B4D78">
        <w:t xml:space="preserve"> with an activity equal to or greater than 1000 times its </w:t>
      </w:r>
      <w:r w:rsidRPr="006F43D8">
        <w:rPr>
          <w:i/>
        </w:rPr>
        <w:t xml:space="preserve">D-value </w:t>
      </w:r>
      <w:r w:rsidRPr="002B4D78">
        <w:t xml:space="preserve">or (2) </w:t>
      </w:r>
      <w:r w:rsidRPr="00A94C2D">
        <w:rPr>
          <w:i/>
        </w:rPr>
        <w:t>nuclear material</w:t>
      </w:r>
      <w:r w:rsidRPr="002B4D78">
        <w:t xml:space="preserve"> containing 2 kg </w:t>
      </w:r>
      <w:proofErr w:type="spellStart"/>
      <w:r w:rsidRPr="002B4D78">
        <w:t>unirradiated</w:t>
      </w:r>
      <w:proofErr w:type="spellEnd"/>
      <w:r w:rsidRPr="002B4D78">
        <w:t xml:space="preserve"> </w:t>
      </w:r>
      <w:r w:rsidRPr="006F43D8">
        <w:rPr>
          <w:i/>
        </w:rPr>
        <w:t>plutonium</w:t>
      </w:r>
      <w:r w:rsidRPr="002B4D78">
        <w:t xml:space="preserve">, 5 kg </w:t>
      </w:r>
      <w:proofErr w:type="spellStart"/>
      <w:r w:rsidRPr="002B4D78">
        <w:t>unirradiated</w:t>
      </w:r>
      <w:proofErr w:type="spellEnd"/>
      <w:r w:rsidRPr="002B4D78">
        <w:t xml:space="preserve"> uranium enriched to 20% uranium-235 or more, or </w:t>
      </w:r>
      <w:r>
        <w:t>2</w:t>
      </w:r>
      <w:r w:rsidR="0080097D">
        <w:t> </w:t>
      </w:r>
      <w:r>
        <w:t xml:space="preserve">kg </w:t>
      </w:r>
      <w:proofErr w:type="spellStart"/>
      <w:r>
        <w:t>unirradiated</w:t>
      </w:r>
      <w:proofErr w:type="spellEnd"/>
      <w:r>
        <w:t xml:space="preserve"> uranium-233 or (3) any other such material as advised by ORS.</w:t>
      </w:r>
    </w:p>
    <w:p w:rsidR="001A3B3B" w:rsidRDefault="00A41627" w:rsidP="001A3B3B">
      <w:pPr>
        <w:pStyle w:val="Sub-number"/>
      </w:pPr>
      <w:r w:rsidRPr="002B4D78">
        <w:t xml:space="preserve">Category </w:t>
      </w:r>
      <w:r>
        <w:t>B</w:t>
      </w:r>
      <w:r w:rsidRPr="002B4D78">
        <w:t xml:space="preserve"> Material</w:t>
      </w:r>
      <w:r w:rsidR="001A3B3B">
        <w:t xml:space="preserve"> </w:t>
      </w:r>
      <w:r w:rsidRPr="002B4D78">
        <w:t xml:space="preserve">– material that is not </w:t>
      </w:r>
      <w:r w:rsidRPr="00506761">
        <w:rPr>
          <w:i/>
        </w:rPr>
        <w:t xml:space="preserve">Category </w:t>
      </w:r>
      <w:r>
        <w:rPr>
          <w:i/>
        </w:rPr>
        <w:t>A</w:t>
      </w:r>
      <w:r w:rsidRPr="00506761">
        <w:rPr>
          <w:i/>
        </w:rPr>
        <w:t xml:space="preserve"> Material</w:t>
      </w:r>
      <w:r w:rsidRPr="002B4D78">
        <w:t xml:space="preserve"> and is (1) </w:t>
      </w:r>
      <w:r w:rsidRPr="00506761">
        <w:rPr>
          <w:i/>
        </w:rPr>
        <w:t>radioactive material</w:t>
      </w:r>
      <w:r w:rsidRPr="002B4D78">
        <w:t xml:space="preserve"> with an activity equal to or greater than 10 times its </w:t>
      </w:r>
      <w:r w:rsidRPr="006F43D8">
        <w:rPr>
          <w:i/>
        </w:rPr>
        <w:t>D-value</w:t>
      </w:r>
      <w:r w:rsidRPr="002B4D78">
        <w:t xml:space="preserve">, or (2) </w:t>
      </w:r>
      <w:r w:rsidRPr="00506761">
        <w:rPr>
          <w:i/>
        </w:rPr>
        <w:t>nuclear material</w:t>
      </w:r>
      <w:r w:rsidRPr="002B4D78">
        <w:t xml:space="preserve"> containing 500 g </w:t>
      </w:r>
      <w:proofErr w:type="spellStart"/>
      <w:r w:rsidRPr="002B4D78">
        <w:t>unirradiated</w:t>
      </w:r>
      <w:proofErr w:type="spellEnd"/>
      <w:r w:rsidRPr="002B4D78">
        <w:t xml:space="preserve"> </w:t>
      </w:r>
      <w:r w:rsidRPr="006F43D8">
        <w:rPr>
          <w:i/>
        </w:rPr>
        <w:t>plutonium</w:t>
      </w:r>
      <w:r w:rsidRPr="002B4D78">
        <w:t xml:space="preserve">, 1 kg </w:t>
      </w:r>
      <w:proofErr w:type="spellStart"/>
      <w:r w:rsidRPr="002B4D78">
        <w:t>unirradiated</w:t>
      </w:r>
      <w:proofErr w:type="spellEnd"/>
      <w:r w:rsidRPr="002B4D78">
        <w:t xml:space="preserve"> uranium enriched to 20% uranium-235 or more, 10 kg </w:t>
      </w:r>
      <w:proofErr w:type="spellStart"/>
      <w:r w:rsidRPr="002B4D78">
        <w:t>unirradiated</w:t>
      </w:r>
      <w:proofErr w:type="spellEnd"/>
      <w:r w:rsidRPr="002B4D78">
        <w:t xml:space="preserve"> uranium enriched to 10% but less than 20% uranium-235, 500 g </w:t>
      </w:r>
      <w:proofErr w:type="spellStart"/>
      <w:r w:rsidRPr="002B4D78">
        <w:t>unirradiated</w:t>
      </w:r>
      <w:proofErr w:type="spellEnd"/>
      <w:r w:rsidRPr="002B4D78">
        <w:t xml:space="preserve"> uranium-233, or irradiated fuel in the form of depleted or natural uranium,</w:t>
      </w:r>
      <w:r>
        <w:t xml:space="preserve"> thorium or low enriched fuel or (3) any other such material as advised by ORS.</w:t>
      </w:r>
    </w:p>
    <w:p w:rsidR="001A3B3B" w:rsidRDefault="00A41627" w:rsidP="001A3B3B">
      <w:pPr>
        <w:pStyle w:val="Sub-number"/>
      </w:pPr>
      <w:r w:rsidRPr="002B4D78">
        <w:t xml:space="preserve">Category </w:t>
      </w:r>
      <w:r>
        <w:t>C</w:t>
      </w:r>
      <w:r w:rsidRPr="002B4D78">
        <w:t xml:space="preserve"> Material – material that is not </w:t>
      </w:r>
      <w:r w:rsidRPr="00506761">
        <w:rPr>
          <w:i/>
        </w:rPr>
        <w:t xml:space="preserve">Category </w:t>
      </w:r>
      <w:r>
        <w:rPr>
          <w:i/>
        </w:rPr>
        <w:t>B</w:t>
      </w:r>
      <w:r w:rsidRPr="00506761">
        <w:rPr>
          <w:i/>
        </w:rPr>
        <w:t xml:space="preserve"> Material</w:t>
      </w:r>
      <w:r w:rsidRPr="002B4D78">
        <w:t xml:space="preserve"> and is (1)</w:t>
      </w:r>
      <w:r w:rsidR="0080097D">
        <w:t> </w:t>
      </w:r>
      <w:r w:rsidRPr="00506761">
        <w:rPr>
          <w:i/>
        </w:rPr>
        <w:t>radioactive material</w:t>
      </w:r>
      <w:r w:rsidRPr="002B4D78">
        <w:t xml:space="preserve"> with an activity equal to or greater than its </w:t>
      </w:r>
      <w:r w:rsidRPr="006F43D8">
        <w:rPr>
          <w:i/>
        </w:rPr>
        <w:t>D-value</w:t>
      </w:r>
      <w:r w:rsidRPr="002B4D78">
        <w:t>, or (2)</w:t>
      </w:r>
      <w:r w:rsidR="0080097D">
        <w:t> </w:t>
      </w:r>
      <w:r w:rsidRPr="00506761">
        <w:rPr>
          <w:i/>
        </w:rPr>
        <w:t>nuclear material</w:t>
      </w:r>
      <w:r w:rsidRPr="002B4D78">
        <w:t xml:space="preserve"> containing 15 g </w:t>
      </w:r>
      <w:proofErr w:type="spellStart"/>
      <w:r w:rsidRPr="002B4D78">
        <w:t>unirradiated</w:t>
      </w:r>
      <w:proofErr w:type="spellEnd"/>
      <w:r w:rsidRPr="002B4D78">
        <w:t xml:space="preserve"> </w:t>
      </w:r>
      <w:r w:rsidRPr="006F43D8">
        <w:rPr>
          <w:i/>
        </w:rPr>
        <w:t>plutonium</w:t>
      </w:r>
      <w:r w:rsidRPr="002B4D78">
        <w:t xml:space="preserve">, 15 g </w:t>
      </w:r>
      <w:proofErr w:type="spellStart"/>
      <w:r w:rsidRPr="002B4D78">
        <w:t>unirradiated</w:t>
      </w:r>
      <w:proofErr w:type="spellEnd"/>
      <w:r w:rsidRPr="002B4D78">
        <w:t xml:space="preserve"> uranium enriched to 20% uranium-235 or more, 1 kg </w:t>
      </w:r>
      <w:proofErr w:type="spellStart"/>
      <w:r w:rsidRPr="002B4D78">
        <w:t>unirradiated</w:t>
      </w:r>
      <w:proofErr w:type="spellEnd"/>
      <w:r w:rsidRPr="002B4D78">
        <w:t xml:space="preserve"> uranium enriched to 10% but less than 20% uranium-235, 10 kg </w:t>
      </w:r>
      <w:proofErr w:type="spellStart"/>
      <w:r w:rsidRPr="002B4D78">
        <w:t>unirradiated</w:t>
      </w:r>
      <w:proofErr w:type="spellEnd"/>
      <w:r w:rsidRPr="002B4D78">
        <w:t xml:space="preserve"> uranium enriched above natural but less than 10% uranium-235 or 15 g </w:t>
      </w:r>
      <w:proofErr w:type="spellStart"/>
      <w:r w:rsidRPr="002B4D78">
        <w:t>unirr</w:t>
      </w:r>
      <w:r>
        <w:t>adiated</w:t>
      </w:r>
      <w:proofErr w:type="spellEnd"/>
      <w:r>
        <w:t xml:space="preserve"> uranium-233 or (3) any other such material as advised by ORS.</w:t>
      </w:r>
    </w:p>
    <w:p w:rsidR="001A3B3B" w:rsidRDefault="00A41627" w:rsidP="001A3B3B">
      <w:pPr>
        <w:pStyle w:val="Sub-number"/>
      </w:pPr>
      <w:r w:rsidRPr="00506761">
        <w:t xml:space="preserve">D-value – activity set by the International Atomic Energy Agency relating to the danger value </w:t>
      </w:r>
      <w:r>
        <w:t>of individual radionuclides.</w:t>
      </w:r>
    </w:p>
    <w:p w:rsidR="0080097D" w:rsidRDefault="00A41627" w:rsidP="001A3B3B">
      <w:pPr>
        <w:pStyle w:val="Sub-number"/>
      </w:pPr>
      <w:r w:rsidRPr="00506761">
        <w:t xml:space="preserve">Enhanced Security Package – package containing sealed </w:t>
      </w:r>
      <w:r w:rsidRPr="00506761">
        <w:rPr>
          <w:i/>
        </w:rPr>
        <w:t>radioactive material</w:t>
      </w:r>
      <w:r w:rsidRPr="00506761">
        <w:t xml:space="preserve"> with an activity equal to or greater than 10 times its </w:t>
      </w:r>
      <w:r w:rsidRPr="00506761">
        <w:rPr>
          <w:i/>
        </w:rPr>
        <w:t>D-value</w:t>
      </w:r>
      <w:r w:rsidRPr="00506761">
        <w:t xml:space="preserve">, or unsealed </w:t>
      </w:r>
      <w:r w:rsidRPr="00506761">
        <w:rPr>
          <w:i/>
        </w:rPr>
        <w:t>radioactive material</w:t>
      </w:r>
      <w:r w:rsidRPr="00506761">
        <w:t xml:space="preserve"> with an activity equal to or greater than 3,000 times its </w:t>
      </w:r>
      <w:r w:rsidRPr="00506761">
        <w:rPr>
          <w:i/>
        </w:rPr>
        <w:t>A2-value</w:t>
      </w:r>
      <w:r>
        <w:rPr>
          <w:i/>
        </w:rPr>
        <w:t>.</w:t>
      </w:r>
    </w:p>
    <w:p w:rsidR="0080097D" w:rsidRDefault="00A41627" w:rsidP="0080097D">
      <w:pPr>
        <w:pStyle w:val="Sub-number"/>
      </w:pPr>
      <w:r w:rsidRPr="00506761">
        <w:t>IAEA Transport Regulations – the current version for the time being of the Regulations for the Safe Transport of Radioactive Material issued by the Internationa</w:t>
      </w:r>
      <w:r>
        <w:t>l Atomic Energy Agency (SSR-6).</w:t>
      </w:r>
    </w:p>
    <w:p w:rsidR="0080097D" w:rsidRDefault="00A41627" w:rsidP="0080097D">
      <w:pPr>
        <w:pStyle w:val="Sub-number"/>
      </w:pPr>
      <w:r>
        <w:t>National threat level</w:t>
      </w:r>
      <w:r w:rsidRPr="00506761">
        <w:t xml:space="preserve"> – </w:t>
      </w:r>
      <w:r>
        <w:t>the assessed level of threat that is developed nationally and advised to operators by ORS.</w:t>
      </w:r>
    </w:p>
    <w:p w:rsidR="0080097D" w:rsidRDefault="00A41627" w:rsidP="0080097D">
      <w:pPr>
        <w:pStyle w:val="Sub-number"/>
      </w:pPr>
      <w:r w:rsidRPr="00506761">
        <w:t xml:space="preserve">Nuclear material – </w:t>
      </w:r>
      <w:r w:rsidRPr="00473354">
        <w:rPr>
          <w:i/>
        </w:rPr>
        <w:t>plutonium</w:t>
      </w:r>
      <w:r w:rsidRPr="00506761">
        <w:t>; uranium-233; uranium enriched in the isotope 235</w:t>
      </w:r>
      <w:r w:rsidR="0080097D">
        <w:t> </w:t>
      </w:r>
      <w:r w:rsidRPr="00506761">
        <w:t>or 233; uranium containing the mixture of isotopes as occurring in nature other than in the form of ore or ore-residue; any material containin</w:t>
      </w:r>
      <w:r>
        <w:t>g one or more of the foregoing.</w:t>
      </w:r>
    </w:p>
    <w:p w:rsidR="0080097D" w:rsidRDefault="00A41627" w:rsidP="0080097D">
      <w:pPr>
        <w:pStyle w:val="Sub-number"/>
      </w:pPr>
      <w:r>
        <w:t>Plutonium –</w:t>
      </w:r>
      <w:r w:rsidRPr="000447F9">
        <w:t xml:space="preserve"> </w:t>
      </w:r>
      <w:r w:rsidRPr="000447F9">
        <w:rPr>
          <w:lang w:eastAsia="en-NZ"/>
        </w:rPr>
        <w:t>All plutonium except that with isotopic concentration exceeding 80% in plutonium-238.</w:t>
      </w:r>
    </w:p>
    <w:p w:rsidR="0080097D" w:rsidRDefault="00A41627" w:rsidP="0080097D">
      <w:pPr>
        <w:pStyle w:val="Sub-number"/>
      </w:pPr>
      <w:r w:rsidRPr="00506761">
        <w:lastRenderedPageBreak/>
        <w:t>Radioactive material – material that spontaneously emits ionising radiation with an activity and activity concentration exceeding the levels set out in Schedule 1 Radiat</w:t>
      </w:r>
      <w:r>
        <w:t>ion Protection Regulations 1982.</w:t>
      </w:r>
    </w:p>
    <w:p w:rsidR="0080097D" w:rsidRDefault="00A41627" w:rsidP="0080097D">
      <w:pPr>
        <w:pStyle w:val="Sub-number"/>
      </w:pPr>
      <w:r>
        <w:t>Security plan – written plan maintained by the operator that (1) describes the security approach and system to protect the material and (2) complies with the minimum requirements in Appendix I.</w:t>
      </w:r>
    </w:p>
    <w:p w:rsidR="0080097D" w:rsidRDefault="00A41627" w:rsidP="0080097D">
      <w:pPr>
        <w:pStyle w:val="Sub-number"/>
      </w:pPr>
      <w:r w:rsidRPr="00506761">
        <w:t xml:space="preserve">Unacceptable radiological consequence – an effective dose exceeding 100 </w:t>
      </w:r>
      <w:proofErr w:type="spellStart"/>
      <w:r w:rsidRPr="00506761">
        <w:t>mSv</w:t>
      </w:r>
      <w:proofErr w:type="spellEnd"/>
      <w:r w:rsidRPr="00506761">
        <w:t xml:space="preserve"> received by any member of the public in the first 7 days following an event.</w:t>
      </w:r>
    </w:p>
    <w:p w:rsidR="0080097D" w:rsidRDefault="00A41627" w:rsidP="0080097D">
      <w:pPr>
        <w:pStyle w:val="Sub-number"/>
      </w:pPr>
      <w:r>
        <w:t>Vulnerability assessment – evaluation and documentation of the features and effectiveness of the overall security system at a particular facility.</w:t>
      </w:r>
    </w:p>
    <w:p w:rsidR="00A41627" w:rsidRPr="00030264" w:rsidRDefault="00A41627" w:rsidP="0080097D"/>
    <w:p w:rsidR="0080097D" w:rsidRDefault="0080097D" w:rsidP="0080097D">
      <w:r>
        <w:br w:type="page"/>
      </w:r>
    </w:p>
    <w:p w:rsidR="0080097D" w:rsidRDefault="00A41627" w:rsidP="0080097D">
      <w:pPr>
        <w:pStyle w:val="Heading1"/>
      </w:pPr>
      <w:bookmarkStart w:id="9" w:name="_Toc433740024"/>
      <w:r>
        <w:lastRenderedPageBreak/>
        <w:t>M</w:t>
      </w:r>
      <w:r w:rsidR="0080097D">
        <w:t>aterial in use or storage</w:t>
      </w:r>
      <w:bookmarkEnd w:id="9"/>
    </w:p>
    <w:p w:rsidR="0080097D" w:rsidRDefault="00A41627" w:rsidP="00F6526B">
      <w:pPr>
        <w:pStyle w:val="Number"/>
        <w:numPr>
          <w:ilvl w:val="0"/>
          <w:numId w:val="20"/>
        </w:numPr>
      </w:pPr>
      <w:r>
        <w:t>For material in use or storage the Licensee (if appointed under regulation 9(1) of the Regulations) or, in any other case, the Managing Entity must</w:t>
      </w:r>
      <w:r w:rsidR="0080097D">
        <w:t xml:space="preserve"> –</w:t>
      </w:r>
    </w:p>
    <w:p w:rsidR="00A41627" w:rsidRDefault="00A41627" w:rsidP="0080097D">
      <w:pPr>
        <w:pStyle w:val="Sub-number"/>
      </w:pPr>
      <w:r>
        <w:t xml:space="preserve">determine whether the material is </w:t>
      </w:r>
      <w:r w:rsidRPr="00BE30A7">
        <w:rPr>
          <w:i/>
        </w:rPr>
        <w:t xml:space="preserve">Category </w:t>
      </w:r>
      <w:r>
        <w:rPr>
          <w:i/>
        </w:rPr>
        <w:t>A</w:t>
      </w:r>
      <w:r w:rsidRPr="00BE30A7">
        <w:rPr>
          <w:i/>
        </w:rPr>
        <w:t xml:space="preserve"> Material</w:t>
      </w:r>
      <w:r>
        <w:t xml:space="preserve">, </w:t>
      </w:r>
      <w:r w:rsidRPr="00BE30A7">
        <w:rPr>
          <w:i/>
        </w:rPr>
        <w:t xml:space="preserve">Category </w:t>
      </w:r>
      <w:r>
        <w:rPr>
          <w:i/>
        </w:rPr>
        <w:t>B</w:t>
      </w:r>
      <w:r w:rsidRPr="00BE30A7">
        <w:rPr>
          <w:i/>
        </w:rPr>
        <w:t xml:space="preserve"> Material</w:t>
      </w:r>
      <w:r>
        <w:t xml:space="preserve">, or </w:t>
      </w:r>
      <w:r w:rsidRPr="00BE30A7">
        <w:rPr>
          <w:i/>
        </w:rPr>
        <w:t xml:space="preserve">Category </w:t>
      </w:r>
      <w:r>
        <w:rPr>
          <w:i/>
        </w:rPr>
        <w:t>C</w:t>
      </w:r>
      <w:r w:rsidRPr="00BE30A7">
        <w:rPr>
          <w:i/>
        </w:rPr>
        <w:t xml:space="preserve"> Material</w:t>
      </w:r>
      <w:r>
        <w:rPr>
          <w:i/>
        </w:rPr>
        <w:t>,</w:t>
      </w:r>
      <w:r w:rsidRPr="00BE30A7">
        <w:rPr>
          <w:i/>
        </w:rPr>
        <w:t xml:space="preserve"> </w:t>
      </w:r>
      <w:r>
        <w:t xml:space="preserve">and in all cases </w:t>
      </w:r>
      <w:r w:rsidRPr="00D95131">
        <w:t xml:space="preserve">comply with the relevant </w:t>
      </w:r>
      <w:r>
        <w:t xml:space="preserve">security </w:t>
      </w:r>
      <w:r w:rsidRPr="00D95131">
        <w:t xml:space="preserve">obligations in clauses </w:t>
      </w:r>
      <w:r>
        <w:t>13</w:t>
      </w:r>
      <w:r w:rsidRPr="00D95131">
        <w:t xml:space="preserve"> to </w:t>
      </w:r>
      <w:r>
        <w:t>16; and</w:t>
      </w:r>
    </w:p>
    <w:p w:rsidR="00A41627" w:rsidRDefault="00A41627" w:rsidP="0080097D">
      <w:pPr>
        <w:pStyle w:val="Sub-number"/>
      </w:pPr>
      <w:r w:rsidRPr="00D95131">
        <w:t xml:space="preserve">for </w:t>
      </w:r>
      <w:r w:rsidRPr="00BE30A7">
        <w:rPr>
          <w:i/>
        </w:rPr>
        <w:t xml:space="preserve">Category </w:t>
      </w:r>
      <w:r>
        <w:rPr>
          <w:i/>
        </w:rPr>
        <w:t>A</w:t>
      </w:r>
      <w:r w:rsidRPr="00BE30A7">
        <w:rPr>
          <w:i/>
        </w:rPr>
        <w:t xml:space="preserve"> Material</w:t>
      </w:r>
      <w:r w:rsidRPr="00D95131">
        <w:t xml:space="preserve">, </w:t>
      </w:r>
      <w:r w:rsidRPr="00BE30A7">
        <w:rPr>
          <w:i/>
        </w:rPr>
        <w:t xml:space="preserve">Category </w:t>
      </w:r>
      <w:r>
        <w:rPr>
          <w:i/>
        </w:rPr>
        <w:t>B</w:t>
      </w:r>
      <w:r w:rsidRPr="00BE30A7">
        <w:rPr>
          <w:i/>
        </w:rPr>
        <w:t xml:space="preserve"> Material</w:t>
      </w:r>
      <w:r>
        <w:t xml:space="preserve"> and</w:t>
      </w:r>
      <w:r w:rsidRPr="00D95131">
        <w:t xml:space="preserve"> </w:t>
      </w:r>
      <w:r w:rsidRPr="00BE30A7">
        <w:rPr>
          <w:i/>
        </w:rPr>
        <w:t xml:space="preserve">Category </w:t>
      </w:r>
      <w:r>
        <w:rPr>
          <w:i/>
        </w:rPr>
        <w:t>C</w:t>
      </w:r>
      <w:r w:rsidRPr="00BE30A7">
        <w:rPr>
          <w:i/>
        </w:rPr>
        <w:t xml:space="preserve"> Material</w:t>
      </w:r>
      <w:r w:rsidR="0080097D">
        <w:t xml:space="preserve"> </w:t>
      </w:r>
      <w:r>
        <w:rPr>
          <w:rFonts w:cs="Arial"/>
        </w:rPr>
        <w:t>–</w:t>
      </w:r>
    </w:p>
    <w:p w:rsidR="00A41627" w:rsidRDefault="00A41627" w:rsidP="0080097D">
      <w:pPr>
        <w:pStyle w:val="Letter"/>
      </w:pPr>
      <w:r>
        <w:t xml:space="preserve">carry out an initial </w:t>
      </w:r>
      <w:r w:rsidRPr="006F43D8">
        <w:rPr>
          <w:i/>
        </w:rPr>
        <w:t xml:space="preserve">vulnerability assessment </w:t>
      </w:r>
      <w:r>
        <w:t>and review this annually; and</w:t>
      </w:r>
    </w:p>
    <w:p w:rsidR="0080097D" w:rsidRDefault="00A41627" w:rsidP="0080097D">
      <w:pPr>
        <w:pStyle w:val="Letter"/>
      </w:pPr>
      <w:r w:rsidRPr="00D95131">
        <w:t>maintain</w:t>
      </w:r>
      <w:r>
        <w:t xml:space="preserve"> and regularly review a </w:t>
      </w:r>
      <w:r w:rsidRPr="00EC6960">
        <w:rPr>
          <w:i/>
        </w:rPr>
        <w:t>security plan</w:t>
      </w:r>
      <w:r w:rsidRPr="0080097D">
        <w:t>;</w:t>
      </w:r>
      <w:r>
        <w:rPr>
          <w:i/>
        </w:rPr>
        <w:t xml:space="preserve"> </w:t>
      </w:r>
      <w:r w:rsidRPr="00B16729">
        <w:t>and</w:t>
      </w:r>
    </w:p>
    <w:p w:rsidR="0080097D" w:rsidRDefault="00A41627" w:rsidP="0080097D">
      <w:pPr>
        <w:pStyle w:val="Sub-number"/>
      </w:pPr>
      <w:r>
        <w:t xml:space="preserve">for material that is </w:t>
      </w:r>
      <w:r w:rsidRPr="0088576C">
        <w:rPr>
          <w:i/>
        </w:rPr>
        <w:t>nuclear material</w:t>
      </w:r>
      <w:r>
        <w:t xml:space="preserve"> determine whether an act of sabotage could result in an </w:t>
      </w:r>
      <w:r w:rsidRPr="0088576C">
        <w:rPr>
          <w:i/>
        </w:rPr>
        <w:t>unacceptable radiological consequence</w:t>
      </w:r>
      <w:r>
        <w:t xml:space="preserve"> and if so comply with any further ORS requirements; and</w:t>
      </w:r>
    </w:p>
    <w:p w:rsidR="00A41627" w:rsidRPr="00EC6960" w:rsidRDefault="00A41627" w:rsidP="0080097D">
      <w:pPr>
        <w:pStyle w:val="Sub-number"/>
      </w:pPr>
      <w:r>
        <w:rPr>
          <w:rFonts w:cs="Arial"/>
        </w:rPr>
        <w:t xml:space="preserve">if advised of a change </w:t>
      </w:r>
      <w:r w:rsidRPr="008B4BF3">
        <w:rPr>
          <w:rFonts w:cs="Arial"/>
        </w:rPr>
        <w:t>in</w:t>
      </w:r>
      <w:r w:rsidRPr="00A111DF">
        <w:rPr>
          <w:rFonts w:cs="Arial"/>
          <w:i/>
        </w:rPr>
        <w:t xml:space="preserve"> national threat level</w:t>
      </w:r>
      <w:r>
        <w:rPr>
          <w:rFonts w:cs="Arial"/>
        </w:rPr>
        <w:t xml:space="preserve"> by ORS, immediately</w:t>
      </w:r>
      <w:r w:rsidR="0080097D">
        <w:rPr>
          <w:rFonts w:cs="Arial"/>
        </w:rPr>
        <w:t xml:space="preserve"> </w:t>
      </w:r>
      <w:r>
        <w:rPr>
          <w:rFonts w:cs="Arial"/>
        </w:rPr>
        <w:t>–</w:t>
      </w:r>
    </w:p>
    <w:p w:rsidR="001A3B3B" w:rsidRPr="0080097D" w:rsidRDefault="00A41627" w:rsidP="00F6526B">
      <w:pPr>
        <w:pStyle w:val="Letter"/>
      </w:pPr>
      <w:r>
        <w:t>f</w:t>
      </w:r>
      <w:r w:rsidRPr="00D95131">
        <w:t xml:space="preserve">or </w:t>
      </w:r>
      <w:r w:rsidRPr="00BE30A7">
        <w:t xml:space="preserve">Category </w:t>
      </w:r>
      <w:r>
        <w:t>A</w:t>
      </w:r>
      <w:r w:rsidRPr="00BE30A7">
        <w:t xml:space="preserve"> Material</w:t>
      </w:r>
      <w:r w:rsidRPr="00D95131">
        <w:t xml:space="preserve">, </w:t>
      </w:r>
      <w:r w:rsidRPr="00BE30A7">
        <w:t xml:space="preserve">Category </w:t>
      </w:r>
      <w:r>
        <w:t>B</w:t>
      </w:r>
      <w:r w:rsidRPr="00BE30A7">
        <w:t xml:space="preserve"> Material</w:t>
      </w:r>
      <w:r>
        <w:t xml:space="preserve"> and</w:t>
      </w:r>
      <w:r w:rsidRPr="00D95131">
        <w:t xml:space="preserve"> </w:t>
      </w:r>
      <w:r w:rsidRPr="00BE30A7">
        <w:t xml:space="preserve">Category </w:t>
      </w:r>
      <w:r>
        <w:t>C</w:t>
      </w:r>
      <w:r w:rsidRPr="00BE30A7">
        <w:t xml:space="preserve"> Material</w:t>
      </w:r>
      <w:r w:rsidR="0080097D" w:rsidRPr="0080097D">
        <w:t xml:space="preserve"> –</w:t>
      </w:r>
    </w:p>
    <w:p w:rsidR="00A41627" w:rsidRPr="00EC6960" w:rsidRDefault="00A41627" w:rsidP="00365E4F">
      <w:pPr>
        <w:pStyle w:val="Roman"/>
      </w:pPr>
      <w:proofErr w:type="gramStart"/>
      <w:r>
        <w:t>carry</w:t>
      </w:r>
      <w:proofErr w:type="gramEnd"/>
      <w:r>
        <w:t xml:space="preserve"> out a </w:t>
      </w:r>
      <w:r w:rsidRPr="006F43D8">
        <w:t>vulnerability assessment</w:t>
      </w:r>
      <w:r>
        <w:t xml:space="preserve"> to ensure that the relevant requirements in clauses 13.1, 14.1, or 15.1 are satisfied having regard to the new </w:t>
      </w:r>
      <w:r w:rsidRPr="00A111DF">
        <w:t>national threat level</w:t>
      </w:r>
      <w:r>
        <w:t>; and</w:t>
      </w:r>
    </w:p>
    <w:p w:rsidR="00A41627" w:rsidRPr="008B4BF3" w:rsidRDefault="00A41627" w:rsidP="00365E4F">
      <w:pPr>
        <w:pStyle w:val="Roman"/>
      </w:pPr>
      <w:proofErr w:type="gramStart"/>
      <w:r w:rsidRPr="008B4BF3">
        <w:t>update</w:t>
      </w:r>
      <w:proofErr w:type="gramEnd"/>
      <w:r w:rsidRPr="008B4BF3">
        <w:t xml:space="preserve"> the </w:t>
      </w:r>
      <w:r w:rsidRPr="002E7871">
        <w:rPr>
          <w:i/>
        </w:rPr>
        <w:t>security plan</w:t>
      </w:r>
      <w:r w:rsidRPr="008B4BF3">
        <w:t xml:space="preserve"> and implement any new requirements arising from that assessment</w:t>
      </w:r>
      <w:r>
        <w:t>; and</w:t>
      </w:r>
    </w:p>
    <w:p w:rsidR="00A41627" w:rsidRPr="006E17C2" w:rsidRDefault="00A41627" w:rsidP="00F6526B">
      <w:pPr>
        <w:pStyle w:val="Letter"/>
      </w:pPr>
      <w:r>
        <w:t>comply with any further ORS requirements; and</w:t>
      </w:r>
    </w:p>
    <w:p w:rsidR="00A41627" w:rsidRPr="006E17C2" w:rsidRDefault="00A41627" w:rsidP="0080097D">
      <w:pPr>
        <w:pStyle w:val="Sub-number"/>
      </w:pPr>
      <w:proofErr w:type="gramStart"/>
      <w:r>
        <w:rPr>
          <w:rFonts w:cs="Arial"/>
        </w:rPr>
        <w:t>i</w:t>
      </w:r>
      <w:r w:rsidRPr="006E17C2">
        <w:rPr>
          <w:rFonts w:cs="Arial"/>
        </w:rPr>
        <w:t>f</w:t>
      </w:r>
      <w:proofErr w:type="gramEnd"/>
      <w:r w:rsidRPr="006E17C2">
        <w:rPr>
          <w:rFonts w:cs="Arial"/>
        </w:rPr>
        <w:t xml:space="preserve"> </w:t>
      </w:r>
      <w:r>
        <w:rPr>
          <w:rFonts w:cs="Arial"/>
        </w:rPr>
        <w:t>clauses</w:t>
      </w:r>
      <w:r w:rsidRPr="006E17C2">
        <w:rPr>
          <w:rFonts w:cs="Arial"/>
        </w:rPr>
        <w:t xml:space="preserve"> </w:t>
      </w:r>
      <w:r>
        <w:rPr>
          <w:rFonts w:cs="Arial"/>
        </w:rPr>
        <w:t>12</w:t>
      </w:r>
      <w:r w:rsidRPr="006E17C2">
        <w:rPr>
          <w:rFonts w:cs="Arial"/>
        </w:rPr>
        <w:t xml:space="preserve">.1 to </w:t>
      </w:r>
      <w:r>
        <w:rPr>
          <w:rFonts w:cs="Arial"/>
        </w:rPr>
        <w:t>12</w:t>
      </w:r>
      <w:r w:rsidRPr="006E17C2">
        <w:rPr>
          <w:rFonts w:cs="Arial"/>
        </w:rPr>
        <w:t xml:space="preserve">.4 result in </w:t>
      </w:r>
      <w:r>
        <w:rPr>
          <w:rFonts w:cs="Arial"/>
        </w:rPr>
        <w:t xml:space="preserve">inconsistent requirements </w:t>
      </w:r>
      <w:r w:rsidRPr="006E17C2">
        <w:rPr>
          <w:rFonts w:cs="Arial"/>
        </w:rPr>
        <w:t>then comply w</w:t>
      </w:r>
      <w:r>
        <w:rPr>
          <w:rFonts w:cs="Arial"/>
        </w:rPr>
        <w:t xml:space="preserve">ith the most stringent of those </w:t>
      </w:r>
      <w:r w:rsidRPr="006E17C2">
        <w:rPr>
          <w:rFonts w:cs="Arial"/>
        </w:rPr>
        <w:t>requirements</w:t>
      </w:r>
      <w:r>
        <w:rPr>
          <w:rFonts w:cs="Arial"/>
        </w:rPr>
        <w:t>.</w:t>
      </w:r>
    </w:p>
    <w:p w:rsidR="00A41627" w:rsidRDefault="00A41627" w:rsidP="00080CA5">
      <w:pPr>
        <w:pStyle w:val="Number"/>
      </w:pPr>
      <w:r>
        <w:t xml:space="preserve">For </w:t>
      </w:r>
      <w:r w:rsidRPr="003005C1">
        <w:rPr>
          <w:i/>
        </w:rPr>
        <w:t xml:space="preserve">Category </w:t>
      </w:r>
      <w:r>
        <w:rPr>
          <w:i/>
        </w:rPr>
        <w:t xml:space="preserve">A </w:t>
      </w:r>
      <w:r w:rsidRPr="003005C1">
        <w:rPr>
          <w:i/>
        </w:rPr>
        <w:t>Material</w:t>
      </w:r>
      <w:r>
        <w:t xml:space="preserve"> in use or storage the security </w:t>
      </w:r>
      <w:r>
        <w:rPr>
          <w:rFonts w:cs="Arial"/>
        </w:rPr>
        <w:t xml:space="preserve">obligations </w:t>
      </w:r>
      <w:r>
        <w:t>are to</w:t>
      </w:r>
      <w:r w:rsidR="00F6526B">
        <w:t xml:space="preserve"> –</w:t>
      </w:r>
    </w:p>
    <w:p w:rsidR="00A41627" w:rsidRDefault="00A41627" w:rsidP="00B57158">
      <w:pPr>
        <w:pStyle w:val="Sub-number"/>
      </w:pPr>
      <w:r>
        <w:t>take all reasonable steps to prevent the unauthorised removal of the material; and</w:t>
      </w:r>
    </w:p>
    <w:p w:rsidR="00A41627" w:rsidRDefault="00A41627" w:rsidP="00B57158">
      <w:pPr>
        <w:pStyle w:val="Sub-number"/>
      </w:pPr>
      <w:r>
        <w:t>without limiting the general nature of clause 13.1</w:t>
      </w:r>
      <w:r w:rsidR="00B57158">
        <w:t xml:space="preserve"> –</w:t>
      </w:r>
    </w:p>
    <w:p w:rsidR="00A41627" w:rsidRPr="00634231" w:rsidRDefault="00A41627" w:rsidP="00B57158">
      <w:pPr>
        <w:pStyle w:val="Letter"/>
      </w:pPr>
      <w:r>
        <w:t>deter adversaries from attempting a malicious act; and</w:t>
      </w:r>
    </w:p>
    <w:p w:rsidR="00A41627" w:rsidRDefault="00A41627" w:rsidP="00B57158">
      <w:pPr>
        <w:pStyle w:val="Letter"/>
      </w:pPr>
      <w:r>
        <w:t>implement delay mechanisms, including at least two layers of barriers, sufficient for response personnel to interrupt any unauthorised removal; and</w:t>
      </w:r>
    </w:p>
    <w:p w:rsidR="00A41627" w:rsidRDefault="00A41627" w:rsidP="00B57158">
      <w:pPr>
        <w:pStyle w:val="Letter"/>
      </w:pPr>
      <w:r>
        <w:t>ensure trustworthiness of authorised personnel; and</w:t>
      </w:r>
    </w:p>
    <w:p w:rsidR="00A41627" w:rsidRPr="00634231" w:rsidRDefault="00A41627" w:rsidP="00B57158">
      <w:pPr>
        <w:pStyle w:val="Letter"/>
      </w:pPr>
      <w:r>
        <w:t>provide at least two forms of access control to restrict access to the secured area to authorised personnel; and</w:t>
      </w:r>
    </w:p>
    <w:p w:rsidR="00A41627" w:rsidRDefault="00A41627" w:rsidP="00B57158">
      <w:pPr>
        <w:pStyle w:val="Letter"/>
      </w:pPr>
      <w:r>
        <w:t>identify and protect sensitive information; and</w:t>
      </w:r>
    </w:p>
    <w:p w:rsidR="00A41627" w:rsidRDefault="00A41627" w:rsidP="00B57158">
      <w:pPr>
        <w:pStyle w:val="Letter"/>
      </w:pPr>
      <w:r>
        <w:t>enable immediate verification of unauthorised removal of material; and</w:t>
      </w:r>
    </w:p>
    <w:p w:rsidR="00A41627" w:rsidRDefault="00A41627" w:rsidP="00B57158">
      <w:pPr>
        <w:pStyle w:val="Letter"/>
      </w:pPr>
      <w:r>
        <w:t>immediately detect unauthorised access to the secured area; and</w:t>
      </w:r>
    </w:p>
    <w:p w:rsidR="00A41627" w:rsidRDefault="00A41627" w:rsidP="00B57158">
      <w:pPr>
        <w:pStyle w:val="Letter"/>
      </w:pPr>
      <w:r>
        <w:t>immediately detect any attempted unauthorised removal of the material; and</w:t>
      </w:r>
    </w:p>
    <w:p w:rsidR="00A41627" w:rsidRDefault="00A41627" w:rsidP="00B57158">
      <w:pPr>
        <w:pStyle w:val="Letter"/>
      </w:pPr>
      <w:r>
        <w:t>immediately assess and verify detections under paragraphs (g) and (h); and</w:t>
      </w:r>
    </w:p>
    <w:p w:rsidR="00A41627" w:rsidRDefault="00A41627" w:rsidP="00B57158">
      <w:pPr>
        <w:pStyle w:val="Sub-number"/>
        <w:keepNext/>
      </w:pPr>
      <w:r>
        <w:lastRenderedPageBreak/>
        <w:t>upon verification of an attempted unauthorised access to the secured area</w:t>
      </w:r>
      <w:r w:rsidR="00B57158">
        <w:t xml:space="preserve"> –</w:t>
      </w:r>
    </w:p>
    <w:p w:rsidR="00A41627" w:rsidRDefault="00A41627" w:rsidP="00B57158">
      <w:pPr>
        <w:pStyle w:val="Letter"/>
      </w:pPr>
      <w:r>
        <w:t>immediately respond with sufficient resources to interrupt and prevent the removal of the material; and</w:t>
      </w:r>
    </w:p>
    <w:p w:rsidR="001A3B3B" w:rsidRDefault="00A41627" w:rsidP="00B57158">
      <w:pPr>
        <w:pStyle w:val="Letter"/>
      </w:pPr>
      <w:r>
        <w:t>immediately notify the national radiation incident officer (021 393 632) and NZ Police and comply with their instructions; and</w:t>
      </w:r>
    </w:p>
    <w:p w:rsidR="00A41627" w:rsidRPr="008B4BF3" w:rsidRDefault="00A41627" w:rsidP="00B57158">
      <w:pPr>
        <w:pStyle w:val="Letter"/>
      </w:pPr>
      <w:r w:rsidRPr="00DD6DD0">
        <w:t>notify the incident to ORS</w:t>
      </w:r>
      <w:r>
        <w:t>; and</w:t>
      </w:r>
    </w:p>
    <w:p w:rsidR="00A41627" w:rsidRPr="00634231" w:rsidRDefault="00A41627" w:rsidP="00B57158">
      <w:pPr>
        <w:pStyle w:val="Sub-number"/>
      </w:pPr>
      <w:r>
        <w:t>upon verification of an attempted unauthorised removal</w:t>
      </w:r>
      <w:r w:rsidR="00B57158">
        <w:t> –</w:t>
      </w:r>
    </w:p>
    <w:p w:rsidR="00A41627" w:rsidRDefault="00A41627" w:rsidP="00B57158">
      <w:pPr>
        <w:pStyle w:val="Letter"/>
      </w:pPr>
      <w:r>
        <w:t>immediately respond with sufficient resources to interrupt and prevent the removal of the material; and</w:t>
      </w:r>
    </w:p>
    <w:p w:rsidR="001A3B3B" w:rsidRDefault="00A41627" w:rsidP="00B57158">
      <w:pPr>
        <w:pStyle w:val="Letter"/>
      </w:pPr>
      <w:r>
        <w:t>immediately notify the national radiation incident officer (021 393 632) and NZ Police and comply with their instructions; and</w:t>
      </w:r>
    </w:p>
    <w:p w:rsidR="00A41627" w:rsidRDefault="00A41627" w:rsidP="00B57158">
      <w:pPr>
        <w:pStyle w:val="Letter"/>
      </w:pPr>
      <w:r>
        <w:t>take all reasonable steps to locate and recover the material; and</w:t>
      </w:r>
    </w:p>
    <w:p w:rsidR="00B57158" w:rsidRPr="00B57158" w:rsidRDefault="00A41627" w:rsidP="00B57158">
      <w:pPr>
        <w:pStyle w:val="Letter"/>
      </w:pPr>
      <w:proofErr w:type="gramStart"/>
      <w:r>
        <w:rPr>
          <w:rFonts w:cs="Arial"/>
        </w:rPr>
        <w:t>notify</w:t>
      </w:r>
      <w:proofErr w:type="gramEnd"/>
      <w:r>
        <w:rPr>
          <w:rFonts w:cs="Arial"/>
        </w:rPr>
        <w:t xml:space="preserve"> the incident to ORS.</w:t>
      </w:r>
    </w:p>
    <w:p w:rsidR="00B57158" w:rsidRDefault="00A41627" w:rsidP="00B57158">
      <w:pPr>
        <w:pStyle w:val="Number"/>
      </w:pPr>
      <w:r>
        <w:t xml:space="preserve">For </w:t>
      </w:r>
      <w:r w:rsidRPr="003005C1">
        <w:rPr>
          <w:i/>
        </w:rPr>
        <w:t xml:space="preserve">Category </w:t>
      </w:r>
      <w:r>
        <w:rPr>
          <w:i/>
        </w:rPr>
        <w:t>B</w:t>
      </w:r>
      <w:r w:rsidRPr="003005C1">
        <w:rPr>
          <w:i/>
        </w:rPr>
        <w:t xml:space="preserve"> Material</w:t>
      </w:r>
      <w:r>
        <w:t xml:space="preserve"> in use or storage the security obligations are to</w:t>
      </w:r>
      <w:r w:rsidR="00B57158">
        <w:t> –</w:t>
      </w:r>
    </w:p>
    <w:p w:rsidR="00A41627" w:rsidRPr="007C56C7" w:rsidRDefault="00A41627" w:rsidP="00B57158">
      <w:pPr>
        <w:pStyle w:val="Sub-number"/>
      </w:pPr>
      <w:r>
        <w:t>take all reasonable steps to minimise the likelihood of unauthorised removal of the material; and</w:t>
      </w:r>
    </w:p>
    <w:p w:rsidR="00A41627" w:rsidRDefault="00A41627" w:rsidP="00B57158">
      <w:pPr>
        <w:pStyle w:val="Sub-number"/>
      </w:pPr>
      <w:r>
        <w:t>without limiting the general nature of clause 14.1</w:t>
      </w:r>
      <w:r w:rsidR="00B57158">
        <w:t> –</w:t>
      </w:r>
    </w:p>
    <w:p w:rsidR="00A41627" w:rsidRPr="00A81DAC" w:rsidRDefault="00A41627" w:rsidP="00B57158">
      <w:pPr>
        <w:pStyle w:val="Letter"/>
      </w:pPr>
      <w:r>
        <w:t>deter adversaries from attempting a malicious act; and</w:t>
      </w:r>
    </w:p>
    <w:p w:rsidR="00A41627" w:rsidRDefault="00A41627" w:rsidP="00B57158">
      <w:pPr>
        <w:pStyle w:val="Letter"/>
      </w:pPr>
      <w:r>
        <w:t>implement delay mechanisms, including at least two barriers, sufficient for response personnel to minimise the likelihood of unauthorised removal; and</w:t>
      </w:r>
    </w:p>
    <w:p w:rsidR="00A41627" w:rsidRDefault="00A41627" w:rsidP="00B57158">
      <w:pPr>
        <w:pStyle w:val="Letter"/>
      </w:pPr>
      <w:r>
        <w:t>ensure trustworthiness of authorised personnel; and</w:t>
      </w:r>
    </w:p>
    <w:p w:rsidR="00A41627" w:rsidRPr="00A81DAC" w:rsidRDefault="00A41627" w:rsidP="00B57158">
      <w:pPr>
        <w:pStyle w:val="Letter"/>
      </w:pPr>
      <w:r>
        <w:t>provide at least one form of access control to restrict access to the secured area to authorised personnel; and</w:t>
      </w:r>
    </w:p>
    <w:p w:rsidR="00A41627" w:rsidRDefault="00A41627" w:rsidP="00B57158">
      <w:pPr>
        <w:pStyle w:val="Letter"/>
      </w:pPr>
      <w:r>
        <w:t>identify and protect sensitive information; and</w:t>
      </w:r>
    </w:p>
    <w:p w:rsidR="00A41627" w:rsidRDefault="00A41627" w:rsidP="00B57158">
      <w:pPr>
        <w:pStyle w:val="Letter"/>
      </w:pPr>
      <w:r>
        <w:t>enable immediate verification of unauthorised removal of material; and</w:t>
      </w:r>
    </w:p>
    <w:p w:rsidR="00A41627" w:rsidRDefault="00A41627" w:rsidP="00B57158">
      <w:pPr>
        <w:pStyle w:val="Letter"/>
      </w:pPr>
      <w:r>
        <w:t>immediately detect unauthorised access to the secured area; and</w:t>
      </w:r>
    </w:p>
    <w:p w:rsidR="00A41627" w:rsidRDefault="00A41627" w:rsidP="00B57158">
      <w:pPr>
        <w:pStyle w:val="Letter"/>
      </w:pPr>
      <w:r>
        <w:t>detect any attempted unauthorised removal of the material; and</w:t>
      </w:r>
    </w:p>
    <w:p w:rsidR="00A41627" w:rsidRDefault="00A41627" w:rsidP="00B57158">
      <w:pPr>
        <w:pStyle w:val="Letter"/>
      </w:pPr>
      <w:r>
        <w:t>immediately assess and verify detections under paragraphs (g) and (h); and</w:t>
      </w:r>
    </w:p>
    <w:p w:rsidR="00A41627" w:rsidRDefault="00A41627" w:rsidP="00B57158">
      <w:pPr>
        <w:pStyle w:val="Sub-number"/>
      </w:pPr>
      <w:r>
        <w:t>upon verification of an attempted unauthorised access to the secured area</w:t>
      </w:r>
      <w:r w:rsidR="00B57158">
        <w:t> </w:t>
      </w:r>
      <w:r>
        <w:rPr>
          <w:rFonts w:cs="Arial"/>
        </w:rPr>
        <w:t>–</w:t>
      </w:r>
    </w:p>
    <w:p w:rsidR="00A41627" w:rsidRDefault="00A41627" w:rsidP="00B57158">
      <w:pPr>
        <w:pStyle w:val="Letter"/>
      </w:pPr>
      <w:r>
        <w:t>immediately respond with sufficient resources to interrupt and prevent the removal of the material; and</w:t>
      </w:r>
    </w:p>
    <w:p w:rsidR="001A3B3B" w:rsidRDefault="00A41627" w:rsidP="00B57158">
      <w:pPr>
        <w:pStyle w:val="Letter"/>
      </w:pPr>
      <w:r>
        <w:t>immediately notify the national radiation incident officer (021 393 632) and NZ Police and comply with their instructions; and</w:t>
      </w:r>
    </w:p>
    <w:p w:rsidR="00A41627" w:rsidRDefault="00A41627" w:rsidP="00B57158">
      <w:pPr>
        <w:pStyle w:val="Letter"/>
      </w:pPr>
      <w:r w:rsidRPr="00DD6DD0">
        <w:rPr>
          <w:rFonts w:cs="Arial"/>
        </w:rPr>
        <w:t>notify the incident to ORS</w:t>
      </w:r>
      <w:r>
        <w:rPr>
          <w:rFonts w:cs="Arial"/>
        </w:rPr>
        <w:t>; and</w:t>
      </w:r>
    </w:p>
    <w:p w:rsidR="00A41627" w:rsidRPr="00A81DAC" w:rsidRDefault="00A41627" w:rsidP="00B57158">
      <w:pPr>
        <w:pStyle w:val="Sub-number"/>
      </w:pPr>
      <w:r>
        <w:t>upon verification of an attempted unauthorised removal</w:t>
      </w:r>
      <w:r w:rsidR="00B57158">
        <w:t> </w:t>
      </w:r>
      <w:r>
        <w:rPr>
          <w:rFonts w:cs="Arial"/>
        </w:rPr>
        <w:t>–</w:t>
      </w:r>
    </w:p>
    <w:p w:rsidR="00A41627" w:rsidRDefault="00A41627" w:rsidP="00B57158">
      <w:pPr>
        <w:pStyle w:val="Letter"/>
      </w:pPr>
      <w:r>
        <w:t>immediately initiate a response with sufficient resources to interrupt the removal of the material; and</w:t>
      </w:r>
    </w:p>
    <w:p w:rsidR="001A3B3B" w:rsidRDefault="00A41627" w:rsidP="00B57158">
      <w:pPr>
        <w:pStyle w:val="Letter"/>
      </w:pPr>
      <w:r>
        <w:t>immediately notify the national radiation incident officer (021 393 632) and NZ Police and comply with their instructions; and</w:t>
      </w:r>
    </w:p>
    <w:p w:rsidR="00A41627" w:rsidRDefault="00A41627" w:rsidP="00B57158">
      <w:pPr>
        <w:pStyle w:val="Letter"/>
        <w:keepNext/>
      </w:pPr>
      <w:r>
        <w:lastRenderedPageBreak/>
        <w:t>take all reasonable steps to locate and recover the material; and</w:t>
      </w:r>
    </w:p>
    <w:p w:rsidR="00A41627" w:rsidRDefault="00A41627" w:rsidP="00B57158">
      <w:pPr>
        <w:pStyle w:val="Letter"/>
        <w:rPr>
          <w:rFonts w:cs="Arial"/>
        </w:rPr>
      </w:pPr>
      <w:proofErr w:type="gramStart"/>
      <w:r>
        <w:rPr>
          <w:rFonts w:cs="Arial"/>
        </w:rPr>
        <w:t>notify</w:t>
      </w:r>
      <w:proofErr w:type="gramEnd"/>
      <w:r>
        <w:rPr>
          <w:rFonts w:cs="Arial"/>
        </w:rPr>
        <w:t xml:space="preserve"> the incident to ORS.</w:t>
      </w:r>
    </w:p>
    <w:p w:rsidR="00A41627" w:rsidRPr="007C56C7" w:rsidRDefault="00A41627" w:rsidP="00B57158">
      <w:pPr>
        <w:pStyle w:val="Number"/>
      </w:pPr>
      <w:r>
        <w:t xml:space="preserve">For </w:t>
      </w:r>
      <w:r w:rsidRPr="003005C1">
        <w:rPr>
          <w:i/>
        </w:rPr>
        <w:t xml:space="preserve">Category </w:t>
      </w:r>
      <w:r>
        <w:rPr>
          <w:i/>
        </w:rPr>
        <w:t>C</w:t>
      </w:r>
      <w:r w:rsidRPr="003005C1">
        <w:rPr>
          <w:i/>
        </w:rPr>
        <w:t xml:space="preserve"> Material</w:t>
      </w:r>
      <w:r>
        <w:t xml:space="preserve"> in use or storage the security obligations are to</w:t>
      </w:r>
      <w:r w:rsidR="00B57158">
        <w:t> –</w:t>
      </w:r>
    </w:p>
    <w:p w:rsidR="00A41627" w:rsidRPr="007C56C7" w:rsidRDefault="00A41627" w:rsidP="00B57158">
      <w:pPr>
        <w:pStyle w:val="Sub-number"/>
      </w:pPr>
      <w:r>
        <w:t>take all reasonable steps to reduce the likelihood of unauthorised removal of the material; and</w:t>
      </w:r>
    </w:p>
    <w:p w:rsidR="00A41627" w:rsidRDefault="00A41627" w:rsidP="00B57158">
      <w:pPr>
        <w:pStyle w:val="Sub-number"/>
      </w:pPr>
      <w:r>
        <w:t>without limiting the general nature of clause 15.1</w:t>
      </w:r>
      <w:r w:rsidR="00B57158">
        <w:t> –</w:t>
      </w:r>
    </w:p>
    <w:p w:rsidR="00A41627" w:rsidRPr="00A81DAC" w:rsidRDefault="00A41627" w:rsidP="00B57158">
      <w:pPr>
        <w:pStyle w:val="Letter"/>
      </w:pPr>
      <w:r>
        <w:t>deter adversaries from attempting a malicious act; and</w:t>
      </w:r>
    </w:p>
    <w:p w:rsidR="00A41627" w:rsidRDefault="00A41627" w:rsidP="00B57158">
      <w:pPr>
        <w:pStyle w:val="Letter"/>
      </w:pPr>
      <w:r>
        <w:t>implement delay mechanisms, including at least one barrier, sufficient to reduce the likelihood of unauthorised removal; and</w:t>
      </w:r>
    </w:p>
    <w:p w:rsidR="00A41627" w:rsidRDefault="00A41627" w:rsidP="00B57158">
      <w:pPr>
        <w:pStyle w:val="Letter"/>
      </w:pPr>
      <w:r>
        <w:t>ensure trustworthiness of authorised personnel; and</w:t>
      </w:r>
    </w:p>
    <w:p w:rsidR="00A41627" w:rsidRPr="00A81DAC" w:rsidRDefault="00A41627" w:rsidP="00B57158">
      <w:pPr>
        <w:pStyle w:val="Letter"/>
      </w:pPr>
      <w:r>
        <w:t>provide at least one form of access control to restrict access to the secured area to authorised personnel; and</w:t>
      </w:r>
    </w:p>
    <w:p w:rsidR="00A41627" w:rsidRDefault="00A41627" w:rsidP="00B57158">
      <w:pPr>
        <w:pStyle w:val="Letter"/>
      </w:pPr>
      <w:r>
        <w:t>identify and protect sensitive information; and</w:t>
      </w:r>
    </w:p>
    <w:p w:rsidR="00A41627" w:rsidRDefault="00A41627" w:rsidP="00B57158">
      <w:pPr>
        <w:pStyle w:val="Letter"/>
      </w:pPr>
      <w:r>
        <w:t>enable immediate verification of unauthorised removal of material; and</w:t>
      </w:r>
    </w:p>
    <w:p w:rsidR="00A41627" w:rsidRDefault="00A41627" w:rsidP="00B57158">
      <w:pPr>
        <w:pStyle w:val="Letter"/>
      </w:pPr>
      <w:r>
        <w:t>immediately detect unauthorised access to the secured area; and</w:t>
      </w:r>
    </w:p>
    <w:p w:rsidR="00A41627" w:rsidRDefault="00A41627" w:rsidP="00B57158">
      <w:pPr>
        <w:pStyle w:val="Letter"/>
      </w:pPr>
      <w:r>
        <w:t>detect any unauthorised removal of the material; and</w:t>
      </w:r>
    </w:p>
    <w:p w:rsidR="00A41627" w:rsidRDefault="00A41627" w:rsidP="00B57158">
      <w:pPr>
        <w:pStyle w:val="Letter"/>
      </w:pPr>
      <w:r>
        <w:t>immediately assess and verify detections under paragraphs (g) and (h); and</w:t>
      </w:r>
    </w:p>
    <w:p w:rsidR="00A41627" w:rsidRPr="00A81DAC" w:rsidRDefault="00A41627" w:rsidP="00B57158">
      <w:pPr>
        <w:pStyle w:val="Sub-number"/>
      </w:pPr>
      <w:r>
        <w:t>upon verification of unauthorised removal</w:t>
      </w:r>
      <w:r w:rsidR="00B57158">
        <w:t> –</w:t>
      </w:r>
    </w:p>
    <w:p w:rsidR="00A41627" w:rsidRPr="00A81DAC" w:rsidRDefault="00A41627" w:rsidP="00B57158">
      <w:pPr>
        <w:pStyle w:val="Letter"/>
      </w:pPr>
      <w:r>
        <w:t>immediately notify the national radiation incident officer (021 393 632) and NZ Police and comply with their instructions; and</w:t>
      </w:r>
    </w:p>
    <w:p w:rsidR="00A41627" w:rsidRDefault="00A41627" w:rsidP="00B57158">
      <w:pPr>
        <w:pStyle w:val="Letter"/>
      </w:pPr>
      <w:r>
        <w:t>take all reasonable steps to locate and recover the material; and</w:t>
      </w:r>
    </w:p>
    <w:p w:rsidR="00A41627" w:rsidRDefault="00A41627" w:rsidP="00B57158">
      <w:pPr>
        <w:pStyle w:val="Letter"/>
        <w:rPr>
          <w:rFonts w:cs="Arial"/>
        </w:rPr>
      </w:pPr>
      <w:proofErr w:type="gramStart"/>
      <w:r w:rsidRPr="00634231">
        <w:rPr>
          <w:rFonts w:cs="Arial"/>
        </w:rPr>
        <w:t>notify</w:t>
      </w:r>
      <w:proofErr w:type="gramEnd"/>
      <w:r w:rsidRPr="00634231">
        <w:rPr>
          <w:rFonts w:cs="Arial"/>
        </w:rPr>
        <w:t xml:space="preserve"> the incident to ORS</w:t>
      </w:r>
      <w:r>
        <w:rPr>
          <w:rFonts w:cs="Arial"/>
        </w:rPr>
        <w:t>.</w:t>
      </w:r>
    </w:p>
    <w:p w:rsidR="00A41627" w:rsidRDefault="00A41627" w:rsidP="00B57158">
      <w:pPr>
        <w:pStyle w:val="Number"/>
        <w:rPr>
          <w:rFonts w:cs="Arial"/>
        </w:rPr>
      </w:pPr>
      <w:r>
        <w:t>F</w:t>
      </w:r>
      <w:r w:rsidRPr="00D95131">
        <w:t xml:space="preserve">or </w:t>
      </w:r>
      <w:r>
        <w:t xml:space="preserve">material in use or storage that is not </w:t>
      </w:r>
      <w:r w:rsidRPr="00BE30A7">
        <w:rPr>
          <w:i/>
        </w:rPr>
        <w:t xml:space="preserve">Category </w:t>
      </w:r>
      <w:r>
        <w:rPr>
          <w:i/>
        </w:rPr>
        <w:t>A</w:t>
      </w:r>
      <w:r w:rsidRPr="00BE30A7">
        <w:rPr>
          <w:i/>
        </w:rPr>
        <w:t xml:space="preserve"> Material</w:t>
      </w:r>
      <w:r w:rsidRPr="00D95131">
        <w:t xml:space="preserve">, </w:t>
      </w:r>
      <w:r w:rsidRPr="00BE30A7">
        <w:rPr>
          <w:i/>
        </w:rPr>
        <w:t xml:space="preserve">Category </w:t>
      </w:r>
      <w:r>
        <w:rPr>
          <w:i/>
        </w:rPr>
        <w:t>B</w:t>
      </w:r>
      <w:r w:rsidRPr="00BE30A7">
        <w:rPr>
          <w:i/>
        </w:rPr>
        <w:t xml:space="preserve"> Material</w:t>
      </w:r>
      <w:r>
        <w:t xml:space="preserve"> or</w:t>
      </w:r>
      <w:r w:rsidRPr="00D95131">
        <w:t xml:space="preserve"> </w:t>
      </w:r>
      <w:r w:rsidRPr="00BE30A7">
        <w:rPr>
          <w:i/>
        </w:rPr>
        <w:t xml:space="preserve">Category </w:t>
      </w:r>
      <w:r>
        <w:rPr>
          <w:i/>
        </w:rPr>
        <w:t>C</w:t>
      </w:r>
      <w:r w:rsidRPr="00BE30A7">
        <w:rPr>
          <w:i/>
        </w:rPr>
        <w:t xml:space="preserve"> Material</w:t>
      </w:r>
      <w:r>
        <w:rPr>
          <w:i/>
        </w:rPr>
        <w:t>,</w:t>
      </w:r>
      <w:r>
        <w:t xml:space="preserve"> </w:t>
      </w:r>
      <w:r w:rsidRPr="002B4499">
        <w:t xml:space="preserve">the security </w:t>
      </w:r>
      <w:r w:rsidRPr="002B4499">
        <w:rPr>
          <w:rFonts w:cs="Arial"/>
        </w:rPr>
        <w:t xml:space="preserve">obligations </w:t>
      </w:r>
      <w:r>
        <w:t>are to</w:t>
      </w:r>
      <w:r w:rsidR="00B57158">
        <w:t> –</w:t>
      </w:r>
    </w:p>
    <w:p w:rsidR="00A41627" w:rsidRPr="001A53AF" w:rsidRDefault="00A41627" w:rsidP="00B57158">
      <w:pPr>
        <w:pStyle w:val="Sub-number"/>
      </w:pPr>
      <w:r>
        <w:t>adopt prudent management practice to secure the material against unauthorised removal; and</w:t>
      </w:r>
    </w:p>
    <w:p w:rsidR="00A41627" w:rsidRPr="00A8087C" w:rsidRDefault="00A41627" w:rsidP="00B57158">
      <w:pPr>
        <w:pStyle w:val="Sub-number"/>
      </w:pPr>
      <w:r w:rsidRPr="00A8087C">
        <w:t>upon verif</w:t>
      </w:r>
      <w:r>
        <w:t>ication of unauthorised removal</w:t>
      </w:r>
      <w:r w:rsidR="00B57158">
        <w:t> –</w:t>
      </w:r>
    </w:p>
    <w:p w:rsidR="00A41627" w:rsidRDefault="00A41627" w:rsidP="00B57158">
      <w:pPr>
        <w:pStyle w:val="Letter"/>
      </w:pPr>
      <w:r>
        <w:t>take all reasonable steps to locate and recover the material; and</w:t>
      </w:r>
    </w:p>
    <w:p w:rsidR="00A41627" w:rsidRPr="00B57158" w:rsidRDefault="00A41627" w:rsidP="00B57158">
      <w:pPr>
        <w:pStyle w:val="Letter"/>
      </w:pPr>
      <w:proofErr w:type="gramStart"/>
      <w:r w:rsidRPr="00D727DE">
        <w:rPr>
          <w:rFonts w:cs="Arial"/>
        </w:rPr>
        <w:t>notify</w:t>
      </w:r>
      <w:proofErr w:type="gramEnd"/>
      <w:r w:rsidRPr="00D727DE">
        <w:rPr>
          <w:rFonts w:cs="Arial"/>
        </w:rPr>
        <w:t xml:space="preserve"> the incident to ORS</w:t>
      </w:r>
      <w:r>
        <w:rPr>
          <w:rFonts w:cs="Arial"/>
        </w:rPr>
        <w:t>.</w:t>
      </w:r>
    </w:p>
    <w:p w:rsidR="00B57158" w:rsidRPr="00D727DE" w:rsidRDefault="00B57158" w:rsidP="00B57158"/>
    <w:p w:rsidR="00B57158" w:rsidRDefault="00B57158" w:rsidP="00B57158">
      <w:r>
        <w:br w:type="page"/>
      </w:r>
    </w:p>
    <w:p w:rsidR="00B57158" w:rsidRDefault="00A41627" w:rsidP="00B57158">
      <w:pPr>
        <w:pStyle w:val="Heading1"/>
      </w:pPr>
      <w:bookmarkStart w:id="10" w:name="_Toc433740025"/>
      <w:r w:rsidRPr="00D727DE">
        <w:lastRenderedPageBreak/>
        <w:t>M</w:t>
      </w:r>
      <w:r w:rsidR="00B57158">
        <w:t>aterial in transport</w:t>
      </w:r>
      <w:bookmarkEnd w:id="10"/>
    </w:p>
    <w:p w:rsidR="00B57158" w:rsidRPr="00B57158" w:rsidRDefault="00A41627" w:rsidP="00B57158">
      <w:pPr>
        <w:pStyle w:val="Number"/>
        <w:rPr>
          <w:rFonts w:cs="Arial"/>
        </w:rPr>
      </w:pPr>
      <w:r>
        <w:t>For material in transport the Consignor, Carrier and Consignee must cooperate to</w:t>
      </w:r>
      <w:r w:rsidR="00B57158">
        <w:t> –</w:t>
      </w:r>
    </w:p>
    <w:p w:rsidR="00A41627" w:rsidRPr="0079792B" w:rsidRDefault="00A41627" w:rsidP="00B57158">
      <w:pPr>
        <w:pStyle w:val="Sub-number"/>
        <w:rPr>
          <w:rFonts w:cs="Arial"/>
        </w:rPr>
      </w:pPr>
      <w:r>
        <w:t>in all cases comply with the general security obligations in clause 18; and</w:t>
      </w:r>
    </w:p>
    <w:p w:rsidR="00A41627" w:rsidRPr="004A4042" w:rsidRDefault="00A41627" w:rsidP="00B57158">
      <w:pPr>
        <w:pStyle w:val="Sub-number"/>
        <w:rPr>
          <w:rFonts w:cs="Arial"/>
        </w:rPr>
      </w:pPr>
      <w:r>
        <w:t>d</w:t>
      </w:r>
      <w:r w:rsidRPr="00D727DE">
        <w:t xml:space="preserve">etermine whether </w:t>
      </w:r>
      <w:r>
        <w:t xml:space="preserve">the </w:t>
      </w:r>
      <w:r w:rsidRPr="00D727DE">
        <w:t>material</w:t>
      </w:r>
      <w:r>
        <w:t xml:space="preserve"> </w:t>
      </w:r>
      <w:r w:rsidRPr="00D727DE">
        <w:t>to be transported</w:t>
      </w:r>
      <w:r>
        <w:t xml:space="preserve"> requires additional security measures as a </w:t>
      </w:r>
      <w:r w:rsidRPr="008B4BF3">
        <w:rPr>
          <w:i/>
        </w:rPr>
        <w:t xml:space="preserve">Basic </w:t>
      </w:r>
      <w:r>
        <w:rPr>
          <w:i/>
        </w:rPr>
        <w:t>S</w:t>
      </w:r>
      <w:r w:rsidRPr="008B4BF3">
        <w:rPr>
          <w:i/>
        </w:rPr>
        <w:t>ecurity</w:t>
      </w:r>
      <w:r>
        <w:t xml:space="preserve"> </w:t>
      </w:r>
      <w:r w:rsidRPr="004A4042">
        <w:rPr>
          <w:i/>
        </w:rPr>
        <w:t>Package</w:t>
      </w:r>
      <w:r>
        <w:t xml:space="preserve"> or an </w:t>
      </w:r>
      <w:r>
        <w:rPr>
          <w:i/>
        </w:rPr>
        <w:t xml:space="preserve">Enhanced Security </w:t>
      </w:r>
      <w:r w:rsidRPr="004A4042">
        <w:rPr>
          <w:i/>
        </w:rPr>
        <w:t>Package</w:t>
      </w:r>
      <w:r>
        <w:rPr>
          <w:i/>
        </w:rPr>
        <w:t>,</w:t>
      </w:r>
      <w:r w:rsidRPr="004A4042">
        <w:rPr>
          <w:i/>
        </w:rPr>
        <w:t xml:space="preserve"> </w:t>
      </w:r>
      <w:r>
        <w:t xml:space="preserve">and </w:t>
      </w:r>
      <w:r w:rsidRPr="00D727DE">
        <w:t>comply with the re</w:t>
      </w:r>
      <w:r>
        <w:t>levant security obligations in clauses 19</w:t>
      </w:r>
      <w:r w:rsidRPr="00D727DE">
        <w:t xml:space="preserve"> </w:t>
      </w:r>
      <w:r>
        <w:t>and 20; and</w:t>
      </w:r>
    </w:p>
    <w:p w:rsidR="00A41627" w:rsidRPr="00D727DE" w:rsidRDefault="00A41627" w:rsidP="00B57158">
      <w:pPr>
        <w:pStyle w:val="Sub-number"/>
        <w:rPr>
          <w:rFonts w:cs="Arial"/>
        </w:rPr>
      </w:pPr>
      <w:r>
        <w:t>comply with the relevant obligations in clauses 13 to 16 while material is temporarily stored in transit; and</w:t>
      </w:r>
    </w:p>
    <w:p w:rsidR="00A41627" w:rsidRDefault="00A41627" w:rsidP="00B57158">
      <w:pPr>
        <w:pStyle w:val="Sub-number"/>
      </w:pPr>
      <w:r>
        <w:t xml:space="preserve">for material that is </w:t>
      </w:r>
      <w:r w:rsidRPr="004A4042">
        <w:rPr>
          <w:i/>
        </w:rPr>
        <w:t>nuclear material</w:t>
      </w:r>
      <w:r>
        <w:t xml:space="preserve"> determine whether an act of sabotage could result in an </w:t>
      </w:r>
      <w:r w:rsidRPr="004A4042">
        <w:rPr>
          <w:i/>
        </w:rPr>
        <w:t>unacceptable radiological consequence</w:t>
      </w:r>
      <w:r>
        <w:t xml:space="preserve"> and, if so, comply with any further ORS requirements; and</w:t>
      </w:r>
    </w:p>
    <w:p w:rsidR="00A41627" w:rsidRPr="00D727DE" w:rsidRDefault="00A41627" w:rsidP="00B57158">
      <w:pPr>
        <w:pStyle w:val="Sub-number"/>
      </w:pPr>
      <w:r w:rsidRPr="00D727DE">
        <w:t>comply with such furt</w:t>
      </w:r>
      <w:r>
        <w:t xml:space="preserve">her requirements imposed by </w:t>
      </w:r>
      <w:r w:rsidRPr="00D727DE">
        <w:t xml:space="preserve">ORS in response to any increase in the </w:t>
      </w:r>
      <w:r w:rsidRPr="004A4042">
        <w:rPr>
          <w:i/>
        </w:rPr>
        <w:t>national threat level</w:t>
      </w:r>
      <w:r>
        <w:rPr>
          <w:i/>
        </w:rPr>
        <w:t xml:space="preserve">; </w:t>
      </w:r>
      <w:r w:rsidRPr="00A632BF">
        <w:t>and</w:t>
      </w:r>
    </w:p>
    <w:p w:rsidR="00B57158" w:rsidRDefault="00A41627" w:rsidP="00B57158">
      <w:pPr>
        <w:pStyle w:val="Sub-number"/>
      </w:pPr>
      <w:proofErr w:type="gramStart"/>
      <w:r w:rsidRPr="006E17C2">
        <w:t>if</w:t>
      </w:r>
      <w:proofErr w:type="gramEnd"/>
      <w:r w:rsidRPr="006E17C2">
        <w:t xml:space="preserve"> </w:t>
      </w:r>
      <w:r>
        <w:t>clauses 17.1 to 17.5</w:t>
      </w:r>
      <w:r w:rsidRPr="006E17C2">
        <w:t xml:space="preserve"> result in </w:t>
      </w:r>
      <w:r>
        <w:t xml:space="preserve">inconsistent requirements </w:t>
      </w:r>
      <w:r w:rsidRPr="006E17C2">
        <w:t>then comply w</w:t>
      </w:r>
      <w:r>
        <w:t xml:space="preserve">ith the most stringent of those </w:t>
      </w:r>
      <w:r w:rsidRPr="006E17C2">
        <w:t>requirements</w:t>
      </w:r>
      <w:r>
        <w:t>.</w:t>
      </w:r>
    </w:p>
    <w:p w:rsidR="00B57158" w:rsidRDefault="00A41627" w:rsidP="00B57158">
      <w:pPr>
        <w:pStyle w:val="Number"/>
      </w:pPr>
      <w:r>
        <w:t>The general security obligations are to</w:t>
      </w:r>
      <w:r w:rsidR="00B57158">
        <w:t> –</w:t>
      </w:r>
    </w:p>
    <w:p w:rsidR="00A41627" w:rsidRPr="0079792B" w:rsidRDefault="00A41627" w:rsidP="004F7F4E">
      <w:pPr>
        <w:pStyle w:val="Sub-number"/>
        <w:rPr>
          <w:rFonts w:cs="Arial"/>
        </w:rPr>
      </w:pPr>
      <w:r>
        <w:rPr>
          <w:rFonts w:cs="Arial"/>
        </w:rPr>
        <w:t xml:space="preserve">apply the security measures </w:t>
      </w:r>
      <w:r w:rsidRPr="002B4499">
        <w:t>ordinarily applied to a commercial shipment</w:t>
      </w:r>
      <w:r>
        <w:t>; and</w:t>
      </w:r>
    </w:p>
    <w:p w:rsidR="00A41627" w:rsidRPr="008B4BF3" w:rsidRDefault="00A41627" w:rsidP="004F7F4E">
      <w:pPr>
        <w:pStyle w:val="Sub-number"/>
      </w:pPr>
      <w:r w:rsidRPr="008B4BF3">
        <w:t>upon verif</w:t>
      </w:r>
      <w:r>
        <w:t>ication of unauthorised removal</w:t>
      </w:r>
      <w:r w:rsidR="004F7F4E">
        <w:t> –</w:t>
      </w:r>
    </w:p>
    <w:p w:rsidR="00A41627" w:rsidRDefault="00A41627" w:rsidP="004F7F4E">
      <w:pPr>
        <w:pStyle w:val="Letter"/>
      </w:pPr>
      <w:r w:rsidRPr="008B4BF3">
        <w:t>take all reasonable steps to locate and recover the material</w:t>
      </w:r>
      <w:r>
        <w:t>; and</w:t>
      </w:r>
    </w:p>
    <w:p w:rsidR="00A41627" w:rsidRPr="0079792B" w:rsidRDefault="00A41627" w:rsidP="004F7F4E">
      <w:pPr>
        <w:pStyle w:val="Letter"/>
      </w:pPr>
      <w:proofErr w:type="gramStart"/>
      <w:r w:rsidRPr="0079792B">
        <w:t>notify</w:t>
      </w:r>
      <w:proofErr w:type="gramEnd"/>
      <w:r w:rsidRPr="0079792B">
        <w:t xml:space="preserve"> the incident to ORS.</w:t>
      </w:r>
    </w:p>
    <w:p w:rsidR="004F7F4E" w:rsidRDefault="00A41627" w:rsidP="004F7F4E">
      <w:pPr>
        <w:pStyle w:val="Number"/>
      </w:pPr>
      <w:r>
        <w:t xml:space="preserve">For </w:t>
      </w:r>
      <w:r>
        <w:rPr>
          <w:i/>
        </w:rPr>
        <w:t>Enhanced Security</w:t>
      </w:r>
      <w:r w:rsidRPr="003005C1">
        <w:rPr>
          <w:i/>
        </w:rPr>
        <w:t xml:space="preserve"> Packages</w:t>
      </w:r>
      <w:r>
        <w:t xml:space="preserve"> in transport the security obligations are to</w:t>
      </w:r>
      <w:r w:rsidR="004F7F4E">
        <w:t> –</w:t>
      </w:r>
    </w:p>
    <w:p w:rsidR="00A41627" w:rsidRDefault="00A41627" w:rsidP="004F7F4E">
      <w:pPr>
        <w:pStyle w:val="Sub-number"/>
      </w:pPr>
      <w:r>
        <w:t>take all reasonable steps to prevent the material from being susceptible to malicious acts; and</w:t>
      </w:r>
    </w:p>
    <w:p w:rsidR="00A41627" w:rsidRDefault="00A41627" w:rsidP="004F7F4E">
      <w:pPr>
        <w:pStyle w:val="Sub-number"/>
      </w:pPr>
      <w:r>
        <w:t>without limiting the general nature of clause 19.1</w:t>
      </w:r>
      <w:r w:rsidR="004F7F4E">
        <w:t> –</w:t>
      </w:r>
    </w:p>
    <w:p w:rsidR="00A41627" w:rsidRDefault="00A41627" w:rsidP="004F7F4E">
      <w:pPr>
        <w:pStyle w:val="Letter"/>
      </w:pPr>
      <w:r>
        <w:t xml:space="preserve">maintain and regularly review a </w:t>
      </w:r>
      <w:r w:rsidRPr="00293335">
        <w:rPr>
          <w:i/>
        </w:rPr>
        <w:t>security plan</w:t>
      </w:r>
      <w:r>
        <w:t>; and</w:t>
      </w:r>
    </w:p>
    <w:p w:rsidR="00A41627" w:rsidRPr="00293335" w:rsidRDefault="00A41627" w:rsidP="004F7F4E">
      <w:pPr>
        <w:pStyle w:val="Letter"/>
      </w:pPr>
      <w:r>
        <w:t>ensure transport crew carry positive means of identification; and</w:t>
      </w:r>
    </w:p>
    <w:p w:rsidR="00A41627" w:rsidRDefault="00A41627" w:rsidP="004F7F4E">
      <w:pPr>
        <w:pStyle w:val="Letter"/>
      </w:pPr>
      <w:r>
        <w:t>retain material in the control of trusted and trained personnel; and</w:t>
      </w:r>
    </w:p>
    <w:p w:rsidR="00A41627" w:rsidRPr="00293335" w:rsidRDefault="00A41627" w:rsidP="004F7F4E">
      <w:pPr>
        <w:pStyle w:val="Letter"/>
      </w:pPr>
      <w:r>
        <w:t>securely stow packages; and</w:t>
      </w:r>
    </w:p>
    <w:p w:rsidR="00A41627" w:rsidRDefault="00A41627" w:rsidP="004F7F4E">
      <w:pPr>
        <w:pStyle w:val="Letter"/>
      </w:pPr>
      <w:r>
        <w:t>transfer material only to authorised persons; and</w:t>
      </w:r>
    </w:p>
    <w:p w:rsidR="00A41627" w:rsidRDefault="00A41627" w:rsidP="004F7F4E">
      <w:pPr>
        <w:pStyle w:val="Letter"/>
      </w:pPr>
      <w:r>
        <w:t>immediately detect any attempted unauthorised removal of material; and</w:t>
      </w:r>
    </w:p>
    <w:p w:rsidR="00A41627" w:rsidRDefault="00A41627" w:rsidP="00B57158">
      <w:pPr>
        <w:pStyle w:val="Sub-number"/>
      </w:pPr>
      <w:r>
        <w:t>upon verification of an attempted unauthorised removal</w:t>
      </w:r>
      <w:r w:rsidR="004F7F4E">
        <w:t> </w:t>
      </w:r>
      <w:r>
        <w:t>–</w:t>
      </w:r>
    </w:p>
    <w:p w:rsidR="00A41627" w:rsidRPr="00293335" w:rsidRDefault="00A41627" w:rsidP="004F7F4E">
      <w:pPr>
        <w:pStyle w:val="Letter"/>
      </w:pPr>
      <w:r>
        <w:t>immediately notify the national radiation incident officer (021 393 632) and NZ Police and comply with their instructions; and</w:t>
      </w:r>
    </w:p>
    <w:p w:rsidR="00A41627" w:rsidRDefault="00A41627" w:rsidP="004F7F4E">
      <w:pPr>
        <w:pStyle w:val="Letter"/>
      </w:pPr>
      <w:r>
        <w:t>take all reasonable steps to locate and recover the material; and</w:t>
      </w:r>
    </w:p>
    <w:p w:rsidR="00A41627" w:rsidRDefault="00A41627" w:rsidP="004F7F4E">
      <w:pPr>
        <w:pStyle w:val="Letter"/>
        <w:rPr>
          <w:rFonts w:cs="Arial"/>
        </w:rPr>
      </w:pPr>
      <w:proofErr w:type="gramStart"/>
      <w:r w:rsidRPr="00D727DE">
        <w:rPr>
          <w:rFonts w:cs="Arial"/>
        </w:rPr>
        <w:t>notify</w:t>
      </w:r>
      <w:proofErr w:type="gramEnd"/>
      <w:r w:rsidRPr="00D727DE">
        <w:rPr>
          <w:rFonts w:cs="Arial"/>
        </w:rPr>
        <w:t xml:space="preserve"> the incident to ORS</w:t>
      </w:r>
      <w:r>
        <w:rPr>
          <w:rFonts w:cs="Arial"/>
        </w:rPr>
        <w:t>.</w:t>
      </w:r>
    </w:p>
    <w:p w:rsidR="004F7F4E" w:rsidRDefault="00A41627" w:rsidP="004F7F4E">
      <w:pPr>
        <w:pStyle w:val="Number"/>
      </w:pPr>
      <w:r>
        <w:lastRenderedPageBreak/>
        <w:t xml:space="preserve">For </w:t>
      </w:r>
      <w:r>
        <w:rPr>
          <w:i/>
        </w:rPr>
        <w:t>Basic Security</w:t>
      </w:r>
      <w:r w:rsidRPr="003005C1">
        <w:rPr>
          <w:i/>
        </w:rPr>
        <w:t xml:space="preserve"> Packages</w:t>
      </w:r>
      <w:r>
        <w:t xml:space="preserve"> in transport the security obligations are to</w:t>
      </w:r>
      <w:r w:rsidR="004F7F4E">
        <w:t> –</w:t>
      </w:r>
    </w:p>
    <w:p w:rsidR="00A41627" w:rsidRDefault="00A41627" w:rsidP="004F7F4E">
      <w:pPr>
        <w:pStyle w:val="Sub-number"/>
      </w:pPr>
      <w:r>
        <w:t>take all reasonable steps to minimise the likelihood of the material being susceptible to malicious acts; and</w:t>
      </w:r>
    </w:p>
    <w:p w:rsidR="00A41627" w:rsidRDefault="00A41627" w:rsidP="004F7F4E">
      <w:pPr>
        <w:pStyle w:val="Sub-number"/>
      </w:pPr>
      <w:r>
        <w:t>without limiting the general nature of clause 20.1</w:t>
      </w:r>
      <w:r w:rsidR="004F7F4E">
        <w:t> </w:t>
      </w:r>
      <w:r>
        <w:t>–</w:t>
      </w:r>
    </w:p>
    <w:p w:rsidR="00A41627" w:rsidRPr="00293335" w:rsidRDefault="00A41627" w:rsidP="004F7F4E">
      <w:pPr>
        <w:pStyle w:val="Letter"/>
      </w:pPr>
      <w:r>
        <w:t>ensure transport crew carry positive means of identification; and</w:t>
      </w:r>
    </w:p>
    <w:p w:rsidR="00A41627" w:rsidRDefault="00A41627" w:rsidP="004F7F4E">
      <w:pPr>
        <w:pStyle w:val="Letter"/>
      </w:pPr>
      <w:r>
        <w:t>retain material in the control of trusted and trained personnel; and</w:t>
      </w:r>
    </w:p>
    <w:p w:rsidR="00A41627" w:rsidRPr="00293335" w:rsidRDefault="00A41627" w:rsidP="004F7F4E">
      <w:pPr>
        <w:pStyle w:val="Letter"/>
      </w:pPr>
      <w:r>
        <w:t>securely stow packages; and</w:t>
      </w:r>
    </w:p>
    <w:p w:rsidR="00A41627" w:rsidRDefault="00A41627" w:rsidP="004F7F4E">
      <w:pPr>
        <w:pStyle w:val="Letter"/>
      </w:pPr>
      <w:r>
        <w:t>transfer material only to authorised persons; and</w:t>
      </w:r>
    </w:p>
    <w:p w:rsidR="00A41627" w:rsidRDefault="00A41627" w:rsidP="004F7F4E">
      <w:pPr>
        <w:pStyle w:val="Letter"/>
      </w:pPr>
      <w:r>
        <w:t>detect unauthorised removal of material; and</w:t>
      </w:r>
    </w:p>
    <w:p w:rsidR="00A41627" w:rsidRDefault="00A41627" w:rsidP="00B57158">
      <w:pPr>
        <w:pStyle w:val="Sub-number"/>
      </w:pPr>
      <w:r>
        <w:t>upon verification of unauthorised removal</w:t>
      </w:r>
      <w:r w:rsidR="004F7F4E">
        <w:t> </w:t>
      </w:r>
      <w:r>
        <w:t>–</w:t>
      </w:r>
    </w:p>
    <w:p w:rsidR="00A41627" w:rsidRPr="00293335" w:rsidRDefault="00A41627" w:rsidP="004F7F4E">
      <w:pPr>
        <w:pStyle w:val="Letter"/>
      </w:pPr>
      <w:r>
        <w:t>immediately notify the national radiation incident officer (021 393 632) and NZ Police and comply with their instructions; and</w:t>
      </w:r>
    </w:p>
    <w:p w:rsidR="00A41627" w:rsidRDefault="00A41627" w:rsidP="004F7F4E">
      <w:pPr>
        <w:pStyle w:val="Letter"/>
      </w:pPr>
      <w:r>
        <w:t>take all reasonable steps to locate and recover the material; and</w:t>
      </w:r>
    </w:p>
    <w:p w:rsidR="004F7F4E" w:rsidRDefault="00A41627" w:rsidP="004F7F4E">
      <w:pPr>
        <w:pStyle w:val="Letter"/>
        <w:rPr>
          <w:rFonts w:cs="Arial"/>
        </w:rPr>
      </w:pPr>
      <w:proofErr w:type="gramStart"/>
      <w:r w:rsidRPr="00D727DE">
        <w:rPr>
          <w:rFonts w:cs="Arial"/>
        </w:rPr>
        <w:t>notify</w:t>
      </w:r>
      <w:proofErr w:type="gramEnd"/>
      <w:r w:rsidRPr="00D727DE">
        <w:rPr>
          <w:rFonts w:cs="Arial"/>
        </w:rPr>
        <w:t xml:space="preserve"> the incident to ORS</w:t>
      </w:r>
      <w:r>
        <w:rPr>
          <w:rFonts w:cs="Arial"/>
        </w:rPr>
        <w:t>.</w:t>
      </w:r>
    </w:p>
    <w:p w:rsidR="00A41627" w:rsidRPr="0079792B" w:rsidRDefault="00A41627" w:rsidP="004F7F4E"/>
    <w:p w:rsidR="004F7F4E" w:rsidRDefault="004F7F4E" w:rsidP="004F7F4E">
      <w:r>
        <w:br w:type="page"/>
      </w:r>
    </w:p>
    <w:p w:rsidR="004F7F4E" w:rsidRDefault="00A41627" w:rsidP="004F7F4E">
      <w:pPr>
        <w:pStyle w:val="Heading1"/>
      </w:pPr>
      <w:bookmarkStart w:id="11" w:name="_Toc433740026"/>
      <w:r w:rsidRPr="008633CA">
        <w:lastRenderedPageBreak/>
        <w:t>A</w:t>
      </w:r>
      <w:r w:rsidR="004F7F4E">
        <w:t>ppendix</w:t>
      </w:r>
      <w:r w:rsidRPr="008633CA">
        <w:t xml:space="preserve"> I</w:t>
      </w:r>
      <w:r w:rsidR="004F7F4E">
        <w:t xml:space="preserve">: </w:t>
      </w:r>
      <w:r w:rsidRPr="008633CA">
        <w:t>M</w:t>
      </w:r>
      <w:r w:rsidR="004F7F4E">
        <w:t>inimum security plan requirements</w:t>
      </w:r>
      <w:bookmarkEnd w:id="11"/>
    </w:p>
    <w:p w:rsidR="00A41627" w:rsidRDefault="00A41627" w:rsidP="004F7F4E">
      <w:proofErr w:type="gramStart"/>
      <w:r>
        <w:t>Description of the material, its categorisation and use.</w:t>
      </w:r>
      <w:proofErr w:type="gramEnd"/>
    </w:p>
    <w:p w:rsidR="00A41627" w:rsidRDefault="00A41627" w:rsidP="004F7F4E">
      <w:pPr>
        <w:spacing w:before="240"/>
      </w:pPr>
      <w:proofErr w:type="gramStart"/>
      <w:r>
        <w:t>Description of the building and/or facility in which the material is located.</w:t>
      </w:r>
      <w:proofErr w:type="gramEnd"/>
    </w:p>
    <w:p w:rsidR="00A41627" w:rsidRDefault="00A41627" w:rsidP="004F7F4E">
      <w:pPr>
        <w:spacing w:before="240"/>
      </w:pPr>
      <w:r>
        <w:t>Areas (if any) of the building or facility that are accessible to the public.</w:t>
      </w:r>
    </w:p>
    <w:p w:rsidR="00A41627" w:rsidRDefault="00A41627" w:rsidP="004F7F4E">
      <w:pPr>
        <w:spacing w:before="240"/>
      </w:pPr>
      <w:r>
        <w:t>For material in use or storage the security measures implemented to satisfy</w:t>
      </w:r>
      <w:r w:rsidR="004F7F4E">
        <w:t> –</w:t>
      </w:r>
    </w:p>
    <w:p w:rsidR="00A41627" w:rsidRDefault="00A41627" w:rsidP="004F7F4E">
      <w:pPr>
        <w:pStyle w:val="Bullet"/>
      </w:pPr>
      <w:r>
        <w:t>the requirements in clause 13 (</w:t>
      </w:r>
      <w:r w:rsidRPr="0021544B">
        <w:rPr>
          <w:i/>
        </w:rPr>
        <w:t xml:space="preserve">Category </w:t>
      </w:r>
      <w:r>
        <w:rPr>
          <w:i/>
        </w:rPr>
        <w:t>A</w:t>
      </w:r>
      <w:r w:rsidRPr="0021544B">
        <w:rPr>
          <w:i/>
        </w:rPr>
        <w:t xml:space="preserve"> Material</w:t>
      </w:r>
      <w:r>
        <w:t>)</w:t>
      </w:r>
    </w:p>
    <w:p w:rsidR="00A41627" w:rsidRDefault="00A41627" w:rsidP="004F7F4E">
      <w:pPr>
        <w:pStyle w:val="Bullet"/>
      </w:pPr>
      <w:r>
        <w:t>the requirements in clause 14 (</w:t>
      </w:r>
      <w:r>
        <w:rPr>
          <w:i/>
        </w:rPr>
        <w:t>Category B</w:t>
      </w:r>
      <w:r w:rsidRPr="0021544B">
        <w:rPr>
          <w:i/>
        </w:rPr>
        <w:t xml:space="preserve"> Material</w:t>
      </w:r>
      <w:r>
        <w:t>)</w:t>
      </w:r>
    </w:p>
    <w:p w:rsidR="00A41627" w:rsidRPr="001F21B9" w:rsidRDefault="00A41627" w:rsidP="004F7F4E">
      <w:pPr>
        <w:pStyle w:val="Bullet"/>
      </w:pPr>
      <w:proofErr w:type="gramStart"/>
      <w:r>
        <w:t>the</w:t>
      </w:r>
      <w:proofErr w:type="gramEnd"/>
      <w:r>
        <w:t xml:space="preserve"> requirements in clause 15 (</w:t>
      </w:r>
      <w:r>
        <w:rPr>
          <w:i/>
        </w:rPr>
        <w:t>Category C</w:t>
      </w:r>
      <w:r w:rsidRPr="0021544B">
        <w:rPr>
          <w:i/>
        </w:rPr>
        <w:t xml:space="preserve"> Material</w:t>
      </w:r>
      <w:r>
        <w:t>).</w:t>
      </w:r>
    </w:p>
    <w:p w:rsidR="00A41627" w:rsidRPr="00D025ED" w:rsidRDefault="00A41627" w:rsidP="004F7F4E">
      <w:pPr>
        <w:spacing w:before="240"/>
      </w:pPr>
      <w:r>
        <w:t xml:space="preserve">For material in transport the security measures implemented to satisfy </w:t>
      </w:r>
      <w:r w:rsidRPr="00D025ED">
        <w:t>the requirements in clause 19 (</w:t>
      </w:r>
      <w:r w:rsidRPr="00D025ED">
        <w:rPr>
          <w:i/>
        </w:rPr>
        <w:t>Enhanced Security Packages</w:t>
      </w:r>
      <w:r w:rsidRPr="00D025ED">
        <w:t>)</w:t>
      </w:r>
      <w:r>
        <w:t>.</w:t>
      </w:r>
    </w:p>
    <w:p w:rsidR="00A41627" w:rsidRDefault="00A41627" w:rsidP="004F7F4E">
      <w:pPr>
        <w:spacing w:before="240"/>
      </w:pPr>
      <w:r>
        <w:t xml:space="preserve">Contingency Plans for a range of events including suspected or malicious acts, public demonstrations with potential to threaten security of </w:t>
      </w:r>
      <w:r w:rsidRPr="008B4BF3">
        <w:rPr>
          <w:i/>
        </w:rPr>
        <w:t>radioactive material</w:t>
      </w:r>
      <w:r>
        <w:t xml:space="preserve"> or </w:t>
      </w:r>
      <w:r w:rsidRPr="008B4BF3">
        <w:rPr>
          <w:i/>
        </w:rPr>
        <w:t>nuclear material</w:t>
      </w:r>
      <w:r>
        <w:t xml:space="preserve"> and the intrusion into the secured area by unauthorised personnel.</w:t>
      </w:r>
    </w:p>
    <w:p w:rsidR="00A41627" w:rsidRDefault="00A41627" w:rsidP="004F7F4E">
      <w:pPr>
        <w:spacing w:before="240"/>
      </w:pPr>
      <w:proofErr w:type="gramStart"/>
      <w:r w:rsidRPr="0021544B">
        <w:t xml:space="preserve">Procedures to address increases in the </w:t>
      </w:r>
      <w:r w:rsidRPr="006F43D8">
        <w:rPr>
          <w:i/>
        </w:rPr>
        <w:t>national threat level</w:t>
      </w:r>
      <w:r>
        <w:rPr>
          <w:i/>
        </w:rPr>
        <w:t>.</w:t>
      </w:r>
      <w:proofErr w:type="gramEnd"/>
    </w:p>
    <w:p w:rsidR="00A41627" w:rsidRDefault="00A41627" w:rsidP="004F7F4E">
      <w:pPr>
        <w:spacing w:before="240"/>
      </w:pPr>
      <w:proofErr w:type="gramStart"/>
      <w:r>
        <w:t xml:space="preserve">Procedures for evaluation and testing of </w:t>
      </w:r>
      <w:r w:rsidRPr="006F43D8">
        <w:rPr>
          <w:i/>
        </w:rPr>
        <w:t>security plans</w:t>
      </w:r>
      <w:r>
        <w:rPr>
          <w:i/>
        </w:rPr>
        <w:t>.</w:t>
      </w:r>
      <w:proofErr w:type="gramEnd"/>
    </w:p>
    <w:p w:rsidR="00A41627" w:rsidRDefault="00A41627" w:rsidP="004F7F4E">
      <w:pPr>
        <w:spacing w:before="240"/>
      </w:pPr>
      <w:r>
        <w:t xml:space="preserve">Documented details of </w:t>
      </w:r>
      <w:r w:rsidRPr="006F43D8">
        <w:rPr>
          <w:i/>
        </w:rPr>
        <w:t>vulnerability assessments</w:t>
      </w:r>
      <w:r>
        <w:t xml:space="preserve"> carried out.</w:t>
      </w:r>
    </w:p>
    <w:p w:rsidR="00A41627" w:rsidRDefault="00A41627" w:rsidP="004F7F4E">
      <w:pPr>
        <w:spacing w:before="240"/>
      </w:pPr>
      <w:proofErr w:type="gramStart"/>
      <w:r>
        <w:t>Security Event Reporting System.</w:t>
      </w:r>
      <w:proofErr w:type="gramEnd"/>
    </w:p>
    <w:p w:rsidR="00A41627" w:rsidRPr="0021544B" w:rsidRDefault="00A41627" w:rsidP="004F7F4E">
      <w:pPr>
        <w:spacing w:before="240"/>
      </w:pPr>
      <w:r>
        <w:t xml:space="preserve">Details of </w:t>
      </w:r>
      <w:r w:rsidRPr="006F43D8">
        <w:rPr>
          <w:i/>
        </w:rPr>
        <w:t>security plan</w:t>
      </w:r>
      <w:r>
        <w:t xml:space="preserve"> reviews including dates, personnel and outcome.</w:t>
      </w:r>
    </w:p>
    <w:p w:rsidR="00A41627" w:rsidRPr="00B960B2" w:rsidRDefault="00A41627" w:rsidP="004F7F4E"/>
    <w:p w:rsidR="004F7F4E" w:rsidRDefault="004F7F4E">
      <w:pPr>
        <w:spacing w:line="240" w:lineRule="auto"/>
      </w:pPr>
      <w:r>
        <w:br w:type="page"/>
      </w:r>
    </w:p>
    <w:p w:rsidR="004F7F4E" w:rsidRDefault="004F7F4E" w:rsidP="004F7F4E">
      <w:pPr>
        <w:pStyle w:val="Heading1"/>
      </w:pPr>
      <w:bookmarkStart w:id="12" w:name="_Toc433740027"/>
      <w:r>
        <w:lastRenderedPageBreak/>
        <w:t>Consultation submission</w:t>
      </w:r>
      <w:bookmarkEnd w:id="12"/>
    </w:p>
    <w:p w:rsidR="004F7F4E" w:rsidRDefault="004F7F4E" w:rsidP="004F7F4E">
      <w:pPr>
        <w:pStyle w:val="Heading3"/>
      </w:pPr>
      <w:r>
        <w:t>Details</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2606"/>
        <w:gridCol w:w="6804"/>
      </w:tblGrid>
      <w:tr w:rsidR="004F7F4E" w:rsidRPr="00123E71" w:rsidTr="004F7F4E">
        <w:trPr>
          <w:cantSplit/>
        </w:trPr>
        <w:tc>
          <w:tcPr>
            <w:tcW w:w="2606" w:type="dxa"/>
            <w:tcBorders>
              <w:top w:val="nil"/>
              <w:bottom w:val="nil"/>
            </w:tcBorders>
          </w:tcPr>
          <w:p w:rsidR="004F7F4E" w:rsidRPr="00123E71" w:rsidRDefault="004F7F4E" w:rsidP="004F7F4E">
            <w:pPr>
              <w:pStyle w:val="TableText"/>
              <w:tabs>
                <w:tab w:val="right" w:pos="4199"/>
              </w:tabs>
              <w:spacing w:before="0"/>
              <w:rPr>
                <w:rFonts w:cs="Arial"/>
                <w:szCs w:val="18"/>
              </w:rPr>
            </w:pPr>
            <w:r>
              <w:rPr>
                <w:rFonts w:cs="Arial"/>
                <w:szCs w:val="18"/>
              </w:rPr>
              <w:t>Name and designation:</w:t>
            </w:r>
          </w:p>
        </w:tc>
        <w:tc>
          <w:tcPr>
            <w:tcW w:w="6804" w:type="dxa"/>
            <w:tcBorders>
              <w:top w:val="nil"/>
            </w:tcBorders>
            <w:vAlign w:val="bottom"/>
          </w:tcPr>
          <w:p w:rsidR="004F7F4E" w:rsidRPr="00123E71" w:rsidRDefault="004F7F4E" w:rsidP="004F7F4E">
            <w:pPr>
              <w:pStyle w:val="TableText"/>
              <w:spacing w:before="0"/>
              <w:rPr>
                <w:rFonts w:cs="Arial"/>
                <w:szCs w:val="18"/>
              </w:rPr>
            </w:pPr>
            <w:r w:rsidRPr="00123E71">
              <w:rPr>
                <w:rFonts w:cs="Arial"/>
                <w:szCs w:val="18"/>
              </w:rPr>
              <w:fldChar w:fldCharType="begin">
                <w:ffData>
                  <w:name w:val="Text1"/>
                  <w:enabled/>
                  <w:calcOnExit w:val="0"/>
                  <w:textInput/>
                </w:ffData>
              </w:fldChar>
            </w:r>
            <w:r w:rsidRPr="00123E71">
              <w:rPr>
                <w:rFonts w:cs="Arial"/>
                <w:szCs w:val="18"/>
              </w:rPr>
              <w:instrText xml:space="preserve"> FORMTEXT </w:instrText>
            </w:r>
            <w:r w:rsidRPr="00123E71">
              <w:rPr>
                <w:rFonts w:cs="Arial"/>
                <w:szCs w:val="18"/>
              </w:rPr>
            </w:r>
            <w:r w:rsidRPr="00123E71">
              <w:rPr>
                <w:rFonts w:cs="Arial"/>
                <w:szCs w:val="18"/>
              </w:rPr>
              <w:fldChar w:fldCharType="separate"/>
            </w:r>
            <w:r w:rsidRPr="00123E71">
              <w:rPr>
                <w:rFonts w:cs="Arial"/>
                <w:noProof/>
                <w:szCs w:val="18"/>
              </w:rPr>
              <w:t> </w:t>
            </w:r>
            <w:r w:rsidRPr="00123E71">
              <w:rPr>
                <w:rFonts w:cs="Arial"/>
                <w:noProof/>
                <w:szCs w:val="18"/>
              </w:rPr>
              <w:t> </w:t>
            </w:r>
            <w:r w:rsidRPr="00123E71">
              <w:rPr>
                <w:rFonts w:cs="Arial"/>
                <w:noProof/>
                <w:szCs w:val="18"/>
              </w:rPr>
              <w:t> </w:t>
            </w:r>
            <w:r w:rsidRPr="00123E71">
              <w:rPr>
                <w:rFonts w:cs="Arial"/>
                <w:noProof/>
                <w:szCs w:val="18"/>
              </w:rPr>
              <w:t> </w:t>
            </w:r>
            <w:r w:rsidRPr="00123E71">
              <w:rPr>
                <w:rFonts w:cs="Arial"/>
                <w:noProof/>
                <w:szCs w:val="18"/>
              </w:rPr>
              <w:t> </w:t>
            </w:r>
            <w:r w:rsidRPr="00123E71">
              <w:rPr>
                <w:rFonts w:cs="Arial"/>
                <w:szCs w:val="18"/>
              </w:rPr>
              <w:fldChar w:fldCharType="end"/>
            </w:r>
          </w:p>
        </w:tc>
      </w:tr>
      <w:tr w:rsidR="004F7F4E" w:rsidRPr="00123E71" w:rsidTr="004F7F4E">
        <w:trPr>
          <w:cantSplit/>
        </w:trPr>
        <w:tc>
          <w:tcPr>
            <w:tcW w:w="2606" w:type="dxa"/>
            <w:tcBorders>
              <w:top w:val="nil"/>
              <w:bottom w:val="nil"/>
            </w:tcBorders>
          </w:tcPr>
          <w:p w:rsidR="004F7F4E" w:rsidRPr="00123E71" w:rsidRDefault="004F7F4E" w:rsidP="004F7F4E">
            <w:pPr>
              <w:pStyle w:val="TableText"/>
              <w:tabs>
                <w:tab w:val="right" w:pos="4199"/>
              </w:tabs>
              <w:rPr>
                <w:rFonts w:cs="Arial"/>
                <w:szCs w:val="18"/>
              </w:rPr>
            </w:pPr>
            <w:r>
              <w:rPr>
                <w:rFonts w:cs="Arial"/>
                <w:szCs w:val="18"/>
              </w:rPr>
              <w:t>Company organisation name and address:</w:t>
            </w:r>
          </w:p>
        </w:tc>
        <w:tc>
          <w:tcPr>
            <w:tcW w:w="6804" w:type="dxa"/>
            <w:vAlign w:val="bottom"/>
          </w:tcPr>
          <w:p w:rsidR="004F7F4E" w:rsidRPr="00123E71" w:rsidRDefault="004F7F4E" w:rsidP="004F7F4E">
            <w:pPr>
              <w:pStyle w:val="TableText"/>
              <w:rPr>
                <w:rFonts w:cs="Arial"/>
                <w:szCs w:val="18"/>
              </w:rPr>
            </w:pPr>
            <w:r w:rsidRPr="00123E71">
              <w:rPr>
                <w:rFonts w:cs="Arial"/>
                <w:szCs w:val="18"/>
              </w:rPr>
              <w:fldChar w:fldCharType="begin">
                <w:ffData>
                  <w:name w:val="Text1"/>
                  <w:enabled/>
                  <w:calcOnExit w:val="0"/>
                  <w:textInput/>
                </w:ffData>
              </w:fldChar>
            </w:r>
            <w:bookmarkStart w:id="13" w:name="Text1"/>
            <w:r w:rsidRPr="00123E71">
              <w:rPr>
                <w:rFonts w:cs="Arial"/>
                <w:szCs w:val="18"/>
              </w:rPr>
              <w:instrText xml:space="preserve"> FORMTEXT </w:instrText>
            </w:r>
            <w:r w:rsidRPr="00123E71">
              <w:rPr>
                <w:rFonts w:cs="Arial"/>
                <w:szCs w:val="18"/>
              </w:rPr>
            </w:r>
            <w:r w:rsidRPr="00123E71">
              <w:rPr>
                <w:rFonts w:cs="Arial"/>
                <w:szCs w:val="18"/>
              </w:rPr>
              <w:fldChar w:fldCharType="separate"/>
            </w:r>
            <w:r w:rsidRPr="00123E71">
              <w:rPr>
                <w:rFonts w:cs="Arial"/>
                <w:noProof/>
                <w:szCs w:val="18"/>
              </w:rPr>
              <w:t> </w:t>
            </w:r>
            <w:r w:rsidRPr="00123E71">
              <w:rPr>
                <w:rFonts w:cs="Arial"/>
                <w:noProof/>
                <w:szCs w:val="18"/>
              </w:rPr>
              <w:t> </w:t>
            </w:r>
            <w:r w:rsidRPr="00123E71">
              <w:rPr>
                <w:rFonts w:cs="Arial"/>
                <w:noProof/>
                <w:szCs w:val="18"/>
              </w:rPr>
              <w:t> </w:t>
            </w:r>
            <w:r w:rsidRPr="00123E71">
              <w:rPr>
                <w:rFonts w:cs="Arial"/>
                <w:noProof/>
                <w:szCs w:val="18"/>
              </w:rPr>
              <w:t> </w:t>
            </w:r>
            <w:r w:rsidRPr="00123E71">
              <w:rPr>
                <w:rFonts w:cs="Arial"/>
                <w:noProof/>
                <w:szCs w:val="18"/>
              </w:rPr>
              <w:t> </w:t>
            </w:r>
            <w:r w:rsidRPr="00123E71">
              <w:rPr>
                <w:rFonts w:cs="Arial"/>
                <w:szCs w:val="18"/>
              </w:rPr>
              <w:fldChar w:fldCharType="end"/>
            </w:r>
            <w:bookmarkEnd w:id="13"/>
          </w:p>
        </w:tc>
      </w:tr>
      <w:tr w:rsidR="004F7F4E" w:rsidRPr="00123E71" w:rsidTr="004F7F4E">
        <w:trPr>
          <w:cantSplit/>
        </w:trPr>
        <w:tc>
          <w:tcPr>
            <w:tcW w:w="2606" w:type="dxa"/>
            <w:tcBorders>
              <w:top w:val="nil"/>
              <w:bottom w:val="nil"/>
            </w:tcBorders>
          </w:tcPr>
          <w:p w:rsidR="004F7F4E" w:rsidRPr="00123E71" w:rsidRDefault="004F7F4E" w:rsidP="004F7F4E">
            <w:pPr>
              <w:pStyle w:val="TableText"/>
              <w:rPr>
                <w:rFonts w:cs="Arial"/>
                <w:szCs w:val="18"/>
              </w:rPr>
            </w:pPr>
            <w:r>
              <w:rPr>
                <w:rFonts w:cs="Arial"/>
                <w:szCs w:val="18"/>
              </w:rPr>
              <w:t>Contact phone number and email address</w:t>
            </w:r>
            <w:r w:rsidRPr="00123E71">
              <w:rPr>
                <w:rFonts w:cs="Arial"/>
                <w:szCs w:val="18"/>
              </w:rPr>
              <w:t>:</w:t>
            </w:r>
          </w:p>
        </w:tc>
        <w:tc>
          <w:tcPr>
            <w:tcW w:w="6804" w:type="dxa"/>
            <w:vAlign w:val="bottom"/>
          </w:tcPr>
          <w:p w:rsidR="004F7F4E" w:rsidRPr="00123E71" w:rsidRDefault="004F7F4E" w:rsidP="004F7F4E">
            <w:pPr>
              <w:pStyle w:val="TableText"/>
              <w:rPr>
                <w:rFonts w:cs="Arial"/>
                <w:szCs w:val="18"/>
              </w:rPr>
            </w:pPr>
            <w:r w:rsidRPr="00123E71">
              <w:rPr>
                <w:rFonts w:cs="Arial"/>
                <w:szCs w:val="18"/>
              </w:rPr>
              <w:fldChar w:fldCharType="begin">
                <w:ffData>
                  <w:name w:val="Text1"/>
                  <w:enabled/>
                  <w:calcOnExit w:val="0"/>
                  <w:textInput/>
                </w:ffData>
              </w:fldChar>
            </w:r>
            <w:r w:rsidRPr="00123E71">
              <w:rPr>
                <w:rFonts w:cs="Arial"/>
                <w:szCs w:val="18"/>
              </w:rPr>
              <w:instrText xml:space="preserve"> FORMTEXT </w:instrText>
            </w:r>
            <w:r w:rsidRPr="00123E71">
              <w:rPr>
                <w:rFonts w:cs="Arial"/>
                <w:szCs w:val="18"/>
              </w:rPr>
            </w:r>
            <w:r w:rsidRPr="00123E71">
              <w:rPr>
                <w:rFonts w:cs="Arial"/>
                <w:szCs w:val="18"/>
              </w:rPr>
              <w:fldChar w:fldCharType="separate"/>
            </w:r>
            <w:r w:rsidRPr="00123E71">
              <w:rPr>
                <w:rFonts w:cs="Arial"/>
                <w:noProof/>
                <w:szCs w:val="18"/>
              </w:rPr>
              <w:t> </w:t>
            </w:r>
            <w:r w:rsidRPr="00123E71">
              <w:rPr>
                <w:rFonts w:cs="Arial"/>
                <w:noProof/>
                <w:szCs w:val="18"/>
              </w:rPr>
              <w:t> </w:t>
            </w:r>
            <w:r w:rsidRPr="00123E71">
              <w:rPr>
                <w:rFonts w:cs="Arial"/>
                <w:noProof/>
                <w:szCs w:val="18"/>
              </w:rPr>
              <w:t> </w:t>
            </w:r>
            <w:r w:rsidRPr="00123E71">
              <w:rPr>
                <w:rFonts w:cs="Arial"/>
                <w:noProof/>
                <w:szCs w:val="18"/>
              </w:rPr>
              <w:t> </w:t>
            </w:r>
            <w:r w:rsidRPr="00123E71">
              <w:rPr>
                <w:rFonts w:cs="Arial"/>
                <w:noProof/>
                <w:szCs w:val="18"/>
              </w:rPr>
              <w:t> </w:t>
            </w:r>
            <w:r w:rsidRPr="00123E71">
              <w:rPr>
                <w:rFonts w:cs="Arial"/>
                <w:szCs w:val="18"/>
              </w:rPr>
              <w:fldChar w:fldCharType="end"/>
            </w:r>
          </w:p>
        </w:tc>
      </w:tr>
    </w:tbl>
    <w:p w:rsidR="004F7F4E" w:rsidRDefault="004F7F4E" w:rsidP="004F7F4E"/>
    <w:p w:rsidR="004F7F4E" w:rsidRDefault="004F7F4E" w:rsidP="00BE297A">
      <w:pPr>
        <w:pStyle w:val="Heading3"/>
        <w:spacing w:before="480"/>
      </w:pPr>
      <w:r>
        <w:t>Confidentiality</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8276"/>
        <w:gridCol w:w="1134"/>
      </w:tblGrid>
      <w:tr w:rsidR="004F7F4E" w:rsidRPr="00123E71" w:rsidTr="004F7F4E">
        <w:trPr>
          <w:cantSplit/>
        </w:trPr>
        <w:tc>
          <w:tcPr>
            <w:tcW w:w="8276" w:type="dxa"/>
            <w:tcBorders>
              <w:top w:val="nil"/>
              <w:bottom w:val="nil"/>
            </w:tcBorders>
          </w:tcPr>
          <w:p w:rsidR="004F7F4E" w:rsidRDefault="004F7F4E" w:rsidP="004F7F4E">
            <w:pPr>
              <w:pStyle w:val="TableText"/>
              <w:spacing w:before="0" w:after="0"/>
              <w:rPr>
                <w:rFonts w:cs="Arial"/>
                <w:i/>
                <w:sz w:val="16"/>
                <w:szCs w:val="18"/>
              </w:rPr>
            </w:pPr>
            <w:r>
              <w:rPr>
                <w:rFonts w:cs="Arial"/>
                <w:szCs w:val="18"/>
              </w:rPr>
              <w:t xml:space="preserve">Please keep my comments confidential: </w:t>
            </w:r>
            <w:r w:rsidRPr="004F7F4E">
              <w:rPr>
                <w:rFonts w:cs="Arial"/>
                <w:i/>
                <w:sz w:val="16"/>
                <w:szCs w:val="18"/>
              </w:rPr>
              <w:t>(reasons including identity of specific comments if applicable)</w:t>
            </w:r>
          </w:p>
          <w:p w:rsidR="002903B3" w:rsidRDefault="002903B3" w:rsidP="004F7F4E">
            <w:pPr>
              <w:pStyle w:val="TableText"/>
              <w:spacing w:before="0"/>
            </w:pPr>
          </w:p>
          <w:p w:rsidR="002903B3" w:rsidRDefault="002903B3" w:rsidP="004F7F4E">
            <w:pPr>
              <w:pStyle w:val="TableText"/>
              <w:spacing w:before="0"/>
            </w:pPr>
          </w:p>
          <w:p w:rsidR="002903B3" w:rsidRDefault="002903B3" w:rsidP="004F7F4E">
            <w:pPr>
              <w:pStyle w:val="TableText"/>
              <w:spacing w:before="0"/>
            </w:pPr>
          </w:p>
          <w:p w:rsidR="004F7F4E" w:rsidRPr="004F7F4E" w:rsidRDefault="004F7F4E" w:rsidP="004F7F4E">
            <w:pPr>
              <w:pStyle w:val="TableText"/>
              <w:spacing w:before="0"/>
            </w:pPr>
            <w:r>
              <w:t xml:space="preserve">This request can only be actioned if your reasons satisfy </w:t>
            </w:r>
            <w:hyperlink r:id="rId23" w:history="1">
              <w:r w:rsidRPr="004F7F4E">
                <w:rPr>
                  <w:rStyle w:val="Hyperlink"/>
                </w:rPr>
                <w:t>Official Information Act</w:t>
              </w:r>
            </w:hyperlink>
            <w:r w:rsidRPr="004F7F4E">
              <w:rPr>
                <w:rStyle w:val="Hyperlink"/>
              </w:rPr>
              <w:t xml:space="preserve"> </w:t>
            </w:r>
            <w:r w:rsidRPr="00922BD1">
              <w:rPr>
                <w:sz w:val="20"/>
              </w:rPr>
              <w:t>criteria</w:t>
            </w:r>
          </w:p>
        </w:tc>
        <w:tc>
          <w:tcPr>
            <w:tcW w:w="1134" w:type="dxa"/>
            <w:tcBorders>
              <w:top w:val="nil"/>
              <w:bottom w:val="nil"/>
            </w:tcBorders>
          </w:tcPr>
          <w:p w:rsidR="004F7F4E" w:rsidRPr="00123E71" w:rsidRDefault="004F7F4E" w:rsidP="004F7F4E">
            <w:pPr>
              <w:pStyle w:val="TableText"/>
              <w:spacing w:before="0"/>
              <w:rPr>
                <w:rFonts w:cs="Arial"/>
                <w:szCs w:val="18"/>
              </w:rPr>
            </w:pPr>
            <w:r w:rsidRPr="00BE297A">
              <w:rPr>
                <w:rFonts w:cs="Arial"/>
                <w:sz w:val="24"/>
                <w:szCs w:val="24"/>
              </w:rPr>
              <w:fldChar w:fldCharType="begin">
                <w:ffData>
                  <w:name w:val="Check11"/>
                  <w:enabled/>
                  <w:calcOnExit w:val="0"/>
                  <w:checkBox>
                    <w:sizeAuto/>
                    <w:default w:val="0"/>
                  </w:checkBox>
                </w:ffData>
              </w:fldChar>
            </w:r>
            <w:bookmarkStart w:id="14" w:name="Check11"/>
            <w:r w:rsidRPr="00BE297A">
              <w:rPr>
                <w:rFonts w:cs="Arial"/>
                <w:sz w:val="24"/>
                <w:szCs w:val="24"/>
              </w:rPr>
              <w:instrText xml:space="preserve"> FORMCHECKBOX </w:instrText>
            </w:r>
            <w:r w:rsidR="00990E57">
              <w:rPr>
                <w:rFonts w:cs="Arial"/>
                <w:sz w:val="24"/>
                <w:szCs w:val="24"/>
              </w:rPr>
            </w:r>
            <w:r w:rsidR="00990E57">
              <w:rPr>
                <w:rFonts w:cs="Arial"/>
                <w:sz w:val="24"/>
                <w:szCs w:val="24"/>
              </w:rPr>
              <w:fldChar w:fldCharType="separate"/>
            </w:r>
            <w:r w:rsidRPr="00BE297A">
              <w:rPr>
                <w:rFonts w:cs="Arial"/>
                <w:sz w:val="24"/>
                <w:szCs w:val="24"/>
              </w:rPr>
              <w:fldChar w:fldCharType="end"/>
            </w:r>
            <w:bookmarkEnd w:id="14"/>
            <w:r>
              <w:rPr>
                <w:rFonts w:cs="Arial"/>
                <w:szCs w:val="18"/>
              </w:rPr>
              <w:tab/>
              <w:t>Yes</w:t>
            </w:r>
          </w:p>
        </w:tc>
      </w:tr>
      <w:tr w:rsidR="004F7F4E" w:rsidRPr="00123E71" w:rsidTr="00BE297A">
        <w:trPr>
          <w:cantSplit/>
        </w:trPr>
        <w:tc>
          <w:tcPr>
            <w:tcW w:w="8276" w:type="dxa"/>
            <w:tcBorders>
              <w:top w:val="nil"/>
              <w:bottom w:val="nil"/>
            </w:tcBorders>
            <w:vAlign w:val="center"/>
          </w:tcPr>
          <w:p w:rsidR="004F7F4E" w:rsidRPr="00123E71" w:rsidRDefault="002903B3" w:rsidP="00BE297A">
            <w:pPr>
              <w:pStyle w:val="TableText"/>
              <w:tabs>
                <w:tab w:val="right" w:pos="4199"/>
              </w:tabs>
              <w:rPr>
                <w:rFonts w:cs="Arial"/>
                <w:szCs w:val="18"/>
              </w:rPr>
            </w:pPr>
            <w:r>
              <w:rPr>
                <w:rFonts w:cs="Arial"/>
                <w:szCs w:val="18"/>
              </w:rPr>
              <w:t>Please remove my name from all documents published on the Ministry’s website</w:t>
            </w:r>
            <w:r w:rsidR="004F7F4E">
              <w:rPr>
                <w:rFonts w:cs="Arial"/>
                <w:szCs w:val="18"/>
              </w:rPr>
              <w:t>:</w:t>
            </w:r>
          </w:p>
        </w:tc>
        <w:tc>
          <w:tcPr>
            <w:tcW w:w="1134" w:type="dxa"/>
            <w:tcBorders>
              <w:top w:val="nil"/>
              <w:bottom w:val="nil"/>
            </w:tcBorders>
          </w:tcPr>
          <w:p w:rsidR="004F7F4E" w:rsidRPr="00123E71" w:rsidRDefault="004F7F4E" w:rsidP="00BE297A">
            <w:pPr>
              <w:pStyle w:val="TableText"/>
              <w:rPr>
                <w:rFonts w:cs="Arial"/>
                <w:szCs w:val="18"/>
              </w:rPr>
            </w:pPr>
            <w:r w:rsidRPr="00BE297A">
              <w:rPr>
                <w:rFonts w:cs="Arial"/>
                <w:sz w:val="24"/>
                <w:szCs w:val="24"/>
              </w:rPr>
              <w:fldChar w:fldCharType="begin">
                <w:ffData>
                  <w:name w:val="Check12"/>
                  <w:enabled/>
                  <w:calcOnExit w:val="0"/>
                  <w:checkBox>
                    <w:sizeAuto/>
                    <w:default w:val="0"/>
                  </w:checkBox>
                </w:ffData>
              </w:fldChar>
            </w:r>
            <w:bookmarkStart w:id="15" w:name="Check12"/>
            <w:r w:rsidRPr="00BE297A">
              <w:rPr>
                <w:rFonts w:cs="Arial"/>
                <w:sz w:val="24"/>
                <w:szCs w:val="24"/>
              </w:rPr>
              <w:instrText xml:space="preserve"> FORMCHECKBOX </w:instrText>
            </w:r>
            <w:r w:rsidR="00990E57">
              <w:rPr>
                <w:rFonts w:cs="Arial"/>
                <w:sz w:val="24"/>
                <w:szCs w:val="24"/>
              </w:rPr>
            </w:r>
            <w:r w:rsidR="00990E57">
              <w:rPr>
                <w:rFonts w:cs="Arial"/>
                <w:sz w:val="24"/>
                <w:szCs w:val="24"/>
              </w:rPr>
              <w:fldChar w:fldCharType="separate"/>
            </w:r>
            <w:r w:rsidRPr="00BE297A">
              <w:rPr>
                <w:rFonts w:cs="Arial"/>
                <w:sz w:val="24"/>
                <w:szCs w:val="24"/>
              </w:rPr>
              <w:fldChar w:fldCharType="end"/>
            </w:r>
            <w:bookmarkEnd w:id="15"/>
            <w:r>
              <w:rPr>
                <w:rFonts w:cs="Arial"/>
                <w:szCs w:val="18"/>
              </w:rPr>
              <w:tab/>
              <w:t>Yes</w:t>
            </w:r>
          </w:p>
        </w:tc>
      </w:tr>
      <w:tr w:rsidR="004F7F4E" w:rsidRPr="00123E71" w:rsidTr="00BE297A">
        <w:trPr>
          <w:cantSplit/>
        </w:trPr>
        <w:tc>
          <w:tcPr>
            <w:tcW w:w="8276" w:type="dxa"/>
            <w:tcBorders>
              <w:top w:val="nil"/>
              <w:bottom w:val="nil"/>
            </w:tcBorders>
            <w:vAlign w:val="center"/>
          </w:tcPr>
          <w:p w:rsidR="004F7F4E" w:rsidRPr="00123E71" w:rsidRDefault="002903B3" w:rsidP="002903B3">
            <w:pPr>
              <w:pStyle w:val="TableText"/>
              <w:rPr>
                <w:rFonts w:cs="Arial"/>
                <w:szCs w:val="18"/>
              </w:rPr>
            </w:pPr>
            <w:r>
              <w:rPr>
                <w:rFonts w:cs="Arial"/>
                <w:szCs w:val="18"/>
              </w:rPr>
              <w:t>Please remove my name from the list of submissions published on the Ministry’s website</w:t>
            </w:r>
            <w:r w:rsidR="004F7F4E" w:rsidRPr="00123E71">
              <w:rPr>
                <w:rFonts w:cs="Arial"/>
                <w:szCs w:val="18"/>
              </w:rPr>
              <w:t>:</w:t>
            </w:r>
          </w:p>
        </w:tc>
        <w:tc>
          <w:tcPr>
            <w:tcW w:w="1134" w:type="dxa"/>
            <w:tcBorders>
              <w:top w:val="nil"/>
              <w:bottom w:val="nil"/>
            </w:tcBorders>
          </w:tcPr>
          <w:p w:rsidR="004F7F4E" w:rsidRPr="00123E71" w:rsidRDefault="004F7F4E" w:rsidP="00BE297A">
            <w:pPr>
              <w:pStyle w:val="TableText"/>
              <w:rPr>
                <w:rFonts w:cs="Arial"/>
                <w:szCs w:val="18"/>
              </w:rPr>
            </w:pPr>
            <w:r w:rsidRPr="00BE297A">
              <w:rPr>
                <w:rFonts w:cs="Arial"/>
                <w:sz w:val="24"/>
                <w:szCs w:val="24"/>
              </w:rPr>
              <w:fldChar w:fldCharType="begin">
                <w:ffData>
                  <w:name w:val="Check13"/>
                  <w:enabled/>
                  <w:calcOnExit w:val="0"/>
                  <w:checkBox>
                    <w:sizeAuto/>
                    <w:default w:val="0"/>
                  </w:checkBox>
                </w:ffData>
              </w:fldChar>
            </w:r>
            <w:bookmarkStart w:id="16" w:name="Check13"/>
            <w:r w:rsidRPr="00BE297A">
              <w:rPr>
                <w:rFonts w:cs="Arial"/>
                <w:sz w:val="24"/>
                <w:szCs w:val="24"/>
              </w:rPr>
              <w:instrText xml:space="preserve"> FORMCHECKBOX </w:instrText>
            </w:r>
            <w:r w:rsidR="00990E57">
              <w:rPr>
                <w:rFonts w:cs="Arial"/>
                <w:sz w:val="24"/>
                <w:szCs w:val="24"/>
              </w:rPr>
            </w:r>
            <w:r w:rsidR="00990E57">
              <w:rPr>
                <w:rFonts w:cs="Arial"/>
                <w:sz w:val="24"/>
                <w:szCs w:val="24"/>
              </w:rPr>
              <w:fldChar w:fldCharType="separate"/>
            </w:r>
            <w:r w:rsidRPr="00BE297A">
              <w:rPr>
                <w:rFonts w:cs="Arial"/>
                <w:sz w:val="24"/>
                <w:szCs w:val="24"/>
              </w:rPr>
              <w:fldChar w:fldCharType="end"/>
            </w:r>
            <w:bookmarkEnd w:id="16"/>
            <w:r>
              <w:rPr>
                <w:rFonts w:cs="Arial"/>
                <w:szCs w:val="18"/>
              </w:rPr>
              <w:tab/>
              <w:t>Yes</w:t>
            </w:r>
          </w:p>
        </w:tc>
      </w:tr>
    </w:tbl>
    <w:p w:rsidR="00BE297A" w:rsidRPr="00BE297A" w:rsidRDefault="00BE297A" w:rsidP="00BE297A"/>
    <w:p w:rsidR="004F7F4E" w:rsidRPr="004F7F4E" w:rsidRDefault="00BE297A" w:rsidP="00BE297A">
      <w:pPr>
        <w:pStyle w:val="Heading3"/>
        <w:spacing w:before="480"/>
      </w:pPr>
      <w:r>
        <w:t>Additional information</w:t>
      </w:r>
    </w:p>
    <w:p w:rsidR="004F7F4E" w:rsidRPr="00BE297A" w:rsidRDefault="00BE297A" w:rsidP="004F7F4E">
      <w:pPr>
        <w:rPr>
          <w:rFonts w:ascii="Arial" w:hAnsi="Arial" w:cs="Arial"/>
          <w:sz w:val="18"/>
          <w:szCs w:val="18"/>
        </w:rPr>
      </w:pPr>
      <w:r w:rsidRPr="00BE297A">
        <w:rPr>
          <w:rFonts w:ascii="Arial" w:hAnsi="Arial" w:cs="Arial"/>
          <w:sz w:val="18"/>
          <w:szCs w:val="18"/>
        </w:rPr>
        <w:t>I am, or I represent, an organisation that is based in:</w:t>
      </w:r>
    </w:p>
    <w:p w:rsidR="00BE297A" w:rsidRPr="00BE297A" w:rsidRDefault="00BE297A" w:rsidP="00BE297A">
      <w:pPr>
        <w:tabs>
          <w:tab w:val="left" w:pos="567"/>
          <w:tab w:val="left" w:pos="2268"/>
          <w:tab w:val="left" w:pos="2835"/>
          <w:tab w:val="left" w:pos="4253"/>
          <w:tab w:val="left" w:pos="4820"/>
        </w:tabs>
        <w:spacing w:before="60"/>
        <w:rPr>
          <w:rFonts w:ascii="Arial" w:hAnsi="Arial" w:cs="Arial"/>
          <w:sz w:val="18"/>
          <w:szCs w:val="18"/>
        </w:rPr>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t>New Zealand</w:t>
      </w:r>
      <w:r w:rsidRPr="00BE297A">
        <w:rPr>
          <w:rFonts w:ascii="Arial" w:hAnsi="Arial" w:cs="Arial"/>
          <w:sz w:val="18"/>
          <w:szCs w:val="18"/>
        </w:rPr>
        <w:tab/>
      </w: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t>Australia</w:t>
      </w:r>
      <w:r w:rsidRPr="00BE297A">
        <w:rPr>
          <w:rFonts w:ascii="Arial" w:hAnsi="Arial" w:cs="Arial"/>
          <w:sz w:val="18"/>
          <w:szCs w:val="18"/>
        </w:rPr>
        <w:tab/>
      </w: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t>Other</w:t>
      </w:r>
      <w:r w:rsidRPr="00BE297A">
        <w:rPr>
          <w:rFonts w:ascii="Arial" w:hAnsi="Arial" w:cs="Arial"/>
          <w:i/>
          <w:sz w:val="16"/>
          <w:szCs w:val="16"/>
        </w:rPr>
        <w:t xml:space="preserve"> (please specify)</w:t>
      </w:r>
      <w:r w:rsidRPr="00BE297A">
        <w:rPr>
          <w:rFonts w:ascii="Arial" w:hAnsi="Arial" w:cs="Arial"/>
          <w:sz w:val="16"/>
          <w:szCs w:val="16"/>
        </w:rPr>
        <w:t xml:space="preserve">: </w:t>
      </w:r>
      <w:r w:rsidRPr="00BE297A">
        <w:rPr>
          <w:rFonts w:ascii="Arial" w:hAnsi="Arial" w:cs="Arial"/>
          <w:sz w:val="18"/>
          <w:szCs w:val="18"/>
        </w:rPr>
        <w:fldChar w:fldCharType="begin">
          <w:ffData>
            <w:name w:val="Text4"/>
            <w:enabled/>
            <w:calcOnExit w:val="0"/>
            <w:textInput/>
          </w:ffData>
        </w:fldChar>
      </w:r>
      <w:bookmarkStart w:id="17" w:name="Text4"/>
      <w:r w:rsidRPr="00BE297A">
        <w:rPr>
          <w:rFonts w:ascii="Arial" w:hAnsi="Arial" w:cs="Arial"/>
          <w:sz w:val="18"/>
          <w:szCs w:val="18"/>
        </w:rPr>
        <w:instrText xml:space="preserve"> FORMTEXT </w:instrText>
      </w:r>
      <w:r w:rsidRPr="00BE297A">
        <w:rPr>
          <w:rFonts w:ascii="Arial" w:hAnsi="Arial" w:cs="Arial"/>
          <w:sz w:val="18"/>
          <w:szCs w:val="18"/>
        </w:rPr>
      </w:r>
      <w:r w:rsidRPr="00BE297A">
        <w:rPr>
          <w:rFonts w:ascii="Arial" w:hAnsi="Arial" w:cs="Arial"/>
          <w:sz w:val="18"/>
          <w:szCs w:val="18"/>
        </w:rPr>
        <w:fldChar w:fldCharType="separate"/>
      </w:r>
      <w:r w:rsidRPr="00BE297A">
        <w:rPr>
          <w:rFonts w:ascii="Arial" w:hAnsi="Arial" w:cs="Arial"/>
          <w:noProof/>
          <w:sz w:val="18"/>
          <w:szCs w:val="18"/>
        </w:rPr>
        <w:t> </w:t>
      </w:r>
      <w:r w:rsidRPr="00BE297A">
        <w:rPr>
          <w:rFonts w:ascii="Arial" w:hAnsi="Arial" w:cs="Arial"/>
          <w:noProof/>
          <w:sz w:val="18"/>
          <w:szCs w:val="18"/>
        </w:rPr>
        <w:t> </w:t>
      </w:r>
      <w:r w:rsidRPr="00BE297A">
        <w:rPr>
          <w:rFonts w:ascii="Arial" w:hAnsi="Arial" w:cs="Arial"/>
          <w:noProof/>
          <w:sz w:val="18"/>
          <w:szCs w:val="18"/>
        </w:rPr>
        <w:t> </w:t>
      </w:r>
      <w:r w:rsidRPr="00BE297A">
        <w:rPr>
          <w:rFonts w:ascii="Arial" w:hAnsi="Arial" w:cs="Arial"/>
          <w:noProof/>
          <w:sz w:val="18"/>
          <w:szCs w:val="18"/>
        </w:rPr>
        <w:t> </w:t>
      </w:r>
      <w:r w:rsidRPr="00BE297A">
        <w:rPr>
          <w:rFonts w:ascii="Arial" w:hAnsi="Arial" w:cs="Arial"/>
          <w:noProof/>
          <w:sz w:val="18"/>
          <w:szCs w:val="18"/>
        </w:rPr>
        <w:t> </w:t>
      </w:r>
      <w:r w:rsidRPr="00BE297A">
        <w:rPr>
          <w:rFonts w:ascii="Arial" w:hAnsi="Arial" w:cs="Arial"/>
          <w:sz w:val="18"/>
          <w:szCs w:val="18"/>
        </w:rPr>
        <w:fldChar w:fldCharType="end"/>
      </w:r>
      <w:bookmarkEnd w:id="17"/>
    </w:p>
    <w:p w:rsidR="00BE297A" w:rsidRDefault="00BE297A" w:rsidP="00BE297A"/>
    <w:p w:rsidR="00BE297A" w:rsidRDefault="00BE297A" w:rsidP="00BE297A">
      <w:pPr>
        <w:rPr>
          <w:rFonts w:ascii="Arial" w:hAnsi="Arial" w:cs="Arial"/>
          <w:i/>
          <w:sz w:val="16"/>
          <w:szCs w:val="18"/>
        </w:rPr>
      </w:pPr>
      <w:r w:rsidRPr="00BE297A">
        <w:rPr>
          <w:rFonts w:ascii="Arial" w:hAnsi="Arial" w:cs="Arial"/>
          <w:sz w:val="18"/>
          <w:szCs w:val="18"/>
        </w:rPr>
        <w:t>I am, or I represent,</w:t>
      </w:r>
      <w:r>
        <w:rPr>
          <w:rFonts w:ascii="Arial" w:hAnsi="Arial" w:cs="Arial"/>
          <w:sz w:val="18"/>
          <w:szCs w:val="18"/>
        </w:rPr>
        <w:t xml:space="preserve"> a:</w:t>
      </w:r>
      <w:r w:rsidRPr="00BE297A">
        <w:rPr>
          <w:rFonts w:ascii="Arial" w:hAnsi="Arial" w:cs="Arial"/>
          <w:i/>
          <w:sz w:val="16"/>
          <w:szCs w:val="18"/>
        </w:rPr>
        <w:t xml:space="preserve"> (tick all that apply)</w:t>
      </w:r>
    </w:p>
    <w:p w:rsidR="00BE297A" w:rsidRDefault="00BE297A" w:rsidP="00BE297A">
      <w:pPr>
        <w:tabs>
          <w:tab w:val="left" w:pos="567"/>
          <w:tab w:val="left" w:pos="3402"/>
          <w:tab w:val="left" w:pos="3969"/>
          <w:tab w:val="left" w:pos="7088"/>
          <w:tab w:val="left" w:pos="7655"/>
        </w:tabs>
        <w:spacing w:before="60"/>
        <w:rPr>
          <w:rFonts w:ascii="Arial" w:hAnsi="Arial" w:cs="Arial"/>
          <w:sz w:val="18"/>
          <w:szCs w:val="18"/>
        </w:rPr>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r>
      <w:r>
        <w:rPr>
          <w:rFonts w:ascii="Arial" w:hAnsi="Arial" w:cs="Arial"/>
          <w:sz w:val="18"/>
          <w:szCs w:val="18"/>
        </w:rPr>
        <w:t>Industrial radiographer</w:t>
      </w:r>
      <w:r>
        <w:rPr>
          <w:rFonts w:ascii="Arial" w:hAnsi="Arial" w:cs="Arial"/>
          <w:sz w:val="18"/>
          <w:szCs w:val="18"/>
        </w:rPr>
        <w:tab/>
      </w: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r>
      <w:r>
        <w:rPr>
          <w:rFonts w:ascii="Arial" w:hAnsi="Arial" w:cs="Arial"/>
          <w:sz w:val="18"/>
          <w:szCs w:val="18"/>
        </w:rPr>
        <w:t>Transport operator</w:t>
      </w:r>
      <w:r w:rsidRPr="00BE297A">
        <w:rPr>
          <w:rFonts w:ascii="Arial" w:hAnsi="Arial" w:cs="Arial"/>
          <w:sz w:val="18"/>
          <w:szCs w:val="18"/>
        </w:rPr>
        <w:tab/>
      </w: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r>
      <w:r>
        <w:rPr>
          <w:rFonts w:ascii="Arial" w:hAnsi="Arial" w:cs="Arial"/>
          <w:sz w:val="18"/>
          <w:szCs w:val="18"/>
        </w:rPr>
        <w:t>Professional body</w:t>
      </w:r>
    </w:p>
    <w:p w:rsidR="00BE297A" w:rsidRDefault="00BE297A" w:rsidP="00BE297A">
      <w:pPr>
        <w:tabs>
          <w:tab w:val="left" w:pos="567"/>
          <w:tab w:val="left" w:pos="3402"/>
          <w:tab w:val="left" w:pos="3969"/>
          <w:tab w:val="left" w:pos="7088"/>
          <w:tab w:val="left" w:pos="7655"/>
        </w:tabs>
        <w:spacing w:before="60"/>
        <w:rPr>
          <w:rFonts w:ascii="Arial" w:hAnsi="Arial" w:cs="Arial"/>
          <w:sz w:val="18"/>
          <w:szCs w:val="18"/>
        </w:rPr>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r>
      <w:r>
        <w:rPr>
          <w:rFonts w:ascii="Arial" w:hAnsi="Arial" w:cs="Arial"/>
          <w:sz w:val="18"/>
          <w:szCs w:val="18"/>
        </w:rPr>
        <w:t>Radiation facility (health)</w:t>
      </w:r>
      <w:r>
        <w:rPr>
          <w:rFonts w:ascii="Arial" w:hAnsi="Arial" w:cs="Arial"/>
          <w:sz w:val="18"/>
          <w:szCs w:val="18"/>
        </w:rPr>
        <w:tab/>
      </w: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r>
      <w:proofErr w:type="gramStart"/>
      <w:r>
        <w:rPr>
          <w:rFonts w:ascii="Arial" w:hAnsi="Arial" w:cs="Arial"/>
          <w:sz w:val="18"/>
          <w:szCs w:val="18"/>
        </w:rPr>
        <w:t>Other</w:t>
      </w:r>
      <w:proofErr w:type="gramEnd"/>
      <w:r>
        <w:rPr>
          <w:rFonts w:ascii="Arial" w:hAnsi="Arial" w:cs="Arial"/>
          <w:sz w:val="18"/>
          <w:szCs w:val="18"/>
        </w:rPr>
        <w:t xml:space="preserve"> industry organisation</w:t>
      </w:r>
      <w:r w:rsidRPr="00BE297A">
        <w:rPr>
          <w:rFonts w:ascii="Arial" w:hAnsi="Arial" w:cs="Arial"/>
          <w:sz w:val="18"/>
          <w:szCs w:val="18"/>
        </w:rPr>
        <w:tab/>
      </w: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r>
      <w:r>
        <w:rPr>
          <w:rFonts w:ascii="Arial" w:hAnsi="Arial" w:cs="Arial"/>
          <w:sz w:val="18"/>
          <w:szCs w:val="18"/>
        </w:rPr>
        <w:t>Government</w:t>
      </w:r>
    </w:p>
    <w:p w:rsidR="00BE297A" w:rsidRDefault="00BE297A" w:rsidP="00BE297A">
      <w:pPr>
        <w:tabs>
          <w:tab w:val="left" w:pos="567"/>
          <w:tab w:val="left" w:pos="3402"/>
          <w:tab w:val="left" w:pos="3969"/>
          <w:tab w:val="left" w:pos="7088"/>
          <w:tab w:val="left" w:pos="7655"/>
        </w:tabs>
        <w:spacing w:before="60"/>
        <w:rPr>
          <w:rFonts w:ascii="Arial" w:hAnsi="Arial" w:cs="Arial"/>
          <w:sz w:val="18"/>
          <w:szCs w:val="18"/>
        </w:rPr>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r>
      <w:r>
        <w:rPr>
          <w:rFonts w:ascii="Arial" w:hAnsi="Arial" w:cs="Arial"/>
          <w:sz w:val="18"/>
          <w:szCs w:val="18"/>
        </w:rPr>
        <w:t>Radiation facility (other)</w:t>
      </w:r>
      <w:r>
        <w:rPr>
          <w:rFonts w:ascii="Arial" w:hAnsi="Arial" w:cs="Arial"/>
          <w:sz w:val="18"/>
          <w:szCs w:val="18"/>
        </w:rPr>
        <w:tab/>
      </w: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r>
      <w:r>
        <w:rPr>
          <w:rFonts w:ascii="Arial" w:hAnsi="Arial" w:cs="Arial"/>
          <w:sz w:val="18"/>
          <w:szCs w:val="18"/>
        </w:rPr>
        <w:t>Institution (e.g. university, hospital)</w:t>
      </w:r>
      <w:r w:rsidRPr="00BE297A">
        <w:rPr>
          <w:rFonts w:ascii="Arial" w:hAnsi="Arial" w:cs="Arial"/>
          <w:sz w:val="18"/>
          <w:szCs w:val="18"/>
        </w:rPr>
        <w:tab/>
      </w: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r>
      <w:r>
        <w:rPr>
          <w:rFonts w:ascii="Arial" w:hAnsi="Arial" w:cs="Arial"/>
          <w:sz w:val="18"/>
          <w:szCs w:val="18"/>
        </w:rPr>
        <w:t>Member of the public</w:t>
      </w:r>
    </w:p>
    <w:p w:rsidR="00BE297A" w:rsidRDefault="00BE297A" w:rsidP="00BE297A">
      <w:pPr>
        <w:tabs>
          <w:tab w:val="left" w:pos="567"/>
          <w:tab w:val="left" w:pos="3402"/>
          <w:tab w:val="left" w:pos="3969"/>
          <w:tab w:val="left" w:pos="6804"/>
          <w:tab w:val="left" w:pos="7371"/>
        </w:tabs>
        <w:spacing w:before="60"/>
        <w:rPr>
          <w:rFonts w:ascii="Arial" w:hAnsi="Arial" w:cs="Arial"/>
          <w:sz w:val="18"/>
          <w:szCs w:val="18"/>
        </w:rPr>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r>
      <w:r>
        <w:rPr>
          <w:rFonts w:ascii="Arial" w:hAnsi="Arial" w:cs="Arial"/>
          <w:sz w:val="18"/>
          <w:szCs w:val="18"/>
        </w:rPr>
        <w:t>Other</w:t>
      </w:r>
      <w:r w:rsidRPr="00BE297A">
        <w:rPr>
          <w:rFonts w:ascii="Arial" w:hAnsi="Arial" w:cs="Arial"/>
          <w:i/>
          <w:sz w:val="16"/>
          <w:szCs w:val="16"/>
        </w:rPr>
        <w:t xml:space="preserve"> (please specify)</w:t>
      </w:r>
      <w:r w:rsidRPr="00BE297A">
        <w:rPr>
          <w:rFonts w:ascii="Arial" w:hAnsi="Arial" w:cs="Arial"/>
          <w:sz w:val="16"/>
          <w:szCs w:val="16"/>
        </w:rPr>
        <w:t xml:space="preserve">: </w:t>
      </w:r>
      <w:r w:rsidRPr="00BE297A">
        <w:rPr>
          <w:rFonts w:ascii="Arial" w:hAnsi="Arial" w:cs="Arial"/>
          <w:sz w:val="18"/>
          <w:szCs w:val="18"/>
        </w:rPr>
        <w:fldChar w:fldCharType="begin">
          <w:ffData>
            <w:name w:val="Text4"/>
            <w:enabled/>
            <w:calcOnExit w:val="0"/>
            <w:textInput/>
          </w:ffData>
        </w:fldChar>
      </w:r>
      <w:r w:rsidRPr="00BE297A">
        <w:rPr>
          <w:rFonts w:ascii="Arial" w:hAnsi="Arial" w:cs="Arial"/>
          <w:sz w:val="18"/>
          <w:szCs w:val="18"/>
        </w:rPr>
        <w:instrText xml:space="preserve"> FORMTEXT </w:instrText>
      </w:r>
      <w:r w:rsidRPr="00BE297A">
        <w:rPr>
          <w:rFonts w:ascii="Arial" w:hAnsi="Arial" w:cs="Arial"/>
          <w:sz w:val="18"/>
          <w:szCs w:val="18"/>
        </w:rPr>
      </w:r>
      <w:r w:rsidRPr="00BE297A">
        <w:rPr>
          <w:rFonts w:ascii="Arial" w:hAnsi="Arial" w:cs="Arial"/>
          <w:sz w:val="18"/>
          <w:szCs w:val="18"/>
        </w:rPr>
        <w:fldChar w:fldCharType="separate"/>
      </w:r>
      <w:r w:rsidRPr="00BE297A">
        <w:rPr>
          <w:rFonts w:ascii="Arial" w:hAnsi="Arial" w:cs="Arial"/>
          <w:noProof/>
          <w:sz w:val="18"/>
          <w:szCs w:val="18"/>
        </w:rPr>
        <w:t> </w:t>
      </w:r>
      <w:r w:rsidRPr="00BE297A">
        <w:rPr>
          <w:rFonts w:ascii="Arial" w:hAnsi="Arial" w:cs="Arial"/>
          <w:noProof/>
          <w:sz w:val="18"/>
          <w:szCs w:val="18"/>
        </w:rPr>
        <w:t> </w:t>
      </w:r>
      <w:r w:rsidRPr="00BE297A">
        <w:rPr>
          <w:rFonts w:ascii="Arial" w:hAnsi="Arial" w:cs="Arial"/>
          <w:noProof/>
          <w:sz w:val="18"/>
          <w:szCs w:val="18"/>
        </w:rPr>
        <w:t> </w:t>
      </w:r>
      <w:r w:rsidRPr="00BE297A">
        <w:rPr>
          <w:rFonts w:ascii="Arial" w:hAnsi="Arial" w:cs="Arial"/>
          <w:noProof/>
          <w:sz w:val="18"/>
          <w:szCs w:val="18"/>
        </w:rPr>
        <w:t> </w:t>
      </w:r>
      <w:r w:rsidRPr="00BE297A">
        <w:rPr>
          <w:rFonts w:ascii="Arial" w:hAnsi="Arial" w:cs="Arial"/>
          <w:noProof/>
          <w:sz w:val="18"/>
          <w:szCs w:val="18"/>
        </w:rPr>
        <w:t> </w:t>
      </w:r>
      <w:r w:rsidRPr="00BE297A">
        <w:rPr>
          <w:rFonts w:ascii="Arial" w:hAnsi="Arial" w:cs="Arial"/>
          <w:sz w:val="18"/>
          <w:szCs w:val="18"/>
        </w:rPr>
        <w:fldChar w:fldCharType="end"/>
      </w:r>
    </w:p>
    <w:p w:rsidR="00BE297A" w:rsidRDefault="00BE297A" w:rsidP="00BE297A"/>
    <w:p w:rsidR="00BE297A" w:rsidRDefault="00BE297A" w:rsidP="00BE297A">
      <w:pPr>
        <w:pStyle w:val="Heading3"/>
        <w:spacing w:before="480"/>
      </w:pPr>
      <w:r>
        <w:t>Please return this form to:</w:t>
      </w:r>
    </w:p>
    <w:p w:rsidR="00BE297A" w:rsidRDefault="00BE297A" w:rsidP="00BE297A">
      <w:pPr>
        <w:spacing w:before="60"/>
        <w:ind w:left="567"/>
      </w:pPr>
      <w:r>
        <w:t>Email:</w:t>
      </w:r>
      <w:r>
        <w:tab/>
      </w:r>
      <w:hyperlink r:id="rId24" w:history="1">
        <w:r w:rsidRPr="00AD7B98">
          <w:rPr>
            <w:rStyle w:val="Hyperlink"/>
            <w:rFonts w:eastAsia="MS Mincho"/>
            <w:bCs/>
            <w:sz w:val="20"/>
            <w:lang w:eastAsia="en-AU"/>
          </w:rPr>
          <w:t>mailto:orsenquiries@moh.govt.nz</w:t>
        </w:r>
      </w:hyperlink>
      <w:r>
        <w:rPr>
          <w:rFonts w:eastAsia="MS Mincho"/>
          <w:bCs/>
          <w:sz w:val="20"/>
          <w:lang w:eastAsia="en-AU"/>
        </w:rPr>
        <w:t xml:space="preserve"> </w:t>
      </w:r>
      <w:r w:rsidRPr="00922BD1">
        <w:rPr>
          <w:sz w:val="20"/>
          <w:lang w:eastAsia="en-NZ"/>
        </w:rPr>
        <w:t xml:space="preserve">(including </w:t>
      </w:r>
      <w:r>
        <w:rPr>
          <w:sz w:val="20"/>
          <w:lang w:eastAsia="en-NZ"/>
        </w:rPr>
        <w:t>‘</w:t>
      </w:r>
      <w:r w:rsidRPr="00922BD1">
        <w:rPr>
          <w:sz w:val="20"/>
          <w:lang w:eastAsia="en-NZ"/>
        </w:rPr>
        <w:t>Security Code</w:t>
      </w:r>
      <w:r>
        <w:rPr>
          <w:sz w:val="20"/>
          <w:lang w:eastAsia="en-NZ"/>
        </w:rPr>
        <w:t>’</w:t>
      </w:r>
      <w:r w:rsidRPr="00922BD1">
        <w:rPr>
          <w:sz w:val="20"/>
          <w:lang w:eastAsia="en-NZ"/>
        </w:rPr>
        <w:t xml:space="preserve"> in the subject line)</w:t>
      </w:r>
    </w:p>
    <w:p w:rsidR="004F7F4E" w:rsidRDefault="00BE297A" w:rsidP="00BE297A">
      <w:pPr>
        <w:spacing w:before="60"/>
        <w:ind w:left="567"/>
        <w:rPr>
          <w:rFonts w:eastAsia="MS Mincho"/>
          <w:bCs/>
          <w:sz w:val="20"/>
          <w:lang w:eastAsia="en-AU"/>
        </w:rPr>
      </w:pPr>
      <w:proofErr w:type="gramStart"/>
      <w:r w:rsidRPr="00BE297A">
        <w:rPr>
          <w:rFonts w:eastAsia="MS Mincho"/>
          <w:lang w:eastAsia="en-AU"/>
        </w:rPr>
        <w:t>or</w:t>
      </w:r>
      <w:proofErr w:type="gramEnd"/>
      <w:r w:rsidRPr="00BE297A">
        <w:rPr>
          <w:rFonts w:eastAsia="MS Mincho"/>
          <w:lang w:eastAsia="en-AU"/>
        </w:rPr>
        <w:t xml:space="preserve"> post:</w:t>
      </w:r>
      <w:r>
        <w:rPr>
          <w:rFonts w:eastAsia="MS Mincho"/>
          <w:sz w:val="20"/>
          <w:lang w:eastAsia="en-AU"/>
        </w:rPr>
        <w:tab/>
      </w:r>
      <w:r w:rsidRPr="00922BD1">
        <w:rPr>
          <w:rFonts w:eastAsia="MS Mincho"/>
          <w:sz w:val="20"/>
          <w:lang w:eastAsia="en-AU"/>
        </w:rPr>
        <w:t>Office of Radiation Safety, PO Box 3877,</w:t>
      </w:r>
      <w:r w:rsidRPr="00922BD1">
        <w:rPr>
          <w:rFonts w:eastAsia="MS Mincho"/>
          <w:bCs/>
          <w:sz w:val="20"/>
          <w:lang w:eastAsia="en-AU"/>
        </w:rPr>
        <w:t xml:space="preserve"> Christchurch 8140</w:t>
      </w:r>
    </w:p>
    <w:p w:rsidR="00BE297A" w:rsidRPr="00123E71" w:rsidRDefault="00BE297A" w:rsidP="00BE297A"/>
    <w:p w:rsidR="00BE297A" w:rsidRDefault="00BE297A" w:rsidP="00BE297A">
      <w:bookmarkStart w:id="18" w:name="_Toc433207223"/>
      <w:r>
        <w:br w:type="page"/>
      </w:r>
    </w:p>
    <w:p w:rsidR="004F7F4E" w:rsidRPr="00123E71" w:rsidRDefault="004F7F4E" w:rsidP="004F7F4E">
      <w:pPr>
        <w:pStyle w:val="Heading2"/>
      </w:pPr>
      <w:bookmarkStart w:id="19" w:name="_Toc433740028"/>
      <w:r w:rsidRPr="00123E71">
        <w:lastRenderedPageBreak/>
        <w:t>Consultation questions</w:t>
      </w:r>
      <w:bookmarkEnd w:id="18"/>
      <w:bookmarkEnd w:id="19"/>
    </w:p>
    <w:p w:rsidR="00BE297A" w:rsidRDefault="00BE297A" w:rsidP="00BE297A">
      <w:r>
        <w:t>The Office of Radiation Safety</w:t>
      </w:r>
      <w:r w:rsidRPr="00676926">
        <w:t xml:space="preserve"> is seeking comments on</w:t>
      </w:r>
      <w:r>
        <w:t>:</w:t>
      </w:r>
    </w:p>
    <w:p w:rsidR="00BE297A" w:rsidRPr="00676926" w:rsidRDefault="00BE297A" w:rsidP="00BE297A"/>
    <w:p w:rsidR="00BE297A" w:rsidRDefault="00BE297A" w:rsidP="00BE297A">
      <w:pPr>
        <w:pStyle w:val="Heading3"/>
      </w:pPr>
      <w:r>
        <w:t>Purpose and scope</w:t>
      </w:r>
    </w:p>
    <w:p w:rsidR="00BE297A" w:rsidRDefault="00BE297A" w:rsidP="003B556A">
      <w:pPr>
        <w:ind w:left="567" w:hanging="567"/>
      </w:pPr>
      <w:r>
        <w:t>1</w:t>
      </w:r>
      <w:r>
        <w:tab/>
      </w:r>
      <w:r w:rsidRPr="003D00D9">
        <w:t>Are there risks associated with the legitimate societal</w:t>
      </w:r>
      <w:r>
        <w:t xml:space="preserve"> use of radioactive material</w:t>
      </w:r>
      <w:r w:rsidRPr="003D00D9">
        <w:t xml:space="preserve"> that have not been identified in this Code of Practice?</w:t>
      </w:r>
    </w:p>
    <w:p w:rsidR="003B556A" w:rsidRDefault="003B556A" w:rsidP="003B556A">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Yes</w:t>
      </w:r>
    </w:p>
    <w:p w:rsidR="003B556A" w:rsidRDefault="003B556A" w:rsidP="003B556A">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No</w:t>
      </w:r>
    </w:p>
    <w:p w:rsidR="003B556A" w:rsidRPr="003D00D9" w:rsidRDefault="003B556A" w:rsidP="003B556A">
      <w:pPr>
        <w:spacing w:after="120"/>
        <w:ind w:left="567"/>
      </w:pPr>
      <w:r w:rsidRPr="003D00D9">
        <w:t>If yes, please describe these and provide your suggestions on how these can be managed.</w:t>
      </w:r>
    </w:p>
    <w:tbl>
      <w:tblPr>
        <w:tblStyle w:val="TableGrid"/>
        <w:tblW w:w="0" w:type="auto"/>
        <w:tblInd w:w="675" w:type="dxa"/>
        <w:tblLayout w:type="fixed"/>
        <w:tblLook w:val="04A0" w:firstRow="1" w:lastRow="0" w:firstColumn="1" w:lastColumn="0" w:noHBand="0" w:noVBand="1"/>
      </w:tblPr>
      <w:tblGrid>
        <w:gridCol w:w="8789"/>
      </w:tblGrid>
      <w:tr w:rsidR="00BE297A" w:rsidTr="003B556A">
        <w:trPr>
          <w:cantSplit/>
          <w:trHeight w:val="3969"/>
        </w:trPr>
        <w:tc>
          <w:tcPr>
            <w:tcW w:w="8789" w:type="dxa"/>
          </w:tcPr>
          <w:p w:rsidR="00BE297A" w:rsidRPr="00BE297A" w:rsidRDefault="00BE297A" w:rsidP="00BE297A">
            <w:pPr>
              <w:pStyle w:val="TableText"/>
            </w:pPr>
            <w:r w:rsidRPr="00BE297A">
              <w:fldChar w:fldCharType="begin">
                <w:ffData>
                  <w:name w:val="Text5"/>
                  <w:enabled/>
                  <w:calcOnExit w:val="0"/>
                  <w:textInput/>
                </w:ffData>
              </w:fldChar>
            </w:r>
            <w:bookmarkStart w:id="20" w:name="Text5"/>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bookmarkEnd w:id="20"/>
          </w:p>
        </w:tc>
      </w:tr>
    </w:tbl>
    <w:p w:rsidR="00BE297A" w:rsidRPr="006D0BE4" w:rsidRDefault="00BE297A" w:rsidP="00BE297A"/>
    <w:p w:rsidR="00BE297A" w:rsidRPr="00A01714" w:rsidRDefault="00BE297A" w:rsidP="00BE297A">
      <w:pPr>
        <w:pStyle w:val="Heading3"/>
      </w:pPr>
      <w:r>
        <w:t>Accountabilities</w:t>
      </w:r>
    </w:p>
    <w:p w:rsidR="00BE297A" w:rsidRPr="003B556A" w:rsidRDefault="00BE297A" w:rsidP="00BE297A">
      <w:pPr>
        <w:ind w:left="567" w:hanging="567"/>
      </w:pPr>
      <w:r>
        <w:t>2</w:t>
      </w:r>
      <w:r>
        <w:tab/>
      </w:r>
      <w:r w:rsidRPr="00B27F20">
        <w:t xml:space="preserve">Are the obligations of the Managing </w:t>
      </w:r>
      <w:r>
        <w:t>E</w:t>
      </w:r>
      <w:r w:rsidRPr="00B27F20">
        <w:t xml:space="preserve">ntity </w:t>
      </w:r>
      <w:r>
        <w:t xml:space="preserve">and Licensee </w:t>
      </w:r>
      <w:r w:rsidRPr="00B27F20">
        <w:t>appropriate and adequately described in this Code</w:t>
      </w:r>
      <w:r w:rsidRPr="00EE4A4D">
        <w:t>?</w:t>
      </w:r>
    </w:p>
    <w:p w:rsidR="003B556A" w:rsidRDefault="003B556A" w:rsidP="003B556A">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Yes</w:t>
      </w:r>
    </w:p>
    <w:p w:rsidR="003B556A" w:rsidRDefault="003B556A" w:rsidP="003B556A">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No</w:t>
      </w:r>
    </w:p>
    <w:p w:rsidR="003B556A" w:rsidRPr="003B556A" w:rsidRDefault="003B556A" w:rsidP="003B556A">
      <w:pPr>
        <w:spacing w:after="120"/>
        <w:ind w:left="567"/>
      </w:pPr>
      <w:r>
        <w:t xml:space="preserve">Please </w:t>
      </w:r>
      <w:r w:rsidR="00EE4A4D">
        <w:t xml:space="preserve">note any </w:t>
      </w:r>
      <w:r>
        <w:t>comment</w:t>
      </w:r>
      <w:r w:rsidR="00EE4A4D">
        <w:t>s</w:t>
      </w:r>
      <w:r>
        <w:t xml:space="preserve"> below.</w:t>
      </w:r>
    </w:p>
    <w:tbl>
      <w:tblPr>
        <w:tblStyle w:val="TableGrid"/>
        <w:tblW w:w="0" w:type="auto"/>
        <w:tblInd w:w="675" w:type="dxa"/>
        <w:tblLayout w:type="fixed"/>
        <w:tblLook w:val="04A0" w:firstRow="1" w:lastRow="0" w:firstColumn="1" w:lastColumn="0" w:noHBand="0" w:noVBand="1"/>
      </w:tblPr>
      <w:tblGrid>
        <w:gridCol w:w="8789"/>
      </w:tblGrid>
      <w:tr w:rsidR="003B556A" w:rsidRPr="00BE297A" w:rsidTr="003B556A">
        <w:trPr>
          <w:cantSplit/>
          <w:trHeight w:val="3969"/>
        </w:trPr>
        <w:tc>
          <w:tcPr>
            <w:tcW w:w="8789" w:type="dxa"/>
          </w:tcPr>
          <w:p w:rsidR="003B556A" w:rsidRPr="00BE297A" w:rsidRDefault="003B556A" w:rsidP="00486027">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BE297A" w:rsidRDefault="00BE297A" w:rsidP="00EE4A4D">
      <w:pPr>
        <w:spacing w:before="240"/>
        <w:jc w:val="right"/>
      </w:pPr>
      <w:r>
        <w:t>Please include additional pages if necessary.</w:t>
      </w:r>
    </w:p>
    <w:p w:rsidR="003B556A" w:rsidRDefault="003B556A" w:rsidP="003B556A">
      <w:pPr>
        <w:pStyle w:val="Heading3"/>
      </w:pPr>
      <w:r>
        <w:lastRenderedPageBreak/>
        <w:t>Definitions</w:t>
      </w:r>
    </w:p>
    <w:p w:rsidR="00EE4A4D" w:rsidRPr="003B556A" w:rsidRDefault="00EE4A4D" w:rsidP="00EE4A4D">
      <w:pPr>
        <w:ind w:left="567" w:hanging="567"/>
      </w:pPr>
      <w:r>
        <w:t>3</w:t>
      </w:r>
      <w:r>
        <w:tab/>
      </w:r>
      <w:r w:rsidRPr="00B27F20">
        <w:t xml:space="preserve">Are the </w:t>
      </w:r>
      <w:r>
        <w:t>definitions appropriate and comprehensive</w:t>
      </w:r>
      <w:r w:rsidRPr="00EE4A4D">
        <w:t>?</w:t>
      </w:r>
    </w:p>
    <w:p w:rsidR="00EE4A4D" w:rsidRDefault="00EE4A4D" w:rsidP="00EE4A4D">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Yes</w:t>
      </w:r>
    </w:p>
    <w:p w:rsidR="00EE4A4D" w:rsidRDefault="00EE4A4D" w:rsidP="00EE4A4D">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No</w:t>
      </w:r>
    </w:p>
    <w:p w:rsidR="00EE4A4D" w:rsidRPr="003B556A" w:rsidRDefault="00EE4A4D" w:rsidP="00EE4A4D">
      <w:pPr>
        <w:spacing w:after="120"/>
        <w:ind w:left="567"/>
      </w:pPr>
      <w:r>
        <w:t>Please note any comments below.</w:t>
      </w:r>
    </w:p>
    <w:tbl>
      <w:tblPr>
        <w:tblStyle w:val="TableGrid"/>
        <w:tblW w:w="0" w:type="auto"/>
        <w:tblInd w:w="675" w:type="dxa"/>
        <w:tblLayout w:type="fixed"/>
        <w:tblLook w:val="04A0" w:firstRow="1" w:lastRow="0" w:firstColumn="1" w:lastColumn="0" w:noHBand="0" w:noVBand="1"/>
      </w:tblPr>
      <w:tblGrid>
        <w:gridCol w:w="8789"/>
      </w:tblGrid>
      <w:tr w:rsidR="00EE4A4D" w:rsidRPr="00BE297A" w:rsidTr="00EE4A4D">
        <w:trPr>
          <w:cantSplit/>
          <w:trHeight w:val="3969"/>
        </w:trPr>
        <w:tc>
          <w:tcPr>
            <w:tcW w:w="8789" w:type="dxa"/>
          </w:tcPr>
          <w:p w:rsidR="00EE4A4D" w:rsidRPr="00BE297A" w:rsidRDefault="00EE4A4D" w:rsidP="00486027">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E4A4D" w:rsidRDefault="00EE4A4D" w:rsidP="00EE4A4D"/>
    <w:p w:rsidR="00EE4A4D" w:rsidRDefault="00EE4A4D" w:rsidP="00EE4A4D">
      <w:pPr>
        <w:pStyle w:val="Heading3"/>
      </w:pPr>
      <w:r>
        <w:t>Security requirements</w:t>
      </w:r>
    </w:p>
    <w:p w:rsidR="00EE4A4D" w:rsidRPr="00EE4A4D" w:rsidRDefault="00EE4A4D" w:rsidP="00EE4A4D">
      <w:pPr>
        <w:ind w:left="567" w:hanging="567"/>
      </w:pPr>
      <w:proofErr w:type="gramStart"/>
      <w:r>
        <w:t>4</w:t>
      </w:r>
      <w:r>
        <w:tab/>
      </w:r>
      <w:r w:rsidR="00FD100E">
        <w:t>a.</w:t>
      </w:r>
      <w:proofErr w:type="gramEnd"/>
      <w:r w:rsidR="00FD100E">
        <w:tab/>
      </w:r>
      <w:r>
        <w:t>Do you understand how the security requirements apply to your role</w:t>
      </w:r>
      <w:r w:rsidRPr="00214E26">
        <w:t>?</w:t>
      </w:r>
    </w:p>
    <w:p w:rsidR="00EE4A4D" w:rsidRDefault="00EE4A4D" w:rsidP="00FD100E">
      <w:pPr>
        <w:spacing w:before="6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Yes</w:t>
      </w:r>
    </w:p>
    <w:p w:rsidR="00EE4A4D" w:rsidRDefault="00EE4A4D" w:rsidP="00FD100E">
      <w:pPr>
        <w:spacing w:before="6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No</w:t>
      </w:r>
    </w:p>
    <w:p w:rsidR="00EE4A4D" w:rsidRDefault="00FD100E" w:rsidP="00FD100E">
      <w:pPr>
        <w:ind w:left="1134" w:hanging="567"/>
      </w:pPr>
      <w:r>
        <w:t>b.</w:t>
      </w:r>
      <w:r>
        <w:tab/>
      </w:r>
      <w:r w:rsidR="00EE4A4D">
        <w:t>Are the security requirements</w:t>
      </w:r>
      <w:r w:rsidR="00EE4A4D" w:rsidRPr="00B27F20">
        <w:t xml:space="preserve"> described in this code adequate to manage the identified risks</w:t>
      </w:r>
      <w:r w:rsidR="00EE4A4D">
        <w:t>?</w:t>
      </w:r>
    </w:p>
    <w:p w:rsidR="00EE4A4D" w:rsidRDefault="00EE4A4D" w:rsidP="00FD100E">
      <w:pPr>
        <w:spacing w:before="6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Yes</w:t>
      </w:r>
    </w:p>
    <w:p w:rsidR="00EE4A4D" w:rsidRDefault="00EE4A4D" w:rsidP="00FD100E">
      <w:pPr>
        <w:spacing w:before="6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No</w:t>
      </w:r>
    </w:p>
    <w:p w:rsidR="00EE4A4D" w:rsidRPr="003B556A" w:rsidRDefault="00EE4A4D" w:rsidP="00EE4A4D">
      <w:pPr>
        <w:spacing w:after="120"/>
        <w:ind w:left="567"/>
      </w:pPr>
      <w:r>
        <w:t>Please note any comments below.</w:t>
      </w:r>
    </w:p>
    <w:tbl>
      <w:tblPr>
        <w:tblStyle w:val="TableGrid"/>
        <w:tblW w:w="0" w:type="auto"/>
        <w:tblInd w:w="675" w:type="dxa"/>
        <w:tblLayout w:type="fixed"/>
        <w:tblLook w:val="04A0" w:firstRow="1" w:lastRow="0" w:firstColumn="1" w:lastColumn="0" w:noHBand="0" w:noVBand="1"/>
      </w:tblPr>
      <w:tblGrid>
        <w:gridCol w:w="8789"/>
      </w:tblGrid>
      <w:tr w:rsidR="00EE4A4D" w:rsidRPr="00BE297A" w:rsidTr="00EE4A4D">
        <w:trPr>
          <w:cantSplit/>
          <w:trHeight w:val="3969"/>
        </w:trPr>
        <w:tc>
          <w:tcPr>
            <w:tcW w:w="8789" w:type="dxa"/>
          </w:tcPr>
          <w:p w:rsidR="00EE4A4D" w:rsidRPr="00BE297A" w:rsidRDefault="00EE4A4D" w:rsidP="00486027">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E4A4D" w:rsidRDefault="00EE4A4D" w:rsidP="00EE4A4D">
      <w:pPr>
        <w:spacing w:before="240"/>
        <w:ind w:left="567"/>
        <w:jc w:val="right"/>
      </w:pPr>
      <w:r>
        <w:t>Please include any additional pages if necessary.</w:t>
      </w:r>
    </w:p>
    <w:p w:rsidR="00EE4A4D" w:rsidRDefault="00EE4A4D" w:rsidP="00EE4A4D">
      <w:pPr>
        <w:pStyle w:val="Heading3"/>
      </w:pPr>
      <w:r>
        <w:lastRenderedPageBreak/>
        <w:t>Additional comments</w:t>
      </w:r>
    </w:p>
    <w:p w:rsidR="00EE4A4D" w:rsidRPr="00EE4A4D" w:rsidRDefault="00EE4A4D" w:rsidP="00EE4A4D">
      <w:pPr>
        <w:ind w:left="567" w:hanging="567"/>
      </w:pPr>
      <w:r>
        <w:t>5</w:t>
      </w:r>
      <w:r>
        <w:tab/>
      </w:r>
      <w:r w:rsidR="00FD100E">
        <w:t>a.</w:t>
      </w:r>
      <w:r w:rsidR="00FD100E">
        <w:tab/>
      </w:r>
      <w:r>
        <w:t>Was the information appropriately presented</w:t>
      </w:r>
      <w:r w:rsidRPr="00214E26">
        <w:t>?</w:t>
      </w:r>
    </w:p>
    <w:p w:rsidR="00EE4A4D" w:rsidRDefault="00EE4A4D" w:rsidP="00FD100E">
      <w:pPr>
        <w:spacing w:before="6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Yes</w:t>
      </w:r>
    </w:p>
    <w:p w:rsidR="00EE4A4D" w:rsidRDefault="00EE4A4D" w:rsidP="00FD100E">
      <w:pPr>
        <w:spacing w:before="6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No</w:t>
      </w:r>
    </w:p>
    <w:p w:rsidR="00EE4A4D" w:rsidRDefault="00FD100E" w:rsidP="00EE4A4D">
      <w:pPr>
        <w:spacing w:before="240"/>
        <w:ind w:left="567"/>
      </w:pPr>
      <w:r>
        <w:t>b.</w:t>
      </w:r>
      <w:r>
        <w:tab/>
      </w:r>
      <w:r w:rsidR="00EE4A4D">
        <w:t>Was the information easy to find</w:t>
      </w:r>
      <w:r w:rsidR="00EE4A4D" w:rsidRPr="00214E26">
        <w:t>?</w:t>
      </w:r>
    </w:p>
    <w:p w:rsidR="00EE4A4D" w:rsidRDefault="00EE4A4D" w:rsidP="00FD100E">
      <w:pPr>
        <w:spacing w:before="6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Yes</w:t>
      </w:r>
    </w:p>
    <w:p w:rsidR="00EE4A4D" w:rsidRDefault="00EE4A4D" w:rsidP="00FD100E">
      <w:pPr>
        <w:spacing w:before="6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No</w:t>
      </w:r>
    </w:p>
    <w:p w:rsidR="00EE4A4D" w:rsidRDefault="00FD100E" w:rsidP="00EE4A4D">
      <w:pPr>
        <w:spacing w:before="240"/>
        <w:ind w:left="567"/>
      </w:pPr>
      <w:r>
        <w:t>c.</w:t>
      </w:r>
      <w:r>
        <w:tab/>
      </w:r>
      <w:r w:rsidR="00EE4A4D">
        <w:t>Are there any changes you would like to suggest?</w:t>
      </w:r>
    </w:p>
    <w:p w:rsidR="00EE4A4D" w:rsidRDefault="00EE4A4D" w:rsidP="00FD100E">
      <w:pPr>
        <w:spacing w:before="6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Yes</w:t>
      </w:r>
    </w:p>
    <w:p w:rsidR="00EE4A4D" w:rsidRDefault="00EE4A4D" w:rsidP="00FD100E">
      <w:pPr>
        <w:spacing w:before="6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No</w:t>
      </w:r>
    </w:p>
    <w:p w:rsidR="00EE4A4D" w:rsidRDefault="00FD100E" w:rsidP="00FD100E">
      <w:pPr>
        <w:spacing w:before="240"/>
        <w:ind w:left="1134" w:hanging="567"/>
      </w:pPr>
      <w:r>
        <w:t>d.</w:t>
      </w:r>
      <w:r>
        <w:tab/>
      </w:r>
      <w:r w:rsidR="00EE4A4D" w:rsidRPr="00214E26">
        <w:t xml:space="preserve">Are there </w:t>
      </w:r>
      <w:r w:rsidR="00EE4A4D">
        <w:t>circumstances that are not included in this Code but should be? If y</w:t>
      </w:r>
      <w:r>
        <w:t>es, please provide more details.</w:t>
      </w:r>
    </w:p>
    <w:p w:rsidR="00EE4A4D" w:rsidRDefault="00EE4A4D" w:rsidP="00FD100E">
      <w:pPr>
        <w:spacing w:before="6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Yes</w:t>
      </w:r>
    </w:p>
    <w:p w:rsidR="00EE4A4D" w:rsidRDefault="00EE4A4D" w:rsidP="00FD100E">
      <w:pPr>
        <w:spacing w:before="6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No</w:t>
      </w:r>
    </w:p>
    <w:p w:rsidR="00EE4A4D" w:rsidRDefault="00FD100E" w:rsidP="00EE4A4D">
      <w:pPr>
        <w:spacing w:before="240"/>
        <w:ind w:left="567"/>
      </w:pPr>
      <w:r>
        <w:t>e.</w:t>
      </w:r>
      <w:r>
        <w:tab/>
      </w:r>
      <w:r w:rsidR="00EE4A4D">
        <w:t>Is the information easily understood?</w:t>
      </w:r>
    </w:p>
    <w:p w:rsidR="00EE4A4D" w:rsidRDefault="00EE4A4D" w:rsidP="00FD100E">
      <w:pPr>
        <w:spacing w:before="6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Yes</w:t>
      </w:r>
    </w:p>
    <w:p w:rsidR="00EE4A4D" w:rsidRDefault="00EE4A4D" w:rsidP="00FD100E">
      <w:pPr>
        <w:spacing w:before="6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No</w:t>
      </w:r>
    </w:p>
    <w:p w:rsidR="00EE4A4D" w:rsidRDefault="00FD100E" w:rsidP="00EE4A4D">
      <w:pPr>
        <w:spacing w:before="240"/>
        <w:ind w:left="567"/>
      </w:pPr>
      <w:r>
        <w:t>f.</w:t>
      </w:r>
      <w:r>
        <w:tab/>
      </w:r>
      <w:r w:rsidR="00EE4A4D">
        <w:t xml:space="preserve">Is there </w:t>
      </w:r>
      <w:r w:rsidR="00EE4A4D" w:rsidRPr="00A923A6">
        <w:t xml:space="preserve">any other information or subject that should be included in </w:t>
      </w:r>
      <w:r w:rsidR="00EE4A4D">
        <w:t>this Code?</w:t>
      </w:r>
    </w:p>
    <w:p w:rsidR="00EE4A4D" w:rsidRDefault="00EE4A4D" w:rsidP="00FD100E">
      <w:pPr>
        <w:spacing w:before="6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Yes</w:t>
      </w:r>
    </w:p>
    <w:p w:rsidR="00EE4A4D" w:rsidRDefault="00EE4A4D" w:rsidP="00FD100E">
      <w:pPr>
        <w:spacing w:before="6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990E57">
        <w:rPr>
          <w:rFonts w:ascii="Arial" w:hAnsi="Arial" w:cs="Arial"/>
          <w:sz w:val="24"/>
          <w:szCs w:val="24"/>
        </w:rPr>
      </w:r>
      <w:r w:rsidR="00990E57">
        <w:rPr>
          <w:rFonts w:ascii="Arial" w:hAnsi="Arial" w:cs="Arial"/>
          <w:sz w:val="24"/>
          <w:szCs w:val="24"/>
        </w:rPr>
        <w:fldChar w:fldCharType="separate"/>
      </w:r>
      <w:r w:rsidRPr="00BE297A">
        <w:rPr>
          <w:rFonts w:ascii="Arial" w:hAnsi="Arial" w:cs="Arial"/>
          <w:sz w:val="24"/>
          <w:szCs w:val="24"/>
        </w:rPr>
        <w:fldChar w:fldCharType="end"/>
      </w:r>
      <w:r>
        <w:tab/>
        <w:t>No</w:t>
      </w:r>
    </w:p>
    <w:p w:rsidR="00EE4A4D" w:rsidRPr="003B556A" w:rsidRDefault="00EE4A4D" w:rsidP="00EE4A4D">
      <w:pPr>
        <w:spacing w:after="120"/>
        <w:ind w:left="567"/>
      </w:pPr>
      <w:r>
        <w:t>Please note any comments below.</w:t>
      </w:r>
    </w:p>
    <w:tbl>
      <w:tblPr>
        <w:tblStyle w:val="TableGrid"/>
        <w:tblW w:w="0" w:type="auto"/>
        <w:tblInd w:w="675" w:type="dxa"/>
        <w:tblLayout w:type="fixed"/>
        <w:tblLook w:val="04A0" w:firstRow="1" w:lastRow="0" w:firstColumn="1" w:lastColumn="0" w:noHBand="0" w:noVBand="1"/>
      </w:tblPr>
      <w:tblGrid>
        <w:gridCol w:w="8789"/>
      </w:tblGrid>
      <w:tr w:rsidR="00EE4A4D" w:rsidRPr="00BE297A" w:rsidTr="00FD100E">
        <w:trPr>
          <w:cantSplit/>
          <w:trHeight w:val="5670"/>
        </w:trPr>
        <w:tc>
          <w:tcPr>
            <w:tcW w:w="8789" w:type="dxa"/>
          </w:tcPr>
          <w:p w:rsidR="00EE4A4D" w:rsidRPr="00BE297A" w:rsidRDefault="00EE4A4D" w:rsidP="00486027">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BE297A" w:rsidRPr="006907AE" w:rsidRDefault="00EE4A4D" w:rsidP="00FD100E">
      <w:pPr>
        <w:spacing w:before="240"/>
        <w:ind w:left="567"/>
        <w:jc w:val="right"/>
      </w:pPr>
      <w:r>
        <w:t>Please include any additional pages if necessary.</w:t>
      </w:r>
    </w:p>
    <w:sectPr w:rsidR="00BE297A" w:rsidRPr="006907AE" w:rsidSect="009D5125">
      <w:headerReference w:type="default" r:id="rId25"/>
      <w:footerReference w:type="default" r:id="rId26"/>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C5" w:rsidRDefault="00561CC5">
      <w:pPr>
        <w:spacing w:line="240" w:lineRule="auto"/>
      </w:pPr>
      <w:r>
        <w:separator/>
      </w:r>
    </w:p>
  </w:endnote>
  <w:endnote w:type="continuationSeparator" w:id="0">
    <w:p w:rsidR="00561CC5" w:rsidRDefault="00561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99" w:rsidRDefault="001A3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4E" w:rsidRPr="003648EF" w:rsidRDefault="004F7F4E" w:rsidP="003648EF">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99" w:rsidRDefault="001A33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4E" w:rsidRDefault="004F7F4E" w:rsidP="004D6689">
    <w:pPr>
      <w:pStyle w:val="Footer"/>
      <w:pBdr>
        <w:bottom w:val="none" w:sz="0" w:space="0" w:color="auto"/>
      </w:pBd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4E" w:rsidRDefault="004F7F4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4E" w:rsidRPr="00275D08" w:rsidRDefault="004F7F4E"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990E57">
      <w:rPr>
        <w:rStyle w:val="PageNumber"/>
        <w:noProof/>
      </w:rPr>
      <w:t>2</w:t>
    </w:r>
    <w:r w:rsidRPr="00FC46E7">
      <w:rPr>
        <w:rStyle w:val="PageNumber"/>
      </w:rPr>
      <w:fldChar w:fldCharType="end"/>
    </w:r>
    <w:r>
      <w:tab/>
      <w:t>Code of Practice for the Security of Radioactive Material</w:t>
    </w:r>
    <w:r w:rsidR="001A3399">
      <w:t>:</w:t>
    </w:r>
    <w:r w:rsidR="001A3399" w:rsidRPr="001A3399">
      <w:t xml:space="preserve"> </w:t>
    </w:r>
    <w:r w:rsidR="001A3399">
      <w:t>Draft for consultation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4E" w:rsidRDefault="004F7F4E" w:rsidP="00533B90">
    <w:pPr>
      <w:pStyle w:val="RectoFooter"/>
    </w:pPr>
    <w:r>
      <w:tab/>
      <w:t>Code of Practice for the Security of Radioactive Material</w:t>
    </w:r>
    <w:r w:rsidR="001A3399">
      <w:t>: Draft for consultation</w:t>
    </w:r>
    <w:r>
      <w:tab/>
    </w:r>
    <w:r>
      <w:rPr>
        <w:rStyle w:val="PageNumber"/>
      </w:rPr>
      <w:fldChar w:fldCharType="begin"/>
    </w:r>
    <w:r>
      <w:rPr>
        <w:rStyle w:val="PageNumber"/>
      </w:rPr>
      <w:instrText xml:space="preserve"> PAGE </w:instrText>
    </w:r>
    <w:r>
      <w:rPr>
        <w:rStyle w:val="PageNumber"/>
      </w:rPr>
      <w:fldChar w:fldCharType="separate"/>
    </w:r>
    <w:r w:rsidR="00990E57">
      <w:rPr>
        <w:rStyle w:val="PageNumber"/>
        <w:noProof/>
      </w:rPr>
      <w:t>iii</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4E" w:rsidRDefault="004F7F4E" w:rsidP="00533B90">
    <w:pPr>
      <w:pStyle w:val="RectoFooter"/>
    </w:pPr>
    <w:r>
      <w:tab/>
      <w:t>Code of Practice for the Security of Radioactive Material</w:t>
    </w:r>
    <w:r w:rsidR="001A3399">
      <w:t>:</w:t>
    </w:r>
    <w:r w:rsidR="001A3399" w:rsidRPr="001A3399">
      <w:t xml:space="preserve"> </w:t>
    </w:r>
    <w:r w:rsidR="001A3399">
      <w:t>Draft for consultation</w:t>
    </w:r>
    <w:r>
      <w:tab/>
    </w:r>
    <w:r>
      <w:rPr>
        <w:rStyle w:val="PageNumber"/>
      </w:rPr>
      <w:fldChar w:fldCharType="begin"/>
    </w:r>
    <w:r>
      <w:rPr>
        <w:rStyle w:val="PageNumber"/>
      </w:rPr>
      <w:instrText xml:space="preserve"> PAGE </w:instrText>
    </w:r>
    <w:r>
      <w:rPr>
        <w:rStyle w:val="PageNumber"/>
      </w:rPr>
      <w:fldChar w:fldCharType="separate"/>
    </w:r>
    <w:r w:rsidR="00990E5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C5" w:rsidRPr="00E460B6" w:rsidRDefault="00561CC5" w:rsidP="007B4D3E"/>
  </w:footnote>
  <w:footnote w:type="continuationSeparator" w:id="0">
    <w:p w:rsidR="00561CC5" w:rsidRDefault="00561C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99" w:rsidRDefault="001A3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4E" w:rsidRDefault="004F7F4E" w:rsidP="00D25FFE">
    <w:pPr>
      <w:pStyle w:val="Header"/>
      <w:ind w:left="-1559"/>
    </w:pPr>
    <w:r>
      <w:rPr>
        <w:noProof/>
        <w:lang w:eastAsia="en-NZ"/>
      </w:rPr>
      <w:drawing>
        <wp:inline distT="0" distB="0" distL="0" distR="0" wp14:anchorId="069C16D4" wp14:editId="2D2487E0">
          <wp:extent cx="6406616" cy="390698"/>
          <wp:effectExtent l="0" t="0" r="0" b="9525"/>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6474" t="43167" r="6320" b="20242"/>
                  <a:stretch/>
                </pic:blipFill>
                <pic:spPr bwMode="auto">
                  <a:xfrm>
                    <a:off x="0" y="0"/>
                    <a:ext cx="6409055" cy="390847"/>
                  </a:xfrm>
                  <a:prstGeom prst="rect">
                    <a:avLst/>
                  </a:prstGeom>
                  <a:noFill/>
                  <a:ln>
                    <a:noFill/>
                  </a:ln>
                  <a:extLst>
                    <a:ext uri="{53640926-AAD7-44D8-BBD7-CCE9431645EC}">
                      <a14:shadowObscured xmlns:a14="http://schemas.microsoft.com/office/drawing/2010/main"/>
                    </a:ext>
                  </a:extLst>
                </pic:spPr>
              </pic:pic>
            </a:graphicData>
          </a:graphic>
        </wp:inline>
      </w:drawing>
    </w:r>
  </w:p>
  <w:p w:rsidR="004F7F4E" w:rsidRDefault="004F7F4E" w:rsidP="001B4BF8">
    <w:pPr>
      <w:pStyle w:val="Header"/>
      <w:ind w:left="-1559"/>
      <w:jc w:val="right"/>
    </w:pPr>
    <w:r>
      <w:rPr>
        <w:noProof/>
        <w:lang w:eastAsia="en-NZ"/>
      </w:rPr>
      <w:drawing>
        <wp:inline distT="0" distB="0" distL="0" distR="0" wp14:anchorId="6D7D7370" wp14:editId="00C29271">
          <wp:extent cx="1246905" cy="12835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282205" cy="13199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99" w:rsidRDefault="001A33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4E" w:rsidRDefault="004F7F4E" w:rsidP="00533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4E" w:rsidRDefault="004F7F4E" w:rsidP="009001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4E" w:rsidRDefault="004F7F4E"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F920887"/>
    <w:multiLevelType w:val="multilevel"/>
    <w:tmpl w:val="9B62A30E"/>
    <w:lvl w:ilvl="0">
      <w:start w:val="1"/>
      <w:numFmt w:val="decimal"/>
      <w:lvlText w:val="%1)"/>
      <w:lvlJc w:val="left"/>
      <w:pPr>
        <w:ind w:left="360" w:hanging="360"/>
      </w:pPr>
      <w:rPr>
        <w:rFonts w:hint="default"/>
        <w:b w:val="0"/>
        <w:sz w:val="18"/>
        <w:szCs w:val="18"/>
      </w:rPr>
    </w:lvl>
    <w:lvl w:ilvl="1">
      <w:start w:val="1"/>
      <w:numFmt w:val="decimal"/>
      <w:lvlText w:val="%1.%2."/>
      <w:lvlJc w:val="left"/>
      <w:pPr>
        <w:ind w:left="716" w:hanging="432"/>
      </w:pPr>
      <w:rPr>
        <w:rFonts w:hint="default"/>
        <w:b w:val="0"/>
        <w:sz w:val="18"/>
        <w:szCs w:val="18"/>
      </w:rPr>
    </w:lvl>
    <w:lvl w:ilvl="2">
      <w:start w:val="1"/>
      <w:numFmt w:val="lowerLetter"/>
      <w:lvlText w:val="(%3)"/>
      <w:lvlJc w:val="left"/>
      <w:pPr>
        <w:ind w:left="1224" w:hanging="504"/>
      </w:pPr>
      <w:rPr>
        <w:rFonts w:hint="default"/>
        <w:b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4705393"/>
    <w:multiLevelType w:val="hybridMultilevel"/>
    <w:tmpl w:val="CE7C1FF8"/>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5">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F3F6A4A"/>
    <w:multiLevelType w:val="multilevel"/>
    <w:tmpl w:val="6D4457BE"/>
    <w:lvl w:ilvl="0">
      <w:start w:val="1"/>
      <w:numFmt w:val="decimal"/>
      <w:lvlText w:val="%1."/>
      <w:lvlJc w:val="left"/>
      <w:pPr>
        <w:tabs>
          <w:tab w:val="num" w:pos="567"/>
        </w:tabs>
        <w:ind w:left="567" w:hanging="567"/>
      </w:pPr>
      <w:rPr>
        <w:rFonts w:hint="default"/>
      </w:rPr>
    </w:lvl>
    <w:lvl w:ilvl="1">
      <w:start w:val="1"/>
      <w:numFmt w:val="decimal"/>
      <w:lvlText w:val="%1.%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10D2D06"/>
    <w:multiLevelType w:val="multilevel"/>
    <w:tmpl w:val="761CA86C"/>
    <w:lvl w:ilvl="0">
      <w:start w:val="1"/>
      <w:numFmt w:val="decimal"/>
      <w:pStyle w:val="Number"/>
      <w:lvlText w:val="%1."/>
      <w:lvlJc w:val="left"/>
      <w:pPr>
        <w:tabs>
          <w:tab w:val="num" w:pos="567"/>
        </w:tabs>
        <w:ind w:left="567" w:hanging="567"/>
      </w:pPr>
      <w:rPr>
        <w:rFonts w:hint="default"/>
      </w:rPr>
    </w:lvl>
    <w:lvl w:ilvl="1">
      <w:start w:val="1"/>
      <w:numFmt w:val="decimal"/>
      <w:pStyle w:val="Sub-number"/>
      <w:lvlText w:val="%1.%2"/>
      <w:lvlJc w:val="left"/>
      <w:pPr>
        <w:ind w:left="1134" w:hanging="567"/>
      </w:pPr>
      <w:rPr>
        <w:rFonts w:hint="default"/>
      </w:rPr>
    </w:lvl>
    <w:lvl w:ilvl="2">
      <w:start w:val="1"/>
      <w:numFmt w:val="lowerLetter"/>
      <w:pStyle w:val="Letter"/>
      <w:lvlText w:val="(%3)"/>
      <w:lvlJc w:val="left"/>
      <w:pPr>
        <w:ind w:left="1701" w:hanging="567"/>
      </w:pPr>
      <w:rPr>
        <w:rFonts w:hint="default"/>
      </w:rPr>
    </w:lvl>
    <w:lvl w:ilvl="3">
      <w:start w:val="1"/>
      <w:numFmt w:val="lowerRoman"/>
      <w:pStyle w:val="Number"/>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2A306F7"/>
    <w:multiLevelType w:val="hybridMultilevel"/>
    <w:tmpl w:val="DC484904"/>
    <w:lvl w:ilvl="0" w:tplc="1409001B">
      <w:start w:val="1"/>
      <w:numFmt w:val="lowerRoman"/>
      <w:lvlText w:val="%1."/>
      <w:lvlJc w:val="right"/>
      <w:pPr>
        <w:ind w:left="1944" w:hanging="360"/>
      </w:pPr>
    </w:lvl>
    <w:lvl w:ilvl="1" w:tplc="14090019" w:tentative="1">
      <w:start w:val="1"/>
      <w:numFmt w:val="lowerLetter"/>
      <w:lvlText w:val="%2."/>
      <w:lvlJc w:val="left"/>
      <w:pPr>
        <w:ind w:left="2664" w:hanging="360"/>
      </w:pPr>
    </w:lvl>
    <w:lvl w:ilvl="2" w:tplc="1409001B" w:tentative="1">
      <w:start w:val="1"/>
      <w:numFmt w:val="lowerRoman"/>
      <w:lvlText w:val="%3."/>
      <w:lvlJc w:val="right"/>
      <w:pPr>
        <w:ind w:left="3384" w:hanging="180"/>
      </w:pPr>
    </w:lvl>
    <w:lvl w:ilvl="3" w:tplc="1409000F" w:tentative="1">
      <w:start w:val="1"/>
      <w:numFmt w:val="decimal"/>
      <w:lvlText w:val="%4."/>
      <w:lvlJc w:val="left"/>
      <w:pPr>
        <w:ind w:left="4104" w:hanging="360"/>
      </w:pPr>
    </w:lvl>
    <w:lvl w:ilvl="4" w:tplc="14090019" w:tentative="1">
      <w:start w:val="1"/>
      <w:numFmt w:val="lowerLetter"/>
      <w:lvlText w:val="%5."/>
      <w:lvlJc w:val="left"/>
      <w:pPr>
        <w:ind w:left="4824" w:hanging="360"/>
      </w:pPr>
    </w:lvl>
    <w:lvl w:ilvl="5" w:tplc="1409001B" w:tentative="1">
      <w:start w:val="1"/>
      <w:numFmt w:val="lowerRoman"/>
      <w:lvlText w:val="%6."/>
      <w:lvlJc w:val="right"/>
      <w:pPr>
        <w:ind w:left="5544" w:hanging="180"/>
      </w:pPr>
    </w:lvl>
    <w:lvl w:ilvl="6" w:tplc="1409000F" w:tentative="1">
      <w:start w:val="1"/>
      <w:numFmt w:val="decimal"/>
      <w:lvlText w:val="%7."/>
      <w:lvlJc w:val="left"/>
      <w:pPr>
        <w:ind w:left="6264" w:hanging="360"/>
      </w:pPr>
    </w:lvl>
    <w:lvl w:ilvl="7" w:tplc="14090019" w:tentative="1">
      <w:start w:val="1"/>
      <w:numFmt w:val="lowerLetter"/>
      <w:lvlText w:val="%8."/>
      <w:lvlJc w:val="left"/>
      <w:pPr>
        <w:ind w:left="6984" w:hanging="360"/>
      </w:pPr>
    </w:lvl>
    <w:lvl w:ilvl="8" w:tplc="1409001B" w:tentative="1">
      <w:start w:val="1"/>
      <w:numFmt w:val="lowerRoman"/>
      <w:lvlText w:val="%9."/>
      <w:lvlJc w:val="right"/>
      <w:pPr>
        <w:ind w:left="7704" w:hanging="180"/>
      </w:pPr>
    </w:lvl>
  </w:abstractNum>
  <w:abstractNum w:abstractNumId="13">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5">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1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6"/>
  </w:num>
  <w:num w:numId="2">
    <w:abstractNumId w:val="14"/>
  </w:num>
  <w:num w:numId="3">
    <w:abstractNumId w:val="9"/>
  </w:num>
  <w:num w:numId="4">
    <w:abstractNumId w:val="10"/>
  </w:num>
  <w:num w:numId="5">
    <w:abstractNumId w:val="1"/>
  </w:num>
  <w:num w:numId="6">
    <w:abstractNumId w:val="13"/>
  </w:num>
  <w:num w:numId="7">
    <w:abstractNumId w:val="5"/>
  </w:num>
  <w:num w:numId="8">
    <w:abstractNumId w:val="15"/>
  </w:num>
  <w:num w:numId="9">
    <w:abstractNumId w:val="3"/>
  </w:num>
  <w:num w:numId="10">
    <w:abstractNumId w:val="7"/>
  </w:num>
  <w:num w:numId="11">
    <w:abstractNumId w:val="11"/>
  </w:num>
  <w:num w:numId="12">
    <w:abstractNumId w:val="0"/>
  </w:num>
  <w:num w:numId="13">
    <w:abstractNumId w:val="2"/>
  </w:num>
  <w:num w:numId="14">
    <w:abstractNumId w:val="4"/>
  </w:num>
  <w:num w:numId="15">
    <w:abstractNumId w:val="12"/>
  </w:num>
  <w:num w:numId="16">
    <w:abstractNumId w:val="2"/>
    <w:lvlOverride w:ilvl="0">
      <w:lvl w:ilvl="0">
        <w:start w:val="1"/>
        <w:numFmt w:val="decimal"/>
        <w:lvlText w:val="%1)"/>
        <w:lvlJc w:val="left"/>
        <w:pPr>
          <w:ind w:left="360" w:hanging="360"/>
        </w:pPr>
        <w:rPr>
          <w:rFonts w:hint="default"/>
          <w:b w:val="0"/>
          <w:sz w:val="18"/>
          <w:szCs w:val="18"/>
        </w:rPr>
      </w:lvl>
    </w:lvlOverride>
    <w:lvlOverride w:ilvl="1">
      <w:lvl w:ilvl="1">
        <w:start w:val="1"/>
        <w:numFmt w:val="decimal"/>
        <w:lvlText w:val="%1.%2."/>
        <w:lvlJc w:val="left"/>
        <w:pPr>
          <w:ind w:left="794" w:hanging="510"/>
        </w:pPr>
        <w:rPr>
          <w:rFonts w:hint="default"/>
          <w:b w:val="0"/>
          <w:sz w:val="18"/>
          <w:szCs w:val="18"/>
        </w:rPr>
      </w:lvl>
    </w:lvlOverride>
    <w:lvlOverride w:ilvl="2">
      <w:lvl w:ilvl="2">
        <w:start w:val="1"/>
        <w:numFmt w:val="lowerLetter"/>
        <w:lvlText w:val="(%3)"/>
        <w:lvlJc w:val="left"/>
        <w:pPr>
          <w:ind w:left="1224" w:hanging="504"/>
        </w:pPr>
        <w:rPr>
          <w:rFonts w:hint="default"/>
          <w:b w:val="0"/>
          <w:sz w:val="18"/>
          <w:szCs w:val="18"/>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2"/>
    <w:lvlOverride w:ilvl="0">
      <w:lvl w:ilvl="0">
        <w:start w:val="1"/>
        <w:numFmt w:val="decimal"/>
        <w:lvlText w:val="%1)"/>
        <w:lvlJc w:val="left"/>
        <w:pPr>
          <w:ind w:left="360" w:hanging="360"/>
        </w:pPr>
        <w:rPr>
          <w:rFonts w:hint="default"/>
          <w:b w:val="0"/>
          <w:sz w:val="18"/>
          <w:szCs w:val="18"/>
        </w:rPr>
      </w:lvl>
    </w:lvlOverride>
    <w:lvlOverride w:ilvl="1">
      <w:lvl w:ilvl="1">
        <w:start w:val="1"/>
        <w:numFmt w:val="decimal"/>
        <w:lvlText w:val="%1.%2."/>
        <w:lvlJc w:val="left"/>
        <w:pPr>
          <w:ind w:left="794" w:hanging="510"/>
        </w:pPr>
        <w:rPr>
          <w:rFonts w:hint="default"/>
          <w:b w:val="0"/>
          <w:sz w:val="18"/>
          <w:szCs w:val="18"/>
        </w:rPr>
      </w:lvl>
    </w:lvlOverride>
    <w:lvlOverride w:ilvl="2">
      <w:lvl w:ilvl="2">
        <w:start w:val="1"/>
        <w:numFmt w:val="lowerLetter"/>
        <w:lvlText w:val="(%3)"/>
        <w:lvlJc w:val="left"/>
        <w:pPr>
          <w:ind w:left="1224" w:hanging="504"/>
        </w:pPr>
        <w:rPr>
          <w:rFonts w:hint="default"/>
          <w:b w:val="0"/>
          <w:sz w:val="18"/>
          <w:szCs w:val="18"/>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8"/>
  </w:num>
  <w:num w:numId="19">
    <w:abstractNumId w:val="6"/>
  </w:num>
  <w:num w:numId="20">
    <w:abstractNumId w:val="8"/>
    <w:lvlOverride w:ilvl="0">
      <w:lvl w:ilvl="0">
        <w:start w:val="1"/>
        <w:numFmt w:val="decimal"/>
        <w:pStyle w:val="Number"/>
        <w:lvlText w:val="%1."/>
        <w:lvlJc w:val="left"/>
        <w:pPr>
          <w:tabs>
            <w:tab w:val="num" w:pos="567"/>
          </w:tabs>
          <w:ind w:left="567" w:hanging="567"/>
        </w:pPr>
        <w:rPr>
          <w:rFonts w:hint="default"/>
        </w:rPr>
      </w:lvl>
    </w:lvlOverride>
    <w:lvlOverride w:ilvl="1">
      <w:lvl w:ilvl="1">
        <w:start w:val="1"/>
        <w:numFmt w:val="decimal"/>
        <w:pStyle w:val="Sub-number"/>
        <w:lvlText w:val="%1.%2"/>
        <w:lvlJc w:val="left"/>
        <w:pPr>
          <w:ind w:left="1134" w:hanging="567"/>
        </w:pPr>
        <w:rPr>
          <w:rFonts w:hint="default"/>
        </w:rPr>
      </w:lvl>
    </w:lvlOverride>
    <w:lvlOverride w:ilvl="2">
      <w:lvl w:ilvl="2">
        <w:start w:val="1"/>
        <w:numFmt w:val="lowerLetter"/>
        <w:pStyle w:val="Letter"/>
        <w:lvlText w:val="(%3)"/>
        <w:lvlJc w:val="right"/>
        <w:pPr>
          <w:ind w:left="1701" w:hanging="567"/>
        </w:pPr>
        <w:rPr>
          <w:rFonts w:hint="default"/>
        </w:rPr>
      </w:lvl>
    </w:lvlOverride>
    <w:lvlOverride w:ilvl="3">
      <w:lvl w:ilvl="3">
        <w:start w:val="1"/>
        <w:numFmt w:val="decimal"/>
        <w:pStyle w:val="Number"/>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6228D"/>
    <w:rsid w:val="000704A1"/>
    <w:rsid w:val="00072BD6"/>
    <w:rsid w:val="00075B78"/>
    <w:rsid w:val="00080CA5"/>
    <w:rsid w:val="00082CD6"/>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94AD6"/>
    <w:rsid w:val="001A3399"/>
    <w:rsid w:val="001A3B3B"/>
    <w:rsid w:val="001A5CF5"/>
    <w:rsid w:val="001B39D2"/>
    <w:rsid w:val="001B4BF8"/>
    <w:rsid w:val="001C4326"/>
    <w:rsid w:val="001D3541"/>
    <w:rsid w:val="00201A01"/>
    <w:rsid w:val="002104D3"/>
    <w:rsid w:val="00213A33"/>
    <w:rsid w:val="0021763B"/>
    <w:rsid w:val="00246DB1"/>
    <w:rsid w:val="002476B5"/>
    <w:rsid w:val="00253ECF"/>
    <w:rsid w:val="002546A1"/>
    <w:rsid w:val="00275D08"/>
    <w:rsid w:val="002858E3"/>
    <w:rsid w:val="002903B3"/>
    <w:rsid w:val="0029190A"/>
    <w:rsid w:val="00292C5A"/>
    <w:rsid w:val="00295241"/>
    <w:rsid w:val="002B047D"/>
    <w:rsid w:val="002B732B"/>
    <w:rsid w:val="002C2219"/>
    <w:rsid w:val="002D0DF2"/>
    <w:rsid w:val="002D23BD"/>
    <w:rsid w:val="002E0B47"/>
    <w:rsid w:val="002F7213"/>
    <w:rsid w:val="0030382F"/>
    <w:rsid w:val="0030408D"/>
    <w:rsid w:val="003060E4"/>
    <w:rsid w:val="00315154"/>
    <w:rsid w:val="003160E7"/>
    <w:rsid w:val="0031739E"/>
    <w:rsid w:val="003325AB"/>
    <w:rsid w:val="0033412B"/>
    <w:rsid w:val="00343365"/>
    <w:rsid w:val="00353501"/>
    <w:rsid w:val="003606F8"/>
    <w:rsid w:val="003648EF"/>
    <w:rsid w:val="00365E4F"/>
    <w:rsid w:val="003673E6"/>
    <w:rsid w:val="00377264"/>
    <w:rsid w:val="003A26A5"/>
    <w:rsid w:val="003A3761"/>
    <w:rsid w:val="003A5FEA"/>
    <w:rsid w:val="003B1D10"/>
    <w:rsid w:val="003B556A"/>
    <w:rsid w:val="003C76D4"/>
    <w:rsid w:val="003E7C46"/>
    <w:rsid w:val="003F52A7"/>
    <w:rsid w:val="0040240C"/>
    <w:rsid w:val="00413021"/>
    <w:rsid w:val="00440BE0"/>
    <w:rsid w:val="00442C1C"/>
    <w:rsid w:val="0044584B"/>
    <w:rsid w:val="00447CB7"/>
    <w:rsid w:val="00460826"/>
    <w:rsid w:val="00460EA7"/>
    <w:rsid w:val="004610FC"/>
    <w:rsid w:val="0046195B"/>
    <w:rsid w:val="0046596D"/>
    <w:rsid w:val="00487C04"/>
    <w:rsid w:val="004907E1"/>
    <w:rsid w:val="004A035B"/>
    <w:rsid w:val="004A38D7"/>
    <w:rsid w:val="004A778C"/>
    <w:rsid w:val="004C2E6A"/>
    <w:rsid w:val="004D2A2D"/>
    <w:rsid w:val="004D6689"/>
    <w:rsid w:val="004E1D1D"/>
    <w:rsid w:val="004E7AC8"/>
    <w:rsid w:val="004F0C94"/>
    <w:rsid w:val="004F7F4E"/>
    <w:rsid w:val="005019AE"/>
    <w:rsid w:val="00503749"/>
    <w:rsid w:val="00504CF4"/>
    <w:rsid w:val="0050635B"/>
    <w:rsid w:val="0053199F"/>
    <w:rsid w:val="00533B90"/>
    <w:rsid w:val="005410F8"/>
    <w:rsid w:val="005448EC"/>
    <w:rsid w:val="00545963"/>
    <w:rsid w:val="00550256"/>
    <w:rsid w:val="00553958"/>
    <w:rsid w:val="0055763D"/>
    <w:rsid w:val="00561CC5"/>
    <w:rsid w:val="005621F2"/>
    <w:rsid w:val="00567B58"/>
    <w:rsid w:val="005763E0"/>
    <w:rsid w:val="005A27CA"/>
    <w:rsid w:val="005A43BD"/>
    <w:rsid w:val="005E226E"/>
    <w:rsid w:val="006015D7"/>
    <w:rsid w:val="00601B21"/>
    <w:rsid w:val="00626CF8"/>
    <w:rsid w:val="00636D7D"/>
    <w:rsid w:val="00637408"/>
    <w:rsid w:val="00642868"/>
    <w:rsid w:val="00647AFE"/>
    <w:rsid w:val="006512BC"/>
    <w:rsid w:val="00653A5A"/>
    <w:rsid w:val="006575F4"/>
    <w:rsid w:val="006579E6"/>
    <w:rsid w:val="00663EDC"/>
    <w:rsid w:val="00671078"/>
    <w:rsid w:val="00680A04"/>
    <w:rsid w:val="00686D80"/>
    <w:rsid w:val="00694895"/>
    <w:rsid w:val="00697E2E"/>
    <w:rsid w:val="006A25A2"/>
    <w:rsid w:val="006B0E73"/>
    <w:rsid w:val="006B4A4D"/>
    <w:rsid w:val="006B5695"/>
    <w:rsid w:val="006C78EB"/>
    <w:rsid w:val="006D1660"/>
    <w:rsid w:val="006E14D9"/>
    <w:rsid w:val="006F1B67"/>
    <w:rsid w:val="0070091D"/>
    <w:rsid w:val="00702854"/>
    <w:rsid w:val="0071741C"/>
    <w:rsid w:val="00742B90"/>
    <w:rsid w:val="0074434D"/>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97D"/>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4C4"/>
    <w:rsid w:val="008D74D5"/>
    <w:rsid w:val="008F29BE"/>
    <w:rsid w:val="008F4AE5"/>
    <w:rsid w:val="008F51EB"/>
    <w:rsid w:val="00900197"/>
    <w:rsid w:val="00902F55"/>
    <w:rsid w:val="0090582B"/>
    <w:rsid w:val="009060C0"/>
    <w:rsid w:val="009133F5"/>
    <w:rsid w:val="00920A27"/>
    <w:rsid w:val="00921216"/>
    <w:rsid w:val="00932D69"/>
    <w:rsid w:val="00944647"/>
    <w:rsid w:val="00963F1A"/>
    <w:rsid w:val="00977B8A"/>
    <w:rsid w:val="00982971"/>
    <w:rsid w:val="009845AD"/>
    <w:rsid w:val="00990E57"/>
    <w:rsid w:val="00995BA0"/>
    <w:rsid w:val="009A418B"/>
    <w:rsid w:val="009A4473"/>
    <w:rsid w:val="009C151C"/>
    <w:rsid w:val="009D5125"/>
    <w:rsid w:val="009D60B8"/>
    <w:rsid w:val="009D7D4B"/>
    <w:rsid w:val="009E36ED"/>
    <w:rsid w:val="009E6B77"/>
    <w:rsid w:val="009F460A"/>
    <w:rsid w:val="00A043FB"/>
    <w:rsid w:val="00A0729C"/>
    <w:rsid w:val="00A07779"/>
    <w:rsid w:val="00A20B2E"/>
    <w:rsid w:val="00A3068F"/>
    <w:rsid w:val="00A3145B"/>
    <w:rsid w:val="00A339D0"/>
    <w:rsid w:val="00A41002"/>
    <w:rsid w:val="00A41627"/>
    <w:rsid w:val="00A4201A"/>
    <w:rsid w:val="00A553CE"/>
    <w:rsid w:val="00A5677A"/>
    <w:rsid w:val="00A6490D"/>
    <w:rsid w:val="00A80363"/>
    <w:rsid w:val="00A9169D"/>
    <w:rsid w:val="00AC101C"/>
    <w:rsid w:val="00AD4CF1"/>
    <w:rsid w:val="00AD5988"/>
    <w:rsid w:val="00AF7800"/>
    <w:rsid w:val="00B072E0"/>
    <w:rsid w:val="00B253F6"/>
    <w:rsid w:val="00B332F8"/>
    <w:rsid w:val="00B3492B"/>
    <w:rsid w:val="00B4646F"/>
    <w:rsid w:val="00B55C7D"/>
    <w:rsid w:val="00B57158"/>
    <w:rsid w:val="00B63038"/>
    <w:rsid w:val="00B64BD8"/>
    <w:rsid w:val="00B701D1"/>
    <w:rsid w:val="00B73AF2"/>
    <w:rsid w:val="00B7551A"/>
    <w:rsid w:val="00BC59F1"/>
    <w:rsid w:val="00BE297A"/>
    <w:rsid w:val="00BF3DE1"/>
    <w:rsid w:val="00BF4843"/>
    <w:rsid w:val="00BF5205"/>
    <w:rsid w:val="00C12508"/>
    <w:rsid w:val="00C45AA2"/>
    <w:rsid w:val="00C66296"/>
    <w:rsid w:val="00C77282"/>
    <w:rsid w:val="00C84DE5"/>
    <w:rsid w:val="00C86248"/>
    <w:rsid w:val="00CA4C33"/>
    <w:rsid w:val="00CA6F4A"/>
    <w:rsid w:val="00CD2119"/>
    <w:rsid w:val="00CD36AC"/>
    <w:rsid w:val="00CF1747"/>
    <w:rsid w:val="00D2392A"/>
    <w:rsid w:val="00D25FFE"/>
    <w:rsid w:val="00D4476F"/>
    <w:rsid w:val="00D54D50"/>
    <w:rsid w:val="00D66797"/>
    <w:rsid w:val="00D7087C"/>
    <w:rsid w:val="00D70C3C"/>
    <w:rsid w:val="00D72BE5"/>
    <w:rsid w:val="00D82F26"/>
    <w:rsid w:val="00D863D0"/>
    <w:rsid w:val="00D87C87"/>
    <w:rsid w:val="00DB39CF"/>
    <w:rsid w:val="00DD447A"/>
    <w:rsid w:val="00DE3B20"/>
    <w:rsid w:val="00DE6C94"/>
    <w:rsid w:val="00DE6FD7"/>
    <w:rsid w:val="00E23271"/>
    <w:rsid w:val="00E24F80"/>
    <w:rsid w:val="00E259F3"/>
    <w:rsid w:val="00E33238"/>
    <w:rsid w:val="00E4486C"/>
    <w:rsid w:val="00E45890"/>
    <w:rsid w:val="00E458D2"/>
    <w:rsid w:val="00E460B6"/>
    <w:rsid w:val="00E511D5"/>
    <w:rsid w:val="00E60249"/>
    <w:rsid w:val="00E65269"/>
    <w:rsid w:val="00E76D66"/>
    <w:rsid w:val="00EA796A"/>
    <w:rsid w:val="00EB1856"/>
    <w:rsid w:val="00EC50CE"/>
    <w:rsid w:val="00EC5B34"/>
    <w:rsid w:val="00EE4A4D"/>
    <w:rsid w:val="00EE4ADE"/>
    <w:rsid w:val="00EE5CB7"/>
    <w:rsid w:val="00F024FE"/>
    <w:rsid w:val="00F05AD4"/>
    <w:rsid w:val="00F25970"/>
    <w:rsid w:val="00F5180D"/>
    <w:rsid w:val="00F6526B"/>
    <w:rsid w:val="00F67496"/>
    <w:rsid w:val="00F801BA"/>
    <w:rsid w:val="00F946C9"/>
    <w:rsid w:val="00FA74EE"/>
    <w:rsid w:val="00FC3711"/>
    <w:rsid w:val="00FC46E7"/>
    <w:rsid w:val="00FC5D25"/>
    <w:rsid w:val="00FD0D7E"/>
    <w:rsid w:val="00FD100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4F7F4E"/>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customStyle="1" w:styleId="Number">
    <w:name w:val="Number"/>
    <w:basedOn w:val="Normal"/>
    <w:qFormat/>
    <w:rsid w:val="001A3B3B"/>
    <w:pPr>
      <w:numPr>
        <w:numId w:val="18"/>
      </w:numPr>
      <w:spacing w:before="220"/>
    </w:pPr>
  </w:style>
  <w:style w:type="paragraph" w:customStyle="1" w:styleId="Sub-number">
    <w:name w:val="Sub-number"/>
    <w:basedOn w:val="Normal"/>
    <w:qFormat/>
    <w:rsid w:val="001A3B3B"/>
    <w:pPr>
      <w:numPr>
        <w:ilvl w:val="1"/>
        <w:numId w:val="18"/>
      </w:numPr>
      <w:spacing w:before="180"/>
    </w:p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
    <w:name w:val="Letter"/>
    <w:basedOn w:val="Sub-number"/>
    <w:qFormat/>
    <w:rsid w:val="0080097D"/>
    <w:pPr>
      <w:numPr>
        <w:ilvl w:val="2"/>
      </w:numPr>
      <w:spacing w:before="120"/>
    </w:pPr>
  </w:style>
  <w:style w:type="paragraph" w:customStyle="1" w:styleId="Roman">
    <w:name w:val="Roman"/>
    <w:basedOn w:val="Normal"/>
    <w:qFormat/>
    <w:rsid w:val="00F6526B"/>
    <w:pPr>
      <w:spacing w:before="60"/>
      <w:ind w:left="2268" w:hanging="567"/>
    </w:p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6E1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4D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4F7F4E"/>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customStyle="1" w:styleId="Number">
    <w:name w:val="Number"/>
    <w:basedOn w:val="Normal"/>
    <w:qFormat/>
    <w:rsid w:val="001A3B3B"/>
    <w:pPr>
      <w:numPr>
        <w:numId w:val="18"/>
      </w:numPr>
      <w:spacing w:before="220"/>
    </w:pPr>
  </w:style>
  <w:style w:type="paragraph" w:customStyle="1" w:styleId="Sub-number">
    <w:name w:val="Sub-number"/>
    <w:basedOn w:val="Normal"/>
    <w:qFormat/>
    <w:rsid w:val="001A3B3B"/>
    <w:pPr>
      <w:numPr>
        <w:ilvl w:val="1"/>
        <w:numId w:val="18"/>
      </w:numPr>
      <w:spacing w:before="180"/>
    </w:p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
    <w:name w:val="Letter"/>
    <w:basedOn w:val="Sub-number"/>
    <w:qFormat/>
    <w:rsid w:val="0080097D"/>
    <w:pPr>
      <w:numPr>
        <w:ilvl w:val="2"/>
      </w:numPr>
      <w:spacing w:before="120"/>
    </w:pPr>
  </w:style>
  <w:style w:type="paragraph" w:customStyle="1" w:styleId="Roman">
    <w:name w:val="Roman"/>
    <w:basedOn w:val="Normal"/>
    <w:qFormat/>
    <w:rsid w:val="00F6526B"/>
    <w:pPr>
      <w:spacing w:before="60"/>
      <w:ind w:left="2268" w:hanging="567"/>
    </w:p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6E1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4D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orsenquiries@moh.govt.nz"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legislation.govt.nz/act/public/1982/0156/latest/DLM64785.html?search=qs_act_official+information+act_resel_25_h&amp;p=3&amp;sr=1"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mailto:orsenquiries@moh.govt.nz"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1</TotalTime>
  <Pages>18</Pages>
  <Words>3339</Words>
  <Characters>19239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Jane Adam</cp:lastModifiedBy>
  <cp:revision>2</cp:revision>
  <cp:lastPrinted>2013-05-22T23:47:00Z</cp:lastPrinted>
  <dcterms:created xsi:type="dcterms:W3CDTF">2015-11-01T19:49:00Z</dcterms:created>
  <dcterms:modified xsi:type="dcterms:W3CDTF">2015-11-01T19:49:00Z</dcterms:modified>
</cp:coreProperties>
</file>