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D54D50" w:rsidRDefault="00CD78D1" w:rsidP="00D54D50">
      <w:pPr>
        <w:pStyle w:val="Title"/>
      </w:pPr>
      <w:r>
        <w:t>Children and Young People Living Well and Staying W</w:t>
      </w:r>
      <w:r w:rsidR="00A16A93">
        <w:t>ell</w:t>
      </w:r>
    </w:p>
    <w:p w:rsidR="00455CC9" w:rsidRPr="00CD78D1" w:rsidRDefault="00455CC9" w:rsidP="00455CC9">
      <w:pPr>
        <w:pStyle w:val="Year"/>
        <w:rPr>
          <w:sz w:val="2"/>
          <w:szCs w:val="2"/>
        </w:rPr>
      </w:pPr>
    </w:p>
    <w:p w:rsidR="00C86248" w:rsidRDefault="00A16A93" w:rsidP="00343365">
      <w:pPr>
        <w:pStyle w:val="Subhead"/>
      </w:pPr>
      <w:r>
        <w:t>New Zealand Childhood Obesity Programme Baseline Report</w:t>
      </w:r>
      <w:r w:rsidR="00197341">
        <w:t xml:space="preserve"> 2016/17</w:t>
      </w:r>
    </w:p>
    <w:p w:rsidR="00142954" w:rsidRPr="00142954" w:rsidRDefault="00142954" w:rsidP="00142954">
      <w:pPr>
        <w:sectPr w:rsidR="00142954" w:rsidRPr="00142954" w:rsidSect="000F2AE2">
          <w:headerReference w:type="even" r:id="rId8"/>
          <w:headerReference w:type="default" r:id="rId9"/>
          <w:footerReference w:type="even" r:id="rId10"/>
          <w:footerReference w:type="default" r:id="rId11"/>
          <w:headerReference w:type="first" r:id="rId12"/>
          <w:footerReference w:type="first" r:id="rId13"/>
          <w:pgSz w:w="11907" w:h="16834" w:code="9"/>
          <w:pgMar w:top="3969" w:right="851" w:bottom="851" w:left="2552" w:header="851" w:footer="851" w:gutter="0"/>
          <w:cols w:space="720"/>
        </w:sectPr>
      </w:pPr>
    </w:p>
    <w:p w:rsidR="00A80363" w:rsidRPr="00442C1C" w:rsidRDefault="00A80363">
      <w:pPr>
        <w:pStyle w:val="Imprint"/>
      </w:pPr>
      <w:r>
        <w:lastRenderedPageBreak/>
        <w:t xml:space="preserve">Citation: </w:t>
      </w:r>
      <w:r w:rsidR="00442C1C">
        <w:t xml:space="preserve">Ministry of Health. </w:t>
      </w:r>
      <w:r w:rsidR="00A16A93">
        <w:t>2017</w:t>
      </w:r>
      <w:r w:rsidR="00442C1C">
        <w:t xml:space="preserve">. </w:t>
      </w:r>
      <w:r w:rsidR="00A16A93">
        <w:rPr>
          <w:i/>
        </w:rPr>
        <w:t>Children and Young People Living Well and Staying Well: New Zealand Childhood Obesity Progra</w:t>
      </w:r>
      <w:bookmarkStart w:id="0" w:name="_GoBack"/>
      <w:bookmarkEnd w:id="0"/>
      <w:r w:rsidR="00A16A93">
        <w:rPr>
          <w:i/>
        </w:rPr>
        <w:t>mme Baseline Report 2016/17</w:t>
      </w:r>
      <w:r w:rsidR="00442C1C">
        <w:t>.</w:t>
      </w:r>
      <w:r w:rsidR="00A16A93">
        <w:br/>
      </w:r>
      <w:r w:rsidR="00442C1C">
        <w:t>Wellington: Ministry of Health.</w:t>
      </w:r>
    </w:p>
    <w:p w:rsidR="00C86248" w:rsidRDefault="00C86248">
      <w:pPr>
        <w:pStyle w:val="Imprint"/>
      </w:pPr>
      <w:r>
        <w:t xml:space="preserve">Published in </w:t>
      </w:r>
      <w:r w:rsidR="00ED37B9">
        <w:t>June</w:t>
      </w:r>
      <w:r w:rsidR="00A16A93">
        <w:t xml:space="preserve"> 2017</w:t>
      </w:r>
      <w:r w:rsidR="005019AE">
        <w:br/>
      </w:r>
      <w:r>
        <w:t>by the</w:t>
      </w:r>
      <w:r w:rsidR="00442C1C">
        <w:t xml:space="preserve"> </w:t>
      </w:r>
      <w:r>
        <w:t>Ministry of Health</w:t>
      </w:r>
      <w:r>
        <w:br/>
        <w:t>PO Box 5013, Wellington</w:t>
      </w:r>
      <w:r w:rsidR="00A80363">
        <w:t xml:space="preserve"> 614</w:t>
      </w:r>
      <w:r w:rsidR="006041F0">
        <w:t>0</w:t>
      </w:r>
      <w:r>
        <w:t>, New Zealand</w:t>
      </w:r>
    </w:p>
    <w:p w:rsidR="00082CD6" w:rsidRPr="009C0F2D" w:rsidRDefault="00F63781" w:rsidP="00082CD6">
      <w:pPr>
        <w:pStyle w:val="Imprint"/>
      </w:pPr>
      <w:r>
        <w:t xml:space="preserve">ISBN </w:t>
      </w:r>
      <w:r w:rsidR="00197341" w:rsidRPr="00197341">
        <w:t>978-1-98-850246-5</w:t>
      </w:r>
      <w:r w:rsidR="00442C1C">
        <w:t xml:space="preserve"> </w:t>
      </w:r>
      <w:r w:rsidR="00D863D0">
        <w:t>(</w:t>
      </w:r>
      <w:r w:rsidR="00442C1C">
        <w:t>online</w:t>
      </w:r>
      <w:r w:rsidR="00D863D0">
        <w:t>)</w:t>
      </w:r>
      <w:r w:rsidR="00082CD6">
        <w:br/>
      </w:r>
      <w:r w:rsidR="00082CD6" w:rsidRPr="009C0F2D">
        <w:t xml:space="preserve">HP </w:t>
      </w:r>
      <w:r w:rsidR="006B2AA8">
        <w:t>6593</w:t>
      </w:r>
    </w:p>
    <w:p w:rsidR="00C86248" w:rsidRDefault="00C86248">
      <w:pPr>
        <w:pStyle w:val="Imprint"/>
      </w:pPr>
      <w:r>
        <w:t xml:space="preserve">This document is available </w:t>
      </w:r>
      <w:r w:rsidR="00CD78D1">
        <w:t xml:space="preserve">at </w:t>
      </w:r>
      <w:r>
        <w:t>h</w:t>
      </w:r>
      <w:r w:rsidR="00A80363">
        <w:t>ealth</w:t>
      </w:r>
      <w:r>
        <w:t>.govt.nz</w:t>
      </w:r>
    </w:p>
    <w:p w:rsidR="00C86248" w:rsidRDefault="008C64C4">
      <w:pPr>
        <w:jc w:val="center"/>
      </w:pPr>
      <w:r>
        <w:rPr>
          <w:noProof/>
          <w:lang w:eastAsia="en-NZ"/>
        </w:rPr>
        <w:drawing>
          <wp:inline distT="0" distB="0" distL="0" distR="0" wp14:anchorId="6378DFA0" wp14:editId="2F27E43A">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7E74F1" w:rsidRPr="001F45A7" w:rsidRDefault="007E74F1" w:rsidP="001F45A7">
      <w:pPr>
        <w:spacing w:before="240"/>
        <w:ind w:right="-851"/>
        <w:rPr>
          <w:sz w:val="18"/>
          <w:szCs w:val="18"/>
        </w:rPr>
      </w:pPr>
      <w:r w:rsidRPr="001F45A7">
        <w:rPr>
          <w:b/>
          <w:noProof/>
          <w:sz w:val="18"/>
          <w:szCs w:val="18"/>
          <w:lang w:eastAsia="en-NZ"/>
        </w:rPr>
        <w:drawing>
          <wp:inline distT="0" distB="0" distL="0" distR="0" wp14:anchorId="286B5C83" wp14:editId="39C8E675">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1F45A7">
        <w:rPr>
          <w:sz w:val="18"/>
          <w:szCs w:val="18"/>
        </w:rPr>
        <w:t xml:space="preserve"> This work is licensed under the Creative Commons Attribution 4.0 International licence. In essence, </w:t>
      </w:r>
      <w:r w:rsidRPr="001F45A7">
        <w:rPr>
          <w:bCs/>
          <w:sz w:val="18"/>
          <w:szCs w:val="18"/>
        </w:rPr>
        <w:t xml:space="preserve">you are free to: </w:t>
      </w:r>
      <w:r w:rsidRPr="001F45A7">
        <w:rPr>
          <w:sz w:val="18"/>
          <w:szCs w:val="18"/>
        </w:rPr>
        <w:t xml:space="preserve">share ie, copy and redistribute the material in any medium or format; adapt ie, remix, transform and build upon the material. </w:t>
      </w:r>
      <w:r w:rsidRPr="001F45A7">
        <w:rPr>
          <w:bCs/>
          <w:sz w:val="18"/>
          <w:szCs w:val="18"/>
        </w:rPr>
        <w:t>You must give appropriate credit, provide a link to the licence and indicate if changes were made.</w:t>
      </w:r>
    </w:p>
    <w:p w:rsidR="00C86248" w:rsidRDefault="00C86248">
      <w:pPr>
        <w:jc w:val="center"/>
        <w:sectPr w:rsidR="00C86248" w:rsidSect="0016468A">
          <w:footerReference w:type="even" r:id="rId16"/>
          <w:footerReference w:type="default" r:id="rId17"/>
          <w:pgSz w:w="11907" w:h="16834" w:code="9"/>
          <w:pgMar w:top="1701" w:right="1134" w:bottom="1134" w:left="1985" w:header="0" w:footer="0" w:gutter="0"/>
          <w:cols w:space="720"/>
          <w:vAlign w:val="bottom"/>
        </w:sectPr>
      </w:pPr>
    </w:p>
    <w:p w:rsidR="00C86248" w:rsidRDefault="00C86248">
      <w:pPr>
        <w:pStyle w:val="IntroHead"/>
      </w:pPr>
      <w:bookmarkStart w:id="1" w:name="_Toc405792991"/>
      <w:bookmarkStart w:id="2" w:name="_Toc405793224"/>
      <w:r>
        <w:lastRenderedPageBreak/>
        <w:t>Contents</w:t>
      </w:r>
      <w:bookmarkEnd w:id="1"/>
      <w:bookmarkEnd w:id="2"/>
    </w:p>
    <w:p w:rsidR="005B1945"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5B1945">
        <w:rPr>
          <w:noProof/>
        </w:rPr>
        <w:t>Executive summary</w:t>
      </w:r>
      <w:r w:rsidR="005B1945">
        <w:rPr>
          <w:noProof/>
        </w:rPr>
        <w:tab/>
      </w:r>
      <w:r w:rsidR="005B1945">
        <w:rPr>
          <w:noProof/>
        </w:rPr>
        <w:fldChar w:fldCharType="begin"/>
      </w:r>
      <w:r w:rsidR="005B1945">
        <w:rPr>
          <w:noProof/>
        </w:rPr>
        <w:instrText xml:space="preserve"> PAGEREF _Toc480534221 \h </w:instrText>
      </w:r>
      <w:r w:rsidR="005B1945">
        <w:rPr>
          <w:noProof/>
        </w:rPr>
      </w:r>
      <w:r w:rsidR="005B1945">
        <w:rPr>
          <w:noProof/>
        </w:rPr>
        <w:fldChar w:fldCharType="separate"/>
      </w:r>
      <w:r w:rsidR="00840EA1">
        <w:rPr>
          <w:noProof/>
        </w:rPr>
        <w:t>v</w:t>
      </w:r>
      <w:r w:rsidR="005B1945">
        <w:rPr>
          <w:noProof/>
        </w:rPr>
        <w:fldChar w:fldCharType="end"/>
      </w:r>
    </w:p>
    <w:p w:rsidR="005B1945" w:rsidRDefault="005B1945">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_Toc480534222 \h </w:instrText>
      </w:r>
      <w:r>
        <w:rPr>
          <w:noProof/>
        </w:rPr>
      </w:r>
      <w:r>
        <w:rPr>
          <w:noProof/>
        </w:rPr>
        <w:fldChar w:fldCharType="separate"/>
      </w:r>
      <w:r w:rsidR="00840EA1">
        <w:rPr>
          <w:noProof/>
        </w:rPr>
        <w:t>1</w:t>
      </w:r>
      <w:r>
        <w:rPr>
          <w:noProof/>
        </w:rPr>
        <w:fldChar w:fldCharType="end"/>
      </w:r>
    </w:p>
    <w:p w:rsidR="005B1945" w:rsidRDefault="005B1945">
      <w:pPr>
        <w:pStyle w:val="TOC2"/>
        <w:rPr>
          <w:rFonts w:asciiTheme="minorHAnsi" w:eastAsiaTheme="minorEastAsia" w:hAnsiTheme="minorHAnsi" w:cstheme="minorBidi"/>
          <w:noProof/>
          <w:szCs w:val="22"/>
          <w:lang w:eastAsia="en-NZ"/>
        </w:rPr>
      </w:pPr>
      <w:r>
        <w:rPr>
          <w:noProof/>
        </w:rPr>
        <w:t>Background</w:t>
      </w:r>
      <w:r>
        <w:rPr>
          <w:noProof/>
        </w:rPr>
        <w:tab/>
      </w:r>
      <w:r>
        <w:rPr>
          <w:noProof/>
        </w:rPr>
        <w:fldChar w:fldCharType="begin"/>
      </w:r>
      <w:r>
        <w:rPr>
          <w:noProof/>
        </w:rPr>
        <w:instrText xml:space="preserve"> PAGEREF _Toc480534223 \h </w:instrText>
      </w:r>
      <w:r>
        <w:rPr>
          <w:noProof/>
        </w:rPr>
      </w:r>
      <w:r>
        <w:rPr>
          <w:noProof/>
        </w:rPr>
        <w:fldChar w:fldCharType="separate"/>
      </w:r>
      <w:r w:rsidR="00840EA1">
        <w:rPr>
          <w:noProof/>
        </w:rPr>
        <w:t>1</w:t>
      </w:r>
      <w:r>
        <w:rPr>
          <w:noProof/>
        </w:rPr>
        <w:fldChar w:fldCharType="end"/>
      </w:r>
    </w:p>
    <w:p w:rsidR="005B1945" w:rsidRDefault="005B1945">
      <w:pPr>
        <w:pStyle w:val="TOC2"/>
        <w:rPr>
          <w:rFonts w:asciiTheme="minorHAnsi" w:eastAsiaTheme="minorEastAsia" w:hAnsiTheme="minorHAnsi" w:cstheme="minorBidi"/>
          <w:noProof/>
          <w:szCs w:val="22"/>
          <w:lang w:eastAsia="en-NZ"/>
        </w:rPr>
      </w:pPr>
      <w:r>
        <w:rPr>
          <w:noProof/>
        </w:rPr>
        <w:t>The effects of childhood obesity</w:t>
      </w:r>
      <w:r>
        <w:rPr>
          <w:noProof/>
        </w:rPr>
        <w:tab/>
      </w:r>
      <w:r>
        <w:rPr>
          <w:noProof/>
        </w:rPr>
        <w:fldChar w:fldCharType="begin"/>
      </w:r>
      <w:r>
        <w:rPr>
          <w:noProof/>
        </w:rPr>
        <w:instrText xml:space="preserve"> PAGEREF _Toc480534224 \h </w:instrText>
      </w:r>
      <w:r>
        <w:rPr>
          <w:noProof/>
        </w:rPr>
      </w:r>
      <w:r>
        <w:rPr>
          <w:noProof/>
        </w:rPr>
        <w:fldChar w:fldCharType="separate"/>
      </w:r>
      <w:r w:rsidR="00840EA1">
        <w:rPr>
          <w:noProof/>
        </w:rPr>
        <w:t>1</w:t>
      </w:r>
      <w:r>
        <w:rPr>
          <w:noProof/>
        </w:rPr>
        <w:fldChar w:fldCharType="end"/>
      </w:r>
    </w:p>
    <w:p w:rsidR="005B1945" w:rsidRDefault="005B1945">
      <w:pPr>
        <w:pStyle w:val="TOC2"/>
        <w:rPr>
          <w:rFonts w:asciiTheme="minorHAnsi" w:eastAsiaTheme="minorEastAsia" w:hAnsiTheme="minorHAnsi" w:cstheme="minorBidi"/>
          <w:noProof/>
          <w:szCs w:val="22"/>
          <w:lang w:eastAsia="en-NZ"/>
        </w:rPr>
      </w:pPr>
      <w:r>
        <w:rPr>
          <w:noProof/>
        </w:rPr>
        <w:t>Factors that contribute to childhood obesity</w:t>
      </w:r>
      <w:r>
        <w:rPr>
          <w:noProof/>
        </w:rPr>
        <w:tab/>
      </w:r>
      <w:r>
        <w:rPr>
          <w:noProof/>
        </w:rPr>
        <w:fldChar w:fldCharType="begin"/>
      </w:r>
      <w:r>
        <w:rPr>
          <w:noProof/>
        </w:rPr>
        <w:instrText xml:space="preserve"> PAGEREF _Toc480534225 \h </w:instrText>
      </w:r>
      <w:r>
        <w:rPr>
          <w:noProof/>
        </w:rPr>
      </w:r>
      <w:r>
        <w:rPr>
          <w:noProof/>
        </w:rPr>
        <w:fldChar w:fldCharType="separate"/>
      </w:r>
      <w:r w:rsidR="00840EA1">
        <w:rPr>
          <w:noProof/>
        </w:rPr>
        <w:t>1</w:t>
      </w:r>
      <w:r>
        <w:rPr>
          <w:noProof/>
        </w:rPr>
        <w:fldChar w:fldCharType="end"/>
      </w:r>
    </w:p>
    <w:p w:rsidR="005B1945" w:rsidRDefault="005B1945">
      <w:pPr>
        <w:pStyle w:val="TOC2"/>
        <w:rPr>
          <w:rFonts w:asciiTheme="minorHAnsi" w:eastAsiaTheme="minorEastAsia" w:hAnsiTheme="minorHAnsi" w:cstheme="minorBidi"/>
          <w:noProof/>
          <w:szCs w:val="22"/>
          <w:lang w:eastAsia="en-NZ"/>
        </w:rPr>
      </w:pPr>
      <w:r>
        <w:rPr>
          <w:noProof/>
        </w:rPr>
        <w:t>The New Zealand Childhood Obesity Programme</w:t>
      </w:r>
      <w:r>
        <w:rPr>
          <w:noProof/>
        </w:rPr>
        <w:tab/>
      </w:r>
      <w:r>
        <w:rPr>
          <w:noProof/>
        </w:rPr>
        <w:fldChar w:fldCharType="begin"/>
      </w:r>
      <w:r>
        <w:rPr>
          <w:noProof/>
        </w:rPr>
        <w:instrText xml:space="preserve"> PAGEREF _Toc480534226 \h </w:instrText>
      </w:r>
      <w:r>
        <w:rPr>
          <w:noProof/>
        </w:rPr>
      </w:r>
      <w:r>
        <w:rPr>
          <w:noProof/>
        </w:rPr>
        <w:fldChar w:fldCharType="separate"/>
      </w:r>
      <w:r w:rsidR="00840EA1">
        <w:rPr>
          <w:noProof/>
        </w:rPr>
        <w:t>2</w:t>
      </w:r>
      <w:r>
        <w:rPr>
          <w:noProof/>
        </w:rPr>
        <w:fldChar w:fldCharType="end"/>
      </w:r>
    </w:p>
    <w:p w:rsidR="005B1945" w:rsidRDefault="005B1945">
      <w:pPr>
        <w:pStyle w:val="TOC2"/>
        <w:rPr>
          <w:rFonts w:asciiTheme="minorHAnsi" w:eastAsiaTheme="minorEastAsia" w:hAnsiTheme="minorHAnsi" w:cstheme="minorBidi"/>
          <w:noProof/>
          <w:szCs w:val="22"/>
          <w:lang w:eastAsia="en-NZ"/>
        </w:rPr>
      </w:pPr>
      <w:r>
        <w:rPr>
          <w:noProof/>
        </w:rPr>
        <w:t>The reducing childhood obesity intervention logic model</w:t>
      </w:r>
      <w:r>
        <w:rPr>
          <w:noProof/>
        </w:rPr>
        <w:tab/>
      </w:r>
      <w:r>
        <w:rPr>
          <w:noProof/>
        </w:rPr>
        <w:fldChar w:fldCharType="begin"/>
      </w:r>
      <w:r>
        <w:rPr>
          <w:noProof/>
        </w:rPr>
        <w:instrText xml:space="preserve"> PAGEREF _Toc480534227 \h </w:instrText>
      </w:r>
      <w:r>
        <w:rPr>
          <w:noProof/>
        </w:rPr>
      </w:r>
      <w:r>
        <w:rPr>
          <w:noProof/>
        </w:rPr>
        <w:fldChar w:fldCharType="separate"/>
      </w:r>
      <w:r w:rsidR="00840EA1">
        <w:rPr>
          <w:noProof/>
        </w:rPr>
        <w:t>5</w:t>
      </w:r>
      <w:r>
        <w:rPr>
          <w:noProof/>
        </w:rPr>
        <w:fldChar w:fldCharType="end"/>
      </w:r>
    </w:p>
    <w:p w:rsidR="005B1945" w:rsidRDefault="005B1945">
      <w:pPr>
        <w:pStyle w:val="TOC2"/>
        <w:rPr>
          <w:rFonts w:asciiTheme="minorHAnsi" w:eastAsiaTheme="minorEastAsia" w:hAnsiTheme="minorHAnsi" w:cstheme="minorBidi"/>
          <w:noProof/>
          <w:szCs w:val="22"/>
          <w:lang w:eastAsia="en-NZ"/>
        </w:rPr>
      </w:pPr>
      <w:r>
        <w:rPr>
          <w:noProof/>
        </w:rPr>
        <w:t>Overview</w:t>
      </w:r>
      <w:r>
        <w:rPr>
          <w:noProof/>
        </w:rPr>
        <w:tab/>
      </w:r>
      <w:r>
        <w:rPr>
          <w:noProof/>
        </w:rPr>
        <w:fldChar w:fldCharType="begin"/>
      </w:r>
      <w:r>
        <w:rPr>
          <w:noProof/>
        </w:rPr>
        <w:instrText xml:space="preserve"> PAGEREF _Toc480534228 \h </w:instrText>
      </w:r>
      <w:r>
        <w:rPr>
          <w:noProof/>
        </w:rPr>
      </w:r>
      <w:r>
        <w:rPr>
          <w:noProof/>
        </w:rPr>
        <w:fldChar w:fldCharType="separate"/>
      </w:r>
      <w:r w:rsidR="00840EA1">
        <w:rPr>
          <w:noProof/>
        </w:rPr>
        <w:t>7</w:t>
      </w:r>
      <w:r>
        <w:rPr>
          <w:noProof/>
        </w:rPr>
        <w:fldChar w:fldCharType="end"/>
      </w:r>
    </w:p>
    <w:p w:rsidR="005B1945" w:rsidRDefault="005B1945">
      <w:pPr>
        <w:pStyle w:val="TOC2"/>
        <w:rPr>
          <w:rFonts w:asciiTheme="minorHAnsi" w:eastAsiaTheme="minorEastAsia" w:hAnsiTheme="minorHAnsi" w:cstheme="minorBidi"/>
          <w:noProof/>
          <w:szCs w:val="22"/>
          <w:lang w:eastAsia="en-NZ"/>
        </w:rPr>
      </w:pPr>
      <w:r>
        <w:rPr>
          <w:noProof/>
        </w:rPr>
        <w:t>Data sources</w:t>
      </w:r>
      <w:r>
        <w:rPr>
          <w:noProof/>
        </w:rPr>
        <w:tab/>
      </w:r>
      <w:r>
        <w:rPr>
          <w:noProof/>
        </w:rPr>
        <w:fldChar w:fldCharType="begin"/>
      </w:r>
      <w:r>
        <w:rPr>
          <w:noProof/>
        </w:rPr>
        <w:instrText xml:space="preserve"> PAGEREF _Toc480534229 \h </w:instrText>
      </w:r>
      <w:r>
        <w:rPr>
          <w:noProof/>
        </w:rPr>
      </w:r>
      <w:r>
        <w:rPr>
          <w:noProof/>
        </w:rPr>
        <w:fldChar w:fldCharType="separate"/>
      </w:r>
      <w:r w:rsidR="00840EA1">
        <w:rPr>
          <w:noProof/>
        </w:rPr>
        <w:t>8</w:t>
      </w:r>
      <w:r>
        <w:rPr>
          <w:noProof/>
        </w:rPr>
        <w:fldChar w:fldCharType="end"/>
      </w:r>
    </w:p>
    <w:p w:rsidR="005B1945" w:rsidRDefault="005B1945">
      <w:pPr>
        <w:pStyle w:val="TOC2"/>
        <w:rPr>
          <w:rFonts w:asciiTheme="minorHAnsi" w:eastAsiaTheme="minorEastAsia" w:hAnsiTheme="minorHAnsi" w:cstheme="minorBidi"/>
          <w:noProof/>
          <w:szCs w:val="22"/>
          <w:lang w:eastAsia="en-NZ"/>
        </w:rPr>
      </w:pPr>
      <w:r>
        <w:rPr>
          <w:noProof/>
        </w:rPr>
        <w:t>How we will use the Reducing childhood obesity indicators</w:t>
      </w:r>
      <w:r>
        <w:rPr>
          <w:noProof/>
        </w:rPr>
        <w:tab/>
      </w:r>
      <w:r>
        <w:rPr>
          <w:noProof/>
        </w:rPr>
        <w:fldChar w:fldCharType="begin"/>
      </w:r>
      <w:r>
        <w:rPr>
          <w:noProof/>
        </w:rPr>
        <w:instrText xml:space="preserve"> PAGEREF _Toc480534230 \h </w:instrText>
      </w:r>
      <w:r>
        <w:rPr>
          <w:noProof/>
        </w:rPr>
      </w:r>
      <w:r>
        <w:rPr>
          <w:noProof/>
        </w:rPr>
        <w:fldChar w:fldCharType="separate"/>
      </w:r>
      <w:r w:rsidR="00840EA1">
        <w:rPr>
          <w:noProof/>
        </w:rPr>
        <w:t>8</w:t>
      </w:r>
      <w:r>
        <w:rPr>
          <w:noProof/>
        </w:rPr>
        <w:fldChar w:fldCharType="end"/>
      </w:r>
    </w:p>
    <w:p w:rsidR="005B1945" w:rsidRDefault="005B1945">
      <w:pPr>
        <w:pStyle w:val="TOC1"/>
        <w:rPr>
          <w:rFonts w:asciiTheme="minorHAnsi" w:eastAsiaTheme="minorEastAsia" w:hAnsiTheme="minorHAnsi" w:cstheme="minorBidi"/>
          <w:b w:val="0"/>
          <w:noProof/>
          <w:szCs w:val="22"/>
          <w:lang w:eastAsia="en-NZ"/>
        </w:rPr>
      </w:pPr>
      <w:r>
        <w:rPr>
          <w:noProof/>
        </w:rPr>
        <w:t>Reducing childhood obesity indicators</w:t>
      </w:r>
      <w:r>
        <w:rPr>
          <w:noProof/>
        </w:rPr>
        <w:tab/>
      </w:r>
      <w:r>
        <w:rPr>
          <w:noProof/>
        </w:rPr>
        <w:fldChar w:fldCharType="begin"/>
      </w:r>
      <w:r>
        <w:rPr>
          <w:noProof/>
        </w:rPr>
        <w:instrText xml:space="preserve"> PAGEREF _Toc480534231 \h </w:instrText>
      </w:r>
      <w:r>
        <w:rPr>
          <w:noProof/>
        </w:rPr>
      </w:r>
      <w:r>
        <w:rPr>
          <w:noProof/>
        </w:rPr>
        <w:fldChar w:fldCharType="separate"/>
      </w:r>
      <w:r w:rsidR="00840EA1">
        <w:rPr>
          <w:noProof/>
        </w:rPr>
        <w:t>9</w:t>
      </w:r>
      <w:r>
        <w:rPr>
          <w:noProof/>
        </w:rPr>
        <w:fldChar w:fldCharType="end"/>
      </w:r>
    </w:p>
    <w:p w:rsidR="005B1945" w:rsidRDefault="005B1945" w:rsidP="005B1945">
      <w:pPr>
        <w:pStyle w:val="TOC1"/>
        <w:rPr>
          <w:rFonts w:asciiTheme="minorHAnsi" w:eastAsiaTheme="minorEastAsia" w:hAnsiTheme="minorHAnsi" w:cstheme="minorBidi"/>
          <w:noProof/>
          <w:szCs w:val="22"/>
          <w:lang w:eastAsia="en-NZ"/>
        </w:rPr>
      </w:pPr>
      <w:r>
        <w:rPr>
          <w:noProof/>
        </w:rPr>
        <w:t>Indicators 1–3: More children are physically active</w:t>
      </w:r>
      <w:r>
        <w:rPr>
          <w:noProof/>
        </w:rPr>
        <w:tab/>
      </w:r>
      <w:r>
        <w:rPr>
          <w:noProof/>
        </w:rPr>
        <w:fldChar w:fldCharType="begin"/>
      </w:r>
      <w:r>
        <w:rPr>
          <w:noProof/>
        </w:rPr>
        <w:instrText xml:space="preserve"> PAGEREF _Toc480534232 \h </w:instrText>
      </w:r>
      <w:r>
        <w:rPr>
          <w:noProof/>
        </w:rPr>
      </w:r>
      <w:r>
        <w:rPr>
          <w:noProof/>
        </w:rPr>
        <w:fldChar w:fldCharType="separate"/>
      </w:r>
      <w:r w:rsidR="00840EA1">
        <w:rPr>
          <w:noProof/>
        </w:rPr>
        <w:t>9</w:t>
      </w:r>
      <w:r>
        <w:rPr>
          <w:noProof/>
        </w:rPr>
        <w:fldChar w:fldCharType="end"/>
      </w:r>
    </w:p>
    <w:p w:rsidR="005B1945" w:rsidRDefault="005B1945">
      <w:pPr>
        <w:pStyle w:val="TOC2"/>
        <w:rPr>
          <w:rFonts w:asciiTheme="minorHAnsi" w:eastAsiaTheme="minorEastAsia" w:hAnsiTheme="minorHAnsi" w:cstheme="minorBidi"/>
          <w:noProof/>
          <w:szCs w:val="22"/>
          <w:lang w:eastAsia="en-NZ"/>
        </w:rPr>
      </w:pPr>
      <w:r>
        <w:rPr>
          <w:noProof/>
        </w:rPr>
        <w:t>Indicator 1: Time spent watching television, videos and screens</w:t>
      </w:r>
      <w:r>
        <w:rPr>
          <w:noProof/>
        </w:rPr>
        <w:tab/>
      </w:r>
      <w:r>
        <w:rPr>
          <w:noProof/>
        </w:rPr>
        <w:fldChar w:fldCharType="begin"/>
      </w:r>
      <w:r>
        <w:rPr>
          <w:noProof/>
        </w:rPr>
        <w:instrText xml:space="preserve"> PAGEREF _Toc480534233 \h </w:instrText>
      </w:r>
      <w:r>
        <w:rPr>
          <w:noProof/>
        </w:rPr>
      </w:r>
      <w:r>
        <w:rPr>
          <w:noProof/>
        </w:rPr>
        <w:fldChar w:fldCharType="separate"/>
      </w:r>
      <w:r w:rsidR="00840EA1">
        <w:rPr>
          <w:noProof/>
        </w:rPr>
        <w:t>10</w:t>
      </w:r>
      <w:r>
        <w:rPr>
          <w:noProof/>
        </w:rPr>
        <w:fldChar w:fldCharType="end"/>
      </w:r>
    </w:p>
    <w:p w:rsidR="005B1945" w:rsidRDefault="005B1945">
      <w:pPr>
        <w:pStyle w:val="TOC2"/>
        <w:rPr>
          <w:rFonts w:asciiTheme="minorHAnsi" w:eastAsiaTheme="minorEastAsia" w:hAnsiTheme="minorHAnsi" w:cstheme="minorBidi"/>
          <w:noProof/>
          <w:szCs w:val="22"/>
          <w:lang w:eastAsia="en-NZ"/>
        </w:rPr>
      </w:pPr>
      <w:r>
        <w:rPr>
          <w:noProof/>
        </w:rPr>
        <w:t>Indicator 2: Sleep duration</w:t>
      </w:r>
      <w:r>
        <w:rPr>
          <w:noProof/>
        </w:rPr>
        <w:tab/>
      </w:r>
      <w:r>
        <w:rPr>
          <w:noProof/>
        </w:rPr>
        <w:fldChar w:fldCharType="begin"/>
      </w:r>
      <w:r>
        <w:rPr>
          <w:noProof/>
        </w:rPr>
        <w:instrText xml:space="preserve"> PAGEREF _Toc480534234 \h </w:instrText>
      </w:r>
      <w:r>
        <w:rPr>
          <w:noProof/>
        </w:rPr>
      </w:r>
      <w:r>
        <w:rPr>
          <w:noProof/>
        </w:rPr>
        <w:fldChar w:fldCharType="separate"/>
      </w:r>
      <w:r w:rsidR="00840EA1">
        <w:rPr>
          <w:noProof/>
        </w:rPr>
        <w:t>12</w:t>
      </w:r>
      <w:r>
        <w:rPr>
          <w:noProof/>
        </w:rPr>
        <w:fldChar w:fldCharType="end"/>
      </w:r>
    </w:p>
    <w:p w:rsidR="005B1945" w:rsidRDefault="005B1945">
      <w:pPr>
        <w:pStyle w:val="TOC2"/>
        <w:rPr>
          <w:rFonts w:asciiTheme="minorHAnsi" w:eastAsiaTheme="minorEastAsia" w:hAnsiTheme="minorHAnsi" w:cstheme="minorBidi"/>
          <w:noProof/>
          <w:szCs w:val="22"/>
          <w:lang w:eastAsia="en-NZ"/>
        </w:rPr>
      </w:pPr>
      <w:r>
        <w:rPr>
          <w:noProof/>
        </w:rPr>
        <w:t>Indicator 3: Time spent on physical activity</w:t>
      </w:r>
      <w:r>
        <w:rPr>
          <w:noProof/>
        </w:rPr>
        <w:tab/>
      </w:r>
      <w:r>
        <w:rPr>
          <w:noProof/>
        </w:rPr>
        <w:fldChar w:fldCharType="begin"/>
      </w:r>
      <w:r>
        <w:rPr>
          <w:noProof/>
        </w:rPr>
        <w:instrText xml:space="preserve"> PAGEREF _Toc480534235 \h </w:instrText>
      </w:r>
      <w:r>
        <w:rPr>
          <w:noProof/>
        </w:rPr>
      </w:r>
      <w:r>
        <w:rPr>
          <w:noProof/>
        </w:rPr>
        <w:fldChar w:fldCharType="separate"/>
      </w:r>
      <w:r w:rsidR="00840EA1">
        <w:rPr>
          <w:noProof/>
        </w:rPr>
        <w:t>13</w:t>
      </w:r>
      <w:r>
        <w:rPr>
          <w:noProof/>
        </w:rPr>
        <w:fldChar w:fldCharType="end"/>
      </w:r>
    </w:p>
    <w:p w:rsidR="005B1945" w:rsidRDefault="005B1945" w:rsidP="005B1945">
      <w:pPr>
        <w:pStyle w:val="TOC1"/>
        <w:rPr>
          <w:rFonts w:asciiTheme="minorHAnsi" w:eastAsiaTheme="minorEastAsia" w:hAnsiTheme="minorHAnsi" w:cstheme="minorBidi"/>
          <w:noProof/>
          <w:szCs w:val="22"/>
          <w:lang w:eastAsia="en-NZ"/>
        </w:rPr>
      </w:pPr>
      <w:r>
        <w:rPr>
          <w:noProof/>
        </w:rPr>
        <w:t>Indicators 4–7: More children eat well</w:t>
      </w:r>
      <w:r>
        <w:rPr>
          <w:noProof/>
        </w:rPr>
        <w:tab/>
      </w:r>
      <w:r>
        <w:rPr>
          <w:noProof/>
        </w:rPr>
        <w:fldChar w:fldCharType="begin"/>
      </w:r>
      <w:r>
        <w:rPr>
          <w:noProof/>
        </w:rPr>
        <w:instrText xml:space="preserve"> PAGEREF _Toc480534236 \h </w:instrText>
      </w:r>
      <w:r>
        <w:rPr>
          <w:noProof/>
        </w:rPr>
      </w:r>
      <w:r>
        <w:rPr>
          <w:noProof/>
        </w:rPr>
        <w:fldChar w:fldCharType="separate"/>
      </w:r>
      <w:r w:rsidR="00840EA1">
        <w:rPr>
          <w:noProof/>
        </w:rPr>
        <w:t>14</w:t>
      </w:r>
      <w:r>
        <w:rPr>
          <w:noProof/>
        </w:rPr>
        <w:fldChar w:fldCharType="end"/>
      </w:r>
    </w:p>
    <w:p w:rsidR="005B1945" w:rsidRDefault="005B1945">
      <w:pPr>
        <w:pStyle w:val="TOC2"/>
        <w:rPr>
          <w:rFonts w:asciiTheme="minorHAnsi" w:eastAsiaTheme="minorEastAsia" w:hAnsiTheme="minorHAnsi" w:cstheme="minorBidi"/>
          <w:noProof/>
          <w:szCs w:val="22"/>
          <w:lang w:eastAsia="en-NZ"/>
        </w:rPr>
      </w:pPr>
      <w:r>
        <w:rPr>
          <w:noProof/>
        </w:rPr>
        <w:t>Indicator 4: Breastfeeding</w:t>
      </w:r>
      <w:r>
        <w:rPr>
          <w:noProof/>
        </w:rPr>
        <w:tab/>
      </w:r>
      <w:r>
        <w:rPr>
          <w:noProof/>
        </w:rPr>
        <w:fldChar w:fldCharType="begin"/>
      </w:r>
      <w:r>
        <w:rPr>
          <w:noProof/>
        </w:rPr>
        <w:instrText xml:space="preserve"> PAGEREF _Toc480534237 \h </w:instrText>
      </w:r>
      <w:r>
        <w:rPr>
          <w:noProof/>
        </w:rPr>
      </w:r>
      <w:r>
        <w:rPr>
          <w:noProof/>
        </w:rPr>
        <w:fldChar w:fldCharType="separate"/>
      </w:r>
      <w:r w:rsidR="00840EA1">
        <w:rPr>
          <w:noProof/>
        </w:rPr>
        <w:t>15</w:t>
      </w:r>
      <w:r>
        <w:rPr>
          <w:noProof/>
        </w:rPr>
        <w:fldChar w:fldCharType="end"/>
      </w:r>
    </w:p>
    <w:p w:rsidR="005B1945" w:rsidRDefault="005B1945">
      <w:pPr>
        <w:pStyle w:val="TOC2"/>
        <w:rPr>
          <w:rFonts w:asciiTheme="minorHAnsi" w:eastAsiaTheme="minorEastAsia" w:hAnsiTheme="minorHAnsi" w:cstheme="minorBidi"/>
          <w:noProof/>
          <w:szCs w:val="22"/>
          <w:lang w:eastAsia="en-NZ"/>
        </w:rPr>
      </w:pPr>
      <w:r>
        <w:rPr>
          <w:noProof/>
        </w:rPr>
        <w:t>Indicator 5: Consumption of fast foods</w:t>
      </w:r>
      <w:r>
        <w:rPr>
          <w:noProof/>
        </w:rPr>
        <w:tab/>
      </w:r>
      <w:r>
        <w:rPr>
          <w:noProof/>
        </w:rPr>
        <w:fldChar w:fldCharType="begin"/>
      </w:r>
      <w:r>
        <w:rPr>
          <w:noProof/>
        </w:rPr>
        <w:instrText xml:space="preserve"> PAGEREF _Toc480534238 \h </w:instrText>
      </w:r>
      <w:r>
        <w:rPr>
          <w:noProof/>
        </w:rPr>
      </w:r>
      <w:r>
        <w:rPr>
          <w:noProof/>
        </w:rPr>
        <w:fldChar w:fldCharType="separate"/>
      </w:r>
      <w:r w:rsidR="00840EA1">
        <w:rPr>
          <w:noProof/>
        </w:rPr>
        <w:t>16</w:t>
      </w:r>
      <w:r>
        <w:rPr>
          <w:noProof/>
        </w:rPr>
        <w:fldChar w:fldCharType="end"/>
      </w:r>
    </w:p>
    <w:p w:rsidR="005B1945" w:rsidRDefault="005B1945">
      <w:pPr>
        <w:pStyle w:val="TOC2"/>
        <w:rPr>
          <w:rFonts w:asciiTheme="minorHAnsi" w:eastAsiaTheme="minorEastAsia" w:hAnsiTheme="minorHAnsi" w:cstheme="minorBidi"/>
          <w:noProof/>
          <w:szCs w:val="22"/>
          <w:lang w:eastAsia="en-NZ"/>
        </w:rPr>
      </w:pPr>
      <w:r>
        <w:rPr>
          <w:noProof/>
        </w:rPr>
        <w:t>Indicator 6: Consumption of sugary drinks</w:t>
      </w:r>
      <w:r>
        <w:rPr>
          <w:noProof/>
        </w:rPr>
        <w:tab/>
      </w:r>
      <w:r>
        <w:rPr>
          <w:noProof/>
        </w:rPr>
        <w:fldChar w:fldCharType="begin"/>
      </w:r>
      <w:r>
        <w:rPr>
          <w:noProof/>
        </w:rPr>
        <w:instrText xml:space="preserve"> PAGEREF _Toc480534239 \h </w:instrText>
      </w:r>
      <w:r>
        <w:rPr>
          <w:noProof/>
        </w:rPr>
      </w:r>
      <w:r>
        <w:rPr>
          <w:noProof/>
        </w:rPr>
        <w:fldChar w:fldCharType="separate"/>
      </w:r>
      <w:r w:rsidR="00840EA1">
        <w:rPr>
          <w:noProof/>
        </w:rPr>
        <w:t>18</w:t>
      </w:r>
      <w:r>
        <w:rPr>
          <w:noProof/>
        </w:rPr>
        <w:fldChar w:fldCharType="end"/>
      </w:r>
    </w:p>
    <w:p w:rsidR="005B1945" w:rsidRDefault="005B1945">
      <w:pPr>
        <w:pStyle w:val="TOC2"/>
        <w:rPr>
          <w:rFonts w:asciiTheme="minorHAnsi" w:eastAsiaTheme="minorEastAsia" w:hAnsiTheme="minorHAnsi" w:cstheme="minorBidi"/>
          <w:noProof/>
          <w:szCs w:val="22"/>
          <w:lang w:eastAsia="en-NZ"/>
        </w:rPr>
      </w:pPr>
      <w:r>
        <w:rPr>
          <w:noProof/>
        </w:rPr>
        <w:t>Indicator 7: Fruit and vegetable intake</w:t>
      </w:r>
      <w:r>
        <w:rPr>
          <w:noProof/>
        </w:rPr>
        <w:tab/>
      </w:r>
      <w:r>
        <w:rPr>
          <w:noProof/>
        </w:rPr>
        <w:fldChar w:fldCharType="begin"/>
      </w:r>
      <w:r>
        <w:rPr>
          <w:noProof/>
        </w:rPr>
        <w:instrText xml:space="preserve"> PAGEREF _Toc480534240 \h </w:instrText>
      </w:r>
      <w:r>
        <w:rPr>
          <w:noProof/>
        </w:rPr>
      </w:r>
      <w:r>
        <w:rPr>
          <w:noProof/>
        </w:rPr>
        <w:fldChar w:fldCharType="separate"/>
      </w:r>
      <w:r w:rsidR="00840EA1">
        <w:rPr>
          <w:noProof/>
        </w:rPr>
        <w:t>20</w:t>
      </w:r>
      <w:r>
        <w:rPr>
          <w:noProof/>
        </w:rPr>
        <w:fldChar w:fldCharType="end"/>
      </w:r>
    </w:p>
    <w:p w:rsidR="005B1945" w:rsidRDefault="005B1945" w:rsidP="005B1945">
      <w:pPr>
        <w:pStyle w:val="TOC1"/>
        <w:rPr>
          <w:rFonts w:asciiTheme="minorHAnsi" w:eastAsiaTheme="minorEastAsia" w:hAnsiTheme="minorHAnsi" w:cstheme="minorBidi"/>
          <w:noProof/>
          <w:szCs w:val="22"/>
          <w:lang w:eastAsia="en-NZ"/>
        </w:rPr>
      </w:pPr>
      <w:r>
        <w:rPr>
          <w:noProof/>
        </w:rPr>
        <w:t>Indicators 8–11: Children’s environments support physical activity and healthy living</w:t>
      </w:r>
      <w:r>
        <w:rPr>
          <w:noProof/>
        </w:rPr>
        <w:tab/>
      </w:r>
      <w:r>
        <w:rPr>
          <w:noProof/>
        </w:rPr>
        <w:fldChar w:fldCharType="begin"/>
      </w:r>
      <w:r>
        <w:rPr>
          <w:noProof/>
        </w:rPr>
        <w:instrText xml:space="preserve"> PAGEREF _Toc480534241 \h </w:instrText>
      </w:r>
      <w:r>
        <w:rPr>
          <w:noProof/>
        </w:rPr>
      </w:r>
      <w:r>
        <w:rPr>
          <w:noProof/>
        </w:rPr>
        <w:fldChar w:fldCharType="separate"/>
      </w:r>
      <w:r w:rsidR="00840EA1">
        <w:rPr>
          <w:noProof/>
        </w:rPr>
        <w:t>23</w:t>
      </w:r>
      <w:r>
        <w:rPr>
          <w:noProof/>
        </w:rPr>
        <w:fldChar w:fldCharType="end"/>
      </w:r>
    </w:p>
    <w:p w:rsidR="005B1945" w:rsidRDefault="005B1945">
      <w:pPr>
        <w:pStyle w:val="TOC2"/>
        <w:rPr>
          <w:rFonts w:asciiTheme="minorHAnsi" w:eastAsiaTheme="minorEastAsia" w:hAnsiTheme="minorHAnsi" w:cstheme="minorBidi"/>
          <w:noProof/>
          <w:szCs w:val="22"/>
          <w:lang w:eastAsia="en-NZ"/>
        </w:rPr>
      </w:pPr>
      <w:r>
        <w:rPr>
          <w:noProof/>
        </w:rPr>
        <w:t>Indicator 8: Awareness of the Health Star Rating system</w:t>
      </w:r>
      <w:r>
        <w:rPr>
          <w:noProof/>
        </w:rPr>
        <w:tab/>
      </w:r>
      <w:r>
        <w:rPr>
          <w:noProof/>
        </w:rPr>
        <w:fldChar w:fldCharType="begin"/>
      </w:r>
      <w:r>
        <w:rPr>
          <w:noProof/>
        </w:rPr>
        <w:instrText xml:space="preserve"> PAGEREF _Toc480534242 \h </w:instrText>
      </w:r>
      <w:r>
        <w:rPr>
          <w:noProof/>
        </w:rPr>
      </w:r>
      <w:r>
        <w:rPr>
          <w:noProof/>
        </w:rPr>
        <w:fldChar w:fldCharType="separate"/>
      </w:r>
      <w:r w:rsidR="00840EA1">
        <w:rPr>
          <w:noProof/>
        </w:rPr>
        <w:t>24</w:t>
      </w:r>
      <w:r>
        <w:rPr>
          <w:noProof/>
        </w:rPr>
        <w:fldChar w:fldCharType="end"/>
      </w:r>
    </w:p>
    <w:p w:rsidR="005B1945" w:rsidRDefault="005B1945">
      <w:pPr>
        <w:pStyle w:val="TOC2"/>
        <w:rPr>
          <w:rFonts w:asciiTheme="minorHAnsi" w:eastAsiaTheme="minorEastAsia" w:hAnsiTheme="minorHAnsi" w:cstheme="minorBidi"/>
          <w:noProof/>
          <w:szCs w:val="22"/>
          <w:lang w:eastAsia="en-NZ"/>
        </w:rPr>
      </w:pPr>
      <w:r>
        <w:rPr>
          <w:noProof/>
        </w:rPr>
        <w:t>Indicator 9: Active transport to and from school</w:t>
      </w:r>
      <w:r>
        <w:rPr>
          <w:noProof/>
        </w:rPr>
        <w:tab/>
      </w:r>
      <w:r>
        <w:rPr>
          <w:noProof/>
        </w:rPr>
        <w:fldChar w:fldCharType="begin"/>
      </w:r>
      <w:r>
        <w:rPr>
          <w:noProof/>
        </w:rPr>
        <w:instrText xml:space="preserve"> PAGEREF _Toc480534243 \h </w:instrText>
      </w:r>
      <w:r>
        <w:rPr>
          <w:noProof/>
        </w:rPr>
      </w:r>
      <w:r>
        <w:rPr>
          <w:noProof/>
        </w:rPr>
        <w:fldChar w:fldCharType="separate"/>
      </w:r>
      <w:r w:rsidR="00840EA1">
        <w:rPr>
          <w:noProof/>
        </w:rPr>
        <w:t>26</w:t>
      </w:r>
      <w:r>
        <w:rPr>
          <w:noProof/>
        </w:rPr>
        <w:fldChar w:fldCharType="end"/>
      </w:r>
    </w:p>
    <w:p w:rsidR="005B1945" w:rsidRDefault="005B1945">
      <w:pPr>
        <w:pStyle w:val="TOC2"/>
        <w:rPr>
          <w:rFonts w:asciiTheme="minorHAnsi" w:eastAsiaTheme="minorEastAsia" w:hAnsiTheme="minorHAnsi" w:cstheme="minorBidi"/>
          <w:noProof/>
          <w:szCs w:val="22"/>
          <w:lang w:eastAsia="en-NZ"/>
        </w:rPr>
      </w:pPr>
      <w:r>
        <w:rPr>
          <w:noProof/>
        </w:rPr>
        <w:t>Indicator 10: Use of a bicycle</w:t>
      </w:r>
      <w:r>
        <w:rPr>
          <w:noProof/>
        </w:rPr>
        <w:tab/>
      </w:r>
      <w:r>
        <w:rPr>
          <w:noProof/>
        </w:rPr>
        <w:fldChar w:fldCharType="begin"/>
      </w:r>
      <w:r>
        <w:rPr>
          <w:noProof/>
        </w:rPr>
        <w:instrText xml:space="preserve"> PAGEREF _Toc480534244 \h </w:instrText>
      </w:r>
      <w:r>
        <w:rPr>
          <w:noProof/>
        </w:rPr>
      </w:r>
      <w:r>
        <w:rPr>
          <w:noProof/>
        </w:rPr>
        <w:fldChar w:fldCharType="separate"/>
      </w:r>
      <w:r w:rsidR="00840EA1">
        <w:rPr>
          <w:noProof/>
        </w:rPr>
        <w:t>28</w:t>
      </w:r>
      <w:r>
        <w:rPr>
          <w:noProof/>
        </w:rPr>
        <w:fldChar w:fldCharType="end"/>
      </w:r>
    </w:p>
    <w:p w:rsidR="005B1945" w:rsidRDefault="005B1945">
      <w:pPr>
        <w:pStyle w:val="TOC2"/>
        <w:rPr>
          <w:rFonts w:asciiTheme="minorHAnsi" w:eastAsiaTheme="minorEastAsia" w:hAnsiTheme="minorHAnsi" w:cstheme="minorBidi"/>
          <w:noProof/>
          <w:szCs w:val="22"/>
          <w:lang w:eastAsia="en-NZ"/>
        </w:rPr>
      </w:pPr>
      <w:r>
        <w:rPr>
          <w:noProof/>
        </w:rPr>
        <w:t>Indicator 11: Water in schools</w:t>
      </w:r>
      <w:r>
        <w:rPr>
          <w:noProof/>
        </w:rPr>
        <w:tab/>
      </w:r>
      <w:r>
        <w:rPr>
          <w:noProof/>
        </w:rPr>
        <w:fldChar w:fldCharType="begin"/>
      </w:r>
      <w:r>
        <w:rPr>
          <w:noProof/>
        </w:rPr>
        <w:instrText xml:space="preserve"> PAGEREF _Toc480534245 \h </w:instrText>
      </w:r>
      <w:r>
        <w:rPr>
          <w:noProof/>
        </w:rPr>
      </w:r>
      <w:r>
        <w:rPr>
          <w:noProof/>
        </w:rPr>
        <w:fldChar w:fldCharType="separate"/>
      </w:r>
      <w:r w:rsidR="00840EA1">
        <w:rPr>
          <w:noProof/>
        </w:rPr>
        <w:t>29</w:t>
      </w:r>
      <w:r>
        <w:rPr>
          <w:noProof/>
        </w:rPr>
        <w:fldChar w:fldCharType="end"/>
      </w:r>
    </w:p>
    <w:p w:rsidR="005B1945" w:rsidRDefault="005B1945" w:rsidP="005B1945">
      <w:pPr>
        <w:pStyle w:val="TOC1"/>
        <w:rPr>
          <w:rFonts w:asciiTheme="minorHAnsi" w:eastAsiaTheme="minorEastAsia" w:hAnsiTheme="minorHAnsi" w:cstheme="minorBidi"/>
          <w:noProof/>
          <w:szCs w:val="22"/>
          <w:lang w:eastAsia="en-NZ"/>
        </w:rPr>
      </w:pPr>
      <w:r>
        <w:rPr>
          <w:noProof/>
        </w:rPr>
        <w:t>Indicators 12–15: More children have improved health outcomes</w:t>
      </w:r>
      <w:r>
        <w:rPr>
          <w:noProof/>
        </w:rPr>
        <w:tab/>
      </w:r>
      <w:r>
        <w:rPr>
          <w:noProof/>
        </w:rPr>
        <w:fldChar w:fldCharType="begin"/>
      </w:r>
      <w:r>
        <w:rPr>
          <w:noProof/>
        </w:rPr>
        <w:instrText xml:space="preserve"> PAGEREF _Toc480534246 \h </w:instrText>
      </w:r>
      <w:r>
        <w:rPr>
          <w:noProof/>
        </w:rPr>
      </w:r>
      <w:r>
        <w:rPr>
          <w:noProof/>
        </w:rPr>
        <w:fldChar w:fldCharType="separate"/>
      </w:r>
      <w:r w:rsidR="00840EA1">
        <w:rPr>
          <w:noProof/>
        </w:rPr>
        <w:t>30</w:t>
      </w:r>
      <w:r>
        <w:rPr>
          <w:noProof/>
        </w:rPr>
        <w:fldChar w:fldCharType="end"/>
      </w:r>
    </w:p>
    <w:p w:rsidR="005B1945" w:rsidRDefault="005B1945">
      <w:pPr>
        <w:pStyle w:val="TOC2"/>
        <w:rPr>
          <w:rFonts w:asciiTheme="minorHAnsi" w:eastAsiaTheme="minorEastAsia" w:hAnsiTheme="minorHAnsi" w:cstheme="minorBidi"/>
          <w:noProof/>
          <w:szCs w:val="22"/>
          <w:lang w:eastAsia="en-NZ"/>
        </w:rPr>
      </w:pPr>
      <w:r>
        <w:rPr>
          <w:noProof/>
        </w:rPr>
        <w:t>Indicator 12: Body mass index</w:t>
      </w:r>
      <w:r>
        <w:rPr>
          <w:noProof/>
        </w:rPr>
        <w:tab/>
      </w:r>
      <w:r>
        <w:rPr>
          <w:noProof/>
        </w:rPr>
        <w:fldChar w:fldCharType="begin"/>
      </w:r>
      <w:r>
        <w:rPr>
          <w:noProof/>
        </w:rPr>
        <w:instrText xml:space="preserve"> PAGEREF _Toc480534247 \h </w:instrText>
      </w:r>
      <w:r>
        <w:rPr>
          <w:noProof/>
        </w:rPr>
      </w:r>
      <w:r>
        <w:rPr>
          <w:noProof/>
        </w:rPr>
        <w:fldChar w:fldCharType="separate"/>
      </w:r>
      <w:r w:rsidR="00840EA1">
        <w:rPr>
          <w:noProof/>
        </w:rPr>
        <w:t>31</w:t>
      </w:r>
      <w:r>
        <w:rPr>
          <w:noProof/>
        </w:rPr>
        <w:fldChar w:fldCharType="end"/>
      </w:r>
    </w:p>
    <w:p w:rsidR="005B1945" w:rsidRDefault="005B1945">
      <w:pPr>
        <w:pStyle w:val="TOC2"/>
        <w:rPr>
          <w:rFonts w:asciiTheme="minorHAnsi" w:eastAsiaTheme="minorEastAsia" w:hAnsiTheme="minorHAnsi" w:cstheme="minorBidi"/>
          <w:noProof/>
          <w:szCs w:val="22"/>
          <w:lang w:eastAsia="en-NZ"/>
        </w:rPr>
      </w:pPr>
      <w:r>
        <w:rPr>
          <w:noProof/>
        </w:rPr>
        <w:t>Indicator 13: Gestational diabetes</w:t>
      </w:r>
      <w:r>
        <w:rPr>
          <w:noProof/>
        </w:rPr>
        <w:tab/>
      </w:r>
      <w:r>
        <w:rPr>
          <w:noProof/>
        </w:rPr>
        <w:fldChar w:fldCharType="begin"/>
      </w:r>
      <w:r>
        <w:rPr>
          <w:noProof/>
        </w:rPr>
        <w:instrText xml:space="preserve"> PAGEREF _Toc480534248 \h </w:instrText>
      </w:r>
      <w:r>
        <w:rPr>
          <w:noProof/>
        </w:rPr>
      </w:r>
      <w:r>
        <w:rPr>
          <w:noProof/>
        </w:rPr>
        <w:fldChar w:fldCharType="separate"/>
      </w:r>
      <w:r w:rsidR="00840EA1">
        <w:rPr>
          <w:noProof/>
        </w:rPr>
        <w:t>33</w:t>
      </w:r>
      <w:r>
        <w:rPr>
          <w:noProof/>
        </w:rPr>
        <w:fldChar w:fldCharType="end"/>
      </w:r>
    </w:p>
    <w:p w:rsidR="005B1945" w:rsidRDefault="005B1945">
      <w:pPr>
        <w:pStyle w:val="TOC2"/>
        <w:rPr>
          <w:rFonts w:asciiTheme="minorHAnsi" w:eastAsiaTheme="minorEastAsia" w:hAnsiTheme="minorHAnsi" w:cstheme="minorBidi"/>
          <w:noProof/>
          <w:szCs w:val="22"/>
          <w:lang w:eastAsia="en-NZ"/>
        </w:rPr>
      </w:pPr>
      <w:r>
        <w:rPr>
          <w:noProof/>
        </w:rPr>
        <w:t>Indicator 14: Raising Healthy Kids health target</w:t>
      </w:r>
      <w:r>
        <w:rPr>
          <w:noProof/>
        </w:rPr>
        <w:tab/>
      </w:r>
      <w:r>
        <w:rPr>
          <w:noProof/>
        </w:rPr>
        <w:fldChar w:fldCharType="begin"/>
      </w:r>
      <w:r>
        <w:rPr>
          <w:noProof/>
        </w:rPr>
        <w:instrText xml:space="preserve"> PAGEREF _Toc480534249 \h </w:instrText>
      </w:r>
      <w:r>
        <w:rPr>
          <w:noProof/>
        </w:rPr>
      </w:r>
      <w:r>
        <w:rPr>
          <w:noProof/>
        </w:rPr>
        <w:fldChar w:fldCharType="separate"/>
      </w:r>
      <w:r w:rsidR="00840EA1">
        <w:rPr>
          <w:noProof/>
        </w:rPr>
        <w:t>34</w:t>
      </w:r>
      <w:r>
        <w:rPr>
          <w:noProof/>
        </w:rPr>
        <w:fldChar w:fldCharType="end"/>
      </w:r>
    </w:p>
    <w:p w:rsidR="005B1945" w:rsidRDefault="005B1945">
      <w:pPr>
        <w:pStyle w:val="TOC2"/>
        <w:rPr>
          <w:rFonts w:asciiTheme="minorHAnsi" w:eastAsiaTheme="minorEastAsia" w:hAnsiTheme="minorHAnsi" w:cstheme="minorBidi"/>
          <w:noProof/>
          <w:szCs w:val="22"/>
          <w:lang w:eastAsia="en-NZ"/>
        </w:rPr>
      </w:pPr>
      <w:r>
        <w:rPr>
          <w:noProof/>
        </w:rPr>
        <w:t>Indicator 15: Birth weight</w:t>
      </w:r>
      <w:r>
        <w:rPr>
          <w:noProof/>
        </w:rPr>
        <w:tab/>
      </w:r>
      <w:r>
        <w:rPr>
          <w:noProof/>
        </w:rPr>
        <w:fldChar w:fldCharType="begin"/>
      </w:r>
      <w:r>
        <w:rPr>
          <w:noProof/>
        </w:rPr>
        <w:instrText xml:space="preserve"> PAGEREF _Toc480534250 \h </w:instrText>
      </w:r>
      <w:r>
        <w:rPr>
          <w:noProof/>
        </w:rPr>
      </w:r>
      <w:r>
        <w:rPr>
          <w:noProof/>
        </w:rPr>
        <w:fldChar w:fldCharType="separate"/>
      </w:r>
      <w:r w:rsidR="00840EA1">
        <w:rPr>
          <w:noProof/>
        </w:rPr>
        <w:t>36</w:t>
      </w:r>
      <w:r>
        <w:rPr>
          <w:noProof/>
        </w:rPr>
        <w:fldChar w:fldCharType="end"/>
      </w:r>
    </w:p>
    <w:p w:rsidR="005B1945" w:rsidRDefault="005B1945">
      <w:pPr>
        <w:pStyle w:val="TOC1"/>
        <w:rPr>
          <w:rFonts w:asciiTheme="minorHAnsi" w:eastAsiaTheme="minorEastAsia" w:hAnsiTheme="minorHAnsi" w:cstheme="minorBidi"/>
          <w:b w:val="0"/>
          <w:noProof/>
          <w:szCs w:val="22"/>
          <w:lang w:eastAsia="en-NZ"/>
        </w:rPr>
      </w:pPr>
      <w:r>
        <w:rPr>
          <w:noProof/>
        </w:rPr>
        <w:t>Baseline performance against the reducing childhood obesity indicators</w:t>
      </w:r>
      <w:r>
        <w:rPr>
          <w:noProof/>
        </w:rPr>
        <w:tab/>
      </w:r>
      <w:r>
        <w:rPr>
          <w:noProof/>
        </w:rPr>
        <w:fldChar w:fldCharType="begin"/>
      </w:r>
      <w:r>
        <w:rPr>
          <w:noProof/>
        </w:rPr>
        <w:instrText xml:space="preserve"> PAGEREF _Toc480534251 \h </w:instrText>
      </w:r>
      <w:r>
        <w:rPr>
          <w:noProof/>
        </w:rPr>
      </w:r>
      <w:r>
        <w:rPr>
          <w:noProof/>
        </w:rPr>
        <w:fldChar w:fldCharType="separate"/>
      </w:r>
      <w:r w:rsidR="00840EA1">
        <w:rPr>
          <w:noProof/>
        </w:rPr>
        <w:t>38</w:t>
      </w:r>
      <w:r>
        <w:rPr>
          <w:noProof/>
        </w:rPr>
        <w:fldChar w:fldCharType="end"/>
      </w:r>
    </w:p>
    <w:p w:rsidR="005B1945" w:rsidRDefault="005B1945">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_Toc480534252 \h </w:instrText>
      </w:r>
      <w:r>
        <w:rPr>
          <w:noProof/>
        </w:rPr>
      </w:r>
      <w:r>
        <w:rPr>
          <w:noProof/>
        </w:rPr>
        <w:fldChar w:fldCharType="separate"/>
      </w:r>
      <w:r w:rsidR="00840EA1">
        <w:rPr>
          <w:noProof/>
        </w:rPr>
        <w:t>41</w:t>
      </w:r>
      <w:r>
        <w:rPr>
          <w:noProof/>
        </w:rPr>
        <w:fldChar w:fldCharType="end"/>
      </w:r>
    </w:p>
    <w:p w:rsidR="00C86248" w:rsidRDefault="00C86248">
      <w:r>
        <w:rPr>
          <w:b/>
        </w:rPr>
        <w:fldChar w:fldCharType="end"/>
      </w:r>
    </w:p>
    <w:p w:rsidR="00C86248" w:rsidRDefault="00C86248" w:rsidP="003B1D10">
      <w:pPr>
        <w:pStyle w:val="TOC1"/>
        <w:keepNext/>
      </w:pPr>
      <w:r>
        <w:lastRenderedPageBreak/>
        <w:t>List of Tables</w:t>
      </w:r>
    </w:p>
    <w:p w:rsidR="005B1945" w:rsidRDefault="00C86248">
      <w:pPr>
        <w:pStyle w:val="TOC3"/>
        <w:rPr>
          <w:rFonts w:asciiTheme="minorHAnsi" w:eastAsiaTheme="minorEastAsia" w:hAnsiTheme="minorHAnsi" w:cstheme="minorBidi"/>
          <w:noProof/>
          <w:szCs w:val="22"/>
          <w:lang w:eastAsia="en-NZ"/>
        </w:rPr>
      </w:pPr>
      <w:r>
        <w:rPr>
          <w:sz w:val="20"/>
        </w:rPr>
        <w:fldChar w:fldCharType="begin"/>
      </w:r>
      <w:r>
        <w:instrText xml:space="preserve"> TOC \t "Table,3" </w:instrText>
      </w:r>
      <w:r>
        <w:rPr>
          <w:sz w:val="20"/>
        </w:rPr>
        <w:fldChar w:fldCharType="separate"/>
      </w:r>
      <w:r w:rsidR="005B1945">
        <w:rPr>
          <w:noProof/>
        </w:rPr>
        <w:t>Table 1:</w:t>
      </w:r>
      <w:r w:rsidR="005B1945">
        <w:rPr>
          <w:noProof/>
        </w:rPr>
        <w:tab/>
        <w:t>Reducing childhood obesity indicators</w:t>
      </w:r>
      <w:r w:rsidR="005B1945">
        <w:rPr>
          <w:noProof/>
        </w:rPr>
        <w:tab/>
      </w:r>
      <w:r w:rsidR="005B1945">
        <w:rPr>
          <w:noProof/>
        </w:rPr>
        <w:fldChar w:fldCharType="begin"/>
      </w:r>
      <w:r w:rsidR="005B1945">
        <w:rPr>
          <w:noProof/>
        </w:rPr>
        <w:instrText xml:space="preserve"> PAGEREF _Toc480534253 \h </w:instrText>
      </w:r>
      <w:r w:rsidR="005B1945">
        <w:rPr>
          <w:noProof/>
        </w:rPr>
      </w:r>
      <w:r w:rsidR="005B1945">
        <w:rPr>
          <w:noProof/>
        </w:rPr>
        <w:fldChar w:fldCharType="separate"/>
      </w:r>
      <w:r w:rsidR="00840EA1">
        <w:rPr>
          <w:noProof/>
        </w:rPr>
        <w:t>7</w:t>
      </w:r>
      <w:r w:rsidR="005B1945">
        <w:rPr>
          <w:noProof/>
        </w:rPr>
        <w:fldChar w:fldCharType="end"/>
      </w:r>
    </w:p>
    <w:p w:rsidR="005B1945" w:rsidRDefault="005B1945">
      <w:pPr>
        <w:pStyle w:val="TOC3"/>
        <w:rPr>
          <w:rFonts w:asciiTheme="minorHAnsi" w:eastAsiaTheme="minorEastAsia" w:hAnsiTheme="minorHAnsi" w:cstheme="minorBidi"/>
          <w:noProof/>
          <w:szCs w:val="22"/>
          <w:lang w:eastAsia="en-NZ"/>
        </w:rPr>
      </w:pPr>
      <w:r>
        <w:rPr>
          <w:noProof/>
        </w:rPr>
        <w:t>Table 2:</w:t>
      </w:r>
      <w:r>
        <w:rPr>
          <w:noProof/>
        </w:rPr>
        <w:tab/>
        <w:t>Percentage of children (aged 2–14 years) who usually watch two or more hours of television (including DVDs or videos) per day, by group, 2015/16</w:t>
      </w:r>
      <w:r>
        <w:rPr>
          <w:noProof/>
        </w:rPr>
        <w:tab/>
      </w:r>
      <w:r>
        <w:rPr>
          <w:noProof/>
        </w:rPr>
        <w:fldChar w:fldCharType="begin"/>
      </w:r>
      <w:r>
        <w:rPr>
          <w:noProof/>
        </w:rPr>
        <w:instrText xml:space="preserve"> PAGEREF _Toc480534254 \h </w:instrText>
      </w:r>
      <w:r>
        <w:rPr>
          <w:noProof/>
        </w:rPr>
      </w:r>
      <w:r>
        <w:rPr>
          <w:noProof/>
        </w:rPr>
        <w:fldChar w:fldCharType="separate"/>
      </w:r>
      <w:r w:rsidR="00840EA1">
        <w:rPr>
          <w:noProof/>
        </w:rPr>
        <w:t>11</w:t>
      </w:r>
      <w:r>
        <w:rPr>
          <w:noProof/>
        </w:rPr>
        <w:fldChar w:fldCharType="end"/>
      </w:r>
    </w:p>
    <w:p w:rsidR="005B1945" w:rsidRDefault="005B1945">
      <w:pPr>
        <w:pStyle w:val="TOC3"/>
        <w:rPr>
          <w:rFonts w:asciiTheme="minorHAnsi" w:eastAsiaTheme="minorEastAsia" w:hAnsiTheme="minorHAnsi" w:cstheme="minorBidi"/>
          <w:noProof/>
          <w:szCs w:val="22"/>
          <w:lang w:eastAsia="en-NZ"/>
        </w:rPr>
      </w:pPr>
      <w:r>
        <w:rPr>
          <w:noProof/>
        </w:rPr>
        <w:t>Table 3:</w:t>
      </w:r>
      <w:r>
        <w:rPr>
          <w:noProof/>
        </w:rPr>
        <w:tab/>
        <w:t>Recommended sleep durations for children and young people aged 0–17 years old</w:t>
      </w:r>
      <w:r>
        <w:rPr>
          <w:noProof/>
        </w:rPr>
        <w:tab/>
      </w:r>
      <w:r>
        <w:rPr>
          <w:noProof/>
        </w:rPr>
        <w:fldChar w:fldCharType="begin"/>
      </w:r>
      <w:r>
        <w:rPr>
          <w:noProof/>
        </w:rPr>
        <w:instrText xml:space="preserve"> PAGEREF _Toc480534255 \h </w:instrText>
      </w:r>
      <w:r>
        <w:rPr>
          <w:noProof/>
        </w:rPr>
      </w:r>
      <w:r>
        <w:rPr>
          <w:noProof/>
        </w:rPr>
        <w:fldChar w:fldCharType="separate"/>
      </w:r>
      <w:r w:rsidR="00840EA1">
        <w:rPr>
          <w:noProof/>
        </w:rPr>
        <w:t>12</w:t>
      </w:r>
      <w:r>
        <w:rPr>
          <w:noProof/>
        </w:rPr>
        <w:fldChar w:fldCharType="end"/>
      </w:r>
    </w:p>
    <w:p w:rsidR="005B1945" w:rsidRDefault="005B1945">
      <w:pPr>
        <w:pStyle w:val="TOC3"/>
        <w:rPr>
          <w:rFonts w:asciiTheme="minorHAnsi" w:eastAsiaTheme="minorEastAsia" w:hAnsiTheme="minorHAnsi" w:cstheme="minorBidi"/>
          <w:noProof/>
          <w:szCs w:val="22"/>
          <w:lang w:eastAsia="en-NZ"/>
        </w:rPr>
      </w:pPr>
      <w:r>
        <w:rPr>
          <w:noProof/>
          <w:lang w:eastAsia="en-NZ"/>
        </w:rPr>
        <w:t>Table 4:</w:t>
      </w:r>
      <w:r>
        <w:rPr>
          <w:noProof/>
          <w:lang w:eastAsia="en-NZ"/>
        </w:rPr>
        <w:tab/>
        <w:t>Percentage of infants who are exclusively, fully or partially breastfed at two weeks, six weeks, three months and six months, March 2016</w:t>
      </w:r>
      <w:r>
        <w:rPr>
          <w:noProof/>
        </w:rPr>
        <w:tab/>
      </w:r>
      <w:r>
        <w:rPr>
          <w:noProof/>
        </w:rPr>
        <w:fldChar w:fldCharType="begin"/>
      </w:r>
      <w:r>
        <w:rPr>
          <w:noProof/>
        </w:rPr>
        <w:instrText xml:space="preserve"> PAGEREF _Toc480534256 \h </w:instrText>
      </w:r>
      <w:r>
        <w:rPr>
          <w:noProof/>
        </w:rPr>
      </w:r>
      <w:r>
        <w:rPr>
          <w:noProof/>
        </w:rPr>
        <w:fldChar w:fldCharType="separate"/>
      </w:r>
      <w:r w:rsidR="00840EA1">
        <w:rPr>
          <w:noProof/>
        </w:rPr>
        <w:t>15</w:t>
      </w:r>
      <w:r>
        <w:rPr>
          <w:noProof/>
        </w:rPr>
        <w:fldChar w:fldCharType="end"/>
      </w:r>
    </w:p>
    <w:p w:rsidR="005B1945" w:rsidRDefault="005B1945">
      <w:pPr>
        <w:pStyle w:val="TOC3"/>
        <w:rPr>
          <w:rFonts w:asciiTheme="minorHAnsi" w:eastAsiaTheme="minorEastAsia" w:hAnsiTheme="minorHAnsi" w:cstheme="minorBidi"/>
          <w:noProof/>
          <w:szCs w:val="22"/>
          <w:lang w:eastAsia="en-NZ"/>
        </w:rPr>
      </w:pPr>
      <w:r>
        <w:rPr>
          <w:noProof/>
        </w:rPr>
        <w:t>Table 5:</w:t>
      </w:r>
      <w:r>
        <w:rPr>
          <w:noProof/>
        </w:rPr>
        <w:tab/>
        <w:t>Percentage of children (aged 2–14 years) who ate fast food at least once in the past week, by group, 2015/16</w:t>
      </w:r>
      <w:r>
        <w:rPr>
          <w:noProof/>
        </w:rPr>
        <w:tab/>
      </w:r>
      <w:r>
        <w:rPr>
          <w:noProof/>
        </w:rPr>
        <w:fldChar w:fldCharType="begin"/>
      </w:r>
      <w:r>
        <w:rPr>
          <w:noProof/>
        </w:rPr>
        <w:instrText xml:space="preserve"> PAGEREF _Toc480534257 \h </w:instrText>
      </w:r>
      <w:r>
        <w:rPr>
          <w:noProof/>
        </w:rPr>
      </w:r>
      <w:r>
        <w:rPr>
          <w:noProof/>
        </w:rPr>
        <w:fldChar w:fldCharType="separate"/>
      </w:r>
      <w:r w:rsidR="00840EA1">
        <w:rPr>
          <w:noProof/>
        </w:rPr>
        <w:t>16</w:t>
      </w:r>
      <w:r>
        <w:rPr>
          <w:noProof/>
        </w:rPr>
        <w:fldChar w:fldCharType="end"/>
      </w:r>
    </w:p>
    <w:p w:rsidR="005B1945" w:rsidRDefault="005B1945">
      <w:pPr>
        <w:pStyle w:val="TOC3"/>
        <w:rPr>
          <w:rFonts w:asciiTheme="minorHAnsi" w:eastAsiaTheme="minorEastAsia" w:hAnsiTheme="minorHAnsi" w:cstheme="minorBidi"/>
          <w:noProof/>
          <w:szCs w:val="22"/>
          <w:lang w:eastAsia="en-NZ"/>
        </w:rPr>
      </w:pPr>
      <w:r>
        <w:rPr>
          <w:noProof/>
        </w:rPr>
        <w:t>Table 6:</w:t>
      </w:r>
      <w:r>
        <w:rPr>
          <w:noProof/>
        </w:rPr>
        <w:tab/>
        <w:t>Percentage of children (aged 2–14 years) who had fizzy drink three or more times in the past week, by group, 2015/16</w:t>
      </w:r>
      <w:r>
        <w:rPr>
          <w:noProof/>
        </w:rPr>
        <w:tab/>
      </w:r>
      <w:r>
        <w:rPr>
          <w:noProof/>
        </w:rPr>
        <w:fldChar w:fldCharType="begin"/>
      </w:r>
      <w:r>
        <w:rPr>
          <w:noProof/>
        </w:rPr>
        <w:instrText xml:space="preserve"> PAGEREF _Toc480534258 \h </w:instrText>
      </w:r>
      <w:r>
        <w:rPr>
          <w:noProof/>
        </w:rPr>
      </w:r>
      <w:r>
        <w:rPr>
          <w:noProof/>
        </w:rPr>
        <w:fldChar w:fldCharType="separate"/>
      </w:r>
      <w:r w:rsidR="00840EA1">
        <w:rPr>
          <w:noProof/>
        </w:rPr>
        <w:t>19</w:t>
      </w:r>
      <w:r>
        <w:rPr>
          <w:noProof/>
        </w:rPr>
        <w:fldChar w:fldCharType="end"/>
      </w:r>
    </w:p>
    <w:p w:rsidR="005B1945" w:rsidRDefault="005B1945">
      <w:pPr>
        <w:pStyle w:val="TOC3"/>
        <w:rPr>
          <w:rFonts w:asciiTheme="minorHAnsi" w:eastAsiaTheme="minorEastAsia" w:hAnsiTheme="minorHAnsi" w:cstheme="minorBidi"/>
          <w:noProof/>
          <w:szCs w:val="22"/>
          <w:lang w:eastAsia="en-NZ"/>
        </w:rPr>
      </w:pPr>
      <w:r>
        <w:rPr>
          <w:noProof/>
        </w:rPr>
        <w:t>Table 7:</w:t>
      </w:r>
      <w:r>
        <w:rPr>
          <w:noProof/>
        </w:rPr>
        <w:tab/>
        <w:t>Percentage of children (aged 2–14 years) who eat at least two servings of fruit each day, by group, 2015/16</w:t>
      </w:r>
      <w:r>
        <w:rPr>
          <w:noProof/>
        </w:rPr>
        <w:tab/>
      </w:r>
      <w:r>
        <w:rPr>
          <w:noProof/>
        </w:rPr>
        <w:fldChar w:fldCharType="begin"/>
      </w:r>
      <w:r>
        <w:rPr>
          <w:noProof/>
        </w:rPr>
        <w:instrText xml:space="preserve"> PAGEREF _Toc480534259 \h </w:instrText>
      </w:r>
      <w:r>
        <w:rPr>
          <w:noProof/>
        </w:rPr>
      </w:r>
      <w:r>
        <w:rPr>
          <w:noProof/>
        </w:rPr>
        <w:fldChar w:fldCharType="separate"/>
      </w:r>
      <w:r w:rsidR="00840EA1">
        <w:rPr>
          <w:noProof/>
        </w:rPr>
        <w:t>21</w:t>
      </w:r>
      <w:r>
        <w:rPr>
          <w:noProof/>
        </w:rPr>
        <w:fldChar w:fldCharType="end"/>
      </w:r>
    </w:p>
    <w:p w:rsidR="005B1945" w:rsidRDefault="005B1945">
      <w:pPr>
        <w:pStyle w:val="TOC3"/>
        <w:rPr>
          <w:rFonts w:asciiTheme="minorHAnsi" w:eastAsiaTheme="minorEastAsia" w:hAnsiTheme="minorHAnsi" w:cstheme="minorBidi"/>
          <w:noProof/>
          <w:szCs w:val="22"/>
          <w:lang w:eastAsia="en-NZ"/>
        </w:rPr>
      </w:pPr>
      <w:r>
        <w:rPr>
          <w:noProof/>
        </w:rPr>
        <w:t>Table 8:</w:t>
      </w:r>
      <w:r>
        <w:rPr>
          <w:noProof/>
        </w:rPr>
        <w:tab/>
        <w:t>Percentage of children (aged 2–14 years) who meet New Zealand’s age-specific vegetable intake guidelines, by group, 2015/16</w:t>
      </w:r>
      <w:r>
        <w:rPr>
          <w:noProof/>
        </w:rPr>
        <w:tab/>
      </w:r>
      <w:r>
        <w:rPr>
          <w:noProof/>
        </w:rPr>
        <w:fldChar w:fldCharType="begin"/>
      </w:r>
      <w:r>
        <w:rPr>
          <w:noProof/>
        </w:rPr>
        <w:instrText xml:space="preserve"> PAGEREF _Toc480534260 \h </w:instrText>
      </w:r>
      <w:r>
        <w:rPr>
          <w:noProof/>
        </w:rPr>
      </w:r>
      <w:r>
        <w:rPr>
          <w:noProof/>
        </w:rPr>
        <w:fldChar w:fldCharType="separate"/>
      </w:r>
      <w:r w:rsidR="00840EA1">
        <w:rPr>
          <w:noProof/>
        </w:rPr>
        <w:t>22</w:t>
      </w:r>
      <w:r>
        <w:rPr>
          <w:noProof/>
        </w:rPr>
        <w:fldChar w:fldCharType="end"/>
      </w:r>
    </w:p>
    <w:p w:rsidR="005B1945" w:rsidRDefault="005B1945">
      <w:pPr>
        <w:pStyle w:val="TOC3"/>
        <w:rPr>
          <w:rFonts w:asciiTheme="minorHAnsi" w:eastAsiaTheme="minorEastAsia" w:hAnsiTheme="minorHAnsi" w:cstheme="minorBidi"/>
          <w:noProof/>
          <w:szCs w:val="22"/>
          <w:lang w:eastAsia="en-NZ"/>
        </w:rPr>
      </w:pPr>
      <w:r>
        <w:rPr>
          <w:noProof/>
        </w:rPr>
        <w:t>Table 9:</w:t>
      </w:r>
      <w:r>
        <w:rPr>
          <w:noProof/>
        </w:rPr>
        <w:tab/>
        <w:t>Percentage of grocery shoppers who recognise, understand and use the Health Star Rating system, by group, 2015</w:t>
      </w:r>
      <w:r>
        <w:rPr>
          <w:noProof/>
        </w:rPr>
        <w:tab/>
      </w:r>
      <w:r>
        <w:rPr>
          <w:noProof/>
        </w:rPr>
        <w:fldChar w:fldCharType="begin"/>
      </w:r>
      <w:r>
        <w:rPr>
          <w:noProof/>
        </w:rPr>
        <w:instrText xml:space="preserve"> PAGEREF _Toc480534261 \h </w:instrText>
      </w:r>
      <w:r>
        <w:rPr>
          <w:noProof/>
        </w:rPr>
      </w:r>
      <w:r>
        <w:rPr>
          <w:noProof/>
        </w:rPr>
        <w:fldChar w:fldCharType="separate"/>
      </w:r>
      <w:r w:rsidR="00840EA1">
        <w:rPr>
          <w:noProof/>
        </w:rPr>
        <w:t>25</w:t>
      </w:r>
      <w:r>
        <w:rPr>
          <w:noProof/>
        </w:rPr>
        <w:fldChar w:fldCharType="end"/>
      </w:r>
    </w:p>
    <w:p w:rsidR="005B1945" w:rsidRDefault="005B1945">
      <w:pPr>
        <w:pStyle w:val="TOC3"/>
        <w:rPr>
          <w:rFonts w:asciiTheme="minorHAnsi" w:eastAsiaTheme="minorEastAsia" w:hAnsiTheme="minorHAnsi" w:cstheme="minorBidi"/>
          <w:noProof/>
          <w:szCs w:val="22"/>
          <w:lang w:eastAsia="en-NZ"/>
        </w:rPr>
      </w:pPr>
      <w:r>
        <w:rPr>
          <w:noProof/>
        </w:rPr>
        <w:t>Table 10:</w:t>
      </w:r>
      <w:r>
        <w:rPr>
          <w:noProof/>
        </w:rPr>
        <w:tab/>
        <w:t>Percentage of children (aged 5–14 years) who usually use an active mode of transport, such as walking, biking or skating, to get to and from school, by group, 2015/16</w:t>
      </w:r>
      <w:r>
        <w:rPr>
          <w:noProof/>
        </w:rPr>
        <w:tab/>
      </w:r>
      <w:r>
        <w:rPr>
          <w:noProof/>
        </w:rPr>
        <w:fldChar w:fldCharType="begin"/>
      </w:r>
      <w:r>
        <w:rPr>
          <w:noProof/>
        </w:rPr>
        <w:instrText xml:space="preserve"> PAGEREF _Toc480534262 \h </w:instrText>
      </w:r>
      <w:r>
        <w:rPr>
          <w:noProof/>
        </w:rPr>
      </w:r>
      <w:r>
        <w:rPr>
          <w:noProof/>
        </w:rPr>
        <w:fldChar w:fldCharType="separate"/>
      </w:r>
      <w:r w:rsidR="00840EA1">
        <w:rPr>
          <w:noProof/>
        </w:rPr>
        <w:t>26</w:t>
      </w:r>
      <w:r>
        <w:rPr>
          <w:noProof/>
        </w:rPr>
        <w:fldChar w:fldCharType="end"/>
      </w:r>
    </w:p>
    <w:p w:rsidR="005B1945" w:rsidRDefault="005B1945">
      <w:pPr>
        <w:pStyle w:val="TOC3"/>
        <w:rPr>
          <w:rFonts w:asciiTheme="minorHAnsi" w:eastAsiaTheme="minorEastAsia" w:hAnsiTheme="minorHAnsi" w:cstheme="minorBidi"/>
          <w:noProof/>
          <w:szCs w:val="22"/>
          <w:lang w:eastAsia="en-NZ"/>
        </w:rPr>
      </w:pPr>
      <w:r>
        <w:rPr>
          <w:noProof/>
        </w:rPr>
        <w:t>Table 11:</w:t>
      </w:r>
      <w:r>
        <w:rPr>
          <w:noProof/>
        </w:rPr>
        <w:tab/>
        <w:t>Number and percentage of children (aged 2–14 years) with a body mass index that indicates they are thin, a healthy weight, overweight but not obese, overweight or obese, or obese, by group, 2015/16</w:t>
      </w:r>
      <w:r>
        <w:rPr>
          <w:noProof/>
        </w:rPr>
        <w:tab/>
      </w:r>
      <w:r>
        <w:rPr>
          <w:noProof/>
        </w:rPr>
        <w:fldChar w:fldCharType="begin"/>
      </w:r>
      <w:r>
        <w:rPr>
          <w:noProof/>
        </w:rPr>
        <w:instrText xml:space="preserve"> PAGEREF _Toc480534263 \h </w:instrText>
      </w:r>
      <w:r>
        <w:rPr>
          <w:noProof/>
        </w:rPr>
      </w:r>
      <w:r>
        <w:rPr>
          <w:noProof/>
        </w:rPr>
        <w:fldChar w:fldCharType="separate"/>
      </w:r>
      <w:r w:rsidR="00840EA1">
        <w:rPr>
          <w:noProof/>
        </w:rPr>
        <w:t>32</w:t>
      </w:r>
      <w:r>
        <w:rPr>
          <w:noProof/>
        </w:rPr>
        <w:fldChar w:fldCharType="end"/>
      </w:r>
    </w:p>
    <w:p w:rsidR="005B1945" w:rsidRDefault="005B1945">
      <w:pPr>
        <w:pStyle w:val="TOC3"/>
        <w:rPr>
          <w:rFonts w:asciiTheme="minorHAnsi" w:eastAsiaTheme="minorEastAsia" w:hAnsiTheme="minorHAnsi" w:cstheme="minorBidi"/>
          <w:noProof/>
          <w:szCs w:val="22"/>
          <w:lang w:eastAsia="en-NZ"/>
        </w:rPr>
      </w:pPr>
      <w:r>
        <w:rPr>
          <w:noProof/>
        </w:rPr>
        <w:t>Table 12:</w:t>
      </w:r>
      <w:r>
        <w:rPr>
          <w:noProof/>
        </w:rPr>
        <w:tab/>
        <w:t>Number and percentage of births where the mother had gestational diabetes, 2015/16</w:t>
      </w:r>
      <w:r>
        <w:rPr>
          <w:noProof/>
        </w:rPr>
        <w:tab/>
      </w:r>
      <w:r>
        <w:rPr>
          <w:noProof/>
        </w:rPr>
        <w:fldChar w:fldCharType="begin"/>
      </w:r>
      <w:r>
        <w:rPr>
          <w:noProof/>
        </w:rPr>
        <w:instrText xml:space="preserve"> PAGEREF _Toc480534264 \h </w:instrText>
      </w:r>
      <w:r>
        <w:rPr>
          <w:noProof/>
        </w:rPr>
      </w:r>
      <w:r>
        <w:rPr>
          <w:noProof/>
        </w:rPr>
        <w:fldChar w:fldCharType="separate"/>
      </w:r>
      <w:r w:rsidR="00840EA1">
        <w:rPr>
          <w:noProof/>
        </w:rPr>
        <w:t>33</w:t>
      </w:r>
      <w:r>
        <w:rPr>
          <w:noProof/>
        </w:rPr>
        <w:fldChar w:fldCharType="end"/>
      </w:r>
    </w:p>
    <w:p w:rsidR="005B1945" w:rsidRDefault="005B1945">
      <w:pPr>
        <w:pStyle w:val="TOC3"/>
        <w:rPr>
          <w:rFonts w:asciiTheme="minorHAnsi" w:eastAsiaTheme="minorEastAsia" w:hAnsiTheme="minorHAnsi" w:cstheme="minorBidi"/>
          <w:noProof/>
          <w:szCs w:val="22"/>
          <w:lang w:eastAsia="en-NZ"/>
        </w:rPr>
      </w:pPr>
      <w:r>
        <w:rPr>
          <w:noProof/>
        </w:rPr>
        <w:t>Table 13:</w:t>
      </w:r>
      <w:r>
        <w:rPr>
          <w:noProof/>
        </w:rPr>
        <w:tab/>
        <w:t>Raising Healthy Kids health target performance, quarter one 2016/17</w:t>
      </w:r>
      <w:r>
        <w:rPr>
          <w:noProof/>
        </w:rPr>
        <w:tab/>
      </w:r>
      <w:r>
        <w:rPr>
          <w:noProof/>
        </w:rPr>
        <w:fldChar w:fldCharType="begin"/>
      </w:r>
      <w:r>
        <w:rPr>
          <w:noProof/>
        </w:rPr>
        <w:instrText xml:space="preserve"> PAGEREF _Toc480534265 \h </w:instrText>
      </w:r>
      <w:r>
        <w:rPr>
          <w:noProof/>
        </w:rPr>
      </w:r>
      <w:r>
        <w:rPr>
          <w:noProof/>
        </w:rPr>
        <w:fldChar w:fldCharType="separate"/>
      </w:r>
      <w:r w:rsidR="00840EA1">
        <w:rPr>
          <w:noProof/>
        </w:rPr>
        <w:t>35</w:t>
      </w:r>
      <w:r>
        <w:rPr>
          <w:noProof/>
        </w:rPr>
        <w:fldChar w:fldCharType="end"/>
      </w:r>
    </w:p>
    <w:p w:rsidR="005B1945" w:rsidRDefault="005B1945">
      <w:pPr>
        <w:pStyle w:val="TOC3"/>
        <w:rPr>
          <w:rFonts w:asciiTheme="minorHAnsi" w:eastAsiaTheme="minorEastAsia" w:hAnsiTheme="minorHAnsi" w:cstheme="minorBidi"/>
          <w:noProof/>
          <w:szCs w:val="22"/>
          <w:lang w:eastAsia="en-NZ"/>
        </w:rPr>
      </w:pPr>
      <w:r>
        <w:rPr>
          <w:noProof/>
        </w:rPr>
        <w:t>Table 14:</w:t>
      </w:r>
      <w:r>
        <w:rPr>
          <w:noProof/>
        </w:rPr>
        <w:tab/>
        <w:t>Number and percentage of babies by birth weight category, 2015</w:t>
      </w:r>
      <w:r>
        <w:rPr>
          <w:noProof/>
        </w:rPr>
        <w:tab/>
      </w:r>
      <w:r>
        <w:rPr>
          <w:noProof/>
        </w:rPr>
        <w:fldChar w:fldCharType="begin"/>
      </w:r>
      <w:r>
        <w:rPr>
          <w:noProof/>
        </w:rPr>
        <w:instrText xml:space="preserve"> PAGEREF _Toc480534266 \h </w:instrText>
      </w:r>
      <w:r>
        <w:rPr>
          <w:noProof/>
        </w:rPr>
      </w:r>
      <w:r>
        <w:rPr>
          <w:noProof/>
        </w:rPr>
        <w:fldChar w:fldCharType="separate"/>
      </w:r>
      <w:r w:rsidR="00840EA1">
        <w:rPr>
          <w:noProof/>
        </w:rPr>
        <w:t>37</w:t>
      </w:r>
      <w:r>
        <w:rPr>
          <w:noProof/>
        </w:rPr>
        <w:fldChar w:fldCharType="end"/>
      </w:r>
    </w:p>
    <w:p w:rsidR="005B1945" w:rsidRDefault="005B1945">
      <w:pPr>
        <w:pStyle w:val="TOC3"/>
        <w:rPr>
          <w:rFonts w:asciiTheme="minorHAnsi" w:eastAsiaTheme="minorEastAsia" w:hAnsiTheme="minorHAnsi" w:cstheme="minorBidi"/>
          <w:noProof/>
          <w:szCs w:val="22"/>
          <w:lang w:eastAsia="en-NZ"/>
        </w:rPr>
      </w:pPr>
      <w:r>
        <w:rPr>
          <w:noProof/>
        </w:rPr>
        <w:t>Table 15:</w:t>
      </w:r>
      <w:r>
        <w:rPr>
          <w:noProof/>
        </w:rPr>
        <w:tab/>
        <w:t>Baseline performance against the reducing childhood obesity indicators</w:t>
      </w:r>
      <w:r>
        <w:rPr>
          <w:noProof/>
        </w:rPr>
        <w:tab/>
      </w:r>
      <w:r>
        <w:rPr>
          <w:noProof/>
        </w:rPr>
        <w:fldChar w:fldCharType="begin"/>
      </w:r>
      <w:r>
        <w:rPr>
          <w:noProof/>
        </w:rPr>
        <w:instrText xml:space="preserve"> PAGEREF _Toc480534267 \h </w:instrText>
      </w:r>
      <w:r>
        <w:rPr>
          <w:noProof/>
        </w:rPr>
      </w:r>
      <w:r>
        <w:rPr>
          <w:noProof/>
        </w:rPr>
        <w:fldChar w:fldCharType="separate"/>
      </w:r>
      <w:r w:rsidR="00840EA1">
        <w:rPr>
          <w:noProof/>
        </w:rPr>
        <w:t>38</w:t>
      </w:r>
      <w:r>
        <w:rPr>
          <w:noProof/>
        </w:rPr>
        <w:fldChar w:fldCharType="end"/>
      </w:r>
    </w:p>
    <w:p w:rsidR="00C86248" w:rsidRDefault="00C86248" w:rsidP="0030382F">
      <w:r>
        <w:fldChar w:fldCharType="end"/>
      </w:r>
    </w:p>
    <w:p w:rsidR="003A5FEA" w:rsidRDefault="003A5FEA" w:rsidP="003A5FEA">
      <w:pPr>
        <w:pStyle w:val="TOC1"/>
      </w:pPr>
      <w:r>
        <w:t>List of Figures</w:t>
      </w:r>
    </w:p>
    <w:p w:rsidR="005B1945" w:rsidRDefault="003A5FEA">
      <w:pPr>
        <w:pStyle w:val="TOC3"/>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5B1945">
        <w:rPr>
          <w:noProof/>
        </w:rPr>
        <w:t>Figure 1:</w:t>
      </w:r>
      <w:r w:rsidR="005B1945">
        <w:rPr>
          <w:noProof/>
        </w:rPr>
        <w:tab/>
        <w:t>Overview of the New Zealand Childhood Obesity Programme and Plan</w:t>
      </w:r>
      <w:r w:rsidR="005B1945">
        <w:rPr>
          <w:noProof/>
        </w:rPr>
        <w:tab/>
      </w:r>
      <w:r w:rsidR="005B1945">
        <w:rPr>
          <w:noProof/>
        </w:rPr>
        <w:fldChar w:fldCharType="begin"/>
      </w:r>
      <w:r w:rsidR="005B1945">
        <w:rPr>
          <w:noProof/>
        </w:rPr>
        <w:instrText xml:space="preserve"> PAGEREF _Toc480534271 \h </w:instrText>
      </w:r>
      <w:r w:rsidR="005B1945">
        <w:rPr>
          <w:noProof/>
        </w:rPr>
      </w:r>
      <w:r w:rsidR="005B1945">
        <w:rPr>
          <w:noProof/>
        </w:rPr>
        <w:fldChar w:fldCharType="separate"/>
      </w:r>
      <w:r w:rsidR="00840EA1">
        <w:rPr>
          <w:noProof/>
        </w:rPr>
        <w:t>4</w:t>
      </w:r>
      <w:r w:rsidR="005B1945">
        <w:rPr>
          <w:noProof/>
        </w:rPr>
        <w:fldChar w:fldCharType="end"/>
      </w:r>
    </w:p>
    <w:p w:rsidR="005B1945" w:rsidRDefault="005B1945">
      <w:pPr>
        <w:pStyle w:val="TOC3"/>
        <w:rPr>
          <w:rFonts w:asciiTheme="minorHAnsi" w:eastAsiaTheme="minorEastAsia" w:hAnsiTheme="minorHAnsi" w:cstheme="minorBidi"/>
          <w:noProof/>
          <w:szCs w:val="22"/>
          <w:lang w:eastAsia="en-NZ"/>
        </w:rPr>
      </w:pPr>
      <w:r>
        <w:rPr>
          <w:noProof/>
        </w:rPr>
        <w:t>Figure 2:</w:t>
      </w:r>
      <w:r>
        <w:rPr>
          <w:noProof/>
        </w:rPr>
        <w:tab/>
        <w:t>Reducing childhood obesity intervention logic model</w:t>
      </w:r>
      <w:r>
        <w:rPr>
          <w:noProof/>
        </w:rPr>
        <w:tab/>
      </w:r>
      <w:r>
        <w:rPr>
          <w:noProof/>
        </w:rPr>
        <w:fldChar w:fldCharType="begin"/>
      </w:r>
      <w:r>
        <w:rPr>
          <w:noProof/>
        </w:rPr>
        <w:instrText xml:space="preserve"> PAGEREF _Toc480534272 \h </w:instrText>
      </w:r>
      <w:r>
        <w:rPr>
          <w:noProof/>
        </w:rPr>
      </w:r>
      <w:r>
        <w:rPr>
          <w:noProof/>
        </w:rPr>
        <w:fldChar w:fldCharType="separate"/>
      </w:r>
      <w:r w:rsidR="00840EA1">
        <w:rPr>
          <w:noProof/>
        </w:rPr>
        <w:t>6</w:t>
      </w:r>
      <w:r>
        <w:rPr>
          <w:noProof/>
        </w:rPr>
        <w:fldChar w:fldCharType="end"/>
      </w:r>
    </w:p>
    <w:p w:rsidR="005B1945" w:rsidRDefault="005B1945">
      <w:pPr>
        <w:pStyle w:val="TOC3"/>
        <w:rPr>
          <w:rFonts w:asciiTheme="minorHAnsi" w:eastAsiaTheme="minorEastAsia" w:hAnsiTheme="minorHAnsi" w:cstheme="minorBidi"/>
          <w:noProof/>
          <w:szCs w:val="22"/>
          <w:lang w:eastAsia="en-NZ"/>
        </w:rPr>
      </w:pPr>
      <w:r>
        <w:rPr>
          <w:noProof/>
        </w:rPr>
        <w:t>Figure 3:</w:t>
      </w:r>
      <w:r>
        <w:rPr>
          <w:noProof/>
        </w:rPr>
        <w:tab/>
        <w:t>Percentage of children (aged 2–14 years) who usually watch two or more hours of television (including DVDs or videos) per day, 2011/12–2015/16</w:t>
      </w:r>
      <w:r>
        <w:rPr>
          <w:noProof/>
        </w:rPr>
        <w:tab/>
      </w:r>
      <w:r>
        <w:rPr>
          <w:noProof/>
        </w:rPr>
        <w:fldChar w:fldCharType="begin"/>
      </w:r>
      <w:r>
        <w:rPr>
          <w:noProof/>
        </w:rPr>
        <w:instrText xml:space="preserve"> PAGEREF _Toc480534273 \h </w:instrText>
      </w:r>
      <w:r>
        <w:rPr>
          <w:noProof/>
        </w:rPr>
      </w:r>
      <w:r>
        <w:rPr>
          <w:noProof/>
        </w:rPr>
        <w:fldChar w:fldCharType="separate"/>
      </w:r>
      <w:r w:rsidR="00840EA1">
        <w:rPr>
          <w:noProof/>
        </w:rPr>
        <w:t>11</w:t>
      </w:r>
      <w:r>
        <w:rPr>
          <w:noProof/>
        </w:rPr>
        <w:fldChar w:fldCharType="end"/>
      </w:r>
    </w:p>
    <w:p w:rsidR="005B1945" w:rsidRDefault="005B1945">
      <w:pPr>
        <w:pStyle w:val="TOC3"/>
        <w:rPr>
          <w:rFonts w:asciiTheme="minorHAnsi" w:eastAsiaTheme="minorEastAsia" w:hAnsiTheme="minorHAnsi" w:cstheme="minorBidi"/>
          <w:noProof/>
          <w:szCs w:val="22"/>
          <w:lang w:eastAsia="en-NZ"/>
        </w:rPr>
      </w:pPr>
      <w:r>
        <w:rPr>
          <w:noProof/>
        </w:rPr>
        <w:t>Figure 4:</w:t>
      </w:r>
      <w:r>
        <w:rPr>
          <w:noProof/>
        </w:rPr>
        <w:tab/>
        <w:t>Percentage of children (aged 2–14 years) who ate fast food at least once in the past week, 2011/12–2015/16</w:t>
      </w:r>
      <w:r>
        <w:rPr>
          <w:noProof/>
        </w:rPr>
        <w:tab/>
      </w:r>
      <w:r>
        <w:rPr>
          <w:noProof/>
        </w:rPr>
        <w:fldChar w:fldCharType="begin"/>
      </w:r>
      <w:r>
        <w:rPr>
          <w:noProof/>
        </w:rPr>
        <w:instrText xml:space="preserve"> PAGEREF _Toc480534274 \h </w:instrText>
      </w:r>
      <w:r>
        <w:rPr>
          <w:noProof/>
        </w:rPr>
      </w:r>
      <w:r>
        <w:rPr>
          <w:noProof/>
        </w:rPr>
        <w:fldChar w:fldCharType="separate"/>
      </w:r>
      <w:r w:rsidR="00840EA1">
        <w:rPr>
          <w:noProof/>
        </w:rPr>
        <w:t>17</w:t>
      </w:r>
      <w:r>
        <w:rPr>
          <w:noProof/>
        </w:rPr>
        <w:fldChar w:fldCharType="end"/>
      </w:r>
    </w:p>
    <w:p w:rsidR="005B1945" w:rsidRDefault="005B1945">
      <w:pPr>
        <w:pStyle w:val="TOC3"/>
        <w:rPr>
          <w:rFonts w:asciiTheme="minorHAnsi" w:eastAsiaTheme="minorEastAsia" w:hAnsiTheme="minorHAnsi" w:cstheme="minorBidi"/>
          <w:noProof/>
          <w:szCs w:val="22"/>
          <w:lang w:eastAsia="en-NZ"/>
        </w:rPr>
      </w:pPr>
      <w:r>
        <w:rPr>
          <w:noProof/>
        </w:rPr>
        <w:t>Figure 5:</w:t>
      </w:r>
      <w:r>
        <w:rPr>
          <w:noProof/>
        </w:rPr>
        <w:tab/>
        <w:t>Percentage of children (aged 2–14 years) who had fizzy drink three or more times in the past week, 2011/12–2015/16</w:t>
      </w:r>
      <w:r>
        <w:rPr>
          <w:noProof/>
        </w:rPr>
        <w:tab/>
      </w:r>
      <w:r>
        <w:rPr>
          <w:noProof/>
        </w:rPr>
        <w:fldChar w:fldCharType="begin"/>
      </w:r>
      <w:r>
        <w:rPr>
          <w:noProof/>
        </w:rPr>
        <w:instrText xml:space="preserve"> PAGEREF _Toc480534275 \h </w:instrText>
      </w:r>
      <w:r>
        <w:rPr>
          <w:noProof/>
        </w:rPr>
      </w:r>
      <w:r>
        <w:rPr>
          <w:noProof/>
        </w:rPr>
        <w:fldChar w:fldCharType="separate"/>
      </w:r>
      <w:r w:rsidR="00840EA1">
        <w:rPr>
          <w:noProof/>
        </w:rPr>
        <w:t>19</w:t>
      </w:r>
      <w:r>
        <w:rPr>
          <w:noProof/>
        </w:rPr>
        <w:fldChar w:fldCharType="end"/>
      </w:r>
    </w:p>
    <w:p w:rsidR="005B1945" w:rsidRDefault="005B1945">
      <w:pPr>
        <w:pStyle w:val="TOC3"/>
        <w:rPr>
          <w:rFonts w:asciiTheme="minorHAnsi" w:eastAsiaTheme="minorEastAsia" w:hAnsiTheme="minorHAnsi" w:cstheme="minorBidi"/>
          <w:noProof/>
          <w:szCs w:val="22"/>
          <w:lang w:eastAsia="en-NZ"/>
        </w:rPr>
      </w:pPr>
      <w:r>
        <w:rPr>
          <w:noProof/>
        </w:rPr>
        <w:t>Figure 6:</w:t>
      </w:r>
      <w:r>
        <w:rPr>
          <w:noProof/>
        </w:rPr>
        <w:tab/>
        <w:t>Percentage of children (aged 2–14 years) who eat at least two servings of fruit each day, 2011/12–2015/16</w:t>
      </w:r>
      <w:r>
        <w:rPr>
          <w:noProof/>
        </w:rPr>
        <w:tab/>
      </w:r>
      <w:r>
        <w:rPr>
          <w:noProof/>
        </w:rPr>
        <w:fldChar w:fldCharType="begin"/>
      </w:r>
      <w:r>
        <w:rPr>
          <w:noProof/>
        </w:rPr>
        <w:instrText xml:space="preserve"> PAGEREF _Toc480534276 \h </w:instrText>
      </w:r>
      <w:r>
        <w:rPr>
          <w:noProof/>
        </w:rPr>
      </w:r>
      <w:r>
        <w:rPr>
          <w:noProof/>
        </w:rPr>
        <w:fldChar w:fldCharType="separate"/>
      </w:r>
      <w:r w:rsidR="00840EA1">
        <w:rPr>
          <w:noProof/>
        </w:rPr>
        <w:t>21</w:t>
      </w:r>
      <w:r>
        <w:rPr>
          <w:noProof/>
        </w:rPr>
        <w:fldChar w:fldCharType="end"/>
      </w:r>
    </w:p>
    <w:p w:rsidR="005B1945" w:rsidRDefault="005B1945">
      <w:pPr>
        <w:pStyle w:val="TOC3"/>
        <w:rPr>
          <w:rFonts w:asciiTheme="minorHAnsi" w:eastAsiaTheme="minorEastAsia" w:hAnsiTheme="minorHAnsi" w:cstheme="minorBidi"/>
          <w:noProof/>
          <w:szCs w:val="22"/>
          <w:lang w:eastAsia="en-NZ"/>
        </w:rPr>
      </w:pPr>
      <w:r>
        <w:rPr>
          <w:noProof/>
        </w:rPr>
        <w:t>Figure 7:</w:t>
      </w:r>
      <w:r>
        <w:rPr>
          <w:noProof/>
        </w:rPr>
        <w:tab/>
        <w:t>Percentage of children (aged 2–14 years) who meet New Zealand’s age-specific vegetable intake guidelines, 2011/12–2015/16</w:t>
      </w:r>
      <w:r>
        <w:rPr>
          <w:noProof/>
        </w:rPr>
        <w:tab/>
      </w:r>
      <w:r>
        <w:rPr>
          <w:noProof/>
        </w:rPr>
        <w:fldChar w:fldCharType="begin"/>
      </w:r>
      <w:r>
        <w:rPr>
          <w:noProof/>
        </w:rPr>
        <w:instrText xml:space="preserve"> PAGEREF _Toc480534277 \h </w:instrText>
      </w:r>
      <w:r>
        <w:rPr>
          <w:noProof/>
        </w:rPr>
      </w:r>
      <w:r>
        <w:rPr>
          <w:noProof/>
        </w:rPr>
        <w:fldChar w:fldCharType="separate"/>
      </w:r>
      <w:r w:rsidR="00840EA1">
        <w:rPr>
          <w:noProof/>
        </w:rPr>
        <w:t>22</w:t>
      </w:r>
      <w:r>
        <w:rPr>
          <w:noProof/>
        </w:rPr>
        <w:fldChar w:fldCharType="end"/>
      </w:r>
    </w:p>
    <w:p w:rsidR="005B1945" w:rsidRDefault="005B1945">
      <w:pPr>
        <w:pStyle w:val="TOC3"/>
        <w:rPr>
          <w:rFonts w:asciiTheme="minorHAnsi" w:eastAsiaTheme="minorEastAsia" w:hAnsiTheme="minorHAnsi" w:cstheme="minorBidi"/>
          <w:noProof/>
          <w:szCs w:val="22"/>
          <w:lang w:eastAsia="en-NZ"/>
        </w:rPr>
      </w:pPr>
      <w:r>
        <w:rPr>
          <w:noProof/>
        </w:rPr>
        <w:t>Figure 8:</w:t>
      </w:r>
      <w:r>
        <w:rPr>
          <w:noProof/>
        </w:rPr>
        <w:tab/>
        <w:t>Example of a Health Star Rating</w:t>
      </w:r>
      <w:r>
        <w:rPr>
          <w:noProof/>
        </w:rPr>
        <w:tab/>
      </w:r>
      <w:r>
        <w:rPr>
          <w:noProof/>
        </w:rPr>
        <w:fldChar w:fldCharType="begin"/>
      </w:r>
      <w:r>
        <w:rPr>
          <w:noProof/>
        </w:rPr>
        <w:instrText xml:space="preserve"> PAGEREF _Toc480534278 \h </w:instrText>
      </w:r>
      <w:r>
        <w:rPr>
          <w:noProof/>
        </w:rPr>
      </w:r>
      <w:r>
        <w:rPr>
          <w:noProof/>
        </w:rPr>
        <w:fldChar w:fldCharType="separate"/>
      </w:r>
      <w:r w:rsidR="00840EA1">
        <w:rPr>
          <w:noProof/>
        </w:rPr>
        <w:t>24</w:t>
      </w:r>
      <w:r>
        <w:rPr>
          <w:noProof/>
        </w:rPr>
        <w:fldChar w:fldCharType="end"/>
      </w:r>
    </w:p>
    <w:p w:rsidR="005B1945" w:rsidRDefault="005B1945">
      <w:pPr>
        <w:pStyle w:val="TOC3"/>
        <w:rPr>
          <w:rFonts w:asciiTheme="minorHAnsi" w:eastAsiaTheme="minorEastAsia" w:hAnsiTheme="minorHAnsi" w:cstheme="minorBidi"/>
          <w:noProof/>
          <w:szCs w:val="22"/>
          <w:lang w:eastAsia="en-NZ"/>
        </w:rPr>
      </w:pPr>
      <w:r>
        <w:rPr>
          <w:noProof/>
        </w:rPr>
        <w:t>Figure 9:</w:t>
      </w:r>
      <w:r>
        <w:rPr>
          <w:noProof/>
        </w:rPr>
        <w:tab/>
        <w:t>Percentage of children (aged 5–14 years) who usually use active transport (eg, walk, bike or skate) to get to and from school, 2011/12–2015/16</w:t>
      </w:r>
      <w:r>
        <w:rPr>
          <w:noProof/>
        </w:rPr>
        <w:tab/>
      </w:r>
      <w:r>
        <w:rPr>
          <w:noProof/>
        </w:rPr>
        <w:fldChar w:fldCharType="begin"/>
      </w:r>
      <w:r>
        <w:rPr>
          <w:noProof/>
        </w:rPr>
        <w:instrText xml:space="preserve"> PAGEREF _Toc480534279 \h </w:instrText>
      </w:r>
      <w:r>
        <w:rPr>
          <w:noProof/>
        </w:rPr>
      </w:r>
      <w:r>
        <w:rPr>
          <w:noProof/>
        </w:rPr>
        <w:fldChar w:fldCharType="separate"/>
      </w:r>
      <w:r w:rsidR="00840EA1">
        <w:rPr>
          <w:noProof/>
        </w:rPr>
        <w:t>27</w:t>
      </w:r>
      <w:r>
        <w:rPr>
          <w:noProof/>
        </w:rPr>
        <w:fldChar w:fldCharType="end"/>
      </w:r>
    </w:p>
    <w:p w:rsidR="003A5FEA" w:rsidRDefault="003A5FEA" w:rsidP="003A5FEA">
      <w:r>
        <w:fldChar w:fldCharType="end"/>
      </w:r>
    </w:p>
    <w:p w:rsidR="00C86248" w:rsidRDefault="00455CC9" w:rsidP="00455CC9">
      <w:pPr>
        <w:pStyle w:val="Heading1"/>
      </w:pPr>
      <w:bookmarkStart w:id="3" w:name="_Toc480534221"/>
      <w:r>
        <w:lastRenderedPageBreak/>
        <w:t>Executive summary</w:t>
      </w:r>
      <w:bookmarkEnd w:id="3"/>
    </w:p>
    <w:p w:rsidR="00A16A93" w:rsidRDefault="00A16A93" w:rsidP="00A16A93">
      <w:r>
        <w:t xml:space="preserve">The Ministry of Health developed this report in collaboration with the Ministry of Education, </w:t>
      </w:r>
      <w:r w:rsidRPr="00964DA7">
        <w:t>Sport New Zealand</w:t>
      </w:r>
      <w:r>
        <w:t>, the Ministry for Primary Industries and the Health Promotion Agency, as part of the activities of the New Zealand Childhood Obesity Programme. The report builds on the work that these organisations undertook in 2016 to develop an intervention logic model for reducing childhood obesity. That model includes an agreed set of reducing childhood obesity indicators that we will use to monitor the programme’s progress over the next five years.</w:t>
      </w:r>
    </w:p>
    <w:p w:rsidR="00A16A93" w:rsidRPr="00A16A93" w:rsidRDefault="00A16A93" w:rsidP="006833F7"/>
    <w:p w:rsidR="00A16A93" w:rsidRPr="00A16A93" w:rsidRDefault="00A16A93" w:rsidP="006833F7">
      <w:r w:rsidRPr="00A16A93">
        <w:t>The purpose of this report is to describe each of the reducing childhood obesity indicators in more detail, and present a baseline view of their performance. The report also includes a brief overview of the New Zealand Childhood Obesity Programme and the Reducing childhood obesity intervention logic model, as well as an update on the programme’s first year of implementation (2015/16).</w:t>
      </w:r>
    </w:p>
    <w:p w:rsidR="00A16A93" w:rsidRPr="00A16A93" w:rsidRDefault="00A16A93" w:rsidP="006833F7"/>
    <w:p w:rsidR="00A16A93" w:rsidRPr="00A16A93" w:rsidRDefault="00A16A93" w:rsidP="006833F7">
      <w:r w:rsidRPr="00A16A93">
        <w:t>The reducing childhood obesity indicators have been divided into four categories to align with the programme’s four medium-term outcomes.</w:t>
      </w:r>
    </w:p>
    <w:p w:rsidR="00A16A93" w:rsidRPr="00A16A93" w:rsidRDefault="00A16A93" w:rsidP="006833F7">
      <w:pPr>
        <w:pStyle w:val="Bullet"/>
      </w:pPr>
      <w:r w:rsidRPr="00A16A93">
        <w:t>Indicators 1–3 measure whether children and young people are becoming less sedentary and more physically active.</w:t>
      </w:r>
    </w:p>
    <w:p w:rsidR="00A16A93" w:rsidRPr="00A16A93" w:rsidRDefault="00A16A93" w:rsidP="006833F7">
      <w:pPr>
        <w:pStyle w:val="Bullet"/>
      </w:pPr>
      <w:r w:rsidRPr="00A16A93">
        <w:t>Indicators 4–7 measure whether more children and young people are eating well.</w:t>
      </w:r>
    </w:p>
    <w:p w:rsidR="00A16A93" w:rsidRPr="00A16A93" w:rsidRDefault="00A16A93" w:rsidP="006833F7">
      <w:pPr>
        <w:pStyle w:val="Bullet"/>
      </w:pPr>
      <w:r w:rsidRPr="00A16A93">
        <w:t>Indicators 8–11 measure whether the environments that children and young people live and play in are supporting children to become more physically active and to lead healthier lives.</w:t>
      </w:r>
    </w:p>
    <w:p w:rsidR="00A16A93" w:rsidRPr="00A16A93" w:rsidRDefault="00A16A93" w:rsidP="006833F7">
      <w:pPr>
        <w:pStyle w:val="Bullet"/>
      </w:pPr>
      <w:r w:rsidRPr="00A16A93">
        <w:t>Indicators 12–15 measure whether children’s obesity-related health outcomes are improving.</w:t>
      </w:r>
    </w:p>
    <w:p w:rsidR="00A16A93" w:rsidRPr="00A16A93" w:rsidRDefault="00A16A93" w:rsidP="006833F7"/>
    <w:p w:rsidR="00A16A93" w:rsidRPr="00A16A93" w:rsidRDefault="00A16A93" w:rsidP="006833F7">
      <w:r w:rsidRPr="00A16A93">
        <w:t xml:space="preserve">Baseline performance is not available for four of the indicators, because data collection only began in 2016/17. Results for most of these indicators will be included in the first </w:t>
      </w:r>
      <w:r w:rsidRPr="00A16A93">
        <w:rPr>
          <w:i/>
        </w:rPr>
        <w:t xml:space="preserve">Children and young people living well and staying well </w:t>
      </w:r>
      <w:r w:rsidRPr="00A16A93">
        <w:t>monitoring report, due to be published in early 2018. That report will be the first in an annual series of monitoring reports on the New Zealand Childhood Obesity Programme; it will provide information on the second year of implementation and an updated view of performance against the reducing childhood obesity indicators.</w:t>
      </w:r>
    </w:p>
    <w:p w:rsidR="00A16A93" w:rsidRPr="00A16A93" w:rsidRDefault="00A16A93" w:rsidP="006833F7"/>
    <w:p w:rsidR="00A16A93" w:rsidRPr="00A16A93" w:rsidRDefault="00A16A93" w:rsidP="006833F7">
      <w:r w:rsidRPr="00A16A93">
        <w:t>This baseline report highlights some inequities between different population groups for a number of the indicators. The programme’s long-term goal is to reduce childhood obesity in New Zealand equitably, with a particular focus on Māori, Pacific peoples and children living in areas of high deprivation.</w:t>
      </w:r>
    </w:p>
    <w:p w:rsidR="00455CC9" w:rsidRPr="00A16A93" w:rsidRDefault="00455CC9" w:rsidP="006833F7"/>
    <w:p w:rsidR="00C86248" w:rsidRPr="00A16A93" w:rsidRDefault="00C86248">
      <w:pPr>
        <w:sectPr w:rsidR="00C86248" w:rsidRPr="00A16A93" w:rsidSect="009D5125">
          <w:headerReference w:type="even" r:id="rId18"/>
          <w:headerReference w:type="default" r:id="rId19"/>
          <w:footerReference w:type="even" r:id="rId20"/>
          <w:footerReference w:type="default" r:id="rId21"/>
          <w:pgSz w:w="11907" w:h="16840" w:code="9"/>
          <w:pgMar w:top="851" w:right="1134" w:bottom="1134" w:left="1134" w:header="284" w:footer="567" w:gutter="284"/>
          <w:pgNumType w:fmt="lowerRoman"/>
          <w:cols w:space="720"/>
        </w:sectPr>
      </w:pPr>
    </w:p>
    <w:p w:rsidR="008C2973" w:rsidRPr="00A16A93" w:rsidRDefault="00032C0A" w:rsidP="0086388B">
      <w:pPr>
        <w:pStyle w:val="Heading1"/>
      </w:pPr>
      <w:bookmarkStart w:id="4" w:name="_Toc480534222"/>
      <w:r w:rsidRPr="00A16A93">
        <w:lastRenderedPageBreak/>
        <w:t>Introduction</w:t>
      </w:r>
      <w:bookmarkEnd w:id="4"/>
    </w:p>
    <w:p w:rsidR="00032C0A" w:rsidRPr="00A16A93" w:rsidRDefault="00A16A93" w:rsidP="001A21B4">
      <w:pPr>
        <w:pStyle w:val="Heading2"/>
      </w:pPr>
      <w:bookmarkStart w:id="5" w:name="_Toc480534223"/>
      <w:r w:rsidRPr="00A16A93">
        <w:t>Background</w:t>
      </w:r>
      <w:bookmarkEnd w:id="5"/>
    </w:p>
    <w:p w:rsidR="00A16A93" w:rsidRPr="00A16A93" w:rsidRDefault="00A16A93" w:rsidP="00C45C90">
      <w:r w:rsidRPr="00A16A93">
        <w:t>New Zealand has high rates of childhood obesity: 10.7 percent of New Zealand children (aged</w:t>
      </w:r>
      <w:r w:rsidR="00C45C90">
        <w:br/>
      </w:r>
      <w:r w:rsidRPr="00A16A93">
        <w:t>2–14 years) are obese, and these rates are even higher among Māori children (14.7 percent), Pacific children (29.8 percent) and children living in our most deprived neighbourhoods (20.0</w:t>
      </w:r>
      <w:r w:rsidR="00C45C90">
        <w:t> </w:t>
      </w:r>
      <w:r w:rsidRPr="00A16A93">
        <w:t>percent) (Ministry of Health 2016d).</w:t>
      </w:r>
    </w:p>
    <w:p w:rsidR="00A16A93" w:rsidRPr="00A16A93" w:rsidRDefault="00A16A93" w:rsidP="00C45C90"/>
    <w:p w:rsidR="00A16A93" w:rsidRPr="00A16A93" w:rsidRDefault="00A16A93" w:rsidP="00C45C90">
      <w:pPr>
        <w:pStyle w:val="Heading2"/>
      </w:pPr>
      <w:bookmarkStart w:id="6" w:name="_Toc480457741"/>
      <w:bookmarkStart w:id="7" w:name="_Toc480534224"/>
      <w:r w:rsidRPr="00A16A93">
        <w:t>The effects of childhood obesity</w:t>
      </w:r>
      <w:bookmarkEnd w:id="6"/>
      <w:bookmarkEnd w:id="7"/>
    </w:p>
    <w:p w:rsidR="00A16A93" w:rsidRPr="00A16A93" w:rsidRDefault="00A16A93" w:rsidP="00C45C90">
      <w:r w:rsidRPr="00A16A93">
        <w:t>Obese children are at risk of immediate and long-term health consequences. Childhood obesity is associated with obstructive sleep apnoea; musculoskeletal problems; asthma; and psychological problems including body dissatisfaction, poor self-esteem and depression. Childhood obesity can have a negative impact on children’s learning and academic achievement; obese children may become targets for bullying, which can further impact on their self-esteem and mental wellbeing.</w:t>
      </w:r>
    </w:p>
    <w:p w:rsidR="00A16A93" w:rsidRPr="00A16A93" w:rsidRDefault="00A16A93" w:rsidP="00C45C90"/>
    <w:p w:rsidR="00A16A93" w:rsidRPr="00A16A93" w:rsidRDefault="00A16A93" w:rsidP="00C45C90">
      <w:pPr>
        <w:rPr>
          <w:rFonts w:eastAsia="Century"/>
        </w:rPr>
      </w:pPr>
      <w:r w:rsidRPr="00A16A93">
        <w:rPr>
          <w:rFonts w:eastAsia="Century"/>
        </w:rPr>
        <w:t>Obese children are also more likely to become obese adults, and are therefore more at risk of developing long-term conditions such as type 2 diabetes, heart disease, dementia, some cancers, mental illness and chronic pain.</w:t>
      </w:r>
    </w:p>
    <w:p w:rsidR="00A16A93" w:rsidRPr="00A16A93" w:rsidRDefault="00A16A93" w:rsidP="00C45C90">
      <w:pPr>
        <w:rPr>
          <w:rFonts w:eastAsia="Century"/>
        </w:rPr>
      </w:pPr>
    </w:p>
    <w:p w:rsidR="00A16A93" w:rsidRPr="00A16A93" w:rsidRDefault="00A16A93" w:rsidP="00C45C90">
      <w:pPr>
        <w:pStyle w:val="Heading2"/>
      </w:pPr>
      <w:bookmarkStart w:id="8" w:name="_Toc480457742"/>
      <w:bookmarkStart w:id="9" w:name="_Toc480534225"/>
      <w:r w:rsidRPr="00A16A93">
        <w:t>Factors that contribute to childhood obesity</w:t>
      </w:r>
      <w:bookmarkEnd w:id="8"/>
      <w:bookmarkEnd w:id="9"/>
    </w:p>
    <w:p w:rsidR="00A16A93" w:rsidRPr="00A16A93" w:rsidRDefault="00A16A93" w:rsidP="00C45C90">
      <w:r w:rsidRPr="00A16A93">
        <w:t>Evidence on the causes of obesity is still evolving. However, we do know that:</w:t>
      </w:r>
    </w:p>
    <w:p w:rsidR="00A16A93" w:rsidRPr="00C45C90" w:rsidRDefault="00C45C90" w:rsidP="00C45C90">
      <w:pPr>
        <w:spacing w:before="120"/>
        <w:ind w:left="567" w:hanging="567"/>
        <w:rPr>
          <w:spacing w:val="-2"/>
        </w:rPr>
      </w:pPr>
      <w:r>
        <w:t>1.</w:t>
      </w:r>
      <w:r>
        <w:tab/>
      </w:r>
      <w:r w:rsidR="00A16A93" w:rsidRPr="00C45C90">
        <w:rPr>
          <w:i/>
          <w:spacing w:val="-2"/>
        </w:rPr>
        <w:t xml:space="preserve">Energy (kilojoule) intake is key </w:t>
      </w:r>
      <w:r w:rsidR="00A16A93" w:rsidRPr="00C45C90">
        <w:rPr>
          <w:spacing w:val="-2"/>
        </w:rPr>
        <w:t>– the amount of food a person eats and its energy density is the single biggest driver of obesity. Helping people to make good food choices and reduce their intake of energy-dense foods will have the greatest impact on reducing obesity.</w:t>
      </w:r>
    </w:p>
    <w:p w:rsidR="00A16A93" w:rsidRPr="00A16A93" w:rsidRDefault="00C45C90" w:rsidP="00C45C90">
      <w:pPr>
        <w:spacing w:before="120"/>
        <w:ind w:left="567" w:hanging="567"/>
      </w:pPr>
      <w:r>
        <w:t>2.</w:t>
      </w:r>
      <w:r>
        <w:tab/>
      </w:r>
      <w:r w:rsidR="00A16A93" w:rsidRPr="00A16A93">
        <w:rPr>
          <w:i/>
        </w:rPr>
        <w:t>Environmental factors (physical, economic, political or social) play an important role</w:t>
      </w:r>
      <w:r w:rsidR="00A16A93" w:rsidRPr="00A16A93">
        <w:t xml:space="preserve"> – for example, obesity increases when there is greater availability and more invasive marketing of high-energy, low-nutrient food and beverages, and reduced opportunities for physical activity.</w:t>
      </w:r>
    </w:p>
    <w:p w:rsidR="00A16A93" w:rsidRPr="00A16A93" w:rsidRDefault="00C45C90" w:rsidP="00C45C90">
      <w:pPr>
        <w:spacing w:before="120"/>
        <w:ind w:left="567" w:hanging="567"/>
      </w:pPr>
      <w:r>
        <w:t>3.</w:t>
      </w:r>
      <w:r>
        <w:tab/>
      </w:r>
      <w:r w:rsidR="00A16A93" w:rsidRPr="00A16A93">
        <w:rPr>
          <w:i/>
        </w:rPr>
        <w:t>Parental health, including maternal and infant nutrition, is significant</w:t>
      </w:r>
      <w:r w:rsidR="00A16A93" w:rsidRPr="00A16A93">
        <w:t xml:space="preserve"> – the World Health Organization’s Commission on Ending Childhood Obesity notes that a mother can reduce her child’s risk of obesity by avoiding gestational diabetes, eating well during pregnancy, and continuing to breastfeed her infant.</w:t>
      </w:r>
    </w:p>
    <w:p w:rsidR="00A16A93" w:rsidRPr="00A16A93" w:rsidRDefault="00C45C90" w:rsidP="00C45C90">
      <w:pPr>
        <w:spacing w:before="120"/>
        <w:ind w:left="567" w:hanging="567"/>
      </w:pPr>
      <w:r>
        <w:t>4.</w:t>
      </w:r>
      <w:r>
        <w:tab/>
      </w:r>
      <w:r w:rsidR="00A16A93" w:rsidRPr="00A16A93">
        <w:rPr>
          <w:i/>
        </w:rPr>
        <w:t xml:space="preserve">Physical activity has health and educational benefits </w:t>
      </w:r>
      <w:r w:rsidR="00A16A93" w:rsidRPr="00A16A93">
        <w:t>– increasing levels of physical activity helps children and young people to attain and maintain a healthy weight, and can break the intergenerational cycle of inactivity. Physical activity also supports positive educational outcomes, specifically through improved cognition and behaviour.</w:t>
      </w:r>
    </w:p>
    <w:p w:rsidR="00A16A93" w:rsidRPr="008158B6" w:rsidRDefault="00C45C90" w:rsidP="00C45C90">
      <w:pPr>
        <w:spacing w:before="120"/>
        <w:ind w:left="567" w:hanging="567"/>
        <w:rPr>
          <w:spacing w:val="-2"/>
        </w:rPr>
      </w:pPr>
      <w:r>
        <w:t>5.</w:t>
      </w:r>
      <w:r>
        <w:tab/>
      </w:r>
      <w:r w:rsidR="00A16A93" w:rsidRPr="008158B6">
        <w:rPr>
          <w:i/>
          <w:spacing w:val="-2"/>
        </w:rPr>
        <w:t xml:space="preserve">Children need to get the right amount of sleep </w:t>
      </w:r>
      <w:r w:rsidR="00A16A93" w:rsidRPr="008158B6">
        <w:rPr>
          <w:spacing w:val="-2"/>
        </w:rPr>
        <w:t>–</w:t>
      </w:r>
      <w:r w:rsidR="00A16A93" w:rsidRPr="008158B6">
        <w:rPr>
          <w:i/>
          <w:spacing w:val="-2"/>
        </w:rPr>
        <w:t xml:space="preserve"> </w:t>
      </w:r>
      <w:r w:rsidR="00A16A93" w:rsidRPr="008158B6">
        <w:rPr>
          <w:spacing w:val="-2"/>
        </w:rPr>
        <w:t>children who sleep less than the recommended amount are twice as likely to be overweight or obese. The exact relationship between insufficient sleep and weight gain is unclear, but it is thought that being awake for longer affects a person’s ability to regulate their appetite, leading to excess energy intake. Not getting enough sleep may also lead to reduced physical activity and energy expenditure.</w:t>
      </w:r>
    </w:p>
    <w:p w:rsidR="00A16A93" w:rsidRPr="00A16A93" w:rsidRDefault="00A16A93" w:rsidP="008158B6"/>
    <w:p w:rsidR="00A16A93" w:rsidRPr="00A16A93" w:rsidRDefault="00A16A93" w:rsidP="008158B6">
      <w:pPr>
        <w:pStyle w:val="Heading2"/>
      </w:pPr>
      <w:bookmarkStart w:id="10" w:name="_Toc480457743"/>
      <w:bookmarkStart w:id="11" w:name="_Toc480534226"/>
      <w:r w:rsidRPr="00A16A93">
        <w:lastRenderedPageBreak/>
        <w:t>The New Zealand Childhood Obesity Programme</w:t>
      </w:r>
      <w:bookmarkEnd w:id="10"/>
      <w:bookmarkEnd w:id="11"/>
    </w:p>
    <w:p w:rsidR="00A16A93" w:rsidRPr="00A16A93" w:rsidRDefault="00A16A93" w:rsidP="008158B6">
      <w:r w:rsidRPr="00A16A93">
        <w:t xml:space="preserve">In October 2015, the Government launched the </w:t>
      </w:r>
      <w:hyperlink r:id="rId22" w:history="1">
        <w:r w:rsidRPr="008158B6">
          <w:rPr>
            <w:rStyle w:val="Hyperlink"/>
          </w:rPr>
          <w:t>Childhood Obesity Plan</w:t>
        </w:r>
      </w:hyperlink>
      <w:r w:rsidRPr="00A16A93">
        <w:t xml:space="preserve"> (see Figure 1). The plan includes 22 initiatives designed to reduce the risk of children becoming obese, or to increase support for children and young people who are already obese. The initiatives include developing improved public information and resources, encouraging children to be more physically active, supporting children and their families/whānau to make healthier food choices and working with the food and beverage industry to encourage the development and promotion of healthier food options.</w:t>
      </w:r>
    </w:p>
    <w:p w:rsidR="00A16A93" w:rsidRPr="00A16A93" w:rsidRDefault="00A16A93" w:rsidP="008158B6"/>
    <w:p w:rsidR="00A16A93" w:rsidRPr="00A16A93" w:rsidRDefault="00A16A93" w:rsidP="008158B6">
      <w:r w:rsidRPr="00A16A93">
        <w:t>The Childhood Obesity Plan is being implemented through the multi-agency New Zealand Childhood Obesity Programme, which aims to equitably reduce childhood obesity in New Zealand so that all children and young people can live well and stay well.</w:t>
      </w:r>
    </w:p>
    <w:p w:rsidR="00A16A93" w:rsidRPr="00A16A93" w:rsidRDefault="00A16A93" w:rsidP="008158B6"/>
    <w:p w:rsidR="00A16A93" w:rsidRPr="00A16A93" w:rsidRDefault="00A16A93" w:rsidP="008158B6">
      <w:r w:rsidRPr="00A16A93">
        <w:t>We have made good progress on the Childhood Obesity Plan over the past year (see Text box 1), but there is still plenty of work to do. The New Zealand Childhood Obesity Programme is looking at other cross-government, private sector and community initiatives that have the potential to reduce childhood obesity. Both the programme and the plan are likely to evolve over time, to reflect what we are learning about what works for different population groups and why.</w:t>
      </w:r>
    </w:p>
    <w:p w:rsidR="00A16A93" w:rsidRPr="00A16A93" w:rsidRDefault="00A16A93" w:rsidP="008158B6"/>
    <w:p w:rsidR="00A16A93" w:rsidRPr="00A16A93" w:rsidRDefault="00A16A93" w:rsidP="008158B6">
      <w:pPr>
        <w:pStyle w:val="Textboxheading"/>
      </w:pPr>
      <w:r w:rsidRPr="00A16A93">
        <w:lastRenderedPageBreak/>
        <w:t>Text box 1: The New Zealand Childhood Obesity Plan’s achievements to date</w:t>
      </w:r>
    </w:p>
    <w:p w:rsidR="00185595" w:rsidRPr="00185595" w:rsidRDefault="008158B6" w:rsidP="00185595">
      <w:pPr>
        <w:pStyle w:val="BoxBullet"/>
        <w:keepNext/>
      </w:pPr>
      <w:r w:rsidRPr="00185595">
        <w:t xml:space="preserve">The Government has introduced the </w:t>
      </w:r>
      <w:hyperlink r:id="rId23" w:history="1">
        <w:r w:rsidRPr="00185595">
          <w:rPr>
            <w:rStyle w:val="Hyperlink"/>
          </w:rPr>
          <w:t>Raising Healthy Kids health target</w:t>
        </w:r>
      </w:hyperlink>
      <w:r w:rsidRPr="00185595">
        <w:t>, to help identify children and families/whānau that may need extra support to achieve a healthy lifestyle. The target requires that ‘By December 2017, 95% of obese children identified in the B4 School Check programme will be offered a referral to a health professional for clinical assessment and family-based nutrition, activity and lifestyle interventions.’ In quarter two 2016/17, achievement against the target was 71.9%</w:t>
      </w:r>
      <w:r w:rsidR="00185595">
        <w:t>.</w:t>
      </w:r>
    </w:p>
    <w:p w:rsidR="008158B6" w:rsidRPr="00185595" w:rsidRDefault="008158B6" w:rsidP="00185595">
      <w:pPr>
        <w:pStyle w:val="BoxBullet"/>
        <w:keepNext/>
      </w:pPr>
      <w:r w:rsidRPr="00185595">
        <w:t>The Health Star Rating system, which rates the healthiness of packaged foods, is now on over 2000 products and is supported by a promotional campaign.</w:t>
      </w:r>
    </w:p>
    <w:p w:rsidR="008158B6" w:rsidRPr="00185595" w:rsidRDefault="008158B6" w:rsidP="00185595">
      <w:pPr>
        <w:pStyle w:val="BoxBullet"/>
        <w:keepNext/>
      </w:pPr>
      <w:r w:rsidRPr="00185595">
        <w:t>The pilot programme Play.sport is in 44 schools across Upper Hutt and Waitakere. Play.sport aims to support teachers, schools, parents and caregivers and community organisations to improve the quality of young people’s experiences of play, physical education, physical activity and sport, by improving community and national leadership</w:t>
      </w:r>
      <w:r w:rsidRPr="001A6E1E">
        <w:rPr>
          <w:rFonts w:ascii="Arial" w:hAnsi="Arial" w:cs="Arial"/>
        </w:rPr>
        <w:t>.</w:t>
      </w:r>
    </w:p>
    <w:p w:rsidR="008158B6" w:rsidRPr="00185595" w:rsidRDefault="008158B6" w:rsidP="00185595">
      <w:pPr>
        <w:pStyle w:val="BoxBullet"/>
        <w:keepNext/>
      </w:pPr>
      <w:r w:rsidRPr="00185595">
        <w:t xml:space="preserve">All district health boards (DHBs) have become sugar-sweetened beverage free, and are working towards implementing the National District Health Board Food and Drink Environments Network’s </w:t>
      </w:r>
      <w:hyperlink r:id="rId24" w:history="1">
        <w:r w:rsidRPr="00840EA1">
          <w:rPr>
            <w:rStyle w:val="Hyperlink"/>
          </w:rPr>
          <w:t>National Health</w:t>
        </w:r>
        <w:r w:rsidR="00840EA1" w:rsidRPr="00840EA1">
          <w:rPr>
            <w:rStyle w:val="Hyperlink"/>
          </w:rPr>
          <w:t>y</w:t>
        </w:r>
        <w:r w:rsidRPr="00840EA1">
          <w:rPr>
            <w:rStyle w:val="Hyperlink"/>
          </w:rPr>
          <w:t xml:space="preserve"> Food and Drink Policy</w:t>
        </w:r>
      </w:hyperlink>
      <w:r w:rsidRPr="00840EA1">
        <w:t>.</w:t>
      </w:r>
    </w:p>
    <w:p w:rsidR="008158B6" w:rsidRPr="00185595" w:rsidRDefault="008158B6" w:rsidP="00185595">
      <w:pPr>
        <w:pStyle w:val="BoxBullet"/>
        <w:keepNext/>
      </w:pPr>
      <w:r w:rsidRPr="00185595">
        <w:t xml:space="preserve">The Ministry of Health has published updated </w:t>
      </w:r>
      <w:hyperlink r:id="rId25" w:history="1">
        <w:r w:rsidRPr="00185595">
          <w:rPr>
            <w:rStyle w:val="Hyperlink"/>
          </w:rPr>
          <w:t>Eating and Activity Guidelines</w:t>
        </w:r>
      </w:hyperlink>
      <w:r w:rsidRPr="00185595">
        <w:rPr>
          <w:rStyle w:val="Hyperlink"/>
        </w:rPr>
        <w:t xml:space="preserve"> for New Zealand adults</w:t>
      </w:r>
      <w:r w:rsidRPr="00185595">
        <w:t xml:space="preserve"> and </w:t>
      </w:r>
      <w:hyperlink r:id="rId26" w:history="1">
        <w:r w:rsidRPr="00185595">
          <w:rPr>
            <w:rStyle w:val="Hyperlink"/>
          </w:rPr>
          <w:t>Clinical Guidelines for Weight Management in New Zealand Children and Young People</w:t>
        </w:r>
      </w:hyperlink>
      <w:r w:rsidRPr="00185595">
        <w:t>.</w:t>
      </w:r>
    </w:p>
    <w:p w:rsidR="008158B6" w:rsidRPr="00185595" w:rsidRDefault="008158B6" w:rsidP="00185595">
      <w:pPr>
        <w:pStyle w:val="BoxBullet"/>
        <w:keepNext/>
      </w:pPr>
      <w:r w:rsidRPr="00185595">
        <w:t>The Education Review Office has published two reports on food, nutrition and physical activity in New Zealand schools and early learning services.</w:t>
      </w:r>
    </w:p>
    <w:p w:rsidR="008158B6" w:rsidRPr="00185595" w:rsidRDefault="008158B6" w:rsidP="00185595">
      <w:pPr>
        <w:pStyle w:val="BoxBullet"/>
        <w:keepNext/>
      </w:pPr>
      <w:r w:rsidRPr="00185595">
        <w:t>Since October 2015, 285 new schools have signed up to the Ministry of Health’s Health Promoting Schools programme, which works with school leaders to identify health and wellbeing priorities for students, and to create and implement a plan to address these priorities.</w:t>
      </w:r>
    </w:p>
    <w:p w:rsidR="008158B6" w:rsidRPr="00185595" w:rsidRDefault="008158B6" w:rsidP="00185595">
      <w:pPr>
        <w:pStyle w:val="BoxBullet"/>
      </w:pPr>
      <w:r w:rsidRPr="00185595">
        <w:t>Healthy Families New Zealand is operating in 10 locations across the country (Far North, Waitakere, Manukau, Manurewa-Papakura, East Cape, Rotorua, Whanganui, Lower Hutt, Christchurch and Invercargill). It takes a whole-of-community approach to the prevention of chronic disease; activating local leadership and creating healthy changes in the places where people live, learn, work and play – including schools, early childhood education centres, workplaces, sports clubs, marae, places of worship and community spaces.</w:t>
      </w:r>
    </w:p>
    <w:p w:rsidR="00A16A93" w:rsidRPr="00A16A93" w:rsidRDefault="00A16A93" w:rsidP="00185595"/>
    <w:p w:rsidR="00A16A93" w:rsidRDefault="00A16A93" w:rsidP="00185595">
      <w:pPr>
        <w:pStyle w:val="Figure"/>
      </w:pPr>
      <w:bookmarkStart w:id="12" w:name="_Toc480534271"/>
      <w:r w:rsidRPr="00A16A93">
        <w:lastRenderedPageBreak/>
        <w:t>Figure 1: Overview of the New Zealand Childhood Obesity Programme and Plan</w:t>
      </w:r>
      <w:bookmarkEnd w:id="12"/>
    </w:p>
    <w:p w:rsidR="00185595" w:rsidRDefault="00185595" w:rsidP="00185595">
      <w:r w:rsidRPr="00185595">
        <w:rPr>
          <w:noProof/>
          <w:lang w:eastAsia="en-NZ"/>
        </w:rPr>
        <w:drawing>
          <wp:inline distT="0" distB="0" distL="0" distR="0">
            <wp:extent cx="5752408" cy="8880374"/>
            <wp:effectExtent l="0" t="0" r="1270" b="0"/>
            <wp:docPr id="15" name="Picture 15" title="Figure 1: Overview of the New Zealand Childhood Obesity Programme an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7">
                      <a:extLst>
                        <a:ext uri="{28A0092B-C50C-407E-A947-70E740481C1C}">
                          <a14:useLocalDpi xmlns:a14="http://schemas.microsoft.com/office/drawing/2010/main" val="0"/>
                        </a:ext>
                      </a:extLst>
                    </a:blip>
                    <a:srcRect l="3683" r="4107"/>
                    <a:stretch/>
                  </pic:blipFill>
                  <pic:spPr bwMode="auto">
                    <a:xfrm>
                      <a:off x="0" y="0"/>
                      <a:ext cx="5754437" cy="8883507"/>
                    </a:xfrm>
                    <a:prstGeom prst="rect">
                      <a:avLst/>
                    </a:prstGeom>
                    <a:noFill/>
                    <a:ln>
                      <a:noFill/>
                    </a:ln>
                    <a:extLst>
                      <a:ext uri="{53640926-AAD7-44D8-BBD7-CCE9431645EC}">
                        <a14:shadowObscured xmlns:a14="http://schemas.microsoft.com/office/drawing/2010/main"/>
                      </a:ext>
                    </a:extLst>
                  </pic:spPr>
                </pic:pic>
              </a:graphicData>
            </a:graphic>
          </wp:inline>
        </w:drawing>
      </w:r>
    </w:p>
    <w:p w:rsidR="00185595" w:rsidRPr="00185595" w:rsidRDefault="00185595" w:rsidP="00185595"/>
    <w:p w:rsidR="00A16A93" w:rsidRPr="00A16A93" w:rsidRDefault="00A16A93" w:rsidP="00185595">
      <w:pPr>
        <w:pStyle w:val="Heading2"/>
      </w:pPr>
      <w:bookmarkStart w:id="13" w:name="_Toc480457744"/>
      <w:bookmarkStart w:id="14" w:name="_Toc480534227"/>
      <w:r w:rsidRPr="00A16A93">
        <w:lastRenderedPageBreak/>
        <w:t>The reducing childhood obesity intervention logic model</w:t>
      </w:r>
      <w:bookmarkEnd w:id="13"/>
      <w:bookmarkEnd w:id="14"/>
    </w:p>
    <w:p w:rsidR="00A16A93" w:rsidRPr="00A16A93" w:rsidRDefault="00A16A93" w:rsidP="00185595">
      <w:r w:rsidRPr="00A16A93">
        <w:t>The Reducing childhood obesity intervention logic model (see Figure 3) was developed to provide direction and support for the New Zealand Childhood Obesity Programme. The model sets out a number of shared goals, outcomes and indicators which will help us identify new opportunities and priorities for investment.</w:t>
      </w:r>
    </w:p>
    <w:p w:rsidR="00185595" w:rsidRDefault="00185595" w:rsidP="00185595"/>
    <w:p w:rsidR="00A16A93" w:rsidRPr="00A16A93" w:rsidRDefault="00A16A93" w:rsidP="00185595">
      <w:r w:rsidRPr="00A16A93">
        <w:t>The model aligns with the recommendations of the World Health Organization’s Commission on Ending Childhood Obesity (WHO 2016) and was developed in consultation with the Ministry of Education, Sport New Zealand, the Health Promotion Agency, the Education Review Office, the New Zealand Transport Agency and the Accident Compensation Corporation.</w:t>
      </w:r>
    </w:p>
    <w:p w:rsidR="00185595" w:rsidRDefault="00185595" w:rsidP="00185595"/>
    <w:p w:rsidR="00A16A93" w:rsidRPr="00A16A93" w:rsidRDefault="00A16A93" w:rsidP="00185595">
      <w:r w:rsidRPr="00A16A93">
        <w:t>The model includes four medium-term outcomes that describe what we hope to achieve over the next 4–5 years:</w:t>
      </w:r>
    </w:p>
    <w:p w:rsidR="00A16A93" w:rsidRPr="00A16A93" w:rsidRDefault="00A16A93" w:rsidP="00185595">
      <w:pPr>
        <w:pStyle w:val="Bullet"/>
      </w:pPr>
      <w:r w:rsidRPr="00A16A93">
        <w:t>more children are physically active</w:t>
      </w:r>
    </w:p>
    <w:p w:rsidR="00A16A93" w:rsidRPr="00A16A93" w:rsidRDefault="00A16A93" w:rsidP="00185595">
      <w:pPr>
        <w:pStyle w:val="Bullet"/>
      </w:pPr>
      <w:r w:rsidRPr="00A16A93">
        <w:t>more children eat well</w:t>
      </w:r>
    </w:p>
    <w:p w:rsidR="00A16A93" w:rsidRPr="00A16A93" w:rsidRDefault="00A16A93" w:rsidP="00185595">
      <w:pPr>
        <w:pStyle w:val="Bullet"/>
      </w:pPr>
      <w:r w:rsidRPr="00A16A93">
        <w:t>children’s environments support physical activity and healthy eating</w:t>
      </w:r>
    </w:p>
    <w:p w:rsidR="00A16A93" w:rsidRPr="00A16A93" w:rsidRDefault="00A16A93" w:rsidP="00185595">
      <w:pPr>
        <w:pStyle w:val="Bullet"/>
      </w:pPr>
      <w:r w:rsidRPr="00A16A93">
        <w:t>more children have improved health outcomes.</w:t>
      </w:r>
    </w:p>
    <w:p w:rsidR="00A16A93" w:rsidRPr="00A16A93" w:rsidRDefault="00A16A93" w:rsidP="00185595"/>
    <w:p w:rsidR="00A16A93" w:rsidRDefault="00A16A93" w:rsidP="00185595">
      <w:r w:rsidRPr="00A16A93">
        <w:t>The model also includes an agreed set of performance indicators (known as the reducing childhood obesity indicators), which will allow us to measure whether the medium-term outcomes are being achieved. Each indicator was chosen based on its relevance to childhood obesity and its ability to be measured using existing data collections. Some of the indicators are outcomes-focused (eg, percentage of children whose body mass index is within a healthy weight range); others focus on the drivers of childhood obesity (eg, unhealthy eating and low levels of physical activity).</w:t>
      </w:r>
    </w:p>
    <w:p w:rsidR="00185595" w:rsidRPr="00A16A93" w:rsidRDefault="00185595" w:rsidP="00185595"/>
    <w:p w:rsidR="00A16A93" w:rsidRPr="00A16A93" w:rsidRDefault="00A16A93" w:rsidP="00185595">
      <w:pPr>
        <w:pStyle w:val="Figure"/>
      </w:pPr>
      <w:bookmarkStart w:id="15" w:name="_Toc480534272"/>
      <w:r w:rsidRPr="00A16A93">
        <w:lastRenderedPageBreak/>
        <w:t xml:space="preserve">Figure 2: Reducing childhood obesity intervention logic model </w:t>
      </w:r>
      <w:bookmarkEnd w:id="15"/>
    </w:p>
    <w:p w:rsidR="00A16A93" w:rsidRDefault="00840EA1" w:rsidP="00185595">
      <w:r>
        <w:rPr>
          <w:noProof/>
          <w:lang w:eastAsia="en-NZ"/>
        </w:rPr>
        <w:drawing>
          <wp:inline distT="0" distB="0" distL="0" distR="0">
            <wp:extent cx="9110980" cy="5712590"/>
            <wp:effectExtent l="381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ducing child obesityV4(01May17).jpg"/>
                    <pic:cNvPicPr/>
                  </pic:nvPicPr>
                  <pic:blipFill rotWithShape="1">
                    <a:blip r:embed="rId28" cstate="print">
                      <a:extLst>
                        <a:ext uri="{28A0092B-C50C-407E-A947-70E740481C1C}">
                          <a14:useLocalDpi xmlns:a14="http://schemas.microsoft.com/office/drawing/2010/main" val="0"/>
                        </a:ext>
                      </a:extLst>
                    </a:blip>
                    <a:srcRect t="11329"/>
                    <a:stretch/>
                  </pic:blipFill>
                  <pic:spPr bwMode="auto">
                    <a:xfrm rot="16200000">
                      <a:off x="0" y="0"/>
                      <a:ext cx="9110980" cy="5712590"/>
                    </a:xfrm>
                    <a:prstGeom prst="rect">
                      <a:avLst/>
                    </a:prstGeom>
                    <a:ln>
                      <a:noFill/>
                    </a:ln>
                    <a:extLst>
                      <a:ext uri="{53640926-AAD7-44D8-BBD7-CCE9431645EC}">
                        <a14:shadowObscured xmlns:a14="http://schemas.microsoft.com/office/drawing/2010/main"/>
                      </a:ext>
                    </a:extLst>
                  </pic:spPr>
                </pic:pic>
              </a:graphicData>
            </a:graphic>
          </wp:inline>
        </w:drawing>
      </w:r>
    </w:p>
    <w:p w:rsidR="00185595" w:rsidRPr="00A16A93" w:rsidRDefault="00185595" w:rsidP="00185595"/>
    <w:p w:rsidR="00A16A93" w:rsidRPr="00A16A93" w:rsidRDefault="00A16A93" w:rsidP="00185595">
      <w:pPr>
        <w:pStyle w:val="Heading2"/>
      </w:pPr>
      <w:bookmarkStart w:id="16" w:name="_Toc480457745"/>
      <w:bookmarkStart w:id="17" w:name="_Toc480534228"/>
      <w:r w:rsidRPr="00A16A93">
        <w:t>Overview</w:t>
      </w:r>
      <w:bookmarkEnd w:id="16"/>
      <w:bookmarkEnd w:id="17"/>
    </w:p>
    <w:p w:rsidR="00A16A93" w:rsidRPr="00A16A93" w:rsidRDefault="00A16A93" w:rsidP="00185595">
      <w:r w:rsidRPr="00A16A93">
        <w:t>This report provides a brief description of each of the reducing childhood obesity indicators and their measures, and presents a baseline view of their performance. Where possible, we have broken the data down by sex, age, ethnic group and neighbourhood deprivation quintile (to highlight any inequities between population groups), and presented actual numbers alongside percentages.</w:t>
      </w:r>
    </w:p>
    <w:p w:rsidR="00185595" w:rsidRDefault="00185595" w:rsidP="00185595"/>
    <w:p w:rsidR="00A16A93" w:rsidRDefault="00A16A93" w:rsidP="00185595">
      <w:r w:rsidRPr="00A16A93">
        <w:t>Table 1 lists each of the indicators and their measures, according to which medium-term outcome they align with. We may amend the list of indicators over time, as more information becomes available, new evidence emerges or new initiatives are established.</w:t>
      </w:r>
    </w:p>
    <w:p w:rsidR="00185595" w:rsidRPr="00A16A93" w:rsidRDefault="00185595" w:rsidP="00185595"/>
    <w:p w:rsidR="00A16A93" w:rsidRPr="00A16A93" w:rsidRDefault="00A16A93" w:rsidP="00185595">
      <w:pPr>
        <w:pStyle w:val="Table"/>
      </w:pPr>
      <w:bookmarkStart w:id="18" w:name="_Toc480534253"/>
      <w:r w:rsidRPr="00A16A93">
        <w:t>Table 1: Reducing childhood obesity indicators</w:t>
      </w:r>
      <w:bookmarkEnd w:id="18"/>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426"/>
        <w:gridCol w:w="2551"/>
        <w:gridCol w:w="6379"/>
      </w:tblGrid>
      <w:tr w:rsidR="00A16A93" w:rsidRPr="00185595" w:rsidTr="002056B3">
        <w:trPr>
          <w:cantSplit/>
          <w:tblHeader/>
        </w:trPr>
        <w:tc>
          <w:tcPr>
            <w:tcW w:w="2977" w:type="dxa"/>
            <w:gridSpan w:val="2"/>
            <w:tcBorders>
              <w:top w:val="single" w:sz="4" w:space="0" w:color="auto"/>
              <w:bottom w:val="single" w:sz="4" w:space="0" w:color="auto"/>
            </w:tcBorders>
          </w:tcPr>
          <w:p w:rsidR="00A16A93" w:rsidRPr="00185595" w:rsidRDefault="00A16A93" w:rsidP="00185595">
            <w:pPr>
              <w:pStyle w:val="TableText"/>
              <w:rPr>
                <w:b/>
              </w:rPr>
            </w:pPr>
            <w:r w:rsidRPr="00185595">
              <w:rPr>
                <w:b/>
              </w:rPr>
              <w:t>Indicator</w:t>
            </w:r>
          </w:p>
        </w:tc>
        <w:tc>
          <w:tcPr>
            <w:tcW w:w="6379" w:type="dxa"/>
            <w:tcBorders>
              <w:top w:val="single" w:sz="4" w:space="0" w:color="auto"/>
              <w:bottom w:val="single" w:sz="4" w:space="0" w:color="auto"/>
            </w:tcBorders>
          </w:tcPr>
          <w:p w:rsidR="00A16A93" w:rsidRPr="00185595" w:rsidRDefault="00A16A93" w:rsidP="00185595">
            <w:pPr>
              <w:pStyle w:val="TableText"/>
              <w:rPr>
                <w:b/>
              </w:rPr>
            </w:pPr>
            <w:r w:rsidRPr="00185595">
              <w:rPr>
                <w:b/>
              </w:rPr>
              <w:t>Measure</w:t>
            </w:r>
          </w:p>
        </w:tc>
      </w:tr>
      <w:tr w:rsidR="00A16A93" w:rsidRPr="00185595" w:rsidTr="002056B3">
        <w:trPr>
          <w:cantSplit/>
        </w:trPr>
        <w:tc>
          <w:tcPr>
            <w:tcW w:w="9356" w:type="dxa"/>
            <w:gridSpan w:val="3"/>
            <w:tcBorders>
              <w:top w:val="single" w:sz="4" w:space="0" w:color="auto"/>
              <w:bottom w:val="single" w:sz="4" w:space="0" w:color="A6A6A6" w:themeColor="background1" w:themeShade="A6"/>
            </w:tcBorders>
          </w:tcPr>
          <w:p w:rsidR="00A16A93" w:rsidRPr="00185595" w:rsidRDefault="00A16A93" w:rsidP="00185595">
            <w:pPr>
              <w:pStyle w:val="TableText"/>
              <w:rPr>
                <w:b/>
              </w:rPr>
            </w:pPr>
            <w:r w:rsidRPr="00185595">
              <w:rPr>
                <w:b/>
              </w:rPr>
              <w:t>More children are physically active</w:t>
            </w:r>
          </w:p>
        </w:tc>
      </w:tr>
      <w:tr w:rsidR="00A16A93" w:rsidRPr="00A16A93" w:rsidTr="002056B3">
        <w:trPr>
          <w:cantSplit/>
        </w:trPr>
        <w:tc>
          <w:tcPr>
            <w:tcW w:w="426" w:type="dxa"/>
            <w:tcBorders>
              <w:top w:val="single" w:sz="4" w:space="0" w:color="A6A6A6" w:themeColor="background1" w:themeShade="A6"/>
              <w:bottom w:val="single" w:sz="4" w:space="0" w:color="A6A6A6" w:themeColor="background1" w:themeShade="A6"/>
            </w:tcBorders>
          </w:tcPr>
          <w:p w:rsidR="00A16A93" w:rsidRPr="00185595" w:rsidRDefault="00A16A93" w:rsidP="00185595">
            <w:pPr>
              <w:pStyle w:val="TableText"/>
            </w:pPr>
            <w:r w:rsidRPr="00185595">
              <w:t>1</w:t>
            </w:r>
          </w:p>
        </w:tc>
        <w:tc>
          <w:tcPr>
            <w:tcW w:w="2551" w:type="dxa"/>
            <w:tcBorders>
              <w:top w:val="single" w:sz="4" w:space="0" w:color="A6A6A6" w:themeColor="background1" w:themeShade="A6"/>
              <w:bottom w:val="single" w:sz="4" w:space="0" w:color="A6A6A6" w:themeColor="background1" w:themeShade="A6"/>
            </w:tcBorders>
          </w:tcPr>
          <w:p w:rsidR="00A16A93" w:rsidRPr="00185595" w:rsidRDefault="00A16A93" w:rsidP="002056B3">
            <w:pPr>
              <w:pStyle w:val="TableText"/>
              <w:ind w:right="113"/>
            </w:pPr>
            <w:r w:rsidRPr="00185595">
              <w:t>Time spent watching television, videos or screens</w:t>
            </w:r>
          </w:p>
        </w:tc>
        <w:tc>
          <w:tcPr>
            <w:tcW w:w="6379" w:type="dxa"/>
            <w:tcBorders>
              <w:top w:val="single" w:sz="4" w:space="0" w:color="A6A6A6" w:themeColor="background1" w:themeShade="A6"/>
              <w:bottom w:val="single" w:sz="4" w:space="0" w:color="A6A6A6" w:themeColor="background1" w:themeShade="A6"/>
            </w:tcBorders>
          </w:tcPr>
          <w:p w:rsidR="00A16A93" w:rsidRPr="00185595" w:rsidRDefault="00A16A93" w:rsidP="00185595">
            <w:pPr>
              <w:pStyle w:val="TableText"/>
            </w:pPr>
            <w:r w:rsidRPr="00185595">
              <w:t>Percentage of children (aged 2–14 years) who usually watch two or more hours of television (including DVDs and videos) per day</w:t>
            </w:r>
          </w:p>
        </w:tc>
      </w:tr>
      <w:tr w:rsidR="00A16A93" w:rsidRPr="00A16A93" w:rsidTr="002056B3">
        <w:trPr>
          <w:cantSplit/>
        </w:trPr>
        <w:tc>
          <w:tcPr>
            <w:tcW w:w="426" w:type="dxa"/>
            <w:tcBorders>
              <w:top w:val="single" w:sz="4" w:space="0" w:color="A6A6A6" w:themeColor="background1" w:themeShade="A6"/>
              <w:bottom w:val="single" w:sz="4" w:space="0" w:color="A6A6A6" w:themeColor="background1" w:themeShade="A6"/>
            </w:tcBorders>
          </w:tcPr>
          <w:p w:rsidR="00A16A93" w:rsidRPr="00185595" w:rsidRDefault="00A16A93" w:rsidP="00185595">
            <w:pPr>
              <w:pStyle w:val="TableText"/>
            </w:pPr>
            <w:r w:rsidRPr="00185595">
              <w:t>2</w:t>
            </w:r>
          </w:p>
        </w:tc>
        <w:tc>
          <w:tcPr>
            <w:tcW w:w="2551" w:type="dxa"/>
            <w:tcBorders>
              <w:top w:val="single" w:sz="4" w:space="0" w:color="A6A6A6" w:themeColor="background1" w:themeShade="A6"/>
              <w:bottom w:val="single" w:sz="4" w:space="0" w:color="A6A6A6" w:themeColor="background1" w:themeShade="A6"/>
            </w:tcBorders>
          </w:tcPr>
          <w:p w:rsidR="00A16A93" w:rsidRPr="00185595" w:rsidRDefault="00A16A93" w:rsidP="002056B3">
            <w:pPr>
              <w:pStyle w:val="TableText"/>
              <w:ind w:right="113"/>
            </w:pPr>
            <w:r w:rsidRPr="00185595">
              <w:t>Sleep duration</w:t>
            </w:r>
          </w:p>
        </w:tc>
        <w:tc>
          <w:tcPr>
            <w:tcW w:w="6379" w:type="dxa"/>
            <w:tcBorders>
              <w:top w:val="single" w:sz="4" w:space="0" w:color="A6A6A6" w:themeColor="background1" w:themeShade="A6"/>
              <w:bottom w:val="single" w:sz="4" w:space="0" w:color="A6A6A6" w:themeColor="background1" w:themeShade="A6"/>
            </w:tcBorders>
          </w:tcPr>
          <w:p w:rsidR="00A16A93" w:rsidRPr="00185595" w:rsidRDefault="00A16A93" w:rsidP="00185595">
            <w:pPr>
              <w:pStyle w:val="TableText"/>
            </w:pPr>
            <w:r w:rsidRPr="00185595">
              <w:t>Percentage of children (aged 5–13 years) who get 9–11 hours of sleep per day on average</w:t>
            </w:r>
          </w:p>
        </w:tc>
      </w:tr>
      <w:tr w:rsidR="00A16A93" w:rsidRPr="00A16A93" w:rsidTr="002056B3">
        <w:trPr>
          <w:cantSplit/>
        </w:trPr>
        <w:tc>
          <w:tcPr>
            <w:tcW w:w="426" w:type="dxa"/>
            <w:tcBorders>
              <w:top w:val="single" w:sz="4" w:space="0" w:color="A6A6A6" w:themeColor="background1" w:themeShade="A6"/>
              <w:bottom w:val="single" w:sz="4" w:space="0" w:color="auto"/>
            </w:tcBorders>
          </w:tcPr>
          <w:p w:rsidR="00A16A93" w:rsidRPr="00185595" w:rsidRDefault="00A16A93" w:rsidP="00185595">
            <w:pPr>
              <w:pStyle w:val="TableText"/>
            </w:pPr>
            <w:r w:rsidRPr="00185595">
              <w:t>3</w:t>
            </w:r>
          </w:p>
        </w:tc>
        <w:tc>
          <w:tcPr>
            <w:tcW w:w="2551" w:type="dxa"/>
            <w:tcBorders>
              <w:top w:val="single" w:sz="4" w:space="0" w:color="A6A6A6" w:themeColor="background1" w:themeShade="A6"/>
              <w:bottom w:val="single" w:sz="4" w:space="0" w:color="auto"/>
            </w:tcBorders>
          </w:tcPr>
          <w:p w:rsidR="00A16A93" w:rsidRPr="00185595" w:rsidRDefault="00A16A93" w:rsidP="002056B3">
            <w:pPr>
              <w:pStyle w:val="TableText"/>
              <w:ind w:right="113"/>
            </w:pPr>
            <w:r w:rsidRPr="00185595">
              <w:t>Time spent on physical activity</w:t>
            </w:r>
          </w:p>
        </w:tc>
        <w:tc>
          <w:tcPr>
            <w:tcW w:w="6379" w:type="dxa"/>
            <w:tcBorders>
              <w:top w:val="single" w:sz="4" w:space="0" w:color="A6A6A6" w:themeColor="background1" w:themeShade="A6"/>
              <w:bottom w:val="single" w:sz="4" w:space="0" w:color="auto"/>
            </w:tcBorders>
          </w:tcPr>
          <w:p w:rsidR="00A16A93" w:rsidRPr="00185595" w:rsidRDefault="00A16A93" w:rsidP="00185595">
            <w:pPr>
              <w:pStyle w:val="TableText"/>
            </w:pPr>
            <w:r w:rsidRPr="00185595">
              <w:t>Percentage of children (aged 5–17 years) who spent at least one hour per day being physically active (for sport, physical education, exercise or fun) over the last week</w:t>
            </w:r>
          </w:p>
        </w:tc>
      </w:tr>
      <w:tr w:rsidR="00A16A93" w:rsidRPr="00185595" w:rsidTr="002056B3">
        <w:trPr>
          <w:cantSplit/>
        </w:trPr>
        <w:tc>
          <w:tcPr>
            <w:tcW w:w="9356" w:type="dxa"/>
            <w:gridSpan w:val="3"/>
            <w:tcBorders>
              <w:top w:val="single" w:sz="4" w:space="0" w:color="auto"/>
              <w:bottom w:val="single" w:sz="4" w:space="0" w:color="A6A6A6" w:themeColor="background1" w:themeShade="A6"/>
            </w:tcBorders>
          </w:tcPr>
          <w:p w:rsidR="00A16A93" w:rsidRPr="00185595" w:rsidRDefault="00A16A93" w:rsidP="00185595">
            <w:pPr>
              <w:pStyle w:val="TableText"/>
              <w:rPr>
                <w:b/>
              </w:rPr>
            </w:pPr>
            <w:r w:rsidRPr="00185595">
              <w:rPr>
                <w:b/>
              </w:rPr>
              <w:t>More children eat well</w:t>
            </w:r>
          </w:p>
        </w:tc>
      </w:tr>
      <w:tr w:rsidR="00A16A93" w:rsidRPr="00A16A93" w:rsidTr="002056B3">
        <w:trPr>
          <w:cantSplit/>
        </w:trPr>
        <w:tc>
          <w:tcPr>
            <w:tcW w:w="426" w:type="dxa"/>
            <w:tcBorders>
              <w:top w:val="single" w:sz="4" w:space="0" w:color="A6A6A6" w:themeColor="background1" w:themeShade="A6"/>
              <w:bottom w:val="single" w:sz="4" w:space="0" w:color="A6A6A6" w:themeColor="background1" w:themeShade="A6"/>
            </w:tcBorders>
          </w:tcPr>
          <w:p w:rsidR="00A16A93" w:rsidRPr="00185595" w:rsidRDefault="00A16A93" w:rsidP="00185595">
            <w:pPr>
              <w:pStyle w:val="TableText"/>
            </w:pPr>
            <w:r w:rsidRPr="00185595">
              <w:t>4</w:t>
            </w:r>
          </w:p>
        </w:tc>
        <w:tc>
          <w:tcPr>
            <w:tcW w:w="2551" w:type="dxa"/>
            <w:tcBorders>
              <w:top w:val="single" w:sz="4" w:space="0" w:color="A6A6A6" w:themeColor="background1" w:themeShade="A6"/>
              <w:bottom w:val="single" w:sz="4" w:space="0" w:color="A6A6A6" w:themeColor="background1" w:themeShade="A6"/>
            </w:tcBorders>
          </w:tcPr>
          <w:p w:rsidR="00A16A93" w:rsidRPr="00185595" w:rsidRDefault="002056B3" w:rsidP="002056B3">
            <w:pPr>
              <w:pStyle w:val="TableText"/>
              <w:ind w:right="113"/>
            </w:pPr>
            <w:r>
              <w:t>Breastfeeding</w:t>
            </w:r>
          </w:p>
        </w:tc>
        <w:tc>
          <w:tcPr>
            <w:tcW w:w="6379" w:type="dxa"/>
            <w:tcBorders>
              <w:top w:val="single" w:sz="4" w:space="0" w:color="A6A6A6" w:themeColor="background1" w:themeShade="A6"/>
              <w:bottom w:val="single" w:sz="4" w:space="0" w:color="A6A6A6" w:themeColor="background1" w:themeShade="A6"/>
            </w:tcBorders>
          </w:tcPr>
          <w:p w:rsidR="00A16A93" w:rsidRPr="00185595" w:rsidRDefault="00A16A93" w:rsidP="00185595">
            <w:pPr>
              <w:pStyle w:val="TableText"/>
            </w:pPr>
            <w:r w:rsidRPr="00185595">
              <w:t>Percentage of infants who are exclusively or fully breastfed at two weeks, six weeks and three months</w:t>
            </w:r>
          </w:p>
          <w:p w:rsidR="00A16A93" w:rsidRPr="00185595" w:rsidRDefault="00A16A93" w:rsidP="00185595">
            <w:pPr>
              <w:pStyle w:val="TableText"/>
            </w:pPr>
            <w:r w:rsidRPr="00185595">
              <w:t xml:space="preserve">Percentage of infants who are still receiving breast milk at six months </w:t>
            </w:r>
          </w:p>
        </w:tc>
      </w:tr>
      <w:tr w:rsidR="00A16A93" w:rsidRPr="00A16A93" w:rsidTr="002056B3">
        <w:trPr>
          <w:cantSplit/>
        </w:trPr>
        <w:tc>
          <w:tcPr>
            <w:tcW w:w="426" w:type="dxa"/>
            <w:tcBorders>
              <w:top w:val="single" w:sz="4" w:space="0" w:color="A6A6A6" w:themeColor="background1" w:themeShade="A6"/>
              <w:bottom w:val="single" w:sz="4" w:space="0" w:color="A6A6A6" w:themeColor="background1" w:themeShade="A6"/>
            </w:tcBorders>
          </w:tcPr>
          <w:p w:rsidR="00A16A93" w:rsidRPr="00185595" w:rsidRDefault="00A16A93" w:rsidP="00185595">
            <w:pPr>
              <w:pStyle w:val="TableText"/>
            </w:pPr>
            <w:r w:rsidRPr="00185595">
              <w:t>5</w:t>
            </w:r>
          </w:p>
        </w:tc>
        <w:tc>
          <w:tcPr>
            <w:tcW w:w="2551" w:type="dxa"/>
            <w:tcBorders>
              <w:top w:val="single" w:sz="4" w:space="0" w:color="A6A6A6" w:themeColor="background1" w:themeShade="A6"/>
              <w:bottom w:val="single" w:sz="4" w:space="0" w:color="A6A6A6" w:themeColor="background1" w:themeShade="A6"/>
            </w:tcBorders>
          </w:tcPr>
          <w:p w:rsidR="00A16A93" w:rsidRPr="00185595" w:rsidRDefault="00A16A93" w:rsidP="002056B3">
            <w:pPr>
              <w:pStyle w:val="TableText"/>
              <w:ind w:right="113"/>
            </w:pPr>
            <w:r w:rsidRPr="00185595">
              <w:t>Consumption of fast foods</w:t>
            </w:r>
          </w:p>
        </w:tc>
        <w:tc>
          <w:tcPr>
            <w:tcW w:w="6379" w:type="dxa"/>
            <w:tcBorders>
              <w:top w:val="single" w:sz="4" w:space="0" w:color="A6A6A6" w:themeColor="background1" w:themeShade="A6"/>
              <w:bottom w:val="single" w:sz="4" w:space="0" w:color="A6A6A6" w:themeColor="background1" w:themeShade="A6"/>
            </w:tcBorders>
          </w:tcPr>
          <w:p w:rsidR="00A16A93" w:rsidRPr="00185595" w:rsidRDefault="00A16A93" w:rsidP="00185595">
            <w:pPr>
              <w:pStyle w:val="TableText"/>
            </w:pPr>
            <w:r w:rsidRPr="00185595">
              <w:t>Percentage of children (aged 2–14 years) who ate fast food at least once in the past week</w:t>
            </w:r>
          </w:p>
        </w:tc>
      </w:tr>
      <w:tr w:rsidR="00A16A93" w:rsidRPr="00A16A93" w:rsidTr="002056B3">
        <w:trPr>
          <w:cantSplit/>
        </w:trPr>
        <w:tc>
          <w:tcPr>
            <w:tcW w:w="426" w:type="dxa"/>
            <w:tcBorders>
              <w:top w:val="single" w:sz="4" w:space="0" w:color="A6A6A6" w:themeColor="background1" w:themeShade="A6"/>
              <w:bottom w:val="single" w:sz="4" w:space="0" w:color="A6A6A6" w:themeColor="background1" w:themeShade="A6"/>
            </w:tcBorders>
          </w:tcPr>
          <w:p w:rsidR="00A16A93" w:rsidRPr="00185595" w:rsidRDefault="00A16A93" w:rsidP="00185595">
            <w:pPr>
              <w:pStyle w:val="TableText"/>
            </w:pPr>
            <w:r w:rsidRPr="00185595">
              <w:t>6</w:t>
            </w:r>
          </w:p>
        </w:tc>
        <w:tc>
          <w:tcPr>
            <w:tcW w:w="2551" w:type="dxa"/>
            <w:tcBorders>
              <w:top w:val="single" w:sz="4" w:space="0" w:color="A6A6A6" w:themeColor="background1" w:themeShade="A6"/>
              <w:bottom w:val="single" w:sz="4" w:space="0" w:color="A6A6A6" w:themeColor="background1" w:themeShade="A6"/>
            </w:tcBorders>
          </w:tcPr>
          <w:p w:rsidR="00A16A93" w:rsidRPr="00185595" w:rsidRDefault="00A16A93" w:rsidP="002056B3">
            <w:pPr>
              <w:pStyle w:val="TableText"/>
              <w:ind w:right="113"/>
            </w:pPr>
            <w:r w:rsidRPr="00185595">
              <w:t>Consumption of sugary drinks</w:t>
            </w:r>
          </w:p>
        </w:tc>
        <w:tc>
          <w:tcPr>
            <w:tcW w:w="6379" w:type="dxa"/>
            <w:tcBorders>
              <w:top w:val="single" w:sz="4" w:space="0" w:color="A6A6A6" w:themeColor="background1" w:themeShade="A6"/>
              <w:bottom w:val="single" w:sz="4" w:space="0" w:color="A6A6A6" w:themeColor="background1" w:themeShade="A6"/>
            </w:tcBorders>
          </w:tcPr>
          <w:p w:rsidR="00A16A93" w:rsidRPr="00185595" w:rsidRDefault="00A16A93" w:rsidP="00185595">
            <w:pPr>
              <w:pStyle w:val="TableText"/>
            </w:pPr>
            <w:r w:rsidRPr="00185595">
              <w:t>Percentage of children (aged 2–14 years) who had fizzy drink three or more times in the past week</w:t>
            </w:r>
          </w:p>
        </w:tc>
      </w:tr>
      <w:tr w:rsidR="00A16A93" w:rsidRPr="00A16A93" w:rsidTr="002056B3">
        <w:trPr>
          <w:cantSplit/>
        </w:trPr>
        <w:tc>
          <w:tcPr>
            <w:tcW w:w="426" w:type="dxa"/>
            <w:tcBorders>
              <w:top w:val="single" w:sz="4" w:space="0" w:color="A6A6A6" w:themeColor="background1" w:themeShade="A6"/>
              <w:bottom w:val="single" w:sz="4" w:space="0" w:color="auto"/>
            </w:tcBorders>
          </w:tcPr>
          <w:p w:rsidR="00A16A93" w:rsidRPr="00185595" w:rsidRDefault="00A16A93" w:rsidP="00185595">
            <w:pPr>
              <w:pStyle w:val="TableText"/>
            </w:pPr>
            <w:r w:rsidRPr="00185595">
              <w:t>7</w:t>
            </w:r>
          </w:p>
        </w:tc>
        <w:tc>
          <w:tcPr>
            <w:tcW w:w="2551" w:type="dxa"/>
            <w:tcBorders>
              <w:top w:val="single" w:sz="4" w:space="0" w:color="A6A6A6" w:themeColor="background1" w:themeShade="A6"/>
              <w:bottom w:val="single" w:sz="4" w:space="0" w:color="auto"/>
            </w:tcBorders>
          </w:tcPr>
          <w:p w:rsidR="00A16A93" w:rsidRPr="00185595" w:rsidRDefault="00A16A93" w:rsidP="002056B3">
            <w:pPr>
              <w:pStyle w:val="TableText"/>
              <w:ind w:right="113"/>
            </w:pPr>
            <w:r w:rsidRPr="00185595">
              <w:t>Fruit and vegetable intake</w:t>
            </w:r>
          </w:p>
        </w:tc>
        <w:tc>
          <w:tcPr>
            <w:tcW w:w="6379" w:type="dxa"/>
            <w:tcBorders>
              <w:top w:val="single" w:sz="4" w:space="0" w:color="A6A6A6" w:themeColor="background1" w:themeShade="A6"/>
              <w:bottom w:val="single" w:sz="4" w:space="0" w:color="auto"/>
            </w:tcBorders>
          </w:tcPr>
          <w:p w:rsidR="00A16A93" w:rsidRPr="00185595" w:rsidRDefault="00A16A93" w:rsidP="00185595">
            <w:pPr>
              <w:pStyle w:val="TableText"/>
            </w:pPr>
            <w:r w:rsidRPr="00185595">
              <w:t>Percentage of children (aged 2–14 years) who eat at least two servings of fruit each day</w:t>
            </w:r>
          </w:p>
          <w:p w:rsidR="00A16A93" w:rsidRPr="00185595" w:rsidRDefault="00A16A93" w:rsidP="00185595">
            <w:pPr>
              <w:pStyle w:val="TableText"/>
            </w:pPr>
            <w:r w:rsidRPr="00185595">
              <w:t>Percentage of children (aged 2–14 years) who meet New Zealand’s age-specific vegetable intake guidelines</w:t>
            </w:r>
          </w:p>
        </w:tc>
      </w:tr>
      <w:tr w:rsidR="00A16A93" w:rsidRPr="00185595" w:rsidTr="002056B3">
        <w:trPr>
          <w:cantSplit/>
        </w:trPr>
        <w:tc>
          <w:tcPr>
            <w:tcW w:w="9356" w:type="dxa"/>
            <w:gridSpan w:val="3"/>
            <w:tcBorders>
              <w:top w:val="single" w:sz="4" w:space="0" w:color="auto"/>
              <w:bottom w:val="single" w:sz="4" w:space="0" w:color="A6A6A6" w:themeColor="background1" w:themeShade="A6"/>
            </w:tcBorders>
          </w:tcPr>
          <w:p w:rsidR="00A16A93" w:rsidRPr="00185595" w:rsidRDefault="00A16A93" w:rsidP="00185595">
            <w:pPr>
              <w:pStyle w:val="TableText"/>
              <w:rPr>
                <w:b/>
              </w:rPr>
            </w:pPr>
            <w:r w:rsidRPr="00185595">
              <w:rPr>
                <w:b/>
              </w:rPr>
              <w:t>Children’s environments support physical activity and healthy living</w:t>
            </w:r>
          </w:p>
        </w:tc>
      </w:tr>
      <w:tr w:rsidR="00A16A93" w:rsidRPr="00A16A93" w:rsidTr="002056B3">
        <w:trPr>
          <w:cantSplit/>
        </w:trPr>
        <w:tc>
          <w:tcPr>
            <w:tcW w:w="426" w:type="dxa"/>
            <w:tcBorders>
              <w:top w:val="single" w:sz="4" w:space="0" w:color="A6A6A6" w:themeColor="background1" w:themeShade="A6"/>
              <w:bottom w:val="single" w:sz="4" w:space="0" w:color="A6A6A6" w:themeColor="background1" w:themeShade="A6"/>
            </w:tcBorders>
          </w:tcPr>
          <w:p w:rsidR="00A16A93" w:rsidRPr="00185595" w:rsidRDefault="00A16A93" w:rsidP="00185595">
            <w:pPr>
              <w:pStyle w:val="TableText"/>
            </w:pPr>
            <w:r w:rsidRPr="00185595">
              <w:t>8</w:t>
            </w:r>
          </w:p>
        </w:tc>
        <w:tc>
          <w:tcPr>
            <w:tcW w:w="2551" w:type="dxa"/>
            <w:tcBorders>
              <w:top w:val="single" w:sz="4" w:space="0" w:color="A6A6A6" w:themeColor="background1" w:themeShade="A6"/>
              <w:bottom w:val="single" w:sz="4" w:space="0" w:color="A6A6A6" w:themeColor="background1" w:themeShade="A6"/>
            </w:tcBorders>
          </w:tcPr>
          <w:p w:rsidR="00A16A93" w:rsidRPr="00185595" w:rsidRDefault="00A16A93" w:rsidP="002056B3">
            <w:pPr>
              <w:pStyle w:val="TableText"/>
              <w:ind w:right="113"/>
            </w:pPr>
            <w:r w:rsidRPr="00185595">
              <w:t>Awareness of the Health Star Rating system</w:t>
            </w:r>
          </w:p>
        </w:tc>
        <w:tc>
          <w:tcPr>
            <w:tcW w:w="6379" w:type="dxa"/>
            <w:tcBorders>
              <w:top w:val="single" w:sz="4" w:space="0" w:color="A6A6A6" w:themeColor="background1" w:themeShade="A6"/>
              <w:bottom w:val="single" w:sz="4" w:space="0" w:color="A6A6A6" w:themeColor="background1" w:themeShade="A6"/>
            </w:tcBorders>
          </w:tcPr>
          <w:p w:rsidR="00A16A93" w:rsidRPr="00185595" w:rsidRDefault="00A16A93" w:rsidP="00185595">
            <w:pPr>
              <w:pStyle w:val="TableText"/>
            </w:pPr>
            <w:r w:rsidRPr="00185595">
              <w:t>Percentage of grocery shoppers who recognise the Health Star Rating system when prompted</w:t>
            </w:r>
          </w:p>
          <w:p w:rsidR="00A16A93" w:rsidRPr="00185595" w:rsidRDefault="00A16A93" w:rsidP="00185595">
            <w:pPr>
              <w:pStyle w:val="TableText"/>
            </w:pPr>
            <w:r w:rsidRPr="00185595">
              <w:t>Percentage of grocery shoppers who understand the Health Star Rating system</w:t>
            </w:r>
          </w:p>
          <w:p w:rsidR="00A16A93" w:rsidRPr="00185595" w:rsidRDefault="00A16A93" w:rsidP="00185595">
            <w:pPr>
              <w:pStyle w:val="TableText"/>
            </w:pPr>
            <w:r w:rsidRPr="00185595">
              <w:t>Percentage of grocery shoppers who use the Health Star Rating system when shopping</w:t>
            </w:r>
          </w:p>
        </w:tc>
      </w:tr>
      <w:tr w:rsidR="00A16A93" w:rsidRPr="00A16A93" w:rsidTr="002056B3">
        <w:trPr>
          <w:cantSplit/>
        </w:trPr>
        <w:tc>
          <w:tcPr>
            <w:tcW w:w="426" w:type="dxa"/>
            <w:tcBorders>
              <w:top w:val="single" w:sz="4" w:space="0" w:color="A6A6A6" w:themeColor="background1" w:themeShade="A6"/>
              <w:bottom w:val="single" w:sz="4" w:space="0" w:color="A6A6A6" w:themeColor="background1" w:themeShade="A6"/>
            </w:tcBorders>
          </w:tcPr>
          <w:p w:rsidR="00A16A93" w:rsidRPr="00185595" w:rsidRDefault="00A16A93" w:rsidP="00185595">
            <w:pPr>
              <w:pStyle w:val="TableText"/>
            </w:pPr>
            <w:r w:rsidRPr="00185595">
              <w:t>9</w:t>
            </w:r>
          </w:p>
        </w:tc>
        <w:tc>
          <w:tcPr>
            <w:tcW w:w="2551" w:type="dxa"/>
            <w:tcBorders>
              <w:top w:val="single" w:sz="4" w:space="0" w:color="A6A6A6" w:themeColor="background1" w:themeShade="A6"/>
              <w:bottom w:val="single" w:sz="4" w:space="0" w:color="A6A6A6" w:themeColor="background1" w:themeShade="A6"/>
            </w:tcBorders>
          </w:tcPr>
          <w:p w:rsidR="00A16A93" w:rsidRPr="00185595" w:rsidRDefault="00A16A93" w:rsidP="002056B3">
            <w:pPr>
              <w:pStyle w:val="TableText"/>
              <w:ind w:right="113"/>
            </w:pPr>
            <w:r w:rsidRPr="00185595">
              <w:t>Active transport to and from school</w:t>
            </w:r>
          </w:p>
        </w:tc>
        <w:tc>
          <w:tcPr>
            <w:tcW w:w="6379" w:type="dxa"/>
            <w:tcBorders>
              <w:top w:val="single" w:sz="4" w:space="0" w:color="A6A6A6" w:themeColor="background1" w:themeShade="A6"/>
              <w:bottom w:val="single" w:sz="4" w:space="0" w:color="A6A6A6" w:themeColor="background1" w:themeShade="A6"/>
            </w:tcBorders>
          </w:tcPr>
          <w:p w:rsidR="00A16A93" w:rsidRPr="00185595" w:rsidRDefault="00A16A93" w:rsidP="00185595">
            <w:pPr>
              <w:pStyle w:val="TableText"/>
              <w:rPr>
                <w:highlight w:val="yellow"/>
              </w:rPr>
            </w:pPr>
            <w:r w:rsidRPr="00185595">
              <w:t>Percentage of children (aged 5–14 years) who usually use an active mode of transport, such as walking, biking or skating, to get to and from school</w:t>
            </w:r>
          </w:p>
        </w:tc>
      </w:tr>
      <w:tr w:rsidR="00A16A93" w:rsidRPr="00A16A93" w:rsidTr="002056B3">
        <w:trPr>
          <w:cantSplit/>
        </w:trPr>
        <w:tc>
          <w:tcPr>
            <w:tcW w:w="426" w:type="dxa"/>
            <w:tcBorders>
              <w:top w:val="single" w:sz="4" w:space="0" w:color="A6A6A6" w:themeColor="background1" w:themeShade="A6"/>
              <w:bottom w:val="single" w:sz="4" w:space="0" w:color="A6A6A6" w:themeColor="background1" w:themeShade="A6"/>
            </w:tcBorders>
          </w:tcPr>
          <w:p w:rsidR="00A16A93" w:rsidRPr="00185595" w:rsidRDefault="00A16A93" w:rsidP="00185595">
            <w:pPr>
              <w:pStyle w:val="TableText"/>
            </w:pPr>
            <w:r w:rsidRPr="00185595">
              <w:t>10</w:t>
            </w:r>
          </w:p>
        </w:tc>
        <w:tc>
          <w:tcPr>
            <w:tcW w:w="2551" w:type="dxa"/>
            <w:tcBorders>
              <w:top w:val="single" w:sz="4" w:space="0" w:color="A6A6A6" w:themeColor="background1" w:themeShade="A6"/>
              <w:bottom w:val="single" w:sz="4" w:space="0" w:color="A6A6A6" w:themeColor="background1" w:themeShade="A6"/>
            </w:tcBorders>
          </w:tcPr>
          <w:p w:rsidR="00A16A93" w:rsidRPr="00185595" w:rsidRDefault="002056B3" w:rsidP="00EE5581">
            <w:pPr>
              <w:pStyle w:val="TableText"/>
              <w:ind w:right="113"/>
            </w:pPr>
            <w:r>
              <w:t>Use of a bi</w:t>
            </w:r>
            <w:r w:rsidR="00EE5581">
              <w:t>ke</w:t>
            </w:r>
          </w:p>
        </w:tc>
        <w:tc>
          <w:tcPr>
            <w:tcW w:w="6379" w:type="dxa"/>
            <w:tcBorders>
              <w:top w:val="single" w:sz="4" w:space="0" w:color="A6A6A6" w:themeColor="background1" w:themeShade="A6"/>
              <w:bottom w:val="single" w:sz="4" w:space="0" w:color="A6A6A6" w:themeColor="background1" w:themeShade="A6"/>
            </w:tcBorders>
          </w:tcPr>
          <w:p w:rsidR="00A16A93" w:rsidRPr="00185595" w:rsidRDefault="00A16A93" w:rsidP="00185595">
            <w:pPr>
              <w:pStyle w:val="TableText"/>
            </w:pPr>
            <w:r w:rsidRPr="00185595">
              <w:t>Percentage of children (aged 5–17 years) who have ridden a bi</w:t>
            </w:r>
            <w:r w:rsidR="00EE5581">
              <w:t>ke</w:t>
            </w:r>
            <w:r w:rsidRPr="00185595">
              <w:t xml:space="preserve"> in the last week for sport, exercise or fun</w:t>
            </w:r>
          </w:p>
          <w:p w:rsidR="00A16A93" w:rsidRPr="00185595" w:rsidRDefault="00A16A93" w:rsidP="00EE5581">
            <w:pPr>
              <w:pStyle w:val="TableText"/>
            </w:pPr>
            <w:r w:rsidRPr="00185595">
              <w:t>Average number of hours children (aged 5–17 years) spent riding a bi</w:t>
            </w:r>
            <w:r w:rsidR="00EE5581">
              <w:t>ke</w:t>
            </w:r>
            <w:r w:rsidRPr="00185595">
              <w:t xml:space="preserve"> in the last week for sport, exercise or fun</w:t>
            </w:r>
          </w:p>
        </w:tc>
      </w:tr>
      <w:tr w:rsidR="00A16A93" w:rsidRPr="00A16A93" w:rsidTr="002056B3">
        <w:trPr>
          <w:cantSplit/>
        </w:trPr>
        <w:tc>
          <w:tcPr>
            <w:tcW w:w="426" w:type="dxa"/>
            <w:tcBorders>
              <w:top w:val="single" w:sz="4" w:space="0" w:color="A6A6A6" w:themeColor="background1" w:themeShade="A6"/>
              <w:bottom w:val="single" w:sz="4" w:space="0" w:color="auto"/>
            </w:tcBorders>
          </w:tcPr>
          <w:p w:rsidR="00A16A93" w:rsidRPr="00185595" w:rsidRDefault="00A16A93" w:rsidP="00185595">
            <w:pPr>
              <w:pStyle w:val="TableText"/>
            </w:pPr>
            <w:r w:rsidRPr="00185595">
              <w:t>11</w:t>
            </w:r>
          </w:p>
        </w:tc>
        <w:tc>
          <w:tcPr>
            <w:tcW w:w="2551" w:type="dxa"/>
            <w:tcBorders>
              <w:top w:val="single" w:sz="4" w:space="0" w:color="A6A6A6" w:themeColor="background1" w:themeShade="A6"/>
              <w:bottom w:val="single" w:sz="4" w:space="0" w:color="auto"/>
            </w:tcBorders>
          </w:tcPr>
          <w:p w:rsidR="00A16A93" w:rsidRPr="00185595" w:rsidRDefault="00A16A93" w:rsidP="002056B3">
            <w:pPr>
              <w:pStyle w:val="TableText"/>
              <w:ind w:right="113"/>
            </w:pPr>
            <w:r w:rsidRPr="00185595">
              <w:t>Water in schools</w:t>
            </w:r>
          </w:p>
        </w:tc>
        <w:tc>
          <w:tcPr>
            <w:tcW w:w="6379" w:type="dxa"/>
            <w:tcBorders>
              <w:top w:val="single" w:sz="4" w:space="0" w:color="A6A6A6" w:themeColor="background1" w:themeShade="A6"/>
              <w:bottom w:val="single" w:sz="4" w:space="0" w:color="auto"/>
            </w:tcBorders>
          </w:tcPr>
          <w:p w:rsidR="00A16A93" w:rsidRPr="00185595" w:rsidRDefault="00A16A93" w:rsidP="00185595">
            <w:pPr>
              <w:pStyle w:val="TableText"/>
            </w:pPr>
            <w:r w:rsidRPr="00185595">
              <w:t>This measure is still under development</w:t>
            </w:r>
          </w:p>
        </w:tc>
      </w:tr>
      <w:tr w:rsidR="00A16A93" w:rsidRPr="002056B3" w:rsidTr="002056B3">
        <w:trPr>
          <w:cantSplit/>
        </w:trPr>
        <w:tc>
          <w:tcPr>
            <w:tcW w:w="9356" w:type="dxa"/>
            <w:gridSpan w:val="3"/>
            <w:tcBorders>
              <w:top w:val="single" w:sz="4" w:space="0" w:color="auto"/>
              <w:bottom w:val="single" w:sz="4" w:space="0" w:color="A6A6A6" w:themeColor="background1" w:themeShade="A6"/>
            </w:tcBorders>
          </w:tcPr>
          <w:p w:rsidR="00A16A93" w:rsidRPr="002056B3" w:rsidRDefault="00A16A93" w:rsidP="002056B3">
            <w:pPr>
              <w:pStyle w:val="TableText"/>
              <w:keepNext/>
              <w:rPr>
                <w:b/>
              </w:rPr>
            </w:pPr>
            <w:r w:rsidRPr="002056B3">
              <w:rPr>
                <w:b/>
              </w:rPr>
              <w:lastRenderedPageBreak/>
              <w:t>More children have improved outcomes</w:t>
            </w:r>
          </w:p>
        </w:tc>
      </w:tr>
      <w:tr w:rsidR="00A16A93" w:rsidRPr="00A16A93" w:rsidTr="002056B3">
        <w:trPr>
          <w:cantSplit/>
        </w:trPr>
        <w:tc>
          <w:tcPr>
            <w:tcW w:w="426" w:type="dxa"/>
            <w:tcBorders>
              <w:top w:val="single" w:sz="4" w:space="0" w:color="A6A6A6" w:themeColor="background1" w:themeShade="A6"/>
              <w:bottom w:val="single" w:sz="4" w:space="0" w:color="A6A6A6" w:themeColor="background1" w:themeShade="A6"/>
            </w:tcBorders>
          </w:tcPr>
          <w:p w:rsidR="00A16A93" w:rsidRPr="00185595" w:rsidRDefault="00A16A93" w:rsidP="002056B3">
            <w:pPr>
              <w:pStyle w:val="TableText"/>
              <w:keepNext/>
            </w:pPr>
            <w:r w:rsidRPr="00185595">
              <w:t>12</w:t>
            </w:r>
          </w:p>
        </w:tc>
        <w:tc>
          <w:tcPr>
            <w:tcW w:w="2551" w:type="dxa"/>
            <w:tcBorders>
              <w:top w:val="single" w:sz="4" w:space="0" w:color="A6A6A6" w:themeColor="background1" w:themeShade="A6"/>
              <w:bottom w:val="single" w:sz="4" w:space="0" w:color="A6A6A6" w:themeColor="background1" w:themeShade="A6"/>
            </w:tcBorders>
          </w:tcPr>
          <w:p w:rsidR="00A16A93" w:rsidRPr="00185595" w:rsidRDefault="002056B3" w:rsidP="002056B3">
            <w:pPr>
              <w:pStyle w:val="TableText"/>
              <w:keepNext/>
              <w:ind w:right="113"/>
            </w:pPr>
            <w:r>
              <w:t>Body mass index</w:t>
            </w:r>
          </w:p>
        </w:tc>
        <w:tc>
          <w:tcPr>
            <w:tcW w:w="6379" w:type="dxa"/>
            <w:tcBorders>
              <w:top w:val="single" w:sz="4" w:space="0" w:color="A6A6A6" w:themeColor="background1" w:themeShade="A6"/>
              <w:bottom w:val="single" w:sz="4" w:space="0" w:color="A6A6A6" w:themeColor="background1" w:themeShade="A6"/>
            </w:tcBorders>
          </w:tcPr>
          <w:p w:rsidR="00A16A93" w:rsidRPr="00185595" w:rsidRDefault="00A16A93" w:rsidP="002056B3">
            <w:pPr>
              <w:pStyle w:val="TableText"/>
              <w:keepNext/>
            </w:pPr>
            <w:r w:rsidRPr="00185595">
              <w:t>Percentage of children (aged 2–14 years) with a BMI that indicates they are thin, a healthy weight, overweight (but not obese) or obese</w:t>
            </w:r>
          </w:p>
        </w:tc>
      </w:tr>
      <w:tr w:rsidR="00A16A93" w:rsidRPr="00A16A93" w:rsidTr="002056B3">
        <w:trPr>
          <w:cantSplit/>
        </w:trPr>
        <w:tc>
          <w:tcPr>
            <w:tcW w:w="426" w:type="dxa"/>
            <w:tcBorders>
              <w:top w:val="single" w:sz="4" w:space="0" w:color="A6A6A6" w:themeColor="background1" w:themeShade="A6"/>
              <w:bottom w:val="single" w:sz="4" w:space="0" w:color="A6A6A6" w:themeColor="background1" w:themeShade="A6"/>
            </w:tcBorders>
          </w:tcPr>
          <w:p w:rsidR="00A16A93" w:rsidRPr="00185595" w:rsidRDefault="00A16A93" w:rsidP="002056B3">
            <w:pPr>
              <w:pStyle w:val="TableText"/>
              <w:keepNext/>
            </w:pPr>
            <w:r w:rsidRPr="00185595">
              <w:t>13</w:t>
            </w:r>
          </w:p>
        </w:tc>
        <w:tc>
          <w:tcPr>
            <w:tcW w:w="2551" w:type="dxa"/>
            <w:tcBorders>
              <w:top w:val="single" w:sz="4" w:space="0" w:color="A6A6A6" w:themeColor="background1" w:themeShade="A6"/>
              <w:bottom w:val="single" w:sz="4" w:space="0" w:color="A6A6A6" w:themeColor="background1" w:themeShade="A6"/>
            </w:tcBorders>
          </w:tcPr>
          <w:p w:rsidR="00A16A93" w:rsidRPr="00185595" w:rsidRDefault="00A16A93" w:rsidP="002056B3">
            <w:pPr>
              <w:pStyle w:val="TableText"/>
              <w:keepNext/>
              <w:ind w:right="113"/>
            </w:pPr>
            <w:r w:rsidRPr="00185595">
              <w:t>Gestational diabetes</w:t>
            </w:r>
          </w:p>
        </w:tc>
        <w:tc>
          <w:tcPr>
            <w:tcW w:w="6379" w:type="dxa"/>
            <w:tcBorders>
              <w:top w:val="single" w:sz="4" w:space="0" w:color="A6A6A6" w:themeColor="background1" w:themeShade="A6"/>
              <w:bottom w:val="single" w:sz="4" w:space="0" w:color="A6A6A6" w:themeColor="background1" w:themeShade="A6"/>
            </w:tcBorders>
          </w:tcPr>
          <w:p w:rsidR="00A16A93" w:rsidRPr="00185595" w:rsidRDefault="00A16A93" w:rsidP="002056B3">
            <w:pPr>
              <w:pStyle w:val="TableText"/>
              <w:keepNext/>
            </w:pPr>
            <w:r w:rsidRPr="00185595">
              <w:t>Percentage of births where the mother had gestational diabetes</w:t>
            </w:r>
          </w:p>
        </w:tc>
      </w:tr>
      <w:tr w:rsidR="00A16A93" w:rsidRPr="00A16A93" w:rsidTr="002056B3">
        <w:trPr>
          <w:cantSplit/>
        </w:trPr>
        <w:tc>
          <w:tcPr>
            <w:tcW w:w="426" w:type="dxa"/>
            <w:tcBorders>
              <w:top w:val="single" w:sz="4" w:space="0" w:color="A6A6A6" w:themeColor="background1" w:themeShade="A6"/>
              <w:bottom w:val="single" w:sz="4" w:space="0" w:color="A6A6A6" w:themeColor="background1" w:themeShade="A6"/>
            </w:tcBorders>
          </w:tcPr>
          <w:p w:rsidR="00A16A93" w:rsidRPr="00185595" w:rsidRDefault="00A16A93" w:rsidP="00185595">
            <w:pPr>
              <w:pStyle w:val="TableText"/>
            </w:pPr>
            <w:r w:rsidRPr="00185595">
              <w:t>14</w:t>
            </w:r>
          </w:p>
        </w:tc>
        <w:tc>
          <w:tcPr>
            <w:tcW w:w="2551" w:type="dxa"/>
            <w:tcBorders>
              <w:top w:val="single" w:sz="4" w:space="0" w:color="A6A6A6" w:themeColor="background1" w:themeShade="A6"/>
              <w:bottom w:val="single" w:sz="4" w:space="0" w:color="A6A6A6" w:themeColor="background1" w:themeShade="A6"/>
            </w:tcBorders>
          </w:tcPr>
          <w:p w:rsidR="00A16A93" w:rsidRPr="00185595" w:rsidRDefault="00A16A93" w:rsidP="002056B3">
            <w:pPr>
              <w:pStyle w:val="TableText"/>
              <w:ind w:right="113"/>
            </w:pPr>
            <w:r w:rsidRPr="00185595">
              <w:t>Raising Healthy Kids health target</w:t>
            </w:r>
          </w:p>
        </w:tc>
        <w:tc>
          <w:tcPr>
            <w:tcW w:w="6379" w:type="dxa"/>
            <w:tcBorders>
              <w:top w:val="single" w:sz="4" w:space="0" w:color="A6A6A6" w:themeColor="background1" w:themeShade="A6"/>
              <w:bottom w:val="single" w:sz="4" w:space="0" w:color="A6A6A6" w:themeColor="background1" w:themeShade="A6"/>
            </w:tcBorders>
          </w:tcPr>
          <w:p w:rsidR="00A16A93" w:rsidRPr="00185595" w:rsidRDefault="00A16A93" w:rsidP="00185595">
            <w:pPr>
              <w:pStyle w:val="TableText"/>
            </w:pPr>
            <w:r w:rsidRPr="00185595">
              <w:t>Percentage of obese children identified in the B4 School Check programme who were offered a referral to a health professional for clinical assessment and family-based nutrition, activity and lifestyle intervention</w:t>
            </w:r>
          </w:p>
        </w:tc>
      </w:tr>
      <w:tr w:rsidR="00A16A93" w:rsidRPr="00A16A93" w:rsidTr="002056B3">
        <w:trPr>
          <w:cantSplit/>
        </w:trPr>
        <w:tc>
          <w:tcPr>
            <w:tcW w:w="426" w:type="dxa"/>
            <w:tcBorders>
              <w:top w:val="single" w:sz="4" w:space="0" w:color="A6A6A6" w:themeColor="background1" w:themeShade="A6"/>
              <w:bottom w:val="single" w:sz="4" w:space="0" w:color="auto"/>
            </w:tcBorders>
          </w:tcPr>
          <w:p w:rsidR="00A16A93" w:rsidRPr="00185595" w:rsidRDefault="00A16A93" w:rsidP="00185595">
            <w:pPr>
              <w:pStyle w:val="TableText"/>
            </w:pPr>
            <w:r w:rsidRPr="00185595">
              <w:t>15</w:t>
            </w:r>
          </w:p>
        </w:tc>
        <w:tc>
          <w:tcPr>
            <w:tcW w:w="2551" w:type="dxa"/>
            <w:tcBorders>
              <w:top w:val="single" w:sz="4" w:space="0" w:color="A6A6A6" w:themeColor="background1" w:themeShade="A6"/>
              <w:bottom w:val="single" w:sz="4" w:space="0" w:color="auto"/>
            </w:tcBorders>
          </w:tcPr>
          <w:p w:rsidR="00A16A93" w:rsidRPr="00185595" w:rsidRDefault="00A16A93" w:rsidP="002056B3">
            <w:pPr>
              <w:pStyle w:val="TableText"/>
              <w:ind w:right="113"/>
            </w:pPr>
            <w:r w:rsidRPr="00185595">
              <w:t>Birth weight</w:t>
            </w:r>
          </w:p>
        </w:tc>
        <w:tc>
          <w:tcPr>
            <w:tcW w:w="6379" w:type="dxa"/>
            <w:tcBorders>
              <w:top w:val="single" w:sz="4" w:space="0" w:color="A6A6A6" w:themeColor="background1" w:themeShade="A6"/>
              <w:bottom w:val="single" w:sz="4" w:space="0" w:color="auto"/>
            </w:tcBorders>
          </w:tcPr>
          <w:p w:rsidR="00A16A93" w:rsidRPr="00185595" w:rsidRDefault="00A16A93" w:rsidP="00185595">
            <w:pPr>
              <w:pStyle w:val="TableText"/>
            </w:pPr>
            <w:r w:rsidRPr="00185595">
              <w:t>Percentage of babies whose birth weight (kg) was extremely low, very low, low, normal or high</w:t>
            </w:r>
          </w:p>
        </w:tc>
      </w:tr>
    </w:tbl>
    <w:p w:rsidR="00A16A93" w:rsidRPr="00A16A93" w:rsidRDefault="00A16A93" w:rsidP="002056B3"/>
    <w:p w:rsidR="00A16A93" w:rsidRPr="00A16A93" w:rsidRDefault="00A16A93" w:rsidP="002056B3">
      <w:pPr>
        <w:pStyle w:val="Heading2"/>
      </w:pPr>
      <w:bookmarkStart w:id="19" w:name="_Toc480457746"/>
      <w:bookmarkStart w:id="20" w:name="_Toc480534229"/>
      <w:r w:rsidRPr="00A16A93">
        <w:t>Data sources</w:t>
      </w:r>
      <w:bookmarkEnd w:id="19"/>
      <w:bookmarkEnd w:id="20"/>
    </w:p>
    <w:p w:rsidR="00A16A93" w:rsidRPr="00A16A93" w:rsidRDefault="00A16A93" w:rsidP="002056B3">
      <w:r w:rsidRPr="00A16A93">
        <w:t>The following data sources were used to establish baseline performance against each of the indicators:</w:t>
      </w:r>
    </w:p>
    <w:p w:rsidR="00A16A93" w:rsidRPr="007639E0" w:rsidRDefault="00A16A93" w:rsidP="007639E0">
      <w:pPr>
        <w:pStyle w:val="Bullet"/>
      </w:pPr>
      <w:r w:rsidRPr="007639E0">
        <w:t xml:space="preserve">the Ministry of Health’s </w:t>
      </w:r>
      <w:hyperlink r:id="rId29" w:history="1">
        <w:r w:rsidRPr="00546C37">
          <w:rPr>
            <w:rStyle w:val="Hyperlink"/>
          </w:rPr>
          <w:t>New Zealand Health Survey</w:t>
        </w:r>
      </w:hyperlink>
      <w:r w:rsidRPr="007639E0">
        <w:t xml:space="preserve"> (</w:t>
      </w:r>
      <w:r w:rsidRPr="007639E0">
        <w:rPr>
          <w:rStyle w:val="Hyperlink"/>
          <w:color w:val="auto"/>
        </w:rPr>
        <w:t>Ministry of Health 2016d)</w:t>
      </w:r>
    </w:p>
    <w:p w:rsidR="00A16A93" w:rsidRPr="007639E0" w:rsidRDefault="00A16A93" w:rsidP="007639E0">
      <w:pPr>
        <w:pStyle w:val="Bullet"/>
      </w:pPr>
      <w:r w:rsidRPr="007639E0">
        <w:t>Sport New Zealand’s Active New Zealand Survey</w:t>
      </w:r>
    </w:p>
    <w:p w:rsidR="00A16A93" w:rsidRPr="007639E0" w:rsidRDefault="00A16A93" w:rsidP="007639E0">
      <w:pPr>
        <w:pStyle w:val="Bullet"/>
      </w:pPr>
      <w:r w:rsidRPr="007639E0">
        <w:t xml:space="preserve">the Ministry of Health’s </w:t>
      </w:r>
      <w:hyperlink r:id="rId30" w:history="1">
        <w:r w:rsidRPr="00546C37">
          <w:rPr>
            <w:rStyle w:val="Hyperlink"/>
            <w:i/>
          </w:rPr>
          <w:t>Indicators for the Well Child/Tamariki Ora Quality Improvement Framework: March 2016</w:t>
        </w:r>
      </w:hyperlink>
      <w:r w:rsidRPr="007639E0">
        <w:t xml:space="preserve"> report (Ministry of Health 2016c)</w:t>
      </w:r>
    </w:p>
    <w:p w:rsidR="00A16A93" w:rsidRPr="007639E0" w:rsidRDefault="00A16A93" w:rsidP="007639E0">
      <w:pPr>
        <w:pStyle w:val="Bullet"/>
      </w:pPr>
      <w:r w:rsidRPr="007639E0">
        <w:t xml:space="preserve">Colmar Brunton’s </w:t>
      </w:r>
      <w:hyperlink r:id="rId31" w:history="1">
        <w:r w:rsidRPr="00546C37">
          <w:rPr>
            <w:rStyle w:val="Hyperlink"/>
            <w:i/>
          </w:rPr>
          <w:t>Health Star Rating Monitoring and Evaluation</w:t>
        </w:r>
        <w:r w:rsidRPr="00546C37">
          <w:rPr>
            <w:rStyle w:val="Hyperlink"/>
          </w:rPr>
          <w:t xml:space="preserve"> report, Health Promotion Agency</w:t>
        </w:r>
      </w:hyperlink>
      <w:r w:rsidRPr="007639E0">
        <w:t xml:space="preserve"> (Colmar Brunton 2016)</w:t>
      </w:r>
    </w:p>
    <w:p w:rsidR="00A16A93" w:rsidRPr="007639E0" w:rsidRDefault="00A16A93" w:rsidP="007639E0">
      <w:pPr>
        <w:pStyle w:val="Bullet"/>
      </w:pPr>
      <w:r w:rsidRPr="007639E0">
        <w:t xml:space="preserve">the Ministry of Health’s </w:t>
      </w:r>
      <w:hyperlink r:id="rId32" w:history="1">
        <w:r w:rsidRPr="00546C37">
          <w:rPr>
            <w:rStyle w:val="Hyperlink"/>
          </w:rPr>
          <w:t>National Maternity Collection</w:t>
        </w:r>
      </w:hyperlink>
    </w:p>
    <w:p w:rsidR="00A16A93" w:rsidRPr="007639E0" w:rsidRDefault="00A16A93" w:rsidP="007639E0">
      <w:pPr>
        <w:pStyle w:val="Bullet"/>
      </w:pPr>
      <w:r w:rsidRPr="007639E0">
        <w:t xml:space="preserve">the Ministry of Health’s </w:t>
      </w:r>
      <w:hyperlink r:id="rId33" w:history="1">
        <w:r w:rsidRPr="00546C37">
          <w:rPr>
            <w:rStyle w:val="Hyperlink"/>
          </w:rPr>
          <w:t>National Minimum Data Set</w:t>
        </w:r>
      </w:hyperlink>
    </w:p>
    <w:p w:rsidR="00A16A93" w:rsidRPr="007639E0" w:rsidRDefault="00A16A93" w:rsidP="007639E0">
      <w:pPr>
        <w:pStyle w:val="Bullet"/>
      </w:pPr>
      <w:r w:rsidRPr="007639E0">
        <w:t>the Ministry of Health’s B4 School Check database</w:t>
      </w:r>
    </w:p>
    <w:p w:rsidR="00A16A93" w:rsidRPr="007639E0" w:rsidRDefault="00A16A93" w:rsidP="007639E0">
      <w:pPr>
        <w:pStyle w:val="Bullet"/>
      </w:pPr>
      <w:r w:rsidRPr="007639E0">
        <w:t xml:space="preserve">the Ministry of Health’s annual </w:t>
      </w:r>
      <w:hyperlink r:id="rId34" w:history="1">
        <w:r w:rsidRPr="00546C37">
          <w:rPr>
            <w:rStyle w:val="Hyperlink"/>
          </w:rPr>
          <w:t>Report on Maternity</w:t>
        </w:r>
      </w:hyperlink>
      <w:r w:rsidRPr="007639E0">
        <w:t xml:space="preserve"> series.</w:t>
      </w:r>
    </w:p>
    <w:p w:rsidR="007639E0" w:rsidRDefault="007639E0" w:rsidP="007639E0"/>
    <w:p w:rsidR="00A16A93" w:rsidRPr="00A16A93" w:rsidRDefault="00A16A93" w:rsidP="007639E0">
      <w:r w:rsidRPr="00A16A93">
        <w:t>We will continue to use these data sources for future monitoring reports, to make sure that the data is comparable over time.</w:t>
      </w:r>
    </w:p>
    <w:p w:rsidR="00A16A93" w:rsidRPr="00A16A93" w:rsidRDefault="00A16A93" w:rsidP="00546C37"/>
    <w:p w:rsidR="00A16A93" w:rsidRPr="00A16A93" w:rsidRDefault="00A16A93" w:rsidP="00546C37">
      <w:pPr>
        <w:pStyle w:val="Heading2"/>
      </w:pPr>
      <w:bookmarkStart w:id="21" w:name="_Toc480457747"/>
      <w:bookmarkStart w:id="22" w:name="_Toc480534230"/>
      <w:r w:rsidRPr="00A16A93">
        <w:t>How we will use the Reducing childhood obesity indicators</w:t>
      </w:r>
      <w:bookmarkEnd w:id="21"/>
      <w:bookmarkEnd w:id="22"/>
    </w:p>
    <w:p w:rsidR="00546C37" w:rsidRDefault="00A16A93" w:rsidP="00546C37">
      <w:r w:rsidRPr="00A16A93">
        <w:t>The reducing childhood obesity indicators will be used to monitor the progress of the New Zealand Childhood Obesity Programme, and will form the basis of future Children and young people living well and staying well monitoring reports. The first monitoring report will be published in early</w:t>
      </w:r>
      <w:r w:rsidR="00546C37">
        <w:t xml:space="preserve"> </w:t>
      </w:r>
      <w:r w:rsidRPr="00A16A93">
        <w:t>2018. This will allow performance from baseline to be analysed for the first time, and will indicate whether the initiatives included in the Childhood Obesity Plan are achieving the desired outcomes.</w:t>
      </w:r>
    </w:p>
    <w:p w:rsidR="00546C37" w:rsidRDefault="00546C37" w:rsidP="00546C37"/>
    <w:p w:rsidR="00A16A93" w:rsidRPr="00A16A93" w:rsidRDefault="00A16A93" w:rsidP="00546C37">
      <w:pPr>
        <w:pStyle w:val="Heading1"/>
      </w:pPr>
      <w:bookmarkStart w:id="23" w:name="_Toc480534231"/>
      <w:r w:rsidRPr="00A16A93">
        <w:lastRenderedPageBreak/>
        <w:t>Reducing childhood obesity indicators</w:t>
      </w:r>
      <w:bookmarkEnd w:id="23"/>
    </w:p>
    <w:p w:rsidR="00A16A93" w:rsidRPr="006307E0" w:rsidRDefault="00A16A93" w:rsidP="006307E0">
      <w:pPr>
        <w:pStyle w:val="Heading1"/>
        <w:pageBreakBefore w:val="0"/>
        <w:rPr>
          <w:sz w:val="52"/>
          <w:szCs w:val="52"/>
        </w:rPr>
      </w:pPr>
      <w:bookmarkStart w:id="24" w:name="_Toc480457748"/>
      <w:bookmarkStart w:id="25" w:name="_Toc480534232"/>
      <w:r w:rsidRPr="006307E0">
        <w:rPr>
          <w:sz w:val="52"/>
          <w:szCs w:val="52"/>
        </w:rPr>
        <w:t>Indicators 1–3: More children are physically active</w:t>
      </w:r>
      <w:bookmarkEnd w:id="24"/>
      <w:bookmarkEnd w:id="25"/>
    </w:p>
    <w:p w:rsidR="00A16A93" w:rsidRPr="00A16A93" w:rsidRDefault="00A16A93" w:rsidP="00546C37">
      <w:pPr>
        <w:pStyle w:val="Heading3"/>
      </w:pPr>
      <w:bookmarkStart w:id="26" w:name="_Toc480457749"/>
      <w:r w:rsidRPr="00A16A93">
        <w:t>Rationale and purpose</w:t>
      </w:r>
      <w:bookmarkEnd w:id="26"/>
    </w:p>
    <w:p w:rsidR="00A16A93" w:rsidRPr="00A16A93" w:rsidRDefault="00A16A93" w:rsidP="00546C37">
      <w:r w:rsidRPr="00A16A93">
        <w:t>Physical activity is important for maintaining a healthy lifestyle. Physical activity is not just sport; it also includes active recreation, incidental activities, transportation and physical work.</w:t>
      </w:r>
    </w:p>
    <w:p w:rsidR="00A16A93" w:rsidRPr="00A16A93" w:rsidRDefault="00A16A93" w:rsidP="00546C37"/>
    <w:p w:rsidR="00A16A93" w:rsidRPr="00A16A93" w:rsidRDefault="00A16A93" w:rsidP="00546C37">
      <w:r w:rsidRPr="00A16A93">
        <w:t>Regular physical activity in children and young people improves health and wellbeing in numerous ways, including by:</w:t>
      </w:r>
    </w:p>
    <w:p w:rsidR="00A16A93" w:rsidRPr="00A16A93" w:rsidRDefault="00A16A93" w:rsidP="00546C37">
      <w:pPr>
        <w:pStyle w:val="Bullet"/>
      </w:pPr>
      <w:r w:rsidRPr="00A16A93">
        <w:t>helping to build healthy bones, muscles and joints</w:t>
      </w:r>
    </w:p>
    <w:p w:rsidR="00A16A93" w:rsidRPr="00A16A93" w:rsidRDefault="00A16A93" w:rsidP="00546C37">
      <w:pPr>
        <w:pStyle w:val="Bullet"/>
      </w:pPr>
      <w:r w:rsidRPr="00A16A93">
        <w:t>improving mental wellbeing</w:t>
      </w:r>
    </w:p>
    <w:p w:rsidR="00A16A93" w:rsidRPr="00A16A93" w:rsidRDefault="00A16A93" w:rsidP="00546C37">
      <w:pPr>
        <w:pStyle w:val="Bullet"/>
      </w:pPr>
      <w:r w:rsidRPr="00A16A93">
        <w:t>assisting weight management</w:t>
      </w:r>
    </w:p>
    <w:p w:rsidR="00A16A93" w:rsidRPr="00A16A93" w:rsidRDefault="00A16A93" w:rsidP="00546C37">
      <w:pPr>
        <w:pStyle w:val="Bullet"/>
      </w:pPr>
      <w:r w:rsidRPr="00A16A93">
        <w:t>strengthening the cardiovascular system</w:t>
      </w:r>
    </w:p>
    <w:p w:rsidR="00A16A93" w:rsidRPr="00A16A93" w:rsidRDefault="00A16A93" w:rsidP="00546C37">
      <w:pPr>
        <w:pStyle w:val="Bullet"/>
      </w:pPr>
      <w:r w:rsidRPr="00A16A93">
        <w:t>improving coordination and movement control.</w:t>
      </w:r>
    </w:p>
    <w:p w:rsidR="00A16A93" w:rsidRPr="00A16A93" w:rsidRDefault="00A16A93" w:rsidP="00546C37"/>
    <w:p w:rsidR="00546C37" w:rsidRDefault="00A16A93" w:rsidP="00546C37">
      <w:r w:rsidRPr="00A16A93">
        <w:t>Children who establish good habits during childhood and maintain them during adolescence experience many long-term health benefits, including reducing their risk of developing long-term conditions such as heart disease and type 2 diabetes.</w:t>
      </w:r>
      <w:bookmarkStart w:id="27" w:name="_Toc473798810"/>
    </w:p>
    <w:p w:rsidR="00546C37" w:rsidRDefault="00546C37" w:rsidP="00546C37"/>
    <w:p w:rsidR="00A16A93" w:rsidRPr="00A16A93" w:rsidRDefault="00A16A93" w:rsidP="00546C37">
      <w:pPr>
        <w:pStyle w:val="Heading2"/>
      </w:pPr>
      <w:bookmarkStart w:id="28" w:name="_Toc480457750"/>
      <w:bookmarkStart w:id="29" w:name="_Toc480534233"/>
      <w:r w:rsidRPr="00A16A93">
        <w:lastRenderedPageBreak/>
        <w:t>Indicator 1: Time spent watching television, videos and screens</w:t>
      </w:r>
      <w:bookmarkEnd w:id="28"/>
      <w:bookmarkEnd w:id="29"/>
    </w:p>
    <w:p w:rsidR="00A16A93" w:rsidRPr="00A16A93" w:rsidRDefault="00A16A93" w:rsidP="00546C37">
      <w:pPr>
        <w:pStyle w:val="Heading3"/>
      </w:pPr>
      <w:bookmarkStart w:id="30" w:name="_Toc480457751"/>
      <w:r w:rsidRPr="00A16A93">
        <w:t>Description</w:t>
      </w:r>
      <w:bookmarkEnd w:id="30"/>
    </w:p>
    <w:p w:rsidR="00A16A93" w:rsidRPr="00A16A93" w:rsidRDefault="00A16A93" w:rsidP="003E71FA">
      <w:pPr>
        <w:keepNext/>
      </w:pPr>
      <w:r w:rsidRPr="00A16A93">
        <w:t>This indicator measures the percentage of children (aged 2–14 years) who watch two or more hours of television (including DVDs and videos) per day, averaged over a week.</w:t>
      </w:r>
    </w:p>
    <w:p w:rsidR="00A16A93" w:rsidRPr="00A16A93" w:rsidRDefault="00A16A93" w:rsidP="003E71FA">
      <w:pPr>
        <w:keepNext/>
      </w:pPr>
    </w:p>
    <w:p w:rsidR="00A16A93" w:rsidRPr="00A16A93" w:rsidRDefault="00A16A93" w:rsidP="003E71FA">
      <w:pPr>
        <w:keepNext/>
      </w:pPr>
      <w:r w:rsidRPr="00A16A93">
        <w:t>Watching television is a sedentary behaviour that takes up time that children could spend being physically active. The Ministry of Health recommends that children and young people (aged</w:t>
      </w:r>
      <w:r w:rsidR="00546C37">
        <w:br/>
      </w:r>
      <w:r w:rsidRPr="00A16A93">
        <w:t>5–18 years) should spend less than two hours a day (out of school hours) in front of a television, computer or games console (Ministry of Health 2015).</w:t>
      </w:r>
    </w:p>
    <w:p w:rsidR="00A16A93" w:rsidRPr="00A16A93" w:rsidRDefault="00A16A93" w:rsidP="003E71FA">
      <w:pPr>
        <w:keepNext/>
      </w:pPr>
    </w:p>
    <w:p w:rsidR="00A16A93" w:rsidRPr="00A16A93" w:rsidRDefault="00A16A93" w:rsidP="003E71FA">
      <w:pPr>
        <w:pStyle w:val="Heading3"/>
      </w:pPr>
      <w:bookmarkStart w:id="31" w:name="_Toc480457752"/>
      <w:r w:rsidRPr="00A16A93">
        <w:t>Baseline performance</w:t>
      </w:r>
      <w:bookmarkEnd w:id="31"/>
    </w:p>
    <w:p w:rsidR="00A16A93" w:rsidRPr="00A16A93" w:rsidRDefault="00A16A93" w:rsidP="003E71FA">
      <w:pPr>
        <w:keepNext/>
      </w:pPr>
      <w:r w:rsidRPr="00A16A93">
        <w:t>The Ministry of Health has collected the data for this indicator annually since 2011/12 through the New Zealand Health Survey. The baseline performance set out here comes from the 2015/16 survey.</w:t>
      </w:r>
    </w:p>
    <w:p w:rsidR="00A16A93" w:rsidRPr="00A16A93" w:rsidRDefault="00A16A93" w:rsidP="003E71FA">
      <w:pPr>
        <w:keepNext/>
      </w:pPr>
    </w:p>
    <w:p w:rsidR="00A16A93" w:rsidRPr="00A16A93" w:rsidRDefault="00A16A93" w:rsidP="00546C37">
      <w:pPr>
        <w:keepLines/>
      </w:pPr>
      <w:r w:rsidRPr="00A16A93">
        <w:t>In 2016/17, the survey questions changed slightly to capture the total amount of time children spend looking at screens, because the recent decline observed in television viewing time (see Figure</w:t>
      </w:r>
      <w:r w:rsidR="00546C37">
        <w:t> </w:t>
      </w:r>
      <w:r w:rsidRPr="00A16A93">
        <w:t xml:space="preserve">3) is likely to be offset by the time children spend using other devices, such as laptops or tablets. This means that the definition for this indicator will be slightly different in the first </w:t>
      </w:r>
      <w:r w:rsidRPr="00A16A93">
        <w:rPr>
          <w:i/>
        </w:rPr>
        <w:t xml:space="preserve">Children and young people living well and staying well </w:t>
      </w:r>
      <w:r w:rsidRPr="00A16A93">
        <w:t>monitoring report (due to be published in early 2018). In the first report, the indicator will measure the percentage of children (aged</w:t>
      </w:r>
      <w:r w:rsidR="00546C37">
        <w:br/>
      </w:r>
      <w:r w:rsidRPr="00A16A93">
        <w:t>2–14 years) who had two or more hours of total screen time (including television, DVDs, videos, video games or computer) per day, averaged over a week.</w:t>
      </w:r>
    </w:p>
    <w:p w:rsidR="00A16A93" w:rsidRPr="00A16A93" w:rsidRDefault="00A16A93" w:rsidP="00546C37"/>
    <w:p w:rsidR="00A16A93" w:rsidRPr="00A16A93" w:rsidRDefault="00A16A93" w:rsidP="00546C37">
      <w:r w:rsidRPr="00A16A93">
        <w:t>The data for this indicator is available by sex, age group, ethnic group and neighbourhood deprivation quintile.</w:t>
      </w:r>
    </w:p>
    <w:p w:rsidR="00A16A93" w:rsidRPr="00A16A93" w:rsidRDefault="00A16A93" w:rsidP="00546C37"/>
    <w:p w:rsidR="00A16A93" w:rsidRPr="00A16A93" w:rsidRDefault="00A16A93" w:rsidP="00546C37">
      <w:pPr>
        <w:pStyle w:val="Table"/>
      </w:pPr>
      <w:bookmarkStart w:id="32" w:name="_Toc480534254"/>
      <w:r w:rsidRPr="00A16A93">
        <w:lastRenderedPageBreak/>
        <w:t>Table 2: Percentage of children (aged 2–14 years) who usually watch two or more hours of television (including DVDs or videos) per day, by group, 2015/16</w:t>
      </w:r>
      <w:bookmarkEnd w:id="32"/>
    </w:p>
    <w:tbl>
      <w:tblPr>
        <w:tblW w:w="0" w:type="auto"/>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2778"/>
        <w:gridCol w:w="964"/>
        <w:gridCol w:w="964"/>
        <w:gridCol w:w="964"/>
        <w:gridCol w:w="3686"/>
      </w:tblGrid>
      <w:tr w:rsidR="00A16A93" w:rsidRPr="00546C37" w:rsidTr="00A9542B">
        <w:trPr>
          <w:cantSplit/>
          <w:tblHeader/>
        </w:trPr>
        <w:tc>
          <w:tcPr>
            <w:tcW w:w="2778" w:type="dxa"/>
            <w:tcBorders>
              <w:top w:val="single" w:sz="4" w:space="0" w:color="auto"/>
              <w:bottom w:val="single" w:sz="4" w:space="0" w:color="auto"/>
            </w:tcBorders>
          </w:tcPr>
          <w:p w:rsidR="00A16A93" w:rsidRPr="00546C37" w:rsidRDefault="00A16A93" w:rsidP="003E71FA">
            <w:pPr>
              <w:pStyle w:val="TableText"/>
              <w:keepNext/>
              <w:rPr>
                <w:b/>
              </w:rPr>
            </w:pPr>
          </w:p>
        </w:tc>
        <w:tc>
          <w:tcPr>
            <w:tcW w:w="964" w:type="dxa"/>
            <w:tcBorders>
              <w:top w:val="single" w:sz="4" w:space="0" w:color="auto"/>
              <w:bottom w:val="single" w:sz="4" w:space="0" w:color="auto"/>
            </w:tcBorders>
          </w:tcPr>
          <w:p w:rsidR="00A16A93" w:rsidRPr="00546C37" w:rsidRDefault="00A16A93" w:rsidP="003E71FA">
            <w:pPr>
              <w:pStyle w:val="TableText"/>
              <w:keepNext/>
              <w:jc w:val="center"/>
              <w:rPr>
                <w:b/>
              </w:rPr>
            </w:pPr>
            <w:r w:rsidRPr="00546C37">
              <w:rPr>
                <w:b/>
              </w:rPr>
              <w:t>Total</w:t>
            </w:r>
          </w:p>
        </w:tc>
        <w:tc>
          <w:tcPr>
            <w:tcW w:w="964" w:type="dxa"/>
            <w:tcBorders>
              <w:top w:val="single" w:sz="4" w:space="0" w:color="auto"/>
              <w:bottom w:val="single" w:sz="4" w:space="0" w:color="auto"/>
            </w:tcBorders>
          </w:tcPr>
          <w:p w:rsidR="00A16A93" w:rsidRPr="00546C37" w:rsidRDefault="00A16A93" w:rsidP="003E71FA">
            <w:pPr>
              <w:pStyle w:val="TableText"/>
              <w:keepNext/>
              <w:jc w:val="center"/>
              <w:rPr>
                <w:b/>
              </w:rPr>
            </w:pPr>
            <w:r w:rsidRPr="00546C37">
              <w:rPr>
                <w:b/>
              </w:rPr>
              <w:t>Boys</w:t>
            </w:r>
          </w:p>
        </w:tc>
        <w:tc>
          <w:tcPr>
            <w:tcW w:w="964" w:type="dxa"/>
            <w:tcBorders>
              <w:top w:val="single" w:sz="4" w:space="0" w:color="auto"/>
              <w:bottom w:val="single" w:sz="4" w:space="0" w:color="auto"/>
            </w:tcBorders>
          </w:tcPr>
          <w:p w:rsidR="00A16A93" w:rsidRPr="00546C37" w:rsidRDefault="00A16A93" w:rsidP="003E71FA">
            <w:pPr>
              <w:pStyle w:val="TableText"/>
              <w:keepNext/>
              <w:jc w:val="center"/>
              <w:rPr>
                <w:b/>
              </w:rPr>
            </w:pPr>
            <w:r w:rsidRPr="00546C37">
              <w:rPr>
                <w:b/>
              </w:rPr>
              <w:t>Girls</w:t>
            </w:r>
          </w:p>
        </w:tc>
        <w:tc>
          <w:tcPr>
            <w:tcW w:w="3686" w:type="dxa"/>
            <w:tcBorders>
              <w:top w:val="single" w:sz="4" w:space="0" w:color="auto"/>
              <w:bottom w:val="single" w:sz="4" w:space="0" w:color="auto"/>
            </w:tcBorders>
          </w:tcPr>
          <w:p w:rsidR="00A16A93" w:rsidRPr="00546C37" w:rsidRDefault="00A16A93" w:rsidP="003E71FA">
            <w:pPr>
              <w:pStyle w:val="TableText"/>
              <w:keepNext/>
              <w:jc w:val="center"/>
              <w:rPr>
                <w:b/>
                <w:bCs/>
              </w:rPr>
            </w:pPr>
            <w:r w:rsidRPr="00546C37">
              <w:rPr>
                <w:b/>
              </w:rPr>
              <w:t>Estimated number of children (95% CI</w:t>
            </w:r>
            <w:r w:rsidRPr="00546C37">
              <w:rPr>
                <w:rStyle w:val="FootnoteReference"/>
              </w:rPr>
              <w:footnoteReference w:id="1"/>
            </w:r>
            <w:r w:rsidRPr="00546C37">
              <w:rPr>
                <w:b/>
              </w:rPr>
              <w:t>)</w:t>
            </w:r>
          </w:p>
        </w:tc>
      </w:tr>
      <w:tr w:rsidR="00851E7D" w:rsidRPr="00A16A93" w:rsidTr="00851E7D">
        <w:trPr>
          <w:cantSplit/>
        </w:trPr>
        <w:tc>
          <w:tcPr>
            <w:tcW w:w="2778" w:type="dxa"/>
            <w:tcBorders>
              <w:top w:val="single" w:sz="4" w:space="0" w:color="auto"/>
              <w:bottom w:val="single" w:sz="4" w:space="0" w:color="A6A6A6" w:themeColor="background1" w:themeShade="A6"/>
            </w:tcBorders>
          </w:tcPr>
          <w:p w:rsidR="00851E7D" w:rsidRPr="00851E7D" w:rsidRDefault="00851E7D" w:rsidP="003E71FA">
            <w:pPr>
              <w:pStyle w:val="TableText"/>
              <w:keepNext/>
            </w:pPr>
            <w:r w:rsidRPr="00546C37">
              <w:rPr>
                <w:b/>
              </w:rPr>
              <w:t>Population group</w:t>
            </w:r>
          </w:p>
        </w:tc>
        <w:tc>
          <w:tcPr>
            <w:tcW w:w="964" w:type="dxa"/>
            <w:tcBorders>
              <w:top w:val="single" w:sz="4" w:space="0" w:color="auto"/>
              <w:bottom w:val="single" w:sz="4" w:space="0" w:color="A6A6A6" w:themeColor="background1" w:themeShade="A6"/>
            </w:tcBorders>
          </w:tcPr>
          <w:p w:rsidR="00851E7D" w:rsidRPr="00546C37" w:rsidRDefault="00851E7D" w:rsidP="003E71FA">
            <w:pPr>
              <w:pStyle w:val="TableText"/>
              <w:keepNext/>
              <w:jc w:val="center"/>
            </w:pPr>
          </w:p>
        </w:tc>
        <w:tc>
          <w:tcPr>
            <w:tcW w:w="964" w:type="dxa"/>
            <w:tcBorders>
              <w:top w:val="single" w:sz="4" w:space="0" w:color="auto"/>
              <w:bottom w:val="single" w:sz="4" w:space="0" w:color="A6A6A6" w:themeColor="background1" w:themeShade="A6"/>
            </w:tcBorders>
          </w:tcPr>
          <w:p w:rsidR="00851E7D" w:rsidRPr="00546C37" w:rsidRDefault="00851E7D" w:rsidP="003E71FA">
            <w:pPr>
              <w:pStyle w:val="TableText"/>
              <w:keepNext/>
              <w:jc w:val="center"/>
            </w:pPr>
          </w:p>
        </w:tc>
        <w:tc>
          <w:tcPr>
            <w:tcW w:w="964" w:type="dxa"/>
            <w:tcBorders>
              <w:top w:val="single" w:sz="4" w:space="0" w:color="auto"/>
              <w:bottom w:val="single" w:sz="4" w:space="0" w:color="A6A6A6" w:themeColor="background1" w:themeShade="A6"/>
            </w:tcBorders>
          </w:tcPr>
          <w:p w:rsidR="00851E7D" w:rsidRPr="00546C37" w:rsidRDefault="00851E7D" w:rsidP="003E71FA">
            <w:pPr>
              <w:pStyle w:val="TableText"/>
              <w:keepNext/>
              <w:jc w:val="center"/>
            </w:pPr>
          </w:p>
        </w:tc>
        <w:tc>
          <w:tcPr>
            <w:tcW w:w="3686" w:type="dxa"/>
            <w:tcBorders>
              <w:top w:val="single" w:sz="4" w:space="0" w:color="auto"/>
              <w:bottom w:val="single" w:sz="4" w:space="0" w:color="A6A6A6" w:themeColor="background1" w:themeShade="A6"/>
            </w:tcBorders>
          </w:tcPr>
          <w:p w:rsidR="00851E7D" w:rsidRPr="00546C37" w:rsidRDefault="00851E7D" w:rsidP="003E71FA">
            <w:pPr>
              <w:pStyle w:val="TableText"/>
              <w:keepNext/>
              <w:tabs>
                <w:tab w:val="decimal" w:pos="1434"/>
              </w:tabs>
            </w:pPr>
          </w:p>
        </w:tc>
      </w:tr>
      <w:tr w:rsidR="00A16A93" w:rsidRPr="00A16A93" w:rsidTr="00851E7D">
        <w:trPr>
          <w:cantSplit/>
        </w:trPr>
        <w:tc>
          <w:tcPr>
            <w:tcW w:w="2778" w:type="dxa"/>
            <w:tcBorders>
              <w:top w:val="single" w:sz="4" w:space="0" w:color="A6A6A6" w:themeColor="background1" w:themeShade="A6"/>
              <w:bottom w:val="single" w:sz="4" w:space="0" w:color="auto"/>
            </w:tcBorders>
          </w:tcPr>
          <w:p w:rsidR="00A16A93" w:rsidRPr="00546C37" w:rsidRDefault="00A16A93" w:rsidP="003E71FA">
            <w:pPr>
              <w:pStyle w:val="TableText"/>
              <w:keepNext/>
            </w:pPr>
            <w:r w:rsidRPr="00546C37">
              <w:t>Total</w:t>
            </w:r>
          </w:p>
        </w:tc>
        <w:tc>
          <w:tcPr>
            <w:tcW w:w="964" w:type="dxa"/>
            <w:tcBorders>
              <w:top w:val="single" w:sz="4" w:space="0" w:color="A6A6A6" w:themeColor="background1" w:themeShade="A6"/>
              <w:bottom w:val="single" w:sz="4" w:space="0" w:color="auto"/>
            </w:tcBorders>
          </w:tcPr>
          <w:p w:rsidR="00A16A93" w:rsidRPr="00546C37" w:rsidRDefault="00A16A93" w:rsidP="003E71FA">
            <w:pPr>
              <w:pStyle w:val="TableText"/>
              <w:keepNext/>
              <w:jc w:val="center"/>
            </w:pPr>
            <w:r w:rsidRPr="00546C37">
              <w:t>44.8%</w:t>
            </w:r>
          </w:p>
        </w:tc>
        <w:tc>
          <w:tcPr>
            <w:tcW w:w="964" w:type="dxa"/>
            <w:tcBorders>
              <w:top w:val="single" w:sz="4" w:space="0" w:color="A6A6A6" w:themeColor="background1" w:themeShade="A6"/>
              <w:bottom w:val="single" w:sz="4" w:space="0" w:color="auto"/>
            </w:tcBorders>
          </w:tcPr>
          <w:p w:rsidR="00A16A93" w:rsidRPr="00546C37" w:rsidRDefault="00A16A93" w:rsidP="003E71FA">
            <w:pPr>
              <w:pStyle w:val="TableText"/>
              <w:keepNext/>
              <w:jc w:val="center"/>
            </w:pPr>
            <w:r w:rsidRPr="00546C37">
              <w:t>44.1%</w:t>
            </w:r>
          </w:p>
        </w:tc>
        <w:tc>
          <w:tcPr>
            <w:tcW w:w="964" w:type="dxa"/>
            <w:tcBorders>
              <w:top w:val="single" w:sz="4" w:space="0" w:color="A6A6A6" w:themeColor="background1" w:themeShade="A6"/>
              <w:bottom w:val="single" w:sz="4" w:space="0" w:color="auto"/>
            </w:tcBorders>
          </w:tcPr>
          <w:p w:rsidR="00A16A93" w:rsidRPr="00546C37" w:rsidRDefault="00A16A93" w:rsidP="003E71FA">
            <w:pPr>
              <w:pStyle w:val="TableText"/>
              <w:keepNext/>
              <w:jc w:val="center"/>
            </w:pPr>
            <w:r w:rsidRPr="00546C37">
              <w:t>45.5%</w:t>
            </w:r>
          </w:p>
        </w:tc>
        <w:tc>
          <w:tcPr>
            <w:tcW w:w="3686" w:type="dxa"/>
            <w:tcBorders>
              <w:top w:val="single" w:sz="4" w:space="0" w:color="A6A6A6" w:themeColor="background1" w:themeShade="A6"/>
              <w:bottom w:val="single" w:sz="4" w:space="0" w:color="auto"/>
            </w:tcBorders>
          </w:tcPr>
          <w:p w:rsidR="00A16A93" w:rsidRPr="00546C37" w:rsidRDefault="00A16A93" w:rsidP="003E71FA">
            <w:pPr>
              <w:pStyle w:val="TableText"/>
              <w:keepNext/>
              <w:tabs>
                <w:tab w:val="decimal" w:pos="1434"/>
              </w:tabs>
            </w:pPr>
            <w:r w:rsidRPr="00546C37">
              <w:t>355,000</w:t>
            </w:r>
            <w:r w:rsidR="00B50F67">
              <w:t xml:space="preserve"> </w:t>
            </w:r>
            <w:r w:rsidRPr="00546C37">
              <w:t>(340,000–371,000)</w:t>
            </w:r>
          </w:p>
        </w:tc>
      </w:tr>
      <w:tr w:rsidR="00A16A93" w:rsidRPr="00546C37" w:rsidTr="00A9542B">
        <w:trPr>
          <w:cantSplit/>
        </w:trPr>
        <w:tc>
          <w:tcPr>
            <w:tcW w:w="2778" w:type="dxa"/>
            <w:tcBorders>
              <w:top w:val="single" w:sz="4" w:space="0" w:color="auto"/>
              <w:bottom w:val="single" w:sz="4" w:space="0" w:color="A6A6A6" w:themeColor="background1" w:themeShade="A6"/>
            </w:tcBorders>
          </w:tcPr>
          <w:p w:rsidR="00A16A93" w:rsidRPr="00546C37" w:rsidRDefault="00A16A93" w:rsidP="003E71FA">
            <w:pPr>
              <w:pStyle w:val="TableText"/>
              <w:keepNext/>
              <w:rPr>
                <w:b/>
              </w:rPr>
            </w:pPr>
            <w:r w:rsidRPr="00546C37">
              <w:rPr>
                <w:b/>
              </w:rPr>
              <w:t>Age group (years)</w:t>
            </w:r>
          </w:p>
        </w:tc>
        <w:tc>
          <w:tcPr>
            <w:tcW w:w="964" w:type="dxa"/>
            <w:tcBorders>
              <w:top w:val="single" w:sz="4" w:space="0" w:color="auto"/>
              <w:bottom w:val="single" w:sz="4" w:space="0" w:color="A6A6A6" w:themeColor="background1" w:themeShade="A6"/>
            </w:tcBorders>
          </w:tcPr>
          <w:p w:rsidR="00A16A93" w:rsidRPr="00546C37" w:rsidRDefault="00A16A93" w:rsidP="003E71FA">
            <w:pPr>
              <w:pStyle w:val="TableText"/>
              <w:keepNext/>
              <w:jc w:val="center"/>
              <w:rPr>
                <w:b/>
              </w:rPr>
            </w:pPr>
          </w:p>
        </w:tc>
        <w:tc>
          <w:tcPr>
            <w:tcW w:w="964" w:type="dxa"/>
            <w:tcBorders>
              <w:top w:val="single" w:sz="4" w:space="0" w:color="auto"/>
              <w:bottom w:val="single" w:sz="4" w:space="0" w:color="A6A6A6" w:themeColor="background1" w:themeShade="A6"/>
            </w:tcBorders>
          </w:tcPr>
          <w:p w:rsidR="00A16A93" w:rsidRPr="00546C37" w:rsidRDefault="00A16A93" w:rsidP="003E71FA">
            <w:pPr>
              <w:pStyle w:val="TableText"/>
              <w:keepNext/>
              <w:jc w:val="center"/>
              <w:rPr>
                <w:b/>
              </w:rPr>
            </w:pPr>
          </w:p>
        </w:tc>
        <w:tc>
          <w:tcPr>
            <w:tcW w:w="964" w:type="dxa"/>
            <w:tcBorders>
              <w:top w:val="single" w:sz="4" w:space="0" w:color="auto"/>
              <w:bottom w:val="single" w:sz="4" w:space="0" w:color="A6A6A6" w:themeColor="background1" w:themeShade="A6"/>
            </w:tcBorders>
          </w:tcPr>
          <w:p w:rsidR="00A16A93" w:rsidRPr="00546C37" w:rsidRDefault="00A16A93" w:rsidP="003E71FA">
            <w:pPr>
              <w:pStyle w:val="TableText"/>
              <w:keepNext/>
              <w:jc w:val="center"/>
              <w:rPr>
                <w:b/>
              </w:rPr>
            </w:pPr>
          </w:p>
        </w:tc>
        <w:tc>
          <w:tcPr>
            <w:tcW w:w="3686" w:type="dxa"/>
            <w:tcBorders>
              <w:top w:val="single" w:sz="4" w:space="0" w:color="auto"/>
              <w:bottom w:val="single" w:sz="4" w:space="0" w:color="A6A6A6" w:themeColor="background1" w:themeShade="A6"/>
            </w:tcBorders>
          </w:tcPr>
          <w:p w:rsidR="00A16A93" w:rsidRPr="00546C37" w:rsidRDefault="00A16A93" w:rsidP="003E71FA">
            <w:pPr>
              <w:pStyle w:val="TableText"/>
              <w:keepNext/>
              <w:tabs>
                <w:tab w:val="decimal" w:pos="1434"/>
              </w:tabs>
              <w:rPr>
                <w:b/>
              </w:rPr>
            </w:pPr>
          </w:p>
        </w:tc>
      </w:tr>
      <w:tr w:rsidR="00A16A93" w:rsidRPr="00A16A93" w:rsidTr="00A9542B">
        <w:trPr>
          <w:cantSplit/>
        </w:trPr>
        <w:tc>
          <w:tcPr>
            <w:tcW w:w="2778" w:type="dxa"/>
            <w:tcBorders>
              <w:top w:val="single" w:sz="4" w:space="0" w:color="A6A6A6" w:themeColor="background1" w:themeShade="A6"/>
            </w:tcBorders>
          </w:tcPr>
          <w:p w:rsidR="00A16A93" w:rsidRPr="00546C37" w:rsidRDefault="00A16A93" w:rsidP="003E71FA">
            <w:pPr>
              <w:pStyle w:val="TableText"/>
              <w:keepNext/>
            </w:pPr>
            <w:r w:rsidRPr="00546C37">
              <w:t>2–4</w:t>
            </w:r>
          </w:p>
        </w:tc>
        <w:tc>
          <w:tcPr>
            <w:tcW w:w="964" w:type="dxa"/>
            <w:tcBorders>
              <w:top w:val="single" w:sz="4" w:space="0" w:color="A6A6A6" w:themeColor="background1" w:themeShade="A6"/>
            </w:tcBorders>
          </w:tcPr>
          <w:p w:rsidR="00A16A93" w:rsidRPr="00546C37" w:rsidRDefault="00A16A93" w:rsidP="003E71FA">
            <w:pPr>
              <w:pStyle w:val="TableText"/>
              <w:keepNext/>
              <w:jc w:val="center"/>
            </w:pPr>
            <w:r w:rsidRPr="00546C37">
              <w:t>41.4%</w:t>
            </w:r>
          </w:p>
        </w:tc>
        <w:tc>
          <w:tcPr>
            <w:tcW w:w="964" w:type="dxa"/>
            <w:tcBorders>
              <w:top w:val="single" w:sz="4" w:space="0" w:color="A6A6A6" w:themeColor="background1" w:themeShade="A6"/>
            </w:tcBorders>
          </w:tcPr>
          <w:p w:rsidR="00A16A93" w:rsidRPr="00546C37" w:rsidRDefault="00A16A93" w:rsidP="003E71FA">
            <w:pPr>
              <w:pStyle w:val="TableText"/>
              <w:keepNext/>
              <w:jc w:val="center"/>
            </w:pPr>
            <w:r w:rsidRPr="00546C37">
              <w:t>47.3%</w:t>
            </w:r>
          </w:p>
        </w:tc>
        <w:tc>
          <w:tcPr>
            <w:tcW w:w="964" w:type="dxa"/>
            <w:tcBorders>
              <w:top w:val="single" w:sz="4" w:space="0" w:color="A6A6A6" w:themeColor="background1" w:themeShade="A6"/>
            </w:tcBorders>
          </w:tcPr>
          <w:p w:rsidR="00A16A93" w:rsidRPr="00546C37" w:rsidRDefault="00A16A93" w:rsidP="003E71FA">
            <w:pPr>
              <w:pStyle w:val="TableText"/>
              <w:keepNext/>
              <w:jc w:val="center"/>
            </w:pPr>
            <w:r w:rsidRPr="00546C37">
              <w:t>35.1%</w:t>
            </w:r>
          </w:p>
        </w:tc>
        <w:tc>
          <w:tcPr>
            <w:tcW w:w="3686" w:type="dxa"/>
            <w:tcBorders>
              <w:top w:val="single" w:sz="4" w:space="0" w:color="A6A6A6" w:themeColor="background1" w:themeShade="A6"/>
            </w:tcBorders>
          </w:tcPr>
          <w:p w:rsidR="00A16A93" w:rsidRPr="00546C37" w:rsidRDefault="00A16A93" w:rsidP="003E71FA">
            <w:pPr>
              <w:pStyle w:val="TableText"/>
              <w:keepNext/>
              <w:tabs>
                <w:tab w:val="decimal" w:pos="1434"/>
              </w:tabs>
            </w:pPr>
            <w:r w:rsidRPr="00546C37">
              <w:t>74,000</w:t>
            </w:r>
            <w:r w:rsidR="00B50F67">
              <w:t xml:space="preserve"> </w:t>
            </w:r>
            <w:r w:rsidRPr="00546C37">
              <w:t>(67,000–82,000</w:t>
            </w:r>
          </w:p>
        </w:tc>
      </w:tr>
      <w:tr w:rsidR="00A16A93" w:rsidRPr="00A16A93" w:rsidTr="00A9542B">
        <w:trPr>
          <w:cantSplit/>
        </w:trPr>
        <w:tc>
          <w:tcPr>
            <w:tcW w:w="2778" w:type="dxa"/>
          </w:tcPr>
          <w:p w:rsidR="00A16A93" w:rsidRPr="00546C37" w:rsidRDefault="00A16A93" w:rsidP="003E71FA">
            <w:pPr>
              <w:pStyle w:val="TableText"/>
              <w:keepNext/>
            </w:pPr>
            <w:r w:rsidRPr="00546C37">
              <w:t>5–9</w:t>
            </w:r>
          </w:p>
        </w:tc>
        <w:tc>
          <w:tcPr>
            <w:tcW w:w="964" w:type="dxa"/>
          </w:tcPr>
          <w:p w:rsidR="00A16A93" w:rsidRPr="00546C37" w:rsidRDefault="00A16A93" w:rsidP="003E71FA">
            <w:pPr>
              <w:pStyle w:val="TableText"/>
              <w:keepNext/>
              <w:jc w:val="center"/>
            </w:pPr>
            <w:r w:rsidRPr="00546C37">
              <w:t>43.7%</w:t>
            </w:r>
          </w:p>
        </w:tc>
        <w:tc>
          <w:tcPr>
            <w:tcW w:w="964" w:type="dxa"/>
          </w:tcPr>
          <w:p w:rsidR="00A16A93" w:rsidRPr="00546C37" w:rsidRDefault="00A16A93" w:rsidP="003E71FA">
            <w:pPr>
              <w:pStyle w:val="TableText"/>
              <w:keepNext/>
              <w:jc w:val="center"/>
            </w:pPr>
            <w:r w:rsidRPr="00546C37">
              <w:t>39.9%</w:t>
            </w:r>
          </w:p>
        </w:tc>
        <w:tc>
          <w:tcPr>
            <w:tcW w:w="964" w:type="dxa"/>
          </w:tcPr>
          <w:p w:rsidR="00A16A93" w:rsidRPr="00546C37" w:rsidRDefault="00A16A93" w:rsidP="003E71FA">
            <w:pPr>
              <w:pStyle w:val="TableText"/>
              <w:keepNext/>
              <w:jc w:val="center"/>
            </w:pPr>
            <w:r w:rsidRPr="00546C37">
              <w:t>47.8%</w:t>
            </w:r>
          </w:p>
        </w:tc>
        <w:tc>
          <w:tcPr>
            <w:tcW w:w="3686" w:type="dxa"/>
          </w:tcPr>
          <w:p w:rsidR="00A16A93" w:rsidRPr="00546C37" w:rsidRDefault="00A16A93" w:rsidP="003E71FA">
            <w:pPr>
              <w:pStyle w:val="TableText"/>
              <w:keepNext/>
              <w:tabs>
                <w:tab w:val="decimal" w:pos="1434"/>
              </w:tabs>
            </w:pPr>
            <w:r w:rsidRPr="00546C37">
              <w:t>140,000</w:t>
            </w:r>
            <w:r w:rsidR="00B50F67">
              <w:t xml:space="preserve"> </w:t>
            </w:r>
            <w:r w:rsidRPr="00546C37">
              <w:t>(129,000–151,000)</w:t>
            </w:r>
          </w:p>
        </w:tc>
      </w:tr>
      <w:tr w:rsidR="00A16A93" w:rsidRPr="00A16A93" w:rsidTr="00A9542B">
        <w:trPr>
          <w:cantSplit/>
        </w:trPr>
        <w:tc>
          <w:tcPr>
            <w:tcW w:w="2778" w:type="dxa"/>
            <w:tcBorders>
              <w:bottom w:val="single" w:sz="4" w:space="0" w:color="auto"/>
            </w:tcBorders>
          </w:tcPr>
          <w:p w:rsidR="00A16A93" w:rsidRPr="00546C37" w:rsidRDefault="00A16A93" w:rsidP="003E71FA">
            <w:pPr>
              <w:pStyle w:val="TableText"/>
              <w:keepNext/>
            </w:pPr>
            <w:r w:rsidRPr="00546C37">
              <w:t>10–14</w:t>
            </w:r>
          </w:p>
        </w:tc>
        <w:tc>
          <w:tcPr>
            <w:tcW w:w="964" w:type="dxa"/>
            <w:tcBorders>
              <w:bottom w:val="single" w:sz="4" w:space="0" w:color="auto"/>
            </w:tcBorders>
          </w:tcPr>
          <w:p w:rsidR="00A16A93" w:rsidRPr="00546C37" w:rsidRDefault="00A16A93" w:rsidP="003E71FA">
            <w:pPr>
              <w:pStyle w:val="TableText"/>
              <w:keepNext/>
              <w:jc w:val="center"/>
            </w:pPr>
            <w:r w:rsidRPr="00546C37">
              <w:t>48.1%</w:t>
            </w:r>
          </w:p>
        </w:tc>
        <w:tc>
          <w:tcPr>
            <w:tcW w:w="964" w:type="dxa"/>
            <w:tcBorders>
              <w:bottom w:val="single" w:sz="4" w:space="0" w:color="auto"/>
            </w:tcBorders>
          </w:tcPr>
          <w:p w:rsidR="00A16A93" w:rsidRPr="00546C37" w:rsidRDefault="00A16A93" w:rsidP="003E71FA">
            <w:pPr>
              <w:pStyle w:val="TableText"/>
              <w:keepNext/>
              <w:jc w:val="center"/>
            </w:pPr>
            <w:r w:rsidRPr="00546C37">
              <w:t>46.7%</w:t>
            </w:r>
          </w:p>
        </w:tc>
        <w:tc>
          <w:tcPr>
            <w:tcW w:w="964" w:type="dxa"/>
            <w:tcBorders>
              <w:bottom w:val="single" w:sz="4" w:space="0" w:color="auto"/>
            </w:tcBorders>
          </w:tcPr>
          <w:p w:rsidR="00A16A93" w:rsidRPr="00546C37" w:rsidRDefault="00A16A93" w:rsidP="003E71FA">
            <w:pPr>
              <w:pStyle w:val="TableText"/>
              <w:keepNext/>
              <w:jc w:val="center"/>
            </w:pPr>
            <w:r w:rsidRPr="00546C37">
              <w:t>49.5%</w:t>
            </w:r>
          </w:p>
        </w:tc>
        <w:tc>
          <w:tcPr>
            <w:tcW w:w="3686" w:type="dxa"/>
            <w:tcBorders>
              <w:bottom w:val="single" w:sz="4" w:space="0" w:color="auto"/>
            </w:tcBorders>
          </w:tcPr>
          <w:p w:rsidR="00A16A93" w:rsidRPr="00546C37" w:rsidRDefault="00A16A93" w:rsidP="003E71FA">
            <w:pPr>
              <w:pStyle w:val="TableText"/>
              <w:keepNext/>
              <w:tabs>
                <w:tab w:val="decimal" w:pos="1434"/>
              </w:tabs>
            </w:pPr>
            <w:r w:rsidRPr="00546C37">
              <w:t>141,000</w:t>
            </w:r>
            <w:r w:rsidR="00B50F67">
              <w:t xml:space="preserve"> </w:t>
            </w:r>
            <w:r w:rsidRPr="00546C37">
              <w:t>(132,000–150,000)</w:t>
            </w:r>
          </w:p>
        </w:tc>
      </w:tr>
      <w:tr w:rsidR="00A16A93" w:rsidRPr="00546C37" w:rsidTr="00A9542B">
        <w:trPr>
          <w:cantSplit/>
        </w:trPr>
        <w:tc>
          <w:tcPr>
            <w:tcW w:w="2778" w:type="dxa"/>
            <w:tcBorders>
              <w:top w:val="single" w:sz="4" w:space="0" w:color="auto"/>
              <w:bottom w:val="single" w:sz="4" w:space="0" w:color="A6A6A6" w:themeColor="background1" w:themeShade="A6"/>
            </w:tcBorders>
          </w:tcPr>
          <w:p w:rsidR="00A16A93" w:rsidRPr="00546C37" w:rsidRDefault="00A16A93" w:rsidP="003E71FA">
            <w:pPr>
              <w:pStyle w:val="TableText"/>
              <w:keepNext/>
              <w:rPr>
                <w:b/>
              </w:rPr>
            </w:pPr>
            <w:r w:rsidRPr="00546C37">
              <w:rPr>
                <w:b/>
              </w:rPr>
              <w:t>Ethnic group</w:t>
            </w:r>
          </w:p>
        </w:tc>
        <w:tc>
          <w:tcPr>
            <w:tcW w:w="964" w:type="dxa"/>
            <w:tcBorders>
              <w:top w:val="single" w:sz="4" w:space="0" w:color="auto"/>
              <w:bottom w:val="single" w:sz="4" w:space="0" w:color="A6A6A6" w:themeColor="background1" w:themeShade="A6"/>
            </w:tcBorders>
          </w:tcPr>
          <w:p w:rsidR="00A16A93" w:rsidRPr="00546C37" w:rsidRDefault="00A16A93" w:rsidP="003E71FA">
            <w:pPr>
              <w:pStyle w:val="TableText"/>
              <w:keepNext/>
              <w:jc w:val="center"/>
              <w:rPr>
                <w:b/>
              </w:rPr>
            </w:pPr>
          </w:p>
        </w:tc>
        <w:tc>
          <w:tcPr>
            <w:tcW w:w="964" w:type="dxa"/>
            <w:tcBorders>
              <w:top w:val="single" w:sz="4" w:space="0" w:color="auto"/>
              <w:bottom w:val="single" w:sz="4" w:space="0" w:color="A6A6A6" w:themeColor="background1" w:themeShade="A6"/>
            </w:tcBorders>
          </w:tcPr>
          <w:p w:rsidR="00A16A93" w:rsidRPr="00546C37" w:rsidRDefault="00A16A93" w:rsidP="003E71FA">
            <w:pPr>
              <w:pStyle w:val="TableText"/>
              <w:keepNext/>
              <w:jc w:val="center"/>
              <w:rPr>
                <w:b/>
              </w:rPr>
            </w:pPr>
          </w:p>
        </w:tc>
        <w:tc>
          <w:tcPr>
            <w:tcW w:w="964" w:type="dxa"/>
            <w:tcBorders>
              <w:top w:val="single" w:sz="4" w:space="0" w:color="auto"/>
              <w:bottom w:val="single" w:sz="4" w:space="0" w:color="A6A6A6" w:themeColor="background1" w:themeShade="A6"/>
            </w:tcBorders>
          </w:tcPr>
          <w:p w:rsidR="00A16A93" w:rsidRPr="00546C37" w:rsidRDefault="00A16A93" w:rsidP="003E71FA">
            <w:pPr>
              <w:pStyle w:val="TableText"/>
              <w:keepNext/>
              <w:jc w:val="center"/>
              <w:rPr>
                <w:b/>
              </w:rPr>
            </w:pPr>
          </w:p>
        </w:tc>
        <w:tc>
          <w:tcPr>
            <w:tcW w:w="3686" w:type="dxa"/>
            <w:tcBorders>
              <w:top w:val="single" w:sz="4" w:space="0" w:color="auto"/>
              <w:bottom w:val="single" w:sz="4" w:space="0" w:color="A6A6A6" w:themeColor="background1" w:themeShade="A6"/>
            </w:tcBorders>
          </w:tcPr>
          <w:p w:rsidR="00A16A93" w:rsidRPr="00546C37" w:rsidRDefault="00A16A93" w:rsidP="003E71FA">
            <w:pPr>
              <w:pStyle w:val="TableText"/>
              <w:keepNext/>
              <w:tabs>
                <w:tab w:val="decimal" w:pos="1434"/>
              </w:tabs>
              <w:rPr>
                <w:b/>
              </w:rPr>
            </w:pPr>
          </w:p>
        </w:tc>
      </w:tr>
      <w:tr w:rsidR="00A16A93" w:rsidRPr="00A16A93" w:rsidTr="00A9542B">
        <w:trPr>
          <w:cantSplit/>
        </w:trPr>
        <w:tc>
          <w:tcPr>
            <w:tcW w:w="2778" w:type="dxa"/>
            <w:tcBorders>
              <w:top w:val="single" w:sz="4" w:space="0" w:color="A6A6A6" w:themeColor="background1" w:themeShade="A6"/>
              <w:bottom w:val="single" w:sz="4" w:space="0" w:color="A6A6A6" w:themeColor="background1" w:themeShade="A6"/>
            </w:tcBorders>
          </w:tcPr>
          <w:p w:rsidR="00A16A93" w:rsidRPr="00546C37" w:rsidRDefault="00A16A93" w:rsidP="003E71FA">
            <w:pPr>
              <w:pStyle w:val="TableText"/>
              <w:keepNext/>
            </w:pPr>
            <w:r w:rsidRPr="00546C37">
              <w:t>Māori</w:t>
            </w:r>
          </w:p>
        </w:tc>
        <w:tc>
          <w:tcPr>
            <w:tcW w:w="964" w:type="dxa"/>
            <w:tcBorders>
              <w:top w:val="single" w:sz="4" w:space="0" w:color="A6A6A6" w:themeColor="background1" w:themeShade="A6"/>
              <w:bottom w:val="single" w:sz="4" w:space="0" w:color="A6A6A6" w:themeColor="background1" w:themeShade="A6"/>
            </w:tcBorders>
          </w:tcPr>
          <w:p w:rsidR="00A16A93" w:rsidRPr="00546C37" w:rsidRDefault="00A16A93" w:rsidP="003E71FA">
            <w:pPr>
              <w:pStyle w:val="TableText"/>
              <w:keepNext/>
              <w:jc w:val="center"/>
            </w:pPr>
            <w:r w:rsidRPr="00546C37">
              <w:t>51.8%</w:t>
            </w:r>
          </w:p>
        </w:tc>
        <w:tc>
          <w:tcPr>
            <w:tcW w:w="964" w:type="dxa"/>
            <w:tcBorders>
              <w:top w:val="single" w:sz="4" w:space="0" w:color="A6A6A6" w:themeColor="background1" w:themeShade="A6"/>
              <w:bottom w:val="single" w:sz="4" w:space="0" w:color="A6A6A6" w:themeColor="background1" w:themeShade="A6"/>
            </w:tcBorders>
          </w:tcPr>
          <w:p w:rsidR="00A16A93" w:rsidRPr="00546C37" w:rsidRDefault="00A16A93" w:rsidP="003E71FA">
            <w:pPr>
              <w:pStyle w:val="TableText"/>
              <w:keepNext/>
              <w:jc w:val="center"/>
            </w:pPr>
            <w:r w:rsidRPr="00546C37">
              <w:t>52.9%</w:t>
            </w:r>
          </w:p>
        </w:tc>
        <w:tc>
          <w:tcPr>
            <w:tcW w:w="964" w:type="dxa"/>
            <w:tcBorders>
              <w:top w:val="single" w:sz="4" w:space="0" w:color="A6A6A6" w:themeColor="background1" w:themeShade="A6"/>
              <w:bottom w:val="single" w:sz="4" w:space="0" w:color="A6A6A6" w:themeColor="background1" w:themeShade="A6"/>
            </w:tcBorders>
          </w:tcPr>
          <w:p w:rsidR="00A16A93" w:rsidRPr="00546C37" w:rsidRDefault="00A16A93" w:rsidP="003E71FA">
            <w:pPr>
              <w:pStyle w:val="TableText"/>
              <w:keepNext/>
              <w:jc w:val="center"/>
            </w:pPr>
            <w:r w:rsidRPr="00546C37">
              <w:t>50.5%</w:t>
            </w:r>
          </w:p>
        </w:tc>
        <w:tc>
          <w:tcPr>
            <w:tcW w:w="3686" w:type="dxa"/>
            <w:tcBorders>
              <w:top w:val="single" w:sz="4" w:space="0" w:color="A6A6A6" w:themeColor="background1" w:themeShade="A6"/>
              <w:bottom w:val="single" w:sz="4" w:space="0" w:color="A6A6A6" w:themeColor="background1" w:themeShade="A6"/>
            </w:tcBorders>
          </w:tcPr>
          <w:p w:rsidR="00A16A93" w:rsidRPr="00546C37" w:rsidRDefault="00A16A93" w:rsidP="003E71FA">
            <w:pPr>
              <w:pStyle w:val="TableText"/>
              <w:keepNext/>
              <w:tabs>
                <w:tab w:val="decimal" w:pos="1434"/>
              </w:tabs>
            </w:pPr>
            <w:r w:rsidRPr="00546C37">
              <w:t>104,000</w:t>
            </w:r>
            <w:r w:rsidR="00B50F67">
              <w:t xml:space="preserve"> </w:t>
            </w:r>
            <w:r w:rsidRPr="00546C37">
              <w:t>(97,000–111,000)</w:t>
            </w:r>
          </w:p>
        </w:tc>
      </w:tr>
      <w:tr w:rsidR="00A16A93" w:rsidRPr="00A16A93" w:rsidTr="00A9542B">
        <w:trPr>
          <w:cantSplit/>
        </w:trPr>
        <w:tc>
          <w:tcPr>
            <w:tcW w:w="2778" w:type="dxa"/>
            <w:tcBorders>
              <w:top w:val="single" w:sz="4" w:space="0" w:color="A6A6A6" w:themeColor="background1" w:themeShade="A6"/>
              <w:bottom w:val="single" w:sz="4" w:space="0" w:color="A6A6A6" w:themeColor="background1" w:themeShade="A6"/>
            </w:tcBorders>
          </w:tcPr>
          <w:p w:rsidR="00A16A93" w:rsidRPr="00546C37" w:rsidRDefault="00A16A93" w:rsidP="003E71FA">
            <w:pPr>
              <w:pStyle w:val="TableText"/>
              <w:keepNext/>
            </w:pPr>
            <w:r w:rsidRPr="00546C37">
              <w:t>Pacific peoples</w:t>
            </w:r>
          </w:p>
        </w:tc>
        <w:tc>
          <w:tcPr>
            <w:tcW w:w="964" w:type="dxa"/>
            <w:tcBorders>
              <w:top w:val="single" w:sz="4" w:space="0" w:color="A6A6A6" w:themeColor="background1" w:themeShade="A6"/>
              <w:bottom w:val="single" w:sz="4" w:space="0" w:color="A6A6A6" w:themeColor="background1" w:themeShade="A6"/>
            </w:tcBorders>
          </w:tcPr>
          <w:p w:rsidR="00A16A93" w:rsidRPr="00546C37" w:rsidRDefault="00A16A93" w:rsidP="003E71FA">
            <w:pPr>
              <w:pStyle w:val="TableText"/>
              <w:keepNext/>
              <w:jc w:val="center"/>
            </w:pPr>
            <w:r w:rsidRPr="00546C37">
              <w:t>47.4%</w:t>
            </w:r>
          </w:p>
        </w:tc>
        <w:tc>
          <w:tcPr>
            <w:tcW w:w="964" w:type="dxa"/>
            <w:tcBorders>
              <w:top w:val="single" w:sz="4" w:space="0" w:color="A6A6A6" w:themeColor="background1" w:themeShade="A6"/>
              <w:bottom w:val="single" w:sz="4" w:space="0" w:color="A6A6A6" w:themeColor="background1" w:themeShade="A6"/>
            </w:tcBorders>
          </w:tcPr>
          <w:p w:rsidR="00A16A93" w:rsidRPr="00546C37" w:rsidRDefault="00A16A93" w:rsidP="003E71FA">
            <w:pPr>
              <w:pStyle w:val="TableText"/>
              <w:keepNext/>
              <w:jc w:val="center"/>
            </w:pPr>
            <w:r w:rsidRPr="00546C37">
              <w:t>43.9%</w:t>
            </w:r>
          </w:p>
        </w:tc>
        <w:tc>
          <w:tcPr>
            <w:tcW w:w="964" w:type="dxa"/>
            <w:tcBorders>
              <w:top w:val="single" w:sz="4" w:space="0" w:color="A6A6A6" w:themeColor="background1" w:themeShade="A6"/>
              <w:bottom w:val="single" w:sz="4" w:space="0" w:color="A6A6A6" w:themeColor="background1" w:themeShade="A6"/>
            </w:tcBorders>
          </w:tcPr>
          <w:p w:rsidR="00A16A93" w:rsidRPr="00546C37" w:rsidRDefault="00A16A93" w:rsidP="003E71FA">
            <w:pPr>
              <w:pStyle w:val="TableText"/>
              <w:keepNext/>
              <w:jc w:val="center"/>
            </w:pPr>
            <w:r w:rsidRPr="00546C37">
              <w:t>51.1%</w:t>
            </w:r>
          </w:p>
        </w:tc>
        <w:tc>
          <w:tcPr>
            <w:tcW w:w="3686" w:type="dxa"/>
            <w:tcBorders>
              <w:top w:val="single" w:sz="4" w:space="0" w:color="A6A6A6" w:themeColor="background1" w:themeShade="A6"/>
              <w:bottom w:val="single" w:sz="4" w:space="0" w:color="A6A6A6" w:themeColor="background1" w:themeShade="A6"/>
            </w:tcBorders>
          </w:tcPr>
          <w:p w:rsidR="00A16A93" w:rsidRPr="00546C37" w:rsidRDefault="00A16A93" w:rsidP="003E71FA">
            <w:pPr>
              <w:pStyle w:val="TableText"/>
              <w:keepNext/>
              <w:tabs>
                <w:tab w:val="decimal" w:pos="1434"/>
              </w:tabs>
            </w:pPr>
            <w:r w:rsidRPr="00546C37">
              <w:t>49,000</w:t>
            </w:r>
            <w:r w:rsidR="00B50F67">
              <w:t xml:space="preserve"> </w:t>
            </w:r>
            <w:r w:rsidRPr="00546C37">
              <w:t>(45,000–54,000)</w:t>
            </w:r>
          </w:p>
        </w:tc>
      </w:tr>
      <w:tr w:rsidR="00A16A93" w:rsidRPr="00A16A93" w:rsidTr="00A9542B">
        <w:trPr>
          <w:cantSplit/>
        </w:trPr>
        <w:tc>
          <w:tcPr>
            <w:tcW w:w="2778" w:type="dxa"/>
            <w:tcBorders>
              <w:top w:val="single" w:sz="4" w:space="0" w:color="A6A6A6" w:themeColor="background1" w:themeShade="A6"/>
              <w:bottom w:val="single" w:sz="4" w:space="0" w:color="A6A6A6" w:themeColor="background1" w:themeShade="A6"/>
            </w:tcBorders>
          </w:tcPr>
          <w:p w:rsidR="00A16A93" w:rsidRPr="00546C37" w:rsidRDefault="00A16A93" w:rsidP="003E71FA">
            <w:pPr>
              <w:pStyle w:val="TableText"/>
              <w:keepNext/>
            </w:pPr>
            <w:r w:rsidRPr="00546C37">
              <w:t>Asian</w:t>
            </w:r>
          </w:p>
        </w:tc>
        <w:tc>
          <w:tcPr>
            <w:tcW w:w="964" w:type="dxa"/>
            <w:tcBorders>
              <w:top w:val="single" w:sz="4" w:space="0" w:color="A6A6A6" w:themeColor="background1" w:themeShade="A6"/>
              <w:bottom w:val="single" w:sz="4" w:space="0" w:color="A6A6A6" w:themeColor="background1" w:themeShade="A6"/>
            </w:tcBorders>
          </w:tcPr>
          <w:p w:rsidR="00A16A93" w:rsidRPr="00546C37" w:rsidRDefault="00A16A93" w:rsidP="003E71FA">
            <w:pPr>
              <w:pStyle w:val="TableText"/>
              <w:keepNext/>
              <w:jc w:val="center"/>
            </w:pPr>
            <w:r w:rsidRPr="00546C37">
              <w:t>46.9%</w:t>
            </w:r>
          </w:p>
        </w:tc>
        <w:tc>
          <w:tcPr>
            <w:tcW w:w="964" w:type="dxa"/>
            <w:tcBorders>
              <w:top w:val="single" w:sz="4" w:space="0" w:color="A6A6A6" w:themeColor="background1" w:themeShade="A6"/>
              <w:bottom w:val="single" w:sz="4" w:space="0" w:color="A6A6A6" w:themeColor="background1" w:themeShade="A6"/>
            </w:tcBorders>
          </w:tcPr>
          <w:p w:rsidR="00A16A93" w:rsidRPr="00546C37" w:rsidRDefault="00A16A93" w:rsidP="003E71FA">
            <w:pPr>
              <w:pStyle w:val="TableText"/>
              <w:keepNext/>
              <w:jc w:val="center"/>
            </w:pPr>
            <w:r w:rsidRPr="00546C37">
              <w:t>42.2%</w:t>
            </w:r>
          </w:p>
        </w:tc>
        <w:tc>
          <w:tcPr>
            <w:tcW w:w="964" w:type="dxa"/>
            <w:tcBorders>
              <w:top w:val="single" w:sz="4" w:space="0" w:color="A6A6A6" w:themeColor="background1" w:themeShade="A6"/>
              <w:bottom w:val="single" w:sz="4" w:space="0" w:color="A6A6A6" w:themeColor="background1" w:themeShade="A6"/>
            </w:tcBorders>
          </w:tcPr>
          <w:p w:rsidR="00A16A93" w:rsidRPr="00546C37" w:rsidRDefault="00A16A93" w:rsidP="003E71FA">
            <w:pPr>
              <w:pStyle w:val="TableText"/>
              <w:keepNext/>
              <w:jc w:val="center"/>
            </w:pPr>
            <w:r w:rsidRPr="00546C37">
              <w:t>51.6%</w:t>
            </w:r>
          </w:p>
        </w:tc>
        <w:tc>
          <w:tcPr>
            <w:tcW w:w="3686" w:type="dxa"/>
            <w:tcBorders>
              <w:top w:val="single" w:sz="4" w:space="0" w:color="A6A6A6" w:themeColor="background1" w:themeShade="A6"/>
              <w:bottom w:val="single" w:sz="4" w:space="0" w:color="A6A6A6" w:themeColor="background1" w:themeShade="A6"/>
            </w:tcBorders>
          </w:tcPr>
          <w:p w:rsidR="00A16A93" w:rsidRPr="00546C37" w:rsidRDefault="00A16A93" w:rsidP="003E71FA">
            <w:pPr>
              <w:pStyle w:val="TableText"/>
              <w:keepNext/>
              <w:tabs>
                <w:tab w:val="decimal" w:pos="1434"/>
              </w:tabs>
            </w:pPr>
            <w:r w:rsidRPr="00546C37">
              <w:t>48,000</w:t>
            </w:r>
            <w:r w:rsidR="00B50F67">
              <w:t xml:space="preserve"> </w:t>
            </w:r>
            <w:r w:rsidRPr="00546C37">
              <w:t>(43,000–53,000)</w:t>
            </w:r>
          </w:p>
        </w:tc>
      </w:tr>
      <w:tr w:rsidR="00A16A93" w:rsidRPr="00A16A93" w:rsidTr="00A9542B">
        <w:trPr>
          <w:cantSplit/>
        </w:trPr>
        <w:tc>
          <w:tcPr>
            <w:tcW w:w="2778" w:type="dxa"/>
            <w:tcBorders>
              <w:top w:val="single" w:sz="4" w:space="0" w:color="A6A6A6" w:themeColor="background1" w:themeShade="A6"/>
              <w:bottom w:val="single" w:sz="4" w:space="0" w:color="auto"/>
            </w:tcBorders>
          </w:tcPr>
          <w:p w:rsidR="00A16A93" w:rsidRPr="00546C37" w:rsidRDefault="00A16A93" w:rsidP="003E71FA">
            <w:pPr>
              <w:pStyle w:val="TableText"/>
              <w:keepNext/>
            </w:pPr>
            <w:r w:rsidRPr="00546C37">
              <w:t>European/Other</w:t>
            </w:r>
          </w:p>
        </w:tc>
        <w:tc>
          <w:tcPr>
            <w:tcW w:w="964" w:type="dxa"/>
            <w:tcBorders>
              <w:top w:val="single" w:sz="4" w:space="0" w:color="A6A6A6" w:themeColor="background1" w:themeShade="A6"/>
              <w:bottom w:val="single" w:sz="4" w:space="0" w:color="auto"/>
            </w:tcBorders>
          </w:tcPr>
          <w:p w:rsidR="00A16A93" w:rsidRPr="00546C37" w:rsidRDefault="00A16A93" w:rsidP="003E71FA">
            <w:pPr>
              <w:pStyle w:val="TableText"/>
              <w:keepNext/>
              <w:jc w:val="center"/>
            </w:pPr>
            <w:r w:rsidRPr="00546C37">
              <w:t>43.2%</w:t>
            </w:r>
          </w:p>
        </w:tc>
        <w:tc>
          <w:tcPr>
            <w:tcW w:w="964" w:type="dxa"/>
            <w:tcBorders>
              <w:top w:val="single" w:sz="4" w:space="0" w:color="A6A6A6" w:themeColor="background1" w:themeShade="A6"/>
              <w:bottom w:val="single" w:sz="4" w:space="0" w:color="auto"/>
            </w:tcBorders>
          </w:tcPr>
          <w:p w:rsidR="00A16A93" w:rsidRPr="00546C37" w:rsidRDefault="00A16A93" w:rsidP="003E71FA">
            <w:pPr>
              <w:pStyle w:val="TableText"/>
              <w:keepNext/>
              <w:jc w:val="center"/>
            </w:pPr>
            <w:r w:rsidRPr="00546C37">
              <w:t>42.7%</w:t>
            </w:r>
          </w:p>
        </w:tc>
        <w:tc>
          <w:tcPr>
            <w:tcW w:w="964" w:type="dxa"/>
            <w:tcBorders>
              <w:top w:val="single" w:sz="4" w:space="0" w:color="A6A6A6" w:themeColor="background1" w:themeShade="A6"/>
              <w:bottom w:val="single" w:sz="4" w:space="0" w:color="auto"/>
            </w:tcBorders>
          </w:tcPr>
          <w:p w:rsidR="00A16A93" w:rsidRPr="00546C37" w:rsidRDefault="00A16A93" w:rsidP="003E71FA">
            <w:pPr>
              <w:pStyle w:val="TableText"/>
              <w:keepNext/>
              <w:jc w:val="center"/>
            </w:pPr>
            <w:r w:rsidRPr="00546C37">
              <w:t>43.7%</w:t>
            </w:r>
          </w:p>
        </w:tc>
        <w:tc>
          <w:tcPr>
            <w:tcW w:w="3686" w:type="dxa"/>
            <w:tcBorders>
              <w:top w:val="single" w:sz="4" w:space="0" w:color="A6A6A6" w:themeColor="background1" w:themeShade="A6"/>
              <w:bottom w:val="single" w:sz="4" w:space="0" w:color="auto"/>
            </w:tcBorders>
          </w:tcPr>
          <w:p w:rsidR="00A16A93" w:rsidRPr="00546C37" w:rsidRDefault="00A16A93" w:rsidP="003E71FA">
            <w:pPr>
              <w:pStyle w:val="TableText"/>
              <w:keepNext/>
              <w:tabs>
                <w:tab w:val="decimal" w:pos="1434"/>
              </w:tabs>
            </w:pPr>
            <w:r w:rsidRPr="00546C37">
              <w:t>244,000</w:t>
            </w:r>
            <w:r w:rsidR="00B50F67">
              <w:t xml:space="preserve"> </w:t>
            </w:r>
            <w:r w:rsidRPr="00546C37">
              <w:t>(229,000–258,000)</w:t>
            </w:r>
          </w:p>
        </w:tc>
      </w:tr>
      <w:tr w:rsidR="00A16A93" w:rsidRPr="00546C37" w:rsidTr="00A9542B">
        <w:trPr>
          <w:cantSplit/>
        </w:trPr>
        <w:tc>
          <w:tcPr>
            <w:tcW w:w="2778" w:type="dxa"/>
            <w:tcBorders>
              <w:top w:val="single" w:sz="4" w:space="0" w:color="auto"/>
            </w:tcBorders>
          </w:tcPr>
          <w:p w:rsidR="00A16A93" w:rsidRPr="00546C37" w:rsidRDefault="00A16A93" w:rsidP="00546C37">
            <w:pPr>
              <w:pStyle w:val="TableText"/>
              <w:rPr>
                <w:b/>
              </w:rPr>
            </w:pPr>
            <w:r w:rsidRPr="00546C37">
              <w:rPr>
                <w:b/>
              </w:rPr>
              <w:t>Neighbourhood deprivation quintile (NZDep2013)</w:t>
            </w:r>
          </w:p>
        </w:tc>
        <w:tc>
          <w:tcPr>
            <w:tcW w:w="964" w:type="dxa"/>
            <w:tcBorders>
              <w:top w:val="single" w:sz="4" w:space="0" w:color="auto"/>
            </w:tcBorders>
          </w:tcPr>
          <w:p w:rsidR="00A16A93" w:rsidRPr="00546C37" w:rsidRDefault="00A16A93" w:rsidP="00546C37">
            <w:pPr>
              <w:pStyle w:val="TableText"/>
              <w:jc w:val="center"/>
              <w:rPr>
                <w:b/>
              </w:rPr>
            </w:pPr>
          </w:p>
        </w:tc>
        <w:tc>
          <w:tcPr>
            <w:tcW w:w="964" w:type="dxa"/>
            <w:tcBorders>
              <w:top w:val="single" w:sz="4" w:space="0" w:color="auto"/>
            </w:tcBorders>
          </w:tcPr>
          <w:p w:rsidR="00A16A93" w:rsidRPr="00546C37" w:rsidRDefault="00A16A93" w:rsidP="00546C37">
            <w:pPr>
              <w:pStyle w:val="TableText"/>
              <w:jc w:val="center"/>
              <w:rPr>
                <w:b/>
              </w:rPr>
            </w:pPr>
          </w:p>
        </w:tc>
        <w:tc>
          <w:tcPr>
            <w:tcW w:w="964" w:type="dxa"/>
            <w:tcBorders>
              <w:top w:val="single" w:sz="4" w:space="0" w:color="auto"/>
            </w:tcBorders>
          </w:tcPr>
          <w:p w:rsidR="00A16A93" w:rsidRPr="00546C37" w:rsidRDefault="00A16A93" w:rsidP="00546C37">
            <w:pPr>
              <w:pStyle w:val="TableText"/>
              <w:jc w:val="center"/>
              <w:rPr>
                <w:b/>
              </w:rPr>
            </w:pPr>
          </w:p>
        </w:tc>
        <w:tc>
          <w:tcPr>
            <w:tcW w:w="3686" w:type="dxa"/>
            <w:tcBorders>
              <w:top w:val="single" w:sz="4" w:space="0" w:color="auto"/>
            </w:tcBorders>
          </w:tcPr>
          <w:p w:rsidR="00A16A93" w:rsidRPr="00546C37" w:rsidRDefault="00A16A93" w:rsidP="00B50F67">
            <w:pPr>
              <w:pStyle w:val="TableText"/>
              <w:tabs>
                <w:tab w:val="decimal" w:pos="1434"/>
              </w:tabs>
              <w:rPr>
                <w:b/>
              </w:rPr>
            </w:pPr>
          </w:p>
        </w:tc>
      </w:tr>
      <w:tr w:rsidR="00A16A93" w:rsidRPr="00A16A93" w:rsidTr="00A9542B">
        <w:trPr>
          <w:cantSplit/>
        </w:trPr>
        <w:tc>
          <w:tcPr>
            <w:tcW w:w="2778" w:type="dxa"/>
          </w:tcPr>
          <w:p w:rsidR="00A16A93" w:rsidRPr="00546C37" w:rsidRDefault="00A16A93" w:rsidP="00546C37">
            <w:pPr>
              <w:pStyle w:val="TableText"/>
            </w:pPr>
            <w:r w:rsidRPr="00546C37">
              <w:t>Quintile 1 (least deprived)</w:t>
            </w:r>
          </w:p>
        </w:tc>
        <w:tc>
          <w:tcPr>
            <w:tcW w:w="964" w:type="dxa"/>
          </w:tcPr>
          <w:p w:rsidR="00A16A93" w:rsidRPr="00546C37" w:rsidRDefault="00A16A93" w:rsidP="00546C37">
            <w:pPr>
              <w:pStyle w:val="TableText"/>
              <w:jc w:val="center"/>
            </w:pPr>
            <w:r w:rsidRPr="00546C37">
              <w:t>41.9</w:t>
            </w:r>
            <w:r w:rsidR="00546C37">
              <w:t>%</w:t>
            </w:r>
          </w:p>
        </w:tc>
        <w:tc>
          <w:tcPr>
            <w:tcW w:w="964" w:type="dxa"/>
          </w:tcPr>
          <w:p w:rsidR="00A16A93" w:rsidRPr="00546C37" w:rsidRDefault="00A16A93" w:rsidP="00546C37">
            <w:pPr>
              <w:pStyle w:val="TableText"/>
              <w:jc w:val="center"/>
            </w:pPr>
            <w:r w:rsidRPr="00546C37">
              <w:t>39.6</w:t>
            </w:r>
            <w:r w:rsidR="00546C37">
              <w:t>%</w:t>
            </w:r>
          </w:p>
        </w:tc>
        <w:tc>
          <w:tcPr>
            <w:tcW w:w="964" w:type="dxa"/>
          </w:tcPr>
          <w:p w:rsidR="00A16A93" w:rsidRPr="00546C37" w:rsidRDefault="00A16A93" w:rsidP="00546C37">
            <w:pPr>
              <w:pStyle w:val="TableText"/>
              <w:jc w:val="center"/>
            </w:pPr>
            <w:r w:rsidRPr="00546C37">
              <w:t>44.4</w:t>
            </w:r>
            <w:r w:rsidR="00546C37">
              <w:t>%</w:t>
            </w:r>
          </w:p>
        </w:tc>
        <w:tc>
          <w:tcPr>
            <w:tcW w:w="3686" w:type="dxa"/>
          </w:tcPr>
          <w:p w:rsidR="00A16A93" w:rsidRPr="00546C37" w:rsidRDefault="00A16A93" w:rsidP="00B50F67">
            <w:pPr>
              <w:pStyle w:val="TableText"/>
              <w:tabs>
                <w:tab w:val="decimal" w:pos="1434"/>
              </w:tabs>
            </w:pPr>
            <w:r w:rsidRPr="00546C37">
              <w:t>70,000</w:t>
            </w:r>
            <w:r w:rsidR="00B50F67">
              <w:t xml:space="preserve"> </w:t>
            </w:r>
            <w:r w:rsidRPr="00546C37">
              <w:t>(59,000–81,000)</w:t>
            </w:r>
          </w:p>
        </w:tc>
      </w:tr>
      <w:tr w:rsidR="00A16A93" w:rsidRPr="00A16A93" w:rsidTr="00A9542B">
        <w:trPr>
          <w:cantSplit/>
        </w:trPr>
        <w:tc>
          <w:tcPr>
            <w:tcW w:w="2778" w:type="dxa"/>
          </w:tcPr>
          <w:p w:rsidR="00A16A93" w:rsidRPr="00546C37" w:rsidRDefault="00A16A93" w:rsidP="00546C37">
            <w:pPr>
              <w:pStyle w:val="TableText"/>
            </w:pPr>
            <w:r w:rsidRPr="00546C37">
              <w:t>Quintile 2</w:t>
            </w:r>
          </w:p>
        </w:tc>
        <w:tc>
          <w:tcPr>
            <w:tcW w:w="964" w:type="dxa"/>
          </w:tcPr>
          <w:p w:rsidR="00A16A93" w:rsidRPr="00546C37" w:rsidRDefault="00A16A93" w:rsidP="00546C37">
            <w:pPr>
              <w:pStyle w:val="TableText"/>
              <w:jc w:val="center"/>
            </w:pPr>
            <w:r w:rsidRPr="00546C37">
              <w:t>39.2</w:t>
            </w:r>
            <w:r w:rsidR="00546C37">
              <w:t>%</w:t>
            </w:r>
          </w:p>
        </w:tc>
        <w:tc>
          <w:tcPr>
            <w:tcW w:w="964" w:type="dxa"/>
          </w:tcPr>
          <w:p w:rsidR="00A16A93" w:rsidRPr="00546C37" w:rsidRDefault="00A16A93" w:rsidP="00546C37">
            <w:pPr>
              <w:pStyle w:val="TableText"/>
              <w:jc w:val="center"/>
            </w:pPr>
            <w:r w:rsidRPr="00546C37">
              <w:t>36.7</w:t>
            </w:r>
            <w:r w:rsidR="00546C37">
              <w:t>%</w:t>
            </w:r>
          </w:p>
        </w:tc>
        <w:tc>
          <w:tcPr>
            <w:tcW w:w="964" w:type="dxa"/>
          </w:tcPr>
          <w:p w:rsidR="00A16A93" w:rsidRPr="00546C37" w:rsidRDefault="00A16A93" w:rsidP="00546C37">
            <w:pPr>
              <w:pStyle w:val="TableText"/>
              <w:jc w:val="center"/>
            </w:pPr>
            <w:r w:rsidRPr="00546C37">
              <w:t>42.1</w:t>
            </w:r>
            <w:r w:rsidR="00546C37">
              <w:t>%</w:t>
            </w:r>
          </w:p>
        </w:tc>
        <w:tc>
          <w:tcPr>
            <w:tcW w:w="3686" w:type="dxa"/>
          </w:tcPr>
          <w:p w:rsidR="00A16A93" w:rsidRPr="00546C37" w:rsidRDefault="00A16A93" w:rsidP="00B50F67">
            <w:pPr>
              <w:pStyle w:val="TableText"/>
              <w:tabs>
                <w:tab w:val="decimal" w:pos="1434"/>
              </w:tabs>
            </w:pPr>
            <w:r w:rsidRPr="00546C37">
              <w:t>60,000</w:t>
            </w:r>
            <w:r w:rsidR="00B50F67">
              <w:t xml:space="preserve"> </w:t>
            </w:r>
            <w:r w:rsidRPr="00546C37">
              <w:t>(52,000–68,000)</w:t>
            </w:r>
          </w:p>
        </w:tc>
      </w:tr>
      <w:tr w:rsidR="00A16A93" w:rsidRPr="00A16A93" w:rsidTr="00A9542B">
        <w:trPr>
          <w:cantSplit/>
        </w:trPr>
        <w:tc>
          <w:tcPr>
            <w:tcW w:w="2778" w:type="dxa"/>
          </w:tcPr>
          <w:p w:rsidR="00A16A93" w:rsidRPr="00546C37" w:rsidRDefault="00A16A93" w:rsidP="00546C37">
            <w:pPr>
              <w:pStyle w:val="TableText"/>
            </w:pPr>
            <w:r w:rsidRPr="00546C37">
              <w:t>Quintile 3</w:t>
            </w:r>
          </w:p>
        </w:tc>
        <w:tc>
          <w:tcPr>
            <w:tcW w:w="964" w:type="dxa"/>
          </w:tcPr>
          <w:p w:rsidR="00A16A93" w:rsidRPr="00546C37" w:rsidRDefault="00A16A93" w:rsidP="00546C37">
            <w:pPr>
              <w:pStyle w:val="TableText"/>
              <w:jc w:val="center"/>
            </w:pPr>
            <w:r w:rsidRPr="00546C37">
              <w:t>43.3</w:t>
            </w:r>
            <w:r w:rsidR="00546C37">
              <w:t>%</w:t>
            </w:r>
          </w:p>
        </w:tc>
        <w:tc>
          <w:tcPr>
            <w:tcW w:w="964" w:type="dxa"/>
          </w:tcPr>
          <w:p w:rsidR="00A16A93" w:rsidRPr="00546C37" w:rsidRDefault="00A16A93" w:rsidP="00546C37">
            <w:pPr>
              <w:pStyle w:val="TableText"/>
              <w:jc w:val="center"/>
            </w:pPr>
            <w:r w:rsidRPr="00546C37">
              <w:t>45.6</w:t>
            </w:r>
            <w:r w:rsidR="00546C37">
              <w:t>%</w:t>
            </w:r>
          </w:p>
        </w:tc>
        <w:tc>
          <w:tcPr>
            <w:tcW w:w="964" w:type="dxa"/>
          </w:tcPr>
          <w:p w:rsidR="00A16A93" w:rsidRPr="00546C37" w:rsidRDefault="00A16A93" w:rsidP="00546C37">
            <w:pPr>
              <w:pStyle w:val="TableText"/>
              <w:jc w:val="center"/>
            </w:pPr>
            <w:r w:rsidRPr="00546C37">
              <w:t>41.0</w:t>
            </w:r>
            <w:r w:rsidR="00546C37">
              <w:t>%</w:t>
            </w:r>
          </w:p>
        </w:tc>
        <w:tc>
          <w:tcPr>
            <w:tcW w:w="3686" w:type="dxa"/>
          </w:tcPr>
          <w:p w:rsidR="00A16A93" w:rsidRPr="00546C37" w:rsidRDefault="00A16A93" w:rsidP="00B50F67">
            <w:pPr>
              <w:pStyle w:val="TableText"/>
              <w:tabs>
                <w:tab w:val="decimal" w:pos="1434"/>
              </w:tabs>
            </w:pPr>
            <w:r w:rsidRPr="00546C37">
              <w:t>61,000</w:t>
            </w:r>
            <w:r w:rsidR="00B50F67">
              <w:t xml:space="preserve"> </w:t>
            </w:r>
            <w:r w:rsidRPr="00546C37">
              <w:t>(54,000–69,000)</w:t>
            </w:r>
          </w:p>
        </w:tc>
      </w:tr>
      <w:tr w:rsidR="00A16A93" w:rsidRPr="00A16A93" w:rsidTr="00A9542B">
        <w:trPr>
          <w:cantSplit/>
        </w:trPr>
        <w:tc>
          <w:tcPr>
            <w:tcW w:w="2778" w:type="dxa"/>
          </w:tcPr>
          <w:p w:rsidR="00A16A93" w:rsidRPr="00546C37" w:rsidRDefault="00A16A93" w:rsidP="00546C37">
            <w:pPr>
              <w:pStyle w:val="TableText"/>
            </w:pPr>
            <w:r w:rsidRPr="00546C37">
              <w:t>Quintile 4</w:t>
            </w:r>
          </w:p>
        </w:tc>
        <w:tc>
          <w:tcPr>
            <w:tcW w:w="964" w:type="dxa"/>
          </w:tcPr>
          <w:p w:rsidR="00A16A93" w:rsidRPr="00546C37" w:rsidRDefault="00A16A93" w:rsidP="00546C37">
            <w:pPr>
              <w:pStyle w:val="TableText"/>
              <w:jc w:val="center"/>
            </w:pPr>
            <w:r w:rsidRPr="00546C37">
              <w:t>47.3</w:t>
            </w:r>
            <w:r w:rsidR="00546C37">
              <w:t>%</w:t>
            </w:r>
          </w:p>
        </w:tc>
        <w:tc>
          <w:tcPr>
            <w:tcW w:w="964" w:type="dxa"/>
          </w:tcPr>
          <w:p w:rsidR="00A16A93" w:rsidRPr="00546C37" w:rsidRDefault="00A16A93" w:rsidP="00546C37">
            <w:pPr>
              <w:pStyle w:val="TableText"/>
              <w:jc w:val="center"/>
            </w:pPr>
            <w:r w:rsidRPr="00546C37">
              <w:t>47.3</w:t>
            </w:r>
            <w:r w:rsidR="00546C37">
              <w:t>%</w:t>
            </w:r>
          </w:p>
        </w:tc>
        <w:tc>
          <w:tcPr>
            <w:tcW w:w="964" w:type="dxa"/>
          </w:tcPr>
          <w:p w:rsidR="00A16A93" w:rsidRPr="00546C37" w:rsidRDefault="00A16A93" w:rsidP="00546C37">
            <w:pPr>
              <w:pStyle w:val="TableText"/>
              <w:jc w:val="center"/>
            </w:pPr>
            <w:r w:rsidRPr="00546C37">
              <w:t>47.3</w:t>
            </w:r>
            <w:r w:rsidR="00546C37">
              <w:t>%</w:t>
            </w:r>
          </w:p>
        </w:tc>
        <w:tc>
          <w:tcPr>
            <w:tcW w:w="3686" w:type="dxa"/>
          </w:tcPr>
          <w:p w:rsidR="00A16A93" w:rsidRPr="00546C37" w:rsidRDefault="00A16A93" w:rsidP="00B50F67">
            <w:pPr>
              <w:pStyle w:val="TableText"/>
              <w:tabs>
                <w:tab w:val="decimal" w:pos="1434"/>
              </w:tabs>
            </w:pPr>
            <w:r w:rsidRPr="00546C37">
              <w:t>70,000</w:t>
            </w:r>
            <w:r w:rsidR="00B50F67">
              <w:t xml:space="preserve"> </w:t>
            </w:r>
            <w:r w:rsidRPr="00546C37">
              <w:t>(64,000–77,000)</w:t>
            </w:r>
          </w:p>
        </w:tc>
      </w:tr>
      <w:tr w:rsidR="00A16A93" w:rsidRPr="00A16A93" w:rsidTr="00A9542B">
        <w:trPr>
          <w:cantSplit/>
        </w:trPr>
        <w:tc>
          <w:tcPr>
            <w:tcW w:w="2778" w:type="dxa"/>
          </w:tcPr>
          <w:p w:rsidR="00A16A93" w:rsidRPr="00546C37" w:rsidRDefault="00A16A93" w:rsidP="00546C37">
            <w:pPr>
              <w:pStyle w:val="TableText"/>
            </w:pPr>
            <w:r w:rsidRPr="00546C37">
              <w:t>Quintile 5 (most deprived)</w:t>
            </w:r>
          </w:p>
        </w:tc>
        <w:tc>
          <w:tcPr>
            <w:tcW w:w="964" w:type="dxa"/>
          </w:tcPr>
          <w:p w:rsidR="00A16A93" w:rsidRPr="00546C37" w:rsidRDefault="00A16A93" w:rsidP="00546C37">
            <w:pPr>
              <w:pStyle w:val="TableText"/>
              <w:jc w:val="center"/>
            </w:pPr>
            <w:r w:rsidRPr="00546C37">
              <w:t>51.3</w:t>
            </w:r>
            <w:r w:rsidR="00546C37">
              <w:t>%</w:t>
            </w:r>
          </w:p>
        </w:tc>
        <w:tc>
          <w:tcPr>
            <w:tcW w:w="964" w:type="dxa"/>
          </w:tcPr>
          <w:p w:rsidR="00A16A93" w:rsidRPr="00546C37" w:rsidRDefault="00A16A93" w:rsidP="00546C37">
            <w:pPr>
              <w:pStyle w:val="TableText"/>
              <w:jc w:val="center"/>
            </w:pPr>
            <w:r w:rsidRPr="00546C37">
              <w:t>51.2</w:t>
            </w:r>
            <w:r w:rsidR="00546C37">
              <w:t>%</w:t>
            </w:r>
          </w:p>
        </w:tc>
        <w:tc>
          <w:tcPr>
            <w:tcW w:w="964" w:type="dxa"/>
          </w:tcPr>
          <w:p w:rsidR="00A16A93" w:rsidRPr="00546C37" w:rsidRDefault="00A16A93" w:rsidP="00546C37">
            <w:pPr>
              <w:pStyle w:val="TableText"/>
              <w:jc w:val="center"/>
            </w:pPr>
            <w:r w:rsidRPr="00546C37">
              <w:t>51.3</w:t>
            </w:r>
            <w:r w:rsidR="00546C37">
              <w:t>%</w:t>
            </w:r>
          </w:p>
        </w:tc>
        <w:tc>
          <w:tcPr>
            <w:tcW w:w="3686" w:type="dxa"/>
          </w:tcPr>
          <w:p w:rsidR="00A16A93" w:rsidRPr="00546C37" w:rsidRDefault="00A16A93" w:rsidP="00B50F67">
            <w:pPr>
              <w:pStyle w:val="TableText"/>
              <w:tabs>
                <w:tab w:val="decimal" w:pos="1434"/>
              </w:tabs>
            </w:pPr>
            <w:r w:rsidRPr="00546C37">
              <w:t>94,000</w:t>
            </w:r>
            <w:r w:rsidR="00B50F67">
              <w:t xml:space="preserve"> </w:t>
            </w:r>
            <w:r w:rsidRPr="00546C37">
              <w:t>(88,000–100,000)</w:t>
            </w:r>
          </w:p>
        </w:tc>
      </w:tr>
    </w:tbl>
    <w:p w:rsidR="00A16A93" w:rsidRPr="00A16A93" w:rsidRDefault="00A16A93" w:rsidP="00546C37">
      <w:pPr>
        <w:pStyle w:val="Source"/>
        <w:rPr>
          <w:rFonts w:cs="Arial"/>
        </w:rPr>
      </w:pPr>
      <w:r w:rsidRPr="00A16A93">
        <w:rPr>
          <w:rFonts w:cs="Arial"/>
        </w:rPr>
        <w:t xml:space="preserve">Source: </w:t>
      </w:r>
      <w:hyperlink r:id="rId35" w:history="1">
        <w:r w:rsidRPr="00A16A93">
          <w:rPr>
            <w:rStyle w:val="Hyperlink"/>
            <w:rFonts w:cs="Arial"/>
          </w:rPr>
          <w:t>Ministry of Health 2016d</w:t>
        </w:r>
      </w:hyperlink>
    </w:p>
    <w:p w:rsidR="00A16A93" w:rsidRPr="00A16A93" w:rsidRDefault="00A16A93" w:rsidP="00546C37">
      <w:pPr>
        <w:pStyle w:val="Note"/>
      </w:pPr>
      <w:r w:rsidRPr="00A16A93">
        <w:t>Note:</w:t>
      </w:r>
      <w:r w:rsidR="00546C37">
        <w:t xml:space="preserve"> </w:t>
      </w:r>
      <w:r w:rsidRPr="00A16A93">
        <w:t xml:space="preserve">The estimated number of children who usually watch two or more hours of television has been rounded to the nearest 1,000. For more information on how these numbers are calculated, please see section 7 of </w:t>
      </w:r>
      <w:hyperlink r:id="rId36" w:history="1">
        <w:r w:rsidRPr="00A9542B">
          <w:rPr>
            <w:rStyle w:val="Hyperlink"/>
          </w:rPr>
          <w:t>Ministry of Health 2016b</w:t>
        </w:r>
      </w:hyperlink>
      <w:r w:rsidRPr="00A16A93">
        <w:t>.</w:t>
      </w:r>
    </w:p>
    <w:p w:rsidR="00A16A93" w:rsidRPr="00A16A93" w:rsidRDefault="00A16A93" w:rsidP="00851E7D">
      <w:pPr>
        <w:pStyle w:val="Figure"/>
        <w:spacing w:before="360"/>
      </w:pPr>
      <w:bookmarkStart w:id="33" w:name="_Toc480534273"/>
      <w:r w:rsidRPr="00A16A93">
        <w:t>Figure 3: Percentage of children (aged 2–14 years) who usually watch two or more hours of television (including DVDs or videos) per day, 2011/12–2015/16</w:t>
      </w:r>
      <w:bookmarkEnd w:id="33"/>
    </w:p>
    <w:p w:rsidR="00A16A93" w:rsidRPr="00A16A93" w:rsidRDefault="00A16A93" w:rsidP="00A16A93">
      <w:pPr>
        <w:rPr>
          <w:rFonts w:ascii="Arial" w:hAnsi="Arial" w:cs="Arial"/>
        </w:rPr>
      </w:pPr>
      <w:r w:rsidRPr="00A16A93">
        <w:rPr>
          <w:rFonts w:ascii="Arial" w:hAnsi="Arial" w:cs="Arial"/>
          <w:noProof/>
          <w:lang w:eastAsia="en-NZ"/>
        </w:rPr>
        <w:drawing>
          <wp:inline distT="0" distB="0" distL="0" distR="0" wp14:anchorId="5308FA37" wp14:editId="1A73E819">
            <wp:extent cx="4680065" cy="2419004"/>
            <wp:effectExtent l="0" t="0" r="6350" b="635"/>
            <wp:docPr id="1" name="Chart 1" title="Figure 3: Percentage of children (aged 2–14 years) who usually watch two or more hours of television (including DVDs or videos) per day, 2011/12–201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16A93" w:rsidRDefault="00A16A93" w:rsidP="00A9542B">
      <w:pPr>
        <w:pStyle w:val="Source"/>
        <w:rPr>
          <w:rStyle w:val="Hyperlink"/>
          <w:rFonts w:cs="Arial"/>
        </w:rPr>
      </w:pPr>
      <w:r w:rsidRPr="00A16A93">
        <w:rPr>
          <w:rFonts w:cs="Arial"/>
        </w:rPr>
        <w:t xml:space="preserve">Source: </w:t>
      </w:r>
      <w:hyperlink r:id="rId38" w:history="1">
        <w:r w:rsidRPr="00A16A93">
          <w:rPr>
            <w:rStyle w:val="Hyperlink"/>
            <w:rFonts w:cs="Arial"/>
          </w:rPr>
          <w:t>Ministry of Health 2016d</w:t>
        </w:r>
      </w:hyperlink>
    </w:p>
    <w:p w:rsidR="00A9542B" w:rsidRPr="00A9542B" w:rsidRDefault="00A9542B" w:rsidP="00A9542B"/>
    <w:p w:rsidR="00A16A93" w:rsidRPr="00A16A93" w:rsidRDefault="00A16A93" w:rsidP="00A9542B">
      <w:pPr>
        <w:pStyle w:val="Heading2"/>
      </w:pPr>
      <w:bookmarkStart w:id="34" w:name="_Toc480457753"/>
      <w:bookmarkStart w:id="35" w:name="_Toc480534234"/>
      <w:r w:rsidRPr="00A16A93">
        <w:lastRenderedPageBreak/>
        <w:t>Indicator 2: Sleep duration</w:t>
      </w:r>
      <w:bookmarkEnd w:id="34"/>
      <w:bookmarkEnd w:id="35"/>
    </w:p>
    <w:p w:rsidR="00A16A93" w:rsidRPr="00A16A93" w:rsidRDefault="00A16A93" w:rsidP="00A9542B">
      <w:pPr>
        <w:pStyle w:val="Heading3"/>
      </w:pPr>
      <w:bookmarkStart w:id="36" w:name="_Toc480457754"/>
      <w:r w:rsidRPr="00A16A93">
        <w:t>Description</w:t>
      </w:r>
      <w:bookmarkEnd w:id="36"/>
    </w:p>
    <w:p w:rsidR="00A16A93" w:rsidRPr="00A16A93" w:rsidRDefault="00A16A93" w:rsidP="00A9542B">
      <w:r w:rsidRPr="00A16A93">
        <w:t>This indicator will measure the percentage of children (aged 5–13 years) who get an average of 9–11 hours sleep in a 24-hour period, in line with the Ministry of Health’s recommended sleep durations for school-age children (see Table 3).</w:t>
      </w:r>
    </w:p>
    <w:p w:rsidR="00A16A93" w:rsidRPr="00A16A93" w:rsidRDefault="00A16A93" w:rsidP="00A9542B"/>
    <w:p w:rsidR="00A16A93" w:rsidRPr="00A16A93" w:rsidRDefault="00A16A93" w:rsidP="00A9542B">
      <w:pPr>
        <w:pStyle w:val="Table"/>
      </w:pPr>
      <w:bookmarkStart w:id="37" w:name="_Toc480534255"/>
      <w:r w:rsidRPr="00A16A93">
        <w:t>Table 3: Recommended sleep durations for children and young people aged 0–17 years old</w:t>
      </w:r>
      <w:bookmarkEnd w:id="37"/>
    </w:p>
    <w:tbl>
      <w:tblPr>
        <w:tblW w:w="0" w:type="auto"/>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3261"/>
        <w:gridCol w:w="2892"/>
      </w:tblGrid>
      <w:tr w:rsidR="00A16A93" w:rsidRPr="00A9542B" w:rsidTr="00A9542B">
        <w:trPr>
          <w:cantSplit/>
        </w:trPr>
        <w:tc>
          <w:tcPr>
            <w:tcW w:w="3261" w:type="dxa"/>
            <w:tcBorders>
              <w:top w:val="single" w:sz="4" w:space="0" w:color="auto"/>
              <w:bottom w:val="single" w:sz="4" w:space="0" w:color="auto"/>
            </w:tcBorders>
            <w:shd w:val="clear" w:color="auto" w:fill="auto"/>
          </w:tcPr>
          <w:p w:rsidR="00A16A93" w:rsidRPr="00A9542B" w:rsidRDefault="00A16A93" w:rsidP="00A9542B">
            <w:pPr>
              <w:pStyle w:val="TableText"/>
              <w:rPr>
                <w:rFonts w:eastAsia="Arial"/>
                <w:b/>
              </w:rPr>
            </w:pPr>
            <w:r w:rsidRPr="00A9542B">
              <w:rPr>
                <w:rFonts w:eastAsia="Arial"/>
                <w:b/>
              </w:rPr>
              <w:t>Age</w:t>
            </w:r>
          </w:p>
        </w:tc>
        <w:tc>
          <w:tcPr>
            <w:tcW w:w="2892" w:type="dxa"/>
            <w:tcBorders>
              <w:top w:val="single" w:sz="4" w:space="0" w:color="auto"/>
              <w:bottom w:val="single" w:sz="4" w:space="0" w:color="auto"/>
            </w:tcBorders>
            <w:shd w:val="clear" w:color="auto" w:fill="auto"/>
          </w:tcPr>
          <w:p w:rsidR="00A16A93" w:rsidRPr="00A9542B" w:rsidRDefault="00A16A93" w:rsidP="00A9542B">
            <w:pPr>
              <w:pStyle w:val="TableText"/>
              <w:jc w:val="center"/>
              <w:rPr>
                <w:rFonts w:eastAsia="Arial"/>
                <w:b/>
              </w:rPr>
            </w:pPr>
            <w:r w:rsidRPr="00A9542B">
              <w:rPr>
                <w:rFonts w:eastAsia="Arial"/>
                <w:b/>
              </w:rPr>
              <w:t>Recommended hours of sleep</w:t>
            </w:r>
          </w:p>
        </w:tc>
      </w:tr>
      <w:tr w:rsidR="00A16A93" w:rsidRPr="00A16A93" w:rsidTr="00A9542B">
        <w:trPr>
          <w:cantSplit/>
        </w:trPr>
        <w:tc>
          <w:tcPr>
            <w:tcW w:w="3261" w:type="dxa"/>
            <w:tcBorders>
              <w:top w:val="single" w:sz="4" w:space="0" w:color="auto"/>
            </w:tcBorders>
            <w:shd w:val="clear" w:color="auto" w:fill="auto"/>
          </w:tcPr>
          <w:p w:rsidR="00A16A93" w:rsidRPr="00A16A93" w:rsidRDefault="00A16A93" w:rsidP="00A9542B">
            <w:pPr>
              <w:pStyle w:val="TableText"/>
              <w:rPr>
                <w:rFonts w:eastAsia="Arial"/>
              </w:rPr>
            </w:pPr>
            <w:r w:rsidRPr="00A16A93">
              <w:rPr>
                <w:rFonts w:eastAsia="Arial"/>
              </w:rPr>
              <w:t>Newborn babies (0–3 months)</w:t>
            </w:r>
          </w:p>
        </w:tc>
        <w:tc>
          <w:tcPr>
            <w:tcW w:w="2892" w:type="dxa"/>
            <w:tcBorders>
              <w:top w:val="single" w:sz="4" w:space="0" w:color="auto"/>
            </w:tcBorders>
            <w:shd w:val="clear" w:color="auto" w:fill="auto"/>
          </w:tcPr>
          <w:p w:rsidR="00A16A93" w:rsidRPr="00A16A93" w:rsidRDefault="00A16A93" w:rsidP="00A9542B">
            <w:pPr>
              <w:pStyle w:val="TableText"/>
              <w:jc w:val="center"/>
              <w:rPr>
                <w:rFonts w:eastAsia="Arial"/>
              </w:rPr>
            </w:pPr>
            <w:r w:rsidRPr="00A16A93">
              <w:rPr>
                <w:rFonts w:eastAsia="Arial"/>
              </w:rPr>
              <w:t>14–17</w:t>
            </w:r>
          </w:p>
        </w:tc>
      </w:tr>
      <w:tr w:rsidR="00A16A93" w:rsidRPr="00A16A93" w:rsidTr="00A9542B">
        <w:trPr>
          <w:cantSplit/>
        </w:trPr>
        <w:tc>
          <w:tcPr>
            <w:tcW w:w="3261" w:type="dxa"/>
            <w:shd w:val="clear" w:color="auto" w:fill="auto"/>
          </w:tcPr>
          <w:p w:rsidR="00A16A93" w:rsidRPr="00A16A93" w:rsidRDefault="00A16A93" w:rsidP="00A9542B">
            <w:pPr>
              <w:pStyle w:val="TableText"/>
              <w:rPr>
                <w:rFonts w:eastAsia="Arial"/>
              </w:rPr>
            </w:pPr>
            <w:r w:rsidRPr="00A16A93">
              <w:rPr>
                <w:rFonts w:eastAsia="Arial"/>
              </w:rPr>
              <w:t>Infants (4–11 months)</w:t>
            </w:r>
          </w:p>
        </w:tc>
        <w:tc>
          <w:tcPr>
            <w:tcW w:w="2892" w:type="dxa"/>
            <w:shd w:val="clear" w:color="auto" w:fill="auto"/>
          </w:tcPr>
          <w:p w:rsidR="00A16A93" w:rsidRPr="00A16A93" w:rsidRDefault="00A16A93" w:rsidP="00A9542B">
            <w:pPr>
              <w:pStyle w:val="TableText"/>
              <w:jc w:val="center"/>
              <w:rPr>
                <w:rFonts w:eastAsia="Arial"/>
              </w:rPr>
            </w:pPr>
            <w:r w:rsidRPr="00A16A93">
              <w:rPr>
                <w:rFonts w:eastAsia="Arial"/>
              </w:rPr>
              <w:t>12–15</w:t>
            </w:r>
          </w:p>
        </w:tc>
      </w:tr>
      <w:tr w:rsidR="00A16A93" w:rsidRPr="00A16A93" w:rsidTr="00A9542B">
        <w:trPr>
          <w:cantSplit/>
        </w:trPr>
        <w:tc>
          <w:tcPr>
            <w:tcW w:w="3261" w:type="dxa"/>
            <w:shd w:val="clear" w:color="auto" w:fill="auto"/>
          </w:tcPr>
          <w:p w:rsidR="00A16A93" w:rsidRPr="00A16A93" w:rsidRDefault="00A16A93" w:rsidP="00A9542B">
            <w:pPr>
              <w:pStyle w:val="TableText"/>
              <w:rPr>
                <w:rFonts w:eastAsia="Arial"/>
              </w:rPr>
            </w:pPr>
            <w:r w:rsidRPr="00A16A93">
              <w:rPr>
                <w:rFonts w:eastAsia="Arial"/>
              </w:rPr>
              <w:t>Toddlers (1–2 years)</w:t>
            </w:r>
          </w:p>
        </w:tc>
        <w:tc>
          <w:tcPr>
            <w:tcW w:w="2892" w:type="dxa"/>
            <w:shd w:val="clear" w:color="auto" w:fill="auto"/>
          </w:tcPr>
          <w:p w:rsidR="00A16A93" w:rsidRPr="00A16A93" w:rsidRDefault="00A16A93" w:rsidP="00A9542B">
            <w:pPr>
              <w:pStyle w:val="TableText"/>
              <w:jc w:val="center"/>
              <w:rPr>
                <w:rFonts w:eastAsia="Arial"/>
              </w:rPr>
            </w:pPr>
            <w:r w:rsidRPr="00A16A93">
              <w:rPr>
                <w:rFonts w:eastAsia="Arial"/>
              </w:rPr>
              <w:t>11–14</w:t>
            </w:r>
          </w:p>
        </w:tc>
      </w:tr>
      <w:tr w:rsidR="00A16A93" w:rsidRPr="00A16A93" w:rsidTr="00A9542B">
        <w:trPr>
          <w:cantSplit/>
        </w:trPr>
        <w:tc>
          <w:tcPr>
            <w:tcW w:w="3261" w:type="dxa"/>
            <w:shd w:val="clear" w:color="auto" w:fill="auto"/>
          </w:tcPr>
          <w:p w:rsidR="00A16A93" w:rsidRPr="00A16A93" w:rsidRDefault="00A16A93" w:rsidP="00A9542B">
            <w:pPr>
              <w:pStyle w:val="TableText"/>
              <w:rPr>
                <w:rFonts w:eastAsia="Arial"/>
              </w:rPr>
            </w:pPr>
            <w:r w:rsidRPr="00A16A93">
              <w:rPr>
                <w:rFonts w:eastAsia="Arial"/>
              </w:rPr>
              <w:t>Pre-schoolers (3–4 years)</w:t>
            </w:r>
          </w:p>
        </w:tc>
        <w:tc>
          <w:tcPr>
            <w:tcW w:w="2892" w:type="dxa"/>
            <w:shd w:val="clear" w:color="auto" w:fill="auto"/>
          </w:tcPr>
          <w:p w:rsidR="00A16A93" w:rsidRPr="00A16A93" w:rsidRDefault="00A16A93" w:rsidP="00A9542B">
            <w:pPr>
              <w:pStyle w:val="TableText"/>
              <w:jc w:val="center"/>
              <w:rPr>
                <w:rFonts w:eastAsia="Arial"/>
              </w:rPr>
            </w:pPr>
            <w:r w:rsidRPr="00A16A93">
              <w:rPr>
                <w:rFonts w:eastAsia="Arial"/>
              </w:rPr>
              <w:t>10–13</w:t>
            </w:r>
          </w:p>
        </w:tc>
      </w:tr>
      <w:tr w:rsidR="00A16A93" w:rsidRPr="00A16A93" w:rsidTr="00A9542B">
        <w:trPr>
          <w:cantSplit/>
        </w:trPr>
        <w:tc>
          <w:tcPr>
            <w:tcW w:w="3261" w:type="dxa"/>
            <w:shd w:val="clear" w:color="auto" w:fill="auto"/>
          </w:tcPr>
          <w:p w:rsidR="00A16A93" w:rsidRPr="00A16A93" w:rsidRDefault="00A16A93" w:rsidP="00A9542B">
            <w:pPr>
              <w:pStyle w:val="TableText"/>
              <w:rPr>
                <w:rFonts w:eastAsia="Arial"/>
              </w:rPr>
            </w:pPr>
            <w:r w:rsidRPr="00A16A93">
              <w:rPr>
                <w:rFonts w:eastAsia="Arial"/>
              </w:rPr>
              <w:t>School-age children (5–13 years)</w:t>
            </w:r>
          </w:p>
        </w:tc>
        <w:tc>
          <w:tcPr>
            <w:tcW w:w="2892" w:type="dxa"/>
            <w:shd w:val="clear" w:color="auto" w:fill="auto"/>
          </w:tcPr>
          <w:p w:rsidR="00A16A93" w:rsidRPr="00A16A93" w:rsidRDefault="00A16A93" w:rsidP="00A9542B">
            <w:pPr>
              <w:pStyle w:val="TableText"/>
              <w:jc w:val="center"/>
              <w:rPr>
                <w:rFonts w:eastAsia="Arial"/>
              </w:rPr>
            </w:pPr>
            <w:r w:rsidRPr="00A16A93">
              <w:rPr>
                <w:rFonts w:eastAsia="Arial"/>
              </w:rPr>
              <w:t>9–11</w:t>
            </w:r>
          </w:p>
        </w:tc>
      </w:tr>
      <w:tr w:rsidR="00A16A93" w:rsidRPr="00A16A93" w:rsidTr="00A9542B">
        <w:trPr>
          <w:cantSplit/>
        </w:trPr>
        <w:tc>
          <w:tcPr>
            <w:tcW w:w="3261" w:type="dxa"/>
            <w:shd w:val="clear" w:color="auto" w:fill="auto"/>
          </w:tcPr>
          <w:p w:rsidR="00A16A93" w:rsidRPr="00A16A93" w:rsidRDefault="00A16A93" w:rsidP="00A9542B">
            <w:pPr>
              <w:pStyle w:val="TableText"/>
              <w:rPr>
                <w:rFonts w:eastAsia="Arial"/>
              </w:rPr>
            </w:pPr>
            <w:r w:rsidRPr="00A16A93">
              <w:rPr>
                <w:rFonts w:eastAsia="Arial"/>
              </w:rPr>
              <w:t>Teenagers (14–17 years)</w:t>
            </w:r>
          </w:p>
        </w:tc>
        <w:tc>
          <w:tcPr>
            <w:tcW w:w="2892" w:type="dxa"/>
            <w:shd w:val="clear" w:color="auto" w:fill="auto"/>
          </w:tcPr>
          <w:p w:rsidR="00A16A93" w:rsidRPr="00A16A93" w:rsidRDefault="00A16A93" w:rsidP="00A9542B">
            <w:pPr>
              <w:pStyle w:val="TableText"/>
              <w:jc w:val="center"/>
              <w:rPr>
                <w:rFonts w:eastAsia="Arial"/>
              </w:rPr>
            </w:pPr>
            <w:r w:rsidRPr="00A16A93">
              <w:rPr>
                <w:rFonts w:eastAsia="Arial"/>
              </w:rPr>
              <w:t>8–10</w:t>
            </w:r>
          </w:p>
        </w:tc>
      </w:tr>
    </w:tbl>
    <w:p w:rsidR="00A16A93" w:rsidRPr="00A16A93" w:rsidRDefault="00A16A93" w:rsidP="00A9542B">
      <w:pPr>
        <w:pStyle w:val="Source"/>
        <w:rPr>
          <w:rFonts w:cs="Arial"/>
        </w:rPr>
      </w:pPr>
      <w:r w:rsidRPr="00A16A93">
        <w:rPr>
          <w:rFonts w:cs="Arial"/>
        </w:rPr>
        <w:t xml:space="preserve">Source: </w:t>
      </w:r>
      <w:hyperlink r:id="rId39" w:history="1">
        <w:r w:rsidRPr="00A16A93">
          <w:rPr>
            <w:rStyle w:val="Hyperlink"/>
            <w:rFonts w:cs="Arial"/>
          </w:rPr>
          <w:t>Ministry of Health 2016a</w:t>
        </w:r>
      </w:hyperlink>
    </w:p>
    <w:p w:rsidR="00A16A93" w:rsidRPr="00A16A93" w:rsidRDefault="00A16A93" w:rsidP="00A9542B"/>
    <w:p w:rsidR="00A16A93" w:rsidRPr="00A16A93" w:rsidRDefault="00A16A93" w:rsidP="00A9542B">
      <w:r w:rsidRPr="00A16A93">
        <w:t>Inadequate amounts of sleep adversely impact children and young people’s health in a variety of ways, including their weight status, school performance, driver safety, emotional and behavioural wellbeing and dietary intake (Shochat et al 2014; Bartel et al 2015).</w:t>
      </w:r>
    </w:p>
    <w:p w:rsidR="00A16A93" w:rsidRPr="00A16A93" w:rsidRDefault="00A16A93" w:rsidP="00A9542B"/>
    <w:p w:rsidR="00A16A93" w:rsidRPr="00A16A93" w:rsidRDefault="00A16A93" w:rsidP="00A9542B">
      <w:r w:rsidRPr="00A16A93">
        <w:t xml:space="preserve">Fatima et al (2015) found that children who did not get the recommended amount of sleep were twice as likely to be obese than those who did. Exactly </w:t>
      </w:r>
      <w:r w:rsidRPr="00A16A93">
        <w:rPr>
          <w:i/>
        </w:rPr>
        <w:t>how</w:t>
      </w:r>
      <w:r w:rsidRPr="00A16A93">
        <w:t xml:space="preserve"> greater amounts of sleep protect against weight gain is unclear, but sleep deprivation is thought to affect both sides of the energy balance equation. Being awake for longer leaves a person more time to eat; it also affects appetite regulation, leading to excess energy intake. Not getting enough sleep may also lead to less physical activity and reduced energy expenditure, although these effects may not be as strong (Schmid et al 2015).</w:t>
      </w:r>
    </w:p>
    <w:p w:rsidR="00A16A93" w:rsidRPr="00A16A93" w:rsidRDefault="00A16A93" w:rsidP="00A9542B"/>
    <w:p w:rsidR="00A16A93" w:rsidRPr="00A16A93" w:rsidRDefault="00A16A93" w:rsidP="00A9542B">
      <w:pPr>
        <w:pStyle w:val="Heading3"/>
      </w:pPr>
      <w:bookmarkStart w:id="38" w:name="_Toc480457755"/>
      <w:r w:rsidRPr="00A16A93">
        <w:t>Baseline performance</w:t>
      </w:r>
      <w:bookmarkEnd w:id="38"/>
    </w:p>
    <w:p w:rsidR="00A9542B" w:rsidRDefault="00A16A93" w:rsidP="00A9542B">
      <w:r w:rsidRPr="00A16A93">
        <w:t xml:space="preserve">There is currently no baseline data available for this indicator. The Ministry will start collecting data for the indicator through the New Zealand Health Survey from 1 July 2017, and expects the first results around December 2018. The first results will likely be included in the second </w:t>
      </w:r>
      <w:r w:rsidRPr="00A16A93">
        <w:rPr>
          <w:i/>
        </w:rPr>
        <w:t xml:space="preserve">Children and young people living well and staying well </w:t>
      </w:r>
      <w:r w:rsidRPr="00A16A93">
        <w:t>monitoring report, which will be published in early 2019. From then, the results will be available annually by age group, ethnic group and neighbourhood deprivation quintile.</w:t>
      </w:r>
    </w:p>
    <w:p w:rsidR="00A9542B" w:rsidRDefault="00A9542B" w:rsidP="00A9542B"/>
    <w:p w:rsidR="00A16A93" w:rsidRPr="00A16A93" w:rsidRDefault="00A16A93" w:rsidP="00A9542B">
      <w:pPr>
        <w:pStyle w:val="Heading2"/>
      </w:pPr>
      <w:bookmarkStart w:id="39" w:name="_Toc480457756"/>
      <w:bookmarkStart w:id="40" w:name="_Toc480534235"/>
      <w:r w:rsidRPr="00A16A93">
        <w:lastRenderedPageBreak/>
        <w:t>Indicator 3: Time spent on physical activity</w:t>
      </w:r>
      <w:bookmarkEnd w:id="39"/>
      <w:bookmarkEnd w:id="40"/>
    </w:p>
    <w:p w:rsidR="00A16A93" w:rsidRPr="00A16A93" w:rsidRDefault="00A16A93" w:rsidP="00A9542B">
      <w:pPr>
        <w:pStyle w:val="Heading3"/>
      </w:pPr>
      <w:bookmarkStart w:id="41" w:name="_Toc480457757"/>
      <w:r w:rsidRPr="00A16A93">
        <w:t>Description</w:t>
      </w:r>
      <w:bookmarkEnd w:id="41"/>
    </w:p>
    <w:p w:rsidR="00A16A93" w:rsidRPr="00A16A93" w:rsidRDefault="00A16A93" w:rsidP="003E71FA">
      <w:pPr>
        <w:keepNext/>
      </w:pPr>
      <w:r w:rsidRPr="00A16A93">
        <w:rPr>
          <w:rFonts w:eastAsia="Century"/>
        </w:rPr>
        <w:t>There are many opportunities and reasons why children might be physically active. They may play a sport or partake in physical education at school, or they may do physical activity for exercise or fun.</w:t>
      </w:r>
    </w:p>
    <w:p w:rsidR="00A16A93" w:rsidRPr="00A16A93" w:rsidRDefault="00A16A93" w:rsidP="003E71FA">
      <w:pPr>
        <w:keepNext/>
      </w:pPr>
    </w:p>
    <w:p w:rsidR="00A16A93" w:rsidRPr="00A16A93" w:rsidRDefault="00A16A93" w:rsidP="003E71FA">
      <w:pPr>
        <w:keepNext/>
      </w:pPr>
      <w:r w:rsidRPr="00A16A93">
        <w:t>This indicator will measure the percentage of children (aged 5–17 years) who spent at least one hour per day being physically active (for sport, physical education, exercise or fun) over the last week.</w:t>
      </w:r>
    </w:p>
    <w:p w:rsidR="00A16A93" w:rsidRPr="00A16A93" w:rsidRDefault="00A16A93" w:rsidP="003E71FA">
      <w:pPr>
        <w:keepNext/>
      </w:pPr>
    </w:p>
    <w:p w:rsidR="00A16A93" w:rsidRPr="00A16A93" w:rsidRDefault="00A16A93" w:rsidP="00A9542B">
      <w:r w:rsidRPr="00A16A93">
        <w:t>The Ministry of Health recommends that children and young people should:</w:t>
      </w:r>
    </w:p>
    <w:p w:rsidR="00A16A93" w:rsidRPr="00A16A93" w:rsidRDefault="00A16A93" w:rsidP="00A9542B">
      <w:pPr>
        <w:pStyle w:val="Bullet"/>
      </w:pPr>
      <w:r w:rsidRPr="00A16A93">
        <w:t xml:space="preserve">partake in </w:t>
      </w:r>
      <w:r w:rsidRPr="00A16A93">
        <w:rPr>
          <w:i/>
        </w:rPr>
        <w:t>at least</w:t>
      </w:r>
      <w:r w:rsidRPr="00A16A93">
        <w:t xml:space="preserve"> 60 minutes of moderate to vigorous physical activity every day</w:t>
      </w:r>
    </w:p>
    <w:p w:rsidR="00A16A93" w:rsidRPr="00A16A93" w:rsidRDefault="00A16A93" w:rsidP="00A9542B">
      <w:pPr>
        <w:pStyle w:val="Bullet"/>
      </w:pPr>
      <w:r w:rsidRPr="00A16A93">
        <w:t>be active in as many ways as possible; for example, through play, cultural activities, dance, sport and recreation, jobs and transport</w:t>
      </w:r>
    </w:p>
    <w:p w:rsidR="00A16A93" w:rsidRPr="00A16A93" w:rsidRDefault="00A16A93" w:rsidP="00A9542B">
      <w:pPr>
        <w:pStyle w:val="Bullet"/>
      </w:pPr>
      <w:r w:rsidRPr="00A16A93">
        <w:t>be active with friends and family/whānau, at home, at school and in their community (Ministry of Health 2015).</w:t>
      </w:r>
    </w:p>
    <w:p w:rsidR="00A16A93" w:rsidRPr="00A16A93" w:rsidRDefault="00A16A93" w:rsidP="00A9542B"/>
    <w:p w:rsidR="00A16A93" w:rsidRPr="00A16A93" w:rsidRDefault="00A16A93" w:rsidP="00A9542B">
      <w:r w:rsidRPr="00A16A93">
        <w:t>The results for this indicator may or may not include the time children spend using active transport (ie, walking, cycling or skating) to get to and from school. It will depend on whether the child being surveyed considers getting to and from school as sport, physical education, exercise or fun.</w:t>
      </w:r>
    </w:p>
    <w:p w:rsidR="00A16A93" w:rsidRPr="00A16A93" w:rsidRDefault="00A16A93" w:rsidP="00A9542B"/>
    <w:p w:rsidR="00A16A93" w:rsidRPr="00A16A93" w:rsidRDefault="00A16A93" w:rsidP="00A9542B">
      <w:r w:rsidRPr="00A16A93">
        <w:t>The indicator also doesn’t specify how intensive the child’s physical activity was; therefore, it is only a proxy for the proportion of children meeting the Ministry of Health’s recommendations for physical activity.</w:t>
      </w:r>
    </w:p>
    <w:p w:rsidR="00A16A93" w:rsidRPr="00A16A93" w:rsidRDefault="00A16A93" w:rsidP="00A9542B"/>
    <w:p w:rsidR="00A16A93" w:rsidRPr="00A16A93" w:rsidRDefault="00A16A93" w:rsidP="00A9542B">
      <w:pPr>
        <w:pStyle w:val="Heading3"/>
      </w:pPr>
      <w:bookmarkStart w:id="42" w:name="_Toc480457758"/>
      <w:r w:rsidRPr="00A16A93">
        <w:t>Baseline performance</w:t>
      </w:r>
      <w:bookmarkEnd w:id="42"/>
    </w:p>
    <w:p w:rsidR="00A16A93" w:rsidRPr="00A16A93" w:rsidRDefault="00A16A93" w:rsidP="00A9542B">
      <w:r w:rsidRPr="00A16A93">
        <w:t xml:space="preserve">There is currently no baseline data available for this indicator. Sport New Zealand will start collecting data for the indicator through the Active New Zealand Survey, which it launched in January 2017. Sport New Zealand is still finalising its reporting requirements and timeframes for this survey. However, it is likely that the first </w:t>
      </w:r>
      <w:r w:rsidRPr="00A16A93">
        <w:rPr>
          <w:i/>
        </w:rPr>
        <w:t xml:space="preserve">Children and young people living well and staying well </w:t>
      </w:r>
      <w:r w:rsidRPr="00A16A93">
        <w:t>monitoring report will include the first results.</w:t>
      </w:r>
    </w:p>
    <w:p w:rsidR="00A16A93" w:rsidRPr="00A16A93" w:rsidRDefault="00A16A93" w:rsidP="00A9542B"/>
    <w:p w:rsidR="00A16A93" w:rsidRPr="00A16A93" w:rsidRDefault="00A16A93" w:rsidP="006307E0">
      <w:pPr>
        <w:pStyle w:val="Heading1"/>
      </w:pPr>
      <w:bookmarkStart w:id="43" w:name="_Toc480457759"/>
      <w:bookmarkStart w:id="44" w:name="_Toc480534236"/>
      <w:r w:rsidRPr="00A16A93">
        <w:lastRenderedPageBreak/>
        <w:t>Indicators 4–7: More children eat well</w:t>
      </w:r>
      <w:bookmarkEnd w:id="43"/>
      <w:bookmarkEnd w:id="44"/>
    </w:p>
    <w:p w:rsidR="00A16A93" w:rsidRPr="00A16A93" w:rsidRDefault="00A16A93" w:rsidP="00A9542B">
      <w:pPr>
        <w:pStyle w:val="Heading3"/>
      </w:pPr>
      <w:bookmarkStart w:id="45" w:name="_Toc480457760"/>
      <w:r w:rsidRPr="00A16A93">
        <w:t>Rationale and purpose</w:t>
      </w:r>
      <w:bookmarkEnd w:id="45"/>
    </w:p>
    <w:p w:rsidR="00A16A93" w:rsidRPr="00A16A93" w:rsidRDefault="00A16A93" w:rsidP="006307E0">
      <w:r w:rsidRPr="00A16A93">
        <w:t>Eating well is important for children’s growth, development and wellbeing. Eating well means eating a wide variety of nutritious foods, including:</w:t>
      </w:r>
    </w:p>
    <w:p w:rsidR="00A16A93" w:rsidRPr="00A16A93" w:rsidRDefault="00A16A93" w:rsidP="006307E0">
      <w:pPr>
        <w:pStyle w:val="Bullet"/>
      </w:pPr>
      <w:r w:rsidRPr="00A16A93">
        <w:t>plenty of fruit and vegetables</w:t>
      </w:r>
    </w:p>
    <w:p w:rsidR="00A16A93" w:rsidRPr="00A16A93" w:rsidRDefault="00A16A93" w:rsidP="00A9542B">
      <w:pPr>
        <w:pStyle w:val="Bullet"/>
      </w:pPr>
      <w:r w:rsidRPr="00A16A93">
        <w:t>some grain foods: mostly wholegrain and those naturally high in fibre</w:t>
      </w:r>
    </w:p>
    <w:p w:rsidR="00A16A93" w:rsidRPr="00A16A93" w:rsidRDefault="00A16A93" w:rsidP="00A9542B">
      <w:pPr>
        <w:pStyle w:val="Bullet"/>
      </w:pPr>
      <w:r w:rsidRPr="00A16A93">
        <w:t>some milk and milk products, mostly low- and reduced-fat</w:t>
      </w:r>
    </w:p>
    <w:p w:rsidR="00A16A93" w:rsidRPr="00A16A93" w:rsidRDefault="00A16A93" w:rsidP="00A9542B">
      <w:pPr>
        <w:pStyle w:val="Bullet"/>
      </w:pPr>
      <w:r w:rsidRPr="00A16A93">
        <w:t>some legumes, nuts, seeds, fish and other seafood, eggs or poultry, or red meat with the fat removed.</w:t>
      </w:r>
    </w:p>
    <w:p w:rsidR="00A9542B" w:rsidRDefault="00A9542B" w:rsidP="00A9542B"/>
    <w:p w:rsidR="00A16A93" w:rsidRPr="00A16A93" w:rsidRDefault="00A16A93" w:rsidP="00A9542B">
      <w:r w:rsidRPr="00A16A93">
        <w:t>Eating well also means restricting the amount of energy-dense, nutrient-poor foods and sugar-sweetened beverages children consume. These foods have little or no nutritional value, and are key drivers of childhood obesity.</w:t>
      </w:r>
    </w:p>
    <w:p w:rsidR="00A16A93" w:rsidRPr="00A16A93" w:rsidRDefault="00A16A93" w:rsidP="00A9542B"/>
    <w:p w:rsidR="00A16A93" w:rsidRPr="00A16A93" w:rsidRDefault="00A16A93" w:rsidP="00A9542B">
      <w:pPr>
        <w:pStyle w:val="Heading2"/>
      </w:pPr>
      <w:bookmarkStart w:id="46" w:name="_Toc480457761"/>
      <w:bookmarkStart w:id="47" w:name="_Toc480534237"/>
      <w:r w:rsidRPr="00A16A93">
        <w:lastRenderedPageBreak/>
        <w:t>Indicator 4: Breastfeeding</w:t>
      </w:r>
      <w:bookmarkEnd w:id="46"/>
      <w:bookmarkEnd w:id="47"/>
    </w:p>
    <w:p w:rsidR="00A16A93" w:rsidRPr="00A16A93" w:rsidRDefault="00A16A93" w:rsidP="00A9542B">
      <w:pPr>
        <w:pStyle w:val="Heading3"/>
      </w:pPr>
      <w:bookmarkStart w:id="48" w:name="_Toc480457762"/>
      <w:r w:rsidRPr="00A16A93">
        <w:t>Description</w:t>
      </w:r>
      <w:bookmarkEnd w:id="48"/>
    </w:p>
    <w:p w:rsidR="00A16A93" w:rsidRPr="00A16A93" w:rsidRDefault="00A16A93" w:rsidP="003E71FA">
      <w:pPr>
        <w:keepNext/>
      </w:pPr>
      <w:r w:rsidRPr="00A16A93">
        <w:t>This indicator measures the percentage of infants who are exclusively or fully breastfed at two weeks, six weeks and three months, and the percentage of infants who are exclusively, fully or partially breastfed at six months.</w:t>
      </w:r>
    </w:p>
    <w:p w:rsidR="00A16A93" w:rsidRPr="00A16A93" w:rsidRDefault="00A16A93" w:rsidP="003E71FA">
      <w:pPr>
        <w:keepNext/>
        <w:spacing w:before="180"/>
        <w:rPr>
          <w:lang w:eastAsia="en-NZ"/>
        </w:rPr>
      </w:pPr>
      <w:r w:rsidRPr="00A16A93">
        <w:rPr>
          <w:b/>
        </w:rPr>
        <w:t>A baby has been exclusively breastfed</w:t>
      </w:r>
      <w:r w:rsidRPr="00A16A93">
        <w:t xml:space="preserve"> if he or she </w:t>
      </w:r>
      <w:r w:rsidRPr="00A16A93">
        <w:rPr>
          <w:lang w:eastAsia="en-NZ"/>
        </w:rPr>
        <w:t>has never had any water, formula, other liquid or solid food, besides breast milk (from the breast or expressed) and prescribed medicines, since birth.</w:t>
      </w:r>
    </w:p>
    <w:p w:rsidR="00A16A93" w:rsidRPr="00A16A93" w:rsidRDefault="00A16A93" w:rsidP="003E71FA">
      <w:pPr>
        <w:keepNext/>
        <w:spacing w:before="180"/>
      </w:pPr>
      <w:r w:rsidRPr="00A16A93">
        <w:rPr>
          <w:b/>
        </w:rPr>
        <w:t>A baby has been fully breastfed</w:t>
      </w:r>
      <w:r w:rsidRPr="00A16A93">
        <w:t xml:space="preserve"> if he or she </w:t>
      </w:r>
      <w:r w:rsidRPr="00A16A93">
        <w:rPr>
          <w:lang w:eastAsia="en-NZ"/>
        </w:rPr>
        <w:t>has taken breast milk and a minimal amount of water or prescribed medicines, but no other liquids or solids, in the past 48 hours.</w:t>
      </w:r>
    </w:p>
    <w:p w:rsidR="00A16A93" w:rsidRPr="00A16A93" w:rsidRDefault="00A16A93" w:rsidP="003E71FA">
      <w:pPr>
        <w:keepNext/>
        <w:spacing w:before="180"/>
      </w:pPr>
      <w:r w:rsidRPr="00A16A93">
        <w:t>Breastfeeding helps to optimise babies’ development, growth and nutrition. The Ministry of Health recommends exclusively breastfeeding until babies are six months old and continuing breastfeeding for at least the first year of infants’ lives, or beyond.</w:t>
      </w:r>
    </w:p>
    <w:p w:rsidR="00A16A93" w:rsidRPr="00A16A93" w:rsidRDefault="00A16A93" w:rsidP="003E71FA">
      <w:pPr>
        <w:keepNext/>
        <w:spacing w:before="180"/>
      </w:pPr>
      <w:r w:rsidRPr="00A16A93">
        <w:t>Research has shown that exclusive breastfeeding for the first six months of life, followed by the introduction of appropriate complementary foods, significantly reduces a child’s risk of obesity (Horta et al 2015). Appropriate complementary feeding with continued breastfeeding can reduce the risk of under-nutrition and excess body fat in infants, both of which are risk factors for childhood obesity.</w:t>
      </w:r>
    </w:p>
    <w:p w:rsidR="00A16A93" w:rsidRPr="00A16A93" w:rsidRDefault="00A16A93" w:rsidP="003E71FA">
      <w:pPr>
        <w:pStyle w:val="Heading3"/>
        <w:spacing w:before="300"/>
      </w:pPr>
      <w:bookmarkStart w:id="49" w:name="_Toc480457763"/>
      <w:r w:rsidRPr="00A16A93">
        <w:t>Baseline performance</w:t>
      </w:r>
      <w:bookmarkEnd w:id="49"/>
    </w:p>
    <w:p w:rsidR="00A16A93" w:rsidRPr="00A9542B" w:rsidRDefault="00A16A93" w:rsidP="006307E0">
      <w:pPr>
        <w:keepLines/>
      </w:pPr>
      <w:r w:rsidRPr="00A9542B">
        <w:t xml:space="preserve">The data for this indicator comes from the </w:t>
      </w:r>
      <w:r w:rsidRPr="00A9542B">
        <w:rPr>
          <w:i/>
        </w:rPr>
        <w:t>Indicators for the Well Child/Tamariki Ora Quality Improvement Framework</w:t>
      </w:r>
      <w:r w:rsidRPr="00A9542B">
        <w:t xml:space="preserve"> report (</w:t>
      </w:r>
      <w:hyperlink r:id="rId40" w:history="1">
        <w:r w:rsidRPr="00A9542B">
          <w:rPr>
            <w:rStyle w:val="Hyperlink"/>
          </w:rPr>
          <w:t>Ministry of Health 2016c</w:t>
        </w:r>
      </w:hyperlink>
      <w:r w:rsidRPr="00A9542B">
        <w:t xml:space="preserve">). That report sources data from the Ministry of Health’s </w:t>
      </w:r>
      <w:hyperlink r:id="rId41" w:history="1">
        <w:r w:rsidRPr="00A9542B">
          <w:rPr>
            <w:rStyle w:val="Hyperlink"/>
          </w:rPr>
          <w:t>National Maternity Collection</w:t>
        </w:r>
      </w:hyperlink>
      <w:r w:rsidRPr="00A9542B">
        <w:t xml:space="preserve"> and the Well Child/Tamariki Ora database. The National Maternity Collection contains data on primary maternity services provided under section 88 of the New Zealand Public Health and Disability Act 2000, while the Well Child/</w:t>
      </w:r>
      <w:r w:rsidR="00A9542B" w:rsidRPr="00A9542B">
        <w:t xml:space="preserve"> </w:t>
      </w:r>
      <w:r w:rsidRPr="00A9542B">
        <w:t>Tamariki Ora database contains service coverage and event-level data relating to the contractual requirements of the national Well Child/Tamariki Ora tier two service specification.</w:t>
      </w:r>
    </w:p>
    <w:p w:rsidR="00A16A93" w:rsidRPr="00A16A93" w:rsidRDefault="00A16A93" w:rsidP="003E71FA">
      <w:pPr>
        <w:spacing w:before="180"/>
      </w:pPr>
      <w:r w:rsidRPr="00A16A93">
        <w:t xml:space="preserve">The data for this indicator is available by age group and ethnic group, and for those living in neighbourhood deprivation quintile 5 (ie, the most deprived neighbourhoods). The baseline performance set out here provides only rates; the </w:t>
      </w:r>
      <w:r w:rsidRPr="00A16A93">
        <w:rPr>
          <w:i/>
        </w:rPr>
        <w:t>Well Child/Tamariki Ora Quality Improvement Framework</w:t>
      </w:r>
      <w:r w:rsidRPr="00A16A93">
        <w:t xml:space="preserve"> report did not include the number of children in each group.</w:t>
      </w:r>
    </w:p>
    <w:p w:rsidR="00A16A93" w:rsidRPr="00A16A93" w:rsidRDefault="00A16A93" w:rsidP="003E71FA">
      <w:pPr>
        <w:pStyle w:val="Table"/>
        <w:spacing w:before="300"/>
        <w:rPr>
          <w:lang w:eastAsia="en-NZ"/>
        </w:rPr>
      </w:pPr>
      <w:bookmarkStart w:id="50" w:name="_Toc480534256"/>
      <w:r w:rsidRPr="00A16A93">
        <w:rPr>
          <w:lang w:eastAsia="en-NZ"/>
        </w:rPr>
        <w:t>Table 4: Percentage of infants who are exclusively, fully or partially breastfed at two weeks, six weeks, three months and six months, March 2016</w:t>
      </w:r>
      <w:bookmarkEnd w:id="50"/>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835"/>
        <w:gridCol w:w="1276"/>
        <w:gridCol w:w="1276"/>
        <w:gridCol w:w="1276"/>
        <w:gridCol w:w="2353"/>
      </w:tblGrid>
      <w:tr w:rsidR="00851E7D" w:rsidRPr="001B0085" w:rsidTr="00851E7D">
        <w:trPr>
          <w:cantSplit/>
        </w:trPr>
        <w:tc>
          <w:tcPr>
            <w:tcW w:w="2835" w:type="dxa"/>
            <w:vMerge w:val="restart"/>
            <w:tcBorders>
              <w:top w:val="single" w:sz="4" w:space="0" w:color="auto"/>
            </w:tcBorders>
          </w:tcPr>
          <w:p w:rsidR="00851E7D" w:rsidRPr="001B0085" w:rsidRDefault="00851E7D" w:rsidP="003E71FA">
            <w:pPr>
              <w:pStyle w:val="TableText"/>
              <w:rPr>
                <w:b/>
                <w:lang w:eastAsia="en-NZ"/>
              </w:rPr>
            </w:pPr>
          </w:p>
        </w:tc>
        <w:tc>
          <w:tcPr>
            <w:tcW w:w="3828" w:type="dxa"/>
            <w:gridSpan w:val="3"/>
            <w:tcBorders>
              <w:top w:val="single" w:sz="4" w:space="0" w:color="auto"/>
              <w:bottom w:val="nil"/>
            </w:tcBorders>
          </w:tcPr>
          <w:p w:rsidR="00851E7D" w:rsidRPr="001B0085" w:rsidRDefault="00851E7D" w:rsidP="003E71FA">
            <w:pPr>
              <w:pStyle w:val="TableText"/>
              <w:jc w:val="center"/>
              <w:rPr>
                <w:b/>
                <w:lang w:eastAsia="en-NZ"/>
              </w:rPr>
            </w:pPr>
            <w:r w:rsidRPr="001B0085">
              <w:rPr>
                <w:b/>
                <w:lang w:eastAsia="en-NZ"/>
              </w:rPr>
              <w:t>Infants exclusively or fully breastfed</w:t>
            </w:r>
          </w:p>
        </w:tc>
        <w:tc>
          <w:tcPr>
            <w:tcW w:w="2353" w:type="dxa"/>
            <w:tcBorders>
              <w:top w:val="single" w:sz="4" w:space="0" w:color="auto"/>
              <w:bottom w:val="nil"/>
            </w:tcBorders>
          </w:tcPr>
          <w:p w:rsidR="00851E7D" w:rsidRPr="001B0085" w:rsidRDefault="00851E7D" w:rsidP="003E71FA">
            <w:pPr>
              <w:pStyle w:val="TableText"/>
              <w:jc w:val="center"/>
              <w:rPr>
                <w:b/>
                <w:lang w:eastAsia="en-NZ"/>
              </w:rPr>
            </w:pPr>
            <w:r w:rsidRPr="001B0085">
              <w:rPr>
                <w:b/>
                <w:lang w:eastAsia="en-NZ"/>
              </w:rPr>
              <w:t>Infants exclusively, fully or partially breastfed</w:t>
            </w:r>
          </w:p>
        </w:tc>
      </w:tr>
      <w:tr w:rsidR="00851E7D" w:rsidRPr="001B0085" w:rsidTr="00851E7D">
        <w:trPr>
          <w:cantSplit/>
        </w:trPr>
        <w:tc>
          <w:tcPr>
            <w:tcW w:w="2835" w:type="dxa"/>
            <w:vMerge/>
            <w:tcBorders>
              <w:bottom w:val="single" w:sz="4" w:space="0" w:color="auto"/>
            </w:tcBorders>
          </w:tcPr>
          <w:p w:rsidR="00851E7D" w:rsidRPr="001B0085" w:rsidRDefault="00851E7D" w:rsidP="003E71FA">
            <w:pPr>
              <w:pStyle w:val="TableText"/>
              <w:rPr>
                <w:b/>
                <w:lang w:eastAsia="en-NZ"/>
              </w:rPr>
            </w:pPr>
          </w:p>
        </w:tc>
        <w:tc>
          <w:tcPr>
            <w:tcW w:w="1276" w:type="dxa"/>
            <w:tcBorders>
              <w:top w:val="nil"/>
              <w:bottom w:val="single" w:sz="4" w:space="0" w:color="auto"/>
            </w:tcBorders>
          </w:tcPr>
          <w:p w:rsidR="00851E7D" w:rsidRPr="001B0085" w:rsidRDefault="00851E7D" w:rsidP="003E71FA">
            <w:pPr>
              <w:pStyle w:val="TableText"/>
              <w:spacing w:before="0"/>
              <w:jc w:val="center"/>
              <w:rPr>
                <w:b/>
                <w:lang w:eastAsia="en-NZ"/>
              </w:rPr>
            </w:pPr>
            <w:r w:rsidRPr="001B0085">
              <w:rPr>
                <w:b/>
                <w:lang w:eastAsia="en-NZ"/>
              </w:rPr>
              <w:t>2 weeks</w:t>
            </w:r>
          </w:p>
        </w:tc>
        <w:tc>
          <w:tcPr>
            <w:tcW w:w="1276" w:type="dxa"/>
            <w:tcBorders>
              <w:top w:val="nil"/>
              <w:bottom w:val="single" w:sz="4" w:space="0" w:color="auto"/>
            </w:tcBorders>
          </w:tcPr>
          <w:p w:rsidR="00851E7D" w:rsidRPr="001B0085" w:rsidRDefault="00851E7D" w:rsidP="003E71FA">
            <w:pPr>
              <w:pStyle w:val="TableText"/>
              <w:spacing w:before="0"/>
              <w:jc w:val="center"/>
              <w:rPr>
                <w:b/>
                <w:lang w:eastAsia="en-NZ"/>
              </w:rPr>
            </w:pPr>
            <w:r w:rsidRPr="001B0085">
              <w:rPr>
                <w:b/>
                <w:lang w:eastAsia="en-NZ"/>
              </w:rPr>
              <w:t>6 weeks</w:t>
            </w:r>
          </w:p>
        </w:tc>
        <w:tc>
          <w:tcPr>
            <w:tcW w:w="1276" w:type="dxa"/>
            <w:tcBorders>
              <w:top w:val="nil"/>
              <w:bottom w:val="single" w:sz="4" w:space="0" w:color="auto"/>
            </w:tcBorders>
          </w:tcPr>
          <w:p w:rsidR="00851E7D" w:rsidRPr="001B0085" w:rsidRDefault="00851E7D" w:rsidP="003E71FA">
            <w:pPr>
              <w:pStyle w:val="TableText"/>
              <w:spacing w:before="0"/>
              <w:jc w:val="center"/>
              <w:rPr>
                <w:b/>
                <w:lang w:eastAsia="en-NZ"/>
              </w:rPr>
            </w:pPr>
            <w:r w:rsidRPr="001B0085">
              <w:rPr>
                <w:b/>
                <w:lang w:eastAsia="en-NZ"/>
              </w:rPr>
              <w:t>3 months</w:t>
            </w:r>
          </w:p>
        </w:tc>
        <w:tc>
          <w:tcPr>
            <w:tcW w:w="2353" w:type="dxa"/>
            <w:tcBorders>
              <w:top w:val="nil"/>
              <w:bottom w:val="single" w:sz="4" w:space="0" w:color="auto"/>
            </w:tcBorders>
          </w:tcPr>
          <w:p w:rsidR="00851E7D" w:rsidRPr="001B0085" w:rsidRDefault="00851E7D" w:rsidP="003E71FA">
            <w:pPr>
              <w:pStyle w:val="TableText"/>
              <w:spacing w:before="0"/>
              <w:jc w:val="center"/>
              <w:rPr>
                <w:b/>
                <w:lang w:eastAsia="en-NZ"/>
              </w:rPr>
            </w:pPr>
            <w:r w:rsidRPr="001B0085">
              <w:rPr>
                <w:b/>
                <w:lang w:eastAsia="en-NZ"/>
              </w:rPr>
              <w:t>6 months</w:t>
            </w:r>
          </w:p>
        </w:tc>
      </w:tr>
      <w:tr w:rsidR="00851E7D" w:rsidRPr="001B0085" w:rsidTr="00851E7D">
        <w:trPr>
          <w:cantSplit/>
        </w:trPr>
        <w:tc>
          <w:tcPr>
            <w:tcW w:w="2835" w:type="dxa"/>
            <w:tcBorders>
              <w:top w:val="single" w:sz="4" w:space="0" w:color="auto"/>
              <w:bottom w:val="single" w:sz="4" w:space="0" w:color="A6A6A6" w:themeColor="background1" w:themeShade="A6"/>
            </w:tcBorders>
          </w:tcPr>
          <w:p w:rsidR="00851E7D" w:rsidRPr="00851E7D" w:rsidRDefault="00851E7D" w:rsidP="003E71FA">
            <w:pPr>
              <w:pStyle w:val="TableText"/>
              <w:rPr>
                <w:b/>
                <w:lang w:eastAsia="en-NZ"/>
              </w:rPr>
            </w:pPr>
            <w:r w:rsidRPr="001B0085">
              <w:rPr>
                <w:b/>
                <w:lang w:eastAsia="en-NZ"/>
              </w:rPr>
              <w:t>Population group</w:t>
            </w:r>
          </w:p>
        </w:tc>
        <w:tc>
          <w:tcPr>
            <w:tcW w:w="1276" w:type="dxa"/>
            <w:tcBorders>
              <w:top w:val="single" w:sz="4" w:space="0" w:color="auto"/>
              <w:bottom w:val="single" w:sz="4" w:space="0" w:color="A6A6A6" w:themeColor="background1" w:themeShade="A6"/>
            </w:tcBorders>
          </w:tcPr>
          <w:p w:rsidR="00851E7D" w:rsidRPr="001B0085" w:rsidRDefault="00851E7D" w:rsidP="003E71FA">
            <w:pPr>
              <w:pStyle w:val="TableText"/>
              <w:jc w:val="center"/>
              <w:rPr>
                <w:lang w:eastAsia="en-NZ"/>
              </w:rPr>
            </w:pPr>
          </w:p>
        </w:tc>
        <w:tc>
          <w:tcPr>
            <w:tcW w:w="1276" w:type="dxa"/>
            <w:tcBorders>
              <w:top w:val="single" w:sz="4" w:space="0" w:color="auto"/>
              <w:bottom w:val="single" w:sz="4" w:space="0" w:color="A6A6A6" w:themeColor="background1" w:themeShade="A6"/>
            </w:tcBorders>
          </w:tcPr>
          <w:p w:rsidR="00851E7D" w:rsidRPr="001B0085" w:rsidRDefault="00851E7D" w:rsidP="003E71FA">
            <w:pPr>
              <w:pStyle w:val="TableText"/>
              <w:jc w:val="center"/>
              <w:rPr>
                <w:lang w:eastAsia="en-NZ"/>
              </w:rPr>
            </w:pPr>
          </w:p>
        </w:tc>
        <w:tc>
          <w:tcPr>
            <w:tcW w:w="1276" w:type="dxa"/>
            <w:tcBorders>
              <w:top w:val="single" w:sz="4" w:space="0" w:color="auto"/>
              <w:bottom w:val="single" w:sz="4" w:space="0" w:color="A6A6A6" w:themeColor="background1" w:themeShade="A6"/>
            </w:tcBorders>
          </w:tcPr>
          <w:p w:rsidR="00851E7D" w:rsidRPr="001B0085" w:rsidRDefault="00851E7D" w:rsidP="003E71FA">
            <w:pPr>
              <w:pStyle w:val="TableText"/>
              <w:jc w:val="center"/>
              <w:rPr>
                <w:lang w:eastAsia="en-NZ"/>
              </w:rPr>
            </w:pPr>
          </w:p>
        </w:tc>
        <w:tc>
          <w:tcPr>
            <w:tcW w:w="2353" w:type="dxa"/>
            <w:tcBorders>
              <w:top w:val="single" w:sz="4" w:space="0" w:color="auto"/>
              <w:bottom w:val="single" w:sz="4" w:space="0" w:color="A6A6A6" w:themeColor="background1" w:themeShade="A6"/>
            </w:tcBorders>
          </w:tcPr>
          <w:p w:rsidR="00851E7D" w:rsidRPr="001B0085" w:rsidRDefault="00851E7D" w:rsidP="003E71FA">
            <w:pPr>
              <w:pStyle w:val="TableText"/>
              <w:jc w:val="center"/>
              <w:rPr>
                <w:lang w:eastAsia="en-NZ"/>
              </w:rPr>
            </w:pPr>
          </w:p>
        </w:tc>
      </w:tr>
      <w:tr w:rsidR="00A16A93" w:rsidRPr="001B0085" w:rsidTr="00851E7D">
        <w:trPr>
          <w:cantSplit/>
        </w:trPr>
        <w:tc>
          <w:tcPr>
            <w:tcW w:w="2835" w:type="dxa"/>
            <w:tcBorders>
              <w:top w:val="single" w:sz="4" w:space="0" w:color="A6A6A6" w:themeColor="background1" w:themeShade="A6"/>
              <w:bottom w:val="single" w:sz="4" w:space="0" w:color="auto"/>
            </w:tcBorders>
          </w:tcPr>
          <w:p w:rsidR="00A16A93" w:rsidRPr="001B0085" w:rsidRDefault="00A16A93" w:rsidP="003E71FA">
            <w:pPr>
              <w:pStyle w:val="TableText"/>
              <w:rPr>
                <w:lang w:eastAsia="en-NZ"/>
              </w:rPr>
            </w:pPr>
            <w:r w:rsidRPr="001B0085">
              <w:rPr>
                <w:lang w:eastAsia="en-NZ"/>
              </w:rPr>
              <w:t>Total</w:t>
            </w:r>
          </w:p>
        </w:tc>
        <w:tc>
          <w:tcPr>
            <w:tcW w:w="1276" w:type="dxa"/>
            <w:tcBorders>
              <w:top w:val="single" w:sz="4" w:space="0" w:color="A6A6A6" w:themeColor="background1" w:themeShade="A6"/>
              <w:bottom w:val="single" w:sz="4" w:space="0" w:color="auto"/>
            </w:tcBorders>
          </w:tcPr>
          <w:p w:rsidR="00A16A93" w:rsidRPr="001B0085" w:rsidRDefault="00A16A93" w:rsidP="003E71FA">
            <w:pPr>
              <w:pStyle w:val="TableText"/>
              <w:jc w:val="center"/>
              <w:rPr>
                <w:lang w:eastAsia="en-NZ"/>
              </w:rPr>
            </w:pPr>
            <w:r w:rsidRPr="001B0085">
              <w:rPr>
                <w:lang w:eastAsia="en-NZ"/>
              </w:rPr>
              <w:t>78%</w:t>
            </w:r>
          </w:p>
        </w:tc>
        <w:tc>
          <w:tcPr>
            <w:tcW w:w="1276" w:type="dxa"/>
            <w:tcBorders>
              <w:top w:val="single" w:sz="4" w:space="0" w:color="A6A6A6" w:themeColor="background1" w:themeShade="A6"/>
              <w:bottom w:val="single" w:sz="4" w:space="0" w:color="auto"/>
            </w:tcBorders>
          </w:tcPr>
          <w:p w:rsidR="00A16A93" w:rsidRPr="001B0085" w:rsidRDefault="00A16A93" w:rsidP="003E71FA">
            <w:pPr>
              <w:pStyle w:val="TableText"/>
              <w:jc w:val="center"/>
              <w:rPr>
                <w:lang w:eastAsia="en-NZ"/>
              </w:rPr>
            </w:pPr>
            <w:r w:rsidRPr="001B0085">
              <w:rPr>
                <w:lang w:eastAsia="en-NZ"/>
              </w:rPr>
              <w:t>74%</w:t>
            </w:r>
          </w:p>
        </w:tc>
        <w:tc>
          <w:tcPr>
            <w:tcW w:w="1276" w:type="dxa"/>
            <w:tcBorders>
              <w:top w:val="single" w:sz="4" w:space="0" w:color="A6A6A6" w:themeColor="background1" w:themeShade="A6"/>
              <w:bottom w:val="single" w:sz="4" w:space="0" w:color="auto"/>
            </w:tcBorders>
          </w:tcPr>
          <w:p w:rsidR="00A16A93" w:rsidRPr="001B0085" w:rsidRDefault="00A16A93" w:rsidP="003E71FA">
            <w:pPr>
              <w:pStyle w:val="TableText"/>
              <w:jc w:val="center"/>
              <w:rPr>
                <w:lang w:eastAsia="en-NZ"/>
              </w:rPr>
            </w:pPr>
            <w:r w:rsidRPr="001B0085">
              <w:rPr>
                <w:lang w:eastAsia="en-NZ"/>
              </w:rPr>
              <w:t>55%</w:t>
            </w:r>
          </w:p>
        </w:tc>
        <w:tc>
          <w:tcPr>
            <w:tcW w:w="2353" w:type="dxa"/>
            <w:tcBorders>
              <w:top w:val="single" w:sz="4" w:space="0" w:color="A6A6A6" w:themeColor="background1" w:themeShade="A6"/>
              <w:bottom w:val="single" w:sz="4" w:space="0" w:color="auto"/>
            </w:tcBorders>
          </w:tcPr>
          <w:p w:rsidR="00A16A93" w:rsidRPr="001B0085" w:rsidRDefault="00A16A93" w:rsidP="003E71FA">
            <w:pPr>
              <w:pStyle w:val="TableText"/>
              <w:jc w:val="center"/>
              <w:rPr>
                <w:lang w:eastAsia="en-NZ"/>
              </w:rPr>
            </w:pPr>
            <w:r w:rsidRPr="001B0085">
              <w:rPr>
                <w:lang w:eastAsia="en-NZ"/>
              </w:rPr>
              <w:t>66%</w:t>
            </w:r>
          </w:p>
        </w:tc>
      </w:tr>
      <w:tr w:rsidR="00A16A93" w:rsidRPr="00851E7D" w:rsidTr="00851E7D">
        <w:trPr>
          <w:cantSplit/>
        </w:trPr>
        <w:tc>
          <w:tcPr>
            <w:tcW w:w="2835" w:type="dxa"/>
            <w:tcBorders>
              <w:top w:val="single" w:sz="4" w:space="0" w:color="auto"/>
              <w:bottom w:val="single" w:sz="4" w:space="0" w:color="A6A6A6" w:themeColor="background1" w:themeShade="A6"/>
            </w:tcBorders>
          </w:tcPr>
          <w:p w:rsidR="00A16A93" w:rsidRPr="00851E7D" w:rsidRDefault="00A16A93" w:rsidP="003E71FA">
            <w:pPr>
              <w:pStyle w:val="TableText"/>
              <w:rPr>
                <w:b/>
                <w:lang w:eastAsia="en-NZ"/>
              </w:rPr>
            </w:pPr>
            <w:r w:rsidRPr="00851E7D">
              <w:rPr>
                <w:b/>
                <w:lang w:eastAsia="en-NZ"/>
              </w:rPr>
              <w:t>Ethnic group</w:t>
            </w:r>
          </w:p>
        </w:tc>
        <w:tc>
          <w:tcPr>
            <w:tcW w:w="1276" w:type="dxa"/>
            <w:tcBorders>
              <w:top w:val="single" w:sz="4" w:space="0" w:color="auto"/>
              <w:bottom w:val="single" w:sz="4" w:space="0" w:color="A6A6A6" w:themeColor="background1" w:themeShade="A6"/>
            </w:tcBorders>
          </w:tcPr>
          <w:p w:rsidR="00A16A93" w:rsidRPr="00851E7D" w:rsidRDefault="00A16A93" w:rsidP="003E71FA">
            <w:pPr>
              <w:pStyle w:val="TableText"/>
              <w:jc w:val="center"/>
              <w:rPr>
                <w:b/>
                <w:lang w:eastAsia="en-NZ"/>
              </w:rPr>
            </w:pPr>
          </w:p>
        </w:tc>
        <w:tc>
          <w:tcPr>
            <w:tcW w:w="1276" w:type="dxa"/>
            <w:tcBorders>
              <w:top w:val="single" w:sz="4" w:space="0" w:color="auto"/>
              <w:bottom w:val="single" w:sz="4" w:space="0" w:color="A6A6A6" w:themeColor="background1" w:themeShade="A6"/>
            </w:tcBorders>
          </w:tcPr>
          <w:p w:rsidR="00A16A93" w:rsidRPr="00851E7D" w:rsidRDefault="00A16A93" w:rsidP="003E71FA">
            <w:pPr>
              <w:pStyle w:val="TableText"/>
              <w:jc w:val="center"/>
              <w:rPr>
                <w:b/>
                <w:lang w:eastAsia="en-NZ"/>
              </w:rPr>
            </w:pPr>
          </w:p>
        </w:tc>
        <w:tc>
          <w:tcPr>
            <w:tcW w:w="1276" w:type="dxa"/>
            <w:tcBorders>
              <w:top w:val="single" w:sz="4" w:space="0" w:color="auto"/>
              <w:bottom w:val="single" w:sz="4" w:space="0" w:color="A6A6A6" w:themeColor="background1" w:themeShade="A6"/>
            </w:tcBorders>
          </w:tcPr>
          <w:p w:rsidR="00A16A93" w:rsidRPr="00851E7D" w:rsidRDefault="00A16A93" w:rsidP="003E71FA">
            <w:pPr>
              <w:pStyle w:val="TableText"/>
              <w:jc w:val="center"/>
              <w:rPr>
                <w:b/>
                <w:lang w:eastAsia="en-NZ"/>
              </w:rPr>
            </w:pPr>
          </w:p>
        </w:tc>
        <w:tc>
          <w:tcPr>
            <w:tcW w:w="2353" w:type="dxa"/>
            <w:tcBorders>
              <w:top w:val="single" w:sz="4" w:space="0" w:color="auto"/>
              <w:bottom w:val="single" w:sz="4" w:space="0" w:color="A6A6A6" w:themeColor="background1" w:themeShade="A6"/>
            </w:tcBorders>
          </w:tcPr>
          <w:p w:rsidR="00A16A93" w:rsidRPr="00851E7D" w:rsidRDefault="00A16A93" w:rsidP="003E71FA">
            <w:pPr>
              <w:pStyle w:val="TableText"/>
              <w:jc w:val="center"/>
              <w:rPr>
                <w:b/>
                <w:lang w:eastAsia="en-NZ"/>
              </w:rPr>
            </w:pPr>
          </w:p>
        </w:tc>
      </w:tr>
      <w:tr w:rsidR="00A16A93" w:rsidRPr="001B0085" w:rsidTr="00851E7D">
        <w:trPr>
          <w:cantSplit/>
        </w:trPr>
        <w:tc>
          <w:tcPr>
            <w:tcW w:w="2835" w:type="dxa"/>
            <w:tcBorders>
              <w:top w:val="single" w:sz="4" w:space="0" w:color="A6A6A6" w:themeColor="background1" w:themeShade="A6"/>
              <w:bottom w:val="single" w:sz="4" w:space="0" w:color="A6A6A6" w:themeColor="background1" w:themeShade="A6"/>
            </w:tcBorders>
          </w:tcPr>
          <w:p w:rsidR="00A16A93" w:rsidRPr="001B0085" w:rsidRDefault="00A16A93" w:rsidP="003E71FA">
            <w:pPr>
              <w:pStyle w:val="TableText"/>
              <w:rPr>
                <w:lang w:eastAsia="en-NZ"/>
              </w:rPr>
            </w:pPr>
            <w:r w:rsidRPr="001B0085">
              <w:rPr>
                <w:lang w:eastAsia="en-NZ"/>
              </w:rPr>
              <w:t>Māori</w:t>
            </w:r>
          </w:p>
        </w:tc>
        <w:tc>
          <w:tcPr>
            <w:tcW w:w="1276" w:type="dxa"/>
            <w:tcBorders>
              <w:top w:val="single" w:sz="4" w:space="0" w:color="A6A6A6" w:themeColor="background1" w:themeShade="A6"/>
              <w:bottom w:val="single" w:sz="4" w:space="0" w:color="A6A6A6" w:themeColor="background1" w:themeShade="A6"/>
            </w:tcBorders>
          </w:tcPr>
          <w:p w:rsidR="00A16A93" w:rsidRPr="001B0085" w:rsidRDefault="00A16A93" w:rsidP="003E71FA">
            <w:pPr>
              <w:pStyle w:val="TableText"/>
              <w:jc w:val="center"/>
              <w:rPr>
                <w:lang w:eastAsia="en-NZ"/>
              </w:rPr>
            </w:pPr>
            <w:r w:rsidRPr="001B0085">
              <w:rPr>
                <w:lang w:eastAsia="en-NZ"/>
              </w:rPr>
              <w:t>76%</w:t>
            </w:r>
          </w:p>
        </w:tc>
        <w:tc>
          <w:tcPr>
            <w:tcW w:w="1276" w:type="dxa"/>
            <w:tcBorders>
              <w:top w:val="single" w:sz="4" w:space="0" w:color="A6A6A6" w:themeColor="background1" w:themeShade="A6"/>
              <w:bottom w:val="single" w:sz="4" w:space="0" w:color="A6A6A6" w:themeColor="background1" w:themeShade="A6"/>
            </w:tcBorders>
          </w:tcPr>
          <w:p w:rsidR="00A16A93" w:rsidRPr="001B0085" w:rsidRDefault="00A16A93" w:rsidP="003E71FA">
            <w:pPr>
              <w:pStyle w:val="TableText"/>
              <w:jc w:val="center"/>
              <w:rPr>
                <w:lang w:eastAsia="en-NZ"/>
              </w:rPr>
            </w:pPr>
            <w:r w:rsidRPr="001B0085">
              <w:rPr>
                <w:lang w:eastAsia="en-NZ"/>
              </w:rPr>
              <w:t>68%</w:t>
            </w:r>
          </w:p>
        </w:tc>
        <w:tc>
          <w:tcPr>
            <w:tcW w:w="1276" w:type="dxa"/>
            <w:tcBorders>
              <w:top w:val="single" w:sz="4" w:space="0" w:color="A6A6A6" w:themeColor="background1" w:themeShade="A6"/>
              <w:bottom w:val="single" w:sz="4" w:space="0" w:color="A6A6A6" w:themeColor="background1" w:themeShade="A6"/>
            </w:tcBorders>
          </w:tcPr>
          <w:p w:rsidR="00A16A93" w:rsidRPr="001B0085" w:rsidRDefault="00A16A93" w:rsidP="003E71FA">
            <w:pPr>
              <w:pStyle w:val="TableText"/>
              <w:jc w:val="center"/>
              <w:rPr>
                <w:lang w:eastAsia="en-NZ"/>
              </w:rPr>
            </w:pPr>
            <w:r w:rsidRPr="001B0085">
              <w:rPr>
                <w:lang w:eastAsia="en-NZ"/>
              </w:rPr>
              <w:t>43%</w:t>
            </w:r>
          </w:p>
        </w:tc>
        <w:tc>
          <w:tcPr>
            <w:tcW w:w="2353" w:type="dxa"/>
            <w:tcBorders>
              <w:top w:val="single" w:sz="4" w:space="0" w:color="A6A6A6" w:themeColor="background1" w:themeShade="A6"/>
              <w:bottom w:val="single" w:sz="4" w:space="0" w:color="A6A6A6" w:themeColor="background1" w:themeShade="A6"/>
            </w:tcBorders>
          </w:tcPr>
          <w:p w:rsidR="00A16A93" w:rsidRPr="001B0085" w:rsidRDefault="00A16A93" w:rsidP="003E71FA">
            <w:pPr>
              <w:pStyle w:val="TableText"/>
              <w:jc w:val="center"/>
              <w:rPr>
                <w:lang w:eastAsia="en-NZ"/>
              </w:rPr>
            </w:pPr>
            <w:r w:rsidRPr="001B0085">
              <w:rPr>
                <w:lang w:eastAsia="en-NZ"/>
              </w:rPr>
              <w:t>53%</w:t>
            </w:r>
          </w:p>
        </w:tc>
      </w:tr>
      <w:tr w:rsidR="00A16A93" w:rsidRPr="001B0085" w:rsidTr="00851E7D">
        <w:trPr>
          <w:cantSplit/>
        </w:trPr>
        <w:tc>
          <w:tcPr>
            <w:tcW w:w="2835" w:type="dxa"/>
            <w:tcBorders>
              <w:top w:val="single" w:sz="4" w:space="0" w:color="A6A6A6" w:themeColor="background1" w:themeShade="A6"/>
              <w:bottom w:val="single" w:sz="4" w:space="0" w:color="auto"/>
            </w:tcBorders>
          </w:tcPr>
          <w:p w:rsidR="00A16A93" w:rsidRPr="001B0085" w:rsidRDefault="00A16A93" w:rsidP="003E71FA">
            <w:pPr>
              <w:pStyle w:val="TableText"/>
              <w:rPr>
                <w:lang w:eastAsia="en-NZ"/>
              </w:rPr>
            </w:pPr>
            <w:r w:rsidRPr="001B0085">
              <w:rPr>
                <w:lang w:eastAsia="en-NZ"/>
              </w:rPr>
              <w:t>Pacific peoples</w:t>
            </w:r>
          </w:p>
        </w:tc>
        <w:tc>
          <w:tcPr>
            <w:tcW w:w="1276" w:type="dxa"/>
            <w:tcBorders>
              <w:top w:val="single" w:sz="4" w:space="0" w:color="A6A6A6" w:themeColor="background1" w:themeShade="A6"/>
              <w:bottom w:val="single" w:sz="4" w:space="0" w:color="auto"/>
            </w:tcBorders>
          </w:tcPr>
          <w:p w:rsidR="00A16A93" w:rsidRPr="001B0085" w:rsidRDefault="00A16A93" w:rsidP="003E71FA">
            <w:pPr>
              <w:pStyle w:val="TableText"/>
              <w:jc w:val="center"/>
              <w:rPr>
                <w:lang w:eastAsia="en-NZ"/>
              </w:rPr>
            </w:pPr>
            <w:r w:rsidRPr="001B0085">
              <w:rPr>
                <w:lang w:eastAsia="en-NZ"/>
              </w:rPr>
              <w:t>74%</w:t>
            </w:r>
          </w:p>
        </w:tc>
        <w:tc>
          <w:tcPr>
            <w:tcW w:w="1276" w:type="dxa"/>
            <w:tcBorders>
              <w:top w:val="single" w:sz="4" w:space="0" w:color="A6A6A6" w:themeColor="background1" w:themeShade="A6"/>
              <w:bottom w:val="single" w:sz="4" w:space="0" w:color="auto"/>
            </w:tcBorders>
          </w:tcPr>
          <w:p w:rsidR="00A16A93" w:rsidRPr="001B0085" w:rsidRDefault="00A16A93" w:rsidP="003E71FA">
            <w:pPr>
              <w:pStyle w:val="TableText"/>
              <w:jc w:val="center"/>
              <w:rPr>
                <w:lang w:eastAsia="en-NZ"/>
              </w:rPr>
            </w:pPr>
            <w:r w:rsidRPr="001B0085">
              <w:rPr>
                <w:lang w:eastAsia="en-NZ"/>
              </w:rPr>
              <w:t>70%</w:t>
            </w:r>
          </w:p>
        </w:tc>
        <w:tc>
          <w:tcPr>
            <w:tcW w:w="1276" w:type="dxa"/>
            <w:tcBorders>
              <w:top w:val="single" w:sz="4" w:space="0" w:color="A6A6A6" w:themeColor="background1" w:themeShade="A6"/>
              <w:bottom w:val="single" w:sz="4" w:space="0" w:color="auto"/>
            </w:tcBorders>
          </w:tcPr>
          <w:p w:rsidR="00A16A93" w:rsidRPr="001B0085" w:rsidRDefault="00A16A93" w:rsidP="003E71FA">
            <w:pPr>
              <w:pStyle w:val="TableText"/>
              <w:jc w:val="center"/>
              <w:rPr>
                <w:lang w:eastAsia="en-NZ"/>
              </w:rPr>
            </w:pPr>
            <w:r w:rsidRPr="001B0085">
              <w:rPr>
                <w:lang w:eastAsia="en-NZ"/>
              </w:rPr>
              <w:t>46%</w:t>
            </w:r>
          </w:p>
        </w:tc>
        <w:tc>
          <w:tcPr>
            <w:tcW w:w="2353" w:type="dxa"/>
            <w:tcBorders>
              <w:top w:val="single" w:sz="4" w:space="0" w:color="A6A6A6" w:themeColor="background1" w:themeShade="A6"/>
              <w:bottom w:val="single" w:sz="4" w:space="0" w:color="auto"/>
            </w:tcBorders>
          </w:tcPr>
          <w:p w:rsidR="00A16A93" w:rsidRPr="001B0085" w:rsidRDefault="00A16A93" w:rsidP="003E71FA">
            <w:pPr>
              <w:pStyle w:val="TableText"/>
              <w:jc w:val="center"/>
              <w:rPr>
                <w:lang w:eastAsia="en-NZ"/>
              </w:rPr>
            </w:pPr>
            <w:r w:rsidRPr="001B0085">
              <w:rPr>
                <w:lang w:eastAsia="en-NZ"/>
              </w:rPr>
              <w:t>62%</w:t>
            </w:r>
          </w:p>
        </w:tc>
      </w:tr>
      <w:tr w:rsidR="00A16A93" w:rsidRPr="00851E7D" w:rsidTr="00851E7D">
        <w:trPr>
          <w:cantSplit/>
        </w:trPr>
        <w:tc>
          <w:tcPr>
            <w:tcW w:w="2835" w:type="dxa"/>
            <w:tcBorders>
              <w:top w:val="single" w:sz="4" w:space="0" w:color="auto"/>
              <w:bottom w:val="single" w:sz="4" w:space="0" w:color="A6A6A6" w:themeColor="background1" w:themeShade="A6"/>
            </w:tcBorders>
          </w:tcPr>
          <w:p w:rsidR="00A16A93" w:rsidRPr="00851E7D" w:rsidRDefault="00A16A93" w:rsidP="003E71FA">
            <w:pPr>
              <w:pStyle w:val="TableText"/>
              <w:rPr>
                <w:b/>
                <w:lang w:eastAsia="en-NZ"/>
              </w:rPr>
            </w:pPr>
            <w:r w:rsidRPr="00851E7D">
              <w:rPr>
                <w:b/>
                <w:lang w:eastAsia="en-NZ"/>
              </w:rPr>
              <w:t>Neighbourhood deprivation quintile (NZDep2013)</w:t>
            </w:r>
          </w:p>
        </w:tc>
        <w:tc>
          <w:tcPr>
            <w:tcW w:w="1276" w:type="dxa"/>
            <w:tcBorders>
              <w:top w:val="single" w:sz="4" w:space="0" w:color="auto"/>
              <w:bottom w:val="single" w:sz="4" w:space="0" w:color="A6A6A6" w:themeColor="background1" w:themeShade="A6"/>
            </w:tcBorders>
          </w:tcPr>
          <w:p w:rsidR="00A16A93" w:rsidRPr="00851E7D" w:rsidRDefault="00A16A93" w:rsidP="003E71FA">
            <w:pPr>
              <w:pStyle w:val="TableText"/>
              <w:jc w:val="center"/>
              <w:rPr>
                <w:b/>
                <w:lang w:eastAsia="en-NZ"/>
              </w:rPr>
            </w:pPr>
          </w:p>
        </w:tc>
        <w:tc>
          <w:tcPr>
            <w:tcW w:w="1276" w:type="dxa"/>
            <w:tcBorders>
              <w:top w:val="single" w:sz="4" w:space="0" w:color="auto"/>
              <w:bottom w:val="single" w:sz="4" w:space="0" w:color="A6A6A6" w:themeColor="background1" w:themeShade="A6"/>
            </w:tcBorders>
          </w:tcPr>
          <w:p w:rsidR="00A16A93" w:rsidRPr="00851E7D" w:rsidRDefault="00A16A93" w:rsidP="003E71FA">
            <w:pPr>
              <w:pStyle w:val="TableText"/>
              <w:jc w:val="center"/>
              <w:rPr>
                <w:b/>
                <w:lang w:eastAsia="en-NZ"/>
              </w:rPr>
            </w:pPr>
          </w:p>
        </w:tc>
        <w:tc>
          <w:tcPr>
            <w:tcW w:w="1276" w:type="dxa"/>
            <w:tcBorders>
              <w:top w:val="single" w:sz="4" w:space="0" w:color="auto"/>
              <w:bottom w:val="single" w:sz="4" w:space="0" w:color="A6A6A6" w:themeColor="background1" w:themeShade="A6"/>
            </w:tcBorders>
          </w:tcPr>
          <w:p w:rsidR="00A16A93" w:rsidRPr="00851E7D" w:rsidRDefault="00A16A93" w:rsidP="003E71FA">
            <w:pPr>
              <w:pStyle w:val="TableText"/>
              <w:jc w:val="center"/>
              <w:rPr>
                <w:b/>
                <w:lang w:eastAsia="en-NZ"/>
              </w:rPr>
            </w:pPr>
          </w:p>
        </w:tc>
        <w:tc>
          <w:tcPr>
            <w:tcW w:w="2353" w:type="dxa"/>
            <w:tcBorders>
              <w:top w:val="single" w:sz="4" w:space="0" w:color="auto"/>
              <w:bottom w:val="single" w:sz="4" w:space="0" w:color="A6A6A6" w:themeColor="background1" w:themeShade="A6"/>
            </w:tcBorders>
          </w:tcPr>
          <w:p w:rsidR="00A16A93" w:rsidRPr="00851E7D" w:rsidRDefault="00A16A93" w:rsidP="003E71FA">
            <w:pPr>
              <w:pStyle w:val="TableText"/>
              <w:jc w:val="center"/>
              <w:rPr>
                <w:b/>
                <w:lang w:eastAsia="en-NZ"/>
              </w:rPr>
            </w:pPr>
          </w:p>
        </w:tc>
      </w:tr>
      <w:tr w:rsidR="00A16A93" w:rsidRPr="001B0085" w:rsidTr="00851E7D">
        <w:trPr>
          <w:cantSplit/>
        </w:trPr>
        <w:tc>
          <w:tcPr>
            <w:tcW w:w="2835" w:type="dxa"/>
            <w:tcBorders>
              <w:top w:val="single" w:sz="4" w:space="0" w:color="A6A6A6" w:themeColor="background1" w:themeShade="A6"/>
              <w:bottom w:val="single" w:sz="4" w:space="0" w:color="auto"/>
            </w:tcBorders>
          </w:tcPr>
          <w:p w:rsidR="00A16A93" w:rsidRPr="001B0085" w:rsidRDefault="00A16A93" w:rsidP="001B0085">
            <w:pPr>
              <w:pStyle w:val="TableText"/>
            </w:pPr>
            <w:r w:rsidRPr="001B0085">
              <w:t>Quintile 5 (most deprived)</w:t>
            </w:r>
          </w:p>
        </w:tc>
        <w:tc>
          <w:tcPr>
            <w:tcW w:w="1276" w:type="dxa"/>
            <w:tcBorders>
              <w:top w:val="single" w:sz="4" w:space="0" w:color="A6A6A6" w:themeColor="background1" w:themeShade="A6"/>
              <w:bottom w:val="single" w:sz="4" w:space="0" w:color="auto"/>
            </w:tcBorders>
          </w:tcPr>
          <w:p w:rsidR="00A16A93" w:rsidRPr="001B0085" w:rsidRDefault="00A16A93" w:rsidP="00851E7D">
            <w:pPr>
              <w:pStyle w:val="TableText"/>
              <w:jc w:val="center"/>
              <w:rPr>
                <w:lang w:eastAsia="en-NZ"/>
              </w:rPr>
            </w:pPr>
            <w:r w:rsidRPr="001B0085">
              <w:rPr>
                <w:lang w:eastAsia="en-NZ"/>
              </w:rPr>
              <w:t>75%</w:t>
            </w:r>
          </w:p>
        </w:tc>
        <w:tc>
          <w:tcPr>
            <w:tcW w:w="1276" w:type="dxa"/>
            <w:tcBorders>
              <w:top w:val="single" w:sz="4" w:space="0" w:color="A6A6A6" w:themeColor="background1" w:themeShade="A6"/>
              <w:bottom w:val="single" w:sz="4" w:space="0" w:color="auto"/>
            </w:tcBorders>
          </w:tcPr>
          <w:p w:rsidR="00A16A93" w:rsidRPr="001B0085" w:rsidRDefault="00A16A93" w:rsidP="00851E7D">
            <w:pPr>
              <w:pStyle w:val="TableText"/>
              <w:jc w:val="center"/>
              <w:rPr>
                <w:lang w:eastAsia="en-NZ"/>
              </w:rPr>
            </w:pPr>
            <w:r w:rsidRPr="001B0085">
              <w:rPr>
                <w:lang w:eastAsia="en-NZ"/>
              </w:rPr>
              <w:t>69%</w:t>
            </w:r>
          </w:p>
        </w:tc>
        <w:tc>
          <w:tcPr>
            <w:tcW w:w="1276" w:type="dxa"/>
            <w:tcBorders>
              <w:top w:val="single" w:sz="4" w:space="0" w:color="A6A6A6" w:themeColor="background1" w:themeShade="A6"/>
              <w:bottom w:val="single" w:sz="4" w:space="0" w:color="auto"/>
            </w:tcBorders>
          </w:tcPr>
          <w:p w:rsidR="00A16A93" w:rsidRPr="001B0085" w:rsidRDefault="00A16A93" w:rsidP="00851E7D">
            <w:pPr>
              <w:pStyle w:val="TableText"/>
              <w:jc w:val="center"/>
              <w:rPr>
                <w:lang w:eastAsia="en-NZ"/>
              </w:rPr>
            </w:pPr>
            <w:r w:rsidRPr="001B0085">
              <w:rPr>
                <w:lang w:eastAsia="en-NZ"/>
              </w:rPr>
              <w:t>46%</w:t>
            </w:r>
          </w:p>
        </w:tc>
        <w:tc>
          <w:tcPr>
            <w:tcW w:w="2353" w:type="dxa"/>
            <w:tcBorders>
              <w:top w:val="single" w:sz="4" w:space="0" w:color="A6A6A6" w:themeColor="background1" w:themeShade="A6"/>
              <w:bottom w:val="single" w:sz="4" w:space="0" w:color="auto"/>
            </w:tcBorders>
          </w:tcPr>
          <w:p w:rsidR="00A16A93" w:rsidRPr="001B0085" w:rsidRDefault="00A16A93" w:rsidP="00851E7D">
            <w:pPr>
              <w:pStyle w:val="TableText"/>
              <w:jc w:val="center"/>
              <w:rPr>
                <w:lang w:eastAsia="en-NZ"/>
              </w:rPr>
            </w:pPr>
            <w:r w:rsidRPr="001B0085">
              <w:rPr>
                <w:lang w:eastAsia="en-NZ"/>
              </w:rPr>
              <w:t>57%</w:t>
            </w:r>
          </w:p>
        </w:tc>
      </w:tr>
    </w:tbl>
    <w:p w:rsidR="00A16A93" w:rsidRPr="00A16A93" w:rsidRDefault="00A16A93" w:rsidP="00851E7D">
      <w:pPr>
        <w:pStyle w:val="Source"/>
        <w:rPr>
          <w:rFonts w:cs="Arial"/>
          <w:lang w:eastAsia="en-NZ"/>
        </w:rPr>
      </w:pPr>
      <w:r w:rsidRPr="00A16A93">
        <w:rPr>
          <w:rFonts w:cs="Arial"/>
          <w:lang w:eastAsia="en-NZ"/>
        </w:rPr>
        <w:t xml:space="preserve">Source: </w:t>
      </w:r>
      <w:hyperlink r:id="rId42" w:history="1">
        <w:r w:rsidRPr="00A16A93">
          <w:rPr>
            <w:rStyle w:val="Hyperlink"/>
            <w:rFonts w:cs="Arial"/>
            <w:lang w:eastAsia="en-NZ"/>
          </w:rPr>
          <w:t>Ministry of Health 2016c</w:t>
        </w:r>
      </w:hyperlink>
    </w:p>
    <w:p w:rsidR="00A16A93" w:rsidRPr="00A16A93" w:rsidRDefault="00A16A93" w:rsidP="003E71FA">
      <w:pPr>
        <w:pStyle w:val="Heading2"/>
        <w:spacing w:before="360"/>
      </w:pPr>
      <w:bookmarkStart w:id="51" w:name="_Toc480457764"/>
      <w:bookmarkStart w:id="52" w:name="_Toc480534238"/>
      <w:r w:rsidRPr="00A16A93">
        <w:lastRenderedPageBreak/>
        <w:t>Indicator 5: Consumption of fast foods</w:t>
      </w:r>
      <w:bookmarkEnd w:id="51"/>
      <w:bookmarkEnd w:id="52"/>
    </w:p>
    <w:p w:rsidR="00A16A93" w:rsidRPr="00A16A93" w:rsidRDefault="00A16A93" w:rsidP="00851E7D">
      <w:pPr>
        <w:pStyle w:val="Heading3"/>
      </w:pPr>
      <w:bookmarkStart w:id="53" w:name="_Toc480457765"/>
      <w:r w:rsidRPr="00A16A93">
        <w:t>Description</w:t>
      </w:r>
      <w:bookmarkEnd w:id="53"/>
    </w:p>
    <w:p w:rsidR="00A16A93" w:rsidRPr="00A16A93" w:rsidRDefault="00A16A93" w:rsidP="00851E7D">
      <w:r w:rsidRPr="00A16A93">
        <w:t>This indicator measures the percentage of children (aged 2–14 years) who ate fast-food at least once in the past week. Fast-food includes any food purchased from a fast-food place or takeaway shop, such as fish and chips, burgers, fried chicken or pizza.</w:t>
      </w:r>
    </w:p>
    <w:p w:rsidR="00A16A93" w:rsidRPr="00A16A93" w:rsidRDefault="00A16A93" w:rsidP="00851E7D"/>
    <w:p w:rsidR="00A16A93" w:rsidRPr="00A16A93" w:rsidRDefault="00A16A93" w:rsidP="00851E7D">
      <w:r w:rsidRPr="00A16A93">
        <w:t>Fast-foods are generally high in fat, salt and sugar, and provide very few nutrients relative to their energy content (ie, they are energy-dense and nutrient-poor) (Ministry of Health 2012). Diets that are high in fat and salt are associated with a number of long-term conditions, including heart disease and hypertension.</w:t>
      </w:r>
    </w:p>
    <w:p w:rsidR="00A16A93" w:rsidRPr="00A16A93" w:rsidRDefault="00A16A93" w:rsidP="00851E7D"/>
    <w:p w:rsidR="00A16A93" w:rsidRPr="00A16A93" w:rsidRDefault="00A16A93" w:rsidP="00851E7D">
      <w:r w:rsidRPr="00A16A93">
        <w:t>The Ministry of Health recommends that parents and caregivers should buy fast-food no more than once a week, and should try to choose a healthier fast food option where possible (</w:t>
      </w:r>
      <w:hyperlink r:id="rId43" w:history="1">
        <w:r w:rsidRPr="00851E7D">
          <w:rPr>
            <w:rStyle w:val="Hyperlink"/>
          </w:rPr>
          <w:t>Ministry of Health 2016a</w:t>
        </w:r>
      </w:hyperlink>
      <w:r w:rsidRPr="00A16A93">
        <w:t>).</w:t>
      </w:r>
    </w:p>
    <w:p w:rsidR="00A16A93" w:rsidRPr="00A16A93" w:rsidRDefault="00A16A93" w:rsidP="00851E7D"/>
    <w:p w:rsidR="00A16A93" w:rsidRPr="00A16A93" w:rsidRDefault="00A16A93" w:rsidP="00851E7D">
      <w:pPr>
        <w:pStyle w:val="Heading3"/>
      </w:pPr>
      <w:bookmarkStart w:id="54" w:name="_Toc480457766"/>
      <w:r w:rsidRPr="00A16A93">
        <w:t>Baseline performance</w:t>
      </w:r>
      <w:bookmarkEnd w:id="54"/>
    </w:p>
    <w:p w:rsidR="00A16A93" w:rsidRPr="00A16A93" w:rsidRDefault="00A16A93" w:rsidP="003E71FA">
      <w:r w:rsidRPr="00A16A93">
        <w:t>The Ministry of Health has collected the data for this indicator annually since 2011/12 through the New Zealand Health Survey. The baseline performance set out here comes from the 2015/16 survey and is broken down by sex, age group, ethnic group and neighbourhood deprivation quintile.</w:t>
      </w:r>
    </w:p>
    <w:p w:rsidR="00A16A93" w:rsidRPr="00A16A93" w:rsidRDefault="00A16A93" w:rsidP="00851E7D"/>
    <w:p w:rsidR="00A16A93" w:rsidRPr="00A16A93" w:rsidRDefault="00A16A93" w:rsidP="00851E7D">
      <w:pPr>
        <w:pStyle w:val="Table"/>
      </w:pPr>
      <w:bookmarkStart w:id="55" w:name="_Toc480534257"/>
      <w:r w:rsidRPr="00A16A93">
        <w:t>Table 5: Percentage of children (aged 2–14 years) who ate fast food at least once in the past week, by group, 2015/16</w:t>
      </w:r>
      <w:bookmarkEnd w:id="55"/>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694"/>
        <w:gridCol w:w="945"/>
        <w:gridCol w:w="945"/>
        <w:gridCol w:w="945"/>
        <w:gridCol w:w="3827"/>
      </w:tblGrid>
      <w:tr w:rsidR="00A16A93" w:rsidRPr="00851E7D" w:rsidTr="00834CCB">
        <w:trPr>
          <w:cantSplit/>
          <w:tblHeader/>
        </w:trPr>
        <w:tc>
          <w:tcPr>
            <w:tcW w:w="2694" w:type="dxa"/>
            <w:tcBorders>
              <w:top w:val="single" w:sz="4" w:space="0" w:color="auto"/>
              <w:bottom w:val="single" w:sz="4" w:space="0" w:color="auto"/>
            </w:tcBorders>
          </w:tcPr>
          <w:p w:rsidR="00A16A93" w:rsidRPr="00851E7D" w:rsidRDefault="00A16A93" w:rsidP="006307E0">
            <w:pPr>
              <w:pStyle w:val="TableText"/>
              <w:rPr>
                <w:b/>
              </w:rPr>
            </w:pPr>
          </w:p>
        </w:tc>
        <w:tc>
          <w:tcPr>
            <w:tcW w:w="945" w:type="dxa"/>
            <w:tcBorders>
              <w:top w:val="single" w:sz="4" w:space="0" w:color="auto"/>
              <w:bottom w:val="single" w:sz="4" w:space="0" w:color="auto"/>
            </w:tcBorders>
          </w:tcPr>
          <w:p w:rsidR="00A16A93" w:rsidRPr="00851E7D" w:rsidRDefault="00A16A93" w:rsidP="006307E0">
            <w:pPr>
              <w:pStyle w:val="TableText"/>
              <w:jc w:val="center"/>
              <w:rPr>
                <w:b/>
              </w:rPr>
            </w:pPr>
            <w:r w:rsidRPr="00851E7D">
              <w:rPr>
                <w:b/>
              </w:rPr>
              <w:t>Total</w:t>
            </w:r>
          </w:p>
        </w:tc>
        <w:tc>
          <w:tcPr>
            <w:tcW w:w="945" w:type="dxa"/>
            <w:tcBorders>
              <w:top w:val="single" w:sz="4" w:space="0" w:color="auto"/>
              <w:bottom w:val="single" w:sz="4" w:space="0" w:color="auto"/>
            </w:tcBorders>
          </w:tcPr>
          <w:p w:rsidR="00A16A93" w:rsidRPr="00851E7D" w:rsidRDefault="00A16A93" w:rsidP="006307E0">
            <w:pPr>
              <w:pStyle w:val="TableText"/>
              <w:jc w:val="center"/>
              <w:rPr>
                <w:b/>
              </w:rPr>
            </w:pPr>
            <w:r w:rsidRPr="00851E7D">
              <w:rPr>
                <w:b/>
              </w:rPr>
              <w:t>Boys</w:t>
            </w:r>
          </w:p>
        </w:tc>
        <w:tc>
          <w:tcPr>
            <w:tcW w:w="945" w:type="dxa"/>
            <w:tcBorders>
              <w:top w:val="single" w:sz="4" w:space="0" w:color="auto"/>
              <w:bottom w:val="single" w:sz="4" w:space="0" w:color="auto"/>
            </w:tcBorders>
          </w:tcPr>
          <w:p w:rsidR="00A16A93" w:rsidRPr="00851E7D" w:rsidRDefault="00A16A93" w:rsidP="006307E0">
            <w:pPr>
              <w:pStyle w:val="TableText"/>
              <w:jc w:val="center"/>
              <w:rPr>
                <w:b/>
              </w:rPr>
            </w:pPr>
            <w:r w:rsidRPr="00851E7D">
              <w:rPr>
                <w:b/>
              </w:rPr>
              <w:t>Girls</w:t>
            </w:r>
          </w:p>
        </w:tc>
        <w:tc>
          <w:tcPr>
            <w:tcW w:w="3827" w:type="dxa"/>
            <w:tcBorders>
              <w:top w:val="single" w:sz="4" w:space="0" w:color="auto"/>
              <w:bottom w:val="single" w:sz="4" w:space="0" w:color="auto"/>
            </w:tcBorders>
          </w:tcPr>
          <w:p w:rsidR="00A16A93" w:rsidRPr="00851E7D" w:rsidRDefault="00A16A93" w:rsidP="006307E0">
            <w:pPr>
              <w:pStyle w:val="TableText"/>
              <w:jc w:val="center"/>
              <w:rPr>
                <w:b/>
                <w:bCs/>
              </w:rPr>
            </w:pPr>
            <w:r w:rsidRPr="00851E7D">
              <w:rPr>
                <w:b/>
              </w:rPr>
              <w:t>Estimated number of children (95% CI)</w:t>
            </w:r>
          </w:p>
        </w:tc>
      </w:tr>
      <w:tr w:rsidR="00851E7D" w:rsidRPr="00A16A93" w:rsidTr="00834CCB">
        <w:trPr>
          <w:cantSplit/>
        </w:trPr>
        <w:tc>
          <w:tcPr>
            <w:tcW w:w="2694" w:type="dxa"/>
            <w:tcBorders>
              <w:top w:val="single" w:sz="4" w:space="0" w:color="auto"/>
              <w:bottom w:val="single" w:sz="4" w:space="0" w:color="A6A6A6" w:themeColor="background1" w:themeShade="A6"/>
            </w:tcBorders>
          </w:tcPr>
          <w:p w:rsidR="00851E7D" w:rsidRPr="00851E7D" w:rsidRDefault="00851E7D" w:rsidP="006307E0">
            <w:pPr>
              <w:pStyle w:val="TableText"/>
            </w:pPr>
            <w:r w:rsidRPr="00851E7D">
              <w:rPr>
                <w:b/>
              </w:rPr>
              <w:t>Population group</w:t>
            </w:r>
          </w:p>
        </w:tc>
        <w:tc>
          <w:tcPr>
            <w:tcW w:w="945" w:type="dxa"/>
            <w:tcBorders>
              <w:top w:val="single" w:sz="4" w:space="0" w:color="auto"/>
              <w:bottom w:val="single" w:sz="4" w:space="0" w:color="A6A6A6" w:themeColor="background1" w:themeShade="A6"/>
            </w:tcBorders>
          </w:tcPr>
          <w:p w:rsidR="00851E7D" w:rsidRPr="00A16A93" w:rsidRDefault="00851E7D" w:rsidP="006307E0">
            <w:pPr>
              <w:pStyle w:val="TableText"/>
              <w:jc w:val="center"/>
            </w:pPr>
          </w:p>
        </w:tc>
        <w:tc>
          <w:tcPr>
            <w:tcW w:w="945" w:type="dxa"/>
            <w:tcBorders>
              <w:top w:val="single" w:sz="4" w:space="0" w:color="auto"/>
              <w:bottom w:val="single" w:sz="4" w:space="0" w:color="A6A6A6" w:themeColor="background1" w:themeShade="A6"/>
            </w:tcBorders>
          </w:tcPr>
          <w:p w:rsidR="00851E7D" w:rsidRPr="00A16A93" w:rsidRDefault="00851E7D" w:rsidP="006307E0">
            <w:pPr>
              <w:pStyle w:val="TableText"/>
              <w:jc w:val="center"/>
            </w:pPr>
          </w:p>
        </w:tc>
        <w:tc>
          <w:tcPr>
            <w:tcW w:w="945" w:type="dxa"/>
            <w:tcBorders>
              <w:top w:val="single" w:sz="4" w:space="0" w:color="auto"/>
              <w:bottom w:val="single" w:sz="4" w:space="0" w:color="A6A6A6" w:themeColor="background1" w:themeShade="A6"/>
            </w:tcBorders>
          </w:tcPr>
          <w:p w:rsidR="00851E7D" w:rsidRPr="00A16A93" w:rsidRDefault="00851E7D" w:rsidP="006307E0">
            <w:pPr>
              <w:pStyle w:val="TableText"/>
              <w:jc w:val="center"/>
            </w:pPr>
          </w:p>
        </w:tc>
        <w:tc>
          <w:tcPr>
            <w:tcW w:w="3827" w:type="dxa"/>
            <w:tcBorders>
              <w:top w:val="single" w:sz="4" w:space="0" w:color="auto"/>
              <w:bottom w:val="single" w:sz="4" w:space="0" w:color="A6A6A6" w:themeColor="background1" w:themeShade="A6"/>
            </w:tcBorders>
          </w:tcPr>
          <w:p w:rsidR="00851E7D" w:rsidRPr="00A16A93" w:rsidRDefault="00851E7D" w:rsidP="006307E0">
            <w:pPr>
              <w:pStyle w:val="TableText"/>
              <w:tabs>
                <w:tab w:val="decimal" w:pos="1502"/>
              </w:tabs>
            </w:pPr>
          </w:p>
        </w:tc>
      </w:tr>
      <w:tr w:rsidR="00A16A93" w:rsidRPr="00A16A93" w:rsidTr="00834CCB">
        <w:trPr>
          <w:cantSplit/>
        </w:trPr>
        <w:tc>
          <w:tcPr>
            <w:tcW w:w="2694" w:type="dxa"/>
            <w:tcBorders>
              <w:top w:val="single" w:sz="4" w:space="0" w:color="A6A6A6" w:themeColor="background1" w:themeShade="A6"/>
              <w:bottom w:val="single" w:sz="4" w:space="0" w:color="auto"/>
            </w:tcBorders>
          </w:tcPr>
          <w:p w:rsidR="00A16A93" w:rsidRPr="00851E7D" w:rsidRDefault="00A16A93" w:rsidP="006307E0">
            <w:pPr>
              <w:pStyle w:val="TableText"/>
            </w:pPr>
            <w:r w:rsidRPr="00851E7D">
              <w:t>Total</w:t>
            </w:r>
          </w:p>
        </w:tc>
        <w:tc>
          <w:tcPr>
            <w:tcW w:w="945" w:type="dxa"/>
            <w:tcBorders>
              <w:top w:val="single" w:sz="4" w:space="0" w:color="A6A6A6" w:themeColor="background1" w:themeShade="A6"/>
              <w:bottom w:val="single" w:sz="4" w:space="0" w:color="auto"/>
            </w:tcBorders>
          </w:tcPr>
          <w:p w:rsidR="00A16A93" w:rsidRPr="00851E7D" w:rsidRDefault="00A16A93" w:rsidP="006307E0">
            <w:pPr>
              <w:pStyle w:val="TableText"/>
              <w:jc w:val="center"/>
            </w:pPr>
            <w:r w:rsidRPr="00851E7D">
              <w:t>69.4%</w:t>
            </w:r>
          </w:p>
        </w:tc>
        <w:tc>
          <w:tcPr>
            <w:tcW w:w="945" w:type="dxa"/>
            <w:tcBorders>
              <w:top w:val="single" w:sz="4" w:space="0" w:color="A6A6A6" w:themeColor="background1" w:themeShade="A6"/>
              <w:bottom w:val="single" w:sz="4" w:space="0" w:color="auto"/>
            </w:tcBorders>
          </w:tcPr>
          <w:p w:rsidR="00A16A93" w:rsidRPr="00851E7D" w:rsidRDefault="00A16A93" w:rsidP="006307E0">
            <w:pPr>
              <w:pStyle w:val="TableText"/>
              <w:jc w:val="center"/>
            </w:pPr>
            <w:r w:rsidRPr="00851E7D">
              <w:t>68.9%</w:t>
            </w:r>
          </w:p>
        </w:tc>
        <w:tc>
          <w:tcPr>
            <w:tcW w:w="945" w:type="dxa"/>
            <w:tcBorders>
              <w:top w:val="single" w:sz="4" w:space="0" w:color="A6A6A6" w:themeColor="background1" w:themeShade="A6"/>
              <w:bottom w:val="single" w:sz="4" w:space="0" w:color="auto"/>
            </w:tcBorders>
          </w:tcPr>
          <w:p w:rsidR="00A16A93" w:rsidRPr="00851E7D" w:rsidRDefault="00A16A93" w:rsidP="006307E0">
            <w:pPr>
              <w:pStyle w:val="TableText"/>
              <w:jc w:val="center"/>
            </w:pPr>
            <w:r w:rsidRPr="00851E7D">
              <w:t>70.0%</w:t>
            </w:r>
          </w:p>
        </w:tc>
        <w:tc>
          <w:tcPr>
            <w:tcW w:w="3827" w:type="dxa"/>
            <w:tcBorders>
              <w:top w:val="single" w:sz="4" w:space="0" w:color="A6A6A6" w:themeColor="background1" w:themeShade="A6"/>
              <w:bottom w:val="single" w:sz="4" w:space="0" w:color="auto"/>
            </w:tcBorders>
          </w:tcPr>
          <w:p w:rsidR="00A16A93" w:rsidRPr="00851E7D" w:rsidRDefault="00A16A93" w:rsidP="006307E0">
            <w:pPr>
              <w:pStyle w:val="TableText"/>
              <w:tabs>
                <w:tab w:val="decimal" w:pos="1502"/>
              </w:tabs>
            </w:pPr>
            <w:r w:rsidRPr="00851E7D">
              <w:t>551,000</w:t>
            </w:r>
            <w:r w:rsidR="00B50F67">
              <w:t xml:space="preserve"> </w:t>
            </w:r>
            <w:r w:rsidRPr="00851E7D">
              <w:t>(534,000–567,000)</w:t>
            </w:r>
          </w:p>
        </w:tc>
      </w:tr>
      <w:tr w:rsidR="00A16A93" w:rsidRPr="00851E7D" w:rsidTr="00834CCB">
        <w:trPr>
          <w:cantSplit/>
        </w:trPr>
        <w:tc>
          <w:tcPr>
            <w:tcW w:w="2694" w:type="dxa"/>
            <w:tcBorders>
              <w:top w:val="single" w:sz="4" w:space="0" w:color="auto"/>
              <w:bottom w:val="single" w:sz="4" w:space="0" w:color="A6A6A6" w:themeColor="background1" w:themeShade="A6"/>
            </w:tcBorders>
          </w:tcPr>
          <w:p w:rsidR="00A16A93" w:rsidRPr="00851E7D" w:rsidRDefault="00A16A93" w:rsidP="00851E7D">
            <w:pPr>
              <w:pStyle w:val="TableText"/>
              <w:rPr>
                <w:b/>
              </w:rPr>
            </w:pPr>
            <w:r w:rsidRPr="00851E7D">
              <w:rPr>
                <w:b/>
              </w:rPr>
              <w:t>Age group (years)</w:t>
            </w:r>
          </w:p>
        </w:tc>
        <w:tc>
          <w:tcPr>
            <w:tcW w:w="945" w:type="dxa"/>
            <w:tcBorders>
              <w:top w:val="single" w:sz="4" w:space="0" w:color="auto"/>
              <w:bottom w:val="single" w:sz="4" w:space="0" w:color="A6A6A6" w:themeColor="background1" w:themeShade="A6"/>
            </w:tcBorders>
          </w:tcPr>
          <w:p w:rsidR="00A16A93" w:rsidRPr="00851E7D" w:rsidRDefault="00A16A93" w:rsidP="00851E7D">
            <w:pPr>
              <w:pStyle w:val="TableText"/>
              <w:jc w:val="center"/>
              <w:rPr>
                <w:b/>
              </w:rPr>
            </w:pPr>
          </w:p>
        </w:tc>
        <w:tc>
          <w:tcPr>
            <w:tcW w:w="945" w:type="dxa"/>
            <w:tcBorders>
              <w:top w:val="single" w:sz="4" w:space="0" w:color="auto"/>
              <w:bottom w:val="single" w:sz="4" w:space="0" w:color="A6A6A6" w:themeColor="background1" w:themeShade="A6"/>
            </w:tcBorders>
          </w:tcPr>
          <w:p w:rsidR="00A16A93" w:rsidRPr="00851E7D" w:rsidRDefault="00A16A93" w:rsidP="00851E7D">
            <w:pPr>
              <w:pStyle w:val="TableText"/>
              <w:jc w:val="center"/>
              <w:rPr>
                <w:b/>
              </w:rPr>
            </w:pPr>
          </w:p>
        </w:tc>
        <w:tc>
          <w:tcPr>
            <w:tcW w:w="945" w:type="dxa"/>
            <w:tcBorders>
              <w:top w:val="single" w:sz="4" w:space="0" w:color="auto"/>
              <w:bottom w:val="single" w:sz="4" w:space="0" w:color="A6A6A6" w:themeColor="background1" w:themeShade="A6"/>
            </w:tcBorders>
          </w:tcPr>
          <w:p w:rsidR="00A16A93" w:rsidRPr="00851E7D" w:rsidRDefault="00A16A93" w:rsidP="00851E7D">
            <w:pPr>
              <w:pStyle w:val="TableText"/>
              <w:jc w:val="center"/>
              <w:rPr>
                <w:b/>
              </w:rPr>
            </w:pPr>
          </w:p>
        </w:tc>
        <w:tc>
          <w:tcPr>
            <w:tcW w:w="3827" w:type="dxa"/>
            <w:tcBorders>
              <w:top w:val="single" w:sz="4" w:space="0" w:color="auto"/>
              <w:bottom w:val="single" w:sz="4" w:space="0" w:color="A6A6A6" w:themeColor="background1" w:themeShade="A6"/>
            </w:tcBorders>
          </w:tcPr>
          <w:p w:rsidR="00A16A93" w:rsidRPr="00851E7D" w:rsidRDefault="00A16A93" w:rsidP="00B50F67">
            <w:pPr>
              <w:pStyle w:val="TableText"/>
              <w:tabs>
                <w:tab w:val="decimal" w:pos="1502"/>
              </w:tabs>
              <w:rPr>
                <w:b/>
              </w:rPr>
            </w:pPr>
          </w:p>
        </w:tc>
      </w:tr>
      <w:tr w:rsidR="00A16A93" w:rsidRPr="00A16A93" w:rsidTr="00834CCB">
        <w:trPr>
          <w:cantSplit/>
        </w:trPr>
        <w:tc>
          <w:tcPr>
            <w:tcW w:w="2694"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pPr>
            <w:r w:rsidRPr="00851E7D">
              <w:t>2–4</w:t>
            </w:r>
          </w:p>
        </w:tc>
        <w:tc>
          <w:tcPr>
            <w:tcW w:w="945"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jc w:val="center"/>
            </w:pPr>
            <w:r w:rsidRPr="00851E7D">
              <w:t>63.1%</w:t>
            </w:r>
          </w:p>
        </w:tc>
        <w:tc>
          <w:tcPr>
            <w:tcW w:w="945"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jc w:val="center"/>
            </w:pPr>
            <w:r w:rsidRPr="00851E7D">
              <w:t>63.4%</w:t>
            </w:r>
          </w:p>
        </w:tc>
        <w:tc>
          <w:tcPr>
            <w:tcW w:w="945"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jc w:val="center"/>
            </w:pPr>
            <w:r w:rsidRPr="00851E7D">
              <w:t>62.8%</w:t>
            </w:r>
          </w:p>
        </w:tc>
        <w:tc>
          <w:tcPr>
            <w:tcW w:w="3827" w:type="dxa"/>
            <w:tcBorders>
              <w:top w:val="single" w:sz="4" w:space="0" w:color="A6A6A6" w:themeColor="background1" w:themeShade="A6"/>
              <w:bottom w:val="single" w:sz="4" w:space="0" w:color="A6A6A6" w:themeColor="background1" w:themeShade="A6"/>
            </w:tcBorders>
          </w:tcPr>
          <w:p w:rsidR="00A16A93" w:rsidRPr="00851E7D" w:rsidRDefault="00A16A93" w:rsidP="00B50F67">
            <w:pPr>
              <w:pStyle w:val="TableText"/>
              <w:tabs>
                <w:tab w:val="decimal" w:pos="1502"/>
              </w:tabs>
            </w:pPr>
            <w:r w:rsidRPr="00851E7D">
              <w:t>114,000</w:t>
            </w:r>
            <w:r w:rsidR="00B50F67">
              <w:t xml:space="preserve"> </w:t>
            </w:r>
            <w:r w:rsidRPr="00851E7D">
              <w:t>(106,000–120,000)</w:t>
            </w:r>
          </w:p>
        </w:tc>
      </w:tr>
      <w:tr w:rsidR="00A16A93" w:rsidRPr="00A16A93" w:rsidTr="00834CCB">
        <w:trPr>
          <w:cantSplit/>
        </w:trPr>
        <w:tc>
          <w:tcPr>
            <w:tcW w:w="2694"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pPr>
            <w:r w:rsidRPr="00851E7D">
              <w:t>5–9</w:t>
            </w:r>
          </w:p>
        </w:tc>
        <w:tc>
          <w:tcPr>
            <w:tcW w:w="945"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jc w:val="center"/>
            </w:pPr>
            <w:r w:rsidRPr="00851E7D">
              <w:t>70.5%</w:t>
            </w:r>
          </w:p>
        </w:tc>
        <w:tc>
          <w:tcPr>
            <w:tcW w:w="945"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jc w:val="center"/>
            </w:pPr>
            <w:r w:rsidRPr="00851E7D">
              <w:t>69.0%</w:t>
            </w:r>
          </w:p>
        </w:tc>
        <w:tc>
          <w:tcPr>
            <w:tcW w:w="945"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jc w:val="center"/>
            </w:pPr>
            <w:r w:rsidRPr="00851E7D">
              <w:t>72.1%</w:t>
            </w:r>
          </w:p>
        </w:tc>
        <w:tc>
          <w:tcPr>
            <w:tcW w:w="3827" w:type="dxa"/>
            <w:tcBorders>
              <w:top w:val="single" w:sz="4" w:space="0" w:color="A6A6A6" w:themeColor="background1" w:themeShade="A6"/>
              <w:bottom w:val="single" w:sz="4" w:space="0" w:color="A6A6A6" w:themeColor="background1" w:themeShade="A6"/>
            </w:tcBorders>
          </w:tcPr>
          <w:p w:rsidR="00A16A93" w:rsidRPr="00851E7D" w:rsidRDefault="00A16A93" w:rsidP="00B50F67">
            <w:pPr>
              <w:pStyle w:val="TableText"/>
              <w:tabs>
                <w:tab w:val="decimal" w:pos="1502"/>
              </w:tabs>
            </w:pPr>
            <w:r w:rsidRPr="00851E7D">
              <w:t>226,000</w:t>
            </w:r>
            <w:r w:rsidR="00B50F67">
              <w:t xml:space="preserve"> </w:t>
            </w:r>
            <w:r w:rsidRPr="00851E7D">
              <w:t>(216,000–235,000)</w:t>
            </w:r>
          </w:p>
        </w:tc>
      </w:tr>
      <w:tr w:rsidR="00A16A93" w:rsidRPr="00A16A93" w:rsidTr="00834CCB">
        <w:trPr>
          <w:cantSplit/>
        </w:trPr>
        <w:tc>
          <w:tcPr>
            <w:tcW w:w="2694" w:type="dxa"/>
            <w:tcBorders>
              <w:top w:val="single" w:sz="4" w:space="0" w:color="A6A6A6" w:themeColor="background1" w:themeShade="A6"/>
              <w:bottom w:val="single" w:sz="4" w:space="0" w:color="auto"/>
            </w:tcBorders>
          </w:tcPr>
          <w:p w:rsidR="00A16A93" w:rsidRPr="00851E7D" w:rsidRDefault="00A16A93" w:rsidP="00851E7D">
            <w:pPr>
              <w:pStyle w:val="TableText"/>
            </w:pPr>
            <w:r w:rsidRPr="00851E7D">
              <w:t>10–14</w:t>
            </w:r>
          </w:p>
        </w:tc>
        <w:tc>
          <w:tcPr>
            <w:tcW w:w="945" w:type="dxa"/>
            <w:tcBorders>
              <w:top w:val="single" w:sz="4" w:space="0" w:color="A6A6A6" w:themeColor="background1" w:themeShade="A6"/>
              <w:bottom w:val="single" w:sz="4" w:space="0" w:color="auto"/>
            </w:tcBorders>
          </w:tcPr>
          <w:p w:rsidR="00A16A93" w:rsidRPr="00851E7D" w:rsidRDefault="00A16A93" w:rsidP="00851E7D">
            <w:pPr>
              <w:pStyle w:val="TableText"/>
              <w:jc w:val="center"/>
            </w:pPr>
            <w:r w:rsidRPr="00851E7D">
              <w:t>72.1%</w:t>
            </w:r>
          </w:p>
        </w:tc>
        <w:tc>
          <w:tcPr>
            <w:tcW w:w="945" w:type="dxa"/>
            <w:tcBorders>
              <w:top w:val="single" w:sz="4" w:space="0" w:color="A6A6A6" w:themeColor="background1" w:themeShade="A6"/>
              <w:bottom w:val="single" w:sz="4" w:space="0" w:color="auto"/>
            </w:tcBorders>
          </w:tcPr>
          <w:p w:rsidR="00A16A93" w:rsidRPr="00851E7D" w:rsidRDefault="00A16A93" w:rsidP="00851E7D">
            <w:pPr>
              <w:pStyle w:val="TableText"/>
              <w:jc w:val="center"/>
            </w:pPr>
            <w:r w:rsidRPr="00851E7D">
              <w:t>72.1%</w:t>
            </w:r>
          </w:p>
        </w:tc>
        <w:tc>
          <w:tcPr>
            <w:tcW w:w="945" w:type="dxa"/>
            <w:tcBorders>
              <w:top w:val="single" w:sz="4" w:space="0" w:color="A6A6A6" w:themeColor="background1" w:themeShade="A6"/>
              <w:bottom w:val="single" w:sz="4" w:space="0" w:color="auto"/>
            </w:tcBorders>
          </w:tcPr>
          <w:p w:rsidR="00A16A93" w:rsidRPr="00851E7D" w:rsidRDefault="00A16A93" w:rsidP="00851E7D">
            <w:pPr>
              <w:pStyle w:val="TableText"/>
              <w:jc w:val="center"/>
            </w:pPr>
            <w:r w:rsidRPr="00851E7D">
              <w:t>72.1%</w:t>
            </w:r>
          </w:p>
        </w:tc>
        <w:tc>
          <w:tcPr>
            <w:tcW w:w="3827" w:type="dxa"/>
            <w:tcBorders>
              <w:top w:val="single" w:sz="4" w:space="0" w:color="A6A6A6" w:themeColor="background1" w:themeShade="A6"/>
              <w:bottom w:val="single" w:sz="4" w:space="0" w:color="auto"/>
            </w:tcBorders>
          </w:tcPr>
          <w:p w:rsidR="00A16A93" w:rsidRPr="00851E7D" w:rsidRDefault="00A16A93" w:rsidP="00B50F67">
            <w:pPr>
              <w:pStyle w:val="TableText"/>
              <w:tabs>
                <w:tab w:val="decimal" w:pos="1502"/>
              </w:tabs>
            </w:pPr>
            <w:r w:rsidRPr="00851E7D">
              <w:t>212,000</w:t>
            </w:r>
            <w:r w:rsidR="00B50F67">
              <w:t xml:space="preserve"> </w:t>
            </w:r>
            <w:r w:rsidRPr="00851E7D">
              <w:t>(203,000–220,000)</w:t>
            </w:r>
          </w:p>
        </w:tc>
      </w:tr>
      <w:tr w:rsidR="00A16A93" w:rsidRPr="00851E7D" w:rsidTr="00834CCB">
        <w:trPr>
          <w:cantSplit/>
        </w:trPr>
        <w:tc>
          <w:tcPr>
            <w:tcW w:w="2694" w:type="dxa"/>
            <w:tcBorders>
              <w:top w:val="single" w:sz="4" w:space="0" w:color="auto"/>
              <w:bottom w:val="single" w:sz="4" w:space="0" w:color="A6A6A6" w:themeColor="background1" w:themeShade="A6"/>
            </w:tcBorders>
          </w:tcPr>
          <w:p w:rsidR="00A16A93" w:rsidRPr="00851E7D" w:rsidRDefault="00A16A93" w:rsidP="00851E7D">
            <w:pPr>
              <w:pStyle w:val="TableText"/>
              <w:rPr>
                <w:b/>
              </w:rPr>
            </w:pPr>
            <w:r w:rsidRPr="00851E7D">
              <w:rPr>
                <w:b/>
              </w:rPr>
              <w:t>Ethnic group</w:t>
            </w:r>
          </w:p>
        </w:tc>
        <w:tc>
          <w:tcPr>
            <w:tcW w:w="945" w:type="dxa"/>
            <w:tcBorders>
              <w:top w:val="single" w:sz="4" w:space="0" w:color="auto"/>
              <w:bottom w:val="single" w:sz="4" w:space="0" w:color="A6A6A6" w:themeColor="background1" w:themeShade="A6"/>
            </w:tcBorders>
          </w:tcPr>
          <w:p w:rsidR="00A16A93" w:rsidRPr="00851E7D" w:rsidRDefault="00A16A93" w:rsidP="00851E7D">
            <w:pPr>
              <w:pStyle w:val="TableText"/>
              <w:jc w:val="center"/>
              <w:rPr>
                <w:b/>
              </w:rPr>
            </w:pPr>
          </w:p>
        </w:tc>
        <w:tc>
          <w:tcPr>
            <w:tcW w:w="945" w:type="dxa"/>
            <w:tcBorders>
              <w:top w:val="single" w:sz="4" w:space="0" w:color="auto"/>
              <w:bottom w:val="single" w:sz="4" w:space="0" w:color="A6A6A6" w:themeColor="background1" w:themeShade="A6"/>
            </w:tcBorders>
          </w:tcPr>
          <w:p w:rsidR="00A16A93" w:rsidRPr="00851E7D" w:rsidRDefault="00A16A93" w:rsidP="00851E7D">
            <w:pPr>
              <w:pStyle w:val="TableText"/>
              <w:jc w:val="center"/>
              <w:rPr>
                <w:b/>
              </w:rPr>
            </w:pPr>
          </w:p>
        </w:tc>
        <w:tc>
          <w:tcPr>
            <w:tcW w:w="945" w:type="dxa"/>
            <w:tcBorders>
              <w:top w:val="single" w:sz="4" w:space="0" w:color="auto"/>
              <w:bottom w:val="single" w:sz="4" w:space="0" w:color="A6A6A6" w:themeColor="background1" w:themeShade="A6"/>
            </w:tcBorders>
          </w:tcPr>
          <w:p w:rsidR="00A16A93" w:rsidRPr="00851E7D" w:rsidRDefault="00A16A93" w:rsidP="00851E7D">
            <w:pPr>
              <w:pStyle w:val="TableText"/>
              <w:jc w:val="center"/>
              <w:rPr>
                <w:b/>
              </w:rPr>
            </w:pPr>
          </w:p>
        </w:tc>
        <w:tc>
          <w:tcPr>
            <w:tcW w:w="3827" w:type="dxa"/>
            <w:tcBorders>
              <w:top w:val="single" w:sz="4" w:space="0" w:color="auto"/>
              <w:bottom w:val="single" w:sz="4" w:space="0" w:color="A6A6A6" w:themeColor="background1" w:themeShade="A6"/>
            </w:tcBorders>
          </w:tcPr>
          <w:p w:rsidR="00A16A93" w:rsidRPr="00851E7D" w:rsidRDefault="00A16A93" w:rsidP="00B50F67">
            <w:pPr>
              <w:pStyle w:val="TableText"/>
              <w:tabs>
                <w:tab w:val="decimal" w:pos="1502"/>
              </w:tabs>
              <w:rPr>
                <w:b/>
              </w:rPr>
            </w:pPr>
          </w:p>
        </w:tc>
      </w:tr>
      <w:tr w:rsidR="00A16A93" w:rsidRPr="00A16A93" w:rsidTr="00834CCB">
        <w:trPr>
          <w:cantSplit/>
        </w:trPr>
        <w:tc>
          <w:tcPr>
            <w:tcW w:w="2694"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pPr>
            <w:r w:rsidRPr="00851E7D">
              <w:t>Māori</w:t>
            </w:r>
          </w:p>
        </w:tc>
        <w:tc>
          <w:tcPr>
            <w:tcW w:w="945"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jc w:val="center"/>
            </w:pPr>
            <w:r w:rsidRPr="00851E7D">
              <w:t>78.6%</w:t>
            </w:r>
          </w:p>
        </w:tc>
        <w:tc>
          <w:tcPr>
            <w:tcW w:w="945"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jc w:val="center"/>
            </w:pPr>
            <w:r w:rsidRPr="00851E7D">
              <w:t>79.5%</w:t>
            </w:r>
          </w:p>
        </w:tc>
        <w:tc>
          <w:tcPr>
            <w:tcW w:w="945"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jc w:val="center"/>
            </w:pPr>
            <w:r w:rsidRPr="00851E7D">
              <w:t>77.6%</w:t>
            </w:r>
          </w:p>
        </w:tc>
        <w:tc>
          <w:tcPr>
            <w:tcW w:w="3827" w:type="dxa"/>
            <w:tcBorders>
              <w:top w:val="single" w:sz="4" w:space="0" w:color="A6A6A6" w:themeColor="background1" w:themeShade="A6"/>
              <w:bottom w:val="single" w:sz="4" w:space="0" w:color="A6A6A6" w:themeColor="background1" w:themeShade="A6"/>
            </w:tcBorders>
          </w:tcPr>
          <w:p w:rsidR="00A16A93" w:rsidRPr="00851E7D" w:rsidRDefault="00A16A93" w:rsidP="00B50F67">
            <w:pPr>
              <w:pStyle w:val="TableText"/>
              <w:tabs>
                <w:tab w:val="decimal" w:pos="1502"/>
              </w:tabs>
            </w:pPr>
            <w:r w:rsidRPr="00851E7D">
              <w:t>157,000</w:t>
            </w:r>
            <w:r w:rsidR="00B50F67">
              <w:t xml:space="preserve"> </w:t>
            </w:r>
            <w:r w:rsidRPr="00851E7D">
              <w:t>(151,000–163,000)</w:t>
            </w:r>
          </w:p>
        </w:tc>
      </w:tr>
      <w:tr w:rsidR="00A16A93" w:rsidRPr="00A16A93" w:rsidTr="00834CCB">
        <w:trPr>
          <w:cantSplit/>
        </w:trPr>
        <w:tc>
          <w:tcPr>
            <w:tcW w:w="2694"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pPr>
            <w:r w:rsidRPr="00851E7D">
              <w:t>Pacific peoples</w:t>
            </w:r>
          </w:p>
        </w:tc>
        <w:tc>
          <w:tcPr>
            <w:tcW w:w="945"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jc w:val="center"/>
            </w:pPr>
            <w:r w:rsidRPr="00851E7D">
              <w:t>81.7%</w:t>
            </w:r>
          </w:p>
        </w:tc>
        <w:tc>
          <w:tcPr>
            <w:tcW w:w="945"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jc w:val="center"/>
            </w:pPr>
            <w:r w:rsidRPr="00851E7D">
              <w:t>81.1%</w:t>
            </w:r>
          </w:p>
        </w:tc>
        <w:tc>
          <w:tcPr>
            <w:tcW w:w="945"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jc w:val="center"/>
            </w:pPr>
            <w:r w:rsidRPr="00851E7D">
              <w:t>82.2%</w:t>
            </w:r>
          </w:p>
        </w:tc>
        <w:tc>
          <w:tcPr>
            <w:tcW w:w="3827" w:type="dxa"/>
            <w:tcBorders>
              <w:top w:val="single" w:sz="4" w:space="0" w:color="A6A6A6" w:themeColor="background1" w:themeShade="A6"/>
              <w:bottom w:val="single" w:sz="4" w:space="0" w:color="A6A6A6" w:themeColor="background1" w:themeShade="A6"/>
            </w:tcBorders>
          </w:tcPr>
          <w:p w:rsidR="00A16A93" w:rsidRPr="00851E7D" w:rsidRDefault="00A16A93" w:rsidP="00B50F67">
            <w:pPr>
              <w:pStyle w:val="TableText"/>
              <w:tabs>
                <w:tab w:val="decimal" w:pos="1502"/>
              </w:tabs>
            </w:pPr>
            <w:r w:rsidRPr="00851E7D">
              <w:t>84,000</w:t>
            </w:r>
            <w:r w:rsidR="00B50F67">
              <w:t xml:space="preserve"> </w:t>
            </w:r>
            <w:r w:rsidRPr="00851E7D">
              <w:t>(80,000–88,000)</w:t>
            </w:r>
          </w:p>
        </w:tc>
      </w:tr>
      <w:tr w:rsidR="00A16A93" w:rsidRPr="00A16A93" w:rsidTr="00834CCB">
        <w:trPr>
          <w:cantSplit/>
        </w:trPr>
        <w:tc>
          <w:tcPr>
            <w:tcW w:w="2694"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pPr>
            <w:r w:rsidRPr="00851E7D">
              <w:t>Asian</w:t>
            </w:r>
          </w:p>
        </w:tc>
        <w:tc>
          <w:tcPr>
            <w:tcW w:w="945"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jc w:val="center"/>
            </w:pPr>
            <w:r w:rsidRPr="00851E7D">
              <w:t>66.6%</w:t>
            </w:r>
          </w:p>
        </w:tc>
        <w:tc>
          <w:tcPr>
            <w:tcW w:w="945"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jc w:val="center"/>
            </w:pPr>
            <w:r w:rsidRPr="00851E7D">
              <w:t>67.2%</w:t>
            </w:r>
          </w:p>
        </w:tc>
        <w:tc>
          <w:tcPr>
            <w:tcW w:w="945"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jc w:val="center"/>
            </w:pPr>
            <w:r w:rsidRPr="00851E7D">
              <w:t>66.0%</w:t>
            </w:r>
          </w:p>
        </w:tc>
        <w:tc>
          <w:tcPr>
            <w:tcW w:w="3827" w:type="dxa"/>
            <w:tcBorders>
              <w:top w:val="single" w:sz="4" w:space="0" w:color="A6A6A6" w:themeColor="background1" w:themeShade="A6"/>
              <w:bottom w:val="single" w:sz="4" w:space="0" w:color="A6A6A6" w:themeColor="background1" w:themeShade="A6"/>
            </w:tcBorders>
          </w:tcPr>
          <w:p w:rsidR="00A16A93" w:rsidRPr="00851E7D" w:rsidRDefault="00A16A93" w:rsidP="00B50F67">
            <w:pPr>
              <w:pStyle w:val="TableText"/>
              <w:tabs>
                <w:tab w:val="decimal" w:pos="1502"/>
              </w:tabs>
            </w:pPr>
            <w:r w:rsidRPr="00851E7D">
              <w:t>68,000</w:t>
            </w:r>
            <w:r w:rsidR="00B50F67">
              <w:t xml:space="preserve"> </w:t>
            </w:r>
            <w:r w:rsidRPr="00851E7D">
              <w:t>(61,000–75,000)</w:t>
            </w:r>
          </w:p>
        </w:tc>
      </w:tr>
      <w:tr w:rsidR="00A16A93" w:rsidRPr="00A16A93" w:rsidTr="00834CCB">
        <w:trPr>
          <w:cantSplit/>
        </w:trPr>
        <w:tc>
          <w:tcPr>
            <w:tcW w:w="2694" w:type="dxa"/>
            <w:tcBorders>
              <w:top w:val="single" w:sz="4" w:space="0" w:color="A6A6A6" w:themeColor="background1" w:themeShade="A6"/>
              <w:bottom w:val="single" w:sz="4" w:space="0" w:color="auto"/>
            </w:tcBorders>
          </w:tcPr>
          <w:p w:rsidR="00A16A93" w:rsidRPr="00851E7D" w:rsidRDefault="00A16A93" w:rsidP="00851E7D">
            <w:pPr>
              <w:pStyle w:val="TableText"/>
            </w:pPr>
            <w:r w:rsidRPr="00851E7D">
              <w:t>European/Other</w:t>
            </w:r>
          </w:p>
        </w:tc>
        <w:tc>
          <w:tcPr>
            <w:tcW w:w="945" w:type="dxa"/>
            <w:tcBorders>
              <w:top w:val="single" w:sz="4" w:space="0" w:color="A6A6A6" w:themeColor="background1" w:themeShade="A6"/>
              <w:bottom w:val="single" w:sz="4" w:space="0" w:color="auto"/>
            </w:tcBorders>
          </w:tcPr>
          <w:p w:rsidR="00A16A93" w:rsidRPr="00851E7D" w:rsidRDefault="00A16A93" w:rsidP="00851E7D">
            <w:pPr>
              <w:pStyle w:val="TableText"/>
              <w:jc w:val="center"/>
            </w:pPr>
            <w:r w:rsidRPr="00851E7D">
              <w:t>66.7%</w:t>
            </w:r>
          </w:p>
        </w:tc>
        <w:tc>
          <w:tcPr>
            <w:tcW w:w="945" w:type="dxa"/>
            <w:tcBorders>
              <w:top w:val="single" w:sz="4" w:space="0" w:color="A6A6A6" w:themeColor="background1" w:themeShade="A6"/>
              <w:bottom w:val="single" w:sz="4" w:space="0" w:color="auto"/>
            </w:tcBorders>
          </w:tcPr>
          <w:p w:rsidR="00A16A93" w:rsidRPr="00851E7D" w:rsidRDefault="00A16A93" w:rsidP="00851E7D">
            <w:pPr>
              <w:pStyle w:val="TableText"/>
              <w:jc w:val="center"/>
            </w:pPr>
            <w:r w:rsidRPr="00851E7D">
              <w:t>65.8%</w:t>
            </w:r>
          </w:p>
        </w:tc>
        <w:tc>
          <w:tcPr>
            <w:tcW w:w="945" w:type="dxa"/>
            <w:tcBorders>
              <w:top w:val="single" w:sz="4" w:space="0" w:color="A6A6A6" w:themeColor="background1" w:themeShade="A6"/>
              <w:bottom w:val="single" w:sz="4" w:space="0" w:color="auto"/>
            </w:tcBorders>
          </w:tcPr>
          <w:p w:rsidR="00A16A93" w:rsidRPr="00851E7D" w:rsidRDefault="00A16A93" w:rsidP="00851E7D">
            <w:pPr>
              <w:pStyle w:val="TableText"/>
              <w:jc w:val="center"/>
            </w:pPr>
            <w:r w:rsidRPr="00851E7D">
              <w:t>67.6%</w:t>
            </w:r>
          </w:p>
        </w:tc>
        <w:tc>
          <w:tcPr>
            <w:tcW w:w="3827" w:type="dxa"/>
            <w:tcBorders>
              <w:top w:val="single" w:sz="4" w:space="0" w:color="A6A6A6" w:themeColor="background1" w:themeShade="A6"/>
              <w:bottom w:val="single" w:sz="4" w:space="0" w:color="auto"/>
            </w:tcBorders>
          </w:tcPr>
          <w:p w:rsidR="00A16A93" w:rsidRPr="00851E7D" w:rsidRDefault="00A16A93" w:rsidP="00B50F67">
            <w:pPr>
              <w:pStyle w:val="TableText"/>
              <w:tabs>
                <w:tab w:val="decimal" w:pos="1502"/>
              </w:tabs>
            </w:pPr>
            <w:r w:rsidRPr="00851E7D">
              <w:t>377,000</w:t>
            </w:r>
            <w:r w:rsidR="00B50F67">
              <w:t xml:space="preserve"> </w:t>
            </w:r>
            <w:r w:rsidRPr="00851E7D">
              <w:t>(365,000–389,000)</w:t>
            </w:r>
          </w:p>
        </w:tc>
      </w:tr>
      <w:tr w:rsidR="00A16A93" w:rsidRPr="00851E7D" w:rsidTr="00834CCB">
        <w:trPr>
          <w:cantSplit/>
        </w:trPr>
        <w:tc>
          <w:tcPr>
            <w:tcW w:w="2694" w:type="dxa"/>
            <w:tcBorders>
              <w:top w:val="single" w:sz="4" w:space="0" w:color="auto"/>
              <w:bottom w:val="single" w:sz="4" w:space="0" w:color="A6A6A6" w:themeColor="background1" w:themeShade="A6"/>
            </w:tcBorders>
          </w:tcPr>
          <w:p w:rsidR="00A16A93" w:rsidRPr="00851E7D" w:rsidRDefault="00A16A93" w:rsidP="00851E7D">
            <w:pPr>
              <w:pStyle w:val="TableText"/>
              <w:rPr>
                <w:b/>
              </w:rPr>
            </w:pPr>
            <w:r w:rsidRPr="00851E7D">
              <w:rPr>
                <w:b/>
              </w:rPr>
              <w:t>Neighbourhood d</w:t>
            </w:r>
            <w:r w:rsidR="00851E7D">
              <w:rPr>
                <w:b/>
              </w:rPr>
              <w:t>eprivation quintile (NZDep2013)</w:t>
            </w:r>
          </w:p>
        </w:tc>
        <w:tc>
          <w:tcPr>
            <w:tcW w:w="945" w:type="dxa"/>
            <w:tcBorders>
              <w:top w:val="single" w:sz="4" w:space="0" w:color="auto"/>
              <w:bottom w:val="single" w:sz="4" w:space="0" w:color="A6A6A6" w:themeColor="background1" w:themeShade="A6"/>
            </w:tcBorders>
          </w:tcPr>
          <w:p w:rsidR="00A16A93" w:rsidRPr="00851E7D" w:rsidRDefault="00A16A93" w:rsidP="00851E7D">
            <w:pPr>
              <w:pStyle w:val="TableText"/>
              <w:jc w:val="center"/>
              <w:rPr>
                <w:b/>
              </w:rPr>
            </w:pPr>
          </w:p>
        </w:tc>
        <w:tc>
          <w:tcPr>
            <w:tcW w:w="945" w:type="dxa"/>
            <w:tcBorders>
              <w:top w:val="single" w:sz="4" w:space="0" w:color="auto"/>
              <w:bottom w:val="single" w:sz="4" w:space="0" w:color="A6A6A6" w:themeColor="background1" w:themeShade="A6"/>
            </w:tcBorders>
          </w:tcPr>
          <w:p w:rsidR="00A16A93" w:rsidRPr="00851E7D" w:rsidRDefault="00A16A93" w:rsidP="00851E7D">
            <w:pPr>
              <w:pStyle w:val="TableText"/>
              <w:jc w:val="center"/>
              <w:rPr>
                <w:b/>
              </w:rPr>
            </w:pPr>
          </w:p>
        </w:tc>
        <w:tc>
          <w:tcPr>
            <w:tcW w:w="945" w:type="dxa"/>
            <w:tcBorders>
              <w:top w:val="single" w:sz="4" w:space="0" w:color="auto"/>
              <w:bottom w:val="single" w:sz="4" w:space="0" w:color="A6A6A6" w:themeColor="background1" w:themeShade="A6"/>
            </w:tcBorders>
          </w:tcPr>
          <w:p w:rsidR="00A16A93" w:rsidRPr="00851E7D" w:rsidRDefault="00A16A93" w:rsidP="00851E7D">
            <w:pPr>
              <w:pStyle w:val="TableText"/>
              <w:jc w:val="center"/>
              <w:rPr>
                <w:b/>
              </w:rPr>
            </w:pPr>
          </w:p>
        </w:tc>
        <w:tc>
          <w:tcPr>
            <w:tcW w:w="3827" w:type="dxa"/>
            <w:tcBorders>
              <w:top w:val="single" w:sz="4" w:space="0" w:color="auto"/>
              <w:bottom w:val="single" w:sz="4" w:space="0" w:color="A6A6A6" w:themeColor="background1" w:themeShade="A6"/>
            </w:tcBorders>
          </w:tcPr>
          <w:p w:rsidR="00A16A93" w:rsidRPr="00851E7D" w:rsidRDefault="00A16A93" w:rsidP="00B50F67">
            <w:pPr>
              <w:pStyle w:val="TableText"/>
              <w:tabs>
                <w:tab w:val="decimal" w:pos="1502"/>
              </w:tabs>
              <w:rPr>
                <w:b/>
              </w:rPr>
            </w:pPr>
          </w:p>
        </w:tc>
      </w:tr>
      <w:tr w:rsidR="00A16A93" w:rsidRPr="00A16A93" w:rsidTr="00834CCB">
        <w:trPr>
          <w:cantSplit/>
        </w:trPr>
        <w:tc>
          <w:tcPr>
            <w:tcW w:w="2694"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pPr>
            <w:r w:rsidRPr="00851E7D">
              <w:t>Quintile 1 (least deprived)</w:t>
            </w:r>
          </w:p>
        </w:tc>
        <w:tc>
          <w:tcPr>
            <w:tcW w:w="945"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jc w:val="center"/>
            </w:pPr>
            <w:r w:rsidRPr="00851E7D">
              <w:t>66.0%</w:t>
            </w:r>
          </w:p>
        </w:tc>
        <w:tc>
          <w:tcPr>
            <w:tcW w:w="945"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jc w:val="center"/>
            </w:pPr>
            <w:r w:rsidRPr="00851E7D">
              <w:t>63.8%</w:t>
            </w:r>
          </w:p>
        </w:tc>
        <w:tc>
          <w:tcPr>
            <w:tcW w:w="945"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jc w:val="center"/>
            </w:pPr>
            <w:r w:rsidRPr="00851E7D">
              <w:t>68.3%</w:t>
            </w:r>
          </w:p>
        </w:tc>
        <w:tc>
          <w:tcPr>
            <w:tcW w:w="3827" w:type="dxa"/>
            <w:tcBorders>
              <w:top w:val="single" w:sz="4" w:space="0" w:color="A6A6A6" w:themeColor="background1" w:themeShade="A6"/>
              <w:bottom w:val="single" w:sz="4" w:space="0" w:color="A6A6A6" w:themeColor="background1" w:themeShade="A6"/>
            </w:tcBorders>
          </w:tcPr>
          <w:p w:rsidR="00A16A93" w:rsidRPr="00851E7D" w:rsidRDefault="00A16A93" w:rsidP="00B50F67">
            <w:pPr>
              <w:pStyle w:val="TableText"/>
              <w:tabs>
                <w:tab w:val="decimal" w:pos="1502"/>
              </w:tabs>
            </w:pPr>
            <w:r w:rsidRPr="00851E7D">
              <w:t>110,000</w:t>
            </w:r>
            <w:r w:rsidR="00B50F67">
              <w:t xml:space="preserve"> </w:t>
            </w:r>
            <w:r w:rsidRPr="00851E7D">
              <w:t>(102,000–118,000)</w:t>
            </w:r>
          </w:p>
        </w:tc>
      </w:tr>
      <w:tr w:rsidR="00A16A93" w:rsidRPr="00A16A93" w:rsidTr="00834CCB">
        <w:trPr>
          <w:cantSplit/>
        </w:trPr>
        <w:tc>
          <w:tcPr>
            <w:tcW w:w="2694"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pPr>
            <w:r w:rsidRPr="00851E7D">
              <w:t>Quintile 2</w:t>
            </w:r>
          </w:p>
        </w:tc>
        <w:tc>
          <w:tcPr>
            <w:tcW w:w="945"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jc w:val="center"/>
            </w:pPr>
            <w:r w:rsidRPr="00851E7D">
              <w:t>66.7%</w:t>
            </w:r>
          </w:p>
        </w:tc>
        <w:tc>
          <w:tcPr>
            <w:tcW w:w="945"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jc w:val="center"/>
            </w:pPr>
            <w:r w:rsidRPr="00851E7D">
              <w:t>66.6%</w:t>
            </w:r>
          </w:p>
        </w:tc>
        <w:tc>
          <w:tcPr>
            <w:tcW w:w="945"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jc w:val="center"/>
            </w:pPr>
            <w:r w:rsidRPr="00851E7D">
              <w:t>66.8%</w:t>
            </w:r>
          </w:p>
        </w:tc>
        <w:tc>
          <w:tcPr>
            <w:tcW w:w="3827" w:type="dxa"/>
            <w:tcBorders>
              <w:top w:val="single" w:sz="4" w:space="0" w:color="A6A6A6" w:themeColor="background1" w:themeShade="A6"/>
              <w:bottom w:val="single" w:sz="4" w:space="0" w:color="A6A6A6" w:themeColor="background1" w:themeShade="A6"/>
            </w:tcBorders>
          </w:tcPr>
          <w:p w:rsidR="00A16A93" w:rsidRPr="00851E7D" w:rsidRDefault="00A16A93" w:rsidP="00B50F67">
            <w:pPr>
              <w:pStyle w:val="TableText"/>
              <w:tabs>
                <w:tab w:val="decimal" w:pos="1502"/>
              </w:tabs>
            </w:pPr>
            <w:r w:rsidRPr="00851E7D">
              <w:t>102,000</w:t>
            </w:r>
            <w:r w:rsidR="00B50F67">
              <w:t xml:space="preserve"> </w:t>
            </w:r>
            <w:r w:rsidRPr="00851E7D">
              <w:t>(93,000–111,000)</w:t>
            </w:r>
          </w:p>
        </w:tc>
      </w:tr>
      <w:tr w:rsidR="00A16A93" w:rsidRPr="00A16A93" w:rsidTr="00834CCB">
        <w:trPr>
          <w:cantSplit/>
        </w:trPr>
        <w:tc>
          <w:tcPr>
            <w:tcW w:w="2694"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pPr>
            <w:r w:rsidRPr="00851E7D">
              <w:t>Quintile 3</w:t>
            </w:r>
          </w:p>
        </w:tc>
        <w:tc>
          <w:tcPr>
            <w:tcW w:w="945"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jc w:val="center"/>
            </w:pPr>
            <w:r w:rsidRPr="00851E7D">
              <w:t>67.5%</w:t>
            </w:r>
          </w:p>
        </w:tc>
        <w:tc>
          <w:tcPr>
            <w:tcW w:w="945"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jc w:val="center"/>
            </w:pPr>
            <w:r w:rsidRPr="00851E7D">
              <w:t>66.7%</w:t>
            </w:r>
          </w:p>
        </w:tc>
        <w:tc>
          <w:tcPr>
            <w:tcW w:w="945"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jc w:val="center"/>
            </w:pPr>
            <w:r w:rsidRPr="00851E7D">
              <w:t>68.3%</w:t>
            </w:r>
          </w:p>
        </w:tc>
        <w:tc>
          <w:tcPr>
            <w:tcW w:w="3827" w:type="dxa"/>
            <w:tcBorders>
              <w:top w:val="single" w:sz="4" w:space="0" w:color="A6A6A6" w:themeColor="background1" w:themeShade="A6"/>
              <w:bottom w:val="single" w:sz="4" w:space="0" w:color="A6A6A6" w:themeColor="background1" w:themeShade="A6"/>
            </w:tcBorders>
          </w:tcPr>
          <w:p w:rsidR="00A16A93" w:rsidRPr="00851E7D" w:rsidRDefault="00A16A93" w:rsidP="00B50F67">
            <w:pPr>
              <w:pStyle w:val="TableText"/>
              <w:tabs>
                <w:tab w:val="decimal" w:pos="1502"/>
              </w:tabs>
            </w:pPr>
            <w:r w:rsidRPr="00851E7D">
              <w:t>96,000</w:t>
            </w:r>
            <w:r w:rsidR="00B50F67">
              <w:t xml:space="preserve"> </w:t>
            </w:r>
            <w:r w:rsidRPr="00851E7D">
              <w:t>(90,000–102,000)</w:t>
            </w:r>
          </w:p>
        </w:tc>
      </w:tr>
      <w:tr w:rsidR="00A16A93" w:rsidRPr="00A16A93" w:rsidTr="00834CCB">
        <w:trPr>
          <w:cantSplit/>
        </w:trPr>
        <w:tc>
          <w:tcPr>
            <w:tcW w:w="2694"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pPr>
            <w:r w:rsidRPr="00851E7D">
              <w:t>Quintile 4</w:t>
            </w:r>
          </w:p>
        </w:tc>
        <w:tc>
          <w:tcPr>
            <w:tcW w:w="945"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jc w:val="center"/>
            </w:pPr>
            <w:r w:rsidRPr="00851E7D">
              <w:t>73.2%</w:t>
            </w:r>
          </w:p>
        </w:tc>
        <w:tc>
          <w:tcPr>
            <w:tcW w:w="945"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jc w:val="center"/>
            </w:pPr>
            <w:r w:rsidRPr="00851E7D">
              <w:t>74.2%</w:t>
            </w:r>
          </w:p>
        </w:tc>
        <w:tc>
          <w:tcPr>
            <w:tcW w:w="945" w:type="dxa"/>
            <w:tcBorders>
              <w:top w:val="single" w:sz="4" w:space="0" w:color="A6A6A6" w:themeColor="background1" w:themeShade="A6"/>
              <w:bottom w:val="single" w:sz="4" w:space="0" w:color="A6A6A6" w:themeColor="background1" w:themeShade="A6"/>
            </w:tcBorders>
          </w:tcPr>
          <w:p w:rsidR="00A16A93" w:rsidRPr="00851E7D" w:rsidRDefault="00A16A93" w:rsidP="00851E7D">
            <w:pPr>
              <w:pStyle w:val="TableText"/>
              <w:jc w:val="center"/>
            </w:pPr>
            <w:r w:rsidRPr="00851E7D">
              <w:t>72.2%</w:t>
            </w:r>
          </w:p>
        </w:tc>
        <w:tc>
          <w:tcPr>
            <w:tcW w:w="3827" w:type="dxa"/>
            <w:tcBorders>
              <w:top w:val="single" w:sz="4" w:space="0" w:color="A6A6A6" w:themeColor="background1" w:themeShade="A6"/>
              <w:bottom w:val="single" w:sz="4" w:space="0" w:color="A6A6A6" w:themeColor="background1" w:themeShade="A6"/>
            </w:tcBorders>
          </w:tcPr>
          <w:p w:rsidR="00A16A93" w:rsidRPr="00851E7D" w:rsidRDefault="00A16A93" w:rsidP="00B50F67">
            <w:pPr>
              <w:pStyle w:val="TableText"/>
              <w:tabs>
                <w:tab w:val="decimal" w:pos="1502"/>
              </w:tabs>
            </w:pPr>
            <w:r w:rsidRPr="00851E7D">
              <w:t>109,000</w:t>
            </w:r>
            <w:r w:rsidR="00B50F67">
              <w:t xml:space="preserve"> </w:t>
            </w:r>
            <w:r w:rsidRPr="00851E7D">
              <w:t>(101,000–115,000)</w:t>
            </w:r>
          </w:p>
        </w:tc>
      </w:tr>
      <w:tr w:rsidR="00A16A93" w:rsidRPr="00A16A93" w:rsidTr="00834CCB">
        <w:trPr>
          <w:cantSplit/>
        </w:trPr>
        <w:tc>
          <w:tcPr>
            <w:tcW w:w="2694" w:type="dxa"/>
            <w:tcBorders>
              <w:top w:val="single" w:sz="4" w:space="0" w:color="A6A6A6" w:themeColor="background1" w:themeShade="A6"/>
              <w:bottom w:val="single" w:sz="4" w:space="0" w:color="auto"/>
            </w:tcBorders>
          </w:tcPr>
          <w:p w:rsidR="00A16A93" w:rsidRPr="00851E7D" w:rsidRDefault="00A16A93" w:rsidP="00851E7D">
            <w:pPr>
              <w:pStyle w:val="TableText"/>
            </w:pPr>
            <w:r w:rsidRPr="00851E7D">
              <w:t>Quintile 5 (most deprived)</w:t>
            </w:r>
          </w:p>
        </w:tc>
        <w:tc>
          <w:tcPr>
            <w:tcW w:w="945" w:type="dxa"/>
            <w:tcBorders>
              <w:top w:val="single" w:sz="4" w:space="0" w:color="A6A6A6" w:themeColor="background1" w:themeShade="A6"/>
              <w:bottom w:val="single" w:sz="4" w:space="0" w:color="auto"/>
            </w:tcBorders>
          </w:tcPr>
          <w:p w:rsidR="00A16A93" w:rsidRPr="00851E7D" w:rsidRDefault="00A16A93" w:rsidP="00851E7D">
            <w:pPr>
              <w:pStyle w:val="TableText"/>
              <w:jc w:val="center"/>
            </w:pPr>
            <w:r w:rsidRPr="00851E7D">
              <w:t>73.4%</w:t>
            </w:r>
          </w:p>
        </w:tc>
        <w:tc>
          <w:tcPr>
            <w:tcW w:w="945" w:type="dxa"/>
            <w:tcBorders>
              <w:top w:val="single" w:sz="4" w:space="0" w:color="A6A6A6" w:themeColor="background1" w:themeShade="A6"/>
              <w:bottom w:val="single" w:sz="4" w:space="0" w:color="auto"/>
            </w:tcBorders>
          </w:tcPr>
          <w:p w:rsidR="00A16A93" w:rsidRPr="00851E7D" w:rsidRDefault="00A16A93" w:rsidP="00851E7D">
            <w:pPr>
              <w:pStyle w:val="TableText"/>
              <w:jc w:val="center"/>
            </w:pPr>
            <w:r w:rsidRPr="00851E7D">
              <w:t>73.1%</w:t>
            </w:r>
          </w:p>
        </w:tc>
        <w:tc>
          <w:tcPr>
            <w:tcW w:w="945" w:type="dxa"/>
            <w:tcBorders>
              <w:top w:val="single" w:sz="4" w:space="0" w:color="A6A6A6" w:themeColor="background1" w:themeShade="A6"/>
              <w:bottom w:val="single" w:sz="4" w:space="0" w:color="auto"/>
            </w:tcBorders>
          </w:tcPr>
          <w:p w:rsidR="00A16A93" w:rsidRPr="00851E7D" w:rsidRDefault="00A16A93" w:rsidP="00851E7D">
            <w:pPr>
              <w:pStyle w:val="TableText"/>
              <w:jc w:val="center"/>
            </w:pPr>
            <w:r w:rsidRPr="00851E7D">
              <w:t>73.8%</w:t>
            </w:r>
          </w:p>
        </w:tc>
        <w:tc>
          <w:tcPr>
            <w:tcW w:w="3827" w:type="dxa"/>
            <w:tcBorders>
              <w:top w:val="single" w:sz="4" w:space="0" w:color="A6A6A6" w:themeColor="background1" w:themeShade="A6"/>
              <w:bottom w:val="single" w:sz="4" w:space="0" w:color="auto"/>
            </w:tcBorders>
          </w:tcPr>
          <w:p w:rsidR="00A16A93" w:rsidRPr="00851E7D" w:rsidRDefault="00A16A93" w:rsidP="00B50F67">
            <w:pPr>
              <w:pStyle w:val="TableText"/>
              <w:tabs>
                <w:tab w:val="decimal" w:pos="1502"/>
              </w:tabs>
            </w:pPr>
            <w:r w:rsidRPr="00851E7D">
              <w:t>133,000</w:t>
            </w:r>
            <w:r w:rsidR="00B50F67">
              <w:t xml:space="preserve"> </w:t>
            </w:r>
            <w:r w:rsidRPr="00851E7D">
              <w:t>(126,000–140,000)</w:t>
            </w:r>
          </w:p>
        </w:tc>
      </w:tr>
    </w:tbl>
    <w:p w:rsidR="00A16A93" w:rsidRPr="00A16A93" w:rsidRDefault="00A16A93" w:rsidP="00851E7D">
      <w:pPr>
        <w:pStyle w:val="Source"/>
        <w:rPr>
          <w:rFonts w:cs="Arial"/>
        </w:rPr>
      </w:pPr>
      <w:r w:rsidRPr="00A16A93">
        <w:rPr>
          <w:rFonts w:cs="Arial"/>
        </w:rPr>
        <w:t xml:space="preserve">Source: </w:t>
      </w:r>
      <w:hyperlink r:id="rId44" w:history="1">
        <w:r w:rsidRPr="00A16A93">
          <w:rPr>
            <w:rStyle w:val="Hyperlink"/>
            <w:rFonts w:cs="Arial"/>
          </w:rPr>
          <w:t>Ministry of Health 2016d</w:t>
        </w:r>
      </w:hyperlink>
    </w:p>
    <w:p w:rsidR="00A16A93" w:rsidRPr="00A16A93" w:rsidRDefault="00A16A93" w:rsidP="00851E7D">
      <w:pPr>
        <w:pStyle w:val="Note"/>
      </w:pPr>
      <w:r w:rsidRPr="00A16A93">
        <w:t>Note:</w:t>
      </w:r>
      <w:r w:rsidR="00851E7D">
        <w:t xml:space="preserve"> </w:t>
      </w:r>
      <w:r w:rsidRPr="00A16A93">
        <w:t xml:space="preserve">The estimated number of children in each group who ate fast food at least once in the last week has been rounded to the nearest 1,000. For more information on how these numbers are calculated, please see section 7 of </w:t>
      </w:r>
      <w:hyperlink r:id="rId45" w:history="1">
        <w:r w:rsidRPr="00851E7D">
          <w:rPr>
            <w:rStyle w:val="Hyperlink"/>
          </w:rPr>
          <w:t>Ministry of Health 2016b</w:t>
        </w:r>
      </w:hyperlink>
      <w:r w:rsidRPr="00A16A93">
        <w:t>.</w:t>
      </w:r>
    </w:p>
    <w:p w:rsidR="00A16A93" w:rsidRPr="00A16A93" w:rsidRDefault="00A16A93" w:rsidP="00B50F67"/>
    <w:p w:rsidR="00A16A93" w:rsidRPr="00A16A93" w:rsidRDefault="00A16A93" w:rsidP="00B50F67">
      <w:pPr>
        <w:pStyle w:val="Figure"/>
      </w:pPr>
      <w:bookmarkStart w:id="56" w:name="_Toc480534274"/>
      <w:r w:rsidRPr="00A16A93">
        <w:lastRenderedPageBreak/>
        <w:t>Figure 4: Percentage of children (aged 2–14 years) who ate fast food at least once in the past week, 2011/12–2015/16</w:t>
      </w:r>
      <w:bookmarkEnd w:id="56"/>
    </w:p>
    <w:bookmarkEnd w:id="27"/>
    <w:p w:rsidR="00A16A93" w:rsidRPr="00A16A93" w:rsidRDefault="00A16A93" w:rsidP="00A16A93">
      <w:pPr>
        <w:rPr>
          <w:rFonts w:ascii="Arial" w:hAnsi="Arial" w:cs="Arial"/>
        </w:rPr>
      </w:pPr>
      <w:r w:rsidRPr="00A16A93">
        <w:rPr>
          <w:rFonts w:ascii="Arial" w:hAnsi="Arial" w:cs="Arial"/>
          <w:noProof/>
          <w:lang w:eastAsia="en-NZ"/>
        </w:rPr>
        <w:drawing>
          <wp:inline distT="0" distB="0" distL="0" distR="0" wp14:anchorId="11330D3F" wp14:editId="6E8FDA10">
            <wp:extent cx="4688378" cy="2734887"/>
            <wp:effectExtent l="0" t="0" r="0" b="8890"/>
            <wp:docPr id="5" name="Chart 5" title="Figure 4: Percentage of children (aged 2–14 years) who ate fast food at least once in the past week, 2011/12–201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16A93" w:rsidRPr="00B50F67" w:rsidRDefault="00A16A93" w:rsidP="00B50F67">
      <w:pPr>
        <w:pStyle w:val="Source"/>
      </w:pPr>
      <w:r w:rsidRPr="00A16A93">
        <w:rPr>
          <w:rFonts w:cs="Arial"/>
        </w:rPr>
        <w:t xml:space="preserve">Source: </w:t>
      </w:r>
      <w:hyperlink r:id="rId47" w:history="1">
        <w:r w:rsidRPr="00A16A93">
          <w:rPr>
            <w:rStyle w:val="Hyperlink"/>
            <w:rFonts w:cs="Arial"/>
          </w:rPr>
          <w:t>Ministry of Health 2016d</w:t>
        </w:r>
      </w:hyperlink>
    </w:p>
    <w:p w:rsidR="00B50F67" w:rsidRPr="00B50F67" w:rsidRDefault="00B50F67" w:rsidP="00B50F67"/>
    <w:p w:rsidR="00A16A93" w:rsidRPr="00A16A93" w:rsidRDefault="00A16A93" w:rsidP="00B50F67">
      <w:pPr>
        <w:pStyle w:val="Heading2"/>
      </w:pPr>
      <w:bookmarkStart w:id="57" w:name="_Toc480457767"/>
      <w:bookmarkStart w:id="58" w:name="_Toc480534239"/>
      <w:r w:rsidRPr="00A16A93">
        <w:lastRenderedPageBreak/>
        <w:t>Indicator 6: Consumption of sugary drinks</w:t>
      </w:r>
      <w:bookmarkEnd w:id="57"/>
      <w:bookmarkEnd w:id="58"/>
    </w:p>
    <w:p w:rsidR="00A16A93" w:rsidRPr="00A16A93" w:rsidRDefault="00A16A93" w:rsidP="00B50F67">
      <w:pPr>
        <w:pStyle w:val="Heading3"/>
      </w:pPr>
      <w:bookmarkStart w:id="59" w:name="_Toc480457768"/>
      <w:r w:rsidRPr="00A16A93">
        <w:t>Description</w:t>
      </w:r>
      <w:bookmarkEnd w:id="59"/>
    </w:p>
    <w:p w:rsidR="00A16A93" w:rsidRPr="00A16A93" w:rsidRDefault="00A16A93" w:rsidP="003E71FA">
      <w:pPr>
        <w:keepNext/>
      </w:pPr>
      <w:r w:rsidRPr="00A16A93">
        <w:t>There is a strong association between fizzy drinks and increased risk of obesity (Taylor et al 2005; Vartanian et al 2007; World Cancer Research Fund and American Institute for Cancer Research 2007). Fizzy drinks are high in sugar and have very little nutritional value, and studies suggest that they displace more nutritional fluids, such as milk, in the diets of children (Harnack et</w:t>
      </w:r>
      <w:r w:rsidR="00B50F67">
        <w:t> </w:t>
      </w:r>
      <w:r w:rsidRPr="00A16A93">
        <w:t>al 1999; Mrdjenovic and Levitsky 2003).</w:t>
      </w:r>
    </w:p>
    <w:p w:rsidR="00A16A93" w:rsidRPr="00A16A93" w:rsidRDefault="00A16A93" w:rsidP="003E71FA">
      <w:pPr>
        <w:keepNext/>
      </w:pPr>
    </w:p>
    <w:p w:rsidR="00A16A93" w:rsidRPr="00A16A93" w:rsidRDefault="00A16A93" w:rsidP="003E71FA">
      <w:pPr>
        <w:keepNext/>
      </w:pPr>
      <w:r w:rsidRPr="00A16A93">
        <w:t>The Ministry of Health recommends that children and young people choose drinks that are low in added sugar, and that they make plain water their first choice wherever possible (Ministry of Health 2016a). It also recommends that parents and caregivers not buy sugar-sweetened drinks for their children, and offer them mostly water, along with two or three glasses of milk per day (Ministry of Health 2016a).</w:t>
      </w:r>
    </w:p>
    <w:p w:rsidR="00A16A93" w:rsidRPr="00A16A93" w:rsidRDefault="00A16A93" w:rsidP="003E71FA">
      <w:pPr>
        <w:keepNext/>
      </w:pPr>
    </w:p>
    <w:p w:rsidR="00A16A93" w:rsidRPr="00A16A93" w:rsidRDefault="00A16A93" w:rsidP="003E71FA">
      <w:pPr>
        <w:keepNext/>
      </w:pPr>
      <w:r w:rsidRPr="00A16A93">
        <w:t>This indicator measures the percentage of children (aged 2–14 years) who drank fizzy drink three or more times in the past week. We have constructed the indicator to identify regular/high consumers of fizzy drinks. If we looked at children who drank one or more fizzy drinks in the past week, it is likely that we would include some occasional consumers, therefore distorting our results.</w:t>
      </w:r>
    </w:p>
    <w:p w:rsidR="00A16A93" w:rsidRPr="00A16A93" w:rsidRDefault="00A16A93" w:rsidP="003E71FA">
      <w:pPr>
        <w:keepNext/>
      </w:pPr>
    </w:p>
    <w:p w:rsidR="00A16A93" w:rsidRPr="00A16A93" w:rsidRDefault="00A16A93" w:rsidP="003E71FA">
      <w:pPr>
        <w:keepNext/>
      </w:pPr>
      <w:r w:rsidRPr="00A16A93">
        <w:t>For the purposes of this indicator, ‘fizzy drink’ incudes fizzy drinks like cola and lemonade, artificially sweetened fizzy drinks like diet cola and energy drinks such as Powerade or V. It does not include powdered drinks made up with water, such as cordial or Raro, or fruit juice such as Just Juice.</w:t>
      </w:r>
    </w:p>
    <w:p w:rsidR="00A16A93" w:rsidRPr="00A16A93" w:rsidRDefault="00A16A93" w:rsidP="003E71FA">
      <w:pPr>
        <w:keepNext/>
      </w:pPr>
    </w:p>
    <w:p w:rsidR="00A16A93" w:rsidRPr="00A16A93" w:rsidRDefault="00A16A93" w:rsidP="00B50F67">
      <w:pPr>
        <w:pStyle w:val="Heading3"/>
      </w:pPr>
      <w:bookmarkStart w:id="60" w:name="_Toc480457769"/>
      <w:r w:rsidRPr="00A16A93">
        <w:t>Baseline performance</w:t>
      </w:r>
      <w:bookmarkEnd w:id="60"/>
    </w:p>
    <w:p w:rsidR="00A16A93" w:rsidRPr="00A16A93" w:rsidRDefault="00A16A93" w:rsidP="006307E0">
      <w:pPr>
        <w:keepNext/>
      </w:pPr>
      <w:r w:rsidRPr="00A16A93">
        <w:t>The Ministry of Health has collected the data for this indicator annually since 2011/12 through the New Zealand Health Survey. The baseline performance set out here comes from the 2015/16 survey. The data is broken down by sex, age group, ethnic group and neighbourhood deprivation quintile.</w:t>
      </w:r>
    </w:p>
    <w:p w:rsidR="00A16A93" w:rsidRPr="00A16A93" w:rsidRDefault="00A16A93" w:rsidP="00B50F67"/>
    <w:p w:rsidR="00A16A93" w:rsidRPr="00A16A93" w:rsidRDefault="00A16A93" w:rsidP="00B50F67">
      <w:pPr>
        <w:pStyle w:val="Table"/>
      </w:pPr>
      <w:bookmarkStart w:id="61" w:name="_Toc480534258"/>
      <w:r w:rsidRPr="00A16A93">
        <w:lastRenderedPageBreak/>
        <w:t>Table 6: Percentage of children (aged 2–14 years) who had fizzy drink three or more times in the past week, by group, 2015/16</w:t>
      </w:r>
      <w:bookmarkEnd w:id="61"/>
    </w:p>
    <w:tbl>
      <w:tblPr>
        <w:tblW w:w="0" w:type="auto"/>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2694"/>
        <w:gridCol w:w="1039"/>
        <w:gridCol w:w="1039"/>
        <w:gridCol w:w="1040"/>
        <w:gridCol w:w="3544"/>
      </w:tblGrid>
      <w:tr w:rsidR="00A16A93" w:rsidRPr="00B50F67" w:rsidTr="00B50F67">
        <w:trPr>
          <w:cantSplit/>
          <w:tblHeader/>
        </w:trPr>
        <w:tc>
          <w:tcPr>
            <w:tcW w:w="2694" w:type="dxa"/>
            <w:tcBorders>
              <w:top w:val="single" w:sz="4" w:space="0" w:color="auto"/>
              <w:bottom w:val="single" w:sz="4" w:space="0" w:color="auto"/>
            </w:tcBorders>
          </w:tcPr>
          <w:p w:rsidR="00A16A93" w:rsidRPr="00B50F67" w:rsidRDefault="00A16A93" w:rsidP="003E71FA">
            <w:pPr>
              <w:pStyle w:val="TableText"/>
              <w:keepNext/>
              <w:rPr>
                <w:b/>
              </w:rPr>
            </w:pPr>
          </w:p>
        </w:tc>
        <w:tc>
          <w:tcPr>
            <w:tcW w:w="1039" w:type="dxa"/>
            <w:tcBorders>
              <w:top w:val="single" w:sz="4" w:space="0" w:color="auto"/>
              <w:bottom w:val="single" w:sz="4" w:space="0" w:color="auto"/>
            </w:tcBorders>
          </w:tcPr>
          <w:p w:rsidR="00A16A93" w:rsidRPr="00B50F67" w:rsidRDefault="00A16A93" w:rsidP="003E71FA">
            <w:pPr>
              <w:pStyle w:val="TableText"/>
              <w:keepNext/>
              <w:jc w:val="center"/>
              <w:rPr>
                <w:b/>
              </w:rPr>
            </w:pPr>
            <w:r w:rsidRPr="00B50F67">
              <w:rPr>
                <w:b/>
              </w:rPr>
              <w:t>Total</w:t>
            </w:r>
          </w:p>
        </w:tc>
        <w:tc>
          <w:tcPr>
            <w:tcW w:w="1039" w:type="dxa"/>
            <w:tcBorders>
              <w:top w:val="single" w:sz="4" w:space="0" w:color="auto"/>
              <w:bottom w:val="single" w:sz="4" w:space="0" w:color="auto"/>
            </w:tcBorders>
          </w:tcPr>
          <w:p w:rsidR="00A16A93" w:rsidRPr="00B50F67" w:rsidRDefault="00A16A93" w:rsidP="003E71FA">
            <w:pPr>
              <w:pStyle w:val="TableText"/>
              <w:keepNext/>
              <w:jc w:val="center"/>
              <w:rPr>
                <w:b/>
              </w:rPr>
            </w:pPr>
            <w:r w:rsidRPr="00B50F67">
              <w:rPr>
                <w:b/>
              </w:rPr>
              <w:t>Boys</w:t>
            </w:r>
          </w:p>
        </w:tc>
        <w:tc>
          <w:tcPr>
            <w:tcW w:w="1040" w:type="dxa"/>
            <w:tcBorders>
              <w:top w:val="single" w:sz="4" w:space="0" w:color="auto"/>
              <w:bottom w:val="single" w:sz="4" w:space="0" w:color="auto"/>
            </w:tcBorders>
          </w:tcPr>
          <w:p w:rsidR="00A16A93" w:rsidRPr="00B50F67" w:rsidRDefault="00A16A93" w:rsidP="003E71FA">
            <w:pPr>
              <w:pStyle w:val="TableText"/>
              <w:keepNext/>
              <w:jc w:val="center"/>
              <w:rPr>
                <w:b/>
              </w:rPr>
            </w:pPr>
            <w:r w:rsidRPr="00B50F67">
              <w:rPr>
                <w:b/>
              </w:rPr>
              <w:t>Girls</w:t>
            </w:r>
          </w:p>
        </w:tc>
        <w:tc>
          <w:tcPr>
            <w:tcW w:w="3544" w:type="dxa"/>
            <w:tcBorders>
              <w:top w:val="single" w:sz="4" w:space="0" w:color="auto"/>
              <w:bottom w:val="single" w:sz="4" w:space="0" w:color="auto"/>
            </w:tcBorders>
          </w:tcPr>
          <w:p w:rsidR="00A16A93" w:rsidRPr="00B50F67" w:rsidRDefault="00A16A93" w:rsidP="003E71FA">
            <w:pPr>
              <w:pStyle w:val="TableText"/>
              <w:keepNext/>
              <w:jc w:val="center"/>
              <w:rPr>
                <w:b/>
                <w:bCs/>
              </w:rPr>
            </w:pPr>
            <w:r w:rsidRPr="00B50F67">
              <w:rPr>
                <w:b/>
              </w:rPr>
              <w:t>Estimated number of children (95% CI)</w:t>
            </w:r>
          </w:p>
        </w:tc>
      </w:tr>
      <w:tr w:rsidR="00B50F67" w:rsidRPr="00A16A93" w:rsidTr="00B50F67">
        <w:trPr>
          <w:cantSplit/>
        </w:trPr>
        <w:tc>
          <w:tcPr>
            <w:tcW w:w="2694" w:type="dxa"/>
            <w:tcBorders>
              <w:top w:val="single" w:sz="4" w:space="0" w:color="auto"/>
            </w:tcBorders>
          </w:tcPr>
          <w:p w:rsidR="00B50F67" w:rsidRPr="00B50F67" w:rsidRDefault="00B50F67" w:rsidP="003E71FA">
            <w:pPr>
              <w:pStyle w:val="TableText"/>
              <w:keepNext/>
              <w:rPr>
                <w:b/>
              </w:rPr>
            </w:pPr>
            <w:r w:rsidRPr="00B50F67">
              <w:rPr>
                <w:b/>
              </w:rPr>
              <w:t>Population group</w:t>
            </w:r>
          </w:p>
        </w:tc>
        <w:tc>
          <w:tcPr>
            <w:tcW w:w="1039" w:type="dxa"/>
            <w:tcBorders>
              <w:top w:val="single" w:sz="4" w:space="0" w:color="auto"/>
            </w:tcBorders>
          </w:tcPr>
          <w:p w:rsidR="00B50F67" w:rsidRPr="00B50F67" w:rsidRDefault="00B50F67" w:rsidP="003E71FA">
            <w:pPr>
              <w:pStyle w:val="TableText"/>
              <w:keepNext/>
              <w:tabs>
                <w:tab w:val="decimal" w:pos="456"/>
              </w:tabs>
            </w:pPr>
          </w:p>
        </w:tc>
        <w:tc>
          <w:tcPr>
            <w:tcW w:w="1039" w:type="dxa"/>
            <w:tcBorders>
              <w:top w:val="single" w:sz="4" w:space="0" w:color="auto"/>
            </w:tcBorders>
          </w:tcPr>
          <w:p w:rsidR="00B50F67" w:rsidRPr="00B50F67" w:rsidRDefault="00B50F67" w:rsidP="003E71FA">
            <w:pPr>
              <w:pStyle w:val="TableText"/>
              <w:keepNext/>
              <w:jc w:val="center"/>
            </w:pPr>
          </w:p>
        </w:tc>
        <w:tc>
          <w:tcPr>
            <w:tcW w:w="1040" w:type="dxa"/>
            <w:tcBorders>
              <w:top w:val="single" w:sz="4" w:space="0" w:color="auto"/>
            </w:tcBorders>
          </w:tcPr>
          <w:p w:rsidR="00B50F67" w:rsidRPr="00B50F67" w:rsidRDefault="00B50F67" w:rsidP="003E71FA">
            <w:pPr>
              <w:pStyle w:val="TableText"/>
              <w:keepNext/>
              <w:tabs>
                <w:tab w:val="decimal" w:pos="486"/>
              </w:tabs>
            </w:pPr>
          </w:p>
        </w:tc>
        <w:tc>
          <w:tcPr>
            <w:tcW w:w="3544" w:type="dxa"/>
            <w:tcBorders>
              <w:top w:val="single" w:sz="4" w:space="0" w:color="auto"/>
            </w:tcBorders>
          </w:tcPr>
          <w:p w:rsidR="00B50F67" w:rsidRPr="00B50F67" w:rsidRDefault="00B50F67" w:rsidP="003E71FA">
            <w:pPr>
              <w:pStyle w:val="TableText"/>
              <w:keepNext/>
              <w:jc w:val="center"/>
            </w:pPr>
          </w:p>
        </w:tc>
      </w:tr>
      <w:tr w:rsidR="00A16A93" w:rsidRPr="00A16A93" w:rsidTr="00B50F67">
        <w:trPr>
          <w:cantSplit/>
        </w:trPr>
        <w:tc>
          <w:tcPr>
            <w:tcW w:w="2694" w:type="dxa"/>
            <w:tcBorders>
              <w:bottom w:val="single" w:sz="4" w:space="0" w:color="auto"/>
            </w:tcBorders>
          </w:tcPr>
          <w:p w:rsidR="00A16A93" w:rsidRPr="00B50F67" w:rsidRDefault="00A16A93" w:rsidP="003E71FA">
            <w:pPr>
              <w:pStyle w:val="TableText"/>
              <w:keepNext/>
            </w:pPr>
            <w:r w:rsidRPr="00B50F67">
              <w:t>Total</w:t>
            </w:r>
          </w:p>
        </w:tc>
        <w:tc>
          <w:tcPr>
            <w:tcW w:w="1039" w:type="dxa"/>
            <w:tcBorders>
              <w:bottom w:val="single" w:sz="4" w:space="0" w:color="auto"/>
            </w:tcBorders>
          </w:tcPr>
          <w:p w:rsidR="00A16A93" w:rsidRPr="00B50F67" w:rsidRDefault="00A16A93" w:rsidP="003E71FA">
            <w:pPr>
              <w:pStyle w:val="TableText"/>
              <w:keepNext/>
              <w:tabs>
                <w:tab w:val="decimal" w:pos="456"/>
              </w:tabs>
            </w:pPr>
            <w:r w:rsidRPr="00B50F67">
              <w:t>17.5%</w:t>
            </w:r>
          </w:p>
        </w:tc>
        <w:tc>
          <w:tcPr>
            <w:tcW w:w="1039" w:type="dxa"/>
            <w:tcBorders>
              <w:bottom w:val="single" w:sz="4" w:space="0" w:color="auto"/>
            </w:tcBorders>
          </w:tcPr>
          <w:p w:rsidR="00A16A93" w:rsidRPr="00B50F67" w:rsidRDefault="00A16A93" w:rsidP="003E71FA">
            <w:pPr>
              <w:pStyle w:val="TableText"/>
              <w:keepNext/>
              <w:jc w:val="center"/>
            </w:pPr>
            <w:r w:rsidRPr="00B50F67">
              <w:t>19.4%</w:t>
            </w:r>
          </w:p>
        </w:tc>
        <w:tc>
          <w:tcPr>
            <w:tcW w:w="1040" w:type="dxa"/>
            <w:tcBorders>
              <w:bottom w:val="single" w:sz="4" w:space="0" w:color="auto"/>
            </w:tcBorders>
          </w:tcPr>
          <w:p w:rsidR="00A16A93" w:rsidRPr="00B50F67" w:rsidRDefault="00A16A93" w:rsidP="003E71FA">
            <w:pPr>
              <w:pStyle w:val="TableText"/>
              <w:keepNext/>
              <w:tabs>
                <w:tab w:val="decimal" w:pos="486"/>
              </w:tabs>
            </w:pPr>
            <w:r w:rsidRPr="00B50F67">
              <w:t>15.4%</w:t>
            </w:r>
          </w:p>
        </w:tc>
        <w:tc>
          <w:tcPr>
            <w:tcW w:w="3544" w:type="dxa"/>
            <w:tcBorders>
              <w:bottom w:val="single" w:sz="4" w:space="0" w:color="auto"/>
            </w:tcBorders>
          </w:tcPr>
          <w:p w:rsidR="00A16A93" w:rsidRPr="00B50F67" w:rsidRDefault="00A16A93" w:rsidP="003E71FA">
            <w:pPr>
              <w:pStyle w:val="TableText"/>
              <w:keepNext/>
              <w:tabs>
                <w:tab w:val="decimal" w:pos="1219"/>
              </w:tabs>
            </w:pPr>
            <w:r w:rsidRPr="00B50F67">
              <w:t>138,000</w:t>
            </w:r>
            <w:r w:rsidR="00B50F67">
              <w:t xml:space="preserve"> </w:t>
            </w:r>
            <w:r w:rsidRPr="00B50F67">
              <w:t>(126,000–152,000)</w:t>
            </w:r>
          </w:p>
        </w:tc>
      </w:tr>
      <w:tr w:rsidR="00A16A93" w:rsidRPr="00A16A93" w:rsidTr="00B50F67">
        <w:trPr>
          <w:cantSplit/>
        </w:trPr>
        <w:tc>
          <w:tcPr>
            <w:tcW w:w="2694" w:type="dxa"/>
            <w:tcBorders>
              <w:top w:val="single" w:sz="4" w:space="0" w:color="auto"/>
              <w:bottom w:val="single" w:sz="4" w:space="0" w:color="A6A6A6" w:themeColor="background1" w:themeShade="A6"/>
            </w:tcBorders>
          </w:tcPr>
          <w:p w:rsidR="00A16A93" w:rsidRPr="00B50F67" w:rsidRDefault="00A16A93" w:rsidP="003E71FA">
            <w:pPr>
              <w:pStyle w:val="TableText"/>
              <w:keepNext/>
              <w:rPr>
                <w:b/>
              </w:rPr>
            </w:pPr>
            <w:r w:rsidRPr="00B50F67">
              <w:rPr>
                <w:b/>
              </w:rPr>
              <w:t>Age group (years)</w:t>
            </w:r>
          </w:p>
        </w:tc>
        <w:tc>
          <w:tcPr>
            <w:tcW w:w="1039" w:type="dxa"/>
            <w:tcBorders>
              <w:top w:val="single" w:sz="4" w:space="0" w:color="auto"/>
              <w:bottom w:val="single" w:sz="4" w:space="0" w:color="A6A6A6" w:themeColor="background1" w:themeShade="A6"/>
            </w:tcBorders>
          </w:tcPr>
          <w:p w:rsidR="00A16A93" w:rsidRPr="00B50F67" w:rsidRDefault="00A16A93" w:rsidP="003E71FA">
            <w:pPr>
              <w:pStyle w:val="TableText"/>
              <w:keepNext/>
              <w:tabs>
                <w:tab w:val="decimal" w:pos="456"/>
              </w:tabs>
            </w:pPr>
          </w:p>
        </w:tc>
        <w:tc>
          <w:tcPr>
            <w:tcW w:w="1039" w:type="dxa"/>
            <w:tcBorders>
              <w:top w:val="single" w:sz="4" w:space="0" w:color="auto"/>
              <w:bottom w:val="single" w:sz="4" w:space="0" w:color="A6A6A6" w:themeColor="background1" w:themeShade="A6"/>
            </w:tcBorders>
          </w:tcPr>
          <w:p w:rsidR="00A16A93" w:rsidRPr="00B50F67" w:rsidRDefault="00A16A93" w:rsidP="003E71FA">
            <w:pPr>
              <w:pStyle w:val="TableText"/>
              <w:keepNext/>
              <w:jc w:val="center"/>
            </w:pPr>
          </w:p>
        </w:tc>
        <w:tc>
          <w:tcPr>
            <w:tcW w:w="1040" w:type="dxa"/>
            <w:tcBorders>
              <w:top w:val="single" w:sz="4" w:space="0" w:color="auto"/>
              <w:bottom w:val="single" w:sz="4" w:space="0" w:color="A6A6A6" w:themeColor="background1" w:themeShade="A6"/>
            </w:tcBorders>
          </w:tcPr>
          <w:p w:rsidR="00A16A93" w:rsidRPr="00B50F67" w:rsidRDefault="00A16A93" w:rsidP="003E71FA">
            <w:pPr>
              <w:pStyle w:val="TableText"/>
              <w:keepNext/>
              <w:tabs>
                <w:tab w:val="decimal" w:pos="486"/>
              </w:tabs>
            </w:pPr>
          </w:p>
        </w:tc>
        <w:tc>
          <w:tcPr>
            <w:tcW w:w="3544" w:type="dxa"/>
            <w:tcBorders>
              <w:top w:val="single" w:sz="4" w:space="0" w:color="auto"/>
              <w:bottom w:val="single" w:sz="4" w:space="0" w:color="A6A6A6" w:themeColor="background1" w:themeShade="A6"/>
            </w:tcBorders>
          </w:tcPr>
          <w:p w:rsidR="00A16A93" w:rsidRPr="00B50F67" w:rsidRDefault="00A16A93" w:rsidP="003E71FA">
            <w:pPr>
              <w:pStyle w:val="TableText"/>
              <w:keepNext/>
              <w:tabs>
                <w:tab w:val="decimal" w:pos="1219"/>
              </w:tabs>
            </w:pPr>
          </w:p>
        </w:tc>
      </w:tr>
      <w:tr w:rsidR="00A16A93" w:rsidRPr="00A16A93" w:rsidTr="00B50F67">
        <w:trPr>
          <w:cantSplit/>
        </w:trPr>
        <w:tc>
          <w:tcPr>
            <w:tcW w:w="2694" w:type="dxa"/>
            <w:tcBorders>
              <w:top w:val="single" w:sz="4" w:space="0" w:color="A6A6A6" w:themeColor="background1" w:themeShade="A6"/>
            </w:tcBorders>
          </w:tcPr>
          <w:p w:rsidR="00A16A93" w:rsidRPr="00B50F67" w:rsidRDefault="00A16A93" w:rsidP="003E71FA">
            <w:pPr>
              <w:pStyle w:val="TableText"/>
              <w:keepNext/>
            </w:pPr>
            <w:r w:rsidRPr="00B50F67">
              <w:t>2–4</w:t>
            </w:r>
          </w:p>
        </w:tc>
        <w:tc>
          <w:tcPr>
            <w:tcW w:w="1039" w:type="dxa"/>
            <w:tcBorders>
              <w:top w:val="single" w:sz="4" w:space="0" w:color="A6A6A6" w:themeColor="background1" w:themeShade="A6"/>
            </w:tcBorders>
          </w:tcPr>
          <w:p w:rsidR="00A16A93" w:rsidRPr="00B50F67" w:rsidRDefault="00A16A93" w:rsidP="003E71FA">
            <w:pPr>
              <w:pStyle w:val="TableText"/>
              <w:keepNext/>
              <w:tabs>
                <w:tab w:val="decimal" w:pos="456"/>
              </w:tabs>
            </w:pPr>
            <w:r w:rsidRPr="00B50F67">
              <w:t>9.8%</w:t>
            </w:r>
          </w:p>
        </w:tc>
        <w:tc>
          <w:tcPr>
            <w:tcW w:w="1039" w:type="dxa"/>
            <w:tcBorders>
              <w:top w:val="single" w:sz="4" w:space="0" w:color="A6A6A6" w:themeColor="background1" w:themeShade="A6"/>
            </w:tcBorders>
          </w:tcPr>
          <w:p w:rsidR="00A16A93" w:rsidRPr="00B50F67" w:rsidRDefault="00A16A93" w:rsidP="003E71FA">
            <w:pPr>
              <w:pStyle w:val="TableText"/>
              <w:keepNext/>
              <w:jc w:val="center"/>
            </w:pPr>
            <w:r w:rsidRPr="00B50F67">
              <w:t>10.9%</w:t>
            </w:r>
          </w:p>
        </w:tc>
        <w:tc>
          <w:tcPr>
            <w:tcW w:w="1040" w:type="dxa"/>
            <w:tcBorders>
              <w:top w:val="single" w:sz="4" w:space="0" w:color="A6A6A6" w:themeColor="background1" w:themeShade="A6"/>
            </w:tcBorders>
          </w:tcPr>
          <w:p w:rsidR="00A16A93" w:rsidRPr="00B50F67" w:rsidRDefault="00A16A93" w:rsidP="003E71FA">
            <w:pPr>
              <w:pStyle w:val="TableText"/>
              <w:keepNext/>
              <w:tabs>
                <w:tab w:val="decimal" w:pos="486"/>
              </w:tabs>
            </w:pPr>
            <w:r w:rsidRPr="00B50F67">
              <w:t>8.7%</w:t>
            </w:r>
          </w:p>
        </w:tc>
        <w:tc>
          <w:tcPr>
            <w:tcW w:w="3544" w:type="dxa"/>
            <w:tcBorders>
              <w:top w:val="single" w:sz="4" w:space="0" w:color="A6A6A6" w:themeColor="background1" w:themeShade="A6"/>
            </w:tcBorders>
          </w:tcPr>
          <w:p w:rsidR="00A16A93" w:rsidRPr="00B50F67" w:rsidRDefault="00A16A93" w:rsidP="003E71FA">
            <w:pPr>
              <w:pStyle w:val="TableText"/>
              <w:keepNext/>
              <w:tabs>
                <w:tab w:val="decimal" w:pos="1219"/>
              </w:tabs>
            </w:pPr>
            <w:r w:rsidRPr="00B50F67">
              <w:t>18,000</w:t>
            </w:r>
            <w:r w:rsidR="00B50F67">
              <w:t xml:space="preserve"> </w:t>
            </w:r>
            <w:r w:rsidRPr="00B50F67">
              <w:t>(13,000–24,000)</w:t>
            </w:r>
          </w:p>
        </w:tc>
      </w:tr>
      <w:tr w:rsidR="00A16A93" w:rsidRPr="00A16A93" w:rsidTr="00B50F67">
        <w:trPr>
          <w:cantSplit/>
        </w:trPr>
        <w:tc>
          <w:tcPr>
            <w:tcW w:w="2694" w:type="dxa"/>
          </w:tcPr>
          <w:p w:rsidR="00A16A93" w:rsidRPr="00B50F67" w:rsidRDefault="00A16A93" w:rsidP="003E71FA">
            <w:pPr>
              <w:pStyle w:val="TableText"/>
              <w:keepNext/>
            </w:pPr>
            <w:r w:rsidRPr="00B50F67">
              <w:t>5–9</w:t>
            </w:r>
          </w:p>
        </w:tc>
        <w:tc>
          <w:tcPr>
            <w:tcW w:w="1039" w:type="dxa"/>
          </w:tcPr>
          <w:p w:rsidR="00A16A93" w:rsidRPr="00B50F67" w:rsidRDefault="00A16A93" w:rsidP="003E71FA">
            <w:pPr>
              <w:pStyle w:val="TableText"/>
              <w:keepNext/>
              <w:tabs>
                <w:tab w:val="decimal" w:pos="456"/>
              </w:tabs>
            </w:pPr>
            <w:r w:rsidRPr="00B50F67">
              <w:t>15.5%</w:t>
            </w:r>
          </w:p>
        </w:tc>
        <w:tc>
          <w:tcPr>
            <w:tcW w:w="1039" w:type="dxa"/>
          </w:tcPr>
          <w:p w:rsidR="00A16A93" w:rsidRPr="00B50F67" w:rsidRDefault="00A16A93" w:rsidP="003E71FA">
            <w:pPr>
              <w:pStyle w:val="TableText"/>
              <w:keepNext/>
              <w:jc w:val="center"/>
            </w:pPr>
            <w:r w:rsidRPr="00B50F67">
              <w:t>16.2%</w:t>
            </w:r>
          </w:p>
        </w:tc>
        <w:tc>
          <w:tcPr>
            <w:tcW w:w="1040" w:type="dxa"/>
          </w:tcPr>
          <w:p w:rsidR="00A16A93" w:rsidRPr="00B50F67" w:rsidRDefault="00A16A93" w:rsidP="003E71FA">
            <w:pPr>
              <w:pStyle w:val="TableText"/>
              <w:keepNext/>
              <w:tabs>
                <w:tab w:val="decimal" w:pos="486"/>
              </w:tabs>
            </w:pPr>
            <w:r w:rsidRPr="00B50F67">
              <w:t>14.8%</w:t>
            </w:r>
          </w:p>
        </w:tc>
        <w:tc>
          <w:tcPr>
            <w:tcW w:w="3544" w:type="dxa"/>
          </w:tcPr>
          <w:p w:rsidR="00A16A93" w:rsidRPr="00B50F67" w:rsidRDefault="00A16A93" w:rsidP="003E71FA">
            <w:pPr>
              <w:pStyle w:val="TableText"/>
              <w:keepNext/>
              <w:tabs>
                <w:tab w:val="decimal" w:pos="1219"/>
              </w:tabs>
            </w:pPr>
            <w:r w:rsidRPr="00B50F67">
              <w:t>50,000</w:t>
            </w:r>
            <w:r w:rsidR="00B50F67">
              <w:t xml:space="preserve"> </w:t>
            </w:r>
            <w:r w:rsidRPr="00B50F67">
              <w:t>(42,000–58,000)</w:t>
            </w:r>
          </w:p>
        </w:tc>
      </w:tr>
      <w:tr w:rsidR="00A16A93" w:rsidRPr="00A16A93" w:rsidTr="00B50F67">
        <w:trPr>
          <w:cantSplit/>
        </w:trPr>
        <w:tc>
          <w:tcPr>
            <w:tcW w:w="2694" w:type="dxa"/>
            <w:tcBorders>
              <w:bottom w:val="single" w:sz="4" w:space="0" w:color="auto"/>
            </w:tcBorders>
          </w:tcPr>
          <w:p w:rsidR="00A16A93" w:rsidRPr="00B50F67" w:rsidRDefault="00A16A93" w:rsidP="003E71FA">
            <w:pPr>
              <w:pStyle w:val="TableText"/>
              <w:keepNext/>
            </w:pPr>
            <w:r w:rsidRPr="00B50F67">
              <w:t>10–14</w:t>
            </w:r>
          </w:p>
        </w:tc>
        <w:tc>
          <w:tcPr>
            <w:tcW w:w="1039" w:type="dxa"/>
            <w:tcBorders>
              <w:bottom w:val="single" w:sz="4" w:space="0" w:color="auto"/>
            </w:tcBorders>
          </w:tcPr>
          <w:p w:rsidR="00A16A93" w:rsidRPr="00B50F67" w:rsidRDefault="00A16A93" w:rsidP="003E71FA">
            <w:pPr>
              <w:pStyle w:val="TableText"/>
              <w:keepNext/>
              <w:tabs>
                <w:tab w:val="decimal" w:pos="456"/>
              </w:tabs>
            </w:pPr>
            <w:r w:rsidRPr="00B50F67">
              <w:t>24.2%</w:t>
            </w:r>
          </w:p>
        </w:tc>
        <w:tc>
          <w:tcPr>
            <w:tcW w:w="1039" w:type="dxa"/>
            <w:tcBorders>
              <w:bottom w:val="single" w:sz="4" w:space="0" w:color="auto"/>
            </w:tcBorders>
          </w:tcPr>
          <w:p w:rsidR="00A16A93" w:rsidRPr="00B50F67" w:rsidRDefault="00A16A93" w:rsidP="003E71FA">
            <w:pPr>
              <w:pStyle w:val="TableText"/>
              <w:keepNext/>
              <w:jc w:val="center"/>
            </w:pPr>
            <w:r w:rsidRPr="00B50F67">
              <w:t>28.1%</w:t>
            </w:r>
          </w:p>
        </w:tc>
        <w:tc>
          <w:tcPr>
            <w:tcW w:w="1040" w:type="dxa"/>
            <w:tcBorders>
              <w:bottom w:val="single" w:sz="4" w:space="0" w:color="auto"/>
            </w:tcBorders>
          </w:tcPr>
          <w:p w:rsidR="00A16A93" w:rsidRPr="00B50F67" w:rsidRDefault="00A16A93" w:rsidP="003E71FA">
            <w:pPr>
              <w:pStyle w:val="TableText"/>
              <w:keepNext/>
              <w:tabs>
                <w:tab w:val="decimal" w:pos="486"/>
              </w:tabs>
            </w:pPr>
            <w:r w:rsidRPr="00B50F67">
              <w:t>20.3%</w:t>
            </w:r>
          </w:p>
        </w:tc>
        <w:tc>
          <w:tcPr>
            <w:tcW w:w="3544" w:type="dxa"/>
            <w:tcBorders>
              <w:bottom w:val="single" w:sz="4" w:space="0" w:color="auto"/>
            </w:tcBorders>
          </w:tcPr>
          <w:p w:rsidR="00A16A93" w:rsidRPr="00B50F67" w:rsidRDefault="00A16A93" w:rsidP="003E71FA">
            <w:pPr>
              <w:pStyle w:val="TableText"/>
              <w:keepNext/>
              <w:tabs>
                <w:tab w:val="decimal" w:pos="1219"/>
              </w:tabs>
            </w:pPr>
            <w:r w:rsidRPr="00B50F67">
              <w:t>71,000</w:t>
            </w:r>
            <w:r w:rsidR="00B50F67">
              <w:t xml:space="preserve"> </w:t>
            </w:r>
            <w:r w:rsidRPr="00B50F67">
              <w:t>(63,000–80,000)</w:t>
            </w:r>
          </w:p>
        </w:tc>
      </w:tr>
      <w:tr w:rsidR="00A16A93" w:rsidRPr="00A16A93" w:rsidTr="00B50F67">
        <w:trPr>
          <w:cantSplit/>
        </w:trPr>
        <w:tc>
          <w:tcPr>
            <w:tcW w:w="2694" w:type="dxa"/>
            <w:tcBorders>
              <w:top w:val="single" w:sz="4" w:space="0" w:color="auto"/>
              <w:bottom w:val="single" w:sz="4" w:space="0" w:color="A6A6A6" w:themeColor="background1" w:themeShade="A6"/>
            </w:tcBorders>
          </w:tcPr>
          <w:p w:rsidR="00A16A93" w:rsidRPr="00B50F67" w:rsidRDefault="00A16A93" w:rsidP="003E71FA">
            <w:pPr>
              <w:pStyle w:val="TableText"/>
              <w:keepNext/>
              <w:rPr>
                <w:b/>
              </w:rPr>
            </w:pPr>
            <w:r w:rsidRPr="00B50F67">
              <w:rPr>
                <w:b/>
              </w:rPr>
              <w:t>Ethnic group</w:t>
            </w:r>
          </w:p>
        </w:tc>
        <w:tc>
          <w:tcPr>
            <w:tcW w:w="1039" w:type="dxa"/>
            <w:tcBorders>
              <w:top w:val="single" w:sz="4" w:space="0" w:color="auto"/>
              <w:bottom w:val="single" w:sz="4" w:space="0" w:color="A6A6A6" w:themeColor="background1" w:themeShade="A6"/>
            </w:tcBorders>
          </w:tcPr>
          <w:p w:rsidR="00A16A93" w:rsidRPr="00B50F67" w:rsidRDefault="00A16A93" w:rsidP="003E71FA">
            <w:pPr>
              <w:pStyle w:val="TableText"/>
              <w:keepNext/>
              <w:tabs>
                <w:tab w:val="decimal" w:pos="456"/>
              </w:tabs>
            </w:pPr>
          </w:p>
        </w:tc>
        <w:tc>
          <w:tcPr>
            <w:tcW w:w="1039" w:type="dxa"/>
            <w:tcBorders>
              <w:top w:val="single" w:sz="4" w:space="0" w:color="auto"/>
              <w:bottom w:val="single" w:sz="4" w:space="0" w:color="A6A6A6" w:themeColor="background1" w:themeShade="A6"/>
            </w:tcBorders>
          </w:tcPr>
          <w:p w:rsidR="00A16A93" w:rsidRPr="00B50F67" w:rsidRDefault="00A16A93" w:rsidP="003E71FA">
            <w:pPr>
              <w:pStyle w:val="TableText"/>
              <w:keepNext/>
              <w:jc w:val="center"/>
            </w:pPr>
          </w:p>
        </w:tc>
        <w:tc>
          <w:tcPr>
            <w:tcW w:w="1040" w:type="dxa"/>
            <w:tcBorders>
              <w:top w:val="single" w:sz="4" w:space="0" w:color="auto"/>
              <w:bottom w:val="single" w:sz="4" w:space="0" w:color="A6A6A6" w:themeColor="background1" w:themeShade="A6"/>
            </w:tcBorders>
          </w:tcPr>
          <w:p w:rsidR="00A16A93" w:rsidRPr="00B50F67" w:rsidRDefault="00A16A93" w:rsidP="003E71FA">
            <w:pPr>
              <w:pStyle w:val="TableText"/>
              <w:keepNext/>
              <w:tabs>
                <w:tab w:val="decimal" w:pos="486"/>
              </w:tabs>
            </w:pPr>
          </w:p>
        </w:tc>
        <w:tc>
          <w:tcPr>
            <w:tcW w:w="3544" w:type="dxa"/>
            <w:tcBorders>
              <w:top w:val="single" w:sz="4" w:space="0" w:color="auto"/>
              <w:bottom w:val="single" w:sz="4" w:space="0" w:color="A6A6A6" w:themeColor="background1" w:themeShade="A6"/>
            </w:tcBorders>
          </w:tcPr>
          <w:p w:rsidR="00A16A93" w:rsidRPr="00B50F67" w:rsidRDefault="00A16A93" w:rsidP="003E71FA">
            <w:pPr>
              <w:pStyle w:val="TableText"/>
              <w:keepNext/>
              <w:tabs>
                <w:tab w:val="decimal" w:pos="1219"/>
              </w:tabs>
            </w:pPr>
          </w:p>
        </w:tc>
      </w:tr>
      <w:tr w:rsidR="00A16A93" w:rsidRPr="00A16A93" w:rsidTr="00B50F67">
        <w:trPr>
          <w:cantSplit/>
        </w:trPr>
        <w:tc>
          <w:tcPr>
            <w:tcW w:w="2694" w:type="dxa"/>
            <w:tcBorders>
              <w:top w:val="single" w:sz="4" w:space="0" w:color="A6A6A6" w:themeColor="background1" w:themeShade="A6"/>
            </w:tcBorders>
          </w:tcPr>
          <w:p w:rsidR="00A16A93" w:rsidRPr="00B50F67" w:rsidRDefault="00A16A93" w:rsidP="003E71FA">
            <w:pPr>
              <w:pStyle w:val="TableText"/>
              <w:keepNext/>
            </w:pPr>
            <w:r w:rsidRPr="00B50F67">
              <w:t>Māori</w:t>
            </w:r>
          </w:p>
        </w:tc>
        <w:tc>
          <w:tcPr>
            <w:tcW w:w="1039" w:type="dxa"/>
            <w:tcBorders>
              <w:top w:val="single" w:sz="4" w:space="0" w:color="A6A6A6" w:themeColor="background1" w:themeShade="A6"/>
            </w:tcBorders>
          </w:tcPr>
          <w:p w:rsidR="00A16A93" w:rsidRPr="00B50F67" w:rsidRDefault="00A16A93" w:rsidP="003E71FA">
            <w:pPr>
              <w:pStyle w:val="TableText"/>
              <w:keepNext/>
              <w:tabs>
                <w:tab w:val="decimal" w:pos="456"/>
              </w:tabs>
            </w:pPr>
            <w:r w:rsidRPr="00B50F67">
              <w:t>23.1%</w:t>
            </w:r>
          </w:p>
        </w:tc>
        <w:tc>
          <w:tcPr>
            <w:tcW w:w="1039" w:type="dxa"/>
            <w:tcBorders>
              <w:top w:val="single" w:sz="4" w:space="0" w:color="A6A6A6" w:themeColor="background1" w:themeShade="A6"/>
            </w:tcBorders>
          </w:tcPr>
          <w:p w:rsidR="00A16A93" w:rsidRPr="00B50F67" w:rsidRDefault="00A16A93" w:rsidP="003E71FA">
            <w:pPr>
              <w:pStyle w:val="TableText"/>
              <w:keepNext/>
              <w:jc w:val="center"/>
            </w:pPr>
            <w:r w:rsidRPr="00B50F67">
              <w:t>25.1%</w:t>
            </w:r>
          </w:p>
        </w:tc>
        <w:tc>
          <w:tcPr>
            <w:tcW w:w="1040" w:type="dxa"/>
            <w:tcBorders>
              <w:top w:val="single" w:sz="4" w:space="0" w:color="A6A6A6" w:themeColor="background1" w:themeShade="A6"/>
            </w:tcBorders>
          </w:tcPr>
          <w:p w:rsidR="00A16A93" w:rsidRPr="00B50F67" w:rsidRDefault="00A16A93" w:rsidP="003E71FA">
            <w:pPr>
              <w:pStyle w:val="TableText"/>
              <w:keepNext/>
              <w:tabs>
                <w:tab w:val="decimal" w:pos="486"/>
              </w:tabs>
            </w:pPr>
            <w:r w:rsidRPr="00B50F67">
              <w:t>21.0%</w:t>
            </w:r>
          </w:p>
        </w:tc>
        <w:tc>
          <w:tcPr>
            <w:tcW w:w="3544" w:type="dxa"/>
            <w:tcBorders>
              <w:top w:val="single" w:sz="4" w:space="0" w:color="A6A6A6" w:themeColor="background1" w:themeShade="A6"/>
            </w:tcBorders>
          </w:tcPr>
          <w:p w:rsidR="00A16A93" w:rsidRPr="00B50F67" w:rsidRDefault="00A16A93" w:rsidP="003E71FA">
            <w:pPr>
              <w:pStyle w:val="TableText"/>
              <w:keepNext/>
              <w:tabs>
                <w:tab w:val="decimal" w:pos="1219"/>
              </w:tabs>
            </w:pPr>
            <w:r w:rsidRPr="00B50F67">
              <w:t>46,000</w:t>
            </w:r>
            <w:r w:rsidR="00B50F67">
              <w:t xml:space="preserve"> </w:t>
            </w:r>
            <w:r w:rsidRPr="00B50F67">
              <w:t>(41,000–52,000)</w:t>
            </w:r>
          </w:p>
        </w:tc>
      </w:tr>
      <w:tr w:rsidR="00A16A93" w:rsidRPr="00A16A93" w:rsidTr="00B50F67">
        <w:trPr>
          <w:cantSplit/>
        </w:trPr>
        <w:tc>
          <w:tcPr>
            <w:tcW w:w="2694" w:type="dxa"/>
          </w:tcPr>
          <w:p w:rsidR="00A16A93" w:rsidRPr="00B50F67" w:rsidRDefault="00A16A93" w:rsidP="003E71FA">
            <w:pPr>
              <w:pStyle w:val="TableText"/>
              <w:keepNext/>
            </w:pPr>
            <w:r w:rsidRPr="00B50F67">
              <w:t>Pacific peoples</w:t>
            </w:r>
          </w:p>
        </w:tc>
        <w:tc>
          <w:tcPr>
            <w:tcW w:w="1039" w:type="dxa"/>
          </w:tcPr>
          <w:p w:rsidR="00A16A93" w:rsidRPr="00B50F67" w:rsidRDefault="00A16A93" w:rsidP="003E71FA">
            <w:pPr>
              <w:pStyle w:val="TableText"/>
              <w:keepNext/>
              <w:tabs>
                <w:tab w:val="decimal" w:pos="456"/>
              </w:tabs>
            </w:pPr>
            <w:r w:rsidRPr="00B50F67">
              <w:t>30.6%</w:t>
            </w:r>
          </w:p>
        </w:tc>
        <w:tc>
          <w:tcPr>
            <w:tcW w:w="1039" w:type="dxa"/>
          </w:tcPr>
          <w:p w:rsidR="00A16A93" w:rsidRPr="00B50F67" w:rsidRDefault="00A16A93" w:rsidP="003E71FA">
            <w:pPr>
              <w:pStyle w:val="TableText"/>
              <w:keepNext/>
              <w:jc w:val="center"/>
            </w:pPr>
            <w:r w:rsidRPr="00B50F67">
              <w:t>32.1%</w:t>
            </w:r>
          </w:p>
        </w:tc>
        <w:tc>
          <w:tcPr>
            <w:tcW w:w="1040" w:type="dxa"/>
          </w:tcPr>
          <w:p w:rsidR="00A16A93" w:rsidRPr="00B50F67" w:rsidRDefault="00A16A93" w:rsidP="003E71FA">
            <w:pPr>
              <w:pStyle w:val="TableText"/>
              <w:keepNext/>
              <w:tabs>
                <w:tab w:val="decimal" w:pos="486"/>
              </w:tabs>
            </w:pPr>
            <w:r w:rsidRPr="00B50F67">
              <w:t>29.0%</w:t>
            </w:r>
          </w:p>
        </w:tc>
        <w:tc>
          <w:tcPr>
            <w:tcW w:w="3544" w:type="dxa"/>
          </w:tcPr>
          <w:p w:rsidR="00A16A93" w:rsidRPr="00B50F67" w:rsidRDefault="00A16A93" w:rsidP="003E71FA">
            <w:pPr>
              <w:pStyle w:val="TableText"/>
              <w:keepNext/>
              <w:tabs>
                <w:tab w:val="decimal" w:pos="1219"/>
              </w:tabs>
            </w:pPr>
            <w:r w:rsidRPr="00B50F67">
              <w:t>32,000</w:t>
            </w:r>
            <w:r w:rsidR="00B50F67">
              <w:t xml:space="preserve"> </w:t>
            </w:r>
            <w:r w:rsidRPr="00B50F67">
              <w:t>(27,000–37,000)</w:t>
            </w:r>
          </w:p>
        </w:tc>
      </w:tr>
      <w:tr w:rsidR="00A16A93" w:rsidRPr="00A16A93" w:rsidTr="00B50F67">
        <w:trPr>
          <w:cantSplit/>
        </w:trPr>
        <w:tc>
          <w:tcPr>
            <w:tcW w:w="2694" w:type="dxa"/>
          </w:tcPr>
          <w:p w:rsidR="00A16A93" w:rsidRPr="00B50F67" w:rsidRDefault="00A16A93" w:rsidP="003E71FA">
            <w:pPr>
              <w:pStyle w:val="TableText"/>
              <w:keepNext/>
            </w:pPr>
            <w:r w:rsidRPr="00B50F67">
              <w:t>Asian</w:t>
            </w:r>
          </w:p>
        </w:tc>
        <w:tc>
          <w:tcPr>
            <w:tcW w:w="1039" w:type="dxa"/>
          </w:tcPr>
          <w:p w:rsidR="00A16A93" w:rsidRPr="00B50F67" w:rsidRDefault="00A16A93" w:rsidP="003E71FA">
            <w:pPr>
              <w:pStyle w:val="TableText"/>
              <w:keepNext/>
              <w:tabs>
                <w:tab w:val="decimal" w:pos="456"/>
              </w:tabs>
            </w:pPr>
            <w:r w:rsidRPr="00B50F67">
              <w:t>14.4%</w:t>
            </w:r>
          </w:p>
        </w:tc>
        <w:tc>
          <w:tcPr>
            <w:tcW w:w="1039" w:type="dxa"/>
          </w:tcPr>
          <w:p w:rsidR="00A16A93" w:rsidRPr="00B50F67" w:rsidRDefault="00A16A93" w:rsidP="003E71FA">
            <w:pPr>
              <w:pStyle w:val="TableText"/>
              <w:keepNext/>
              <w:jc w:val="center"/>
            </w:pPr>
            <w:r w:rsidRPr="00B50F67">
              <w:t>15.9%</w:t>
            </w:r>
          </w:p>
        </w:tc>
        <w:tc>
          <w:tcPr>
            <w:tcW w:w="1040" w:type="dxa"/>
          </w:tcPr>
          <w:p w:rsidR="00A16A93" w:rsidRPr="00B50F67" w:rsidRDefault="00A16A93" w:rsidP="003E71FA">
            <w:pPr>
              <w:pStyle w:val="TableText"/>
              <w:keepNext/>
              <w:tabs>
                <w:tab w:val="decimal" w:pos="486"/>
              </w:tabs>
            </w:pPr>
            <w:r w:rsidRPr="00B50F67">
              <w:t>12.9%</w:t>
            </w:r>
          </w:p>
        </w:tc>
        <w:tc>
          <w:tcPr>
            <w:tcW w:w="3544" w:type="dxa"/>
          </w:tcPr>
          <w:p w:rsidR="00A16A93" w:rsidRPr="00B50F67" w:rsidRDefault="00A16A93" w:rsidP="003E71FA">
            <w:pPr>
              <w:pStyle w:val="TableText"/>
              <w:keepNext/>
              <w:tabs>
                <w:tab w:val="decimal" w:pos="1219"/>
              </w:tabs>
            </w:pPr>
            <w:r w:rsidRPr="00B50F67">
              <w:t>15,000</w:t>
            </w:r>
            <w:r w:rsidR="00B50F67">
              <w:t xml:space="preserve"> </w:t>
            </w:r>
            <w:r w:rsidRPr="00B50F67">
              <w:t>(11,000–20,000)</w:t>
            </w:r>
          </w:p>
        </w:tc>
      </w:tr>
      <w:tr w:rsidR="00A16A93" w:rsidRPr="00A16A93" w:rsidTr="00B50F67">
        <w:trPr>
          <w:cantSplit/>
        </w:trPr>
        <w:tc>
          <w:tcPr>
            <w:tcW w:w="2694" w:type="dxa"/>
            <w:tcBorders>
              <w:bottom w:val="single" w:sz="4" w:space="0" w:color="auto"/>
            </w:tcBorders>
          </w:tcPr>
          <w:p w:rsidR="00A16A93" w:rsidRPr="00B50F67" w:rsidRDefault="00A16A93" w:rsidP="003E71FA">
            <w:pPr>
              <w:pStyle w:val="TableText"/>
              <w:keepNext/>
            </w:pPr>
            <w:r w:rsidRPr="00B50F67">
              <w:t>European/Other</w:t>
            </w:r>
          </w:p>
        </w:tc>
        <w:tc>
          <w:tcPr>
            <w:tcW w:w="1039" w:type="dxa"/>
            <w:tcBorders>
              <w:bottom w:val="single" w:sz="4" w:space="0" w:color="auto"/>
            </w:tcBorders>
          </w:tcPr>
          <w:p w:rsidR="00A16A93" w:rsidRPr="00B50F67" w:rsidRDefault="00A16A93" w:rsidP="003E71FA">
            <w:pPr>
              <w:pStyle w:val="TableText"/>
              <w:keepNext/>
              <w:tabs>
                <w:tab w:val="decimal" w:pos="456"/>
              </w:tabs>
            </w:pPr>
            <w:r w:rsidRPr="00B50F67">
              <w:t>14.4%</w:t>
            </w:r>
          </w:p>
        </w:tc>
        <w:tc>
          <w:tcPr>
            <w:tcW w:w="1039" w:type="dxa"/>
            <w:tcBorders>
              <w:bottom w:val="single" w:sz="4" w:space="0" w:color="auto"/>
            </w:tcBorders>
          </w:tcPr>
          <w:p w:rsidR="00A16A93" w:rsidRPr="00B50F67" w:rsidRDefault="00A16A93" w:rsidP="003E71FA">
            <w:pPr>
              <w:pStyle w:val="TableText"/>
              <w:keepNext/>
              <w:jc w:val="center"/>
            </w:pPr>
            <w:r w:rsidRPr="00B50F67">
              <w:t>15.5%</w:t>
            </w:r>
          </w:p>
        </w:tc>
        <w:tc>
          <w:tcPr>
            <w:tcW w:w="1040" w:type="dxa"/>
            <w:tcBorders>
              <w:bottom w:val="single" w:sz="4" w:space="0" w:color="auto"/>
            </w:tcBorders>
          </w:tcPr>
          <w:p w:rsidR="00A16A93" w:rsidRPr="00B50F67" w:rsidRDefault="00A16A93" w:rsidP="003E71FA">
            <w:pPr>
              <w:pStyle w:val="TableText"/>
              <w:keepNext/>
              <w:tabs>
                <w:tab w:val="decimal" w:pos="486"/>
              </w:tabs>
            </w:pPr>
            <w:r w:rsidRPr="00B50F67">
              <w:t>13.2%</w:t>
            </w:r>
          </w:p>
        </w:tc>
        <w:tc>
          <w:tcPr>
            <w:tcW w:w="3544" w:type="dxa"/>
            <w:tcBorders>
              <w:bottom w:val="single" w:sz="4" w:space="0" w:color="auto"/>
            </w:tcBorders>
          </w:tcPr>
          <w:p w:rsidR="00A16A93" w:rsidRPr="00B50F67" w:rsidRDefault="00A16A93" w:rsidP="003E71FA">
            <w:pPr>
              <w:pStyle w:val="TableText"/>
              <w:keepNext/>
              <w:tabs>
                <w:tab w:val="decimal" w:pos="1219"/>
              </w:tabs>
            </w:pPr>
            <w:r w:rsidRPr="00B50F67">
              <w:t>81,000</w:t>
            </w:r>
            <w:r w:rsidR="00B50F67">
              <w:t xml:space="preserve"> </w:t>
            </w:r>
            <w:r w:rsidRPr="00B50F67">
              <w:t>(72,000–91,000)</w:t>
            </w:r>
          </w:p>
        </w:tc>
      </w:tr>
      <w:tr w:rsidR="00A16A93" w:rsidRPr="00A16A93" w:rsidTr="00B50F67">
        <w:trPr>
          <w:cantSplit/>
        </w:trPr>
        <w:tc>
          <w:tcPr>
            <w:tcW w:w="2694" w:type="dxa"/>
            <w:tcBorders>
              <w:top w:val="single" w:sz="4" w:space="0" w:color="auto"/>
              <w:bottom w:val="single" w:sz="4" w:space="0" w:color="A6A6A6" w:themeColor="background1" w:themeShade="A6"/>
            </w:tcBorders>
          </w:tcPr>
          <w:p w:rsidR="00A16A93" w:rsidRPr="00B50F67" w:rsidRDefault="00A16A93" w:rsidP="003E71FA">
            <w:pPr>
              <w:pStyle w:val="TableText"/>
              <w:keepNext/>
              <w:rPr>
                <w:b/>
              </w:rPr>
            </w:pPr>
            <w:r w:rsidRPr="00B50F67">
              <w:rPr>
                <w:b/>
              </w:rPr>
              <w:t>Neighbourhood d</w:t>
            </w:r>
            <w:r w:rsidR="00B50F67">
              <w:rPr>
                <w:b/>
              </w:rPr>
              <w:t>eprivation quintile (NZDep2013)</w:t>
            </w:r>
          </w:p>
        </w:tc>
        <w:tc>
          <w:tcPr>
            <w:tcW w:w="1039" w:type="dxa"/>
            <w:tcBorders>
              <w:top w:val="single" w:sz="4" w:space="0" w:color="auto"/>
              <w:bottom w:val="single" w:sz="4" w:space="0" w:color="A6A6A6" w:themeColor="background1" w:themeShade="A6"/>
            </w:tcBorders>
          </w:tcPr>
          <w:p w:rsidR="00A16A93" w:rsidRPr="00B50F67" w:rsidRDefault="00A16A93" w:rsidP="003E71FA">
            <w:pPr>
              <w:pStyle w:val="TableText"/>
              <w:keepNext/>
              <w:tabs>
                <w:tab w:val="decimal" w:pos="456"/>
              </w:tabs>
            </w:pPr>
          </w:p>
        </w:tc>
        <w:tc>
          <w:tcPr>
            <w:tcW w:w="1039" w:type="dxa"/>
            <w:tcBorders>
              <w:top w:val="single" w:sz="4" w:space="0" w:color="auto"/>
              <w:bottom w:val="single" w:sz="4" w:space="0" w:color="A6A6A6" w:themeColor="background1" w:themeShade="A6"/>
            </w:tcBorders>
          </w:tcPr>
          <w:p w:rsidR="00A16A93" w:rsidRPr="00B50F67" w:rsidRDefault="00A16A93" w:rsidP="003E71FA">
            <w:pPr>
              <w:pStyle w:val="TableText"/>
              <w:keepNext/>
              <w:jc w:val="center"/>
            </w:pPr>
          </w:p>
        </w:tc>
        <w:tc>
          <w:tcPr>
            <w:tcW w:w="1040" w:type="dxa"/>
            <w:tcBorders>
              <w:top w:val="single" w:sz="4" w:space="0" w:color="auto"/>
              <w:bottom w:val="single" w:sz="4" w:space="0" w:color="A6A6A6" w:themeColor="background1" w:themeShade="A6"/>
            </w:tcBorders>
          </w:tcPr>
          <w:p w:rsidR="00A16A93" w:rsidRPr="00B50F67" w:rsidRDefault="00A16A93" w:rsidP="003E71FA">
            <w:pPr>
              <w:pStyle w:val="TableText"/>
              <w:keepNext/>
              <w:tabs>
                <w:tab w:val="decimal" w:pos="486"/>
              </w:tabs>
            </w:pPr>
          </w:p>
        </w:tc>
        <w:tc>
          <w:tcPr>
            <w:tcW w:w="3544" w:type="dxa"/>
            <w:tcBorders>
              <w:top w:val="single" w:sz="4" w:space="0" w:color="auto"/>
              <w:bottom w:val="single" w:sz="4" w:space="0" w:color="A6A6A6" w:themeColor="background1" w:themeShade="A6"/>
            </w:tcBorders>
          </w:tcPr>
          <w:p w:rsidR="00A16A93" w:rsidRPr="00B50F67" w:rsidRDefault="00A16A93" w:rsidP="003E71FA">
            <w:pPr>
              <w:pStyle w:val="TableText"/>
              <w:keepNext/>
              <w:tabs>
                <w:tab w:val="decimal" w:pos="1219"/>
              </w:tabs>
            </w:pPr>
          </w:p>
        </w:tc>
      </w:tr>
      <w:tr w:rsidR="00A16A93" w:rsidRPr="00A16A93" w:rsidTr="00B50F67">
        <w:trPr>
          <w:cantSplit/>
        </w:trPr>
        <w:tc>
          <w:tcPr>
            <w:tcW w:w="2694" w:type="dxa"/>
            <w:tcBorders>
              <w:top w:val="single" w:sz="4" w:space="0" w:color="A6A6A6" w:themeColor="background1" w:themeShade="A6"/>
            </w:tcBorders>
          </w:tcPr>
          <w:p w:rsidR="00A16A93" w:rsidRPr="00B50F67" w:rsidRDefault="00A16A93" w:rsidP="00B50F67">
            <w:pPr>
              <w:pStyle w:val="TableText"/>
            </w:pPr>
            <w:r w:rsidRPr="00B50F67">
              <w:t>Quintile 1 (least deprived)</w:t>
            </w:r>
          </w:p>
        </w:tc>
        <w:tc>
          <w:tcPr>
            <w:tcW w:w="1039" w:type="dxa"/>
            <w:tcBorders>
              <w:top w:val="single" w:sz="4" w:space="0" w:color="A6A6A6" w:themeColor="background1" w:themeShade="A6"/>
            </w:tcBorders>
          </w:tcPr>
          <w:p w:rsidR="00A16A93" w:rsidRPr="00B50F67" w:rsidRDefault="00A16A93" w:rsidP="00B50F67">
            <w:pPr>
              <w:pStyle w:val="TableText"/>
              <w:tabs>
                <w:tab w:val="decimal" w:pos="456"/>
              </w:tabs>
            </w:pPr>
            <w:r w:rsidRPr="00B50F67">
              <w:t>9.5%</w:t>
            </w:r>
          </w:p>
        </w:tc>
        <w:tc>
          <w:tcPr>
            <w:tcW w:w="1039" w:type="dxa"/>
            <w:tcBorders>
              <w:top w:val="single" w:sz="4" w:space="0" w:color="A6A6A6" w:themeColor="background1" w:themeShade="A6"/>
            </w:tcBorders>
          </w:tcPr>
          <w:p w:rsidR="00A16A93" w:rsidRPr="00B50F67" w:rsidRDefault="00A16A93" w:rsidP="00B50F67">
            <w:pPr>
              <w:pStyle w:val="TableText"/>
              <w:jc w:val="center"/>
            </w:pPr>
            <w:r w:rsidRPr="00B50F67">
              <w:t>11.2%</w:t>
            </w:r>
          </w:p>
        </w:tc>
        <w:tc>
          <w:tcPr>
            <w:tcW w:w="1040" w:type="dxa"/>
            <w:tcBorders>
              <w:top w:val="single" w:sz="4" w:space="0" w:color="A6A6A6" w:themeColor="background1" w:themeShade="A6"/>
            </w:tcBorders>
          </w:tcPr>
          <w:p w:rsidR="00A16A93" w:rsidRPr="00B50F67" w:rsidRDefault="00A16A93" w:rsidP="00B50F67">
            <w:pPr>
              <w:pStyle w:val="TableText"/>
              <w:tabs>
                <w:tab w:val="decimal" w:pos="486"/>
              </w:tabs>
            </w:pPr>
            <w:r w:rsidRPr="00B50F67">
              <w:t>7.5%</w:t>
            </w:r>
          </w:p>
        </w:tc>
        <w:tc>
          <w:tcPr>
            <w:tcW w:w="3544" w:type="dxa"/>
            <w:tcBorders>
              <w:top w:val="single" w:sz="4" w:space="0" w:color="A6A6A6" w:themeColor="background1" w:themeShade="A6"/>
            </w:tcBorders>
          </w:tcPr>
          <w:p w:rsidR="00A16A93" w:rsidRPr="00B50F67" w:rsidRDefault="00A16A93" w:rsidP="00B50F67">
            <w:pPr>
              <w:pStyle w:val="TableText"/>
              <w:tabs>
                <w:tab w:val="decimal" w:pos="1219"/>
              </w:tabs>
            </w:pPr>
            <w:r w:rsidRPr="00B50F67">
              <w:t>16,000</w:t>
            </w:r>
            <w:r w:rsidR="00B50F67">
              <w:t xml:space="preserve"> </w:t>
            </w:r>
            <w:r w:rsidRPr="00B50F67">
              <w:t>(12,000–21,000)</w:t>
            </w:r>
          </w:p>
        </w:tc>
      </w:tr>
      <w:tr w:rsidR="00A16A93" w:rsidRPr="00A16A93" w:rsidTr="00B50F67">
        <w:trPr>
          <w:cantSplit/>
        </w:trPr>
        <w:tc>
          <w:tcPr>
            <w:tcW w:w="2694" w:type="dxa"/>
          </w:tcPr>
          <w:p w:rsidR="00A16A93" w:rsidRPr="00B50F67" w:rsidRDefault="00A16A93" w:rsidP="00B50F67">
            <w:pPr>
              <w:pStyle w:val="TableText"/>
            </w:pPr>
            <w:r w:rsidRPr="00B50F67">
              <w:t>Quintile 2</w:t>
            </w:r>
          </w:p>
        </w:tc>
        <w:tc>
          <w:tcPr>
            <w:tcW w:w="1039" w:type="dxa"/>
          </w:tcPr>
          <w:p w:rsidR="00A16A93" w:rsidRPr="00B50F67" w:rsidRDefault="00A16A93" w:rsidP="00B50F67">
            <w:pPr>
              <w:pStyle w:val="TableText"/>
              <w:tabs>
                <w:tab w:val="decimal" w:pos="456"/>
              </w:tabs>
            </w:pPr>
            <w:r w:rsidRPr="00B50F67">
              <w:t>12.4%</w:t>
            </w:r>
          </w:p>
        </w:tc>
        <w:tc>
          <w:tcPr>
            <w:tcW w:w="1039" w:type="dxa"/>
          </w:tcPr>
          <w:p w:rsidR="00A16A93" w:rsidRPr="00B50F67" w:rsidRDefault="00A16A93" w:rsidP="00B50F67">
            <w:pPr>
              <w:pStyle w:val="TableText"/>
              <w:jc w:val="center"/>
            </w:pPr>
            <w:r w:rsidRPr="00B50F67">
              <w:t>12.0%</w:t>
            </w:r>
          </w:p>
        </w:tc>
        <w:tc>
          <w:tcPr>
            <w:tcW w:w="1040" w:type="dxa"/>
          </w:tcPr>
          <w:p w:rsidR="00A16A93" w:rsidRPr="00B50F67" w:rsidRDefault="00A16A93" w:rsidP="00B50F67">
            <w:pPr>
              <w:pStyle w:val="TableText"/>
              <w:tabs>
                <w:tab w:val="decimal" w:pos="486"/>
              </w:tabs>
            </w:pPr>
            <w:r w:rsidRPr="00B50F67">
              <w:t>12.9%</w:t>
            </w:r>
          </w:p>
        </w:tc>
        <w:tc>
          <w:tcPr>
            <w:tcW w:w="3544" w:type="dxa"/>
          </w:tcPr>
          <w:p w:rsidR="00A16A93" w:rsidRPr="00B50F67" w:rsidRDefault="00A16A93" w:rsidP="00B50F67">
            <w:pPr>
              <w:pStyle w:val="TableText"/>
              <w:tabs>
                <w:tab w:val="decimal" w:pos="1219"/>
              </w:tabs>
            </w:pPr>
            <w:r w:rsidRPr="00B50F67">
              <w:t>19,000</w:t>
            </w:r>
            <w:r w:rsidR="00B50F67">
              <w:t xml:space="preserve"> </w:t>
            </w:r>
            <w:r w:rsidRPr="00B50F67">
              <w:t>(14,000–26,000)</w:t>
            </w:r>
          </w:p>
        </w:tc>
      </w:tr>
      <w:tr w:rsidR="00A16A93" w:rsidRPr="00A16A93" w:rsidTr="00B50F67">
        <w:trPr>
          <w:cantSplit/>
        </w:trPr>
        <w:tc>
          <w:tcPr>
            <w:tcW w:w="2694" w:type="dxa"/>
          </w:tcPr>
          <w:p w:rsidR="00A16A93" w:rsidRPr="00B50F67" w:rsidRDefault="00A16A93" w:rsidP="00B50F67">
            <w:pPr>
              <w:pStyle w:val="TableText"/>
            </w:pPr>
            <w:r w:rsidRPr="00B50F67">
              <w:t>Quintile 3</w:t>
            </w:r>
          </w:p>
        </w:tc>
        <w:tc>
          <w:tcPr>
            <w:tcW w:w="1039" w:type="dxa"/>
          </w:tcPr>
          <w:p w:rsidR="00A16A93" w:rsidRPr="00B50F67" w:rsidRDefault="00A16A93" w:rsidP="00B50F67">
            <w:pPr>
              <w:pStyle w:val="TableText"/>
              <w:tabs>
                <w:tab w:val="decimal" w:pos="456"/>
              </w:tabs>
            </w:pPr>
            <w:r w:rsidRPr="00B50F67">
              <w:t>13.9%</w:t>
            </w:r>
          </w:p>
        </w:tc>
        <w:tc>
          <w:tcPr>
            <w:tcW w:w="1039" w:type="dxa"/>
          </w:tcPr>
          <w:p w:rsidR="00A16A93" w:rsidRPr="00B50F67" w:rsidRDefault="00A16A93" w:rsidP="00B50F67">
            <w:pPr>
              <w:pStyle w:val="TableText"/>
              <w:jc w:val="center"/>
            </w:pPr>
            <w:r w:rsidRPr="00B50F67">
              <w:t>15.6%</w:t>
            </w:r>
          </w:p>
        </w:tc>
        <w:tc>
          <w:tcPr>
            <w:tcW w:w="1040" w:type="dxa"/>
          </w:tcPr>
          <w:p w:rsidR="00A16A93" w:rsidRPr="00B50F67" w:rsidRDefault="00A16A93" w:rsidP="00B50F67">
            <w:pPr>
              <w:pStyle w:val="TableText"/>
              <w:tabs>
                <w:tab w:val="decimal" w:pos="486"/>
              </w:tabs>
            </w:pPr>
            <w:r w:rsidRPr="00B50F67">
              <w:t>12.3%</w:t>
            </w:r>
          </w:p>
        </w:tc>
        <w:tc>
          <w:tcPr>
            <w:tcW w:w="3544" w:type="dxa"/>
          </w:tcPr>
          <w:p w:rsidR="00A16A93" w:rsidRPr="00B50F67" w:rsidRDefault="00A16A93" w:rsidP="00B50F67">
            <w:pPr>
              <w:pStyle w:val="TableText"/>
              <w:tabs>
                <w:tab w:val="decimal" w:pos="1219"/>
              </w:tabs>
            </w:pPr>
            <w:r w:rsidRPr="00B50F67">
              <w:t>20,000</w:t>
            </w:r>
            <w:r w:rsidR="00B50F67">
              <w:t xml:space="preserve"> </w:t>
            </w:r>
            <w:r w:rsidRPr="00B50F67">
              <w:t>(16,000–24,000)</w:t>
            </w:r>
          </w:p>
        </w:tc>
      </w:tr>
      <w:tr w:rsidR="00A16A93" w:rsidRPr="00A16A93" w:rsidTr="00B50F67">
        <w:trPr>
          <w:cantSplit/>
        </w:trPr>
        <w:tc>
          <w:tcPr>
            <w:tcW w:w="2694" w:type="dxa"/>
          </w:tcPr>
          <w:p w:rsidR="00A16A93" w:rsidRPr="00B50F67" w:rsidRDefault="00A16A93" w:rsidP="00B50F67">
            <w:pPr>
              <w:pStyle w:val="TableText"/>
            </w:pPr>
            <w:r w:rsidRPr="00B50F67">
              <w:t>Quintile 4</w:t>
            </w:r>
          </w:p>
        </w:tc>
        <w:tc>
          <w:tcPr>
            <w:tcW w:w="1039" w:type="dxa"/>
          </w:tcPr>
          <w:p w:rsidR="00A16A93" w:rsidRPr="00B50F67" w:rsidRDefault="00A16A93" w:rsidP="00B50F67">
            <w:pPr>
              <w:pStyle w:val="TableText"/>
              <w:tabs>
                <w:tab w:val="decimal" w:pos="456"/>
              </w:tabs>
            </w:pPr>
            <w:r w:rsidRPr="00B50F67">
              <w:t>19.5%</w:t>
            </w:r>
          </w:p>
        </w:tc>
        <w:tc>
          <w:tcPr>
            <w:tcW w:w="1039" w:type="dxa"/>
          </w:tcPr>
          <w:p w:rsidR="00A16A93" w:rsidRPr="00B50F67" w:rsidRDefault="00A16A93" w:rsidP="00B50F67">
            <w:pPr>
              <w:pStyle w:val="TableText"/>
              <w:jc w:val="center"/>
            </w:pPr>
            <w:r w:rsidRPr="00B50F67">
              <w:t>23.1%</w:t>
            </w:r>
          </w:p>
        </w:tc>
        <w:tc>
          <w:tcPr>
            <w:tcW w:w="1040" w:type="dxa"/>
          </w:tcPr>
          <w:p w:rsidR="00A16A93" w:rsidRPr="00B50F67" w:rsidRDefault="00A16A93" w:rsidP="00B50F67">
            <w:pPr>
              <w:pStyle w:val="TableText"/>
              <w:tabs>
                <w:tab w:val="decimal" w:pos="486"/>
              </w:tabs>
            </w:pPr>
            <w:r w:rsidRPr="00B50F67">
              <w:t>15.8%</w:t>
            </w:r>
          </w:p>
        </w:tc>
        <w:tc>
          <w:tcPr>
            <w:tcW w:w="3544" w:type="dxa"/>
          </w:tcPr>
          <w:p w:rsidR="00A16A93" w:rsidRPr="00B50F67" w:rsidRDefault="00A16A93" w:rsidP="00B50F67">
            <w:pPr>
              <w:pStyle w:val="TableText"/>
              <w:tabs>
                <w:tab w:val="decimal" w:pos="1219"/>
              </w:tabs>
            </w:pPr>
            <w:r w:rsidRPr="00B50F67">
              <w:t>29,000</w:t>
            </w:r>
            <w:r w:rsidR="00B50F67">
              <w:t xml:space="preserve"> </w:t>
            </w:r>
            <w:r w:rsidRPr="00B50F67">
              <w:t>(24,000–35,000)</w:t>
            </w:r>
          </w:p>
        </w:tc>
      </w:tr>
      <w:tr w:rsidR="00A16A93" w:rsidRPr="00A16A93" w:rsidTr="00B50F67">
        <w:trPr>
          <w:cantSplit/>
        </w:trPr>
        <w:tc>
          <w:tcPr>
            <w:tcW w:w="2694" w:type="dxa"/>
          </w:tcPr>
          <w:p w:rsidR="00A16A93" w:rsidRPr="00B50F67" w:rsidRDefault="00A16A93" w:rsidP="00B50F67">
            <w:pPr>
              <w:pStyle w:val="TableText"/>
            </w:pPr>
            <w:r w:rsidRPr="00B50F67">
              <w:t>Quintile 5 (most deprived)</w:t>
            </w:r>
          </w:p>
        </w:tc>
        <w:tc>
          <w:tcPr>
            <w:tcW w:w="1039" w:type="dxa"/>
          </w:tcPr>
          <w:p w:rsidR="00A16A93" w:rsidRPr="00B50F67" w:rsidRDefault="00A16A93" w:rsidP="00B50F67">
            <w:pPr>
              <w:pStyle w:val="TableText"/>
              <w:tabs>
                <w:tab w:val="decimal" w:pos="456"/>
              </w:tabs>
            </w:pPr>
            <w:r w:rsidRPr="00B50F67">
              <w:t>30.2%</w:t>
            </w:r>
          </w:p>
        </w:tc>
        <w:tc>
          <w:tcPr>
            <w:tcW w:w="1039" w:type="dxa"/>
          </w:tcPr>
          <w:p w:rsidR="00A16A93" w:rsidRPr="00B50F67" w:rsidRDefault="00A16A93" w:rsidP="00B50F67">
            <w:pPr>
              <w:pStyle w:val="TableText"/>
              <w:jc w:val="center"/>
            </w:pPr>
            <w:r w:rsidRPr="00B50F67">
              <w:t>33.6%</w:t>
            </w:r>
          </w:p>
        </w:tc>
        <w:tc>
          <w:tcPr>
            <w:tcW w:w="1040" w:type="dxa"/>
          </w:tcPr>
          <w:p w:rsidR="00A16A93" w:rsidRPr="00B50F67" w:rsidRDefault="00A16A93" w:rsidP="00B50F67">
            <w:pPr>
              <w:pStyle w:val="TableText"/>
              <w:tabs>
                <w:tab w:val="decimal" w:pos="486"/>
              </w:tabs>
            </w:pPr>
            <w:r w:rsidRPr="00B50F67">
              <w:t>26.7%</w:t>
            </w:r>
          </w:p>
        </w:tc>
        <w:tc>
          <w:tcPr>
            <w:tcW w:w="3544" w:type="dxa"/>
          </w:tcPr>
          <w:p w:rsidR="00A16A93" w:rsidRPr="00B50F67" w:rsidRDefault="00A16A93" w:rsidP="00B50F67">
            <w:pPr>
              <w:pStyle w:val="TableText"/>
              <w:tabs>
                <w:tab w:val="decimal" w:pos="1219"/>
              </w:tabs>
            </w:pPr>
            <w:r w:rsidRPr="00B50F67">
              <w:t>55,000</w:t>
            </w:r>
            <w:r w:rsidR="00B50F67">
              <w:t xml:space="preserve"> </w:t>
            </w:r>
            <w:r w:rsidRPr="00B50F67">
              <w:t>(48,000–62,000)</w:t>
            </w:r>
          </w:p>
        </w:tc>
      </w:tr>
    </w:tbl>
    <w:p w:rsidR="00A16A93" w:rsidRPr="00A16A93" w:rsidRDefault="00A16A93" w:rsidP="00B50F67">
      <w:pPr>
        <w:pStyle w:val="Source"/>
        <w:rPr>
          <w:rFonts w:cs="Arial"/>
        </w:rPr>
      </w:pPr>
      <w:r w:rsidRPr="00A16A93">
        <w:rPr>
          <w:rFonts w:cs="Arial"/>
        </w:rPr>
        <w:t xml:space="preserve">Source: </w:t>
      </w:r>
      <w:hyperlink r:id="rId48" w:history="1">
        <w:r w:rsidRPr="00A16A93">
          <w:rPr>
            <w:rStyle w:val="Hyperlink"/>
            <w:rFonts w:cs="Arial"/>
          </w:rPr>
          <w:t>Ministry of Health 2016d</w:t>
        </w:r>
      </w:hyperlink>
    </w:p>
    <w:p w:rsidR="00A16A93" w:rsidRPr="00A16A93" w:rsidRDefault="00A16A93" w:rsidP="00B50F67">
      <w:pPr>
        <w:pStyle w:val="Note"/>
      </w:pPr>
      <w:r w:rsidRPr="00A16A93">
        <w:t>Note:</w:t>
      </w:r>
      <w:r w:rsidR="00B50F67">
        <w:t xml:space="preserve"> </w:t>
      </w:r>
      <w:r w:rsidRPr="00A16A93">
        <w:t xml:space="preserve">The estimated number of children in each group who drank fizzy drink three or more times in the past week has been rounded to the nearest 1,000. For more information on how these numbers are calculated, please see section 7 of </w:t>
      </w:r>
      <w:hyperlink r:id="rId49" w:history="1">
        <w:r w:rsidRPr="00B50F67">
          <w:rPr>
            <w:rStyle w:val="Hyperlink"/>
          </w:rPr>
          <w:t>Ministry of Health 2016b</w:t>
        </w:r>
      </w:hyperlink>
      <w:r w:rsidRPr="00A16A93">
        <w:t>.</w:t>
      </w:r>
    </w:p>
    <w:p w:rsidR="00A16A93" w:rsidRPr="00A16A93" w:rsidRDefault="00A16A93" w:rsidP="00B50F67"/>
    <w:p w:rsidR="00A16A93" w:rsidRPr="00A16A93" w:rsidRDefault="00A16A93" w:rsidP="00B50F67">
      <w:pPr>
        <w:pStyle w:val="Figure"/>
      </w:pPr>
      <w:bookmarkStart w:id="62" w:name="_Toc480534275"/>
      <w:r w:rsidRPr="00A16A93">
        <w:t>Figure 5: Percentage of children (aged 2–14 years) who had fizzy drink three or more times in the past week, 2011/12–2015/16</w:t>
      </w:r>
      <w:bookmarkEnd w:id="62"/>
    </w:p>
    <w:p w:rsidR="00A16A93" w:rsidRPr="00A16A93" w:rsidRDefault="00A16A93" w:rsidP="00A16A93">
      <w:pPr>
        <w:rPr>
          <w:rFonts w:ascii="Arial" w:hAnsi="Arial" w:cs="Arial"/>
        </w:rPr>
      </w:pPr>
      <w:r w:rsidRPr="00A16A93">
        <w:rPr>
          <w:rFonts w:ascii="Arial" w:hAnsi="Arial" w:cs="Arial"/>
          <w:noProof/>
          <w:lang w:eastAsia="en-NZ"/>
        </w:rPr>
        <w:drawing>
          <wp:inline distT="0" distB="0" distL="0" distR="0" wp14:anchorId="1FAD9026" wp14:editId="607FD0B4">
            <wp:extent cx="4680065" cy="2730038"/>
            <wp:effectExtent l="0" t="0" r="6350" b="0"/>
            <wp:docPr id="7" name="Chart 7" title="Figure 5: Percentage of children (aged 2–14 years) who had fizzy drink three or more times in the past week, 2011/12–201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40171" w:rsidRDefault="00A16A93" w:rsidP="00140171">
      <w:pPr>
        <w:pStyle w:val="Source"/>
        <w:rPr>
          <w:rStyle w:val="Hyperlink"/>
          <w:rFonts w:cs="Arial"/>
        </w:rPr>
      </w:pPr>
      <w:r w:rsidRPr="00A16A93">
        <w:rPr>
          <w:rFonts w:cs="Arial"/>
        </w:rPr>
        <w:t xml:space="preserve">Source: </w:t>
      </w:r>
      <w:hyperlink r:id="rId51" w:history="1">
        <w:r w:rsidRPr="00A16A93">
          <w:rPr>
            <w:rStyle w:val="Hyperlink"/>
            <w:rFonts w:cs="Arial"/>
          </w:rPr>
          <w:t>Ministry of Health 2016d</w:t>
        </w:r>
      </w:hyperlink>
    </w:p>
    <w:p w:rsidR="00140171" w:rsidRDefault="00140171" w:rsidP="00140171">
      <w:pPr>
        <w:rPr>
          <w:rStyle w:val="Hyperlink"/>
          <w:rFonts w:cs="Arial"/>
        </w:rPr>
      </w:pPr>
    </w:p>
    <w:p w:rsidR="00A16A93" w:rsidRPr="00A16A93" w:rsidRDefault="00A16A93" w:rsidP="00140171">
      <w:pPr>
        <w:pStyle w:val="Heading2"/>
      </w:pPr>
      <w:bookmarkStart w:id="63" w:name="_Toc480457770"/>
      <w:bookmarkStart w:id="64" w:name="_Toc480534240"/>
      <w:r w:rsidRPr="00A16A93">
        <w:lastRenderedPageBreak/>
        <w:t>Indicator 7: Fruit and vegetable intake</w:t>
      </w:r>
      <w:bookmarkEnd w:id="63"/>
      <w:bookmarkEnd w:id="64"/>
    </w:p>
    <w:p w:rsidR="00A16A93" w:rsidRPr="00A16A93" w:rsidRDefault="00A16A93" w:rsidP="00140171">
      <w:pPr>
        <w:pStyle w:val="Heading3"/>
      </w:pPr>
      <w:bookmarkStart w:id="65" w:name="_Toc480457771"/>
      <w:r w:rsidRPr="00A16A93">
        <w:t>Description</w:t>
      </w:r>
      <w:bookmarkEnd w:id="65"/>
    </w:p>
    <w:p w:rsidR="00A16A93" w:rsidRPr="00A16A93" w:rsidRDefault="00A16A93" w:rsidP="00140171">
      <w:r w:rsidRPr="00A16A93">
        <w:t>Fruit and vegetables are an important part of a healthy diet. They provide a person with energy, carbohydrate, dietary fibre, vitamins (including vitamin A, vitamin C and folate) and minerals (including potassium and magnesium). Most fruit and vegetables are also low in energy and contribute to satiety (a feeling of abdominal fullness after eating), thereby helping people maintain a healthy weight.</w:t>
      </w:r>
    </w:p>
    <w:p w:rsidR="00A16A93" w:rsidRPr="00A16A93" w:rsidRDefault="00A16A93" w:rsidP="00140171"/>
    <w:p w:rsidR="00A16A93" w:rsidRPr="00A16A93" w:rsidRDefault="00A16A93" w:rsidP="00140171">
      <w:r w:rsidRPr="00A16A93">
        <w:t>This indicator measures the:</w:t>
      </w:r>
    </w:p>
    <w:p w:rsidR="00A16A93" w:rsidRPr="00A16A93" w:rsidRDefault="00A16A93" w:rsidP="00140171">
      <w:pPr>
        <w:pStyle w:val="Bullet"/>
      </w:pPr>
      <w:r w:rsidRPr="00A16A93">
        <w:t>percentage of children (aged 2–14 years) who eat at least two servings of fruit each day</w:t>
      </w:r>
    </w:p>
    <w:p w:rsidR="00A16A93" w:rsidRPr="00A16A93" w:rsidRDefault="00A16A93" w:rsidP="00140171">
      <w:pPr>
        <w:pStyle w:val="Bullet"/>
      </w:pPr>
      <w:r w:rsidRPr="00A16A93">
        <w:t>percentage of children (aged 2–14 years) who meet New Zealand’s age-specific vegetable intake guidelines.</w:t>
      </w:r>
    </w:p>
    <w:p w:rsidR="00A16A93" w:rsidRPr="00A16A93" w:rsidRDefault="00A16A93" w:rsidP="00140171"/>
    <w:p w:rsidR="00A16A93" w:rsidRPr="00A16A93" w:rsidRDefault="00A16A93" w:rsidP="00140171">
      <w:r w:rsidRPr="00A16A93">
        <w:t>The Ministry of Health (2012) recommend that:</w:t>
      </w:r>
    </w:p>
    <w:p w:rsidR="00A16A93" w:rsidRPr="00A16A93" w:rsidRDefault="00A16A93" w:rsidP="00140171">
      <w:pPr>
        <w:pStyle w:val="Bullet"/>
      </w:pPr>
      <w:r w:rsidRPr="00A16A93">
        <w:t>children of all ages should eat at least two servings of fruit per day</w:t>
      </w:r>
    </w:p>
    <w:p w:rsidR="00A16A93" w:rsidRPr="00A16A93" w:rsidRDefault="00A16A93" w:rsidP="00140171">
      <w:pPr>
        <w:pStyle w:val="Bullet"/>
      </w:pPr>
      <w:r w:rsidRPr="00A16A93">
        <w:t>children aged 2–4 years should eat at least two servings of vegetables per day</w:t>
      </w:r>
    </w:p>
    <w:p w:rsidR="00A16A93" w:rsidRPr="00A16A93" w:rsidRDefault="00A16A93" w:rsidP="00140171">
      <w:pPr>
        <w:pStyle w:val="Bullet"/>
      </w:pPr>
      <w:r w:rsidRPr="00A16A93">
        <w:t>children aged 5–14 years should eat at least three servings of vegetables per day.</w:t>
      </w:r>
    </w:p>
    <w:p w:rsidR="00A16A93" w:rsidRPr="00A16A93" w:rsidRDefault="00A16A93" w:rsidP="00140171"/>
    <w:p w:rsidR="00A16A93" w:rsidRPr="00A16A93" w:rsidRDefault="00A16A93" w:rsidP="00140171">
      <w:r w:rsidRPr="00A16A93">
        <w:t>For the purposes of this indicator, ‘fruit’ includes any fresh, frozen, canned or stewed fruit, but does not include fruit juice or dried fruit. One serving of fruit means one medium-sized piece of fruit, two small pieces of fruit or half a cup of stewed fruit. For example, one apple and two small apricots is equal to two servings.</w:t>
      </w:r>
    </w:p>
    <w:p w:rsidR="00A16A93" w:rsidRPr="00A16A93" w:rsidRDefault="00A16A93" w:rsidP="00140171"/>
    <w:p w:rsidR="00A16A93" w:rsidRPr="00A16A93" w:rsidRDefault="00A16A93" w:rsidP="00140171">
      <w:r w:rsidRPr="00A16A93">
        <w:t>‘Vegetable’ includes any fresh, frozen and canned vegetables, but does not include vegetable juices. One serving of vegetables means one medium-sized potato/kumara, half a cup of cooked vegetables or one cup of salad vegetables. For example, two medium-sized potatoes and half a cup of peas is equal to three servings.</w:t>
      </w:r>
    </w:p>
    <w:p w:rsidR="00A16A93" w:rsidRPr="00A16A93" w:rsidRDefault="00A16A93" w:rsidP="00140171"/>
    <w:p w:rsidR="00A16A93" w:rsidRPr="00A16A93" w:rsidRDefault="00A16A93" w:rsidP="00140171">
      <w:pPr>
        <w:pStyle w:val="Heading3"/>
      </w:pPr>
      <w:bookmarkStart w:id="66" w:name="_Toc480457772"/>
      <w:r w:rsidRPr="00A16A93">
        <w:t>Baseline performance</w:t>
      </w:r>
      <w:bookmarkEnd w:id="66"/>
    </w:p>
    <w:p w:rsidR="00A16A93" w:rsidRPr="00A16A93" w:rsidRDefault="00A16A93" w:rsidP="00140171">
      <w:r w:rsidRPr="00A16A93">
        <w:t>This report presents the baseline data for both measures by sex, age group, ethnic group and neighbourhood deprivation quintile. The data comes from the New Zealand Health Survey, and has been collected annually since 2011/12.</w:t>
      </w:r>
    </w:p>
    <w:p w:rsidR="00A16A93" w:rsidRPr="00A16A93" w:rsidRDefault="00A16A93" w:rsidP="00140171"/>
    <w:p w:rsidR="00A16A93" w:rsidRPr="00A16A93" w:rsidRDefault="00A16A93" w:rsidP="00140171">
      <w:pPr>
        <w:pStyle w:val="Heading4"/>
      </w:pPr>
      <w:r w:rsidRPr="00A16A93">
        <w:lastRenderedPageBreak/>
        <w:t>Fruit intake</w:t>
      </w:r>
    </w:p>
    <w:p w:rsidR="00A16A93" w:rsidRPr="00A16A93" w:rsidRDefault="00A16A93" w:rsidP="00140171">
      <w:pPr>
        <w:pStyle w:val="Table"/>
      </w:pPr>
      <w:bookmarkStart w:id="67" w:name="_Toc480534259"/>
      <w:r w:rsidRPr="00A16A93">
        <w:t>Table 7: Percentage of children (aged 2–14 years) who eat at least two servings of fruit each day, by group, 2015/16</w:t>
      </w:r>
      <w:bookmarkEnd w:id="67"/>
    </w:p>
    <w:tbl>
      <w:tblPr>
        <w:tblW w:w="0" w:type="auto"/>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2694"/>
        <w:gridCol w:w="992"/>
        <w:gridCol w:w="992"/>
        <w:gridCol w:w="992"/>
        <w:gridCol w:w="3686"/>
      </w:tblGrid>
      <w:tr w:rsidR="00A16A93" w:rsidRPr="00140171" w:rsidTr="00140171">
        <w:trPr>
          <w:cantSplit/>
        </w:trPr>
        <w:tc>
          <w:tcPr>
            <w:tcW w:w="2694" w:type="dxa"/>
            <w:tcBorders>
              <w:top w:val="single" w:sz="4" w:space="0" w:color="auto"/>
              <w:bottom w:val="single" w:sz="4" w:space="0" w:color="auto"/>
            </w:tcBorders>
          </w:tcPr>
          <w:p w:rsidR="00A16A93" w:rsidRPr="00140171" w:rsidRDefault="00A16A93" w:rsidP="003E71FA">
            <w:pPr>
              <w:pStyle w:val="TableText"/>
              <w:keepNext/>
              <w:rPr>
                <w:b/>
              </w:rPr>
            </w:pPr>
          </w:p>
        </w:tc>
        <w:tc>
          <w:tcPr>
            <w:tcW w:w="992" w:type="dxa"/>
            <w:tcBorders>
              <w:top w:val="single" w:sz="4" w:space="0" w:color="auto"/>
              <w:bottom w:val="single" w:sz="4" w:space="0" w:color="auto"/>
            </w:tcBorders>
          </w:tcPr>
          <w:p w:rsidR="00A16A93" w:rsidRPr="00140171" w:rsidRDefault="00A16A93" w:rsidP="006307E0">
            <w:pPr>
              <w:pStyle w:val="TableText"/>
              <w:jc w:val="center"/>
              <w:rPr>
                <w:b/>
              </w:rPr>
            </w:pPr>
            <w:r w:rsidRPr="00140171">
              <w:rPr>
                <w:b/>
              </w:rPr>
              <w:t>Total</w:t>
            </w:r>
          </w:p>
        </w:tc>
        <w:tc>
          <w:tcPr>
            <w:tcW w:w="992" w:type="dxa"/>
            <w:tcBorders>
              <w:top w:val="single" w:sz="4" w:space="0" w:color="auto"/>
              <w:bottom w:val="single" w:sz="4" w:space="0" w:color="auto"/>
            </w:tcBorders>
          </w:tcPr>
          <w:p w:rsidR="00A16A93" w:rsidRPr="00140171" w:rsidRDefault="00A16A93" w:rsidP="006307E0">
            <w:pPr>
              <w:pStyle w:val="TableText"/>
              <w:jc w:val="center"/>
              <w:rPr>
                <w:b/>
              </w:rPr>
            </w:pPr>
            <w:r w:rsidRPr="00140171">
              <w:rPr>
                <w:b/>
              </w:rPr>
              <w:t>Boys</w:t>
            </w:r>
          </w:p>
        </w:tc>
        <w:tc>
          <w:tcPr>
            <w:tcW w:w="992" w:type="dxa"/>
            <w:tcBorders>
              <w:top w:val="single" w:sz="4" w:space="0" w:color="auto"/>
              <w:bottom w:val="single" w:sz="4" w:space="0" w:color="auto"/>
            </w:tcBorders>
          </w:tcPr>
          <w:p w:rsidR="00A16A93" w:rsidRPr="00140171" w:rsidRDefault="00A16A93" w:rsidP="006307E0">
            <w:pPr>
              <w:pStyle w:val="TableText"/>
              <w:jc w:val="center"/>
              <w:rPr>
                <w:b/>
              </w:rPr>
            </w:pPr>
            <w:r w:rsidRPr="00140171">
              <w:rPr>
                <w:b/>
              </w:rPr>
              <w:t>Girls</w:t>
            </w:r>
          </w:p>
        </w:tc>
        <w:tc>
          <w:tcPr>
            <w:tcW w:w="3686" w:type="dxa"/>
            <w:tcBorders>
              <w:top w:val="single" w:sz="4" w:space="0" w:color="auto"/>
              <w:bottom w:val="single" w:sz="4" w:space="0" w:color="auto"/>
            </w:tcBorders>
          </w:tcPr>
          <w:p w:rsidR="00A16A93" w:rsidRPr="00140171" w:rsidRDefault="00A16A93" w:rsidP="006307E0">
            <w:pPr>
              <w:pStyle w:val="TableText"/>
              <w:jc w:val="center"/>
              <w:rPr>
                <w:b/>
                <w:bCs/>
              </w:rPr>
            </w:pPr>
            <w:r w:rsidRPr="00140171">
              <w:rPr>
                <w:b/>
              </w:rPr>
              <w:t>Estimated number of children (95% CI)</w:t>
            </w:r>
          </w:p>
        </w:tc>
      </w:tr>
      <w:tr w:rsidR="00140171" w:rsidRPr="00A16A93" w:rsidTr="00140171">
        <w:trPr>
          <w:cantSplit/>
        </w:trPr>
        <w:tc>
          <w:tcPr>
            <w:tcW w:w="2694" w:type="dxa"/>
            <w:tcBorders>
              <w:top w:val="single" w:sz="4" w:space="0" w:color="auto"/>
            </w:tcBorders>
          </w:tcPr>
          <w:p w:rsidR="00140171" w:rsidRPr="00140171" w:rsidRDefault="00140171" w:rsidP="003E71FA">
            <w:pPr>
              <w:pStyle w:val="TableText"/>
              <w:keepNext/>
              <w:rPr>
                <w:b/>
              </w:rPr>
            </w:pPr>
            <w:r w:rsidRPr="00140171">
              <w:rPr>
                <w:b/>
              </w:rPr>
              <w:t>Population group</w:t>
            </w:r>
          </w:p>
        </w:tc>
        <w:tc>
          <w:tcPr>
            <w:tcW w:w="992" w:type="dxa"/>
            <w:tcBorders>
              <w:top w:val="single" w:sz="4" w:space="0" w:color="auto"/>
            </w:tcBorders>
          </w:tcPr>
          <w:p w:rsidR="00140171" w:rsidRPr="00140171" w:rsidRDefault="00140171" w:rsidP="006307E0">
            <w:pPr>
              <w:pStyle w:val="TableText"/>
              <w:jc w:val="center"/>
            </w:pPr>
          </w:p>
        </w:tc>
        <w:tc>
          <w:tcPr>
            <w:tcW w:w="992" w:type="dxa"/>
            <w:tcBorders>
              <w:top w:val="single" w:sz="4" w:space="0" w:color="auto"/>
            </w:tcBorders>
          </w:tcPr>
          <w:p w:rsidR="00140171" w:rsidRPr="00140171" w:rsidRDefault="00140171" w:rsidP="006307E0">
            <w:pPr>
              <w:pStyle w:val="TableText"/>
              <w:jc w:val="center"/>
            </w:pPr>
          </w:p>
        </w:tc>
        <w:tc>
          <w:tcPr>
            <w:tcW w:w="992" w:type="dxa"/>
            <w:tcBorders>
              <w:top w:val="single" w:sz="4" w:space="0" w:color="auto"/>
            </w:tcBorders>
          </w:tcPr>
          <w:p w:rsidR="00140171" w:rsidRPr="00140171" w:rsidRDefault="00140171" w:rsidP="006307E0">
            <w:pPr>
              <w:pStyle w:val="TableText"/>
              <w:jc w:val="center"/>
            </w:pPr>
          </w:p>
        </w:tc>
        <w:tc>
          <w:tcPr>
            <w:tcW w:w="3686" w:type="dxa"/>
            <w:tcBorders>
              <w:top w:val="single" w:sz="4" w:space="0" w:color="auto"/>
            </w:tcBorders>
          </w:tcPr>
          <w:p w:rsidR="00140171" w:rsidRPr="00140171" w:rsidRDefault="00140171" w:rsidP="006307E0">
            <w:pPr>
              <w:pStyle w:val="TableText"/>
              <w:tabs>
                <w:tab w:val="decimal" w:pos="1237"/>
              </w:tabs>
            </w:pPr>
          </w:p>
        </w:tc>
      </w:tr>
      <w:tr w:rsidR="00A16A93" w:rsidRPr="00A16A93" w:rsidTr="00140171">
        <w:trPr>
          <w:cantSplit/>
        </w:trPr>
        <w:tc>
          <w:tcPr>
            <w:tcW w:w="2694" w:type="dxa"/>
            <w:tcBorders>
              <w:bottom w:val="single" w:sz="4" w:space="0" w:color="auto"/>
            </w:tcBorders>
          </w:tcPr>
          <w:p w:rsidR="00A16A93" w:rsidRPr="00140171" w:rsidRDefault="00A16A93" w:rsidP="003E71FA">
            <w:pPr>
              <w:pStyle w:val="TableText"/>
              <w:keepNext/>
            </w:pPr>
            <w:r w:rsidRPr="00140171">
              <w:t>Total</w:t>
            </w:r>
          </w:p>
        </w:tc>
        <w:tc>
          <w:tcPr>
            <w:tcW w:w="992" w:type="dxa"/>
            <w:tcBorders>
              <w:bottom w:val="single" w:sz="4" w:space="0" w:color="auto"/>
            </w:tcBorders>
          </w:tcPr>
          <w:p w:rsidR="00A16A93" w:rsidRPr="00140171" w:rsidRDefault="00A16A93" w:rsidP="006307E0">
            <w:pPr>
              <w:pStyle w:val="TableText"/>
              <w:jc w:val="center"/>
            </w:pPr>
            <w:r w:rsidRPr="00140171">
              <w:t>73.6%</w:t>
            </w:r>
          </w:p>
        </w:tc>
        <w:tc>
          <w:tcPr>
            <w:tcW w:w="992" w:type="dxa"/>
            <w:tcBorders>
              <w:bottom w:val="single" w:sz="4" w:space="0" w:color="auto"/>
            </w:tcBorders>
          </w:tcPr>
          <w:p w:rsidR="00A16A93" w:rsidRPr="00140171" w:rsidRDefault="00A16A93" w:rsidP="006307E0">
            <w:pPr>
              <w:pStyle w:val="TableText"/>
              <w:jc w:val="center"/>
            </w:pPr>
            <w:r w:rsidRPr="00140171">
              <w:t>73.4%</w:t>
            </w:r>
          </w:p>
        </w:tc>
        <w:tc>
          <w:tcPr>
            <w:tcW w:w="992" w:type="dxa"/>
            <w:tcBorders>
              <w:bottom w:val="single" w:sz="4" w:space="0" w:color="auto"/>
            </w:tcBorders>
          </w:tcPr>
          <w:p w:rsidR="00A16A93" w:rsidRPr="00140171" w:rsidRDefault="00A16A93" w:rsidP="006307E0">
            <w:pPr>
              <w:pStyle w:val="TableText"/>
              <w:jc w:val="center"/>
            </w:pPr>
            <w:r w:rsidRPr="00140171">
              <w:t>73.9%</w:t>
            </w:r>
          </w:p>
        </w:tc>
        <w:tc>
          <w:tcPr>
            <w:tcW w:w="3686" w:type="dxa"/>
            <w:tcBorders>
              <w:bottom w:val="single" w:sz="4" w:space="0" w:color="auto"/>
            </w:tcBorders>
          </w:tcPr>
          <w:p w:rsidR="00A16A93" w:rsidRPr="00140171" w:rsidRDefault="00A16A93" w:rsidP="006307E0">
            <w:pPr>
              <w:pStyle w:val="TableText"/>
              <w:tabs>
                <w:tab w:val="decimal" w:pos="1237"/>
              </w:tabs>
            </w:pPr>
            <w:r w:rsidRPr="00140171">
              <w:t>584,000</w:t>
            </w:r>
            <w:r w:rsidR="00140171">
              <w:t xml:space="preserve"> </w:t>
            </w:r>
            <w:r w:rsidRPr="00140171">
              <w:t>(569,000–599,000)</w:t>
            </w:r>
          </w:p>
        </w:tc>
      </w:tr>
      <w:tr w:rsidR="00A16A93" w:rsidRPr="00A16A93" w:rsidTr="00140171">
        <w:trPr>
          <w:cantSplit/>
        </w:trPr>
        <w:tc>
          <w:tcPr>
            <w:tcW w:w="2694" w:type="dxa"/>
            <w:tcBorders>
              <w:top w:val="single" w:sz="4" w:space="0" w:color="auto"/>
              <w:bottom w:val="single" w:sz="4" w:space="0" w:color="A6A6A6" w:themeColor="background1" w:themeShade="A6"/>
            </w:tcBorders>
          </w:tcPr>
          <w:p w:rsidR="00A16A93" w:rsidRPr="00140171" w:rsidRDefault="00A16A93" w:rsidP="003E71FA">
            <w:pPr>
              <w:pStyle w:val="TableText"/>
              <w:keepNext/>
              <w:rPr>
                <w:b/>
              </w:rPr>
            </w:pPr>
            <w:r w:rsidRPr="00140171">
              <w:rPr>
                <w:b/>
              </w:rPr>
              <w:t>Age group (years)</w:t>
            </w:r>
          </w:p>
        </w:tc>
        <w:tc>
          <w:tcPr>
            <w:tcW w:w="992" w:type="dxa"/>
            <w:tcBorders>
              <w:top w:val="single" w:sz="4" w:space="0" w:color="auto"/>
              <w:bottom w:val="single" w:sz="4" w:space="0" w:color="A6A6A6" w:themeColor="background1" w:themeShade="A6"/>
            </w:tcBorders>
          </w:tcPr>
          <w:p w:rsidR="00A16A93" w:rsidRPr="00140171" w:rsidRDefault="00A16A93" w:rsidP="006307E0">
            <w:pPr>
              <w:pStyle w:val="TableText"/>
              <w:jc w:val="center"/>
            </w:pPr>
          </w:p>
        </w:tc>
        <w:tc>
          <w:tcPr>
            <w:tcW w:w="992" w:type="dxa"/>
            <w:tcBorders>
              <w:top w:val="single" w:sz="4" w:space="0" w:color="auto"/>
              <w:bottom w:val="single" w:sz="4" w:space="0" w:color="A6A6A6" w:themeColor="background1" w:themeShade="A6"/>
            </w:tcBorders>
          </w:tcPr>
          <w:p w:rsidR="00A16A93" w:rsidRPr="00140171" w:rsidRDefault="00A16A93" w:rsidP="006307E0">
            <w:pPr>
              <w:pStyle w:val="TableText"/>
              <w:jc w:val="center"/>
            </w:pPr>
          </w:p>
        </w:tc>
        <w:tc>
          <w:tcPr>
            <w:tcW w:w="992" w:type="dxa"/>
            <w:tcBorders>
              <w:top w:val="single" w:sz="4" w:space="0" w:color="auto"/>
              <w:bottom w:val="single" w:sz="4" w:space="0" w:color="A6A6A6" w:themeColor="background1" w:themeShade="A6"/>
            </w:tcBorders>
          </w:tcPr>
          <w:p w:rsidR="00A16A93" w:rsidRPr="00140171" w:rsidRDefault="00A16A93" w:rsidP="006307E0">
            <w:pPr>
              <w:pStyle w:val="TableText"/>
              <w:jc w:val="center"/>
            </w:pPr>
          </w:p>
        </w:tc>
        <w:tc>
          <w:tcPr>
            <w:tcW w:w="3686" w:type="dxa"/>
            <w:tcBorders>
              <w:top w:val="single" w:sz="4" w:space="0" w:color="auto"/>
              <w:bottom w:val="single" w:sz="4" w:space="0" w:color="A6A6A6" w:themeColor="background1" w:themeShade="A6"/>
            </w:tcBorders>
          </w:tcPr>
          <w:p w:rsidR="00A16A93" w:rsidRPr="00140171" w:rsidRDefault="00A16A93" w:rsidP="006307E0">
            <w:pPr>
              <w:pStyle w:val="TableText"/>
              <w:tabs>
                <w:tab w:val="decimal" w:pos="1237"/>
              </w:tabs>
            </w:pPr>
          </w:p>
        </w:tc>
      </w:tr>
      <w:tr w:rsidR="00A16A93" w:rsidRPr="00A16A93" w:rsidTr="00140171">
        <w:trPr>
          <w:cantSplit/>
        </w:trPr>
        <w:tc>
          <w:tcPr>
            <w:tcW w:w="2694" w:type="dxa"/>
            <w:tcBorders>
              <w:top w:val="single" w:sz="4" w:space="0" w:color="A6A6A6" w:themeColor="background1" w:themeShade="A6"/>
              <w:bottom w:val="single" w:sz="4" w:space="0" w:color="A6A6A6" w:themeColor="background1" w:themeShade="A6"/>
            </w:tcBorders>
          </w:tcPr>
          <w:p w:rsidR="00A16A93" w:rsidRPr="00140171" w:rsidRDefault="00A16A93" w:rsidP="003E71FA">
            <w:pPr>
              <w:pStyle w:val="TableText"/>
              <w:keepNext/>
            </w:pPr>
            <w:r w:rsidRPr="00140171">
              <w:t>2–4</w:t>
            </w:r>
          </w:p>
        </w:tc>
        <w:tc>
          <w:tcPr>
            <w:tcW w:w="992" w:type="dxa"/>
            <w:tcBorders>
              <w:top w:val="single" w:sz="4" w:space="0" w:color="A6A6A6" w:themeColor="background1" w:themeShade="A6"/>
              <w:bottom w:val="single" w:sz="4" w:space="0" w:color="A6A6A6" w:themeColor="background1" w:themeShade="A6"/>
            </w:tcBorders>
          </w:tcPr>
          <w:p w:rsidR="00A16A93" w:rsidRPr="00140171" w:rsidRDefault="00A16A93" w:rsidP="006307E0">
            <w:pPr>
              <w:pStyle w:val="TableText"/>
              <w:jc w:val="center"/>
            </w:pPr>
            <w:r w:rsidRPr="00140171">
              <w:t>80.2%</w:t>
            </w:r>
          </w:p>
        </w:tc>
        <w:tc>
          <w:tcPr>
            <w:tcW w:w="992" w:type="dxa"/>
            <w:tcBorders>
              <w:top w:val="single" w:sz="4" w:space="0" w:color="A6A6A6" w:themeColor="background1" w:themeShade="A6"/>
              <w:bottom w:val="single" w:sz="4" w:space="0" w:color="A6A6A6" w:themeColor="background1" w:themeShade="A6"/>
            </w:tcBorders>
          </w:tcPr>
          <w:p w:rsidR="00A16A93" w:rsidRPr="00140171" w:rsidRDefault="00A16A93" w:rsidP="006307E0">
            <w:pPr>
              <w:pStyle w:val="TableText"/>
              <w:jc w:val="center"/>
            </w:pPr>
            <w:r w:rsidRPr="00140171">
              <w:t>80.6%</w:t>
            </w:r>
          </w:p>
        </w:tc>
        <w:tc>
          <w:tcPr>
            <w:tcW w:w="992" w:type="dxa"/>
            <w:tcBorders>
              <w:top w:val="single" w:sz="4" w:space="0" w:color="A6A6A6" w:themeColor="background1" w:themeShade="A6"/>
              <w:bottom w:val="single" w:sz="4" w:space="0" w:color="A6A6A6" w:themeColor="background1" w:themeShade="A6"/>
            </w:tcBorders>
          </w:tcPr>
          <w:p w:rsidR="00A16A93" w:rsidRPr="00140171" w:rsidRDefault="00A16A93" w:rsidP="006307E0">
            <w:pPr>
              <w:pStyle w:val="TableText"/>
              <w:jc w:val="center"/>
            </w:pPr>
            <w:r w:rsidRPr="00140171">
              <w:t>79.7%</w:t>
            </w:r>
          </w:p>
        </w:tc>
        <w:tc>
          <w:tcPr>
            <w:tcW w:w="3686" w:type="dxa"/>
            <w:tcBorders>
              <w:top w:val="single" w:sz="4" w:space="0" w:color="A6A6A6" w:themeColor="background1" w:themeShade="A6"/>
              <w:bottom w:val="single" w:sz="4" w:space="0" w:color="A6A6A6" w:themeColor="background1" w:themeShade="A6"/>
            </w:tcBorders>
          </w:tcPr>
          <w:p w:rsidR="00A16A93" w:rsidRPr="00140171" w:rsidRDefault="00A16A93" w:rsidP="006307E0">
            <w:pPr>
              <w:pStyle w:val="TableText"/>
              <w:tabs>
                <w:tab w:val="decimal" w:pos="1237"/>
              </w:tabs>
            </w:pPr>
            <w:r w:rsidRPr="00140171">
              <w:t>144,000</w:t>
            </w:r>
            <w:r w:rsidR="00140171">
              <w:t xml:space="preserve"> </w:t>
            </w:r>
            <w:r w:rsidRPr="00140171">
              <w:t>(138,000–150,000)</w:t>
            </w:r>
          </w:p>
        </w:tc>
      </w:tr>
      <w:tr w:rsidR="00A16A93" w:rsidRPr="00A16A93" w:rsidTr="00140171">
        <w:trPr>
          <w:cantSplit/>
        </w:trPr>
        <w:tc>
          <w:tcPr>
            <w:tcW w:w="2694" w:type="dxa"/>
            <w:tcBorders>
              <w:top w:val="single" w:sz="4" w:space="0" w:color="A6A6A6" w:themeColor="background1" w:themeShade="A6"/>
              <w:bottom w:val="single" w:sz="4" w:space="0" w:color="A6A6A6" w:themeColor="background1" w:themeShade="A6"/>
            </w:tcBorders>
          </w:tcPr>
          <w:p w:rsidR="00A16A93" w:rsidRPr="00140171" w:rsidRDefault="00A16A93" w:rsidP="003E71FA">
            <w:pPr>
              <w:pStyle w:val="TableText"/>
              <w:keepNext/>
            </w:pPr>
            <w:r w:rsidRPr="00140171">
              <w:t>5–9</w:t>
            </w:r>
          </w:p>
        </w:tc>
        <w:tc>
          <w:tcPr>
            <w:tcW w:w="992" w:type="dxa"/>
            <w:tcBorders>
              <w:top w:val="single" w:sz="4" w:space="0" w:color="A6A6A6" w:themeColor="background1" w:themeShade="A6"/>
              <w:bottom w:val="single" w:sz="4" w:space="0" w:color="A6A6A6" w:themeColor="background1" w:themeShade="A6"/>
            </w:tcBorders>
          </w:tcPr>
          <w:p w:rsidR="00A16A93" w:rsidRPr="00140171" w:rsidRDefault="00A16A93" w:rsidP="006307E0">
            <w:pPr>
              <w:pStyle w:val="TableText"/>
              <w:jc w:val="center"/>
            </w:pPr>
            <w:r w:rsidRPr="00140171">
              <w:t>76.2%</w:t>
            </w:r>
          </w:p>
        </w:tc>
        <w:tc>
          <w:tcPr>
            <w:tcW w:w="992" w:type="dxa"/>
            <w:tcBorders>
              <w:top w:val="single" w:sz="4" w:space="0" w:color="A6A6A6" w:themeColor="background1" w:themeShade="A6"/>
              <w:bottom w:val="single" w:sz="4" w:space="0" w:color="A6A6A6" w:themeColor="background1" w:themeShade="A6"/>
            </w:tcBorders>
          </w:tcPr>
          <w:p w:rsidR="00A16A93" w:rsidRPr="00140171" w:rsidRDefault="00A16A93" w:rsidP="006307E0">
            <w:pPr>
              <w:pStyle w:val="TableText"/>
              <w:jc w:val="center"/>
            </w:pPr>
            <w:r w:rsidRPr="00140171">
              <w:t>74.8%</w:t>
            </w:r>
          </w:p>
        </w:tc>
        <w:tc>
          <w:tcPr>
            <w:tcW w:w="992" w:type="dxa"/>
            <w:tcBorders>
              <w:top w:val="single" w:sz="4" w:space="0" w:color="A6A6A6" w:themeColor="background1" w:themeShade="A6"/>
              <w:bottom w:val="single" w:sz="4" w:space="0" w:color="A6A6A6" w:themeColor="background1" w:themeShade="A6"/>
            </w:tcBorders>
          </w:tcPr>
          <w:p w:rsidR="00A16A93" w:rsidRPr="00140171" w:rsidRDefault="00A16A93" w:rsidP="006307E0">
            <w:pPr>
              <w:pStyle w:val="TableText"/>
              <w:jc w:val="center"/>
            </w:pPr>
            <w:r w:rsidRPr="00140171">
              <w:t>77.7%</w:t>
            </w:r>
          </w:p>
        </w:tc>
        <w:tc>
          <w:tcPr>
            <w:tcW w:w="3686" w:type="dxa"/>
            <w:tcBorders>
              <w:top w:val="single" w:sz="4" w:space="0" w:color="A6A6A6" w:themeColor="background1" w:themeShade="A6"/>
              <w:bottom w:val="single" w:sz="4" w:space="0" w:color="A6A6A6" w:themeColor="background1" w:themeShade="A6"/>
            </w:tcBorders>
          </w:tcPr>
          <w:p w:rsidR="00A16A93" w:rsidRPr="00140171" w:rsidRDefault="00A16A93" w:rsidP="006307E0">
            <w:pPr>
              <w:pStyle w:val="TableText"/>
              <w:tabs>
                <w:tab w:val="decimal" w:pos="1237"/>
              </w:tabs>
            </w:pPr>
            <w:r w:rsidRPr="00140171">
              <w:t>244,000</w:t>
            </w:r>
            <w:r w:rsidR="00140171">
              <w:t xml:space="preserve"> </w:t>
            </w:r>
            <w:r w:rsidRPr="00140171">
              <w:t>(235,000–252,000)</w:t>
            </w:r>
          </w:p>
        </w:tc>
      </w:tr>
      <w:tr w:rsidR="00A16A93" w:rsidRPr="00A16A93" w:rsidTr="00140171">
        <w:trPr>
          <w:cantSplit/>
        </w:trPr>
        <w:tc>
          <w:tcPr>
            <w:tcW w:w="2694" w:type="dxa"/>
            <w:tcBorders>
              <w:top w:val="single" w:sz="4" w:space="0" w:color="A6A6A6" w:themeColor="background1" w:themeShade="A6"/>
              <w:bottom w:val="single" w:sz="4" w:space="0" w:color="auto"/>
            </w:tcBorders>
          </w:tcPr>
          <w:p w:rsidR="00A16A93" w:rsidRPr="00140171" w:rsidRDefault="00A16A93" w:rsidP="003E71FA">
            <w:pPr>
              <w:pStyle w:val="TableText"/>
              <w:keepNext/>
            </w:pPr>
            <w:r w:rsidRPr="00140171">
              <w:t>10–14</w:t>
            </w:r>
          </w:p>
        </w:tc>
        <w:tc>
          <w:tcPr>
            <w:tcW w:w="992" w:type="dxa"/>
            <w:tcBorders>
              <w:top w:val="single" w:sz="4" w:space="0" w:color="A6A6A6" w:themeColor="background1" w:themeShade="A6"/>
              <w:bottom w:val="single" w:sz="4" w:space="0" w:color="auto"/>
            </w:tcBorders>
          </w:tcPr>
          <w:p w:rsidR="00A16A93" w:rsidRPr="00140171" w:rsidRDefault="00A16A93" w:rsidP="006307E0">
            <w:pPr>
              <w:pStyle w:val="TableText"/>
              <w:jc w:val="center"/>
            </w:pPr>
            <w:r w:rsidRPr="00140171">
              <w:t>66.9%</w:t>
            </w:r>
          </w:p>
        </w:tc>
        <w:tc>
          <w:tcPr>
            <w:tcW w:w="992" w:type="dxa"/>
            <w:tcBorders>
              <w:top w:val="single" w:sz="4" w:space="0" w:color="A6A6A6" w:themeColor="background1" w:themeShade="A6"/>
              <w:bottom w:val="single" w:sz="4" w:space="0" w:color="auto"/>
            </w:tcBorders>
          </w:tcPr>
          <w:p w:rsidR="00A16A93" w:rsidRPr="00140171" w:rsidRDefault="00A16A93" w:rsidP="006307E0">
            <w:pPr>
              <w:pStyle w:val="TableText"/>
              <w:jc w:val="center"/>
            </w:pPr>
            <w:r w:rsidRPr="00140171">
              <w:t>67.5%</w:t>
            </w:r>
          </w:p>
        </w:tc>
        <w:tc>
          <w:tcPr>
            <w:tcW w:w="992" w:type="dxa"/>
            <w:tcBorders>
              <w:top w:val="single" w:sz="4" w:space="0" w:color="A6A6A6" w:themeColor="background1" w:themeShade="A6"/>
              <w:bottom w:val="single" w:sz="4" w:space="0" w:color="auto"/>
            </w:tcBorders>
          </w:tcPr>
          <w:p w:rsidR="00A16A93" w:rsidRPr="00140171" w:rsidRDefault="00A16A93" w:rsidP="006307E0">
            <w:pPr>
              <w:pStyle w:val="TableText"/>
              <w:jc w:val="center"/>
            </w:pPr>
            <w:r w:rsidRPr="00140171">
              <w:t>66.2%</w:t>
            </w:r>
          </w:p>
        </w:tc>
        <w:tc>
          <w:tcPr>
            <w:tcW w:w="3686" w:type="dxa"/>
            <w:tcBorders>
              <w:top w:val="single" w:sz="4" w:space="0" w:color="A6A6A6" w:themeColor="background1" w:themeShade="A6"/>
              <w:bottom w:val="single" w:sz="4" w:space="0" w:color="auto"/>
            </w:tcBorders>
          </w:tcPr>
          <w:p w:rsidR="00A16A93" w:rsidRPr="00140171" w:rsidRDefault="00A16A93" w:rsidP="006307E0">
            <w:pPr>
              <w:pStyle w:val="TableText"/>
              <w:tabs>
                <w:tab w:val="decimal" w:pos="1237"/>
              </w:tabs>
            </w:pPr>
            <w:r w:rsidRPr="00140171">
              <w:t>196,000</w:t>
            </w:r>
            <w:r w:rsidR="00140171">
              <w:t xml:space="preserve"> </w:t>
            </w:r>
            <w:r w:rsidRPr="00140171">
              <w:t>(185,000–206,000)</w:t>
            </w:r>
          </w:p>
        </w:tc>
      </w:tr>
      <w:tr w:rsidR="00A16A93" w:rsidRPr="00A16A93" w:rsidTr="00140171">
        <w:trPr>
          <w:cantSplit/>
        </w:trPr>
        <w:tc>
          <w:tcPr>
            <w:tcW w:w="2694" w:type="dxa"/>
            <w:tcBorders>
              <w:top w:val="single" w:sz="4" w:space="0" w:color="auto"/>
            </w:tcBorders>
          </w:tcPr>
          <w:p w:rsidR="00A16A93" w:rsidRPr="00140171" w:rsidRDefault="00A16A93" w:rsidP="003E71FA">
            <w:pPr>
              <w:pStyle w:val="TableText"/>
              <w:keepNext/>
              <w:rPr>
                <w:b/>
              </w:rPr>
            </w:pPr>
            <w:r w:rsidRPr="00140171">
              <w:rPr>
                <w:b/>
              </w:rPr>
              <w:t>Ethnic group</w:t>
            </w:r>
          </w:p>
        </w:tc>
        <w:tc>
          <w:tcPr>
            <w:tcW w:w="992" w:type="dxa"/>
            <w:tcBorders>
              <w:top w:val="single" w:sz="4" w:space="0" w:color="auto"/>
            </w:tcBorders>
          </w:tcPr>
          <w:p w:rsidR="00A16A93" w:rsidRPr="00140171" w:rsidRDefault="00A16A93" w:rsidP="006307E0">
            <w:pPr>
              <w:pStyle w:val="TableText"/>
              <w:jc w:val="center"/>
            </w:pPr>
          </w:p>
        </w:tc>
        <w:tc>
          <w:tcPr>
            <w:tcW w:w="992" w:type="dxa"/>
            <w:tcBorders>
              <w:top w:val="single" w:sz="4" w:space="0" w:color="auto"/>
            </w:tcBorders>
          </w:tcPr>
          <w:p w:rsidR="00A16A93" w:rsidRPr="00140171" w:rsidRDefault="00A16A93" w:rsidP="006307E0">
            <w:pPr>
              <w:pStyle w:val="TableText"/>
              <w:jc w:val="center"/>
            </w:pPr>
          </w:p>
        </w:tc>
        <w:tc>
          <w:tcPr>
            <w:tcW w:w="992" w:type="dxa"/>
            <w:tcBorders>
              <w:top w:val="single" w:sz="4" w:space="0" w:color="auto"/>
            </w:tcBorders>
          </w:tcPr>
          <w:p w:rsidR="00A16A93" w:rsidRPr="00140171" w:rsidRDefault="00A16A93" w:rsidP="006307E0">
            <w:pPr>
              <w:pStyle w:val="TableText"/>
              <w:jc w:val="center"/>
            </w:pPr>
          </w:p>
        </w:tc>
        <w:tc>
          <w:tcPr>
            <w:tcW w:w="3686" w:type="dxa"/>
            <w:tcBorders>
              <w:top w:val="single" w:sz="4" w:space="0" w:color="auto"/>
            </w:tcBorders>
          </w:tcPr>
          <w:p w:rsidR="00A16A93" w:rsidRPr="00140171" w:rsidRDefault="00A16A93" w:rsidP="006307E0">
            <w:pPr>
              <w:pStyle w:val="TableText"/>
              <w:tabs>
                <w:tab w:val="decimal" w:pos="1237"/>
              </w:tabs>
            </w:pPr>
          </w:p>
        </w:tc>
      </w:tr>
      <w:tr w:rsidR="00A16A93" w:rsidRPr="00A16A93" w:rsidTr="00140171">
        <w:trPr>
          <w:cantSplit/>
        </w:trPr>
        <w:tc>
          <w:tcPr>
            <w:tcW w:w="2694" w:type="dxa"/>
          </w:tcPr>
          <w:p w:rsidR="00A16A93" w:rsidRPr="00140171" w:rsidRDefault="00A16A93" w:rsidP="003E71FA">
            <w:pPr>
              <w:pStyle w:val="TableText"/>
              <w:keepNext/>
            </w:pPr>
            <w:r w:rsidRPr="00140171">
              <w:t>Māori</w:t>
            </w:r>
          </w:p>
        </w:tc>
        <w:tc>
          <w:tcPr>
            <w:tcW w:w="992" w:type="dxa"/>
          </w:tcPr>
          <w:p w:rsidR="00A16A93" w:rsidRPr="00140171" w:rsidRDefault="00A16A93" w:rsidP="006307E0">
            <w:pPr>
              <w:pStyle w:val="TableText"/>
              <w:jc w:val="center"/>
            </w:pPr>
            <w:r w:rsidRPr="00140171">
              <w:t>73.8%</w:t>
            </w:r>
          </w:p>
        </w:tc>
        <w:tc>
          <w:tcPr>
            <w:tcW w:w="992" w:type="dxa"/>
          </w:tcPr>
          <w:p w:rsidR="00A16A93" w:rsidRPr="00140171" w:rsidRDefault="00A16A93" w:rsidP="006307E0">
            <w:pPr>
              <w:pStyle w:val="TableText"/>
              <w:jc w:val="center"/>
            </w:pPr>
            <w:r w:rsidRPr="00140171">
              <w:t>71.0%</w:t>
            </w:r>
          </w:p>
        </w:tc>
        <w:tc>
          <w:tcPr>
            <w:tcW w:w="992" w:type="dxa"/>
          </w:tcPr>
          <w:p w:rsidR="00A16A93" w:rsidRPr="00140171" w:rsidRDefault="00A16A93" w:rsidP="006307E0">
            <w:pPr>
              <w:pStyle w:val="TableText"/>
              <w:jc w:val="center"/>
            </w:pPr>
            <w:r w:rsidRPr="00140171">
              <w:t>76.9%</w:t>
            </w:r>
          </w:p>
        </w:tc>
        <w:tc>
          <w:tcPr>
            <w:tcW w:w="3686" w:type="dxa"/>
          </w:tcPr>
          <w:p w:rsidR="00A16A93" w:rsidRPr="00140171" w:rsidRDefault="00A16A93" w:rsidP="006307E0">
            <w:pPr>
              <w:pStyle w:val="TableText"/>
              <w:tabs>
                <w:tab w:val="decimal" w:pos="1237"/>
              </w:tabs>
            </w:pPr>
            <w:r w:rsidRPr="00140171">
              <w:t>148,000</w:t>
            </w:r>
            <w:r w:rsidR="00140171">
              <w:t xml:space="preserve"> </w:t>
            </w:r>
            <w:r w:rsidRPr="00140171">
              <w:t>(142,000–154,000)</w:t>
            </w:r>
          </w:p>
        </w:tc>
      </w:tr>
      <w:tr w:rsidR="00A16A93" w:rsidRPr="00A16A93" w:rsidTr="00140171">
        <w:trPr>
          <w:cantSplit/>
        </w:trPr>
        <w:tc>
          <w:tcPr>
            <w:tcW w:w="2694" w:type="dxa"/>
          </w:tcPr>
          <w:p w:rsidR="00A16A93" w:rsidRPr="00140171" w:rsidRDefault="00A16A93" w:rsidP="00140171">
            <w:pPr>
              <w:pStyle w:val="TableText"/>
            </w:pPr>
            <w:r w:rsidRPr="00140171">
              <w:t>Pacific peoples</w:t>
            </w:r>
          </w:p>
        </w:tc>
        <w:tc>
          <w:tcPr>
            <w:tcW w:w="992" w:type="dxa"/>
          </w:tcPr>
          <w:p w:rsidR="00A16A93" w:rsidRPr="00140171" w:rsidRDefault="00A16A93" w:rsidP="00140171">
            <w:pPr>
              <w:pStyle w:val="TableText"/>
              <w:jc w:val="center"/>
            </w:pPr>
            <w:r w:rsidRPr="00140171">
              <w:t>70.4%</w:t>
            </w:r>
          </w:p>
        </w:tc>
        <w:tc>
          <w:tcPr>
            <w:tcW w:w="992" w:type="dxa"/>
          </w:tcPr>
          <w:p w:rsidR="00A16A93" w:rsidRPr="00140171" w:rsidRDefault="00A16A93" w:rsidP="00140171">
            <w:pPr>
              <w:pStyle w:val="TableText"/>
              <w:jc w:val="center"/>
            </w:pPr>
            <w:r w:rsidRPr="00140171">
              <w:t>66.4%</w:t>
            </w:r>
          </w:p>
        </w:tc>
        <w:tc>
          <w:tcPr>
            <w:tcW w:w="992" w:type="dxa"/>
          </w:tcPr>
          <w:p w:rsidR="00A16A93" w:rsidRPr="00140171" w:rsidRDefault="00A16A93" w:rsidP="00140171">
            <w:pPr>
              <w:pStyle w:val="TableText"/>
              <w:jc w:val="center"/>
            </w:pPr>
            <w:r w:rsidRPr="00140171">
              <w:t>74.7%</w:t>
            </w:r>
          </w:p>
        </w:tc>
        <w:tc>
          <w:tcPr>
            <w:tcW w:w="3686" w:type="dxa"/>
          </w:tcPr>
          <w:p w:rsidR="00A16A93" w:rsidRPr="00140171" w:rsidRDefault="00A16A93" w:rsidP="00140171">
            <w:pPr>
              <w:pStyle w:val="TableText"/>
              <w:tabs>
                <w:tab w:val="decimal" w:pos="1237"/>
              </w:tabs>
            </w:pPr>
            <w:r w:rsidRPr="00140171">
              <w:t>74,000</w:t>
            </w:r>
            <w:r w:rsidR="00140171">
              <w:t xml:space="preserve"> </w:t>
            </w:r>
            <w:r w:rsidRPr="00140171">
              <w:t>(69,000–78,000)</w:t>
            </w:r>
          </w:p>
        </w:tc>
      </w:tr>
      <w:tr w:rsidR="00A16A93" w:rsidRPr="00A16A93" w:rsidTr="00140171">
        <w:trPr>
          <w:cantSplit/>
        </w:trPr>
        <w:tc>
          <w:tcPr>
            <w:tcW w:w="2694" w:type="dxa"/>
          </w:tcPr>
          <w:p w:rsidR="00A16A93" w:rsidRPr="00140171" w:rsidRDefault="00A16A93" w:rsidP="00140171">
            <w:pPr>
              <w:pStyle w:val="TableText"/>
            </w:pPr>
            <w:r w:rsidRPr="00140171">
              <w:t>Asian</w:t>
            </w:r>
          </w:p>
        </w:tc>
        <w:tc>
          <w:tcPr>
            <w:tcW w:w="992" w:type="dxa"/>
          </w:tcPr>
          <w:p w:rsidR="00A16A93" w:rsidRPr="00140171" w:rsidRDefault="00A16A93" w:rsidP="00140171">
            <w:pPr>
              <w:pStyle w:val="TableText"/>
              <w:jc w:val="center"/>
            </w:pPr>
            <w:r w:rsidRPr="00140171">
              <w:t>59.8%</w:t>
            </w:r>
          </w:p>
        </w:tc>
        <w:tc>
          <w:tcPr>
            <w:tcW w:w="992" w:type="dxa"/>
          </w:tcPr>
          <w:p w:rsidR="00A16A93" w:rsidRPr="00140171" w:rsidRDefault="00A16A93" w:rsidP="00140171">
            <w:pPr>
              <w:pStyle w:val="TableText"/>
              <w:jc w:val="center"/>
            </w:pPr>
            <w:r w:rsidRPr="00140171">
              <w:t>55.4%</w:t>
            </w:r>
          </w:p>
        </w:tc>
        <w:tc>
          <w:tcPr>
            <w:tcW w:w="992" w:type="dxa"/>
          </w:tcPr>
          <w:p w:rsidR="00A16A93" w:rsidRPr="00140171" w:rsidRDefault="00A16A93" w:rsidP="00140171">
            <w:pPr>
              <w:pStyle w:val="TableText"/>
              <w:jc w:val="center"/>
            </w:pPr>
            <w:r w:rsidRPr="00140171">
              <w:t>64.1%</w:t>
            </w:r>
          </w:p>
        </w:tc>
        <w:tc>
          <w:tcPr>
            <w:tcW w:w="3686" w:type="dxa"/>
          </w:tcPr>
          <w:p w:rsidR="00A16A93" w:rsidRPr="00140171" w:rsidRDefault="00A16A93" w:rsidP="00140171">
            <w:pPr>
              <w:pStyle w:val="TableText"/>
              <w:tabs>
                <w:tab w:val="decimal" w:pos="1237"/>
              </w:tabs>
            </w:pPr>
            <w:r w:rsidRPr="00140171">
              <w:t>61,000</w:t>
            </w:r>
            <w:r w:rsidR="00140171">
              <w:t xml:space="preserve"> </w:t>
            </w:r>
            <w:r w:rsidRPr="00140171">
              <w:t>(55,000–67,000)</w:t>
            </w:r>
          </w:p>
        </w:tc>
      </w:tr>
      <w:tr w:rsidR="00A16A93" w:rsidRPr="00A16A93" w:rsidTr="00140171">
        <w:trPr>
          <w:cantSplit/>
        </w:trPr>
        <w:tc>
          <w:tcPr>
            <w:tcW w:w="2694" w:type="dxa"/>
            <w:tcBorders>
              <w:bottom w:val="single" w:sz="4" w:space="0" w:color="auto"/>
            </w:tcBorders>
          </w:tcPr>
          <w:p w:rsidR="00A16A93" w:rsidRPr="00140171" w:rsidRDefault="00A16A93" w:rsidP="00140171">
            <w:pPr>
              <w:pStyle w:val="TableText"/>
            </w:pPr>
            <w:r w:rsidRPr="00140171">
              <w:t>European/Other</w:t>
            </w:r>
          </w:p>
        </w:tc>
        <w:tc>
          <w:tcPr>
            <w:tcW w:w="992" w:type="dxa"/>
            <w:tcBorders>
              <w:bottom w:val="single" w:sz="4" w:space="0" w:color="auto"/>
            </w:tcBorders>
          </w:tcPr>
          <w:p w:rsidR="00A16A93" w:rsidRPr="00140171" w:rsidRDefault="00A16A93" w:rsidP="00140171">
            <w:pPr>
              <w:pStyle w:val="TableText"/>
              <w:jc w:val="center"/>
            </w:pPr>
            <w:r w:rsidRPr="00140171">
              <w:t>76.9%</w:t>
            </w:r>
          </w:p>
        </w:tc>
        <w:tc>
          <w:tcPr>
            <w:tcW w:w="992" w:type="dxa"/>
            <w:tcBorders>
              <w:bottom w:val="single" w:sz="4" w:space="0" w:color="auto"/>
            </w:tcBorders>
          </w:tcPr>
          <w:p w:rsidR="00A16A93" w:rsidRPr="00140171" w:rsidRDefault="00A16A93" w:rsidP="00140171">
            <w:pPr>
              <w:pStyle w:val="TableText"/>
              <w:jc w:val="center"/>
            </w:pPr>
            <w:r w:rsidRPr="00140171">
              <w:t>77.6%</w:t>
            </w:r>
          </w:p>
        </w:tc>
        <w:tc>
          <w:tcPr>
            <w:tcW w:w="992" w:type="dxa"/>
            <w:tcBorders>
              <w:bottom w:val="single" w:sz="4" w:space="0" w:color="auto"/>
            </w:tcBorders>
          </w:tcPr>
          <w:p w:rsidR="00A16A93" w:rsidRPr="00140171" w:rsidRDefault="00A16A93" w:rsidP="00140171">
            <w:pPr>
              <w:pStyle w:val="TableText"/>
              <w:jc w:val="center"/>
            </w:pPr>
            <w:r w:rsidRPr="00140171">
              <w:t>76.1%</w:t>
            </w:r>
          </w:p>
        </w:tc>
        <w:tc>
          <w:tcPr>
            <w:tcW w:w="3686" w:type="dxa"/>
            <w:tcBorders>
              <w:bottom w:val="single" w:sz="4" w:space="0" w:color="auto"/>
            </w:tcBorders>
          </w:tcPr>
          <w:p w:rsidR="00A16A93" w:rsidRPr="00140171" w:rsidRDefault="00A16A93" w:rsidP="00140171">
            <w:pPr>
              <w:pStyle w:val="TableText"/>
              <w:tabs>
                <w:tab w:val="decimal" w:pos="1237"/>
              </w:tabs>
            </w:pPr>
            <w:r w:rsidRPr="00140171">
              <w:t>434,000</w:t>
            </w:r>
            <w:r w:rsidR="00140171">
              <w:t xml:space="preserve"> </w:t>
            </w:r>
            <w:r w:rsidRPr="00140171">
              <w:t>(423,000–445,000)</w:t>
            </w:r>
          </w:p>
        </w:tc>
      </w:tr>
      <w:tr w:rsidR="00A16A93" w:rsidRPr="00A16A93" w:rsidTr="00140171">
        <w:trPr>
          <w:cantSplit/>
        </w:trPr>
        <w:tc>
          <w:tcPr>
            <w:tcW w:w="2694" w:type="dxa"/>
            <w:tcBorders>
              <w:top w:val="single" w:sz="4" w:space="0" w:color="auto"/>
              <w:bottom w:val="single" w:sz="4" w:space="0" w:color="A6A6A6" w:themeColor="background1" w:themeShade="A6"/>
            </w:tcBorders>
          </w:tcPr>
          <w:p w:rsidR="00A16A93" w:rsidRPr="00140171" w:rsidRDefault="00A16A93" w:rsidP="00140171">
            <w:pPr>
              <w:pStyle w:val="TableText"/>
              <w:rPr>
                <w:b/>
              </w:rPr>
            </w:pPr>
            <w:r w:rsidRPr="00140171">
              <w:rPr>
                <w:b/>
              </w:rPr>
              <w:t xml:space="preserve">Neighbourhood deprivation quintile (NZDep2013) </w:t>
            </w:r>
          </w:p>
        </w:tc>
        <w:tc>
          <w:tcPr>
            <w:tcW w:w="992" w:type="dxa"/>
            <w:tcBorders>
              <w:top w:val="single" w:sz="4" w:space="0" w:color="auto"/>
              <w:bottom w:val="single" w:sz="4" w:space="0" w:color="A6A6A6" w:themeColor="background1" w:themeShade="A6"/>
            </w:tcBorders>
          </w:tcPr>
          <w:p w:rsidR="00A16A93" w:rsidRPr="00140171" w:rsidRDefault="00A16A93" w:rsidP="00140171">
            <w:pPr>
              <w:pStyle w:val="TableText"/>
              <w:jc w:val="center"/>
            </w:pPr>
          </w:p>
        </w:tc>
        <w:tc>
          <w:tcPr>
            <w:tcW w:w="992" w:type="dxa"/>
            <w:tcBorders>
              <w:top w:val="single" w:sz="4" w:space="0" w:color="auto"/>
              <w:bottom w:val="single" w:sz="4" w:space="0" w:color="A6A6A6" w:themeColor="background1" w:themeShade="A6"/>
            </w:tcBorders>
          </w:tcPr>
          <w:p w:rsidR="00A16A93" w:rsidRPr="00140171" w:rsidRDefault="00A16A93" w:rsidP="00140171">
            <w:pPr>
              <w:pStyle w:val="TableText"/>
              <w:jc w:val="center"/>
            </w:pPr>
          </w:p>
        </w:tc>
        <w:tc>
          <w:tcPr>
            <w:tcW w:w="992" w:type="dxa"/>
            <w:tcBorders>
              <w:top w:val="single" w:sz="4" w:space="0" w:color="auto"/>
              <w:bottom w:val="single" w:sz="4" w:space="0" w:color="A6A6A6" w:themeColor="background1" w:themeShade="A6"/>
            </w:tcBorders>
          </w:tcPr>
          <w:p w:rsidR="00A16A93" w:rsidRPr="00140171" w:rsidRDefault="00A16A93" w:rsidP="00140171">
            <w:pPr>
              <w:pStyle w:val="TableText"/>
              <w:jc w:val="center"/>
            </w:pPr>
          </w:p>
        </w:tc>
        <w:tc>
          <w:tcPr>
            <w:tcW w:w="3686" w:type="dxa"/>
            <w:tcBorders>
              <w:top w:val="single" w:sz="4" w:space="0" w:color="auto"/>
              <w:bottom w:val="single" w:sz="4" w:space="0" w:color="A6A6A6" w:themeColor="background1" w:themeShade="A6"/>
            </w:tcBorders>
          </w:tcPr>
          <w:p w:rsidR="00A16A93" w:rsidRPr="00140171" w:rsidRDefault="00A16A93" w:rsidP="00140171">
            <w:pPr>
              <w:pStyle w:val="TableText"/>
              <w:tabs>
                <w:tab w:val="decimal" w:pos="1237"/>
              </w:tabs>
            </w:pPr>
          </w:p>
        </w:tc>
      </w:tr>
      <w:tr w:rsidR="00A16A93" w:rsidRPr="00A16A93" w:rsidTr="00140171">
        <w:trPr>
          <w:cantSplit/>
        </w:trPr>
        <w:tc>
          <w:tcPr>
            <w:tcW w:w="2694" w:type="dxa"/>
            <w:tcBorders>
              <w:top w:val="single" w:sz="4" w:space="0" w:color="A6A6A6" w:themeColor="background1" w:themeShade="A6"/>
            </w:tcBorders>
          </w:tcPr>
          <w:p w:rsidR="00A16A93" w:rsidRPr="00140171" w:rsidRDefault="00A16A93" w:rsidP="00140171">
            <w:pPr>
              <w:pStyle w:val="TableText"/>
            </w:pPr>
            <w:r w:rsidRPr="00140171">
              <w:t>Quintile 1 (least deprived)</w:t>
            </w:r>
          </w:p>
        </w:tc>
        <w:tc>
          <w:tcPr>
            <w:tcW w:w="992" w:type="dxa"/>
            <w:tcBorders>
              <w:top w:val="single" w:sz="4" w:space="0" w:color="A6A6A6" w:themeColor="background1" w:themeShade="A6"/>
            </w:tcBorders>
          </w:tcPr>
          <w:p w:rsidR="00A16A93" w:rsidRPr="00140171" w:rsidRDefault="00A16A93" w:rsidP="00140171">
            <w:pPr>
              <w:pStyle w:val="TableText"/>
              <w:jc w:val="center"/>
            </w:pPr>
            <w:r w:rsidRPr="00140171">
              <w:t>78.6%</w:t>
            </w:r>
          </w:p>
        </w:tc>
        <w:tc>
          <w:tcPr>
            <w:tcW w:w="992" w:type="dxa"/>
            <w:tcBorders>
              <w:top w:val="single" w:sz="4" w:space="0" w:color="A6A6A6" w:themeColor="background1" w:themeShade="A6"/>
            </w:tcBorders>
          </w:tcPr>
          <w:p w:rsidR="00A16A93" w:rsidRPr="00140171" w:rsidRDefault="00A16A93" w:rsidP="00140171">
            <w:pPr>
              <w:pStyle w:val="TableText"/>
              <w:jc w:val="center"/>
            </w:pPr>
            <w:r w:rsidRPr="00140171">
              <w:t>78.4%</w:t>
            </w:r>
          </w:p>
        </w:tc>
        <w:tc>
          <w:tcPr>
            <w:tcW w:w="992" w:type="dxa"/>
            <w:tcBorders>
              <w:top w:val="single" w:sz="4" w:space="0" w:color="A6A6A6" w:themeColor="background1" w:themeShade="A6"/>
            </w:tcBorders>
          </w:tcPr>
          <w:p w:rsidR="00A16A93" w:rsidRPr="00140171" w:rsidRDefault="00A16A93" w:rsidP="00140171">
            <w:pPr>
              <w:pStyle w:val="TableText"/>
              <w:jc w:val="center"/>
            </w:pPr>
            <w:r w:rsidRPr="00140171">
              <w:t>78.7%</w:t>
            </w:r>
          </w:p>
        </w:tc>
        <w:tc>
          <w:tcPr>
            <w:tcW w:w="3686" w:type="dxa"/>
            <w:tcBorders>
              <w:top w:val="single" w:sz="4" w:space="0" w:color="A6A6A6" w:themeColor="background1" w:themeShade="A6"/>
            </w:tcBorders>
          </w:tcPr>
          <w:p w:rsidR="00A16A93" w:rsidRPr="00140171" w:rsidRDefault="00A16A93" w:rsidP="00140171">
            <w:pPr>
              <w:pStyle w:val="TableText"/>
              <w:tabs>
                <w:tab w:val="decimal" w:pos="1237"/>
              </w:tabs>
            </w:pPr>
            <w:r w:rsidRPr="00140171">
              <w:t>131,000</w:t>
            </w:r>
            <w:r w:rsidR="00140171">
              <w:t xml:space="preserve"> </w:t>
            </w:r>
            <w:r w:rsidRPr="00140171">
              <w:t>(122,000–138,000)</w:t>
            </w:r>
          </w:p>
        </w:tc>
      </w:tr>
      <w:tr w:rsidR="00A16A93" w:rsidRPr="00A16A93" w:rsidTr="00140171">
        <w:trPr>
          <w:cantSplit/>
        </w:trPr>
        <w:tc>
          <w:tcPr>
            <w:tcW w:w="2694" w:type="dxa"/>
          </w:tcPr>
          <w:p w:rsidR="00A16A93" w:rsidRPr="00140171" w:rsidRDefault="00A16A93" w:rsidP="00140171">
            <w:pPr>
              <w:pStyle w:val="TableText"/>
            </w:pPr>
            <w:r w:rsidRPr="00140171">
              <w:t>Quintile 2</w:t>
            </w:r>
          </w:p>
        </w:tc>
        <w:tc>
          <w:tcPr>
            <w:tcW w:w="992" w:type="dxa"/>
          </w:tcPr>
          <w:p w:rsidR="00A16A93" w:rsidRPr="00140171" w:rsidRDefault="00A16A93" w:rsidP="00140171">
            <w:pPr>
              <w:pStyle w:val="TableText"/>
              <w:jc w:val="center"/>
            </w:pPr>
            <w:r w:rsidRPr="00140171">
              <w:t>74.9%</w:t>
            </w:r>
          </w:p>
        </w:tc>
        <w:tc>
          <w:tcPr>
            <w:tcW w:w="992" w:type="dxa"/>
          </w:tcPr>
          <w:p w:rsidR="00A16A93" w:rsidRPr="00140171" w:rsidRDefault="00A16A93" w:rsidP="00140171">
            <w:pPr>
              <w:pStyle w:val="TableText"/>
              <w:jc w:val="center"/>
            </w:pPr>
            <w:r w:rsidRPr="00140171">
              <w:t>75.9%</w:t>
            </w:r>
          </w:p>
        </w:tc>
        <w:tc>
          <w:tcPr>
            <w:tcW w:w="992" w:type="dxa"/>
          </w:tcPr>
          <w:p w:rsidR="00A16A93" w:rsidRPr="00140171" w:rsidRDefault="00A16A93" w:rsidP="00140171">
            <w:pPr>
              <w:pStyle w:val="TableText"/>
              <w:jc w:val="center"/>
            </w:pPr>
            <w:r w:rsidRPr="00140171">
              <w:t>73.7%</w:t>
            </w:r>
          </w:p>
        </w:tc>
        <w:tc>
          <w:tcPr>
            <w:tcW w:w="3686" w:type="dxa"/>
          </w:tcPr>
          <w:p w:rsidR="00A16A93" w:rsidRPr="00140171" w:rsidRDefault="00A16A93" w:rsidP="00140171">
            <w:pPr>
              <w:pStyle w:val="TableText"/>
              <w:tabs>
                <w:tab w:val="decimal" w:pos="1237"/>
              </w:tabs>
            </w:pPr>
            <w:r w:rsidRPr="00140171">
              <w:t>114,000</w:t>
            </w:r>
            <w:r w:rsidR="00140171">
              <w:t xml:space="preserve"> </w:t>
            </w:r>
            <w:r w:rsidRPr="00140171">
              <w:t>(106,000–122,000)</w:t>
            </w:r>
          </w:p>
        </w:tc>
      </w:tr>
      <w:tr w:rsidR="00A16A93" w:rsidRPr="00A16A93" w:rsidTr="00140171">
        <w:trPr>
          <w:cantSplit/>
        </w:trPr>
        <w:tc>
          <w:tcPr>
            <w:tcW w:w="2694" w:type="dxa"/>
          </w:tcPr>
          <w:p w:rsidR="00A16A93" w:rsidRPr="00140171" w:rsidRDefault="00A16A93" w:rsidP="00140171">
            <w:pPr>
              <w:pStyle w:val="TableText"/>
            </w:pPr>
            <w:r w:rsidRPr="00140171">
              <w:t>Quintile 3</w:t>
            </w:r>
          </w:p>
        </w:tc>
        <w:tc>
          <w:tcPr>
            <w:tcW w:w="992" w:type="dxa"/>
          </w:tcPr>
          <w:p w:rsidR="00A16A93" w:rsidRPr="00140171" w:rsidRDefault="00A16A93" w:rsidP="00140171">
            <w:pPr>
              <w:pStyle w:val="TableText"/>
              <w:jc w:val="center"/>
            </w:pPr>
            <w:r w:rsidRPr="00140171">
              <w:t>74.1%</w:t>
            </w:r>
          </w:p>
        </w:tc>
        <w:tc>
          <w:tcPr>
            <w:tcW w:w="992" w:type="dxa"/>
          </w:tcPr>
          <w:p w:rsidR="00A16A93" w:rsidRPr="00140171" w:rsidRDefault="00A16A93" w:rsidP="00140171">
            <w:pPr>
              <w:pStyle w:val="TableText"/>
              <w:jc w:val="center"/>
            </w:pPr>
            <w:r w:rsidRPr="00140171">
              <w:t>73.8%</w:t>
            </w:r>
          </w:p>
        </w:tc>
        <w:tc>
          <w:tcPr>
            <w:tcW w:w="992" w:type="dxa"/>
          </w:tcPr>
          <w:p w:rsidR="00A16A93" w:rsidRPr="00140171" w:rsidRDefault="00A16A93" w:rsidP="00140171">
            <w:pPr>
              <w:pStyle w:val="TableText"/>
              <w:jc w:val="center"/>
            </w:pPr>
            <w:r w:rsidRPr="00140171">
              <w:t>74.4%</w:t>
            </w:r>
          </w:p>
        </w:tc>
        <w:tc>
          <w:tcPr>
            <w:tcW w:w="3686" w:type="dxa"/>
          </w:tcPr>
          <w:p w:rsidR="00A16A93" w:rsidRPr="00140171" w:rsidRDefault="00A16A93" w:rsidP="00140171">
            <w:pPr>
              <w:pStyle w:val="TableText"/>
              <w:tabs>
                <w:tab w:val="decimal" w:pos="1237"/>
              </w:tabs>
            </w:pPr>
            <w:r w:rsidRPr="00140171">
              <w:t>105,000</w:t>
            </w:r>
            <w:r w:rsidR="00140171">
              <w:t xml:space="preserve"> </w:t>
            </w:r>
            <w:r w:rsidRPr="00140171">
              <w:t>(100,000–110,000)</w:t>
            </w:r>
          </w:p>
        </w:tc>
      </w:tr>
      <w:tr w:rsidR="00A16A93" w:rsidRPr="00A16A93" w:rsidTr="00140171">
        <w:trPr>
          <w:cantSplit/>
        </w:trPr>
        <w:tc>
          <w:tcPr>
            <w:tcW w:w="2694" w:type="dxa"/>
          </w:tcPr>
          <w:p w:rsidR="00A16A93" w:rsidRPr="00140171" w:rsidRDefault="00A16A93" w:rsidP="00140171">
            <w:pPr>
              <w:pStyle w:val="TableText"/>
            </w:pPr>
            <w:r w:rsidRPr="00140171">
              <w:t>Quintile 4</w:t>
            </w:r>
          </w:p>
        </w:tc>
        <w:tc>
          <w:tcPr>
            <w:tcW w:w="992" w:type="dxa"/>
          </w:tcPr>
          <w:p w:rsidR="00A16A93" w:rsidRPr="00140171" w:rsidRDefault="00A16A93" w:rsidP="00140171">
            <w:pPr>
              <w:pStyle w:val="TableText"/>
              <w:jc w:val="center"/>
            </w:pPr>
            <w:r w:rsidRPr="00140171">
              <w:t>72.0%</w:t>
            </w:r>
          </w:p>
        </w:tc>
        <w:tc>
          <w:tcPr>
            <w:tcW w:w="992" w:type="dxa"/>
          </w:tcPr>
          <w:p w:rsidR="00A16A93" w:rsidRPr="00140171" w:rsidRDefault="00A16A93" w:rsidP="00140171">
            <w:pPr>
              <w:pStyle w:val="TableText"/>
              <w:jc w:val="center"/>
            </w:pPr>
            <w:r w:rsidRPr="00140171">
              <w:t>70.6%</w:t>
            </w:r>
          </w:p>
        </w:tc>
        <w:tc>
          <w:tcPr>
            <w:tcW w:w="992" w:type="dxa"/>
          </w:tcPr>
          <w:p w:rsidR="00A16A93" w:rsidRPr="00140171" w:rsidRDefault="00A16A93" w:rsidP="00140171">
            <w:pPr>
              <w:pStyle w:val="TableText"/>
              <w:jc w:val="center"/>
            </w:pPr>
            <w:r w:rsidRPr="00140171">
              <w:t>73.6%</w:t>
            </w:r>
          </w:p>
        </w:tc>
        <w:tc>
          <w:tcPr>
            <w:tcW w:w="3686" w:type="dxa"/>
          </w:tcPr>
          <w:p w:rsidR="00A16A93" w:rsidRPr="00140171" w:rsidRDefault="00A16A93" w:rsidP="00140171">
            <w:pPr>
              <w:pStyle w:val="TableText"/>
              <w:tabs>
                <w:tab w:val="decimal" w:pos="1237"/>
              </w:tabs>
            </w:pPr>
            <w:r w:rsidRPr="00140171">
              <w:t>107,000</w:t>
            </w:r>
            <w:r w:rsidR="00140171">
              <w:t xml:space="preserve"> </w:t>
            </w:r>
            <w:r w:rsidRPr="00140171">
              <w:t>(102,000–112,000)</w:t>
            </w:r>
          </w:p>
        </w:tc>
      </w:tr>
      <w:tr w:rsidR="00A16A93" w:rsidRPr="00A16A93" w:rsidTr="00140171">
        <w:trPr>
          <w:cantSplit/>
        </w:trPr>
        <w:tc>
          <w:tcPr>
            <w:tcW w:w="2694" w:type="dxa"/>
          </w:tcPr>
          <w:p w:rsidR="00A16A93" w:rsidRPr="00140171" w:rsidRDefault="00A16A93" w:rsidP="00140171">
            <w:pPr>
              <w:pStyle w:val="TableText"/>
            </w:pPr>
            <w:r w:rsidRPr="00140171">
              <w:t>Quintile 5 (most deprived)</w:t>
            </w:r>
          </w:p>
        </w:tc>
        <w:tc>
          <w:tcPr>
            <w:tcW w:w="992" w:type="dxa"/>
          </w:tcPr>
          <w:p w:rsidR="00A16A93" w:rsidRPr="00140171" w:rsidRDefault="00A16A93" w:rsidP="00140171">
            <w:pPr>
              <w:pStyle w:val="TableText"/>
              <w:jc w:val="center"/>
            </w:pPr>
            <w:r w:rsidRPr="00140171">
              <w:t>69.1%</w:t>
            </w:r>
          </w:p>
        </w:tc>
        <w:tc>
          <w:tcPr>
            <w:tcW w:w="992" w:type="dxa"/>
          </w:tcPr>
          <w:p w:rsidR="00A16A93" w:rsidRPr="00140171" w:rsidRDefault="00A16A93" w:rsidP="00140171">
            <w:pPr>
              <w:pStyle w:val="TableText"/>
              <w:jc w:val="center"/>
            </w:pPr>
            <w:r w:rsidRPr="00140171">
              <w:t>68.4%</w:t>
            </w:r>
          </w:p>
        </w:tc>
        <w:tc>
          <w:tcPr>
            <w:tcW w:w="992" w:type="dxa"/>
          </w:tcPr>
          <w:p w:rsidR="00A16A93" w:rsidRPr="00140171" w:rsidRDefault="00A16A93" w:rsidP="00140171">
            <w:pPr>
              <w:pStyle w:val="TableText"/>
              <w:jc w:val="center"/>
            </w:pPr>
            <w:r w:rsidRPr="00140171">
              <w:t>69.7%</w:t>
            </w:r>
          </w:p>
        </w:tc>
        <w:tc>
          <w:tcPr>
            <w:tcW w:w="3686" w:type="dxa"/>
          </w:tcPr>
          <w:p w:rsidR="00A16A93" w:rsidRPr="00140171" w:rsidRDefault="00A16A93" w:rsidP="00140171">
            <w:pPr>
              <w:pStyle w:val="TableText"/>
              <w:tabs>
                <w:tab w:val="decimal" w:pos="1237"/>
              </w:tabs>
            </w:pPr>
            <w:r w:rsidRPr="00140171">
              <w:t>126,000</w:t>
            </w:r>
            <w:r w:rsidR="00140171">
              <w:t xml:space="preserve"> </w:t>
            </w:r>
            <w:r w:rsidRPr="00140171">
              <w:t>(120,00–133,000)</w:t>
            </w:r>
          </w:p>
        </w:tc>
      </w:tr>
    </w:tbl>
    <w:p w:rsidR="00A16A93" w:rsidRPr="00A16A93" w:rsidRDefault="00A16A93" w:rsidP="00140171">
      <w:pPr>
        <w:pStyle w:val="Source"/>
        <w:rPr>
          <w:rFonts w:cs="Arial"/>
        </w:rPr>
      </w:pPr>
      <w:r w:rsidRPr="00A16A93">
        <w:rPr>
          <w:rFonts w:cs="Arial"/>
        </w:rPr>
        <w:t xml:space="preserve">Source: </w:t>
      </w:r>
      <w:hyperlink r:id="rId52" w:history="1">
        <w:r w:rsidRPr="00A16A93">
          <w:rPr>
            <w:rStyle w:val="Hyperlink"/>
            <w:rFonts w:cs="Arial"/>
          </w:rPr>
          <w:t>Ministry of Health 2016d</w:t>
        </w:r>
      </w:hyperlink>
    </w:p>
    <w:p w:rsidR="00A16A93" w:rsidRDefault="00A16A93" w:rsidP="00140171">
      <w:pPr>
        <w:pStyle w:val="Note"/>
      </w:pPr>
      <w:r w:rsidRPr="00A16A93">
        <w:t>Note:</w:t>
      </w:r>
      <w:r w:rsidR="00140171">
        <w:t xml:space="preserve"> </w:t>
      </w:r>
      <w:r w:rsidRPr="00A16A93">
        <w:t xml:space="preserve">The estimated number of children in each group who eat at least two servings of fruit each day has been rounded to the nearest 1,000. For more information on how these numbers are calculated, please see section 7 of </w:t>
      </w:r>
      <w:hyperlink r:id="rId53" w:history="1">
        <w:r w:rsidRPr="00140171">
          <w:rPr>
            <w:rStyle w:val="Hyperlink"/>
          </w:rPr>
          <w:t>Ministry of Health 2016b</w:t>
        </w:r>
      </w:hyperlink>
      <w:r w:rsidRPr="00A16A93">
        <w:t>.</w:t>
      </w:r>
    </w:p>
    <w:p w:rsidR="00140171" w:rsidRPr="00140171" w:rsidRDefault="00140171" w:rsidP="00140171"/>
    <w:p w:rsidR="00A16A93" w:rsidRPr="00A16A93" w:rsidRDefault="00A16A93" w:rsidP="00140171">
      <w:pPr>
        <w:pStyle w:val="Figure"/>
      </w:pPr>
      <w:bookmarkStart w:id="68" w:name="_Toc480534276"/>
      <w:r w:rsidRPr="00A16A93">
        <w:t>Figure 6: Percentage of children (aged 2–14 years) who eat at least two servings of fruit each day, 2011/12–2015/16</w:t>
      </w:r>
      <w:bookmarkEnd w:id="68"/>
    </w:p>
    <w:p w:rsidR="00A16A93" w:rsidRPr="00A16A93" w:rsidRDefault="00A16A93" w:rsidP="00A16A93">
      <w:pPr>
        <w:rPr>
          <w:rFonts w:ascii="Arial" w:hAnsi="Arial" w:cs="Arial"/>
        </w:rPr>
      </w:pPr>
      <w:r w:rsidRPr="00A16A93">
        <w:rPr>
          <w:rFonts w:ascii="Arial" w:hAnsi="Arial" w:cs="Arial"/>
          <w:noProof/>
          <w:lang w:eastAsia="en-NZ"/>
        </w:rPr>
        <w:drawing>
          <wp:inline distT="0" distB="0" distL="0" distR="0" wp14:anchorId="22766D7F" wp14:editId="34536E64">
            <wp:extent cx="4671752" cy="2725189"/>
            <wp:effectExtent l="0" t="0" r="0" b="0"/>
            <wp:docPr id="8" name="Chart 8" title="Figure 6: Percentage of children (aged 2–14 years) who eat at least two servings of fruit each day, 2011/12–201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16A93" w:rsidRPr="00A16A93" w:rsidRDefault="00A16A93" w:rsidP="00140171">
      <w:pPr>
        <w:pStyle w:val="Source"/>
      </w:pPr>
      <w:r w:rsidRPr="00A16A93">
        <w:t xml:space="preserve">Source: </w:t>
      </w:r>
      <w:bookmarkStart w:id="69" w:name="_Toc400361823"/>
      <w:r w:rsidRPr="00A16A93">
        <w:fldChar w:fldCharType="begin"/>
      </w:r>
      <w:r w:rsidRPr="00A16A93">
        <w:instrText xml:space="preserve"> HYPERLINK "http://www.health.govt.nz/publication/annual-update-key-results-2015-16-new-zealand-health-survey" </w:instrText>
      </w:r>
      <w:r w:rsidRPr="00A16A93">
        <w:fldChar w:fldCharType="separate"/>
      </w:r>
      <w:r w:rsidRPr="00A16A93">
        <w:rPr>
          <w:rStyle w:val="Hyperlink"/>
          <w:rFonts w:cs="Arial"/>
        </w:rPr>
        <w:t>Ministry of Health 2016d</w:t>
      </w:r>
      <w:r w:rsidRPr="00A16A93">
        <w:fldChar w:fldCharType="end"/>
      </w:r>
    </w:p>
    <w:p w:rsidR="00A16A93" w:rsidRPr="00A16A93" w:rsidRDefault="00A16A93" w:rsidP="00140171"/>
    <w:p w:rsidR="00A16A93" w:rsidRPr="00A16A93" w:rsidRDefault="00A16A93" w:rsidP="00140171">
      <w:pPr>
        <w:pStyle w:val="Heading4"/>
      </w:pPr>
      <w:r w:rsidRPr="00A16A93">
        <w:lastRenderedPageBreak/>
        <w:t>Vegetable intake</w:t>
      </w:r>
    </w:p>
    <w:p w:rsidR="00A16A93" w:rsidRDefault="00A16A93" w:rsidP="00140171">
      <w:pPr>
        <w:pStyle w:val="Table"/>
      </w:pPr>
      <w:bookmarkStart w:id="70" w:name="_Toc480534260"/>
      <w:bookmarkEnd w:id="69"/>
      <w:r w:rsidRPr="00A16A93">
        <w:t>Table 8: Percentage of children (aged 2–14 years) who meet New Zealand’s age-specific vegetable intake guidelines, by group, 2015/16</w:t>
      </w:r>
      <w:bookmarkEnd w:id="70"/>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552"/>
        <w:gridCol w:w="1086"/>
        <w:gridCol w:w="1087"/>
        <w:gridCol w:w="1087"/>
        <w:gridCol w:w="3544"/>
      </w:tblGrid>
      <w:tr w:rsidR="00A16A93" w:rsidRPr="00865074" w:rsidTr="00865074">
        <w:trPr>
          <w:cantSplit/>
        </w:trPr>
        <w:tc>
          <w:tcPr>
            <w:tcW w:w="2552" w:type="dxa"/>
            <w:tcBorders>
              <w:top w:val="single" w:sz="4" w:space="0" w:color="auto"/>
              <w:bottom w:val="single" w:sz="4" w:space="0" w:color="auto"/>
            </w:tcBorders>
          </w:tcPr>
          <w:p w:rsidR="00A16A93" w:rsidRPr="00865074" w:rsidRDefault="00A16A93" w:rsidP="00865074">
            <w:pPr>
              <w:pStyle w:val="TableText"/>
              <w:rPr>
                <w:b/>
              </w:rPr>
            </w:pPr>
          </w:p>
        </w:tc>
        <w:tc>
          <w:tcPr>
            <w:tcW w:w="1086" w:type="dxa"/>
            <w:tcBorders>
              <w:top w:val="single" w:sz="4" w:space="0" w:color="auto"/>
              <w:bottom w:val="single" w:sz="4" w:space="0" w:color="auto"/>
            </w:tcBorders>
          </w:tcPr>
          <w:p w:rsidR="00A16A93" w:rsidRPr="00865074" w:rsidRDefault="00A16A93" w:rsidP="00865074">
            <w:pPr>
              <w:pStyle w:val="TableText"/>
              <w:jc w:val="center"/>
              <w:rPr>
                <w:b/>
              </w:rPr>
            </w:pPr>
            <w:r w:rsidRPr="00865074">
              <w:rPr>
                <w:b/>
              </w:rPr>
              <w:t>Total</w:t>
            </w:r>
          </w:p>
        </w:tc>
        <w:tc>
          <w:tcPr>
            <w:tcW w:w="1087" w:type="dxa"/>
            <w:tcBorders>
              <w:top w:val="single" w:sz="4" w:space="0" w:color="auto"/>
              <w:bottom w:val="single" w:sz="4" w:space="0" w:color="auto"/>
            </w:tcBorders>
          </w:tcPr>
          <w:p w:rsidR="00A16A93" w:rsidRPr="00865074" w:rsidRDefault="00A16A93" w:rsidP="00865074">
            <w:pPr>
              <w:pStyle w:val="TableText"/>
              <w:jc w:val="center"/>
              <w:rPr>
                <w:b/>
              </w:rPr>
            </w:pPr>
            <w:r w:rsidRPr="00865074">
              <w:rPr>
                <w:b/>
              </w:rPr>
              <w:t>Boys</w:t>
            </w:r>
          </w:p>
        </w:tc>
        <w:tc>
          <w:tcPr>
            <w:tcW w:w="1087" w:type="dxa"/>
            <w:tcBorders>
              <w:top w:val="single" w:sz="4" w:space="0" w:color="auto"/>
              <w:bottom w:val="single" w:sz="4" w:space="0" w:color="auto"/>
            </w:tcBorders>
          </w:tcPr>
          <w:p w:rsidR="00A16A93" w:rsidRPr="00865074" w:rsidRDefault="00A16A93" w:rsidP="00865074">
            <w:pPr>
              <w:pStyle w:val="TableText"/>
              <w:jc w:val="center"/>
              <w:rPr>
                <w:b/>
              </w:rPr>
            </w:pPr>
            <w:r w:rsidRPr="00865074">
              <w:rPr>
                <w:b/>
              </w:rPr>
              <w:t>Girls (%)</w:t>
            </w:r>
          </w:p>
        </w:tc>
        <w:tc>
          <w:tcPr>
            <w:tcW w:w="3544" w:type="dxa"/>
            <w:tcBorders>
              <w:top w:val="single" w:sz="4" w:space="0" w:color="auto"/>
              <w:bottom w:val="single" w:sz="4" w:space="0" w:color="auto"/>
            </w:tcBorders>
          </w:tcPr>
          <w:p w:rsidR="00A16A93" w:rsidRPr="00865074" w:rsidRDefault="00A16A93" w:rsidP="00865074">
            <w:pPr>
              <w:pStyle w:val="TableText"/>
              <w:jc w:val="center"/>
              <w:rPr>
                <w:b/>
                <w:bCs/>
              </w:rPr>
            </w:pPr>
            <w:r w:rsidRPr="00865074">
              <w:rPr>
                <w:b/>
              </w:rPr>
              <w:t>Estimated number of children (95% CI)</w:t>
            </w:r>
          </w:p>
        </w:tc>
      </w:tr>
      <w:tr w:rsidR="00865074" w:rsidRPr="00A16A93" w:rsidTr="00865074">
        <w:trPr>
          <w:cantSplit/>
        </w:trPr>
        <w:tc>
          <w:tcPr>
            <w:tcW w:w="2552" w:type="dxa"/>
            <w:tcBorders>
              <w:top w:val="single" w:sz="4" w:space="0" w:color="auto"/>
              <w:bottom w:val="single" w:sz="4" w:space="0" w:color="A6A6A6" w:themeColor="background1" w:themeShade="A6"/>
            </w:tcBorders>
          </w:tcPr>
          <w:p w:rsidR="00865074" w:rsidRPr="00865074" w:rsidRDefault="00865074" w:rsidP="00865074">
            <w:pPr>
              <w:pStyle w:val="TableText"/>
              <w:rPr>
                <w:b/>
              </w:rPr>
            </w:pPr>
            <w:r w:rsidRPr="00865074">
              <w:rPr>
                <w:b/>
              </w:rPr>
              <w:t>Population group</w:t>
            </w:r>
          </w:p>
        </w:tc>
        <w:tc>
          <w:tcPr>
            <w:tcW w:w="1086" w:type="dxa"/>
            <w:tcBorders>
              <w:top w:val="single" w:sz="4" w:space="0" w:color="auto"/>
              <w:bottom w:val="single" w:sz="4" w:space="0" w:color="A6A6A6" w:themeColor="background1" w:themeShade="A6"/>
            </w:tcBorders>
          </w:tcPr>
          <w:p w:rsidR="00865074" w:rsidRPr="00865074" w:rsidRDefault="00865074" w:rsidP="00865074">
            <w:pPr>
              <w:pStyle w:val="TableText"/>
              <w:jc w:val="center"/>
            </w:pPr>
          </w:p>
        </w:tc>
        <w:tc>
          <w:tcPr>
            <w:tcW w:w="1087" w:type="dxa"/>
            <w:tcBorders>
              <w:top w:val="single" w:sz="4" w:space="0" w:color="auto"/>
              <w:bottom w:val="single" w:sz="4" w:space="0" w:color="A6A6A6" w:themeColor="background1" w:themeShade="A6"/>
            </w:tcBorders>
          </w:tcPr>
          <w:p w:rsidR="00865074" w:rsidRPr="00865074" w:rsidRDefault="00865074" w:rsidP="00865074">
            <w:pPr>
              <w:pStyle w:val="TableText"/>
              <w:jc w:val="center"/>
            </w:pPr>
          </w:p>
        </w:tc>
        <w:tc>
          <w:tcPr>
            <w:tcW w:w="1087" w:type="dxa"/>
            <w:tcBorders>
              <w:top w:val="single" w:sz="4" w:space="0" w:color="auto"/>
              <w:bottom w:val="single" w:sz="4" w:space="0" w:color="A6A6A6" w:themeColor="background1" w:themeShade="A6"/>
            </w:tcBorders>
          </w:tcPr>
          <w:p w:rsidR="00865074" w:rsidRPr="00865074" w:rsidRDefault="00865074" w:rsidP="00865074">
            <w:pPr>
              <w:pStyle w:val="TableText"/>
              <w:jc w:val="center"/>
            </w:pPr>
          </w:p>
        </w:tc>
        <w:tc>
          <w:tcPr>
            <w:tcW w:w="3544" w:type="dxa"/>
            <w:tcBorders>
              <w:top w:val="single" w:sz="4" w:space="0" w:color="auto"/>
              <w:bottom w:val="single" w:sz="4" w:space="0" w:color="A6A6A6" w:themeColor="background1" w:themeShade="A6"/>
            </w:tcBorders>
          </w:tcPr>
          <w:p w:rsidR="00865074" w:rsidRPr="00865074" w:rsidRDefault="00865074" w:rsidP="00865074">
            <w:pPr>
              <w:pStyle w:val="TableText"/>
              <w:tabs>
                <w:tab w:val="decimal" w:pos="1219"/>
              </w:tabs>
            </w:pPr>
          </w:p>
        </w:tc>
      </w:tr>
      <w:tr w:rsidR="00A16A93" w:rsidRPr="00A16A93" w:rsidTr="00865074">
        <w:trPr>
          <w:cantSplit/>
        </w:trPr>
        <w:tc>
          <w:tcPr>
            <w:tcW w:w="2552" w:type="dxa"/>
            <w:tcBorders>
              <w:top w:val="single" w:sz="4" w:space="0" w:color="A6A6A6" w:themeColor="background1" w:themeShade="A6"/>
              <w:bottom w:val="single" w:sz="4" w:space="0" w:color="auto"/>
            </w:tcBorders>
          </w:tcPr>
          <w:p w:rsidR="00A16A93" w:rsidRPr="00865074" w:rsidRDefault="00A16A93" w:rsidP="00865074">
            <w:pPr>
              <w:pStyle w:val="TableText"/>
            </w:pPr>
            <w:r w:rsidRPr="00865074">
              <w:t>Total</w:t>
            </w:r>
          </w:p>
        </w:tc>
        <w:tc>
          <w:tcPr>
            <w:tcW w:w="1086" w:type="dxa"/>
            <w:tcBorders>
              <w:top w:val="single" w:sz="4" w:space="0" w:color="A6A6A6" w:themeColor="background1" w:themeShade="A6"/>
              <w:bottom w:val="single" w:sz="4" w:space="0" w:color="auto"/>
            </w:tcBorders>
          </w:tcPr>
          <w:p w:rsidR="00A16A93" w:rsidRPr="00865074" w:rsidRDefault="00A16A93" w:rsidP="00865074">
            <w:pPr>
              <w:pStyle w:val="TableText"/>
              <w:jc w:val="center"/>
            </w:pPr>
            <w:r w:rsidRPr="00865074">
              <w:t>50.5%</w:t>
            </w:r>
          </w:p>
        </w:tc>
        <w:tc>
          <w:tcPr>
            <w:tcW w:w="1087" w:type="dxa"/>
            <w:tcBorders>
              <w:top w:val="single" w:sz="4" w:space="0" w:color="A6A6A6" w:themeColor="background1" w:themeShade="A6"/>
              <w:bottom w:val="single" w:sz="4" w:space="0" w:color="auto"/>
            </w:tcBorders>
          </w:tcPr>
          <w:p w:rsidR="00A16A93" w:rsidRPr="00865074" w:rsidRDefault="00A16A93" w:rsidP="00865074">
            <w:pPr>
              <w:pStyle w:val="TableText"/>
              <w:jc w:val="center"/>
            </w:pPr>
            <w:r w:rsidRPr="00865074">
              <w:t>52.3%</w:t>
            </w:r>
          </w:p>
        </w:tc>
        <w:tc>
          <w:tcPr>
            <w:tcW w:w="1087" w:type="dxa"/>
            <w:tcBorders>
              <w:top w:val="single" w:sz="4" w:space="0" w:color="A6A6A6" w:themeColor="background1" w:themeShade="A6"/>
              <w:bottom w:val="single" w:sz="4" w:space="0" w:color="auto"/>
            </w:tcBorders>
          </w:tcPr>
          <w:p w:rsidR="00A16A93" w:rsidRPr="00865074" w:rsidRDefault="00A16A93" w:rsidP="00865074">
            <w:pPr>
              <w:pStyle w:val="TableText"/>
              <w:jc w:val="center"/>
            </w:pPr>
            <w:r w:rsidRPr="00865074">
              <w:t>48.7%</w:t>
            </w:r>
          </w:p>
        </w:tc>
        <w:tc>
          <w:tcPr>
            <w:tcW w:w="3544" w:type="dxa"/>
            <w:tcBorders>
              <w:top w:val="single" w:sz="4" w:space="0" w:color="A6A6A6" w:themeColor="background1" w:themeShade="A6"/>
              <w:bottom w:val="single" w:sz="4" w:space="0" w:color="auto"/>
            </w:tcBorders>
          </w:tcPr>
          <w:p w:rsidR="00A16A93" w:rsidRPr="00865074" w:rsidRDefault="00A16A93" w:rsidP="00865074">
            <w:pPr>
              <w:pStyle w:val="TableText"/>
              <w:tabs>
                <w:tab w:val="decimal" w:pos="1219"/>
              </w:tabs>
            </w:pPr>
            <w:r w:rsidRPr="00865074">
              <w:t>401,000</w:t>
            </w:r>
            <w:r w:rsidR="00865074">
              <w:t xml:space="preserve"> </w:t>
            </w:r>
            <w:r w:rsidRPr="00865074">
              <w:t>(380,000–422,000)</w:t>
            </w:r>
          </w:p>
        </w:tc>
      </w:tr>
      <w:tr w:rsidR="00A16A93" w:rsidRPr="00A16A93" w:rsidTr="00865074">
        <w:trPr>
          <w:cantSplit/>
        </w:trPr>
        <w:tc>
          <w:tcPr>
            <w:tcW w:w="2552" w:type="dxa"/>
            <w:tcBorders>
              <w:top w:val="single" w:sz="4" w:space="0" w:color="auto"/>
              <w:bottom w:val="single" w:sz="4" w:space="0" w:color="A6A6A6" w:themeColor="background1" w:themeShade="A6"/>
            </w:tcBorders>
          </w:tcPr>
          <w:p w:rsidR="00A16A93" w:rsidRPr="00865074" w:rsidRDefault="00A16A93" w:rsidP="00865074">
            <w:pPr>
              <w:pStyle w:val="TableText"/>
              <w:rPr>
                <w:b/>
              </w:rPr>
            </w:pPr>
            <w:r w:rsidRPr="00865074">
              <w:rPr>
                <w:b/>
              </w:rPr>
              <w:t>Age group (years)</w:t>
            </w:r>
          </w:p>
        </w:tc>
        <w:tc>
          <w:tcPr>
            <w:tcW w:w="1086" w:type="dxa"/>
            <w:tcBorders>
              <w:top w:val="single" w:sz="4" w:space="0" w:color="auto"/>
              <w:bottom w:val="single" w:sz="4" w:space="0" w:color="A6A6A6" w:themeColor="background1" w:themeShade="A6"/>
            </w:tcBorders>
          </w:tcPr>
          <w:p w:rsidR="00A16A93" w:rsidRPr="00865074" w:rsidRDefault="00A16A93" w:rsidP="00865074">
            <w:pPr>
              <w:pStyle w:val="TableText"/>
              <w:jc w:val="center"/>
            </w:pPr>
          </w:p>
        </w:tc>
        <w:tc>
          <w:tcPr>
            <w:tcW w:w="1087" w:type="dxa"/>
            <w:tcBorders>
              <w:top w:val="single" w:sz="4" w:space="0" w:color="auto"/>
              <w:bottom w:val="single" w:sz="4" w:space="0" w:color="A6A6A6" w:themeColor="background1" w:themeShade="A6"/>
            </w:tcBorders>
          </w:tcPr>
          <w:p w:rsidR="00A16A93" w:rsidRPr="00865074" w:rsidRDefault="00A16A93" w:rsidP="00865074">
            <w:pPr>
              <w:pStyle w:val="TableText"/>
              <w:jc w:val="center"/>
            </w:pPr>
          </w:p>
        </w:tc>
        <w:tc>
          <w:tcPr>
            <w:tcW w:w="1087" w:type="dxa"/>
            <w:tcBorders>
              <w:top w:val="single" w:sz="4" w:space="0" w:color="auto"/>
              <w:bottom w:val="single" w:sz="4" w:space="0" w:color="A6A6A6" w:themeColor="background1" w:themeShade="A6"/>
            </w:tcBorders>
          </w:tcPr>
          <w:p w:rsidR="00A16A93" w:rsidRPr="00865074" w:rsidRDefault="00A16A93" w:rsidP="00865074">
            <w:pPr>
              <w:pStyle w:val="TableText"/>
              <w:jc w:val="center"/>
            </w:pPr>
          </w:p>
        </w:tc>
        <w:tc>
          <w:tcPr>
            <w:tcW w:w="3544" w:type="dxa"/>
            <w:tcBorders>
              <w:top w:val="single" w:sz="4" w:space="0" w:color="auto"/>
              <w:bottom w:val="single" w:sz="4" w:space="0" w:color="A6A6A6" w:themeColor="background1" w:themeShade="A6"/>
            </w:tcBorders>
          </w:tcPr>
          <w:p w:rsidR="00A16A93" w:rsidRPr="00865074" w:rsidRDefault="00A16A93" w:rsidP="00865074">
            <w:pPr>
              <w:pStyle w:val="TableText"/>
              <w:tabs>
                <w:tab w:val="decimal" w:pos="1219"/>
              </w:tabs>
            </w:pPr>
          </w:p>
        </w:tc>
      </w:tr>
      <w:tr w:rsidR="00A16A93" w:rsidRPr="00A16A93" w:rsidTr="00865074">
        <w:trPr>
          <w:cantSplit/>
        </w:trPr>
        <w:tc>
          <w:tcPr>
            <w:tcW w:w="2552"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pPr>
            <w:r w:rsidRPr="00865074">
              <w:t>2–4</w:t>
            </w:r>
          </w:p>
        </w:tc>
        <w:tc>
          <w:tcPr>
            <w:tcW w:w="1086"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jc w:val="center"/>
            </w:pPr>
            <w:r w:rsidRPr="00865074">
              <w:t>67.7%</w:t>
            </w:r>
          </w:p>
        </w:tc>
        <w:tc>
          <w:tcPr>
            <w:tcW w:w="1087"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jc w:val="center"/>
            </w:pPr>
            <w:r w:rsidRPr="00865074">
              <w:t>70.6%</w:t>
            </w:r>
          </w:p>
        </w:tc>
        <w:tc>
          <w:tcPr>
            <w:tcW w:w="1087"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jc w:val="center"/>
            </w:pPr>
            <w:r w:rsidRPr="00865074">
              <w:t>64.7%</w:t>
            </w:r>
          </w:p>
        </w:tc>
        <w:tc>
          <w:tcPr>
            <w:tcW w:w="3544"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tabs>
                <w:tab w:val="decimal" w:pos="1219"/>
              </w:tabs>
            </w:pPr>
            <w:r w:rsidRPr="00865074">
              <w:t>122,000</w:t>
            </w:r>
            <w:r w:rsidR="00865074">
              <w:t xml:space="preserve"> </w:t>
            </w:r>
            <w:r w:rsidRPr="00865074">
              <w:t>(114,000–129,000)</w:t>
            </w:r>
          </w:p>
        </w:tc>
      </w:tr>
      <w:tr w:rsidR="00A16A93" w:rsidRPr="00A16A93" w:rsidTr="00865074">
        <w:trPr>
          <w:cantSplit/>
        </w:trPr>
        <w:tc>
          <w:tcPr>
            <w:tcW w:w="2552"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pPr>
            <w:r w:rsidRPr="00865074">
              <w:t>5–9</w:t>
            </w:r>
          </w:p>
        </w:tc>
        <w:tc>
          <w:tcPr>
            <w:tcW w:w="1086"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jc w:val="center"/>
            </w:pPr>
            <w:r w:rsidRPr="00865074">
              <w:t>43.3%</w:t>
            </w:r>
          </w:p>
        </w:tc>
        <w:tc>
          <w:tcPr>
            <w:tcW w:w="1087"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jc w:val="center"/>
            </w:pPr>
            <w:r w:rsidRPr="00865074">
              <w:t>45.5%</w:t>
            </w:r>
          </w:p>
        </w:tc>
        <w:tc>
          <w:tcPr>
            <w:tcW w:w="1087"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jc w:val="center"/>
            </w:pPr>
            <w:r w:rsidRPr="00865074">
              <w:t>41.0%</w:t>
            </w:r>
          </w:p>
        </w:tc>
        <w:tc>
          <w:tcPr>
            <w:tcW w:w="3544"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tabs>
                <w:tab w:val="decimal" w:pos="1219"/>
              </w:tabs>
            </w:pPr>
            <w:r w:rsidRPr="00865074">
              <w:t>139,000</w:t>
            </w:r>
            <w:r w:rsidR="00865074">
              <w:t xml:space="preserve"> </w:t>
            </w:r>
            <w:r w:rsidRPr="00865074">
              <w:t>(127,000–151,000)</w:t>
            </w:r>
          </w:p>
        </w:tc>
      </w:tr>
      <w:tr w:rsidR="00A16A93" w:rsidRPr="00A16A93" w:rsidTr="00865074">
        <w:trPr>
          <w:cantSplit/>
        </w:trPr>
        <w:tc>
          <w:tcPr>
            <w:tcW w:w="2552" w:type="dxa"/>
            <w:tcBorders>
              <w:top w:val="single" w:sz="4" w:space="0" w:color="A6A6A6" w:themeColor="background1" w:themeShade="A6"/>
              <w:bottom w:val="single" w:sz="4" w:space="0" w:color="auto"/>
            </w:tcBorders>
          </w:tcPr>
          <w:p w:rsidR="00A16A93" w:rsidRPr="00865074" w:rsidRDefault="00A16A93" w:rsidP="00865074">
            <w:pPr>
              <w:pStyle w:val="TableText"/>
            </w:pPr>
            <w:r w:rsidRPr="00865074">
              <w:t>10–14</w:t>
            </w:r>
          </w:p>
        </w:tc>
        <w:tc>
          <w:tcPr>
            <w:tcW w:w="1086" w:type="dxa"/>
            <w:tcBorders>
              <w:top w:val="single" w:sz="4" w:space="0" w:color="A6A6A6" w:themeColor="background1" w:themeShade="A6"/>
              <w:bottom w:val="single" w:sz="4" w:space="0" w:color="auto"/>
            </w:tcBorders>
          </w:tcPr>
          <w:p w:rsidR="00A16A93" w:rsidRPr="00865074" w:rsidRDefault="00A16A93" w:rsidP="00865074">
            <w:pPr>
              <w:pStyle w:val="TableText"/>
              <w:jc w:val="center"/>
            </w:pPr>
            <w:r w:rsidRPr="00865074">
              <w:t>47.9%</w:t>
            </w:r>
          </w:p>
        </w:tc>
        <w:tc>
          <w:tcPr>
            <w:tcW w:w="1087" w:type="dxa"/>
            <w:tcBorders>
              <w:top w:val="single" w:sz="4" w:space="0" w:color="A6A6A6" w:themeColor="background1" w:themeShade="A6"/>
              <w:bottom w:val="single" w:sz="4" w:space="0" w:color="auto"/>
            </w:tcBorders>
          </w:tcPr>
          <w:p w:rsidR="00A16A93" w:rsidRPr="00865074" w:rsidRDefault="00A16A93" w:rsidP="00865074">
            <w:pPr>
              <w:pStyle w:val="TableText"/>
              <w:jc w:val="center"/>
            </w:pPr>
            <w:r w:rsidRPr="00865074">
              <w:t>48.4%</w:t>
            </w:r>
          </w:p>
        </w:tc>
        <w:tc>
          <w:tcPr>
            <w:tcW w:w="1087" w:type="dxa"/>
            <w:tcBorders>
              <w:top w:val="single" w:sz="4" w:space="0" w:color="A6A6A6" w:themeColor="background1" w:themeShade="A6"/>
              <w:bottom w:val="single" w:sz="4" w:space="0" w:color="auto"/>
            </w:tcBorders>
          </w:tcPr>
          <w:p w:rsidR="00A16A93" w:rsidRPr="00865074" w:rsidRDefault="00A16A93" w:rsidP="00865074">
            <w:pPr>
              <w:pStyle w:val="TableText"/>
              <w:jc w:val="center"/>
            </w:pPr>
            <w:r w:rsidRPr="00865074">
              <w:t>47.3%</w:t>
            </w:r>
          </w:p>
        </w:tc>
        <w:tc>
          <w:tcPr>
            <w:tcW w:w="3544" w:type="dxa"/>
            <w:tcBorders>
              <w:top w:val="single" w:sz="4" w:space="0" w:color="A6A6A6" w:themeColor="background1" w:themeShade="A6"/>
              <w:bottom w:val="single" w:sz="4" w:space="0" w:color="auto"/>
            </w:tcBorders>
          </w:tcPr>
          <w:p w:rsidR="00A16A93" w:rsidRPr="00865074" w:rsidRDefault="00A16A93" w:rsidP="00865074">
            <w:pPr>
              <w:pStyle w:val="TableText"/>
              <w:tabs>
                <w:tab w:val="decimal" w:pos="1219"/>
              </w:tabs>
            </w:pPr>
            <w:r w:rsidRPr="00865074">
              <w:t>140,000</w:t>
            </w:r>
            <w:r w:rsidR="00865074">
              <w:t xml:space="preserve"> </w:t>
            </w:r>
            <w:r w:rsidRPr="00865074">
              <w:t>(128,000–152,000)</w:t>
            </w:r>
          </w:p>
        </w:tc>
      </w:tr>
      <w:tr w:rsidR="00A16A93" w:rsidRPr="00A16A93" w:rsidTr="00865074">
        <w:trPr>
          <w:cantSplit/>
        </w:trPr>
        <w:tc>
          <w:tcPr>
            <w:tcW w:w="2552" w:type="dxa"/>
            <w:tcBorders>
              <w:top w:val="single" w:sz="4" w:space="0" w:color="auto"/>
              <w:bottom w:val="single" w:sz="4" w:space="0" w:color="A6A6A6" w:themeColor="background1" w:themeShade="A6"/>
            </w:tcBorders>
          </w:tcPr>
          <w:p w:rsidR="00A16A93" w:rsidRPr="00865074" w:rsidRDefault="00A16A93" w:rsidP="00865074">
            <w:pPr>
              <w:pStyle w:val="TableText"/>
              <w:rPr>
                <w:b/>
              </w:rPr>
            </w:pPr>
            <w:r w:rsidRPr="00865074">
              <w:rPr>
                <w:b/>
              </w:rPr>
              <w:t>Ethnic group</w:t>
            </w:r>
          </w:p>
        </w:tc>
        <w:tc>
          <w:tcPr>
            <w:tcW w:w="1086" w:type="dxa"/>
            <w:tcBorders>
              <w:top w:val="single" w:sz="4" w:space="0" w:color="auto"/>
              <w:bottom w:val="single" w:sz="4" w:space="0" w:color="A6A6A6" w:themeColor="background1" w:themeShade="A6"/>
            </w:tcBorders>
          </w:tcPr>
          <w:p w:rsidR="00A16A93" w:rsidRPr="00865074" w:rsidRDefault="00A16A93" w:rsidP="00865074">
            <w:pPr>
              <w:pStyle w:val="TableText"/>
              <w:jc w:val="center"/>
            </w:pPr>
          </w:p>
        </w:tc>
        <w:tc>
          <w:tcPr>
            <w:tcW w:w="1087" w:type="dxa"/>
            <w:tcBorders>
              <w:top w:val="single" w:sz="4" w:space="0" w:color="auto"/>
              <w:bottom w:val="single" w:sz="4" w:space="0" w:color="A6A6A6" w:themeColor="background1" w:themeShade="A6"/>
            </w:tcBorders>
          </w:tcPr>
          <w:p w:rsidR="00A16A93" w:rsidRPr="00865074" w:rsidRDefault="00A16A93" w:rsidP="00865074">
            <w:pPr>
              <w:pStyle w:val="TableText"/>
              <w:jc w:val="center"/>
            </w:pPr>
          </w:p>
        </w:tc>
        <w:tc>
          <w:tcPr>
            <w:tcW w:w="1087" w:type="dxa"/>
            <w:tcBorders>
              <w:top w:val="single" w:sz="4" w:space="0" w:color="auto"/>
              <w:bottom w:val="single" w:sz="4" w:space="0" w:color="A6A6A6" w:themeColor="background1" w:themeShade="A6"/>
            </w:tcBorders>
          </w:tcPr>
          <w:p w:rsidR="00A16A93" w:rsidRPr="00865074" w:rsidRDefault="00A16A93" w:rsidP="00865074">
            <w:pPr>
              <w:pStyle w:val="TableText"/>
              <w:jc w:val="center"/>
            </w:pPr>
          </w:p>
        </w:tc>
        <w:tc>
          <w:tcPr>
            <w:tcW w:w="3544" w:type="dxa"/>
            <w:tcBorders>
              <w:top w:val="single" w:sz="4" w:space="0" w:color="auto"/>
              <w:bottom w:val="single" w:sz="4" w:space="0" w:color="A6A6A6" w:themeColor="background1" w:themeShade="A6"/>
            </w:tcBorders>
          </w:tcPr>
          <w:p w:rsidR="00A16A93" w:rsidRPr="00865074" w:rsidRDefault="00A16A93" w:rsidP="00865074">
            <w:pPr>
              <w:pStyle w:val="TableText"/>
              <w:tabs>
                <w:tab w:val="decimal" w:pos="1219"/>
              </w:tabs>
            </w:pPr>
          </w:p>
        </w:tc>
      </w:tr>
      <w:tr w:rsidR="00A16A93" w:rsidRPr="00A16A93" w:rsidTr="00865074">
        <w:trPr>
          <w:cantSplit/>
        </w:trPr>
        <w:tc>
          <w:tcPr>
            <w:tcW w:w="2552"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pPr>
            <w:r w:rsidRPr="00865074">
              <w:t>Māori</w:t>
            </w:r>
          </w:p>
        </w:tc>
        <w:tc>
          <w:tcPr>
            <w:tcW w:w="1086"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jc w:val="center"/>
            </w:pPr>
            <w:r w:rsidRPr="00865074">
              <w:t>46.9%</w:t>
            </w:r>
          </w:p>
        </w:tc>
        <w:tc>
          <w:tcPr>
            <w:tcW w:w="1087"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jc w:val="center"/>
            </w:pPr>
            <w:r w:rsidRPr="00865074">
              <w:t>49.3%</w:t>
            </w:r>
          </w:p>
        </w:tc>
        <w:tc>
          <w:tcPr>
            <w:tcW w:w="1087"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jc w:val="center"/>
            </w:pPr>
            <w:r w:rsidRPr="00865074">
              <w:t>44.4%</w:t>
            </w:r>
          </w:p>
        </w:tc>
        <w:tc>
          <w:tcPr>
            <w:tcW w:w="3544"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tabs>
                <w:tab w:val="decimal" w:pos="1219"/>
              </w:tabs>
            </w:pPr>
            <w:r w:rsidRPr="00865074">
              <w:t>94,000</w:t>
            </w:r>
            <w:r w:rsidR="00865074">
              <w:t xml:space="preserve"> </w:t>
            </w:r>
            <w:r w:rsidRPr="00865074">
              <w:t>(87,000–102,000)</w:t>
            </w:r>
          </w:p>
        </w:tc>
      </w:tr>
      <w:tr w:rsidR="00A16A93" w:rsidRPr="00A16A93" w:rsidTr="00865074">
        <w:trPr>
          <w:cantSplit/>
        </w:trPr>
        <w:tc>
          <w:tcPr>
            <w:tcW w:w="2552"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pPr>
            <w:r w:rsidRPr="00865074">
              <w:t>Pacific peoples</w:t>
            </w:r>
          </w:p>
        </w:tc>
        <w:tc>
          <w:tcPr>
            <w:tcW w:w="1086"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jc w:val="center"/>
            </w:pPr>
            <w:r w:rsidRPr="00865074">
              <w:t>39.8%</w:t>
            </w:r>
          </w:p>
        </w:tc>
        <w:tc>
          <w:tcPr>
            <w:tcW w:w="1087"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jc w:val="center"/>
            </w:pPr>
            <w:r w:rsidRPr="00865074">
              <w:t>37.3%</w:t>
            </w:r>
          </w:p>
        </w:tc>
        <w:tc>
          <w:tcPr>
            <w:tcW w:w="1087"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jc w:val="center"/>
            </w:pPr>
            <w:r w:rsidRPr="00865074">
              <w:t>42.4%</w:t>
            </w:r>
          </w:p>
        </w:tc>
        <w:tc>
          <w:tcPr>
            <w:tcW w:w="3544"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tabs>
                <w:tab w:val="decimal" w:pos="1219"/>
              </w:tabs>
            </w:pPr>
            <w:r w:rsidRPr="00865074">
              <w:t>42,000</w:t>
            </w:r>
            <w:r w:rsidR="00865074">
              <w:t xml:space="preserve"> </w:t>
            </w:r>
            <w:r w:rsidRPr="00865074">
              <w:t>(36,000–47,000)</w:t>
            </w:r>
          </w:p>
        </w:tc>
      </w:tr>
      <w:tr w:rsidR="00A16A93" w:rsidRPr="00A16A93" w:rsidTr="00865074">
        <w:trPr>
          <w:cantSplit/>
        </w:trPr>
        <w:tc>
          <w:tcPr>
            <w:tcW w:w="2552"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pPr>
            <w:r w:rsidRPr="00865074">
              <w:t>Asian</w:t>
            </w:r>
          </w:p>
        </w:tc>
        <w:tc>
          <w:tcPr>
            <w:tcW w:w="1086"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jc w:val="center"/>
            </w:pPr>
            <w:r w:rsidRPr="00865074">
              <w:t>36.2%</w:t>
            </w:r>
          </w:p>
        </w:tc>
        <w:tc>
          <w:tcPr>
            <w:tcW w:w="1087"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jc w:val="center"/>
            </w:pPr>
            <w:r w:rsidRPr="00865074">
              <w:t>37.8%</w:t>
            </w:r>
          </w:p>
        </w:tc>
        <w:tc>
          <w:tcPr>
            <w:tcW w:w="1087"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jc w:val="center"/>
            </w:pPr>
            <w:r w:rsidRPr="00865074">
              <w:t>34.5%</w:t>
            </w:r>
          </w:p>
        </w:tc>
        <w:tc>
          <w:tcPr>
            <w:tcW w:w="3544"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tabs>
                <w:tab w:val="decimal" w:pos="1219"/>
              </w:tabs>
            </w:pPr>
            <w:r w:rsidRPr="00865074">
              <w:t>37,000</w:t>
            </w:r>
            <w:r w:rsidR="00865074">
              <w:t xml:space="preserve"> </w:t>
            </w:r>
            <w:r w:rsidRPr="00865074">
              <w:t>(31,000–43,000)</w:t>
            </w:r>
          </w:p>
        </w:tc>
      </w:tr>
      <w:tr w:rsidR="00A16A93" w:rsidRPr="00A16A93" w:rsidTr="00865074">
        <w:trPr>
          <w:cantSplit/>
        </w:trPr>
        <w:tc>
          <w:tcPr>
            <w:tcW w:w="2552" w:type="dxa"/>
            <w:tcBorders>
              <w:top w:val="single" w:sz="4" w:space="0" w:color="A6A6A6" w:themeColor="background1" w:themeShade="A6"/>
              <w:bottom w:val="single" w:sz="4" w:space="0" w:color="auto"/>
            </w:tcBorders>
          </w:tcPr>
          <w:p w:rsidR="00A16A93" w:rsidRPr="00865074" w:rsidRDefault="00A16A93" w:rsidP="00865074">
            <w:pPr>
              <w:pStyle w:val="TableText"/>
            </w:pPr>
            <w:r w:rsidRPr="00865074">
              <w:t>European/Other</w:t>
            </w:r>
          </w:p>
        </w:tc>
        <w:tc>
          <w:tcPr>
            <w:tcW w:w="1086" w:type="dxa"/>
            <w:tcBorders>
              <w:top w:val="single" w:sz="4" w:space="0" w:color="A6A6A6" w:themeColor="background1" w:themeShade="A6"/>
              <w:bottom w:val="single" w:sz="4" w:space="0" w:color="auto"/>
            </w:tcBorders>
          </w:tcPr>
          <w:p w:rsidR="00A16A93" w:rsidRPr="00865074" w:rsidRDefault="00A16A93" w:rsidP="00865074">
            <w:pPr>
              <w:pStyle w:val="TableText"/>
              <w:jc w:val="center"/>
            </w:pPr>
            <w:r w:rsidRPr="00865074">
              <w:t>56.2%</w:t>
            </w:r>
          </w:p>
        </w:tc>
        <w:tc>
          <w:tcPr>
            <w:tcW w:w="1087" w:type="dxa"/>
            <w:tcBorders>
              <w:top w:val="single" w:sz="4" w:space="0" w:color="A6A6A6" w:themeColor="background1" w:themeShade="A6"/>
              <w:bottom w:val="single" w:sz="4" w:space="0" w:color="auto"/>
            </w:tcBorders>
          </w:tcPr>
          <w:p w:rsidR="00A16A93" w:rsidRPr="00865074" w:rsidRDefault="00A16A93" w:rsidP="00865074">
            <w:pPr>
              <w:pStyle w:val="TableText"/>
              <w:jc w:val="center"/>
            </w:pPr>
            <w:r w:rsidRPr="00865074">
              <w:t>58.1%</w:t>
            </w:r>
          </w:p>
        </w:tc>
        <w:tc>
          <w:tcPr>
            <w:tcW w:w="1087" w:type="dxa"/>
            <w:tcBorders>
              <w:top w:val="single" w:sz="4" w:space="0" w:color="A6A6A6" w:themeColor="background1" w:themeShade="A6"/>
              <w:bottom w:val="single" w:sz="4" w:space="0" w:color="auto"/>
            </w:tcBorders>
          </w:tcPr>
          <w:p w:rsidR="00A16A93" w:rsidRPr="00865074" w:rsidRDefault="00A16A93" w:rsidP="00865074">
            <w:pPr>
              <w:pStyle w:val="TableText"/>
              <w:jc w:val="center"/>
            </w:pPr>
            <w:r w:rsidRPr="00865074">
              <w:t>54.2%</w:t>
            </w:r>
          </w:p>
        </w:tc>
        <w:tc>
          <w:tcPr>
            <w:tcW w:w="3544" w:type="dxa"/>
            <w:tcBorders>
              <w:top w:val="single" w:sz="4" w:space="0" w:color="A6A6A6" w:themeColor="background1" w:themeShade="A6"/>
              <w:bottom w:val="single" w:sz="4" w:space="0" w:color="auto"/>
            </w:tcBorders>
          </w:tcPr>
          <w:p w:rsidR="00A16A93" w:rsidRPr="00865074" w:rsidRDefault="00A16A93" w:rsidP="00865074">
            <w:pPr>
              <w:pStyle w:val="TableText"/>
              <w:tabs>
                <w:tab w:val="decimal" w:pos="1219"/>
              </w:tabs>
            </w:pPr>
            <w:r w:rsidRPr="00865074">
              <w:t>318,000</w:t>
            </w:r>
            <w:r w:rsidR="00865074">
              <w:t xml:space="preserve"> </w:t>
            </w:r>
            <w:r w:rsidRPr="00865074">
              <w:t>(300,000–335,000)</w:t>
            </w:r>
          </w:p>
        </w:tc>
      </w:tr>
      <w:tr w:rsidR="00A16A93" w:rsidRPr="00A16A93" w:rsidTr="00865074">
        <w:trPr>
          <w:cantSplit/>
        </w:trPr>
        <w:tc>
          <w:tcPr>
            <w:tcW w:w="2552" w:type="dxa"/>
            <w:tcBorders>
              <w:top w:val="single" w:sz="4" w:space="0" w:color="auto"/>
              <w:bottom w:val="single" w:sz="4" w:space="0" w:color="A6A6A6" w:themeColor="background1" w:themeShade="A6"/>
            </w:tcBorders>
          </w:tcPr>
          <w:p w:rsidR="00A16A93" w:rsidRPr="00865074" w:rsidRDefault="00A16A93" w:rsidP="00865074">
            <w:pPr>
              <w:pStyle w:val="TableText"/>
              <w:rPr>
                <w:b/>
              </w:rPr>
            </w:pPr>
            <w:r w:rsidRPr="00865074">
              <w:rPr>
                <w:b/>
              </w:rPr>
              <w:t>Neighbourhood deprivation quintile (NZDep2013)</w:t>
            </w:r>
          </w:p>
        </w:tc>
        <w:tc>
          <w:tcPr>
            <w:tcW w:w="1086" w:type="dxa"/>
            <w:tcBorders>
              <w:top w:val="single" w:sz="4" w:space="0" w:color="auto"/>
              <w:bottom w:val="single" w:sz="4" w:space="0" w:color="A6A6A6" w:themeColor="background1" w:themeShade="A6"/>
            </w:tcBorders>
          </w:tcPr>
          <w:p w:rsidR="00A16A93" w:rsidRPr="00865074" w:rsidRDefault="00A16A93" w:rsidP="00865074">
            <w:pPr>
              <w:pStyle w:val="TableText"/>
              <w:jc w:val="center"/>
            </w:pPr>
          </w:p>
        </w:tc>
        <w:tc>
          <w:tcPr>
            <w:tcW w:w="1087" w:type="dxa"/>
            <w:tcBorders>
              <w:top w:val="single" w:sz="4" w:space="0" w:color="auto"/>
              <w:bottom w:val="single" w:sz="4" w:space="0" w:color="A6A6A6" w:themeColor="background1" w:themeShade="A6"/>
            </w:tcBorders>
          </w:tcPr>
          <w:p w:rsidR="00A16A93" w:rsidRPr="00865074" w:rsidRDefault="00A16A93" w:rsidP="00865074">
            <w:pPr>
              <w:pStyle w:val="TableText"/>
              <w:jc w:val="center"/>
            </w:pPr>
          </w:p>
        </w:tc>
        <w:tc>
          <w:tcPr>
            <w:tcW w:w="1087" w:type="dxa"/>
            <w:tcBorders>
              <w:top w:val="single" w:sz="4" w:space="0" w:color="auto"/>
              <w:bottom w:val="single" w:sz="4" w:space="0" w:color="A6A6A6" w:themeColor="background1" w:themeShade="A6"/>
            </w:tcBorders>
          </w:tcPr>
          <w:p w:rsidR="00A16A93" w:rsidRPr="00865074" w:rsidRDefault="00A16A93" w:rsidP="00865074">
            <w:pPr>
              <w:pStyle w:val="TableText"/>
              <w:jc w:val="center"/>
            </w:pPr>
          </w:p>
        </w:tc>
        <w:tc>
          <w:tcPr>
            <w:tcW w:w="3544" w:type="dxa"/>
            <w:tcBorders>
              <w:top w:val="single" w:sz="4" w:space="0" w:color="auto"/>
              <w:bottom w:val="single" w:sz="4" w:space="0" w:color="A6A6A6" w:themeColor="background1" w:themeShade="A6"/>
            </w:tcBorders>
          </w:tcPr>
          <w:p w:rsidR="00A16A93" w:rsidRPr="00865074" w:rsidRDefault="00A16A93" w:rsidP="00865074">
            <w:pPr>
              <w:pStyle w:val="TableText"/>
              <w:tabs>
                <w:tab w:val="decimal" w:pos="1219"/>
              </w:tabs>
            </w:pPr>
          </w:p>
        </w:tc>
      </w:tr>
      <w:tr w:rsidR="00A16A93" w:rsidRPr="00A16A93" w:rsidTr="00865074">
        <w:trPr>
          <w:cantSplit/>
        </w:trPr>
        <w:tc>
          <w:tcPr>
            <w:tcW w:w="2552"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pPr>
            <w:r w:rsidRPr="00865074">
              <w:t>Quintile 1 (least deprived)</w:t>
            </w:r>
          </w:p>
        </w:tc>
        <w:tc>
          <w:tcPr>
            <w:tcW w:w="1086"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jc w:val="center"/>
            </w:pPr>
            <w:r w:rsidRPr="00865074">
              <w:t>55.2%</w:t>
            </w:r>
          </w:p>
        </w:tc>
        <w:tc>
          <w:tcPr>
            <w:tcW w:w="1087"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jc w:val="center"/>
            </w:pPr>
            <w:r w:rsidRPr="00865074">
              <w:t>56.1%</w:t>
            </w:r>
          </w:p>
        </w:tc>
        <w:tc>
          <w:tcPr>
            <w:tcW w:w="1087"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jc w:val="center"/>
            </w:pPr>
            <w:r w:rsidRPr="00865074">
              <w:t>54.2%</w:t>
            </w:r>
          </w:p>
        </w:tc>
        <w:tc>
          <w:tcPr>
            <w:tcW w:w="3544"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tabs>
                <w:tab w:val="decimal" w:pos="1219"/>
              </w:tabs>
            </w:pPr>
            <w:r w:rsidRPr="00865074">
              <w:t>92,000</w:t>
            </w:r>
            <w:r w:rsidR="00865074">
              <w:t xml:space="preserve"> </w:t>
            </w:r>
            <w:r w:rsidRPr="00865074">
              <w:t>(79,000–104,000)</w:t>
            </w:r>
          </w:p>
        </w:tc>
      </w:tr>
      <w:tr w:rsidR="00A16A93" w:rsidRPr="00A16A93" w:rsidTr="00865074">
        <w:trPr>
          <w:cantSplit/>
        </w:trPr>
        <w:tc>
          <w:tcPr>
            <w:tcW w:w="2552"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pPr>
            <w:r w:rsidRPr="00865074">
              <w:t>Quintile 2</w:t>
            </w:r>
          </w:p>
        </w:tc>
        <w:tc>
          <w:tcPr>
            <w:tcW w:w="1086"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jc w:val="center"/>
            </w:pPr>
            <w:r w:rsidRPr="00865074">
              <w:t>55.3%</w:t>
            </w:r>
          </w:p>
        </w:tc>
        <w:tc>
          <w:tcPr>
            <w:tcW w:w="1087"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jc w:val="center"/>
            </w:pPr>
            <w:r w:rsidRPr="00865074">
              <w:t>61.8%</w:t>
            </w:r>
          </w:p>
        </w:tc>
        <w:tc>
          <w:tcPr>
            <w:tcW w:w="1087"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jc w:val="center"/>
            </w:pPr>
            <w:r w:rsidRPr="00865074">
              <w:t>48.0%</w:t>
            </w:r>
          </w:p>
        </w:tc>
        <w:tc>
          <w:tcPr>
            <w:tcW w:w="3544"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tabs>
                <w:tab w:val="decimal" w:pos="1219"/>
              </w:tabs>
            </w:pPr>
            <w:r w:rsidRPr="00865074">
              <w:t>85,000</w:t>
            </w:r>
            <w:r w:rsidR="00865074">
              <w:t xml:space="preserve"> </w:t>
            </w:r>
            <w:r w:rsidRPr="00865074">
              <w:t>(76,000–93,000)</w:t>
            </w:r>
          </w:p>
        </w:tc>
      </w:tr>
      <w:tr w:rsidR="00A16A93" w:rsidRPr="00A16A93" w:rsidTr="00865074">
        <w:trPr>
          <w:cantSplit/>
        </w:trPr>
        <w:tc>
          <w:tcPr>
            <w:tcW w:w="2552"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pPr>
            <w:r w:rsidRPr="00865074">
              <w:t>Quintile 3</w:t>
            </w:r>
          </w:p>
        </w:tc>
        <w:tc>
          <w:tcPr>
            <w:tcW w:w="1086"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jc w:val="center"/>
            </w:pPr>
            <w:r w:rsidRPr="00865074">
              <w:t>52.7%</w:t>
            </w:r>
          </w:p>
        </w:tc>
        <w:tc>
          <w:tcPr>
            <w:tcW w:w="1087"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jc w:val="center"/>
            </w:pPr>
            <w:r w:rsidRPr="00865074">
              <w:t>55.3%</w:t>
            </w:r>
          </w:p>
        </w:tc>
        <w:tc>
          <w:tcPr>
            <w:tcW w:w="1087"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jc w:val="center"/>
            </w:pPr>
            <w:r w:rsidRPr="00865074">
              <w:t>49.9%</w:t>
            </w:r>
          </w:p>
        </w:tc>
        <w:tc>
          <w:tcPr>
            <w:tcW w:w="3544"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tabs>
                <w:tab w:val="decimal" w:pos="1219"/>
              </w:tabs>
            </w:pPr>
            <w:r w:rsidRPr="00865074">
              <w:t>74,000</w:t>
            </w:r>
            <w:r w:rsidR="00865074">
              <w:t xml:space="preserve"> </w:t>
            </w:r>
            <w:r w:rsidRPr="00865074">
              <w:t>(67,000–82,000)</w:t>
            </w:r>
          </w:p>
        </w:tc>
      </w:tr>
      <w:tr w:rsidR="00A16A93" w:rsidRPr="00A16A93" w:rsidTr="00865074">
        <w:trPr>
          <w:cantSplit/>
        </w:trPr>
        <w:tc>
          <w:tcPr>
            <w:tcW w:w="2552"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pPr>
            <w:r w:rsidRPr="00865074">
              <w:t>Quintile 4</w:t>
            </w:r>
          </w:p>
        </w:tc>
        <w:tc>
          <w:tcPr>
            <w:tcW w:w="1086"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jc w:val="center"/>
            </w:pPr>
            <w:r w:rsidRPr="00865074">
              <w:t>48.2%</w:t>
            </w:r>
          </w:p>
        </w:tc>
        <w:tc>
          <w:tcPr>
            <w:tcW w:w="1087"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jc w:val="center"/>
            </w:pPr>
            <w:r w:rsidRPr="00865074">
              <w:t>47.7%</w:t>
            </w:r>
          </w:p>
        </w:tc>
        <w:tc>
          <w:tcPr>
            <w:tcW w:w="1087"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jc w:val="center"/>
            </w:pPr>
            <w:r w:rsidRPr="00865074">
              <w:t>48.8%</w:t>
            </w:r>
          </w:p>
        </w:tc>
        <w:tc>
          <w:tcPr>
            <w:tcW w:w="3544" w:type="dxa"/>
            <w:tcBorders>
              <w:top w:val="single" w:sz="4" w:space="0" w:color="A6A6A6" w:themeColor="background1" w:themeShade="A6"/>
              <w:bottom w:val="single" w:sz="4" w:space="0" w:color="A6A6A6" w:themeColor="background1" w:themeShade="A6"/>
            </w:tcBorders>
          </w:tcPr>
          <w:p w:rsidR="00A16A93" w:rsidRPr="00865074" w:rsidRDefault="00A16A93" w:rsidP="00865074">
            <w:pPr>
              <w:pStyle w:val="TableText"/>
              <w:tabs>
                <w:tab w:val="decimal" w:pos="1219"/>
              </w:tabs>
            </w:pPr>
            <w:r w:rsidRPr="00865074">
              <w:t>72,000</w:t>
            </w:r>
            <w:r w:rsidR="00865074">
              <w:t xml:space="preserve"> </w:t>
            </w:r>
            <w:r w:rsidRPr="00865074">
              <w:t>(64,000–80,000)</w:t>
            </w:r>
          </w:p>
        </w:tc>
      </w:tr>
      <w:tr w:rsidR="00A16A93" w:rsidRPr="00A16A93" w:rsidTr="00865074">
        <w:trPr>
          <w:cantSplit/>
        </w:trPr>
        <w:tc>
          <w:tcPr>
            <w:tcW w:w="2552" w:type="dxa"/>
            <w:tcBorders>
              <w:top w:val="single" w:sz="4" w:space="0" w:color="A6A6A6" w:themeColor="background1" w:themeShade="A6"/>
              <w:bottom w:val="single" w:sz="4" w:space="0" w:color="auto"/>
            </w:tcBorders>
          </w:tcPr>
          <w:p w:rsidR="00A16A93" w:rsidRPr="00865074" w:rsidRDefault="00A16A93" w:rsidP="00865074">
            <w:pPr>
              <w:pStyle w:val="TableText"/>
            </w:pPr>
            <w:r w:rsidRPr="00865074">
              <w:t>Quintile 5 (most deprived)</w:t>
            </w:r>
          </w:p>
        </w:tc>
        <w:tc>
          <w:tcPr>
            <w:tcW w:w="1086" w:type="dxa"/>
            <w:tcBorders>
              <w:top w:val="single" w:sz="4" w:space="0" w:color="A6A6A6" w:themeColor="background1" w:themeShade="A6"/>
              <w:bottom w:val="single" w:sz="4" w:space="0" w:color="auto"/>
            </w:tcBorders>
          </w:tcPr>
          <w:p w:rsidR="00A16A93" w:rsidRPr="00865074" w:rsidRDefault="00A16A93" w:rsidP="00865074">
            <w:pPr>
              <w:pStyle w:val="TableText"/>
              <w:jc w:val="center"/>
            </w:pPr>
            <w:r w:rsidRPr="00865074">
              <w:t>42.7%</w:t>
            </w:r>
          </w:p>
        </w:tc>
        <w:tc>
          <w:tcPr>
            <w:tcW w:w="1087" w:type="dxa"/>
            <w:tcBorders>
              <w:top w:val="single" w:sz="4" w:space="0" w:color="A6A6A6" w:themeColor="background1" w:themeShade="A6"/>
              <w:bottom w:val="single" w:sz="4" w:space="0" w:color="auto"/>
            </w:tcBorders>
          </w:tcPr>
          <w:p w:rsidR="00A16A93" w:rsidRPr="00865074" w:rsidRDefault="00A16A93" w:rsidP="00865074">
            <w:pPr>
              <w:pStyle w:val="TableText"/>
              <w:jc w:val="center"/>
            </w:pPr>
            <w:r w:rsidRPr="00865074">
              <w:t>41.8%</w:t>
            </w:r>
          </w:p>
        </w:tc>
        <w:tc>
          <w:tcPr>
            <w:tcW w:w="1087" w:type="dxa"/>
            <w:tcBorders>
              <w:top w:val="single" w:sz="4" w:space="0" w:color="A6A6A6" w:themeColor="background1" w:themeShade="A6"/>
              <w:bottom w:val="single" w:sz="4" w:space="0" w:color="auto"/>
            </w:tcBorders>
          </w:tcPr>
          <w:p w:rsidR="00A16A93" w:rsidRPr="00865074" w:rsidRDefault="00A16A93" w:rsidP="00865074">
            <w:pPr>
              <w:pStyle w:val="TableText"/>
              <w:jc w:val="center"/>
            </w:pPr>
            <w:r w:rsidRPr="00865074">
              <w:t>43.5%</w:t>
            </w:r>
          </w:p>
        </w:tc>
        <w:tc>
          <w:tcPr>
            <w:tcW w:w="3544" w:type="dxa"/>
            <w:tcBorders>
              <w:top w:val="single" w:sz="4" w:space="0" w:color="A6A6A6" w:themeColor="background1" w:themeShade="A6"/>
              <w:bottom w:val="single" w:sz="4" w:space="0" w:color="auto"/>
            </w:tcBorders>
          </w:tcPr>
          <w:p w:rsidR="00A16A93" w:rsidRPr="00865074" w:rsidRDefault="00A16A93" w:rsidP="00865074">
            <w:pPr>
              <w:pStyle w:val="TableText"/>
              <w:tabs>
                <w:tab w:val="decimal" w:pos="1219"/>
              </w:tabs>
            </w:pPr>
            <w:r w:rsidRPr="00865074">
              <w:t>78,000</w:t>
            </w:r>
            <w:r w:rsidR="00865074">
              <w:t xml:space="preserve"> </w:t>
            </w:r>
            <w:r w:rsidRPr="00865074">
              <w:t>(72,000–85,000)</w:t>
            </w:r>
          </w:p>
        </w:tc>
      </w:tr>
    </w:tbl>
    <w:p w:rsidR="00A16A93" w:rsidRPr="00A16A93" w:rsidRDefault="00A16A93" w:rsidP="00865074">
      <w:pPr>
        <w:pStyle w:val="Source"/>
        <w:rPr>
          <w:rFonts w:cs="Arial"/>
        </w:rPr>
      </w:pPr>
      <w:r w:rsidRPr="00A16A93">
        <w:rPr>
          <w:rFonts w:cs="Arial"/>
        </w:rPr>
        <w:t xml:space="preserve">Source: </w:t>
      </w:r>
      <w:hyperlink r:id="rId55" w:history="1">
        <w:r w:rsidRPr="00A16A93">
          <w:rPr>
            <w:rStyle w:val="Hyperlink"/>
            <w:rFonts w:cs="Arial"/>
          </w:rPr>
          <w:t>Ministry of Health 2016d</w:t>
        </w:r>
      </w:hyperlink>
    </w:p>
    <w:p w:rsidR="00A16A93" w:rsidRPr="00A16A93" w:rsidRDefault="00A16A93" w:rsidP="00865074">
      <w:pPr>
        <w:pStyle w:val="Note"/>
      </w:pPr>
      <w:r w:rsidRPr="00A16A93">
        <w:t>Note:</w:t>
      </w:r>
      <w:r w:rsidR="00865074">
        <w:t xml:space="preserve"> </w:t>
      </w:r>
      <w:r w:rsidRPr="00A16A93">
        <w:t xml:space="preserve">The estimated numbers of children in each group who eat at least two servings of vegetables each day has been rounded to the nearest 1,000. For more information on how these numbers are calculated, please see section 7 of </w:t>
      </w:r>
      <w:hyperlink r:id="rId56" w:history="1">
        <w:r w:rsidRPr="00865074">
          <w:rPr>
            <w:rStyle w:val="Hyperlink"/>
          </w:rPr>
          <w:t>Ministry of Health 2016b</w:t>
        </w:r>
      </w:hyperlink>
      <w:r w:rsidRPr="00A16A93">
        <w:t>.</w:t>
      </w:r>
    </w:p>
    <w:p w:rsidR="00A16A93" w:rsidRPr="00A16A93" w:rsidRDefault="00A16A93" w:rsidP="00865074"/>
    <w:p w:rsidR="00A16A93" w:rsidRPr="00A16A93" w:rsidRDefault="00A16A93" w:rsidP="00865074">
      <w:pPr>
        <w:pStyle w:val="Figure"/>
      </w:pPr>
      <w:bookmarkStart w:id="71" w:name="_Toc480534277"/>
      <w:r w:rsidRPr="00A16A93">
        <w:t>Figure 7: Percentage of children (aged 2–14 years) who meet New Zealand’s age-specific vegetable intake guidelines, 2011/12–2015/16</w:t>
      </w:r>
      <w:bookmarkEnd w:id="71"/>
    </w:p>
    <w:p w:rsidR="00A16A93" w:rsidRPr="00A16A93" w:rsidRDefault="00A16A93" w:rsidP="00A16A93">
      <w:pPr>
        <w:rPr>
          <w:rFonts w:ascii="Arial" w:hAnsi="Arial" w:cs="Arial"/>
        </w:rPr>
      </w:pPr>
      <w:r w:rsidRPr="00A16A93">
        <w:rPr>
          <w:rFonts w:ascii="Arial" w:hAnsi="Arial" w:cs="Arial"/>
          <w:noProof/>
          <w:lang w:eastAsia="en-NZ"/>
        </w:rPr>
        <w:drawing>
          <wp:inline distT="0" distB="0" distL="0" distR="0" wp14:anchorId="7FBEB037" wp14:editId="517B2F88">
            <wp:extent cx="4671753" cy="2725189"/>
            <wp:effectExtent l="0" t="0" r="0" b="0"/>
            <wp:docPr id="9" name="Chart 9" title="Figure 7: Percentage of children (aged 2–14 years) who meet New Zealand’s age-specific vegetable intake guidelines, 2011/12–201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16A93" w:rsidRDefault="00A16A93" w:rsidP="00865074">
      <w:pPr>
        <w:pStyle w:val="Source"/>
        <w:rPr>
          <w:rStyle w:val="Hyperlink"/>
          <w:rFonts w:cs="Arial"/>
        </w:rPr>
      </w:pPr>
      <w:r w:rsidRPr="00A16A93">
        <w:rPr>
          <w:rFonts w:cs="Arial"/>
        </w:rPr>
        <w:t xml:space="preserve">Source: </w:t>
      </w:r>
      <w:hyperlink r:id="rId58" w:history="1">
        <w:r w:rsidRPr="00A16A93">
          <w:rPr>
            <w:rStyle w:val="Hyperlink"/>
            <w:rFonts w:cs="Arial"/>
          </w:rPr>
          <w:t>Ministry of Health 2016d</w:t>
        </w:r>
      </w:hyperlink>
    </w:p>
    <w:p w:rsidR="00865074" w:rsidRPr="00A16A93" w:rsidRDefault="00865074" w:rsidP="00865074"/>
    <w:p w:rsidR="00A16A93" w:rsidRPr="00A16A93" w:rsidRDefault="00A16A93" w:rsidP="006307E0">
      <w:pPr>
        <w:pStyle w:val="Heading1"/>
      </w:pPr>
      <w:bookmarkStart w:id="72" w:name="_Toc480457773"/>
      <w:bookmarkStart w:id="73" w:name="_Toc480534241"/>
      <w:r w:rsidRPr="00A16A93">
        <w:lastRenderedPageBreak/>
        <w:t>Indicators 8–11: Children’s environments support physical activity and healthy living</w:t>
      </w:r>
      <w:bookmarkEnd w:id="72"/>
      <w:bookmarkEnd w:id="73"/>
    </w:p>
    <w:p w:rsidR="00A16A93" w:rsidRPr="00A16A93" w:rsidRDefault="00A16A93" w:rsidP="005A65A9">
      <w:pPr>
        <w:pStyle w:val="Heading3"/>
      </w:pPr>
      <w:bookmarkStart w:id="74" w:name="_Toc480457774"/>
      <w:r w:rsidRPr="00A16A93">
        <w:t>Rationale and purpose</w:t>
      </w:r>
      <w:bookmarkEnd w:id="74"/>
    </w:p>
    <w:p w:rsidR="00A16A93" w:rsidRDefault="00A16A93" w:rsidP="005A65A9">
      <w:r w:rsidRPr="00A16A93">
        <w:t>Creating environments that support children to eat well and be more physically active is important for reducing rates of childhood obesity. We can do this by developing policies and interventions that influence how we market, label and subsidise foods and beverages for children, and by supporting policies and projects that make the built environment more activity-friendly (eg, by creating spaces where children can safely walk and cycle).</w:t>
      </w:r>
    </w:p>
    <w:p w:rsidR="005A65A9" w:rsidRPr="00A16A93" w:rsidRDefault="005A65A9" w:rsidP="006A4849"/>
    <w:p w:rsidR="00A16A93" w:rsidRPr="00A16A93" w:rsidRDefault="00A16A93" w:rsidP="006A4849">
      <w:pPr>
        <w:pStyle w:val="Heading2"/>
      </w:pPr>
      <w:bookmarkStart w:id="75" w:name="_Toc480457775"/>
      <w:bookmarkStart w:id="76" w:name="_Toc480534242"/>
      <w:r w:rsidRPr="00A16A93">
        <w:lastRenderedPageBreak/>
        <w:t>Indicator 8: Awareness of the Health Star Rating system</w:t>
      </w:r>
      <w:bookmarkEnd w:id="75"/>
      <w:bookmarkEnd w:id="76"/>
    </w:p>
    <w:p w:rsidR="00A16A93" w:rsidRPr="00A16A93" w:rsidRDefault="00A16A93" w:rsidP="006A4849">
      <w:pPr>
        <w:pStyle w:val="Heading3"/>
      </w:pPr>
      <w:bookmarkStart w:id="77" w:name="_Toc480457776"/>
      <w:r w:rsidRPr="00A16A93">
        <w:t>Description</w:t>
      </w:r>
      <w:bookmarkEnd w:id="77"/>
    </w:p>
    <w:p w:rsidR="00A16A93" w:rsidRPr="00A16A93" w:rsidRDefault="00A16A93" w:rsidP="003E71FA">
      <w:pPr>
        <w:keepNext/>
      </w:pPr>
      <w:r w:rsidRPr="00A16A93">
        <w:t>The Health Star Rating system is a voluntary front-of-pack labelling system adopted by New Zealand and Australia in 2014. Health Star Ratings provide a quick and easy way for shoppers to choose healthier packaged foods. They rate the healthiness of packaged foods, from half a star to five stars (see Figure 8). Foods lower in saturated fat, sugar or sodium, and/or higher in fibre, protein, nut, legume, fruit or vegetable content, have higher Health Star Ratings, meaning that they are a healthier food option.</w:t>
      </w:r>
    </w:p>
    <w:p w:rsidR="00A16A93" w:rsidRPr="00A16A93" w:rsidRDefault="00A16A93" w:rsidP="003E71FA">
      <w:pPr>
        <w:keepNext/>
      </w:pPr>
    </w:p>
    <w:p w:rsidR="00A16A93" w:rsidRPr="00A16A93" w:rsidRDefault="00A16A93" w:rsidP="003E71FA">
      <w:pPr>
        <w:pStyle w:val="Figure"/>
      </w:pPr>
      <w:bookmarkStart w:id="78" w:name="_Toc480534278"/>
      <w:r w:rsidRPr="00A16A93">
        <w:t>Figure 8: Example of a Health Star Rating</w:t>
      </w:r>
      <w:bookmarkEnd w:id="78"/>
    </w:p>
    <w:p w:rsidR="00A16A93" w:rsidRPr="00A16A93" w:rsidRDefault="00A16A93" w:rsidP="003E71FA">
      <w:pPr>
        <w:keepNext/>
      </w:pPr>
      <w:r w:rsidRPr="00A16A93">
        <w:rPr>
          <w:noProof/>
          <w:lang w:eastAsia="en-NZ"/>
        </w:rPr>
        <w:drawing>
          <wp:inline distT="0" distB="0" distL="0" distR="0" wp14:anchorId="7E193FF6" wp14:editId="29B7C5AB">
            <wp:extent cx="1586791" cy="1057275"/>
            <wp:effectExtent l="0" t="0" r="0" b="0"/>
            <wp:docPr id="12" name="Picture 12" title="Figure 8: Example of a Health Star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lth%20Star%20Rating_3_5%20Circle%20Only_Black_800x53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98118" cy="1064822"/>
                    </a:xfrm>
                    <a:prstGeom prst="rect">
                      <a:avLst/>
                    </a:prstGeom>
                  </pic:spPr>
                </pic:pic>
              </a:graphicData>
            </a:graphic>
          </wp:inline>
        </w:drawing>
      </w:r>
    </w:p>
    <w:p w:rsidR="00A16A93" w:rsidRPr="00A16A93" w:rsidRDefault="00A16A93" w:rsidP="003E71FA">
      <w:pPr>
        <w:keepNext/>
      </w:pPr>
    </w:p>
    <w:p w:rsidR="00A16A93" w:rsidRPr="00A16A93" w:rsidRDefault="00A16A93" w:rsidP="003E71FA">
      <w:pPr>
        <w:keepNext/>
      </w:pPr>
      <w:r w:rsidRPr="00A16A93">
        <w:t>This indicator measures the:</w:t>
      </w:r>
    </w:p>
    <w:p w:rsidR="00A16A93" w:rsidRPr="00A16A93" w:rsidRDefault="00A16A93" w:rsidP="003E71FA">
      <w:pPr>
        <w:pStyle w:val="Bullet"/>
        <w:keepNext/>
      </w:pPr>
      <w:r w:rsidRPr="00A16A93">
        <w:t>percentage of grocery shoppers who recognise the Health Star Rating system when prompted</w:t>
      </w:r>
    </w:p>
    <w:p w:rsidR="00A16A93" w:rsidRPr="00A16A93" w:rsidRDefault="00A16A93" w:rsidP="003E71FA">
      <w:pPr>
        <w:pStyle w:val="Bullet"/>
        <w:keepNext/>
      </w:pPr>
      <w:r w:rsidRPr="00A16A93">
        <w:t>percentage of grocery shoppers who understand the Health Star Rating system</w:t>
      </w:r>
    </w:p>
    <w:p w:rsidR="00A16A93" w:rsidRPr="00A16A93" w:rsidRDefault="00A16A93" w:rsidP="003E71FA">
      <w:pPr>
        <w:pStyle w:val="Bullet"/>
        <w:keepNext/>
      </w:pPr>
      <w:r w:rsidRPr="00A16A93">
        <w:t>percentage of grocery shoppers who use the Health Star Rating system when shopping.</w:t>
      </w:r>
    </w:p>
    <w:p w:rsidR="00A16A93" w:rsidRPr="00A16A93" w:rsidRDefault="00A16A93" w:rsidP="003E71FA">
      <w:pPr>
        <w:keepNext/>
      </w:pPr>
    </w:p>
    <w:p w:rsidR="00A16A93" w:rsidRPr="00A16A93" w:rsidRDefault="00A16A93" w:rsidP="006307E0">
      <w:pPr>
        <w:keepLines/>
      </w:pPr>
      <w:r w:rsidRPr="00A16A93">
        <w:t>Shoppers can only use the ratings to compare similar types of packaged foods; for example, to compare breakfast cereals with other breakfast cereals, or muesli bars with other muesli bars. Food manufacturers calculate Health Star Ratings using an algorithm-based calculator. As at 30</w:t>
      </w:r>
      <w:r w:rsidR="006A4849">
        <w:t> </w:t>
      </w:r>
      <w:r w:rsidRPr="00A16A93">
        <w:t>September 2016, approximately 2000 packaged foods in New Zealand featured a Health Star Rating.</w:t>
      </w:r>
    </w:p>
    <w:p w:rsidR="00A16A93" w:rsidRPr="00A16A93" w:rsidRDefault="00A16A93" w:rsidP="006A4849"/>
    <w:p w:rsidR="00A16A93" w:rsidRPr="00A16A93" w:rsidRDefault="00A16A93" w:rsidP="006A4849">
      <w:pPr>
        <w:pStyle w:val="Heading3"/>
      </w:pPr>
      <w:bookmarkStart w:id="79" w:name="_Toc480457777"/>
      <w:r w:rsidRPr="00A16A93">
        <w:t>Baseline performance</w:t>
      </w:r>
      <w:bookmarkEnd w:id="79"/>
    </w:p>
    <w:p w:rsidR="00A16A93" w:rsidRPr="00A16A93" w:rsidRDefault="00A16A93" w:rsidP="006A4849">
      <w:pPr>
        <w:rPr>
          <w:noProof/>
          <w:lang w:eastAsia="en-NZ"/>
        </w:rPr>
      </w:pPr>
      <w:r w:rsidRPr="00A16A93">
        <w:rPr>
          <w:noProof/>
          <w:lang w:eastAsia="en-NZ"/>
        </w:rPr>
        <w:t>The Ministry for Primary Industries is responsible for administering the Health Star Rating system in New Zealand. The Health Promotion Agency worked with the Ministry for Primary Industries and the Ministry of Health in 2016 to develop and implement a consumer marketing and education campaign to increase awareness, recognition and correct use of the Health Star Rating system.</w:t>
      </w:r>
    </w:p>
    <w:p w:rsidR="00A16A93" w:rsidRPr="00A16A93" w:rsidRDefault="00A16A93" w:rsidP="006A4849">
      <w:pPr>
        <w:rPr>
          <w:noProof/>
          <w:lang w:eastAsia="en-NZ"/>
        </w:rPr>
      </w:pPr>
    </w:p>
    <w:p w:rsidR="00A16A93" w:rsidRPr="00A16A93" w:rsidRDefault="00A16A93" w:rsidP="006A4849">
      <w:pPr>
        <w:rPr>
          <w:noProof/>
          <w:lang w:eastAsia="en-NZ"/>
        </w:rPr>
      </w:pPr>
      <w:r w:rsidRPr="00A16A93">
        <w:t xml:space="preserve">The Health Promotion Agency then contracted Colmar Brunton to monitor the effectiveness of the </w:t>
      </w:r>
      <w:r w:rsidRPr="00A16A93">
        <w:rPr>
          <w:noProof/>
          <w:lang w:eastAsia="en-NZ"/>
        </w:rPr>
        <w:t>campaign. Comar Brunton surveyed 1,678 shoppers online between 19 October and 16</w:t>
      </w:r>
      <w:r w:rsidR="006A4849">
        <w:rPr>
          <w:noProof/>
          <w:lang w:eastAsia="en-NZ"/>
        </w:rPr>
        <w:t> </w:t>
      </w:r>
      <w:r w:rsidRPr="00A16A93">
        <w:rPr>
          <w:noProof/>
          <w:lang w:eastAsia="en-NZ"/>
        </w:rPr>
        <w:t>November 2015 to obtain their baseline results. Priority audiences for the campaign and the survey were shoppers in households that have at least one child under the age of 14 years, with an emphasis on Māori, Pacific and low-income families/</w:t>
      </w:r>
      <w:r w:rsidRPr="00A16A93">
        <w:t>whānau</w:t>
      </w:r>
      <w:r w:rsidRPr="00A16A93">
        <w:rPr>
          <w:noProof/>
          <w:lang w:eastAsia="en-NZ"/>
        </w:rPr>
        <w:t>.</w:t>
      </w:r>
    </w:p>
    <w:p w:rsidR="00A16A93" w:rsidRPr="00A16A93" w:rsidRDefault="00A16A93" w:rsidP="006A4849">
      <w:pPr>
        <w:rPr>
          <w:noProof/>
          <w:lang w:eastAsia="en-NZ"/>
        </w:rPr>
      </w:pPr>
    </w:p>
    <w:p w:rsidR="00A16A93" w:rsidRPr="00A16A93" w:rsidRDefault="00A16A93" w:rsidP="006A4849">
      <w:pPr>
        <w:rPr>
          <w:noProof/>
          <w:lang w:eastAsia="en-NZ"/>
        </w:rPr>
      </w:pPr>
      <w:r w:rsidRPr="00A16A93">
        <w:rPr>
          <w:noProof/>
          <w:lang w:eastAsia="en-NZ"/>
        </w:rPr>
        <w:t>The baseline results presented in this report come from Colmar Brunton’s baseline report (</w:t>
      </w:r>
      <w:hyperlink r:id="rId60" w:history="1">
        <w:r w:rsidRPr="006A4849">
          <w:rPr>
            <w:rStyle w:val="Hyperlink"/>
          </w:rPr>
          <w:t>Colmar Brunton 2016</w:t>
        </w:r>
      </w:hyperlink>
      <w:r w:rsidRPr="00A16A93">
        <w:rPr>
          <w:noProof/>
          <w:lang w:eastAsia="en-NZ"/>
        </w:rPr>
        <w:t xml:space="preserve">). Colmar Brunton conducted one follow-up survey in 2016, and will conduct another in 2017. The first </w:t>
      </w:r>
      <w:r w:rsidRPr="00A16A93">
        <w:rPr>
          <w:i/>
          <w:noProof/>
          <w:lang w:eastAsia="en-NZ"/>
        </w:rPr>
        <w:t>Children and young people living well and staying well</w:t>
      </w:r>
      <w:r w:rsidRPr="00A16A93">
        <w:rPr>
          <w:noProof/>
          <w:lang w:eastAsia="en-NZ"/>
        </w:rPr>
        <w:t xml:space="preserve"> monitoring report will include results from the first follow-up survey.</w:t>
      </w:r>
    </w:p>
    <w:p w:rsidR="00A16A93" w:rsidRPr="00A16A93" w:rsidRDefault="00A16A93" w:rsidP="006A4849"/>
    <w:p w:rsidR="00A16A93" w:rsidRPr="00A16A93" w:rsidRDefault="00A16A93" w:rsidP="006A4849">
      <w:pPr>
        <w:pStyle w:val="Table"/>
      </w:pPr>
      <w:bookmarkStart w:id="80" w:name="_Toc480534261"/>
      <w:r w:rsidRPr="00A16A93">
        <w:lastRenderedPageBreak/>
        <w:t>Table 9: Percentage of grocery shoppers who recognise, understand and use the Health Star Rating system, by group, 2015</w:t>
      </w:r>
      <w:bookmarkEnd w:id="80"/>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4962"/>
        <w:gridCol w:w="1464"/>
        <w:gridCol w:w="1465"/>
        <w:gridCol w:w="1465"/>
      </w:tblGrid>
      <w:tr w:rsidR="00A16A93" w:rsidRPr="003E71FA" w:rsidTr="00C70F0D">
        <w:trPr>
          <w:cantSplit/>
        </w:trPr>
        <w:tc>
          <w:tcPr>
            <w:tcW w:w="4962" w:type="dxa"/>
            <w:tcBorders>
              <w:top w:val="single" w:sz="4" w:space="0" w:color="auto"/>
              <w:bottom w:val="single" w:sz="4" w:space="0" w:color="auto"/>
            </w:tcBorders>
          </w:tcPr>
          <w:p w:rsidR="00A16A93" w:rsidRPr="003E71FA" w:rsidRDefault="00A16A93" w:rsidP="003E71FA">
            <w:pPr>
              <w:pStyle w:val="TableText"/>
              <w:rPr>
                <w:b/>
              </w:rPr>
            </w:pPr>
          </w:p>
        </w:tc>
        <w:tc>
          <w:tcPr>
            <w:tcW w:w="1464" w:type="dxa"/>
            <w:tcBorders>
              <w:top w:val="single" w:sz="4" w:space="0" w:color="auto"/>
              <w:bottom w:val="single" w:sz="4" w:space="0" w:color="auto"/>
            </w:tcBorders>
          </w:tcPr>
          <w:p w:rsidR="00A16A93" w:rsidRPr="003E71FA" w:rsidRDefault="00A16A93" w:rsidP="003E71FA">
            <w:pPr>
              <w:pStyle w:val="TableText"/>
              <w:jc w:val="center"/>
              <w:rPr>
                <w:b/>
              </w:rPr>
            </w:pPr>
            <w:r w:rsidRPr="003E71FA">
              <w:rPr>
                <w:b/>
              </w:rPr>
              <w:t>Recognise the system</w:t>
            </w:r>
          </w:p>
        </w:tc>
        <w:tc>
          <w:tcPr>
            <w:tcW w:w="1465" w:type="dxa"/>
            <w:tcBorders>
              <w:top w:val="single" w:sz="4" w:space="0" w:color="auto"/>
              <w:bottom w:val="single" w:sz="4" w:space="0" w:color="auto"/>
            </w:tcBorders>
          </w:tcPr>
          <w:p w:rsidR="00A16A93" w:rsidRPr="003E71FA" w:rsidRDefault="00A16A93" w:rsidP="003E71FA">
            <w:pPr>
              <w:pStyle w:val="TableText"/>
              <w:jc w:val="center"/>
              <w:rPr>
                <w:b/>
              </w:rPr>
            </w:pPr>
            <w:r w:rsidRPr="003E71FA">
              <w:rPr>
                <w:b/>
              </w:rPr>
              <w:t>Understand the system</w:t>
            </w:r>
          </w:p>
        </w:tc>
        <w:tc>
          <w:tcPr>
            <w:tcW w:w="1465" w:type="dxa"/>
            <w:tcBorders>
              <w:top w:val="single" w:sz="4" w:space="0" w:color="auto"/>
              <w:bottom w:val="single" w:sz="4" w:space="0" w:color="auto"/>
            </w:tcBorders>
          </w:tcPr>
          <w:p w:rsidR="00A16A93" w:rsidRPr="003E71FA" w:rsidRDefault="00A16A93" w:rsidP="003E71FA">
            <w:pPr>
              <w:pStyle w:val="TableText"/>
              <w:jc w:val="center"/>
              <w:rPr>
                <w:b/>
              </w:rPr>
            </w:pPr>
            <w:r w:rsidRPr="003E71FA">
              <w:rPr>
                <w:b/>
              </w:rPr>
              <w:t>Use</w:t>
            </w:r>
            <w:r w:rsidR="003E71FA">
              <w:rPr>
                <w:b/>
              </w:rPr>
              <w:t xml:space="preserve"> </w:t>
            </w:r>
            <w:r w:rsidRPr="003E71FA">
              <w:rPr>
                <w:b/>
              </w:rPr>
              <w:t>the</w:t>
            </w:r>
            <w:r w:rsidR="003E71FA">
              <w:rPr>
                <w:b/>
              </w:rPr>
              <w:br/>
            </w:r>
            <w:r w:rsidRPr="003E71FA">
              <w:rPr>
                <w:b/>
              </w:rPr>
              <w:t>system</w:t>
            </w:r>
          </w:p>
        </w:tc>
      </w:tr>
      <w:tr w:rsidR="003E71FA" w:rsidRPr="00A16A93" w:rsidTr="00C70F0D">
        <w:trPr>
          <w:cantSplit/>
        </w:trPr>
        <w:tc>
          <w:tcPr>
            <w:tcW w:w="4962" w:type="dxa"/>
            <w:tcBorders>
              <w:top w:val="single" w:sz="4" w:space="0" w:color="auto"/>
              <w:bottom w:val="single" w:sz="4" w:space="0" w:color="A6A6A6" w:themeColor="background1" w:themeShade="A6"/>
            </w:tcBorders>
          </w:tcPr>
          <w:p w:rsidR="003E71FA" w:rsidRPr="00A16A93" w:rsidRDefault="003E71FA" w:rsidP="003E71FA">
            <w:pPr>
              <w:pStyle w:val="TableText"/>
            </w:pPr>
            <w:r w:rsidRPr="003E71FA">
              <w:rPr>
                <w:b/>
              </w:rPr>
              <w:t>Population group</w:t>
            </w:r>
          </w:p>
        </w:tc>
        <w:tc>
          <w:tcPr>
            <w:tcW w:w="1464" w:type="dxa"/>
            <w:tcBorders>
              <w:top w:val="single" w:sz="4" w:space="0" w:color="auto"/>
              <w:bottom w:val="single" w:sz="4" w:space="0" w:color="A6A6A6" w:themeColor="background1" w:themeShade="A6"/>
            </w:tcBorders>
          </w:tcPr>
          <w:p w:rsidR="003E71FA" w:rsidRPr="00A16A93" w:rsidRDefault="003E71FA" w:rsidP="003E71FA">
            <w:pPr>
              <w:pStyle w:val="TableText"/>
              <w:jc w:val="center"/>
            </w:pPr>
          </w:p>
        </w:tc>
        <w:tc>
          <w:tcPr>
            <w:tcW w:w="1465" w:type="dxa"/>
            <w:tcBorders>
              <w:top w:val="single" w:sz="4" w:space="0" w:color="auto"/>
              <w:bottom w:val="single" w:sz="4" w:space="0" w:color="A6A6A6" w:themeColor="background1" w:themeShade="A6"/>
            </w:tcBorders>
          </w:tcPr>
          <w:p w:rsidR="003E71FA" w:rsidRPr="00A16A93" w:rsidRDefault="003E71FA" w:rsidP="00C70F0D">
            <w:pPr>
              <w:pStyle w:val="TableText"/>
              <w:jc w:val="center"/>
            </w:pPr>
          </w:p>
        </w:tc>
        <w:tc>
          <w:tcPr>
            <w:tcW w:w="1465" w:type="dxa"/>
            <w:tcBorders>
              <w:top w:val="single" w:sz="4" w:space="0" w:color="auto"/>
              <w:bottom w:val="single" w:sz="4" w:space="0" w:color="A6A6A6" w:themeColor="background1" w:themeShade="A6"/>
            </w:tcBorders>
          </w:tcPr>
          <w:p w:rsidR="003E71FA" w:rsidRPr="00A16A93" w:rsidRDefault="003E71FA" w:rsidP="00C70F0D">
            <w:pPr>
              <w:pStyle w:val="TableText"/>
              <w:tabs>
                <w:tab w:val="decimal" w:pos="718"/>
              </w:tabs>
            </w:pPr>
          </w:p>
        </w:tc>
      </w:tr>
      <w:tr w:rsidR="00A16A93" w:rsidRPr="003E71FA" w:rsidTr="00C70F0D">
        <w:trPr>
          <w:cantSplit/>
        </w:trPr>
        <w:tc>
          <w:tcPr>
            <w:tcW w:w="4962" w:type="dxa"/>
            <w:tcBorders>
              <w:top w:val="single" w:sz="4" w:space="0" w:color="A6A6A6" w:themeColor="background1" w:themeShade="A6"/>
              <w:bottom w:val="single" w:sz="4" w:space="0" w:color="auto"/>
            </w:tcBorders>
          </w:tcPr>
          <w:p w:rsidR="00A16A93" w:rsidRPr="003E71FA" w:rsidRDefault="00A16A93" w:rsidP="003E71FA">
            <w:pPr>
              <w:pStyle w:val="TableText"/>
            </w:pPr>
            <w:r w:rsidRPr="003E71FA">
              <w:t>Total</w:t>
            </w:r>
          </w:p>
        </w:tc>
        <w:tc>
          <w:tcPr>
            <w:tcW w:w="1464" w:type="dxa"/>
            <w:tcBorders>
              <w:top w:val="single" w:sz="4" w:space="0" w:color="A6A6A6" w:themeColor="background1" w:themeShade="A6"/>
              <w:bottom w:val="single" w:sz="4" w:space="0" w:color="auto"/>
            </w:tcBorders>
          </w:tcPr>
          <w:p w:rsidR="00A16A93" w:rsidRPr="003E71FA" w:rsidRDefault="00A16A93" w:rsidP="003E71FA">
            <w:pPr>
              <w:pStyle w:val="TableText"/>
              <w:jc w:val="center"/>
            </w:pPr>
            <w:r w:rsidRPr="003E71FA">
              <w:t>38%</w:t>
            </w:r>
          </w:p>
        </w:tc>
        <w:tc>
          <w:tcPr>
            <w:tcW w:w="1465" w:type="dxa"/>
            <w:tcBorders>
              <w:top w:val="single" w:sz="4" w:space="0" w:color="A6A6A6" w:themeColor="background1" w:themeShade="A6"/>
              <w:bottom w:val="single" w:sz="4" w:space="0" w:color="auto"/>
            </w:tcBorders>
          </w:tcPr>
          <w:p w:rsidR="00A16A93" w:rsidRPr="003E71FA" w:rsidRDefault="00A16A93" w:rsidP="00C70F0D">
            <w:pPr>
              <w:pStyle w:val="TableText"/>
              <w:jc w:val="center"/>
            </w:pPr>
            <w:r w:rsidRPr="003E71FA">
              <w:t>51%</w:t>
            </w:r>
          </w:p>
        </w:tc>
        <w:tc>
          <w:tcPr>
            <w:tcW w:w="1465" w:type="dxa"/>
            <w:tcBorders>
              <w:top w:val="single" w:sz="4" w:space="0" w:color="A6A6A6" w:themeColor="background1" w:themeShade="A6"/>
              <w:bottom w:val="single" w:sz="4" w:space="0" w:color="auto"/>
            </w:tcBorders>
          </w:tcPr>
          <w:p w:rsidR="00A16A93" w:rsidRPr="003E71FA" w:rsidRDefault="00A16A93" w:rsidP="00C70F0D">
            <w:pPr>
              <w:pStyle w:val="TableText"/>
              <w:tabs>
                <w:tab w:val="decimal" w:pos="718"/>
              </w:tabs>
            </w:pPr>
            <w:r w:rsidRPr="003E71FA">
              <w:t>10%</w:t>
            </w:r>
          </w:p>
        </w:tc>
      </w:tr>
      <w:tr w:rsidR="00A16A93" w:rsidRPr="003E71FA" w:rsidTr="00C70F0D">
        <w:trPr>
          <w:cantSplit/>
        </w:trPr>
        <w:tc>
          <w:tcPr>
            <w:tcW w:w="4962" w:type="dxa"/>
            <w:tcBorders>
              <w:top w:val="single" w:sz="4" w:space="0" w:color="auto"/>
              <w:bottom w:val="single" w:sz="4" w:space="0" w:color="A6A6A6" w:themeColor="background1" w:themeShade="A6"/>
            </w:tcBorders>
          </w:tcPr>
          <w:p w:rsidR="00A16A93" w:rsidRPr="003E71FA" w:rsidRDefault="00A16A93" w:rsidP="003E71FA">
            <w:pPr>
              <w:pStyle w:val="TableText"/>
              <w:rPr>
                <w:b/>
              </w:rPr>
            </w:pPr>
            <w:r w:rsidRPr="003E71FA">
              <w:rPr>
                <w:b/>
              </w:rPr>
              <w:t>Ethnic group</w:t>
            </w:r>
          </w:p>
        </w:tc>
        <w:tc>
          <w:tcPr>
            <w:tcW w:w="1464" w:type="dxa"/>
            <w:tcBorders>
              <w:top w:val="single" w:sz="4" w:space="0" w:color="auto"/>
              <w:bottom w:val="single" w:sz="4" w:space="0" w:color="A6A6A6" w:themeColor="background1" w:themeShade="A6"/>
            </w:tcBorders>
          </w:tcPr>
          <w:p w:rsidR="00A16A93" w:rsidRPr="003E71FA" w:rsidRDefault="00A16A93" w:rsidP="003E71FA">
            <w:pPr>
              <w:pStyle w:val="TableText"/>
              <w:jc w:val="center"/>
              <w:rPr>
                <w:b/>
              </w:rPr>
            </w:pPr>
          </w:p>
        </w:tc>
        <w:tc>
          <w:tcPr>
            <w:tcW w:w="1465" w:type="dxa"/>
            <w:tcBorders>
              <w:top w:val="single" w:sz="4" w:space="0" w:color="auto"/>
              <w:bottom w:val="single" w:sz="4" w:space="0" w:color="A6A6A6" w:themeColor="background1" w:themeShade="A6"/>
            </w:tcBorders>
          </w:tcPr>
          <w:p w:rsidR="00A16A93" w:rsidRPr="003E71FA" w:rsidRDefault="00A16A93" w:rsidP="00C70F0D">
            <w:pPr>
              <w:pStyle w:val="TableText"/>
              <w:jc w:val="center"/>
              <w:rPr>
                <w:b/>
              </w:rPr>
            </w:pPr>
          </w:p>
        </w:tc>
        <w:tc>
          <w:tcPr>
            <w:tcW w:w="1465" w:type="dxa"/>
            <w:tcBorders>
              <w:top w:val="single" w:sz="4" w:space="0" w:color="auto"/>
              <w:bottom w:val="single" w:sz="4" w:space="0" w:color="A6A6A6" w:themeColor="background1" w:themeShade="A6"/>
            </w:tcBorders>
          </w:tcPr>
          <w:p w:rsidR="00A16A93" w:rsidRPr="003E71FA" w:rsidRDefault="00A16A93" w:rsidP="00C70F0D">
            <w:pPr>
              <w:pStyle w:val="TableText"/>
              <w:tabs>
                <w:tab w:val="decimal" w:pos="718"/>
              </w:tabs>
              <w:rPr>
                <w:b/>
              </w:rPr>
            </w:pPr>
          </w:p>
        </w:tc>
      </w:tr>
      <w:tr w:rsidR="00A16A93" w:rsidRPr="003E71FA" w:rsidTr="00C70F0D">
        <w:trPr>
          <w:cantSplit/>
        </w:trPr>
        <w:tc>
          <w:tcPr>
            <w:tcW w:w="4962" w:type="dxa"/>
            <w:tcBorders>
              <w:top w:val="single" w:sz="4" w:space="0" w:color="A6A6A6" w:themeColor="background1" w:themeShade="A6"/>
              <w:bottom w:val="single" w:sz="4" w:space="0" w:color="A6A6A6" w:themeColor="background1" w:themeShade="A6"/>
            </w:tcBorders>
          </w:tcPr>
          <w:p w:rsidR="00A16A93" w:rsidRPr="003E71FA" w:rsidRDefault="00A16A93" w:rsidP="003E71FA">
            <w:pPr>
              <w:pStyle w:val="TableText"/>
            </w:pPr>
            <w:r w:rsidRPr="003E71FA">
              <w:t>Māori with children under 14</w:t>
            </w:r>
            <w:r w:rsidR="003E71FA">
              <w:t> </w:t>
            </w:r>
            <w:r w:rsidRPr="003E71FA">
              <w:t>years of age</w:t>
            </w:r>
          </w:p>
        </w:tc>
        <w:tc>
          <w:tcPr>
            <w:tcW w:w="1464" w:type="dxa"/>
            <w:tcBorders>
              <w:top w:val="single" w:sz="4" w:space="0" w:color="A6A6A6" w:themeColor="background1" w:themeShade="A6"/>
              <w:bottom w:val="single" w:sz="4" w:space="0" w:color="A6A6A6" w:themeColor="background1" w:themeShade="A6"/>
            </w:tcBorders>
          </w:tcPr>
          <w:p w:rsidR="00A16A93" w:rsidRPr="003E71FA" w:rsidRDefault="00A16A93" w:rsidP="003E71FA">
            <w:pPr>
              <w:pStyle w:val="TableText"/>
              <w:jc w:val="center"/>
            </w:pPr>
            <w:r w:rsidRPr="003E71FA">
              <w:t>36%</w:t>
            </w:r>
          </w:p>
        </w:tc>
        <w:tc>
          <w:tcPr>
            <w:tcW w:w="1465" w:type="dxa"/>
            <w:tcBorders>
              <w:top w:val="single" w:sz="4" w:space="0" w:color="A6A6A6" w:themeColor="background1" w:themeShade="A6"/>
              <w:bottom w:val="single" w:sz="4" w:space="0" w:color="A6A6A6" w:themeColor="background1" w:themeShade="A6"/>
            </w:tcBorders>
          </w:tcPr>
          <w:p w:rsidR="00A16A93" w:rsidRPr="003E71FA" w:rsidRDefault="00A16A93" w:rsidP="00C70F0D">
            <w:pPr>
              <w:pStyle w:val="TableText"/>
              <w:jc w:val="center"/>
            </w:pPr>
            <w:r w:rsidRPr="003E71FA">
              <w:t>56%</w:t>
            </w:r>
          </w:p>
        </w:tc>
        <w:tc>
          <w:tcPr>
            <w:tcW w:w="1465" w:type="dxa"/>
            <w:tcBorders>
              <w:top w:val="single" w:sz="4" w:space="0" w:color="A6A6A6" w:themeColor="background1" w:themeShade="A6"/>
              <w:bottom w:val="single" w:sz="4" w:space="0" w:color="A6A6A6" w:themeColor="background1" w:themeShade="A6"/>
            </w:tcBorders>
          </w:tcPr>
          <w:p w:rsidR="00A16A93" w:rsidRPr="003E71FA" w:rsidRDefault="00A16A93" w:rsidP="00C70F0D">
            <w:pPr>
              <w:pStyle w:val="TableText"/>
              <w:tabs>
                <w:tab w:val="decimal" w:pos="718"/>
              </w:tabs>
            </w:pPr>
            <w:r w:rsidRPr="003E71FA">
              <w:t>6%</w:t>
            </w:r>
          </w:p>
        </w:tc>
      </w:tr>
      <w:tr w:rsidR="00A16A93" w:rsidRPr="003E71FA" w:rsidTr="00C70F0D">
        <w:trPr>
          <w:cantSplit/>
        </w:trPr>
        <w:tc>
          <w:tcPr>
            <w:tcW w:w="4962" w:type="dxa"/>
            <w:tcBorders>
              <w:top w:val="single" w:sz="4" w:space="0" w:color="A6A6A6" w:themeColor="background1" w:themeShade="A6"/>
              <w:bottom w:val="single" w:sz="4" w:space="0" w:color="auto"/>
            </w:tcBorders>
          </w:tcPr>
          <w:p w:rsidR="00A16A93" w:rsidRPr="003E71FA" w:rsidRDefault="00A16A93" w:rsidP="003E71FA">
            <w:pPr>
              <w:pStyle w:val="TableText"/>
            </w:pPr>
            <w:r w:rsidRPr="003E71FA">
              <w:t>Pacific people with children under 14 years of age</w:t>
            </w:r>
          </w:p>
        </w:tc>
        <w:tc>
          <w:tcPr>
            <w:tcW w:w="1464" w:type="dxa"/>
            <w:tcBorders>
              <w:top w:val="single" w:sz="4" w:space="0" w:color="A6A6A6" w:themeColor="background1" w:themeShade="A6"/>
              <w:bottom w:val="single" w:sz="4" w:space="0" w:color="auto"/>
            </w:tcBorders>
          </w:tcPr>
          <w:p w:rsidR="00A16A93" w:rsidRPr="003E71FA" w:rsidRDefault="00A16A93" w:rsidP="003E71FA">
            <w:pPr>
              <w:pStyle w:val="TableText"/>
              <w:jc w:val="center"/>
            </w:pPr>
            <w:r w:rsidRPr="003E71FA">
              <w:t>65%</w:t>
            </w:r>
          </w:p>
        </w:tc>
        <w:tc>
          <w:tcPr>
            <w:tcW w:w="1465" w:type="dxa"/>
            <w:tcBorders>
              <w:top w:val="single" w:sz="4" w:space="0" w:color="A6A6A6" w:themeColor="background1" w:themeShade="A6"/>
              <w:bottom w:val="single" w:sz="4" w:space="0" w:color="auto"/>
            </w:tcBorders>
          </w:tcPr>
          <w:p w:rsidR="00A16A93" w:rsidRPr="003E71FA" w:rsidRDefault="00A16A93" w:rsidP="00C70F0D">
            <w:pPr>
              <w:pStyle w:val="TableText"/>
              <w:jc w:val="center"/>
            </w:pPr>
            <w:r w:rsidRPr="003E71FA">
              <w:t>31%</w:t>
            </w:r>
          </w:p>
        </w:tc>
        <w:tc>
          <w:tcPr>
            <w:tcW w:w="1465" w:type="dxa"/>
            <w:tcBorders>
              <w:top w:val="single" w:sz="4" w:space="0" w:color="A6A6A6" w:themeColor="background1" w:themeShade="A6"/>
              <w:bottom w:val="single" w:sz="4" w:space="0" w:color="auto"/>
            </w:tcBorders>
          </w:tcPr>
          <w:p w:rsidR="00A16A93" w:rsidRPr="003E71FA" w:rsidRDefault="00A16A93" w:rsidP="00C70F0D">
            <w:pPr>
              <w:pStyle w:val="TableText"/>
              <w:tabs>
                <w:tab w:val="decimal" w:pos="718"/>
              </w:tabs>
            </w:pPr>
            <w:r w:rsidRPr="003E71FA">
              <w:t>25%</w:t>
            </w:r>
          </w:p>
        </w:tc>
      </w:tr>
      <w:tr w:rsidR="00A16A93" w:rsidRPr="003E71FA" w:rsidTr="00C70F0D">
        <w:trPr>
          <w:cantSplit/>
        </w:trPr>
        <w:tc>
          <w:tcPr>
            <w:tcW w:w="4962" w:type="dxa"/>
            <w:tcBorders>
              <w:top w:val="single" w:sz="4" w:space="0" w:color="auto"/>
              <w:bottom w:val="single" w:sz="4" w:space="0" w:color="A6A6A6" w:themeColor="background1" w:themeShade="A6"/>
            </w:tcBorders>
          </w:tcPr>
          <w:p w:rsidR="00A16A93" w:rsidRPr="003E71FA" w:rsidRDefault="00A16A93" w:rsidP="003E71FA">
            <w:pPr>
              <w:pStyle w:val="TableText"/>
              <w:rPr>
                <w:b/>
              </w:rPr>
            </w:pPr>
            <w:r w:rsidRPr="003E71FA">
              <w:rPr>
                <w:b/>
              </w:rPr>
              <w:t>Deprivation</w:t>
            </w:r>
          </w:p>
        </w:tc>
        <w:tc>
          <w:tcPr>
            <w:tcW w:w="1464" w:type="dxa"/>
            <w:tcBorders>
              <w:top w:val="single" w:sz="4" w:space="0" w:color="auto"/>
              <w:bottom w:val="single" w:sz="4" w:space="0" w:color="A6A6A6" w:themeColor="background1" w:themeShade="A6"/>
            </w:tcBorders>
          </w:tcPr>
          <w:p w:rsidR="00A16A93" w:rsidRPr="003E71FA" w:rsidRDefault="00A16A93" w:rsidP="003E71FA">
            <w:pPr>
              <w:pStyle w:val="TableText"/>
              <w:jc w:val="center"/>
              <w:rPr>
                <w:b/>
              </w:rPr>
            </w:pPr>
          </w:p>
        </w:tc>
        <w:tc>
          <w:tcPr>
            <w:tcW w:w="1465" w:type="dxa"/>
            <w:tcBorders>
              <w:top w:val="single" w:sz="4" w:space="0" w:color="auto"/>
              <w:bottom w:val="single" w:sz="4" w:space="0" w:color="A6A6A6" w:themeColor="background1" w:themeShade="A6"/>
            </w:tcBorders>
          </w:tcPr>
          <w:p w:rsidR="00A16A93" w:rsidRPr="003E71FA" w:rsidRDefault="00A16A93" w:rsidP="00C70F0D">
            <w:pPr>
              <w:pStyle w:val="TableText"/>
              <w:jc w:val="center"/>
              <w:rPr>
                <w:b/>
              </w:rPr>
            </w:pPr>
          </w:p>
        </w:tc>
        <w:tc>
          <w:tcPr>
            <w:tcW w:w="1465" w:type="dxa"/>
            <w:tcBorders>
              <w:top w:val="single" w:sz="4" w:space="0" w:color="auto"/>
              <w:bottom w:val="single" w:sz="4" w:space="0" w:color="A6A6A6" w:themeColor="background1" w:themeShade="A6"/>
            </w:tcBorders>
          </w:tcPr>
          <w:p w:rsidR="00A16A93" w:rsidRPr="003E71FA" w:rsidRDefault="00A16A93" w:rsidP="00C70F0D">
            <w:pPr>
              <w:pStyle w:val="TableText"/>
              <w:tabs>
                <w:tab w:val="decimal" w:pos="718"/>
              </w:tabs>
              <w:rPr>
                <w:b/>
              </w:rPr>
            </w:pPr>
          </w:p>
        </w:tc>
      </w:tr>
      <w:tr w:rsidR="00A16A93" w:rsidRPr="003E71FA" w:rsidTr="00C70F0D">
        <w:trPr>
          <w:cantSplit/>
        </w:trPr>
        <w:tc>
          <w:tcPr>
            <w:tcW w:w="4962" w:type="dxa"/>
            <w:tcBorders>
              <w:top w:val="single" w:sz="4" w:space="0" w:color="A6A6A6" w:themeColor="background1" w:themeShade="A6"/>
              <w:bottom w:val="single" w:sz="4" w:space="0" w:color="auto"/>
            </w:tcBorders>
          </w:tcPr>
          <w:p w:rsidR="00A16A93" w:rsidRPr="003E71FA" w:rsidRDefault="00A16A93" w:rsidP="003E71FA">
            <w:pPr>
              <w:pStyle w:val="TableText"/>
            </w:pPr>
            <w:r w:rsidRPr="003E71FA">
              <w:t>People of low income with children under 14 years of age</w:t>
            </w:r>
          </w:p>
        </w:tc>
        <w:tc>
          <w:tcPr>
            <w:tcW w:w="1464" w:type="dxa"/>
            <w:tcBorders>
              <w:top w:val="single" w:sz="4" w:space="0" w:color="A6A6A6" w:themeColor="background1" w:themeShade="A6"/>
              <w:bottom w:val="single" w:sz="4" w:space="0" w:color="auto"/>
            </w:tcBorders>
          </w:tcPr>
          <w:p w:rsidR="00A16A93" w:rsidRPr="003E71FA" w:rsidRDefault="00A16A93" w:rsidP="003E71FA">
            <w:pPr>
              <w:pStyle w:val="TableText"/>
              <w:jc w:val="center"/>
            </w:pPr>
            <w:r w:rsidRPr="003E71FA">
              <w:t>44%</w:t>
            </w:r>
          </w:p>
        </w:tc>
        <w:tc>
          <w:tcPr>
            <w:tcW w:w="1465" w:type="dxa"/>
            <w:tcBorders>
              <w:top w:val="single" w:sz="4" w:space="0" w:color="A6A6A6" w:themeColor="background1" w:themeShade="A6"/>
              <w:bottom w:val="single" w:sz="4" w:space="0" w:color="auto"/>
            </w:tcBorders>
          </w:tcPr>
          <w:p w:rsidR="00A16A93" w:rsidRPr="003E71FA" w:rsidRDefault="00A16A93" w:rsidP="00C70F0D">
            <w:pPr>
              <w:pStyle w:val="TableText"/>
              <w:jc w:val="center"/>
            </w:pPr>
            <w:r w:rsidRPr="003E71FA">
              <w:t>49%</w:t>
            </w:r>
          </w:p>
        </w:tc>
        <w:tc>
          <w:tcPr>
            <w:tcW w:w="1465" w:type="dxa"/>
            <w:tcBorders>
              <w:top w:val="single" w:sz="4" w:space="0" w:color="A6A6A6" w:themeColor="background1" w:themeShade="A6"/>
              <w:bottom w:val="single" w:sz="4" w:space="0" w:color="auto"/>
            </w:tcBorders>
          </w:tcPr>
          <w:p w:rsidR="00A16A93" w:rsidRPr="003E71FA" w:rsidRDefault="00A16A93" w:rsidP="00C70F0D">
            <w:pPr>
              <w:pStyle w:val="TableText"/>
              <w:tabs>
                <w:tab w:val="decimal" w:pos="718"/>
              </w:tabs>
            </w:pPr>
            <w:r w:rsidRPr="003E71FA">
              <w:t>14%</w:t>
            </w:r>
          </w:p>
        </w:tc>
      </w:tr>
    </w:tbl>
    <w:p w:rsidR="00A16A93" w:rsidRPr="00A16A93" w:rsidRDefault="00A16A93" w:rsidP="006A4849">
      <w:pPr>
        <w:pStyle w:val="Source"/>
        <w:rPr>
          <w:rFonts w:cs="Arial"/>
        </w:rPr>
      </w:pPr>
      <w:r w:rsidRPr="00A16A93">
        <w:rPr>
          <w:rFonts w:cs="Arial"/>
        </w:rPr>
        <w:t xml:space="preserve">Source: </w:t>
      </w:r>
      <w:hyperlink r:id="rId61" w:history="1">
        <w:r w:rsidRPr="00A16A93">
          <w:rPr>
            <w:rStyle w:val="Hyperlink"/>
            <w:rFonts w:cs="Arial"/>
          </w:rPr>
          <w:t>Colmar Brunton 2016</w:t>
        </w:r>
      </w:hyperlink>
    </w:p>
    <w:p w:rsidR="00A16A93" w:rsidRPr="006A4849" w:rsidRDefault="00A16A93" w:rsidP="006A4849">
      <w:pPr>
        <w:pStyle w:val="Note"/>
      </w:pPr>
      <w:r w:rsidRPr="00A16A93">
        <w:t>Notes:</w:t>
      </w:r>
    </w:p>
    <w:p w:rsidR="00A16A93" w:rsidRPr="006A4849" w:rsidRDefault="006A4849" w:rsidP="006A4849">
      <w:pPr>
        <w:pStyle w:val="Note"/>
        <w:ind w:left="284" w:hanging="284"/>
        <w:rPr>
          <w:rFonts w:eastAsiaTheme="majorEastAsia"/>
        </w:rPr>
      </w:pPr>
      <w:r>
        <w:t>1.</w:t>
      </w:r>
      <w:r>
        <w:tab/>
      </w:r>
      <w:r w:rsidR="00A16A93" w:rsidRPr="00A16A93">
        <w:t>The percentage of grocery shoppers who understand the Health Star Rating system is not a subset of shoppers who recognised the system. Colmar Brunton’s survey showed all participants an image of a Health Star Rating and asked questions to gauge how well they understood the rating.</w:t>
      </w:r>
    </w:p>
    <w:p w:rsidR="00A16A93" w:rsidRPr="006A4849" w:rsidRDefault="006A4849" w:rsidP="006A4849">
      <w:pPr>
        <w:pStyle w:val="Note"/>
        <w:ind w:left="284" w:hanging="284"/>
      </w:pPr>
      <w:r>
        <w:t>2.</w:t>
      </w:r>
      <w:r>
        <w:tab/>
      </w:r>
      <w:r w:rsidR="00A16A93" w:rsidRPr="00A16A93">
        <w:t>The percentage of grocery shoppers who used the system when shopping is a subset of those who said that they recognised the system.</w:t>
      </w:r>
    </w:p>
    <w:p w:rsidR="006A4849" w:rsidRPr="00A16A93" w:rsidRDefault="006A4849" w:rsidP="003E71FA">
      <w:pPr>
        <w:rPr>
          <w:rFonts w:eastAsiaTheme="majorEastAsia"/>
        </w:rPr>
      </w:pPr>
    </w:p>
    <w:p w:rsidR="00A16A93" w:rsidRPr="00A16A93" w:rsidRDefault="00A16A93" w:rsidP="006A4849">
      <w:pPr>
        <w:pStyle w:val="Heading2"/>
      </w:pPr>
      <w:bookmarkStart w:id="81" w:name="_Toc480457778"/>
      <w:bookmarkStart w:id="82" w:name="_Toc480534243"/>
      <w:r w:rsidRPr="00A16A93">
        <w:lastRenderedPageBreak/>
        <w:t>Indicator 9: Active transport to and from school</w:t>
      </w:r>
      <w:bookmarkEnd w:id="81"/>
      <w:bookmarkEnd w:id="82"/>
    </w:p>
    <w:p w:rsidR="00A16A93" w:rsidRPr="00A16A93" w:rsidRDefault="00A16A93" w:rsidP="006A4849">
      <w:pPr>
        <w:pStyle w:val="Heading3"/>
      </w:pPr>
      <w:bookmarkStart w:id="83" w:name="_Toc480457779"/>
      <w:r w:rsidRPr="00A16A93">
        <w:t>Description</w:t>
      </w:r>
      <w:bookmarkEnd w:id="83"/>
    </w:p>
    <w:p w:rsidR="00A16A93" w:rsidRPr="00A16A93" w:rsidRDefault="00A16A93" w:rsidP="0055227C">
      <w:pPr>
        <w:keepNext/>
      </w:pPr>
      <w:r w:rsidRPr="00A16A93">
        <w:t>This indicator measures the percentage of children (aged 5–14 years) who usually use an active mode of transport, such as walking, biking or skating, to get to and from school.</w:t>
      </w:r>
    </w:p>
    <w:p w:rsidR="00A16A93" w:rsidRPr="00A16A93" w:rsidRDefault="00A16A93" w:rsidP="0055227C">
      <w:pPr>
        <w:keepNext/>
      </w:pPr>
    </w:p>
    <w:p w:rsidR="00A16A93" w:rsidRPr="00A16A93" w:rsidRDefault="00A16A93" w:rsidP="0055227C">
      <w:pPr>
        <w:keepNext/>
      </w:pPr>
      <w:r w:rsidRPr="00A16A93">
        <w:t>Using an active mode of transport to get to and from school gives children of all physical abilities an opportunity to be more physically active. Research has shown that children who walk to school are less likely to be obese, and are more likely to have a lower BMI and a smaller waist circumference, than children who use more sedentary modes of transport, such as a car or bus (Pizarro et al 2013; Sarmiento et al 2015).</w:t>
      </w:r>
    </w:p>
    <w:p w:rsidR="00A16A93" w:rsidRPr="00A16A93" w:rsidRDefault="00A16A93" w:rsidP="0055227C">
      <w:pPr>
        <w:keepNext/>
      </w:pPr>
      <w:bookmarkStart w:id="84" w:name="_Toc400361832"/>
    </w:p>
    <w:p w:rsidR="00A16A93" w:rsidRPr="00A16A93" w:rsidRDefault="00A16A93" w:rsidP="0055227C">
      <w:pPr>
        <w:pStyle w:val="Heading3"/>
      </w:pPr>
      <w:bookmarkStart w:id="85" w:name="_Toc480457780"/>
      <w:r w:rsidRPr="00A16A93">
        <w:t>Baseline performance</w:t>
      </w:r>
      <w:bookmarkEnd w:id="85"/>
    </w:p>
    <w:p w:rsidR="00A16A93" w:rsidRPr="00A16A93" w:rsidRDefault="00A16A93" w:rsidP="0055227C">
      <w:pPr>
        <w:keepNext/>
      </w:pPr>
      <w:r w:rsidRPr="00A16A93">
        <w:t>The baseline data presented in this report comes from the 2015/16 New Zealand Health Survey. The New Zealand Health Survey has collected this information annually since 2011/12 with the results broken down by sex, age group, ethnic group and neighbourhood deprivation quintile.</w:t>
      </w:r>
    </w:p>
    <w:p w:rsidR="00A16A93" w:rsidRPr="00A16A93" w:rsidRDefault="00A16A93" w:rsidP="0055227C">
      <w:pPr>
        <w:keepNext/>
      </w:pPr>
    </w:p>
    <w:p w:rsidR="00A16A93" w:rsidRPr="00A16A93" w:rsidRDefault="00A16A93" w:rsidP="0055227C">
      <w:pPr>
        <w:pStyle w:val="Table"/>
      </w:pPr>
      <w:bookmarkStart w:id="86" w:name="_Toc480534262"/>
      <w:bookmarkEnd w:id="84"/>
      <w:r w:rsidRPr="00A16A93">
        <w:t>Table 10: Percentage of children (aged 5–14 years) who usually use an active mode of transport, such as walking, biking or skating, to get to and from school, by group, 2015/16</w:t>
      </w:r>
      <w:bookmarkEnd w:id="86"/>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607"/>
        <w:gridCol w:w="1068"/>
        <w:gridCol w:w="1068"/>
        <w:gridCol w:w="1069"/>
        <w:gridCol w:w="3544"/>
      </w:tblGrid>
      <w:tr w:rsidR="00A16A93" w:rsidRPr="0055227C" w:rsidTr="0055227C">
        <w:trPr>
          <w:cantSplit/>
        </w:trPr>
        <w:tc>
          <w:tcPr>
            <w:tcW w:w="2607" w:type="dxa"/>
            <w:tcBorders>
              <w:top w:val="single" w:sz="4" w:space="0" w:color="auto"/>
              <w:bottom w:val="single" w:sz="4" w:space="0" w:color="auto"/>
            </w:tcBorders>
          </w:tcPr>
          <w:p w:rsidR="00A16A93" w:rsidRPr="0055227C" w:rsidRDefault="00A16A93" w:rsidP="0055227C">
            <w:pPr>
              <w:pStyle w:val="TableText"/>
              <w:keepNext/>
              <w:rPr>
                <w:b/>
              </w:rPr>
            </w:pPr>
          </w:p>
        </w:tc>
        <w:tc>
          <w:tcPr>
            <w:tcW w:w="1068" w:type="dxa"/>
            <w:tcBorders>
              <w:top w:val="single" w:sz="4" w:space="0" w:color="auto"/>
              <w:bottom w:val="single" w:sz="4" w:space="0" w:color="auto"/>
            </w:tcBorders>
          </w:tcPr>
          <w:p w:rsidR="00A16A93" w:rsidRPr="0055227C" w:rsidRDefault="00A16A93" w:rsidP="0055227C">
            <w:pPr>
              <w:pStyle w:val="TableText"/>
              <w:keepNext/>
              <w:jc w:val="center"/>
              <w:rPr>
                <w:b/>
              </w:rPr>
            </w:pPr>
            <w:r w:rsidRPr="0055227C">
              <w:rPr>
                <w:b/>
              </w:rPr>
              <w:t>Total</w:t>
            </w:r>
          </w:p>
        </w:tc>
        <w:tc>
          <w:tcPr>
            <w:tcW w:w="1068" w:type="dxa"/>
            <w:tcBorders>
              <w:top w:val="single" w:sz="4" w:space="0" w:color="auto"/>
              <w:bottom w:val="single" w:sz="4" w:space="0" w:color="auto"/>
            </w:tcBorders>
          </w:tcPr>
          <w:p w:rsidR="00A16A93" w:rsidRPr="0055227C" w:rsidRDefault="00A16A93" w:rsidP="0055227C">
            <w:pPr>
              <w:pStyle w:val="TableText"/>
              <w:keepNext/>
              <w:jc w:val="center"/>
              <w:rPr>
                <w:b/>
              </w:rPr>
            </w:pPr>
            <w:r w:rsidRPr="0055227C">
              <w:rPr>
                <w:b/>
              </w:rPr>
              <w:t>Boys</w:t>
            </w:r>
          </w:p>
        </w:tc>
        <w:tc>
          <w:tcPr>
            <w:tcW w:w="1069" w:type="dxa"/>
            <w:tcBorders>
              <w:top w:val="single" w:sz="4" w:space="0" w:color="auto"/>
              <w:bottom w:val="single" w:sz="4" w:space="0" w:color="auto"/>
            </w:tcBorders>
          </w:tcPr>
          <w:p w:rsidR="00A16A93" w:rsidRPr="0055227C" w:rsidRDefault="00A16A93" w:rsidP="0055227C">
            <w:pPr>
              <w:pStyle w:val="TableText"/>
              <w:keepNext/>
              <w:jc w:val="center"/>
              <w:rPr>
                <w:b/>
              </w:rPr>
            </w:pPr>
            <w:r w:rsidRPr="0055227C">
              <w:rPr>
                <w:b/>
              </w:rPr>
              <w:t>Girls</w:t>
            </w:r>
          </w:p>
        </w:tc>
        <w:tc>
          <w:tcPr>
            <w:tcW w:w="3544" w:type="dxa"/>
            <w:tcBorders>
              <w:top w:val="single" w:sz="4" w:space="0" w:color="auto"/>
              <w:bottom w:val="single" w:sz="4" w:space="0" w:color="auto"/>
            </w:tcBorders>
          </w:tcPr>
          <w:p w:rsidR="00A16A93" w:rsidRPr="0055227C" w:rsidRDefault="00A16A93" w:rsidP="0055227C">
            <w:pPr>
              <w:pStyle w:val="TableText"/>
              <w:keepNext/>
              <w:rPr>
                <w:b/>
                <w:bCs/>
              </w:rPr>
            </w:pPr>
            <w:r w:rsidRPr="0055227C">
              <w:rPr>
                <w:b/>
              </w:rPr>
              <w:t>Estimated number of children (95% CI)</w:t>
            </w:r>
          </w:p>
        </w:tc>
      </w:tr>
      <w:tr w:rsidR="0055227C" w:rsidRPr="00A16A93" w:rsidTr="0055227C">
        <w:trPr>
          <w:cantSplit/>
        </w:trPr>
        <w:tc>
          <w:tcPr>
            <w:tcW w:w="2607" w:type="dxa"/>
            <w:tcBorders>
              <w:top w:val="single" w:sz="4" w:space="0" w:color="auto"/>
              <w:bottom w:val="single" w:sz="4" w:space="0" w:color="A6A6A6" w:themeColor="background1" w:themeShade="A6"/>
            </w:tcBorders>
          </w:tcPr>
          <w:p w:rsidR="0055227C" w:rsidRPr="0055227C" w:rsidRDefault="0055227C" w:rsidP="0055227C">
            <w:pPr>
              <w:pStyle w:val="TableText"/>
              <w:keepNext/>
            </w:pPr>
            <w:r w:rsidRPr="0055227C">
              <w:rPr>
                <w:b/>
              </w:rPr>
              <w:t>Population group</w:t>
            </w:r>
          </w:p>
        </w:tc>
        <w:tc>
          <w:tcPr>
            <w:tcW w:w="1068" w:type="dxa"/>
            <w:tcBorders>
              <w:top w:val="single" w:sz="4" w:space="0" w:color="auto"/>
              <w:bottom w:val="single" w:sz="4" w:space="0" w:color="A6A6A6" w:themeColor="background1" w:themeShade="A6"/>
            </w:tcBorders>
          </w:tcPr>
          <w:p w:rsidR="0055227C" w:rsidRPr="0055227C" w:rsidRDefault="0055227C" w:rsidP="0055227C">
            <w:pPr>
              <w:pStyle w:val="TableText"/>
              <w:keepNext/>
              <w:jc w:val="center"/>
            </w:pPr>
          </w:p>
        </w:tc>
        <w:tc>
          <w:tcPr>
            <w:tcW w:w="1068" w:type="dxa"/>
            <w:tcBorders>
              <w:top w:val="single" w:sz="4" w:space="0" w:color="auto"/>
              <w:bottom w:val="single" w:sz="4" w:space="0" w:color="A6A6A6" w:themeColor="background1" w:themeShade="A6"/>
            </w:tcBorders>
          </w:tcPr>
          <w:p w:rsidR="0055227C" w:rsidRPr="0055227C" w:rsidRDefault="0055227C" w:rsidP="0055227C">
            <w:pPr>
              <w:pStyle w:val="TableText"/>
              <w:keepNext/>
              <w:jc w:val="center"/>
            </w:pPr>
          </w:p>
        </w:tc>
        <w:tc>
          <w:tcPr>
            <w:tcW w:w="1069" w:type="dxa"/>
            <w:tcBorders>
              <w:top w:val="single" w:sz="4" w:space="0" w:color="auto"/>
              <w:bottom w:val="single" w:sz="4" w:space="0" w:color="A6A6A6" w:themeColor="background1" w:themeShade="A6"/>
            </w:tcBorders>
          </w:tcPr>
          <w:p w:rsidR="0055227C" w:rsidRPr="0055227C" w:rsidRDefault="0055227C" w:rsidP="0055227C">
            <w:pPr>
              <w:pStyle w:val="TableText"/>
              <w:keepNext/>
              <w:jc w:val="center"/>
            </w:pPr>
          </w:p>
        </w:tc>
        <w:tc>
          <w:tcPr>
            <w:tcW w:w="3544" w:type="dxa"/>
            <w:tcBorders>
              <w:top w:val="single" w:sz="4" w:space="0" w:color="auto"/>
              <w:bottom w:val="single" w:sz="4" w:space="0" w:color="A6A6A6" w:themeColor="background1" w:themeShade="A6"/>
            </w:tcBorders>
          </w:tcPr>
          <w:p w:rsidR="0055227C" w:rsidRPr="0055227C" w:rsidRDefault="0055227C" w:rsidP="0055227C">
            <w:pPr>
              <w:pStyle w:val="TableText"/>
              <w:keepNext/>
              <w:tabs>
                <w:tab w:val="decimal" w:pos="1361"/>
              </w:tabs>
            </w:pPr>
          </w:p>
        </w:tc>
      </w:tr>
      <w:tr w:rsidR="00A16A93" w:rsidRPr="00A16A93" w:rsidTr="0055227C">
        <w:trPr>
          <w:cantSplit/>
        </w:trPr>
        <w:tc>
          <w:tcPr>
            <w:tcW w:w="2607" w:type="dxa"/>
            <w:tcBorders>
              <w:top w:val="single" w:sz="4" w:space="0" w:color="A6A6A6" w:themeColor="background1" w:themeShade="A6"/>
              <w:bottom w:val="single" w:sz="4" w:space="0" w:color="auto"/>
            </w:tcBorders>
          </w:tcPr>
          <w:p w:rsidR="00A16A93" w:rsidRPr="0055227C" w:rsidRDefault="00A16A93" w:rsidP="0055227C">
            <w:pPr>
              <w:pStyle w:val="TableText"/>
              <w:keepNext/>
            </w:pPr>
            <w:r w:rsidRPr="0055227C">
              <w:t>Total</w:t>
            </w:r>
          </w:p>
        </w:tc>
        <w:tc>
          <w:tcPr>
            <w:tcW w:w="1068" w:type="dxa"/>
            <w:tcBorders>
              <w:top w:val="single" w:sz="4" w:space="0" w:color="A6A6A6" w:themeColor="background1" w:themeShade="A6"/>
              <w:bottom w:val="single" w:sz="4" w:space="0" w:color="auto"/>
            </w:tcBorders>
          </w:tcPr>
          <w:p w:rsidR="00A16A93" w:rsidRPr="0055227C" w:rsidRDefault="00A16A93" w:rsidP="0055227C">
            <w:pPr>
              <w:pStyle w:val="TableText"/>
              <w:keepNext/>
              <w:jc w:val="center"/>
            </w:pPr>
            <w:r w:rsidRPr="0055227C">
              <w:t>45.8%</w:t>
            </w:r>
          </w:p>
        </w:tc>
        <w:tc>
          <w:tcPr>
            <w:tcW w:w="1068" w:type="dxa"/>
            <w:tcBorders>
              <w:top w:val="single" w:sz="4" w:space="0" w:color="A6A6A6" w:themeColor="background1" w:themeShade="A6"/>
              <w:bottom w:val="single" w:sz="4" w:space="0" w:color="auto"/>
            </w:tcBorders>
          </w:tcPr>
          <w:p w:rsidR="00A16A93" w:rsidRPr="0055227C" w:rsidRDefault="00A16A93" w:rsidP="0055227C">
            <w:pPr>
              <w:pStyle w:val="TableText"/>
              <w:keepNext/>
              <w:jc w:val="center"/>
            </w:pPr>
            <w:r w:rsidRPr="0055227C">
              <w:t>48.5%</w:t>
            </w:r>
          </w:p>
        </w:tc>
        <w:tc>
          <w:tcPr>
            <w:tcW w:w="1069" w:type="dxa"/>
            <w:tcBorders>
              <w:top w:val="single" w:sz="4" w:space="0" w:color="A6A6A6" w:themeColor="background1" w:themeShade="A6"/>
              <w:bottom w:val="single" w:sz="4" w:space="0" w:color="auto"/>
            </w:tcBorders>
          </w:tcPr>
          <w:p w:rsidR="00A16A93" w:rsidRPr="0055227C" w:rsidRDefault="00A16A93" w:rsidP="0055227C">
            <w:pPr>
              <w:pStyle w:val="TableText"/>
              <w:keepNext/>
              <w:jc w:val="center"/>
            </w:pPr>
            <w:r w:rsidRPr="0055227C">
              <w:t>43.0%</w:t>
            </w:r>
          </w:p>
        </w:tc>
        <w:tc>
          <w:tcPr>
            <w:tcW w:w="3544" w:type="dxa"/>
            <w:tcBorders>
              <w:top w:val="single" w:sz="4" w:space="0" w:color="A6A6A6" w:themeColor="background1" w:themeShade="A6"/>
              <w:bottom w:val="single" w:sz="4" w:space="0" w:color="auto"/>
            </w:tcBorders>
          </w:tcPr>
          <w:p w:rsidR="00A16A93" w:rsidRPr="0055227C" w:rsidRDefault="00A16A93" w:rsidP="0055227C">
            <w:pPr>
              <w:pStyle w:val="TableText"/>
              <w:keepNext/>
              <w:tabs>
                <w:tab w:val="decimal" w:pos="1361"/>
              </w:tabs>
            </w:pPr>
            <w:r w:rsidRPr="0055227C">
              <w:t>280,000</w:t>
            </w:r>
            <w:r w:rsidR="0055227C">
              <w:t xml:space="preserve"> </w:t>
            </w:r>
            <w:r w:rsidRPr="0055227C">
              <w:t>(261,000–300,000)</w:t>
            </w:r>
          </w:p>
        </w:tc>
      </w:tr>
      <w:tr w:rsidR="00A16A93" w:rsidRPr="0055227C" w:rsidTr="0055227C">
        <w:trPr>
          <w:cantSplit/>
        </w:trPr>
        <w:tc>
          <w:tcPr>
            <w:tcW w:w="2607" w:type="dxa"/>
            <w:tcBorders>
              <w:top w:val="single" w:sz="4" w:space="0" w:color="auto"/>
              <w:bottom w:val="single" w:sz="4" w:space="0" w:color="A6A6A6" w:themeColor="background1" w:themeShade="A6"/>
            </w:tcBorders>
          </w:tcPr>
          <w:p w:rsidR="00A16A93" w:rsidRPr="0055227C" w:rsidRDefault="00A16A93" w:rsidP="0055227C">
            <w:pPr>
              <w:pStyle w:val="TableText"/>
              <w:keepNext/>
              <w:rPr>
                <w:b/>
              </w:rPr>
            </w:pPr>
            <w:r w:rsidRPr="0055227C">
              <w:rPr>
                <w:b/>
              </w:rPr>
              <w:t>Age group (years)</w:t>
            </w:r>
          </w:p>
        </w:tc>
        <w:tc>
          <w:tcPr>
            <w:tcW w:w="1068" w:type="dxa"/>
            <w:tcBorders>
              <w:top w:val="single" w:sz="4" w:space="0" w:color="auto"/>
              <w:bottom w:val="single" w:sz="4" w:space="0" w:color="A6A6A6" w:themeColor="background1" w:themeShade="A6"/>
            </w:tcBorders>
          </w:tcPr>
          <w:p w:rsidR="00A16A93" w:rsidRPr="0055227C" w:rsidRDefault="00A16A93" w:rsidP="0055227C">
            <w:pPr>
              <w:pStyle w:val="TableText"/>
              <w:keepNext/>
              <w:jc w:val="center"/>
              <w:rPr>
                <w:b/>
              </w:rPr>
            </w:pPr>
          </w:p>
        </w:tc>
        <w:tc>
          <w:tcPr>
            <w:tcW w:w="1068" w:type="dxa"/>
            <w:tcBorders>
              <w:top w:val="single" w:sz="4" w:space="0" w:color="auto"/>
              <w:bottom w:val="single" w:sz="4" w:space="0" w:color="A6A6A6" w:themeColor="background1" w:themeShade="A6"/>
            </w:tcBorders>
          </w:tcPr>
          <w:p w:rsidR="00A16A93" w:rsidRPr="0055227C" w:rsidRDefault="00A16A93" w:rsidP="0055227C">
            <w:pPr>
              <w:pStyle w:val="TableText"/>
              <w:keepNext/>
              <w:jc w:val="center"/>
              <w:rPr>
                <w:b/>
              </w:rPr>
            </w:pPr>
          </w:p>
        </w:tc>
        <w:tc>
          <w:tcPr>
            <w:tcW w:w="1069" w:type="dxa"/>
            <w:tcBorders>
              <w:top w:val="single" w:sz="4" w:space="0" w:color="auto"/>
              <w:bottom w:val="single" w:sz="4" w:space="0" w:color="A6A6A6" w:themeColor="background1" w:themeShade="A6"/>
            </w:tcBorders>
          </w:tcPr>
          <w:p w:rsidR="00A16A93" w:rsidRPr="0055227C" w:rsidRDefault="00A16A93" w:rsidP="0055227C">
            <w:pPr>
              <w:pStyle w:val="TableText"/>
              <w:keepNext/>
              <w:jc w:val="center"/>
              <w:rPr>
                <w:b/>
              </w:rPr>
            </w:pPr>
          </w:p>
        </w:tc>
        <w:tc>
          <w:tcPr>
            <w:tcW w:w="3544" w:type="dxa"/>
            <w:tcBorders>
              <w:top w:val="single" w:sz="4" w:space="0" w:color="auto"/>
              <w:bottom w:val="single" w:sz="4" w:space="0" w:color="A6A6A6" w:themeColor="background1" w:themeShade="A6"/>
            </w:tcBorders>
          </w:tcPr>
          <w:p w:rsidR="00A16A93" w:rsidRPr="0055227C" w:rsidRDefault="00A16A93" w:rsidP="0055227C">
            <w:pPr>
              <w:pStyle w:val="TableText"/>
              <w:keepNext/>
              <w:tabs>
                <w:tab w:val="decimal" w:pos="1361"/>
              </w:tabs>
              <w:rPr>
                <w:b/>
              </w:rPr>
            </w:pPr>
          </w:p>
        </w:tc>
      </w:tr>
      <w:tr w:rsidR="00A16A93" w:rsidRPr="00A16A93" w:rsidTr="0055227C">
        <w:trPr>
          <w:cantSplit/>
        </w:trPr>
        <w:tc>
          <w:tcPr>
            <w:tcW w:w="2607"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keepNext/>
            </w:pPr>
            <w:r w:rsidRPr="0055227C">
              <w:t>5–9</w:t>
            </w:r>
          </w:p>
        </w:tc>
        <w:tc>
          <w:tcPr>
            <w:tcW w:w="1068"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keepNext/>
              <w:jc w:val="center"/>
            </w:pPr>
            <w:r w:rsidRPr="0055227C">
              <w:t>42.3%</w:t>
            </w:r>
          </w:p>
        </w:tc>
        <w:tc>
          <w:tcPr>
            <w:tcW w:w="1068"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keepNext/>
              <w:jc w:val="center"/>
            </w:pPr>
            <w:r w:rsidRPr="0055227C">
              <w:t>43.0%</w:t>
            </w:r>
          </w:p>
        </w:tc>
        <w:tc>
          <w:tcPr>
            <w:tcW w:w="1069"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keepNext/>
              <w:jc w:val="center"/>
            </w:pPr>
            <w:r w:rsidRPr="0055227C">
              <w:t>41.5%</w:t>
            </w:r>
          </w:p>
        </w:tc>
        <w:tc>
          <w:tcPr>
            <w:tcW w:w="3544"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keepNext/>
              <w:tabs>
                <w:tab w:val="decimal" w:pos="1361"/>
              </w:tabs>
            </w:pPr>
            <w:r w:rsidRPr="0055227C">
              <w:t>135,000</w:t>
            </w:r>
            <w:r w:rsidR="0055227C">
              <w:t xml:space="preserve"> </w:t>
            </w:r>
            <w:r w:rsidRPr="0055227C">
              <w:t>(124,000–146,000)</w:t>
            </w:r>
          </w:p>
        </w:tc>
      </w:tr>
      <w:tr w:rsidR="00A16A93" w:rsidRPr="00A16A93" w:rsidTr="0055227C">
        <w:trPr>
          <w:cantSplit/>
        </w:trPr>
        <w:tc>
          <w:tcPr>
            <w:tcW w:w="2607" w:type="dxa"/>
            <w:tcBorders>
              <w:top w:val="single" w:sz="4" w:space="0" w:color="A6A6A6" w:themeColor="background1" w:themeShade="A6"/>
              <w:bottom w:val="single" w:sz="4" w:space="0" w:color="auto"/>
            </w:tcBorders>
          </w:tcPr>
          <w:p w:rsidR="00A16A93" w:rsidRPr="0055227C" w:rsidRDefault="00A16A93" w:rsidP="0055227C">
            <w:pPr>
              <w:pStyle w:val="TableText"/>
              <w:keepNext/>
            </w:pPr>
            <w:r w:rsidRPr="0055227C">
              <w:t>10–14</w:t>
            </w:r>
          </w:p>
        </w:tc>
        <w:tc>
          <w:tcPr>
            <w:tcW w:w="1068" w:type="dxa"/>
            <w:tcBorders>
              <w:top w:val="single" w:sz="4" w:space="0" w:color="A6A6A6" w:themeColor="background1" w:themeShade="A6"/>
              <w:bottom w:val="single" w:sz="4" w:space="0" w:color="auto"/>
            </w:tcBorders>
          </w:tcPr>
          <w:p w:rsidR="00A16A93" w:rsidRPr="0055227C" w:rsidRDefault="00A16A93" w:rsidP="0055227C">
            <w:pPr>
              <w:pStyle w:val="TableText"/>
              <w:keepNext/>
              <w:jc w:val="center"/>
            </w:pPr>
            <w:r w:rsidRPr="0055227C">
              <w:t>49.7%</w:t>
            </w:r>
          </w:p>
        </w:tc>
        <w:tc>
          <w:tcPr>
            <w:tcW w:w="1068" w:type="dxa"/>
            <w:tcBorders>
              <w:top w:val="single" w:sz="4" w:space="0" w:color="A6A6A6" w:themeColor="background1" w:themeShade="A6"/>
              <w:bottom w:val="single" w:sz="4" w:space="0" w:color="auto"/>
            </w:tcBorders>
          </w:tcPr>
          <w:p w:rsidR="00A16A93" w:rsidRPr="0055227C" w:rsidRDefault="00A16A93" w:rsidP="0055227C">
            <w:pPr>
              <w:pStyle w:val="TableText"/>
              <w:keepNext/>
              <w:jc w:val="center"/>
            </w:pPr>
            <w:r w:rsidRPr="0055227C">
              <w:t>54.6%</w:t>
            </w:r>
          </w:p>
        </w:tc>
        <w:tc>
          <w:tcPr>
            <w:tcW w:w="1069" w:type="dxa"/>
            <w:tcBorders>
              <w:top w:val="single" w:sz="4" w:space="0" w:color="A6A6A6" w:themeColor="background1" w:themeShade="A6"/>
              <w:bottom w:val="single" w:sz="4" w:space="0" w:color="auto"/>
            </w:tcBorders>
          </w:tcPr>
          <w:p w:rsidR="00A16A93" w:rsidRPr="0055227C" w:rsidRDefault="00A16A93" w:rsidP="0055227C">
            <w:pPr>
              <w:pStyle w:val="TableText"/>
              <w:keepNext/>
              <w:jc w:val="center"/>
            </w:pPr>
            <w:r w:rsidRPr="0055227C">
              <w:t>44.7%</w:t>
            </w:r>
          </w:p>
        </w:tc>
        <w:tc>
          <w:tcPr>
            <w:tcW w:w="3544" w:type="dxa"/>
            <w:tcBorders>
              <w:top w:val="single" w:sz="4" w:space="0" w:color="A6A6A6" w:themeColor="background1" w:themeShade="A6"/>
              <w:bottom w:val="single" w:sz="4" w:space="0" w:color="auto"/>
            </w:tcBorders>
          </w:tcPr>
          <w:p w:rsidR="00A16A93" w:rsidRPr="0055227C" w:rsidRDefault="00A16A93" w:rsidP="0055227C">
            <w:pPr>
              <w:pStyle w:val="TableText"/>
              <w:keepNext/>
              <w:tabs>
                <w:tab w:val="decimal" w:pos="1361"/>
              </w:tabs>
            </w:pPr>
            <w:r w:rsidRPr="0055227C">
              <w:t>145,000</w:t>
            </w:r>
            <w:r w:rsidR="0055227C">
              <w:t xml:space="preserve"> </w:t>
            </w:r>
            <w:r w:rsidRPr="0055227C">
              <w:t>(132,000–158,000)</w:t>
            </w:r>
          </w:p>
        </w:tc>
      </w:tr>
      <w:tr w:rsidR="00A16A93" w:rsidRPr="00A16A93" w:rsidTr="0055227C">
        <w:trPr>
          <w:cantSplit/>
        </w:trPr>
        <w:tc>
          <w:tcPr>
            <w:tcW w:w="2607" w:type="dxa"/>
            <w:tcBorders>
              <w:top w:val="single" w:sz="4" w:space="0" w:color="auto"/>
              <w:bottom w:val="single" w:sz="4" w:space="0" w:color="A6A6A6" w:themeColor="background1" w:themeShade="A6"/>
            </w:tcBorders>
          </w:tcPr>
          <w:p w:rsidR="00A16A93" w:rsidRPr="0055227C" w:rsidRDefault="00A16A93" w:rsidP="0055227C">
            <w:pPr>
              <w:pStyle w:val="TableText"/>
              <w:keepNext/>
              <w:rPr>
                <w:b/>
              </w:rPr>
            </w:pPr>
            <w:r w:rsidRPr="0055227C">
              <w:rPr>
                <w:b/>
              </w:rPr>
              <w:t>Ethnic group</w:t>
            </w:r>
          </w:p>
        </w:tc>
        <w:tc>
          <w:tcPr>
            <w:tcW w:w="1068" w:type="dxa"/>
            <w:tcBorders>
              <w:top w:val="single" w:sz="4" w:space="0" w:color="auto"/>
              <w:bottom w:val="single" w:sz="4" w:space="0" w:color="A6A6A6" w:themeColor="background1" w:themeShade="A6"/>
            </w:tcBorders>
          </w:tcPr>
          <w:p w:rsidR="00A16A93" w:rsidRPr="0055227C" w:rsidRDefault="00A16A93" w:rsidP="0055227C">
            <w:pPr>
              <w:pStyle w:val="TableText"/>
              <w:keepNext/>
              <w:jc w:val="center"/>
            </w:pPr>
          </w:p>
        </w:tc>
        <w:tc>
          <w:tcPr>
            <w:tcW w:w="1068" w:type="dxa"/>
            <w:tcBorders>
              <w:top w:val="single" w:sz="4" w:space="0" w:color="auto"/>
              <w:bottom w:val="single" w:sz="4" w:space="0" w:color="A6A6A6" w:themeColor="background1" w:themeShade="A6"/>
            </w:tcBorders>
          </w:tcPr>
          <w:p w:rsidR="00A16A93" w:rsidRPr="0055227C" w:rsidRDefault="00A16A93" w:rsidP="0055227C">
            <w:pPr>
              <w:pStyle w:val="TableText"/>
              <w:keepNext/>
              <w:jc w:val="center"/>
            </w:pPr>
          </w:p>
        </w:tc>
        <w:tc>
          <w:tcPr>
            <w:tcW w:w="1069" w:type="dxa"/>
            <w:tcBorders>
              <w:top w:val="single" w:sz="4" w:space="0" w:color="auto"/>
              <w:bottom w:val="single" w:sz="4" w:space="0" w:color="A6A6A6" w:themeColor="background1" w:themeShade="A6"/>
            </w:tcBorders>
          </w:tcPr>
          <w:p w:rsidR="00A16A93" w:rsidRPr="0055227C" w:rsidRDefault="00A16A93" w:rsidP="0055227C">
            <w:pPr>
              <w:pStyle w:val="TableText"/>
              <w:keepNext/>
              <w:jc w:val="center"/>
            </w:pPr>
          </w:p>
        </w:tc>
        <w:tc>
          <w:tcPr>
            <w:tcW w:w="3544" w:type="dxa"/>
            <w:tcBorders>
              <w:top w:val="single" w:sz="4" w:space="0" w:color="auto"/>
              <w:bottom w:val="single" w:sz="4" w:space="0" w:color="A6A6A6" w:themeColor="background1" w:themeShade="A6"/>
            </w:tcBorders>
          </w:tcPr>
          <w:p w:rsidR="00A16A93" w:rsidRPr="0055227C" w:rsidRDefault="00A16A93" w:rsidP="0055227C">
            <w:pPr>
              <w:pStyle w:val="TableText"/>
              <w:keepNext/>
              <w:tabs>
                <w:tab w:val="decimal" w:pos="1361"/>
              </w:tabs>
            </w:pPr>
          </w:p>
        </w:tc>
      </w:tr>
      <w:tr w:rsidR="00A16A93" w:rsidRPr="00A16A93" w:rsidTr="0055227C">
        <w:trPr>
          <w:cantSplit/>
        </w:trPr>
        <w:tc>
          <w:tcPr>
            <w:tcW w:w="2607"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keepNext/>
            </w:pPr>
            <w:r w:rsidRPr="0055227C">
              <w:t>Māori</w:t>
            </w:r>
          </w:p>
        </w:tc>
        <w:tc>
          <w:tcPr>
            <w:tcW w:w="1068"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keepNext/>
              <w:jc w:val="center"/>
            </w:pPr>
            <w:r w:rsidRPr="0055227C">
              <w:t>45.0%</w:t>
            </w:r>
          </w:p>
        </w:tc>
        <w:tc>
          <w:tcPr>
            <w:tcW w:w="1068"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keepNext/>
              <w:jc w:val="center"/>
            </w:pPr>
            <w:r w:rsidRPr="0055227C">
              <w:t>45.6%</w:t>
            </w:r>
          </w:p>
        </w:tc>
        <w:tc>
          <w:tcPr>
            <w:tcW w:w="1069"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keepNext/>
              <w:jc w:val="center"/>
            </w:pPr>
            <w:r w:rsidRPr="0055227C">
              <w:t>44.4%</w:t>
            </w:r>
          </w:p>
        </w:tc>
        <w:tc>
          <w:tcPr>
            <w:tcW w:w="3544"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keepNext/>
              <w:tabs>
                <w:tab w:val="decimal" w:pos="1361"/>
              </w:tabs>
            </w:pPr>
            <w:r w:rsidRPr="0055227C">
              <w:t>69,000</w:t>
            </w:r>
            <w:r w:rsidR="0055227C">
              <w:t xml:space="preserve"> </w:t>
            </w:r>
            <w:r w:rsidRPr="0055227C">
              <w:t>(63,000–75,000)</w:t>
            </w:r>
          </w:p>
        </w:tc>
      </w:tr>
      <w:tr w:rsidR="00A16A93" w:rsidRPr="00A16A93" w:rsidTr="0055227C">
        <w:trPr>
          <w:cantSplit/>
        </w:trPr>
        <w:tc>
          <w:tcPr>
            <w:tcW w:w="2607"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pPr>
            <w:r w:rsidRPr="0055227C">
              <w:t>Pacific peoples</w:t>
            </w:r>
          </w:p>
        </w:tc>
        <w:tc>
          <w:tcPr>
            <w:tcW w:w="1068"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jc w:val="center"/>
            </w:pPr>
            <w:r w:rsidRPr="0055227C">
              <w:t>48.3%</w:t>
            </w:r>
          </w:p>
        </w:tc>
        <w:tc>
          <w:tcPr>
            <w:tcW w:w="1068"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jc w:val="center"/>
            </w:pPr>
            <w:r w:rsidRPr="0055227C">
              <w:t>53.4%</w:t>
            </w:r>
          </w:p>
        </w:tc>
        <w:tc>
          <w:tcPr>
            <w:tcW w:w="1069"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jc w:val="center"/>
            </w:pPr>
            <w:r w:rsidRPr="0055227C">
              <w:t>42.6%</w:t>
            </w:r>
          </w:p>
        </w:tc>
        <w:tc>
          <w:tcPr>
            <w:tcW w:w="3544"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tabs>
                <w:tab w:val="decimal" w:pos="1361"/>
              </w:tabs>
            </w:pPr>
            <w:r w:rsidRPr="0055227C">
              <w:t>39,000</w:t>
            </w:r>
            <w:r w:rsidR="0055227C">
              <w:t xml:space="preserve"> </w:t>
            </w:r>
            <w:r w:rsidRPr="0055227C">
              <w:t>(34,000–43,000)</w:t>
            </w:r>
          </w:p>
        </w:tc>
      </w:tr>
      <w:tr w:rsidR="00A16A93" w:rsidRPr="00A16A93" w:rsidTr="0055227C">
        <w:trPr>
          <w:cantSplit/>
        </w:trPr>
        <w:tc>
          <w:tcPr>
            <w:tcW w:w="2607"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pPr>
            <w:r w:rsidRPr="0055227C">
              <w:t>Asian</w:t>
            </w:r>
          </w:p>
        </w:tc>
        <w:tc>
          <w:tcPr>
            <w:tcW w:w="1068"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jc w:val="center"/>
            </w:pPr>
            <w:r w:rsidRPr="0055227C">
              <w:t>45.1%</w:t>
            </w:r>
          </w:p>
        </w:tc>
        <w:tc>
          <w:tcPr>
            <w:tcW w:w="1068"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jc w:val="center"/>
            </w:pPr>
            <w:r w:rsidRPr="0055227C">
              <w:t>52.0%</w:t>
            </w:r>
          </w:p>
        </w:tc>
        <w:tc>
          <w:tcPr>
            <w:tcW w:w="1069"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jc w:val="center"/>
            </w:pPr>
            <w:r w:rsidRPr="0055227C">
              <w:t>38.7%</w:t>
            </w:r>
          </w:p>
        </w:tc>
        <w:tc>
          <w:tcPr>
            <w:tcW w:w="3544"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tabs>
                <w:tab w:val="decimal" w:pos="1361"/>
              </w:tabs>
            </w:pPr>
            <w:r w:rsidRPr="0055227C">
              <w:t>34,000</w:t>
            </w:r>
            <w:r w:rsidR="0055227C">
              <w:t xml:space="preserve"> </w:t>
            </w:r>
            <w:r w:rsidRPr="0055227C">
              <w:t>(28,000-39,000)</w:t>
            </w:r>
          </w:p>
        </w:tc>
      </w:tr>
      <w:tr w:rsidR="00A16A93" w:rsidRPr="00A16A93" w:rsidTr="0055227C">
        <w:trPr>
          <w:cantSplit/>
        </w:trPr>
        <w:tc>
          <w:tcPr>
            <w:tcW w:w="2607" w:type="dxa"/>
            <w:tcBorders>
              <w:top w:val="single" w:sz="4" w:space="0" w:color="A6A6A6" w:themeColor="background1" w:themeShade="A6"/>
              <w:bottom w:val="single" w:sz="4" w:space="0" w:color="auto"/>
            </w:tcBorders>
          </w:tcPr>
          <w:p w:rsidR="00A16A93" w:rsidRPr="0055227C" w:rsidRDefault="00A16A93" w:rsidP="0055227C">
            <w:pPr>
              <w:pStyle w:val="TableText"/>
            </w:pPr>
            <w:r w:rsidRPr="0055227C">
              <w:t>European/Other</w:t>
            </w:r>
          </w:p>
        </w:tc>
        <w:tc>
          <w:tcPr>
            <w:tcW w:w="1068" w:type="dxa"/>
            <w:tcBorders>
              <w:top w:val="single" w:sz="4" w:space="0" w:color="A6A6A6" w:themeColor="background1" w:themeShade="A6"/>
              <w:bottom w:val="single" w:sz="4" w:space="0" w:color="auto"/>
            </w:tcBorders>
          </w:tcPr>
          <w:p w:rsidR="00A16A93" w:rsidRPr="0055227C" w:rsidRDefault="00A16A93" w:rsidP="0055227C">
            <w:pPr>
              <w:pStyle w:val="TableText"/>
              <w:jc w:val="center"/>
            </w:pPr>
            <w:r w:rsidRPr="0055227C">
              <w:t>44.6%</w:t>
            </w:r>
          </w:p>
        </w:tc>
        <w:tc>
          <w:tcPr>
            <w:tcW w:w="1068" w:type="dxa"/>
            <w:tcBorders>
              <w:top w:val="single" w:sz="4" w:space="0" w:color="A6A6A6" w:themeColor="background1" w:themeShade="A6"/>
              <w:bottom w:val="single" w:sz="4" w:space="0" w:color="auto"/>
            </w:tcBorders>
          </w:tcPr>
          <w:p w:rsidR="00A16A93" w:rsidRPr="0055227C" w:rsidRDefault="00A16A93" w:rsidP="0055227C">
            <w:pPr>
              <w:pStyle w:val="TableText"/>
              <w:jc w:val="center"/>
            </w:pPr>
            <w:r w:rsidRPr="0055227C">
              <w:t>46.5%</w:t>
            </w:r>
          </w:p>
        </w:tc>
        <w:tc>
          <w:tcPr>
            <w:tcW w:w="1069" w:type="dxa"/>
            <w:tcBorders>
              <w:top w:val="single" w:sz="4" w:space="0" w:color="A6A6A6" w:themeColor="background1" w:themeShade="A6"/>
              <w:bottom w:val="single" w:sz="4" w:space="0" w:color="auto"/>
            </w:tcBorders>
          </w:tcPr>
          <w:p w:rsidR="00A16A93" w:rsidRPr="0055227C" w:rsidRDefault="00A16A93" w:rsidP="0055227C">
            <w:pPr>
              <w:pStyle w:val="TableText"/>
              <w:jc w:val="center"/>
            </w:pPr>
            <w:r w:rsidRPr="0055227C">
              <w:t>42.6%</w:t>
            </w:r>
          </w:p>
        </w:tc>
        <w:tc>
          <w:tcPr>
            <w:tcW w:w="3544" w:type="dxa"/>
            <w:tcBorders>
              <w:top w:val="single" w:sz="4" w:space="0" w:color="A6A6A6" w:themeColor="background1" w:themeShade="A6"/>
              <w:bottom w:val="single" w:sz="4" w:space="0" w:color="auto"/>
            </w:tcBorders>
          </w:tcPr>
          <w:p w:rsidR="00A16A93" w:rsidRPr="0055227C" w:rsidRDefault="00A16A93" w:rsidP="0055227C">
            <w:pPr>
              <w:pStyle w:val="TableText"/>
              <w:tabs>
                <w:tab w:val="decimal" w:pos="1361"/>
              </w:tabs>
            </w:pPr>
            <w:r w:rsidRPr="0055227C">
              <w:t>196,000</w:t>
            </w:r>
            <w:r w:rsidR="0055227C">
              <w:t xml:space="preserve"> </w:t>
            </w:r>
            <w:r w:rsidRPr="0055227C">
              <w:t>(180,000–212,000)</w:t>
            </w:r>
          </w:p>
        </w:tc>
      </w:tr>
      <w:tr w:rsidR="00A16A93" w:rsidRPr="00A16A93" w:rsidTr="0055227C">
        <w:trPr>
          <w:cantSplit/>
        </w:trPr>
        <w:tc>
          <w:tcPr>
            <w:tcW w:w="2607" w:type="dxa"/>
            <w:tcBorders>
              <w:top w:val="single" w:sz="4" w:space="0" w:color="auto"/>
              <w:bottom w:val="single" w:sz="4" w:space="0" w:color="A6A6A6" w:themeColor="background1" w:themeShade="A6"/>
            </w:tcBorders>
          </w:tcPr>
          <w:p w:rsidR="00A16A93" w:rsidRPr="0055227C" w:rsidRDefault="00A16A93" w:rsidP="0055227C">
            <w:pPr>
              <w:pStyle w:val="TableText"/>
              <w:rPr>
                <w:b/>
              </w:rPr>
            </w:pPr>
            <w:r w:rsidRPr="0055227C">
              <w:rPr>
                <w:b/>
              </w:rPr>
              <w:t>Neighbourhood deprivation quintile (NZDep2013)</w:t>
            </w:r>
          </w:p>
        </w:tc>
        <w:tc>
          <w:tcPr>
            <w:tcW w:w="1068" w:type="dxa"/>
            <w:tcBorders>
              <w:top w:val="single" w:sz="4" w:space="0" w:color="auto"/>
              <w:bottom w:val="single" w:sz="4" w:space="0" w:color="A6A6A6" w:themeColor="background1" w:themeShade="A6"/>
            </w:tcBorders>
          </w:tcPr>
          <w:p w:rsidR="00A16A93" w:rsidRPr="0055227C" w:rsidRDefault="00A16A93" w:rsidP="0055227C">
            <w:pPr>
              <w:pStyle w:val="TableText"/>
              <w:jc w:val="center"/>
            </w:pPr>
          </w:p>
        </w:tc>
        <w:tc>
          <w:tcPr>
            <w:tcW w:w="1068" w:type="dxa"/>
            <w:tcBorders>
              <w:top w:val="single" w:sz="4" w:space="0" w:color="auto"/>
              <w:bottom w:val="single" w:sz="4" w:space="0" w:color="A6A6A6" w:themeColor="background1" w:themeShade="A6"/>
            </w:tcBorders>
          </w:tcPr>
          <w:p w:rsidR="00A16A93" w:rsidRPr="0055227C" w:rsidRDefault="00A16A93" w:rsidP="0055227C">
            <w:pPr>
              <w:pStyle w:val="TableText"/>
              <w:jc w:val="center"/>
            </w:pPr>
          </w:p>
        </w:tc>
        <w:tc>
          <w:tcPr>
            <w:tcW w:w="1069" w:type="dxa"/>
            <w:tcBorders>
              <w:top w:val="single" w:sz="4" w:space="0" w:color="auto"/>
              <w:bottom w:val="single" w:sz="4" w:space="0" w:color="A6A6A6" w:themeColor="background1" w:themeShade="A6"/>
            </w:tcBorders>
          </w:tcPr>
          <w:p w:rsidR="00A16A93" w:rsidRPr="0055227C" w:rsidRDefault="00A16A93" w:rsidP="0055227C">
            <w:pPr>
              <w:pStyle w:val="TableText"/>
              <w:jc w:val="center"/>
            </w:pPr>
          </w:p>
        </w:tc>
        <w:tc>
          <w:tcPr>
            <w:tcW w:w="3544" w:type="dxa"/>
            <w:tcBorders>
              <w:top w:val="single" w:sz="4" w:space="0" w:color="auto"/>
              <w:bottom w:val="single" w:sz="4" w:space="0" w:color="A6A6A6" w:themeColor="background1" w:themeShade="A6"/>
            </w:tcBorders>
          </w:tcPr>
          <w:p w:rsidR="00A16A93" w:rsidRPr="0055227C" w:rsidRDefault="00A16A93" w:rsidP="0055227C">
            <w:pPr>
              <w:pStyle w:val="TableText"/>
              <w:tabs>
                <w:tab w:val="decimal" w:pos="1361"/>
              </w:tabs>
            </w:pPr>
          </w:p>
        </w:tc>
      </w:tr>
      <w:tr w:rsidR="00A16A93" w:rsidRPr="00A16A93" w:rsidTr="0055227C">
        <w:trPr>
          <w:cantSplit/>
        </w:trPr>
        <w:tc>
          <w:tcPr>
            <w:tcW w:w="2607"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pPr>
            <w:r w:rsidRPr="0055227C">
              <w:t>Quintile 1 (least deprived)</w:t>
            </w:r>
          </w:p>
        </w:tc>
        <w:tc>
          <w:tcPr>
            <w:tcW w:w="1068"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jc w:val="center"/>
            </w:pPr>
            <w:r w:rsidRPr="0055227C">
              <w:t>49.9%</w:t>
            </w:r>
          </w:p>
        </w:tc>
        <w:tc>
          <w:tcPr>
            <w:tcW w:w="1068"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jc w:val="center"/>
            </w:pPr>
            <w:r w:rsidRPr="0055227C">
              <w:t>54.8%</w:t>
            </w:r>
          </w:p>
        </w:tc>
        <w:tc>
          <w:tcPr>
            <w:tcW w:w="1069"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jc w:val="center"/>
            </w:pPr>
            <w:r w:rsidRPr="0055227C">
              <w:t>44.7%</w:t>
            </w:r>
          </w:p>
        </w:tc>
        <w:tc>
          <w:tcPr>
            <w:tcW w:w="3544"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tabs>
                <w:tab w:val="decimal" w:pos="1361"/>
              </w:tabs>
            </w:pPr>
            <w:r w:rsidRPr="0055227C">
              <w:t>67,000</w:t>
            </w:r>
            <w:r w:rsidR="0055227C">
              <w:t xml:space="preserve"> </w:t>
            </w:r>
            <w:r w:rsidRPr="0055227C">
              <w:t>(56,000–79,000)</w:t>
            </w:r>
          </w:p>
        </w:tc>
      </w:tr>
      <w:tr w:rsidR="00A16A93" w:rsidRPr="00A16A93" w:rsidTr="0055227C">
        <w:trPr>
          <w:cantSplit/>
        </w:trPr>
        <w:tc>
          <w:tcPr>
            <w:tcW w:w="2607"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pPr>
            <w:r w:rsidRPr="0055227C">
              <w:t>Quintile 2</w:t>
            </w:r>
          </w:p>
        </w:tc>
        <w:tc>
          <w:tcPr>
            <w:tcW w:w="1068"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jc w:val="center"/>
            </w:pPr>
            <w:r w:rsidRPr="0055227C">
              <w:t>41.9%</w:t>
            </w:r>
          </w:p>
        </w:tc>
        <w:tc>
          <w:tcPr>
            <w:tcW w:w="1068"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jc w:val="center"/>
            </w:pPr>
            <w:r w:rsidRPr="0055227C">
              <w:t>40.9%</w:t>
            </w:r>
          </w:p>
        </w:tc>
        <w:tc>
          <w:tcPr>
            <w:tcW w:w="1069"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jc w:val="center"/>
            </w:pPr>
            <w:r w:rsidRPr="0055227C">
              <w:t>43.1%</w:t>
            </w:r>
          </w:p>
        </w:tc>
        <w:tc>
          <w:tcPr>
            <w:tcW w:w="3544"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tabs>
                <w:tab w:val="decimal" w:pos="1361"/>
              </w:tabs>
            </w:pPr>
            <w:r w:rsidRPr="0055227C">
              <w:t>48,000</w:t>
            </w:r>
            <w:r w:rsidR="0055227C">
              <w:t xml:space="preserve"> </w:t>
            </w:r>
            <w:r w:rsidRPr="0055227C">
              <w:t>(40,000–57,000)</w:t>
            </w:r>
          </w:p>
        </w:tc>
      </w:tr>
      <w:tr w:rsidR="00A16A93" w:rsidRPr="00A16A93" w:rsidTr="0055227C">
        <w:trPr>
          <w:cantSplit/>
        </w:trPr>
        <w:tc>
          <w:tcPr>
            <w:tcW w:w="2607"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pPr>
            <w:r w:rsidRPr="0055227C">
              <w:t>Quintile 3</w:t>
            </w:r>
          </w:p>
        </w:tc>
        <w:tc>
          <w:tcPr>
            <w:tcW w:w="1068"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jc w:val="center"/>
            </w:pPr>
            <w:r w:rsidRPr="0055227C">
              <w:t>41.5%</w:t>
            </w:r>
          </w:p>
        </w:tc>
        <w:tc>
          <w:tcPr>
            <w:tcW w:w="1068"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jc w:val="center"/>
            </w:pPr>
            <w:r w:rsidRPr="0055227C">
              <w:t>44.2%</w:t>
            </w:r>
          </w:p>
        </w:tc>
        <w:tc>
          <w:tcPr>
            <w:tcW w:w="1069"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jc w:val="center"/>
            </w:pPr>
            <w:r w:rsidRPr="0055227C">
              <w:t>38.9%</w:t>
            </w:r>
          </w:p>
        </w:tc>
        <w:tc>
          <w:tcPr>
            <w:tcW w:w="3544"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tabs>
                <w:tab w:val="decimal" w:pos="1361"/>
              </w:tabs>
            </w:pPr>
            <w:r w:rsidRPr="0055227C">
              <w:t>45,000</w:t>
            </w:r>
            <w:r w:rsidR="0055227C">
              <w:t xml:space="preserve"> </w:t>
            </w:r>
            <w:r w:rsidRPr="0055227C">
              <w:t>(38,000–52,000)</w:t>
            </w:r>
          </w:p>
        </w:tc>
      </w:tr>
      <w:tr w:rsidR="00A16A93" w:rsidRPr="00A16A93" w:rsidTr="0055227C">
        <w:trPr>
          <w:cantSplit/>
        </w:trPr>
        <w:tc>
          <w:tcPr>
            <w:tcW w:w="2607"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pPr>
            <w:r w:rsidRPr="0055227C">
              <w:t>Quintile 4</w:t>
            </w:r>
          </w:p>
        </w:tc>
        <w:tc>
          <w:tcPr>
            <w:tcW w:w="1068"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jc w:val="center"/>
            </w:pPr>
            <w:r w:rsidRPr="0055227C">
              <w:t>47.0%</w:t>
            </w:r>
          </w:p>
        </w:tc>
        <w:tc>
          <w:tcPr>
            <w:tcW w:w="1068"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jc w:val="center"/>
            </w:pPr>
            <w:r w:rsidRPr="0055227C">
              <w:t>49.8%</w:t>
            </w:r>
          </w:p>
        </w:tc>
        <w:tc>
          <w:tcPr>
            <w:tcW w:w="1069"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jc w:val="center"/>
            </w:pPr>
            <w:r w:rsidRPr="0055227C">
              <w:t>44.0%</w:t>
            </w:r>
          </w:p>
        </w:tc>
        <w:tc>
          <w:tcPr>
            <w:tcW w:w="3544" w:type="dxa"/>
            <w:tcBorders>
              <w:top w:val="single" w:sz="4" w:space="0" w:color="A6A6A6" w:themeColor="background1" w:themeShade="A6"/>
              <w:bottom w:val="single" w:sz="4" w:space="0" w:color="A6A6A6" w:themeColor="background1" w:themeShade="A6"/>
            </w:tcBorders>
          </w:tcPr>
          <w:p w:rsidR="00A16A93" w:rsidRPr="0055227C" w:rsidRDefault="00A16A93" w:rsidP="0055227C">
            <w:pPr>
              <w:pStyle w:val="TableText"/>
              <w:tabs>
                <w:tab w:val="decimal" w:pos="1361"/>
              </w:tabs>
            </w:pPr>
            <w:r w:rsidRPr="0055227C">
              <w:t>53,000</w:t>
            </w:r>
            <w:r w:rsidR="0055227C">
              <w:t xml:space="preserve"> </w:t>
            </w:r>
            <w:r w:rsidRPr="0055227C">
              <w:t>(47,000–59,000)</w:t>
            </w:r>
          </w:p>
        </w:tc>
      </w:tr>
      <w:tr w:rsidR="00A16A93" w:rsidRPr="00A16A93" w:rsidTr="0055227C">
        <w:trPr>
          <w:cantSplit/>
        </w:trPr>
        <w:tc>
          <w:tcPr>
            <w:tcW w:w="2607" w:type="dxa"/>
            <w:tcBorders>
              <w:top w:val="single" w:sz="4" w:space="0" w:color="A6A6A6" w:themeColor="background1" w:themeShade="A6"/>
              <w:bottom w:val="single" w:sz="4" w:space="0" w:color="auto"/>
            </w:tcBorders>
          </w:tcPr>
          <w:p w:rsidR="00A16A93" w:rsidRPr="0055227C" w:rsidRDefault="00A16A93" w:rsidP="0055227C">
            <w:pPr>
              <w:pStyle w:val="TableText"/>
            </w:pPr>
            <w:r w:rsidRPr="0055227C">
              <w:t>Quintile 5 (most deprived)</w:t>
            </w:r>
          </w:p>
        </w:tc>
        <w:tc>
          <w:tcPr>
            <w:tcW w:w="1068" w:type="dxa"/>
            <w:tcBorders>
              <w:top w:val="single" w:sz="4" w:space="0" w:color="A6A6A6" w:themeColor="background1" w:themeShade="A6"/>
              <w:bottom w:val="single" w:sz="4" w:space="0" w:color="auto"/>
            </w:tcBorders>
          </w:tcPr>
          <w:p w:rsidR="00A16A93" w:rsidRPr="0055227C" w:rsidRDefault="00A16A93" w:rsidP="0055227C">
            <w:pPr>
              <w:pStyle w:val="TableText"/>
              <w:jc w:val="center"/>
            </w:pPr>
            <w:r w:rsidRPr="0055227C">
              <w:t>47.5%</w:t>
            </w:r>
          </w:p>
        </w:tc>
        <w:tc>
          <w:tcPr>
            <w:tcW w:w="1068" w:type="dxa"/>
            <w:tcBorders>
              <w:top w:val="single" w:sz="4" w:space="0" w:color="A6A6A6" w:themeColor="background1" w:themeShade="A6"/>
              <w:bottom w:val="single" w:sz="4" w:space="0" w:color="auto"/>
            </w:tcBorders>
          </w:tcPr>
          <w:p w:rsidR="00A16A93" w:rsidRPr="0055227C" w:rsidRDefault="00A16A93" w:rsidP="0055227C">
            <w:pPr>
              <w:pStyle w:val="TableText"/>
              <w:jc w:val="center"/>
            </w:pPr>
            <w:r w:rsidRPr="0055227C">
              <w:t>51.2%</w:t>
            </w:r>
          </w:p>
        </w:tc>
        <w:tc>
          <w:tcPr>
            <w:tcW w:w="1069" w:type="dxa"/>
            <w:tcBorders>
              <w:top w:val="single" w:sz="4" w:space="0" w:color="A6A6A6" w:themeColor="background1" w:themeShade="A6"/>
              <w:bottom w:val="single" w:sz="4" w:space="0" w:color="auto"/>
            </w:tcBorders>
          </w:tcPr>
          <w:p w:rsidR="00A16A93" w:rsidRPr="0055227C" w:rsidRDefault="00A16A93" w:rsidP="0055227C">
            <w:pPr>
              <w:pStyle w:val="TableText"/>
              <w:jc w:val="center"/>
            </w:pPr>
            <w:r w:rsidRPr="0055227C">
              <w:t>43.9%</w:t>
            </w:r>
          </w:p>
        </w:tc>
        <w:tc>
          <w:tcPr>
            <w:tcW w:w="3544" w:type="dxa"/>
            <w:tcBorders>
              <w:top w:val="single" w:sz="4" w:space="0" w:color="A6A6A6" w:themeColor="background1" w:themeShade="A6"/>
              <w:bottom w:val="single" w:sz="4" w:space="0" w:color="auto"/>
            </w:tcBorders>
          </w:tcPr>
          <w:p w:rsidR="00A16A93" w:rsidRPr="0055227C" w:rsidRDefault="00A16A93" w:rsidP="0055227C">
            <w:pPr>
              <w:pStyle w:val="TableText"/>
              <w:tabs>
                <w:tab w:val="decimal" w:pos="1361"/>
              </w:tabs>
            </w:pPr>
            <w:r w:rsidRPr="0055227C">
              <w:t>66,000</w:t>
            </w:r>
            <w:r w:rsidR="0055227C">
              <w:t xml:space="preserve"> </w:t>
            </w:r>
            <w:r w:rsidRPr="0055227C">
              <w:t>(59,000–74,000)</w:t>
            </w:r>
          </w:p>
        </w:tc>
      </w:tr>
    </w:tbl>
    <w:p w:rsidR="00A16A93" w:rsidRPr="00A16A93" w:rsidRDefault="00A16A93" w:rsidP="006A4849">
      <w:pPr>
        <w:pStyle w:val="Source"/>
        <w:rPr>
          <w:rFonts w:cs="Arial"/>
        </w:rPr>
      </w:pPr>
      <w:r w:rsidRPr="00A16A93">
        <w:rPr>
          <w:rFonts w:cs="Arial"/>
        </w:rPr>
        <w:t xml:space="preserve">Source: </w:t>
      </w:r>
      <w:hyperlink r:id="rId62" w:history="1">
        <w:r w:rsidRPr="00A16A93">
          <w:rPr>
            <w:rStyle w:val="Hyperlink"/>
            <w:rFonts w:cs="Arial"/>
          </w:rPr>
          <w:t>Ministry of Health 2016d</w:t>
        </w:r>
      </w:hyperlink>
    </w:p>
    <w:p w:rsidR="00A16A93" w:rsidRPr="00A16A93" w:rsidRDefault="00A16A93" w:rsidP="006A4849">
      <w:pPr>
        <w:pStyle w:val="Note"/>
      </w:pPr>
      <w:r w:rsidRPr="00A16A93">
        <w:t>Note:</w:t>
      </w:r>
      <w:r w:rsidR="006A4849">
        <w:t xml:space="preserve"> </w:t>
      </w:r>
      <w:r w:rsidRPr="00A16A93">
        <w:t xml:space="preserve">The estimated number of children in each group who usually use active transport to get to and from school has been rounded to the nearest 1,000. For more information on how these numbers are calculated, please see section 7 of </w:t>
      </w:r>
      <w:hyperlink r:id="rId63" w:history="1">
        <w:r w:rsidRPr="006A4849">
          <w:rPr>
            <w:rStyle w:val="Hyperlink"/>
          </w:rPr>
          <w:t>Ministry of Health 2016b</w:t>
        </w:r>
      </w:hyperlink>
      <w:r w:rsidRPr="00A16A93">
        <w:t>.</w:t>
      </w:r>
    </w:p>
    <w:p w:rsidR="00A16A93" w:rsidRPr="00A16A93" w:rsidRDefault="00A16A93" w:rsidP="006A4849"/>
    <w:p w:rsidR="00A16A93" w:rsidRPr="00A16A93" w:rsidRDefault="00A16A93" w:rsidP="006A4849">
      <w:pPr>
        <w:pStyle w:val="Figure"/>
      </w:pPr>
      <w:bookmarkStart w:id="87" w:name="_Toc480534279"/>
      <w:r w:rsidRPr="00A16A93">
        <w:lastRenderedPageBreak/>
        <w:t>Figure 9: Percentage of children (aged 5–14 years) who usually use active transport (eg, walk, bike or skate) to get to and from school, 2011/12–2015/16</w:t>
      </w:r>
      <w:bookmarkEnd w:id="87"/>
    </w:p>
    <w:p w:rsidR="00A16A93" w:rsidRPr="00660BDA" w:rsidRDefault="00A16A93" w:rsidP="00A16A93">
      <w:r w:rsidRPr="00A16A93">
        <w:rPr>
          <w:rFonts w:ascii="Arial" w:hAnsi="Arial" w:cs="Arial"/>
          <w:noProof/>
          <w:lang w:eastAsia="en-NZ"/>
        </w:rPr>
        <w:drawing>
          <wp:inline distT="0" distB="0" distL="0" distR="0" wp14:anchorId="180AE810" wp14:editId="757560E9">
            <wp:extent cx="4671752" cy="2725189"/>
            <wp:effectExtent l="0" t="0" r="0" b="0"/>
            <wp:docPr id="13" name="Chart 13" title="Figure 9: Percentage of children (aged 5–14 years) who usually use active transport (eg, walk, bike or skate) to get to and from school, 2011/12–201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A4849" w:rsidRDefault="00A16A93" w:rsidP="006A4849">
      <w:pPr>
        <w:pStyle w:val="Source"/>
        <w:rPr>
          <w:rFonts w:cs="Arial"/>
        </w:rPr>
      </w:pPr>
      <w:r w:rsidRPr="00A16A93">
        <w:rPr>
          <w:rFonts w:cs="Arial"/>
        </w:rPr>
        <w:t xml:space="preserve">Source: </w:t>
      </w:r>
      <w:hyperlink r:id="rId65" w:history="1">
        <w:r w:rsidRPr="00A16A93">
          <w:rPr>
            <w:rStyle w:val="Hyperlink"/>
            <w:rFonts w:cs="Arial"/>
          </w:rPr>
          <w:t>Ministry of Health 2016d</w:t>
        </w:r>
      </w:hyperlink>
    </w:p>
    <w:p w:rsidR="006A4849" w:rsidRDefault="006A4849" w:rsidP="00660BDA"/>
    <w:p w:rsidR="008F5617" w:rsidRDefault="008F5617" w:rsidP="008F5617">
      <w:bookmarkStart w:id="88" w:name="_Toc480457781"/>
      <w:bookmarkStart w:id="89" w:name="_Toc480534244"/>
      <w:r>
        <w:br w:type="page"/>
      </w:r>
    </w:p>
    <w:p w:rsidR="00A16A93" w:rsidRPr="00A16A93" w:rsidRDefault="00A16A93" w:rsidP="008F5617">
      <w:pPr>
        <w:pStyle w:val="Heading2"/>
        <w:spacing w:before="0"/>
      </w:pPr>
      <w:r w:rsidRPr="00A16A93">
        <w:lastRenderedPageBreak/>
        <w:t>Indicator 10: Use of a bicycle</w:t>
      </w:r>
      <w:bookmarkEnd w:id="88"/>
      <w:bookmarkEnd w:id="89"/>
    </w:p>
    <w:p w:rsidR="00A16A93" w:rsidRPr="00A16A93" w:rsidRDefault="00A16A93" w:rsidP="006A4849">
      <w:pPr>
        <w:pStyle w:val="Heading3"/>
      </w:pPr>
      <w:bookmarkStart w:id="90" w:name="_Toc480457782"/>
      <w:r w:rsidRPr="00A16A93">
        <w:t>Description</w:t>
      </w:r>
      <w:bookmarkEnd w:id="90"/>
    </w:p>
    <w:p w:rsidR="00A16A93" w:rsidRPr="00A16A93" w:rsidRDefault="00A16A93" w:rsidP="006A4849">
      <w:r w:rsidRPr="00A16A93">
        <w:t>The health benefits of regular cycling include increased cardiovascular fitness, increased muscle strength and flexibility, improved joint mobility, improved posture and coordination and decreased body fat levels.</w:t>
      </w:r>
    </w:p>
    <w:p w:rsidR="006A4849" w:rsidRDefault="006A4849" w:rsidP="006A4849"/>
    <w:p w:rsidR="00A16A93" w:rsidRPr="00A16A93" w:rsidRDefault="00A16A93" w:rsidP="006A4849">
      <w:r w:rsidRPr="00A16A93">
        <w:t>In New Zealand, nearly 70 percent of families/whānau have one or more bicycles at home (Ministry of Transport 2015), though we don’t know which family/whānau members own those bicycles, or how often they use them.</w:t>
      </w:r>
    </w:p>
    <w:p w:rsidR="006A4849" w:rsidRDefault="006A4849" w:rsidP="006A4849"/>
    <w:p w:rsidR="00A16A93" w:rsidRPr="00A16A93" w:rsidRDefault="00A16A93" w:rsidP="006A4849">
      <w:r w:rsidRPr="00A16A93">
        <w:t>This indicator will measure the:</w:t>
      </w:r>
    </w:p>
    <w:p w:rsidR="00A16A93" w:rsidRPr="00A16A93" w:rsidRDefault="00A16A93" w:rsidP="006A4849">
      <w:pPr>
        <w:pStyle w:val="Bullet"/>
      </w:pPr>
      <w:r w:rsidRPr="00A16A93">
        <w:t>percentage of children (aged 5–17 years) who have ridden a bicycle in the last week for sport, exercise or fun</w:t>
      </w:r>
    </w:p>
    <w:p w:rsidR="00A16A93" w:rsidRPr="00A16A93" w:rsidRDefault="00A16A93" w:rsidP="006A4849">
      <w:pPr>
        <w:pStyle w:val="Bullet"/>
      </w:pPr>
      <w:r w:rsidRPr="00A16A93">
        <w:t>average number of hours children (aged 5–17 years) spent riding a bicycle in the last week for sport, exercise or fun.</w:t>
      </w:r>
    </w:p>
    <w:p w:rsidR="00A16A93" w:rsidRPr="00A16A93" w:rsidRDefault="00A16A93" w:rsidP="006A4849"/>
    <w:p w:rsidR="00A16A93" w:rsidRPr="00A16A93" w:rsidRDefault="00A16A93" w:rsidP="006A4849">
      <w:pPr>
        <w:pStyle w:val="Heading3"/>
      </w:pPr>
      <w:bookmarkStart w:id="91" w:name="_Toc480457783"/>
      <w:r w:rsidRPr="00A16A93">
        <w:t>Baseline performance</w:t>
      </w:r>
      <w:bookmarkEnd w:id="91"/>
    </w:p>
    <w:p w:rsidR="006A4849" w:rsidRDefault="00A16A93" w:rsidP="006A4849">
      <w:r w:rsidRPr="00A16A93">
        <w:t xml:space="preserve">There is currently no baseline data available for this indicator. Sport New Zealand started collecting the data in January 2017 through its new Active New Zealand Survey. It is still finalising its reporting requirements and timeframes, but it is likely that the first results will be included in the first </w:t>
      </w:r>
      <w:r w:rsidRPr="00A16A93">
        <w:rPr>
          <w:i/>
        </w:rPr>
        <w:t>Children and young people living well and staying well monitoring</w:t>
      </w:r>
      <w:r w:rsidRPr="00A16A93">
        <w:t xml:space="preserve"> report.</w:t>
      </w:r>
    </w:p>
    <w:p w:rsidR="006A4849" w:rsidRDefault="006A4849" w:rsidP="006A4849"/>
    <w:p w:rsidR="008F5617" w:rsidRDefault="008F5617" w:rsidP="008F5617">
      <w:bookmarkStart w:id="92" w:name="_Toc480457784"/>
      <w:bookmarkStart w:id="93" w:name="_Toc480534245"/>
      <w:r>
        <w:br w:type="page"/>
      </w:r>
    </w:p>
    <w:p w:rsidR="00A16A93" w:rsidRPr="00A16A93" w:rsidRDefault="00A16A93" w:rsidP="008F5617">
      <w:pPr>
        <w:pStyle w:val="Heading2"/>
        <w:spacing w:before="0"/>
      </w:pPr>
      <w:r w:rsidRPr="00A16A93">
        <w:lastRenderedPageBreak/>
        <w:t>Indicator 11: Water in schools</w:t>
      </w:r>
      <w:bookmarkEnd w:id="92"/>
      <w:bookmarkEnd w:id="93"/>
    </w:p>
    <w:p w:rsidR="00A16A93" w:rsidRPr="00A16A93" w:rsidRDefault="00A16A93" w:rsidP="006A4849">
      <w:pPr>
        <w:pStyle w:val="Heading3"/>
      </w:pPr>
      <w:bookmarkStart w:id="94" w:name="_Toc480457785"/>
      <w:r w:rsidRPr="00A16A93">
        <w:t>Description</w:t>
      </w:r>
      <w:bookmarkEnd w:id="94"/>
    </w:p>
    <w:p w:rsidR="00A16A93" w:rsidRPr="00A16A93" w:rsidRDefault="00A16A93" w:rsidP="006A4849">
      <w:r w:rsidRPr="00A16A93">
        <w:t>The measure for this indicator is still under development.</w:t>
      </w:r>
    </w:p>
    <w:p w:rsidR="006A4849" w:rsidRDefault="006A4849" w:rsidP="006A4849"/>
    <w:p w:rsidR="00A16A93" w:rsidRPr="00A16A93" w:rsidRDefault="00A16A93" w:rsidP="006A4849">
      <w:r w:rsidRPr="00A16A93">
        <w:t>Several New Zealand schools have adopted water-only policies, meaning they have banned sugary drinks from their premises and only allow students to consume water and/or plain reduced-fat milk whilst at school.</w:t>
      </w:r>
    </w:p>
    <w:p w:rsidR="006A4849" w:rsidRDefault="006A4849" w:rsidP="006A4849"/>
    <w:p w:rsidR="00A16A93" w:rsidRPr="00A16A93" w:rsidRDefault="00A16A93" w:rsidP="006A4849">
      <w:r w:rsidRPr="00A16A93">
        <w:t>Studies have shown that poor nutrition and low levels of physical activity are associated with poorer academic performance (Cushman 2016; Miller et al 2013; Suhrcke and de Paz Nieves 2011). Encouraging children to drink water, rather than less healthy drink options (like fizzy drinks – see Indicator 6), is one way that schools can promote better nutrition.</w:t>
      </w:r>
    </w:p>
    <w:p w:rsidR="006A4849" w:rsidRDefault="006A4849" w:rsidP="006A4849"/>
    <w:p w:rsidR="00A16A93" w:rsidRPr="006A4849" w:rsidRDefault="00A16A93" w:rsidP="006A4849">
      <w:pPr>
        <w:rPr>
          <w:rFonts w:eastAsiaTheme="majorEastAsia"/>
        </w:rPr>
      </w:pPr>
      <w:r w:rsidRPr="00A16A93">
        <w:t>The Ministries of Education and Health encourage all schools to adopt water-only policies. Anecdotally, schools that have implemented water-only policies have seen benefits in teaching and learning as well as in students’ health and wellbeing.</w:t>
      </w:r>
    </w:p>
    <w:p w:rsidR="00A16A93" w:rsidRPr="00A16A93" w:rsidRDefault="00A16A93" w:rsidP="006A4849"/>
    <w:p w:rsidR="00A16A93" w:rsidRPr="00A16A93" w:rsidRDefault="00A16A93" w:rsidP="006A4849">
      <w:pPr>
        <w:pStyle w:val="Heading3"/>
      </w:pPr>
      <w:bookmarkStart w:id="95" w:name="_Toc480457786"/>
      <w:r w:rsidRPr="00A16A93">
        <w:t>Baseline performance</w:t>
      </w:r>
      <w:bookmarkEnd w:id="95"/>
    </w:p>
    <w:p w:rsidR="00A16A93" w:rsidRDefault="00A16A93" w:rsidP="006A4849">
      <w:r w:rsidRPr="00A16A93">
        <w:t>There is currently no baseline data available for this indicator, as the measure is still being developed by the Ministries of Education and Health.</w:t>
      </w:r>
    </w:p>
    <w:p w:rsidR="006A4849" w:rsidRPr="00A16A93" w:rsidRDefault="006A4849" w:rsidP="006A4849"/>
    <w:p w:rsidR="00A16A93" w:rsidRPr="00A16A93" w:rsidRDefault="00A16A93" w:rsidP="006307E0">
      <w:pPr>
        <w:pStyle w:val="Heading1"/>
      </w:pPr>
      <w:bookmarkStart w:id="96" w:name="_Toc480457787"/>
      <w:bookmarkStart w:id="97" w:name="_Toc480534246"/>
      <w:r w:rsidRPr="00A16A93">
        <w:lastRenderedPageBreak/>
        <w:t>Indicators 12–15: More children have improved health outcomes</w:t>
      </w:r>
      <w:bookmarkEnd w:id="96"/>
      <w:bookmarkEnd w:id="97"/>
    </w:p>
    <w:p w:rsidR="00A16A93" w:rsidRPr="00A16A93" w:rsidRDefault="00A16A93" w:rsidP="006A4849">
      <w:pPr>
        <w:pStyle w:val="Heading3"/>
      </w:pPr>
      <w:bookmarkStart w:id="98" w:name="_Toc480457788"/>
      <w:r w:rsidRPr="00A16A93">
        <w:t>Rationale and purpose</w:t>
      </w:r>
      <w:bookmarkEnd w:id="98"/>
    </w:p>
    <w:p w:rsidR="00A16A93" w:rsidRPr="00A16A93" w:rsidRDefault="00A16A93" w:rsidP="006A4849">
      <w:r w:rsidRPr="00A16A93">
        <w:t>Indicators 1–11 mainly focus on the drivers of childhood obesity, including physical activity, nutrition and the environments that our children live and play in. However, it’s important that we also look at the impact that the New Zealand Childhood Obesity Programme is having on obesity-related outcomes. The most common measure of obesity is body mass index, which indirectly measures the extent of a person’s fat tissue, or adiposity. However, there are other outcomes that we hope to influence with this programme that take more of a life-course approach, including rates of gestational diabetes and babies with high birth weights, both of which are linked to an increased risk of childhood obesity. We also want to know whether more children who are obese and their families/whānau are getting the support they need to achieve a healthy weight and to manage any clinical risk associated with obesity; the Raising Healthy Kids health target provides us with a good indication of whether this is happening.</w:t>
      </w:r>
    </w:p>
    <w:p w:rsidR="00A16A93" w:rsidRPr="00A16A93" w:rsidRDefault="00A16A93" w:rsidP="006A4849">
      <w:pPr>
        <w:rPr>
          <w:rFonts w:eastAsiaTheme="majorEastAsia"/>
        </w:rPr>
      </w:pPr>
    </w:p>
    <w:p w:rsidR="00A16A93" w:rsidRPr="00A16A93" w:rsidRDefault="00A16A93" w:rsidP="006A4849">
      <w:pPr>
        <w:pStyle w:val="Heading2"/>
      </w:pPr>
      <w:bookmarkStart w:id="99" w:name="_Toc480457789"/>
      <w:bookmarkStart w:id="100" w:name="_Toc480534247"/>
      <w:r w:rsidRPr="00A16A93">
        <w:lastRenderedPageBreak/>
        <w:t>Indicator 12: Body mass index</w:t>
      </w:r>
      <w:bookmarkEnd w:id="99"/>
      <w:bookmarkEnd w:id="100"/>
    </w:p>
    <w:p w:rsidR="00A16A93" w:rsidRPr="00A16A93" w:rsidRDefault="00A16A93" w:rsidP="006A4849">
      <w:pPr>
        <w:pStyle w:val="Heading3"/>
      </w:pPr>
      <w:bookmarkStart w:id="101" w:name="_Toc480457790"/>
      <w:r w:rsidRPr="00A16A93">
        <w:t>Description</w:t>
      </w:r>
      <w:bookmarkEnd w:id="101"/>
    </w:p>
    <w:p w:rsidR="00A16A93" w:rsidRPr="00A16A93" w:rsidRDefault="00A16A93" w:rsidP="0091682C">
      <w:pPr>
        <w:keepNext/>
      </w:pPr>
      <w:r w:rsidRPr="00A16A93">
        <w:rPr>
          <w:rFonts w:eastAsiaTheme="minorEastAsia"/>
        </w:rPr>
        <w:t xml:space="preserve">This indicator measures the </w:t>
      </w:r>
      <w:r w:rsidRPr="00A16A93">
        <w:t>percentage of children (aged 2–14 years) with a body mass index (BMI) that indicates they are thin, a healthy weight, overweight (but not obese) or obese.</w:t>
      </w:r>
    </w:p>
    <w:p w:rsidR="00A16A93" w:rsidRPr="00A16A93" w:rsidRDefault="00A16A93" w:rsidP="0091682C">
      <w:pPr>
        <w:keepNext/>
      </w:pPr>
    </w:p>
    <w:p w:rsidR="00A16A93" w:rsidRPr="00A16A93" w:rsidRDefault="00A16A93" w:rsidP="0091682C">
      <w:pPr>
        <w:keepNext/>
      </w:pPr>
      <w:r w:rsidRPr="00A16A93">
        <w:t>Health practitioners use BMI to give an indirect measure of whether a person is underweight, overweight or an ideal weight for their height. BMI is calculated by dividing a person’s weight (in kilograms) by their height (in centimetres) squared. Age- and sex-specific centiles are used, because body composition changes with normal growth and maturation, and varies by sex.</w:t>
      </w:r>
    </w:p>
    <w:p w:rsidR="00A16A93" w:rsidRPr="00A16A93" w:rsidRDefault="00A16A93" w:rsidP="0091682C">
      <w:pPr>
        <w:keepNext/>
      </w:pPr>
    </w:p>
    <w:p w:rsidR="00A16A93" w:rsidRPr="00A16A93" w:rsidRDefault="00A16A93" w:rsidP="0091682C">
      <w:pPr>
        <w:keepNext/>
      </w:pPr>
      <w:r w:rsidRPr="00A16A93">
        <w:rPr>
          <w:rFonts w:eastAsia="Century"/>
        </w:rPr>
        <w:t xml:space="preserve">If a child’s BMI is between the 91st and 98th centiles (ie, between 91.1 and ≤98.0) health practitioners should discuss the associated health risks </w:t>
      </w:r>
      <w:r w:rsidRPr="00A16A93">
        <w:t>with the child’s family/whānau and offer brief nutrition and lifestyle advice. If a child’s BMI is over the 98th centile (ie, ≥98.1), health practitioners should:</w:t>
      </w:r>
    </w:p>
    <w:p w:rsidR="00A16A93" w:rsidRPr="00A16A93" w:rsidRDefault="00A16A93" w:rsidP="0091682C">
      <w:pPr>
        <w:pStyle w:val="Bullet"/>
        <w:keepNext/>
      </w:pPr>
      <w:r w:rsidRPr="00A16A93">
        <w:t>discuss the associated health risks with the child’s family/whānau</w:t>
      </w:r>
    </w:p>
    <w:p w:rsidR="00A16A93" w:rsidRPr="00A16A93" w:rsidRDefault="00A16A93" w:rsidP="0091682C">
      <w:pPr>
        <w:pStyle w:val="Bullet"/>
        <w:keepNext/>
      </w:pPr>
      <w:r w:rsidRPr="00A16A93">
        <w:t>take a full history and do a clinical examination</w:t>
      </w:r>
    </w:p>
    <w:p w:rsidR="00A16A93" w:rsidRPr="00A16A93" w:rsidRDefault="00A16A93" w:rsidP="0091682C">
      <w:pPr>
        <w:pStyle w:val="Bullet"/>
        <w:keepNext/>
      </w:pPr>
      <w:r w:rsidRPr="00A16A93">
        <w:t>consider referral to a multi-disciplinary team, appropriate specialist or specialist services (eg, a paediatrician or dietician) (</w:t>
      </w:r>
      <w:hyperlink r:id="rId66" w:history="1">
        <w:r w:rsidRPr="006A4849">
          <w:rPr>
            <w:rStyle w:val="Hyperlink"/>
          </w:rPr>
          <w:t>Ministry of Health 2016a</w:t>
        </w:r>
      </w:hyperlink>
      <w:r w:rsidRPr="00A16A93">
        <w:t>).</w:t>
      </w:r>
    </w:p>
    <w:p w:rsidR="00A16A93" w:rsidRPr="00A16A93" w:rsidRDefault="00A16A93" w:rsidP="0091682C">
      <w:pPr>
        <w:keepNext/>
        <w:rPr>
          <w:rFonts w:eastAsiaTheme="minorEastAsia"/>
        </w:rPr>
      </w:pPr>
    </w:p>
    <w:p w:rsidR="00A16A93" w:rsidRPr="00A16A93" w:rsidRDefault="00A16A93" w:rsidP="0091682C">
      <w:pPr>
        <w:pStyle w:val="Heading3"/>
      </w:pPr>
      <w:bookmarkStart w:id="102" w:name="_Toc480457791"/>
      <w:r w:rsidRPr="00A16A93">
        <w:t>Baseline performance</w:t>
      </w:r>
      <w:bookmarkEnd w:id="102"/>
    </w:p>
    <w:p w:rsidR="00A16A93" w:rsidRPr="00A16A93" w:rsidRDefault="00A16A93" w:rsidP="0091682C">
      <w:pPr>
        <w:keepNext/>
      </w:pPr>
      <w:r w:rsidRPr="00A16A93">
        <w:t>The baseline data presented in this report comes from the 2015/16 New Zealand Health Survey. The results have been broken down by age group, ethnic group and neighbourhood deprivation quintile.</w:t>
      </w:r>
    </w:p>
    <w:p w:rsidR="00A16A93" w:rsidRPr="00A16A93" w:rsidRDefault="00A16A93" w:rsidP="0091682C">
      <w:pPr>
        <w:keepNext/>
      </w:pPr>
    </w:p>
    <w:p w:rsidR="00A16A93" w:rsidRPr="00A16A93" w:rsidRDefault="00A16A93" w:rsidP="006A4849">
      <w:r w:rsidRPr="00A16A93">
        <w:t>The 2015/16 New Zealand Health Survey used the revised International Obesity Task Force (IOTF) BMI reference values to classify children as either overweight or obese (Cole and Lobstein 2012). The IOTF cut-off points are sex- and age-specific, and designed to coincide with the World Health Organization’s adult BMI cut-off points. The BMI cut-off points that were used in the 2015/16 health survey were as follows.</w:t>
      </w:r>
    </w:p>
    <w:p w:rsidR="00A16A93" w:rsidRPr="00A16A93" w:rsidRDefault="00A16A93" w:rsidP="006A4849">
      <w:pPr>
        <w:pStyle w:val="Bullet"/>
      </w:pPr>
      <w:r w:rsidRPr="00A16A93">
        <w:t>Thin</w:t>
      </w:r>
      <w:r w:rsidRPr="006A4849">
        <w:rPr>
          <w:rStyle w:val="FootnoteReference"/>
        </w:rPr>
        <w:footnoteReference w:id="2"/>
      </w:r>
      <w:r w:rsidRPr="00A16A93">
        <w:t xml:space="preserve"> = equivalent to a BMI of 18.5 or lower in adults</w:t>
      </w:r>
    </w:p>
    <w:p w:rsidR="00A16A93" w:rsidRPr="00A16A93" w:rsidRDefault="00A16A93" w:rsidP="006A4849">
      <w:pPr>
        <w:pStyle w:val="Bullet"/>
      </w:pPr>
      <w:r w:rsidRPr="00A16A93">
        <w:t>Healthy weight = equivalent to a BMI between 18.5 and 24.9 in adults</w:t>
      </w:r>
    </w:p>
    <w:p w:rsidR="00A16A93" w:rsidRPr="00A16A93" w:rsidRDefault="00A16A93" w:rsidP="006A4849">
      <w:pPr>
        <w:pStyle w:val="Bullet"/>
      </w:pPr>
      <w:r w:rsidRPr="00A16A93">
        <w:t>Overweight but not obese = equivalent to a BMI between 25.0 and 29.9 in adults</w:t>
      </w:r>
    </w:p>
    <w:p w:rsidR="00A16A93" w:rsidRPr="00A16A93" w:rsidRDefault="00A16A93" w:rsidP="006A4849">
      <w:pPr>
        <w:pStyle w:val="Bullet"/>
      </w:pPr>
      <w:r w:rsidRPr="00A16A93">
        <w:t>Obese = equivalent to a BMI of 30.0 or greater in adults.</w:t>
      </w:r>
    </w:p>
    <w:p w:rsidR="00A16A93" w:rsidRPr="00A16A93" w:rsidRDefault="00A16A93" w:rsidP="006A4849"/>
    <w:p w:rsidR="00A16A93" w:rsidRPr="00A16A93" w:rsidRDefault="00A16A93" w:rsidP="006A4849">
      <w:r w:rsidRPr="00A16A93">
        <w:t xml:space="preserve">From 2016/17, the New Zealand Health Survey will use the New Zealand/World Health Organization BMI definitions, which have been developed for New Zealand children specifically. These definitions will align with those used for the Raising Healthy Kids health target. Because of this change, the results presented in the first </w:t>
      </w:r>
      <w:r w:rsidRPr="00A16A93">
        <w:rPr>
          <w:i/>
        </w:rPr>
        <w:t>Children and young people living well and staying well</w:t>
      </w:r>
      <w:r w:rsidRPr="00A16A93">
        <w:t xml:space="preserve"> monitoring report may show higher rates of childhood obesity than at baseline.</w:t>
      </w:r>
    </w:p>
    <w:p w:rsidR="00A16A93" w:rsidRPr="00A16A93" w:rsidRDefault="00A16A93" w:rsidP="006A4849"/>
    <w:p w:rsidR="0091682C" w:rsidRDefault="0091682C" w:rsidP="006A4849">
      <w:pPr>
        <w:pStyle w:val="Table"/>
        <w:sectPr w:rsidR="0091682C" w:rsidSect="009D5125">
          <w:headerReference w:type="default" r:id="rId67"/>
          <w:footerReference w:type="default" r:id="rId68"/>
          <w:pgSz w:w="11907" w:h="16834" w:code="9"/>
          <w:pgMar w:top="851" w:right="1134" w:bottom="1134" w:left="1134" w:header="284" w:footer="567" w:gutter="284"/>
          <w:pgNumType w:start="1"/>
          <w:cols w:space="720"/>
        </w:sectPr>
      </w:pPr>
      <w:bookmarkStart w:id="103" w:name="_Toc480534263"/>
    </w:p>
    <w:p w:rsidR="00A16A93" w:rsidRPr="00A16A93" w:rsidRDefault="00A16A93" w:rsidP="00504C41">
      <w:pPr>
        <w:pStyle w:val="Table"/>
        <w:spacing w:before="0" w:after="60"/>
      </w:pPr>
      <w:r w:rsidRPr="00A16A93">
        <w:lastRenderedPageBreak/>
        <w:t>Table 11: Number and percentage of children (aged 2–14 years) with a body mass index that indicates they are thin, a healthy weight, overweight but not obese, overweight or obese, or obese, by group, 2015/16</w:t>
      </w:r>
      <w:bookmarkEnd w:id="103"/>
    </w:p>
    <w:tbl>
      <w:tblPr>
        <w:tblW w:w="0" w:type="auto"/>
        <w:tblInd w:w="57" w:type="dxa"/>
        <w:tblLayout w:type="fixed"/>
        <w:tblCellMar>
          <w:left w:w="57" w:type="dxa"/>
          <w:right w:w="57" w:type="dxa"/>
        </w:tblCellMar>
        <w:tblLook w:val="04A0" w:firstRow="1" w:lastRow="0" w:firstColumn="1" w:lastColumn="0" w:noHBand="0" w:noVBand="1"/>
      </w:tblPr>
      <w:tblGrid>
        <w:gridCol w:w="1985"/>
        <w:gridCol w:w="1134"/>
        <w:gridCol w:w="2020"/>
        <w:gridCol w:w="1098"/>
        <w:gridCol w:w="2056"/>
        <w:gridCol w:w="1205"/>
        <w:gridCol w:w="1949"/>
        <w:gridCol w:w="1169"/>
        <w:gridCol w:w="1985"/>
      </w:tblGrid>
      <w:tr w:rsidR="0091682C" w:rsidRPr="0091682C" w:rsidTr="000C1264">
        <w:trPr>
          <w:cantSplit/>
          <w:tblHeader/>
        </w:trPr>
        <w:tc>
          <w:tcPr>
            <w:tcW w:w="1985" w:type="dxa"/>
            <w:vMerge w:val="restart"/>
            <w:tcBorders>
              <w:top w:val="single" w:sz="4" w:space="0" w:color="auto"/>
              <w:right w:val="single" w:sz="4" w:space="0" w:color="A6A6A6" w:themeColor="background1" w:themeShade="A6"/>
            </w:tcBorders>
          </w:tcPr>
          <w:p w:rsidR="0091682C" w:rsidRPr="0091682C" w:rsidRDefault="0091682C" w:rsidP="00504C41">
            <w:pPr>
              <w:pStyle w:val="TableText"/>
              <w:keepNext/>
              <w:spacing w:before="30" w:after="30"/>
              <w:rPr>
                <w:b/>
              </w:rPr>
            </w:pPr>
          </w:p>
        </w:tc>
        <w:tc>
          <w:tcPr>
            <w:tcW w:w="3154" w:type="dxa"/>
            <w:gridSpan w:val="2"/>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rsidR="0091682C" w:rsidRPr="0091682C" w:rsidRDefault="0091682C" w:rsidP="00504C41">
            <w:pPr>
              <w:pStyle w:val="TableText"/>
              <w:keepNext/>
              <w:spacing w:before="30" w:after="30"/>
              <w:jc w:val="center"/>
              <w:rPr>
                <w:b/>
              </w:rPr>
            </w:pPr>
            <w:r w:rsidRPr="0091682C">
              <w:rPr>
                <w:b/>
              </w:rPr>
              <w:t>Thin</w:t>
            </w:r>
          </w:p>
        </w:tc>
        <w:tc>
          <w:tcPr>
            <w:tcW w:w="3154" w:type="dxa"/>
            <w:gridSpan w:val="2"/>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rsidR="0091682C" w:rsidRPr="0091682C" w:rsidRDefault="0091682C" w:rsidP="00504C41">
            <w:pPr>
              <w:pStyle w:val="TableText"/>
              <w:keepNext/>
              <w:spacing w:before="30" w:after="30"/>
              <w:jc w:val="center"/>
              <w:rPr>
                <w:b/>
              </w:rPr>
            </w:pPr>
            <w:r w:rsidRPr="0091682C">
              <w:rPr>
                <w:b/>
              </w:rPr>
              <w:t>Healthy weight</w:t>
            </w:r>
          </w:p>
        </w:tc>
        <w:tc>
          <w:tcPr>
            <w:tcW w:w="3154" w:type="dxa"/>
            <w:gridSpan w:val="2"/>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rsidR="0091682C" w:rsidRPr="0091682C" w:rsidRDefault="0091682C" w:rsidP="00504C41">
            <w:pPr>
              <w:pStyle w:val="TableText"/>
              <w:keepNext/>
              <w:spacing w:before="30" w:after="30"/>
              <w:jc w:val="center"/>
              <w:rPr>
                <w:b/>
              </w:rPr>
            </w:pPr>
            <w:r w:rsidRPr="0091682C">
              <w:rPr>
                <w:b/>
              </w:rPr>
              <w:t>Overweight</w:t>
            </w:r>
            <w:r w:rsidR="000C1264">
              <w:rPr>
                <w:b/>
              </w:rPr>
              <w:br/>
            </w:r>
            <w:r w:rsidRPr="0091682C">
              <w:rPr>
                <w:b/>
              </w:rPr>
              <w:t>(excl</w:t>
            </w:r>
            <w:r>
              <w:rPr>
                <w:b/>
              </w:rPr>
              <w:t>uding</w:t>
            </w:r>
            <w:r w:rsidRPr="0091682C">
              <w:rPr>
                <w:b/>
              </w:rPr>
              <w:t xml:space="preserve"> obese children)</w:t>
            </w:r>
          </w:p>
        </w:tc>
        <w:tc>
          <w:tcPr>
            <w:tcW w:w="3154" w:type="dxa"/>
            <w:gridSpan w:val="2"/>
            <w:tcBorders>
              <w:top w:val="single" w:sz="4" w:space="0" w:color="auto"/>
              <w:left w:val="single" w:sz="4" w:space="0" w:color="A6A6A6" w:themeColor="background1" w:themeShade="A6"/>
              <w:bottom w:val="single" w:sz="4" w:space="0" w:color="A6A6A6" w:themeColor="background1" w:themeShade="A6"/>
            </w:tcBorders>
          </w:tcPr>
          <w:p w:rsidR="0091682C" w:rsidRPr="0091682C" w:rsidRDefault="0091682C" w:rsidP="00504C41">
            <w:pPr>
              <w:pStyle w:val="TableText"/>
              <w:keepNext/>
              <w:spacing w:before="30" w:after="30"/>
              <w:jc w:val="center"/>
              <w:rPr>
                <w:b/>
              </w:rPr>
            </w:pPr>
            <w:r w:rsidRPr="0091682C">
              <w:rPr>
                <w:b/>
              </w:rPr>
              <w:t>Obese</w:t>
            </w:r>
          </w:p>
        </w:tc>
      </w:tr>
      <w:tr w:rsidR="0091682C" w:rsidRPr="0091682C" w:rsidTr="000C1264">
        <w:trPr>
          <w:cantSplit/>
          <w:tblHeader/>
        </w:trPr>
        <w:tc>
          <w:tcPr>
            <w:tcW w:w="1985" w:type="dxa"/>
            <w:vMerge/>
            <w:tcBorders>
              <w:bottom w:val="single" w:sz="4" w:space="0" w:color="auto"/>
              <w:right w:val="single" w:sz="4" w:space="0" w:color="A6A6A6" w:themeColor="background1" w:themeShade="A6"/>
            </w:tcBorders>
          </w:tcPr>
          <w:p w:rsidR="0091682C" w:rsidRPr="0091682C" w:rsidRDefault="0091682C" w:rsidP="00504C41">
            <w:pPr>
              <w:pStyle w:val="TableText"/>
              <w:spacing w:before="30" w:after="30"/>
              <w:rPr>
                <w:b/>
              </w:rPr>
            </w:pPr>
          </w:p>
        </w:tc>
        <w:tc>
          <w:tcPr>
            <w:tcW w:w="1134" w:type="dxa"/>
            <w:tcBorders>
              <w:top w:val="single" w:sz="4" w:space="0" w:color="A6A6A6" w:themeColor="background1" w:themeShade="A6"/>
              <w:left w:val="single" w:sz="4" w:space="0" w:color="A6A6A6" w:themeColor="background1" w:themeShade="A6"/>
              <w:bottom w:val="single" w:sz="4" w:space="0" w:color="auto"/>
            </w:tcBorders>
          </w:tcPr>
          <w:p w:rsidR="0091682C" w:rsidRPr="0091682C" w:rsidRDefault="0091682C" w:rsidP="00504C41">
            <w:pPr>
              <w:pStyle w:val="TableText"/>
              <w:spacing w:before="30" w:after="30"/>
              <w:jc w:val="center"/>
              <w:rPr>
                <w:b/>
              </w:rPr>
            </w:pPr>
            <w:r w:rsidRPr="0091682C">
              <w:rPr>
                <w:b/>
              </w:rPr>
              <w:t>%</w:t>
            </w:r>
          </w:p>
        </w:tc>
        <w:tc>
          <w:tcPr>
            <w:tcW w:w="2020" w:type="dxa"/>
            <w:tcBorders>
              <w:top w:val="single" w:sz="4" w:space="0" w:color="A6A6A6" w:themeColor="background1" w:themeShade="A6"/>
              <w:bottom w:val="single" w:sz="4" w:space="0" w:color="auto"/>
              <w:right w:val="single" w:sz="4" w:space="0" w:color="A6A6A6" w:themeColor="background1" w:themeShade="A6"/>
            </w:tcBorders>
          </w:tcPr>
          <w:p w:rsidR="0091682C" w:rsidRPr="0091682C" w:rsidRDefault="0091682C" w:rsidP="00504C41">
            <w:pPr>
              <w:pStyle w:val="TableText"/>
              <w:spacing w:before="30" w:after="30"/>
              <w:jc w:val="center"/>
              <w:rPr>
                <w:b/>
              </w:rPr>
            </w:pPr>
            <w:r w:rsidRPr="0091682C">
              <w:rPr>
                <w:b/>
              </w:rPr>
              <w:t>Estimated number of children (95% CI)</w:t>
            </w:r>
          </w:p>
        </w:tc>
        <w:tc>
          <w:tcPr>
            <w:tcW w:w="1098" w:type="dxa"/>
            <w:tcBorders>
              <w:top w:val="single" w:sz="4" w:space="0" w:color="A6A6A6" w:themeColor="background1" w:themeShade="A6"/>
              <w:left w:val="single" w:sz="4" w:space="0" w:color="A6A6A6" w:themeColor="background1" w:themeShade="A6"/>
              <w:bottom w:val="single" w:sz="4" w:space="0" w:color="auto"/>
            </w:tcBorders>
          </w:tcPr>
          <w:p w:rsidR="0091682C" w:rsidRPr="0091682C" w:rsidRDefault="0091682C" w:rsidP="00504C41">
            <w:pPr>
              <w:pStyle w:val="TableText"/>
              <w:spacing w:before="30" w:after="30"/>
              <w:jc w:val="center"/>
              <w:rPr>
                <w:b/>
              </w:rPr>
            </w:pPr>
            <w:r w:rsidRPr="0091682C">
              <w:rPr>
                <w:b/>
              </w:rPr>
              <w:t>%</w:t>
            </w:r>
          </w:p>
        </w:tc>
        <w:tc>
          <w:tcPr>
            <w:tcW w:w="2056" w:type="dxa"/>
            <w:tcBorders>
              <w:top w:val="single" w:sz="4" w:space="0" w:color="A6A6A6" w:themeColor="background1" w:themeShade="A6"/>
              <w:bottom w:val="single" w:sz="4" w:space="0" w:color="auto"/>
              <w:right w:val="single" w:sz="4" w:space="0" w:color="A6A6A6" w:themeColor="background1" w:themeShade="A6"/>
            </w:tcBorders>
          </w:tcPr>
          <w:p w:rsidR="0091682C" w:rsidRPr="0091682C" w:rsidRDefault="0091682C" w:rsidP="00504C41">
            <w:pPr>
              <w:pStyle w:val="TableText"/>
              <w:spacing w:before="30" w:after="30"/>
              <w:jc w:val="center"/>
              <w:rPr>
                <w:b/>
              </w:rPr>
            </w:pPr>
            <w:r w:rsidRPr="0091682C">
              <w:rPr>
                <w:b/>
              </w:rPr>
              <w:t>Estimated number of children (95% CI)</w:t>
            </w:r>
          </w:p>
        </w:tc>
        <w:tc>
          <w:tcPr>
            <w:tcW w:w="1205" w:type="dxa"/>
            <w:tcBorders>
              <w:top w:val="single" w:sz="4" w:space="0" w:color="A6A6A6" w:themeColor="background1" w:themeShade="A6"/>
              <w:left w:val="single" w:sz="4" w:space="0" w:color="A6A6A6" w:themeColor="background1" w:themeShade="A6"/>
              <w:bottom w:val="single" w:sz="4" w:space="0" w:color="auto"/>
            </w:tcBorders>
          </w:tcPr>
          <w:p w:rsidR="0091682C" w:rsidRPr="0091682C" w:rsidRDefault="0091682C" w:rsidP="00504C41">
            <w:pPr>
              <w:pStyle w:val="TableText"/>
              <w:spacing w:before="30" w:after="30"/>
              <w:jc w:val="center"/>
              <w:rPr>
                <w:b/>
              </w:rPr>
            </w:pPr>
            <w:r w:rsidRPr="0091682C">
              <w:rPr>
                <w:b/>
              </w:rPr>
              <w:t>%</w:t>
            </w:r>
          </w:p>
        </w:tc>
        <w:tc>
          <w:tcPr>
            <w:tcW w:w="1949" w:type="dxa"/>
            <w:tcBorders>
              <w:top w:val="single" w:sz="4" w:space="0" w:color="A6A6A6" w:themeColor="background1" w:themeShade="A6"/>
              <w:bottom w:val="single" w:sz="4" w:space="0" w:color="auto"/>
              <w:right w:val="single" w:sz="4" w:space="0" w:color="A6A6A6" w:themeColor="background1" w:themeShade="A6"/>
            </w:tcBorders>
          </w:tcPr>
          <w:p w:rsidR="0091682C" w:rsidRPr="0091682C" w:rsidRDefault="0091682C" w:rsidP="00504C41">
            <w:pPr>
              <w:pStyle w:val="TableText"/>
              <w:spacing w:before="30" w:after="30"/>
              <w:jc w:val="center"/>
              <w:rPr>
                <w:b/>
              </w:rPr>
            </w:pPr>
            <w:r w:rsidRPr="0091682C">
              <w:rPr>
                <w:b/>
              </w:rPr>
              <w:t>Estimated number of children (95% CI)</w:t>
            </w:r>
          </w:p>
        </w:tc>
        <w:tc>
          <w:tcPr>
            <w:tcW w:w="1169" w:type="dxa"/>
            <w:tcBorders>
              <w:top w:val="single" w:sz="4" w:space="0" w:color="A6A6A6" w:themeColor="background1" w:themeShade="A6"/>
              <w:left w:val="single" w:sz="4" w:space="0" w:color="A6A6A6" w:themeColor="background1" w:themeShade="A6"/>
              <w:bottom w:val="single" w:sz="4" w:space="0" w:color="auto"/>
            </w:tcBorders>
          </w:tcPr>
          <w:p w:rsidR="0091682C" w:rsidRPr="0091682C" w:rsidRDefault="0091682C" w:rsidP="00504C41">
            <w:pPr>
              <w:pStyle w:val="TableText"/>
              <w:spacing w:before="30" w:after="30"/>
              <w:jc w:val="center"/>
              <w:rPr>
                <w:b/>
              </w:rPr>
            </w:pPr>
            <w:r w:rsidRPr="0091682C">
              <w:rPr>
                <w:b/>
              </w:rPr>
              <w:t>%</w:t>
            </w:r>
          </w:p>
        </w:tc>
        <w:tc>
          <w:tcPr>
            <w:tcW w:w="1985" w:type="dxa"/>
            <w:tcBorders>
              <w:top w:val="single" w:sz="4" w:space="0" w:color="A6A6A6" w:themeColor="background1" w:themeShade="A6"/>
              <w:bottom w:val="single" w:sz="4" w:space="0" w:color="auto"/>
            </w:tcBorders>
          </w:tcPr>
          <w:p w:rsidR="0091682C" w:rsidRPr="0091682C" w:rsidRDefault="0091682C" w:rsidP="00504C41">
            <w:pPr>
              <w:pStyle w:val="TableText"/>
              <w:spacing w:before="30" w:after="30"/>
              <w:jc w:val="center"/>
              <w:rPr>
                <w:b/>
              </w:rPr>
            </w:pPr>
            <w:r w:rsidRPr="0091682C">
              <w:rPr>
                <w:b/>
              </w:rPr>
              <w:t>Estimated number of children (95% CI)</w:t>
            </w:r>
          </w:p>
        </w:tc>
      </w:tr>
      <w:tr w:rsidR="0091682C" w:rsidRPr="00A16A93" w:rsidTr="000C1264">
        <w:trPr>
          <w:cantSplit/>
        </w:trPr>
        <w:tc>
          <w:tcPr>
            <w:tcW w:w="1985" w:type="dxa"/>
            <w:tcBorders>
              <w:top w:val="single" w:sz="4" w:space="0" w:color="auto"/>
              <w:bottom w:val="single" w:sz="4" w:space="0" w:color="A6A6A6" w:themeColor="background1" w:themeShade="A6"/>
              <w:right w:val="single" w:sz="4" w:space="0" w:color="A6A6A6" w:themeColor="background1" w:themeShade="A6"/>
            </w:tcBorders>
          </w:tcPr>
          <w:p w:rsidR="0091682C" w:rsidRPr="0091682C" w:rsidRDefault="0091682C" w:rsidP="00504C41">
            <w:pPr>
              <w:pStyle w:val="TableText"/>
              <w:spacing w:before="30" w:after="30"/>
              <w:rPr>
                <w:b/>
                <w:szCs w:val="18"/>
              </w:rPr>
            </w:pPr>
            <w:r w:rsidRPr="0091682C">
              <w:rPr>
                <w:b/>
                <w:szCs w:val="18"/>
              </w:rPr>
              <w:t>Population group</w:t>
            </w:r>
          </w:p>
        </w:tc>
        <w:tc>
          <w:tcPr>
            <w:tcW w:w="1134" w:type="dxa"/>
            <w:tcBorders>
              <w:top w:val="single" w:sz="4" w:space="0" w:color="auto"/>
              <w:left w:val="single" w:sz="4" w:space="0" w:color="A6A6A6" w:themeColor="background1" w:themeShade="A6"/>
              <w:bottom w:val="single" w:sz="4" w:space="0" w:color="A6A6A6" w:themeColor="background1" w:themeShade="A6"/>
            </w:tcBorders>
          </w:tcPr>
          <w:p w:rsidR="0091682C" w:rsidRPr="0091682C" w:rsidRDefault="0091682C" w:rsidP="00504C41">
            <w:pPr>
              <w:pStyle w:val="TableText"/>
              <w:spacing w:before="30" w:after="30"/>
              <w:jc w:val="center"/>
              <w:rPr>
                <w:szCs w:val="18"/>
              </w:rPr>
            </w:pPr>
          </w:p>
        </w:tc>
        <w:tc>
          <w:tcPr>
            <w:tcW w:w="2020" w:type="dxa"/>
            <w:tcBorders>
              <w:top w:val="single" w:sz="4" w:space="0" w:color="auto"/>
              <w:bottom w:val="single" w:sz="4" w:space="0" w:color="A6A6A6" w:themeColor="background1" w:themeShade="A6"/>
              <w:right w:val="single" w:sz="4" w:space="0" w:color="A6A6A6" w:themeColor="background1" w:themeShade="A6"/>
            </w:tcBorders>
          </w:tcPr>
          <w:p w:rsidR="0091682C" w:rsidRPr="0091682C" w:rsidRDefault="0091682C" w:rsidP="00504C41">
            <w:pPr>
              <w:pStyle w:val="TableText"/>
              <w:spacing w:before="30" w:after="30"/>
              <w:jc w:val="center"/>
              <w:rPr>
                <w:szCs w:val="18"/>
              </w:rPr>
            </w:pPr>
          </w:p>
        </w:tc>
        <w:tc>
          <w:tcPr>
            <w:tcW w:w="1098" w:type="dxa"/>
            <w:tcBorders>
              <w:top w:val="single" w:sz="4" w:space="0" w:color="auto"/>
              <w:left w:val="single" w:sz="4" w:space="0" w:color="A6A6A6" w:themeColor="background1" w:themeShade="A6"/>
              <w:bottom w:val="single" w:sz="4" w:space="0" w:color="A6A6A6" w:themeColor="background1" w:themeShade="A6"/>
            </w:tcBorders>
          </w:tcPr>
          <w:p w:rsidR="0091682C" w:rsidRPr="0091682C" w:rsidRDefault="0091682C" w:rsidP="00504C41">
            <w:pPr>
              <w:pStyle w:val="TableText"/>
              <w:spacing w:before="30" w:after="30"/>
              <w:jc w:val="center"/>
              <w:rPr>
                <w:szCs w:val="18"/>
              </w:rPr>
            </w:pPr>
          </w:p>
        </w:tc>
        <w:tc>
          <w:tcPr>
            <w:tcW w:w="2056" w:type="dxa"/>
            <w:tcBorders>
              <w:top w:val="single" w:sz="4" w:space="0" w:color="auto"/>
              <w:bottom w:val="single" w:sz="4" w:space="0" w:color="A6A6A6" w:themeColor="background1" w:themeShade="A6"/>
              <w:right w:val="single" w:sz="4" w:space="0" w:color="A6A6A6" w:themeColor="background1" w:themeShade="A6"/>
            </w:tcBorders>
          </w:tcPr>
          <w:p w:rsidR="0091682C" w:rsidRPr="0091682C" w:rsidRDefault="0091682C" w:rsidP="00504C41">
            <w:pPr>
              <w:pStyle w:val="TableText"/>
              <w:spacing w:before="30" w:after="30"/>
              <w:jc w:val="center"/>
              <w:rPr>
                <w:szCs w:val="18"/>
              </w:rPr>
            </w:pPr>
          </w:p>
        </w:tc>
        <w:tc>
          <w:tcPr>
            <w:tcW w:w="1205" w:type="dxa"/>
            <w:tcBorders>
              <w:top w:val="single" w:sz="4" w:space="0" w:color="auto"/>
              <w:left w:val="single" w:sz="4" w:space="0" w:color="A6A6A6" w:themeColor="background1" w:themeShade="A6"/>
              <w:bottom w:val="single" w:sz="4" w:space="0" w:color="A6A6A6" w:themeColor="background1" w:themeShade="A6"/>
            </w:tcBorders>
          </w:tcPr>
          <w:p w:rsidR="0091682C" w:rsidRPr="0091682C" w:rsidRDefault="0091682C" w:rsidP="00504C41">
            <w:pPr>
              <w:pStyle w:val="TableText"/>
              <w:spacing w:before="30" w:after="30"/>
              <w:jc w:val="center"/>
              <w:rPr>
                <w:szCs w:val="18"/>
              </w:rPr>
            </w:pPr>
          </w:p>
        </w:tc>
        <w:tc>
          <w:tcPr>
            <w:tcW w:w="1949" w:type="dxa"/>
            <w:tcBorders>
              <w:top w:val="single" w:sz="4" w:space="0" w:color="auto"/>
              <w:bottom w:val="single" w:sz="4" w:space="0" w:color="A6A6A6" w:themeColor="background1" w:themeShade="A6"/>
              <w:right w:val="single" w:sz="4" w:space="0" w:color="A6A6A6" w:themeColor="background1" w:themeShade="A6"/>
            </w:tcBorders>
          </w:tcPr>
          <w:p w:rsidR="0091682C" w:rsidRPr="0091682C" w:rsidRDefault="0091682C" w:rsidP="00504C41">
            <w:pPr>
              <w:pStyle w:val="TableText"/>
              <w:spacing w:before="30" w:after="30"/>
              <w:jc w:val="center"/>
              <w:rPr>
                <w:szCs w:val="18"/>
              </w:rPr>
            </w:pPr>
          </w:p>
        </w:tc>
        <w:tc>
          <w:tcPr>
            <w:tcW w:w="1169" w:type="dxa"/>
            <w:tcBorders>
              <w:top w:val="single" w:sz="4" w:space="0" w:color="auto"/>
              <w:left w:val="single" w:sz="4" w:space="0" w:color="A6A6A6" w:themeColor="background1" w:themeShade="A6"/>
              <w:bottom w:val="single" w:sz="4" w:space="0" w:color="A6A6A6" w:themeColor="background1" w:themeShade="A6"/>
            </w:tcBorders>
          </w:tcPr>
          <w:p w:rsidR="0091682C" w:rsidRPr="0091682C" w:rsidRDefault="0091682C" w:rsidP="00504C41">
            <w:pPr>
              <w:pStyle w:val="TableText"/>
              <w:tabs>
                <w:tab w:val="decimal" w:pos="567"/>
              </w:tabs>
              <w:spacing w:before="30" w:after="30"/>
              <w:rPr>
                <w:szCs w:val="18"/>
              </w:rPr>
            </w:pPr>
          </w:p>
        </w:tc>
        <w:tc>
          <w:tcPr>
            <w:tcW w:w="1985" w:type="dxa"/>
            <w:tcBorders>
              <w:top w:val="single" w:sz="4" w:space="0" w:color="auto"/>
              <w:bottom w:val="single" w:sz="4" w:space="0" w:color="A6A6A6" w:themeColor="background1" w:themeShade="A6"/>
            </w:tcBorders>
          </w:tcPr>
          <w:p w:rsidR="0091682C" w:rsidRPr="0091682C" w:rsidRDefault="0091682C" w:rsidP="00504C41">
            <w:pPr>
              <w:pStyle w:val="TableText"/>
              <w:spacing w:before="30" w:after="30"/>
              <w:jc w:val="center"/>
              <w:rPr>
                <w:szCs w:val="18"/>
              </w:rPr>
            </w:pPr>
          </w:p>
        </w:tc>
      </w:tr>
      <w:tr w:rsidR="00947CC3" w:rsidRPr="00A16A93" w:rsidTr="000C1264">
        <w:trPr>
          <w:cantSplit/>
        </w:trPr>
        <w:tc>
          <w:tcPr>
            <w:tcW w:w="1985" w:type="dxa"/>
            <w:tcBorders>
              <w:top w:val="single" w:sz="4" w:space="0" w:color="A6A6A6" w:themeColor="background1" w:themeShade="A6"/>
              <w:bottom w:val="single" w:sz="4" w:space="0" w:color="auto"/>
              <w:right w:val="single" w:sz="4" w:space="0" w:color="A6A6A6" w:themeColor="background1" w:themeShade="A6"/>
            </w:tcBorders>
          </w:tcPr>
          <w:p w:rsidR="00A16A93" w:rsidRPr="0091682C" w:rsidRDefault="00A16A93" w:rsidP="00504C41">
            <w:pPr>
              <w:pStyle w:val="TableText"/>
              <w:spacing w:before="30" w:after="30"/>
              <w:rPr>
                <w:szCs w:val="18"/>
              </w:rPr>
            </w:pPr>
            <w:r w:rsidRPr="0091682C">
              <w:rPr>
                <w:szCs w:val="18"/>
              </w:rPr>
              <w:t>Total</w:t>
            </w:r>
          </w:p>
        </w:tc>
        <w:tc>
          <w:tcPr>
            <w:tcW w:w="1134" w:type="dxa"/>
            <w:tcBorders>
              <w:top w:val="single" w:sz="4" w:space="0" w:color="A6A6A6" w:themeColor="background1" w:themeShade="A6"/>
              <w:left w:val="single" w:sz="4" w:space="0" w:color="A6A6A6" w:themeColor="background1" w:themeShade="A6"/>
              <w:bottom w:val="single" w:sz="4" w:space="0" w:color="auto"/>
            </w:tcBorders>
          </w:tcPr>
          <w:p w:rsidR="00A16A93" w:rsidRPr="0091682C" w:rsidRDefault="00A16A93" w:rsidP="00504C41">
            <w:pPr>
              <w:pStyle w:val="TableText"/>
              <w:spacing w:before="30" w:after="30"/>
              <w:jc w:val="center"/>
              <w:rPr>
                <w:szCs w:val="18"/>
              </w:rPr>
            </w:pPr>
            <w:r w:rsidRPr="0091682C">
              <w:rPr>
                <w:szCs w:val="18"/>
              </w:rPr>
              <w:t>4.3%</w:t>
            </w:r>
          </w:p>
        </w:tc>
        <w:tc>
          <w:tcPr>
            <w:tcW w:w="2020" w:type="dxa"/>
            <w:tcBorders>
              <w:top w:val="single" w:sz="4" w:space="0" w:color="A6A6A6" w:themeColor="background1" w:themeShade="A6"/>
              <w:bottom w:val="single" w:sz="4" w:space="0" w:color="auto"/>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34,000</w:t>
            </w:r>
            <w:r w:rsidR="0091682C">
              <w:rPr>
                <w:szCs w:val="18"/>
              </w:rPr>
              <w:br/>
            </w:r>
            <w:r w:rsidRPr="0091682C">
              <w:rPr>
                <w:szCs w:val="18"/>
              </w:rPr>
              <w:t>(28,000–42,000)</w:t>
            </w:r>
          </w:p>
        </w:tc>
        <w:tc>
          <w:tcPr>
            <w:tcW w:w="1098" w:type="dxa"/>
            <w:tcBorders>
              <w:top w:val="single" w:sz="4" w:space="0" w:color="A6A6A6" w:themeColor="background1" w:themeShade="A6"/>
              <w:left w:val="single" w:sz="4" w:space="0" w:color="A6A6A6" w:themeColor="background1" w:themeShade="A6"/>
              <w:bottom w:val="single" w:sz="4" w:space="0" w:color="auto"/>
            </w:tcBorders>
          </w:tcPr>
          <w:p w:rsidR="00A16A93" w:rsidRPr="0091682C" w:rsidRDefault="00A16A93" w:rsidP="00504C41">
            <w:pPr>
              <w:pStyle w:val="TableText"/>
              <w:spacing w:before="30" w:after="30"/>
              <w:jc w:val="center"/>
              <w:rPr>
                <w:szCs w:val="18"/>
              </w:rPr>
            </w:pPr>
            <w:r w:rsidRPr="0091682C">
              <w:rPr>
                <w:szCs w:val="18"/>
              </w:rPr>
              <w:t>63.9%</w:t>
            </w:r>
          </w:p>
        </w:tc>
        <w:tc>
          <w:tcPr>
            <w:tcW w:w="2056" w:type="dxa"/>
            <w:tcBorders>
              <w:top w:val="single" w:sz="4" w:space="0" w:color="A6A6A6" w:themeColor="background1" w:themeShade="A6"/>
              <w:bottom w:val="single" w:sz="4" w:space="0" w:color="auto"/>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508,000</w:t>
            </w:r>
            <w:r w:rsidR="0091682C">
              <w:rPr>
                <w:szCs w:val="18"/>
              </w:rPr>
              <w:br/>
            </w:r>
            <w:r w:rsidRPr="0091682C">
              <w:rPr>
                <w:szCs w:val="18"/>
              </w:rPr>
              <w:t>(490,000–526,000)</w:t>
            </w:r>
          </w:p>
        </w:tc>
        <w:tc>
          <w:tcPr>
            <w:tcW w:w="1205" w:type="dxa"/>
            <w:tcBorders>
              <w:top w:val="single" w:sz="4" w:space="0" w:color="A6A6A6" w:themeColor="background1" w:themeShade="A6"/>
              <w:left w:val="single" w:sz="4" w:space="0" w:color="A6A6A6" w:themeColor="background1" w:themeShade="A6"/>
              <w:bottom w:val="single" w:sz="4" w:space="0" w:color="auto"/>
            </w:tcBorders>
          </w:tcPr>
          <w:p w:rsidR="00A16A93" w:rsidRPr="0091682C" w:rsidRDefault="00A16A93" w:rsidP="00504C41">
            <w:pPr>
              <w:pStyle w:val="TableText"/>
              <w:spacing w:before="30" w:after="30"/>
              <w:jc w:val="center"/>
              <w:rPr>
                <w:szCs w:val="18"/>
              </w:rPr>
            </w:pPr>
            <w:r w:rsidRPr="0091682C">
              <w:rPr>
                <w:szCs w:val="18"/>
              </w:rPr>
              <w:t>21.1%</w:t>
            </w:r>
          </w:p>
        </w:tc>
        <w:tc>
          <w:tcPr>
            <w:tcW w:w="1949" w:type="dxa"/>
            <w:tcBorders>
              <w:top w:val="single" w:sz="4" w:space="0" w:color="A6A6A6" w:themeColor="background1" w:themeShade="A6"/>
              <w:bottom w:val="single" w:sz="4" w:space="0" w:color="auto"/>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168,000</w:t>
            </w:r>
            <w:r w:rsidR="0091682C">
              <w:rPr>
                <w:szCs w:val="18"/>
              </w:rPr>
              <w:br/>
            </w:r>
            <w:r w:rsidRPr="0091682C">
              <w:rPr>
                <w:szCs w:val="18"/>
              </w:rPr>
              <w:t>(154,000–183,000)</w:t>
            </w:r>
          </w:p>
        </w:tc>
        <w:tc>
          <w:tcPr>
            <w:tcW w:w="1169" w:type="dxa"/>
            <w:tcBorders>
              <w:top w:val="single" w:sz="4" w:space="0" w:color="A6A6A6" w:themeColor="background1" w:themeShade="A6"/>
              <w:left w:val="single" w:sz="4" w:space="0" w:color="A6A6A6" w:themeColor="background1" w:themeShade="A6"/>
              <w:bottom w:val="single" w:sz="4" w:space="0" w:color="auto"/>
            </w:tcBorders>
          </w:tcPr>
          <w:p w:rsidR="00A16A93" w:rsidRPr="0091682C" w:rsidRDefault="00A16A93" w:rsidP="00504C41">
            <w:pPr>
              <w:pStyle w:val="TableText"/>
              <w:tabs>
                <w:tab w:val="decimal" w:pos="567"/>
              </w:tabs>
              <w:spacing w:before="30" w:after="30"/>
              <w:rPr>
                <w:szCs w:val="18"/>
              </w:rPr>
            </w:pPr>
            <w:r w:rsidRPr="0091682C">
              <w:rPr>
                <w:szCs w:val="18"/>
              </w:rPr>
              <w:t>10.7%</w:t>
            </w:r>
          </w:p>
        </w:tc>
        <w:tc>
          <w:tcPr>
            <w:tcW w:w="1985" w:type="dxa"/>
            <w:tcBorders>
              <w:top w:val="single" w:sz="4" w:space="0" w:color="A6A6A6" w:themeColor="background1" w:themeShade="A6"/>
              <w:bottom w:val="single" w:sz="4" w:space="0" w:color="auto"/>
            </w:tcBorders>
          </w:tcPr>
          <w:p w:rsidR="00A16A93" w:rsidRPr="0091682C" w:rsidRDefault="00A16A93" w:rsidP="00504C41">
            <w:pPr>
              <w:pStyle w:val="TableText"/>
              <w:spacing w:before="30" w:after="30"/>
              <w:jc w:val="center"/>
              <w:rPr>
                <w:szCs w:val="18"/>
              </w:rPr>
            </w:pPr>
            <w:r w:rsidRPr="0091682C">
              <w:rPr>
                <w:szCs w:val="18"/>
              </w:rPr>
              <w:t>85,000</w:t>
            </w:r>
            <w:r w:rsidR="000C1264">
              <w:rPr>
                <w:szCs w:val="18"/>
              </w:rPr>
              <w:br/>
            </w:r>
            <w:r w:rsidRPr="0091682C">
              <w:rPr>
                <w:szCs w:val="18"/>
              </w:rPr>
              <w:t>(75,000–97,000)</w:t>
            </w:r>
          </w:p>
        </w:tc>
      </w:tr>
      <w:tr w:rsidR="00947CC3" w:rsidRPr="00A16A93" w:rsidTr="000C1264">
        <w:trPr>
          <w:cantSplit/>
        </w:trPr>
        <w:tc>
          <w:tcPr>
            <w:tcW w:w="1985" w:type="dxa"/>
            <w:tcBorders>
              <w:top w:val="single" w:sz="4" w:space="0" w:color="auto"/>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rPr>
                <w:b/>
                <w:szCs w:val="18"/>
              </w:rPr>
            </w:pPr>
            <w:r w:rsidRPr="0091682C">
              <w:rPr>
                <w:b/>
                <w:szCs w:val="18"/>
              </w:rPr>
              <w:t>Age group (years)</w:t>
            </w:r>
          </w:p>
        </w:tc>
        <w:tc>
          <w:tcPr>
            <w:tcW w:w="1134" w:type="dxa"/>
            <w:tcBorders>
              <w:top w:val="single" w:sz="4" w:space="0" w:color="auto"/>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p>
        </w:tc>
        <w:tc>
          <w:tcPr>
            <w:tcW w:w="2020" w:type="dxa"/>
            <w:tcBorders>
              <w:top w:val="single" w:sz="4" w:space="0" w:color="auto"/>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p>
        </w:tc>
        <w:tc>
          <w:tcPr>
            <w:tcW w:w="1098" w:type="dxa"/>
            <w:tcBorders>
              <w:top w:val="single" w:sz="4" w:space="0" w:color="auto"/>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p>
        </w:tc>
        <w:tc>
          <w:tcPr>
            <w:tcW w:w="2056" w:type="dxa"/>
            <w:tcBorders>
              <w:top w:val="single" w:sz="4" w:space="0" w:color="auto"/>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p>
        </w:tc>
        <w:tc>
          <w:tcPr>
            <w:tcW w:w="1205" w:type="dxa"/>
            <w:tcBorders>
              <w:top w:val="single" w:sz="4" w:space="0" w:color="auto"/>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p>
        </w:tc>
        <w:tc>
          <w:tcPr>
            <w:tcW w:w="1949" w:type="dxa"/>
            <w:tcBorders>
              <w:top w:val="single" w:sz="4" w:space="0" w:color="auto"/>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p>
        </w:tc>
        <w:tc>
          <w:tcPr>
            <w:tcW w:w="1169" w:type="dxa"/>
            <w:tcBorders>
              <w:top w:val="single" w:sz="4" w:space="0" w:color="auto"/>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tabs>
                <w:tab w:val="decimal" w:pos="567"/>
              </w:tabs>
              <w:spacing w:before="30" w:after="30"/>
              <w:rPr>
                <w:szCs w:val="18"/>
              </w:rPr>
            </w:pPr>
          </w:p>
        </w:tc>
        <w:tc>
          <w:tcPr>
            <w:tcW w:w="1985" w:type="dxa"/>
            <w:tcBorders>
              <w:top w:val="single" w:sz="4" w:space="0" w:color="auto"/>
              <w:bottom w:val="single" w:sz="4" w:space="0" w:color="A6A6A6" w:themeColor="background1" w:themeShade="A6"/>
            </w:tcBorders>
          </w:tcPr>
          <w:p w:rsidR="00A16A93" w:rsidRPr="0091682C" w:rsidRDefault="00A16A93" w:rsidP="00504C41">
            <w:pPr>
              <w:pStyle w:val="TableText"/>
              <w:spacing w:before="30" w:after="30"/>
              <w:jc w:val="center"/>
              <w:rPr>
                <w:szCs w:val="18"/>
              </w:rPr>
            </w:pPr>
          </w:p>
        </w:tc>
      </w:tr>
      <w:tr w:rsidR="00A16A93" w:rsidRPr="00A16A93" w:rsidTr="000C1264">
        <w:trPr>
          <w:cantSplit/>
        </w:trPr>
        <w:tc>
          <w:tcPr>
            <w:tcW w:w="198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rPr>
                <w:szCs w:val="18"/>
              </w:rPr>
            </w:pPr>
            <w:r w:rsidRPr="0091682C">
              <w:rPr>
                <w:szCs w:val="18"/>
              </w:rPr>
              <w:t>2–4</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4.5%</w:t>
            </w:r>
          </w:p>
        </w:tc>
        <w:tc>
          <w:tcPr>
            <w:tcW w:w="20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8,000</w:t>
            </w:r>
            <w:r w:rsidR="0091682C">
              <w:rPr>
                <w:szCs w:val="18"/>
              </w:rPr>
              <w:br/>
            </w:r>
            <w:r w:rsidRPr="0091682C">
              <w:rPr>
                <w:szCs w:val="18"/>
              </w:rPr>
              <w:t>(5,000–12,000)</w:t>
            </w:r>
          </w:p>
        </w:tc>
        <w:tc>
          <w:tcPr>
            <w:tcW w:w="109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66.8%</w:t>
            </w:r>
          </w:p>
        </w:tc>
        <w:tc>
          <w:tcPr>
            <w:tcW w:w="205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122,000</w:t>
            </w:r>
            <w:r w:rsidR="0091682C">
              <w:rPr>
                <w:szCs w:val="18"/>
              </w:rPr>
              <w:br/>
            </w:r>
            <w:r w:rsidRPr="0091682C">
              <w:rPr>
                <w:szCs w:val="18"/>
              </w:rPr>
              <w:t>(114,000–129,000)</w:t>
            </w:r>
          </w:p>
        </w:tc>
        <w:tc>
          <w:tcPr>
            <w:tcW w:w="120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21.3%</w:t>
            </w:r>
          </w:p>
        </w:tc>
        <w:tc>
          <w:tcPr>
            <w:tcW w:w="194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39,000</w:t>
            </w:r>
            <w:r w:rsidR="0091682C">
              <w:rPr>
                <w:szCs w:val="18"/>
              </w:rPr>
              <w:br/>
            </w:r>
            <w:r w:rsidRPr="0091682C">
              <w:rPr>
                <w:szCs w:val="18"/>
              </w:rPr>
              <w:t>(32,000–46,000)</w:t>
            </w:r>
          </w:p>
        </w:tc>
        <w:tc>
          <w:tcPr>
            <w:tcW w:w="116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tabs>
                <w:tab w:val="decimal" w:pos="567"/>
              </w:tabs>
              <w:spacing w:before="30" w:after="30"/>
              <w:rPr>
                <w:szCs w:val="18"/>
              </w:rPr>
            </w:pPr>
            <w:r w:rsidRPr="0091682C">
              <w:rPr>
                <w:szCs w:val="18"/>
              </w:rPr>
              <w:t>7.3%</w:t>
            </w:r>
          </w:p>
        </w:tc>
        <w:tc>
          <w:tcPr>
            <w:tcW w:w="1985" w:type="dxa"/>
            <w:tcBorders>
              <w:top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13,000</w:t>
            </w:r>
            <w:r w:rsidR="0091682C">
              <w:rPr>
                <w:szCs w:val="18"/>
              </w:rPr>
              <w:br/>
            </w:r>
            <w:r w:rsidRPr="0091682C">
              <w:rPr>
                <w:szCs w:val="18"/>
              </w:rPr>
              <w:t>(10,000–18,000)</w:t>
            </w:r>
          </w:p>
        </w:tc>
      </w:tr>
      <w:tr w:rsidR="00A16A93" w:rsidRPr="00A16A93" w:rsidTr="000C1264">
        <w:trPr>
          <w:cantSplit/>
        </w:trPr>
        <w:tc>
          <w:tcPr>
            <w:tcW w:w="198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rPr>
                <w:szCs w:val="18"/>
              </w:rPr>
            </w:pPr>
            <w:r w:rsidRPr="0091682C">
              <w:rPr>
                <w:szCs w:val="18"/>
              </w:rPr>
              <w:t>5–9</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3.0%</w:t>
            </w:r>
          </w:p>
        </w:tc>
        <w:tc>
          <w:tcPr>
            <w:tcW w:w="20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10,000</w:t>
            </w:r>
            <w:r w:rsidR="0091682C">
              <w:rPr>
                <w:szCs w:val="18"/>
              </w:rPr>
              <w:br/>
            </w:r>
            <w:r w:rsidRPr="0091682C">
              <w:rPr>
                <w:szCs w:val="18"/>
              </w:rPr>
              <w:t>(6,000–14,000)</w:t>
            </w:r>
          </w:p>
        </w:tc>
        <w:tc>
          <w:tcPr>
            <w:tcW w:w="109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67.3%</w:t>
            </w:r>
          </w:p>
        </w:tc>
        <w:tc>
          <w:tcPr>
            <w:tcW w:w="205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215,000</w:t>
            </w:r>
            <w:r w:rsidR="0091682C">
              <w:rPr>
                <w:szCs w:val="18"/>
              </w:rPr>
              <w:br/>
            </w:r>
            <w:r w:rsidRPr="0091682C">
              <w:rPr>
                <w:szCs w:val="18"/>
              </w:rPr>
              <w:t>(204,000–226,000)</w:t>
            </w:r>
          </w:p>
        </w:tc>
        <w:tc>
          <w:tcPr>
            <w:tcW w:w="120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18.2%</w:t>
            </w:r>
          </w:p>
        </w:tc>
        <w:tc>
          <w:tcPr>
            <w:tcW w:w="194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58,000</w:t>
            </w:r>
            <w:r w:rsidR="0091682C">
              <w:rPr>
                <w:szCs w:val="18"/>
              </w:rPr>
              <w:br/>
            </w:r>
            <w:r w:rsidRPr="0091682C">
              <w:rPr>
                <w:szCs w:val="18"/>
              </w:rPr>
              <w:t>(52,000–66,000)</w:t>
            </w:r>
          </w:p>
        </w:tc>
        <w:tc>
          <w:tcPr>
            <w:tcW w:w="116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tabs>
                <w:tab w:val="decimal" w:pos="567"/>
              </w:tabs>
              <w:spacing w:before="30" w:after="30"/>
              <w:rPr>
                <w:szCs w:val="18"/>
              </w:rPr>
            </w:pPr>
            <w:r w:rsidRPr="0091682C">
              <w:rPr>
                <w:szCs w:val="18"/>
              </w:rPr>
              <w:t>11.5%</w:t>
            </w:r>
          </w:p>
        </w:tc>
        <w:tc>
          <w:tcPr>
            <w:tcW w:w="1985" w:type="dxa"/>
            <w:tcBorders>
              <w:top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37,000</w:t>
            </w:r>
            <w:r w:rsidR="0091682C">
              <w:rPr>
                <w:szCs w:val="18"/>
              </w:rPr>
              <w:br/>
            </w:r>
            <w:r w:rsidRPr="0091682C">
              <w:rPr>
                <w:szCs w:val="18"/>
              </w:rPr>
              <w:t>(31,000–44,000)</w:t>
            </w:r>
          </w:p>
        </w:tc>
      </w:tr>
      <w:tr w:rsidR="00947CC3" w:rsidRPr="00A16A93" w:rsidTr="000C1264">
        <w:trPr>
          <w:cantSplit/>
        </w:trPr>
        <w:tc>
          <w:tcPr>
            <w:tcW w:w="1985" w:type="dxa"/>
            <w:tcBorders>
              <w:top w:val="single" w:sz="4" w:space="0" w:color="A6A6A6" w:themeColor="background1" w:themeShade="A6"/>
              <w:bottom w:val="single" w:sz="4" w:space="0" w:color="auto"/>
              <w:right w:val="single" w:sz="4" w:space="0" w:color="A6A6A6" w:themeColor="background1" w:themeShade="A6"/>
            </w:tcBorders>
          </w:tcPr>
          <w:p w:rsidR="00A16A93" w:rsidRPr="0091682C" w:rsidRDefault="00A16A93" w:rsidP="00504C41">
            <w:pPr>
              <w:pStyle w:val="TableText"/>
              <w:spacing w:before="30" w:after="30"/>
              <w:rPr>
                <w:szCs w:val="18"/>
              </w:rPr>
            </w:pPr>
            <w:r w:rsidRPr="0091682C">
              <w:rPr>
                <w:szCs w:val="18"/>
              </w:rPr>
              <w:t>10–14</w:t>
            </w:r>
          </w:p>
        </w:tc>
        <w:tc>
          <w:tcPr>
            <w:tcW w:w="1134" w:type="dxa"/>
            <w:tcBorders>
              <w:top w:val="single" w:sz="4" w:space="0" w:color="A6A6A6" w:themeColor="background1" w:themeShade="A6"/>
              <w:left w:val="single" w:sz="4" w:space="0" w:color="A6A6A6" w:themeColor="background1" w:themeShade="A6"/>
              <w:bottom w:val="single" w:sz="4" w:space="0" w:color="auto"/>
            </w:tcBorders>
          </w:tcPr>
          <w:p w:rsidR="00A16A93" w:rsidRPr="0091682C" w:rsidRDefault="00A16A93" w:rsidP="00504C41">
            <w:pPr>
              <w:pStyle w:val="TableText"/>
              <w:spacing w:before="30" w:after="30"/>
              <w:jc w:val="center"/>
              <w:rPr>
                <w:szCs w:val="18"/>
              </w:rPr>
            </w:pPr>
            <w:r w:rsidRPr="0091682C">
              <w:rPr>
                <w:szCs w:val="18"/>
              </w:rPr>
              <w:t>5.6%</w:t>
            </w:r>
          </w:p>
        </w:tc>
        <w:tc>
          <w:tcPr>
            <w:tcW w:w="2020" w:type="dxa"/>
            <w:tcBorders>
              <w:top w:val="single" w:sz="4" w:space="0" w:color="A6A6A6" w:themeColor="background1" w:themeShade="A6"/>
              <w:bottom w:val="single" w:sz="4" w:space="0" w:color="auto"/>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16,000</w:t>
            </w:r>
            <w:r w:rsidR="0091682C">
              <w:rPr>
                <w:szCs w:val="18"/>
              </w:rPr>
              <w:br/>
            </w:r>
            <w:r w:rsidRPr="0091682C">
              <w:rPr>
                <w:szCs w:val="18"/>
              </w:rPr>
              <w:t>(12,000–23,000)</w:t>
            </w:r>
          </w:p>
        </w:tc>
        <w:tc>
          <w:tcPr>
            <w:tcW w:w="1098" w:type="dxa"/>
            <w:tcBorders>
              <w:top w:val="single" w:sz="4" w:space="0" w:color="A6A6A6" w:themeColor="background1" w:themeShade="A6"/>
              <w:left w:val="single" w:sz="4" w:space="0" w:color="A6A6A6" w:themeColor="background1" w:themeShade="A6"/>
              <w:bottom w:val="single" w:sz="4" w:space="0" w:color="auto"/>
            </w:tcBorders>
          </w:tcPr>
          <w:p w:rsidR="00A16A93" w:rsidRPr="0091682C" w:rsidRDefault="00A16A93" w:rsidP="00504C41">
            <w:pPr>
              <w:pStyle w:val="TableText"/>
              <w:spacing w:before="30" w:after="30"/>
              <w:jc w:val="center"/>
              <w:rPr>
                <w:szCs w:val="18"/>
              </w:rPr>
            </w:pPr>
            <w:r w:rsidRPr="0091682C">
              <w:rPr>
                <w:szCs w:val="18"/>
              </w:rPr>
              <w:t>58.3%</w:t>
            </w:r>
          </w:p>
        </w:tc>
        <w:tc>
          <w:tcPr>
            <w:tcW w:w="2056" w:type="dxa"/>
            <w:tcBorders>
              <w:top w:val="single" w:sz="4" w:space="0" w:color="A6A6A6" w:themeColor="background1" w:themeShade="A6"/>
              <w:bottom w:val="single" w:sz="4" w:space="0" w:color="auto"/>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171,000</w:t>
            </w:r>
            <w:r w:rsidR="0091682C">
              <w:rPr>
                <w:szCs w:val="18"/>
              </w:rPr>
              <w:br/>
            </w:r>
            <w:r w:rsidRPr="0091682C">
              <w:rPr>
                <w:szCs w:val="18"/>
              </w:rPr>
              <w:t>(162,000–180,000)</w:t>
            </w:r>
          </w:p>
        </w:tc>
        <w:tc>
          <w:tcPr>
            <w:tcW w:w="1205" w:type="dxa"/>
            <w:tcBorders>
              <w:top w:val="single" w:sz="4" w:space="0" w:color="A6A6A6" w:themeColor="background1" w:themeShade="A6"/>
              <w:left w:val="single" w:sz="4" w:space="0" w:color="A6A6A6" w:themeColor="background1" w:themeShade="A6"/>
              <w:bottom w:val="single" w:sz="4" w:space="0" w:color="auto"/>
            </w:tcBorders>
          </w:tcPr>
          <w:p w:rsidR="00A16A93" w:rsidRPr="0091682C" w:rsidRDefault="00A16A93" w:rsidP="00504C41">
            <w:pPr>
              <w:pStyle w:val="TableText"/>
              <w:spacing w:before="30" w:after="30"/>
              <w:jc w:val="center"/>
              <w:rPr>
                <w:szCs w:val="18"/>
              </w:rPr>
            </w:pPr>
            <w:r w:rsidRPr="0091682C">
              <w:rPr>
                <w:szCs w:val="18"/>
              </w:rPr>
              <w:t>24.2%</w:t>
            </w:r>
          </w:p>
        </w:tc>
        <w:tc>
          <w:tcPr>
            <w:tcW w:w="1949" w:type="dxa"/>
            <w:tcBorders>
              <w:top w:val="single" w:sz="4" w:space="0" w:color="A6A6A6" w:themeColor="background1" w:themeShade="A6"/>
              <w:bottom w:val="single" w:sz="4" w:space="0" w:color="auto"/>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71,000</w:t>
            </w:r>
            <w:r w:rsidR="0091682C">
              <w:rPr>
                <w:szCs w:val="18"/>
              </w:rPr>
              <w:br/>
            </w:r>
            <w:r w:rsidRPr="0091682C">
              <w:rPr>
                <w:szCs w:val="18"/>
              </w:rPr>
              <w:t>(63,000–79,000)</w:t>
            </w:r>
          </w:p>
        </w:tc>
        <w:tc>
          <w:tcPr>
            <w:tcW w:w="1169" w:type="dxa"/>
            <w:tcBorders>
              <w:top w:val="single" w:sz="4" w:space="0" w:color="A6A6A6" w:themeColor="background1" w:themeShade="A6"/>
              <w:left w:val="single" w:sz="4" w:space="0" w:color="A6A6A6" w:themeColor="background1" w:themeShade="A6"/>
              <w:bottom w:val="single" w:sz="4" w:space="0" w:color="auto"/>
            </w:tcBorders>
          </w:tcPr>
          <w:p w:rsidR="00A16A93" w:rsidRPr="0091682C" w:rsidRDefault="00A16A93" w:rsidP="00504C41">
            <w:pPr>
              <w:pStyle w:val="TableText"/>
              <w:tabs>
                <w:tab w:val="decimal" w:pos="567"/>
              </w:tabs>
              <w:spacing w:before="30" w:after="30"/>
              <w:rPr>
                <w:szCs w:val="18"/>
              </w:rPr>
            </w:pPr>
            <w:r w:rsidRPr="0091682C">
              <w:rPr>
                <w:szCs w:val="18"/>
              </w:rPr>
              <w:t>12.0%</w:t>
            </w:r>
          </w:p>
        </w:tc>
        <w:tc>
          <w:tcPr>
            <w:tcW w:w="1985" w:type="dxa"/>
            <w:tcBorders>
              <w:top w:val="single" w:sz="4" w:space="0" w:color="A6A6A6" w:themeColor="background1" w:themeShade="A6"/>
              <w:bottom w:val="single" w:sz="4" w:space="0" w:color="auto"/>
            </w:tcBorders>
          </w:tcPr>
          <w:p w:rsidR="00A16A93" w:rsidRPr="0091682C" w:rsidRDefault="00A16A93" w:rsidP="00504C41">
            <w:pPr>
              <w:pStyle w:val="TableText"/>
              <w:spacing w:before="30" w:after="30"/>
              <w:jc w:val="center"/>
              <w:rPr>
                <w:szCs w:val="18"/>
              </w:rPr>
            </w:pPr>
            <w:r w:rsidRPr="0091682C">
              <w:rPr>
                <w:szCs w:val="18"/>
              </w:rPr>
              <w:t>35,000</w:t>
            </w:r>
            <w:r w:rsidR="0091682C">
              <w:rPr>
                <w:szCs w:val="18"/>
              </w:rPr>
              <w:br/>
            </w:r>
            <w:r w:rsidRPr="0091682C">
              <w:rPr>
                <w:szCs w:val="18"/>
              </w:rPr>
              <w:t>(30,000–41,000)</w:t>
            </w:r>
          </w:p>
        </w:tc>
      </w:tr>
      <w:tr w:rsidR="00947CC3" w:rsidRPr="00A16A93" w:rsidTr="000C1264">
        <w:trPr>
          <w:cantSplit/>
        </w:trPr>
        <w:tc>
          <w:tcPr>
            <w:tcW w:w="1985" w:type="dxa"/>
            <w:tcBorders>
              <w:top w:val="single" w:sz="4" w:space="0" w:color="auto"/>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rPr>
                <w:b/>
                <w:szCs w:val="18"/>
              </w:rPr>
            </w:pPr>
            <w:r w:rsidRPr="0091682C">
              <w:rPr>
                <w:b/>
                <w:szCs w:val="18"/>
              </w:rPr>
              <w:t>Ethnic group</w:t>
            </w:r>
          </w:p>
        </w:tc>
        <w:tc>
          <w:tcPr>
            <w:tcW w:w="1134" w:type="dxa"/>
            <w:tcBorders>
              <w:top w:val="single" w:sz="4" w:space="0" w:color="auto"/>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p>
        </w:tc>
        <w:tc>
          <w:tcPr>
            <w:tcW w:w="2020" w:type="dxa"/>
            <w:tcBorders>
              <w:top w:val="single" w:sz="4" w:space="0" w:color="auto"/>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p>
        </w:tc>
        <w:tc>
          <w:tcPr>
            <w:tcW w:w="1098" w:type="dxa"/>
            <w:tcBorders>
              <w:top w:val="single" w:sz="4" w:space="0" w:color="auto"/>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p>
        </w:tc>
        <w:tc>
          <w:tcPr>
            <w:tcW w:w="2056" w:type="dxa"/>
            <w:tcBorders>
              <w:top w:val="single" w:sz="4" w:space="0" w:color="auto"/>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p>
        </w:tc>
        <w:tc>
          <w:tcPr>
            <w:tcW w:w="1205" w:type="dxa"/>
            <w:tcBorders>
              <w:top w:val="single" w:sz="4" w:space="0" w:color="auto"/>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p>
        </w:tc>
        <w:tc>
          <w:tcPr>
            <w:tcW w:w="1949" w:type="dxa"/>
            <w:tcBorders>
              <w:top w:val="single" w:sz="4" w:space="0" w:color="auto"/>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p>
        </w:tc>
        <w:tc>
          <w:tcPr>
            <w:tcW w:w="1169" w:type="dxa"/>
            <w:tcBorders>
              <w:top w:val="single" w:sz="4" w:space="0" w:color="auto"/>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tabs>
                <w:tab w:val="decimal" w:pos="567"/>
              </w:tabs>
              <w:spacing w:before="30" w:after="30"/>
              <w:rPr>
                <w:szCs w:val="18"/>
              </w:rPr>
            </w:pPr>
          </w:p>
        </w:tc>
        <w:tc>
          <w:tcPr>
            <w:tcW w:w="1985" w:type="dxa"/>
            <w:tcBorders>
              <w:top w:val="single" w:sz="4" w:space="0" w:color="auto"/>
              <w:bottom w:val="single" w:sz="4" w:space="0" w:color="A6A6A6" w:themeColor="background1" w:themeShade="A6"/>
            </w:tcBorders>
          </w:tcPr>
          <w:p w:rsidR="00A16A93" w:rsidRPr="0091682C" w:rsidRDefault="00A16A93" w:rsidP="00504C41">
            <w:pPr>
              <w:pStyle w:val="TableText"/>
              <w:spacing w:before="30" w:after="30"/>
              <w:jc w:val="center"/>
              <w:rPr>
                <w:szCs w:val="18"/>
              </w:rPr>
            </w:pPr>
          </w:p>
        </w:tc>
      </w:tr>
      <w:tr w:rsidR="00A16A93" w:rsidRPr="00A16A93" w:rsidTr="000C1264">
        <w:trPr>
          <w:cantSplit/>
        </w:trPr>
        <w:tc>
          <w:tcPr>
            <w:tcW w:w="198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rPr>
                <w:szCs w:val="18"/>
              </w:rPr>
            </w:pPr>
            <w:r w:rsidRPr="0091682C">
              <w:rPr>
                <w:szCs w:val="18"/>
              </w:rPr>
              <w:t>Māori</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2.4%</w:t>
            </w:r>
          </w:p>
        </w:tc>
        <w:tc>
          <w:tcPr>
            <w:tcW w:w="20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5,000</w:t>
            </w:r>
            <w:r w:rsidR="0091682C">
              <w:rPr>
                <w:szCs w:val="18"/>
              </w:rPr>
              <w:br/>
            </w:r>
            <w:r w:rsidRPr="0091682C">
              <w:rPr>
                <w:szCs w:val="18"/>
              </w:rPr>
              <w:t>(3,000–7,000)</w:t>
            </w:r>
          </w:p>
        </w:tc>
        <w:tc>
          <w:tcPr>
            <w:tcW w:w="109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53.7%</w:t>
            </w:r>
          </w:p>
        </w:tc>
        <w:tc>
          <w:tcPr>
            <w:tcW w:w="205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109,000</w:t>
            </w:r>
            <w:r w:rsidR="0091682C">
              <w:rPr>
                <w:szCs w:val="18"/>
              </w:rPr>
              <w:br/>
            </w:r>
            <w:r w:rsidRPr="0091682C">
              <w:rPr>
                <w:szCs w:val="18"/>
              </w:rPr>
              <w:t>(101,000–117,000)</w:t>
            </w:r>
          </w:p>
        </w:tc>
        <w:tc>
          <w:tcPr>
            <w:tcW w:w="120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29.1%</w:t>
            </w:r>
          </w:p>
        </w:tc>
        <w:tc>
          <w:tcPr>
            <w:tcW w:w="194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59,000</w:t>
            </w:r>
            <w:r w:rsidR="0091682C">
              <w:rPr>
                <w:szCs w:val="18"/>
              </w:rPr>
              <w:br/>
            </w:r>
            <w:r w:rsidRPr="0091682C">
              <w:rPr>
                <w:szCs w:val="18"/>
              </w:rPr>
              <w:t>(52,000–66,000)</w:t>
            </w:r>
          </w:p>
        </w:tc>
        <w:tc>
          <w:tcPr>
            <w:tcW w:w="116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tabs>
                <w:tab w:val="decimal" w:pos="567"/>
              </w:tabs>
              <w:spacing w:before="30" w:after="30"/>
              <w:rPr>
                <w:szCs w:val="18"/>
              </w:rPr>
            </w:pPr>
            <w:r w:rsidRPr="0091682C">
              <w:rPr>
                <w:szCs w:val="18"/>
              </w:rPr>
              <w:t>14.7%</w:t>
            </w:r>
          </w:p>
        </w:tc>
        <w:tc>
          <w:tcPr>
            <w:tcW w:w="1985" w:type="dxa"/>
            <w:tcBorders>
              <w:top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30,000</w:t>
            </w:r>
            <w:r w:rsidR="0091682C">
              <w:rPr>
                <w:szCs w:val="18"/>
              </w:rPr>
              <w:br/>
            </w:r>
            <w:r w:rsidRPr="0091682C">
              <w:rPr>
                <w:szCs w:val="18"/>
              </w:rPr>
              <w:t>(25,000–35,000)</w:t>
            </w:r>
          </w:p>
        </w:tc>
      </w:tr>
      <w:tr w:rsidR="00A16A93" w:rsidRPr="00A16A93" w:rsidTr="000C1264">
        <w:trPr>
          <w:cantSplit/>
        </w:trPr>
        <w:tc>
          <w:tcPr>
            <w:tcW w:w="198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rPr>
                <w:szCs w:val="18"/>
              </w:rPr>
            </w:pPr>
            <w:r w:rsidRPr="0091682C">
              <w:rPr>
                <w:szCs w:val="18"/>
              </w:rPr>
              <w:t>Pacific peoples</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1.8%</w:t>
            </w:r>
          </w:p>
        </w:tc>
        <w:tc>
          <w:tcPr>
            <w:tcW w:w="20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2,000</w:t>
            </w:r>
            <w:r w:rsidR="0091682C">
              <w:rPr>
                <w:szCs w:val="18"/>
              </w:rPr>
              <w:br/>
            </w:r>
            <w:r w:rsidRPr="0091682C">
              <w:rPr>
                <w:szCs w:val="18"/>
              </w:rPr>
              <w:t>(1,000–4,000)</w:t>
            </w:r>
          </w:p>
        </w:tc>
        <w:tc>
          <w:tcPr>
            <w:tcW w:w="109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37.2%</w:t>
            </w:r>
          </w:p>
        </w:tc>
        <w:tc>
          <w:tcPr>
            <w:tcW w:w="205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40,000</w:t>
            </w:r>
            <w:r w:rsidR="0091682C">
              <w:rPr>
                <w:szCs w:val="18"/>
              </w:rPr>
              <w:br/>
            </w:r>
            <w:r w:rsidRPr="0091682C">
              <w:rPr>
                <w:szCs w:val="18"/>
              </w:rPr>
              <w:t>(34,000–45,000)</w:t>
            </w:r>
          </w:p>
        </w:tc>
        <w:tc>
          <w:tcPr>
            <w:tcW w:w="120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31.3%</w:t>
            </w:r>
          </w:p>
        </w:tc>
        <w:tc>
          <w:tcPr>
            <w:tcW w:w="194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33,000</w:t>
            </w:r>
            <w:r w:rsidR="000C1264">
              <w:rPr>
                <w:szCs w:val="18"/>
              </w:rPr>
              <w:br/>
            </w:r>
            <w:r w:rsidRPr="0091682C">
              <w:rPr>
                <w:szCs w:val="18"/>
              </w:rPr>
              <w:t>(29,000–39,000)</w:t>
            </w:r>
          </w:p>
        </w:tc>
        <w:tc>
          <w:tcPr>
            <w:tcW w:w="116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tabs>
                <w:tab w:val="decimal" w:pos="567"/>
              </w:tabs>
              <w:spacing w:before="30" w:after="30"/>
              <w:rPr>
                <w:szCs w:val="18"/>
              </w:rPr>
            </w:pPr>
            <w:r w:rsidRPr="0091682C">
              <w:rPr>
                <w:szCs w:val="18"/>
              </w:rPr>
              <w:t>29.8%</w:t>
            </w:r>
          </w:p>
        </w:tc>
        <w:tc>
          <w:tcPr>
            <w:tcW w:w="1985" w:type="dxa"/>
            <w:tcBorders>
              <w:top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32,000</w:t>
            </w:r>
            <w:r w:rsidR="0091682C">
              <w:rPr>
                <w:szCs w:val="18"/>
              </w:rPr>
              <w:br/>
            </w:r>
            <w:r w:rsidRPr="0091682C">
              <w:rPr>
                <w:szCs w:val="18"/>
              </w:rPr>
              <w:t>(27,000–38,000)</w:t>
            </w:r>
          </w:p>
        </w:tc>
      </w:tr>
      <w:tr w:rsidR="00A16A93" w:rsidRPr="00A16A93" w:rsidTr="000C1264">
        <w:trPr>
          <w:cantSplit/>
        </w:trPr>
        <w:tc>
          <w:tcPr>
            <w:tcW w:w="198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rPr>
                <w:szCs w:val="18"/>
              </w:rPr>
            </w:pPr>
            <w:r w:rsidRPr="0091682C">
              <w:rPr>
                <w:szCs w:val="18"/>
              </w:rPr>
              <w:t>Asian</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7.9%</w:t>
            </w:r>
          </w:p>
        </w:tc>
        <w:tc>
          <w:tcPr>
            <w:tcW w:w="20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8,000</w:t>
            </w:r>
            <w:r w:rsidR="0091682C">
              <w:rPr>
                <w:szCs w:val="18"/>
              </w:rPr>
              <w:br/>
            </w:r>
            <w:r w:rsidRPr="0091682C">
              <w:rPr>
                <w:szCs w:val="18"/>
              </w:rPr>
              <w:t>(5,000–13,000)</w:t>
            </w:r>
          </w:p>
        </w:tc>
        <w:tc>
          <w:tcPr>
            <w:tcW w:w="109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72.3%</w:t>
            </w:r>
          </w:p>
        </w:tc>
        <w:tc>
          <w:tcPr>
            <w:tcW w:w="205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74,000</w:t>
            </w:r>
            <w:r w:rsidR="000C1264">
              <w:rPr>
                <w:szCs w:val="18"/>
              </w:rPr>
              <w:br/>
            </w:r>
            <w:r w:rsidRPr="0091682C">
              <w:rPr>
                <w:szCs w:val="18"/>
              </w:rPr>
              <w:t>(68,000–80,000)</w:t>
            </w:r>
          </w:p>
        </w:tc>
        <w:tc>
          <w:tcPr>
            <w:tcW w:w="120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12.2%</w:t>
            </w:r>
          </w:p>
        </w:tc>
        <w:tc>
          <w:tcPr>
            <w:tcW w:w="194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13,000</w:t>
            </w:r>
            <w:r w:rsidR="0091682C">
              <w:rPr>
                <w:szCs w:val="18"/>
              </w:rPr>
              <w:br/>
            </w:r>
            <w:r w:rsidRPr="0091682C">
              <w:rPr>
                <w:szCs w:val="18"/>
              </w:rPr>
              <w:t>(9,000–17,000)</w:t>
            </w:r>
          </w:p>
        </w:tc>
        <w:tc>
          <w:tcPr>
            <w:tcW w:w="116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tabs>
                <w:tab w:val="decimal" w:pos="567"/>
              </w:tabs>
              <w:spacing w:before="30" w:after="30"/>
              <w:rPr>
                <w:szCs w:val="18"/>
              </w:rPr>
            </w:pPr>
            <w:r w:rsidRPr="0091682C">
              <w:rPr>
                <w:szCs w:val="18"/>
              </w:rPr>
              <w:t>7.7%</w:t>
            </w:r>
          </w:p>
        </w:tc>
        <w:tc>
          <w:tcPr>
            <w:tcW w:w="1985" w:type="dxa"/>
            <w:tcBorders>
              <w:top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8,000</w:t>
            </w:r>
            <w:r w:rsidR="0091682C">
              <w:rPr>
                <w:szCs w:val="18"/>
              </w:rPr>
              <w:br/>
            </w:r>
            <w:r w:rsidRPr="0091682C">
              <w:rPr>
                <w:szCs w:val="18"/>
              </w:rPr>
              <w:t>(6,000–11,000)</w:t>
            </w:r>
          </w:p>
        </w:tc>
      </w:tr>
      <w:tr w:rsidR="00947CC3" w:rsidRPr="00A16A93" w:rsidTr="000C1264">
        <w:trPr>
          <w:cantSplit/>
        </w:trPr>
        <w:tc>
          <w:tcPr>
            <w:tcW w:w="1985" w:type="dxa"/>
            <w:tcBorders>
              <w:top w:val="single" w:sz="4" w:space="0" w:color="A6A6A6" w:themeColor="background1" w:themeShade="A6"/>
              <w:bottom w:val="single" w:sz="4" w:space="0" w:color="auto"/>
              <w:right w:val="single" w:sz="4" w:space="0" w:color="A6A6A6" w:themeColor="background1" w:themeShade="A6"/>
            </w:tcBorders>
          </w:tcPr>
          <w:p w:rsidR="00A16A93" w:rsidRPr="0091682C" w:rsidRDefault="00A16A93" w:rsidP="00504C41">
            <w:pPr>
              <w:pStyle w:val="TableText"/>
              <w:spacing w:before="30" w:after="30"/>
              <w:rPr>
                <w:szCs w:val="18"/>
              </w:rPr>
            </w:pPr>
            <w:r w:rsidRPr="0091682C">
              <w:rPr>
                <w:szCs w:val="18"/>
              </w:rPr>
              <w:t>European/Other</w:t>
            </w:r>
          </w:p>
        </w:tc>
        <w:tc>
          <w:tcPr>
            <w:tcW w:w="1134" w:type="dxa"/>
            <w:tcBorders>
              <w:top w:val="single" w:sz="4" w:space="0" w:color="A6A6A6" w:themeColor="background1" w:themeShade="A6"/>
              <w:left w:val="single" w:sz="4" w:space="0" w:color="A6A6A6" w:themeColor="background1" w:themeShade="A6"/>
              <w:bottom w:val="single" w:sz="4" w:space="0" w:color="auto"/>
            </w:tcBorders>
          </w:tcPr>
          <w:p w:rsidR="00A16A93" w:rsidRPr="0091682C" w:rsidRDefault="00A16A93" w:rsidP="00504C41">
            <w:pPr>
              <w:pStyle w:val="TableText"/>
              <w:spacing w:before="30" w:after="30"/>
              <w:jc w:val="center"/>
              <w:rPr>
                <w:szCs w:val="18"/>
              </w:rPr>
            </w:pPr>
            <w:r w:rsidRPr="0091682C">
              <w:rPr>
                <w:szCs w:val="18"/>
              </w:rPr>
              <w:t>4.4%</w:t>
            </w:r>
          </w:p>
        </w:tc>
        <w:tc>
          <w:tcPr>
            <w:tcW w:w="2020" w:type="dxa"/>
            <w:tcBorders>
              <w:top w:val="single" w:sz="4" w:space="0" w:color="A6A6A6" w:themeColor="background1" w:themeShade="A6"/>
              <w:bottom w:val="single" w:sz="4" w:space="0" w:color="auto"/>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25,000</w:t>
            </w:r>
            <w:r w:rsidR="0091682C">
              <w:rPr>
                <w:szCs w:val="18"/>
              </w:rPr>
              <w:br/>
            </w:r>
            <w:r w:rsidRPr="0091682C">
              <w:rPr>
                <w:szCs w:val="18"/>
              </w:rPr>
              <w:t>(19,000–33,000)</w:t>
            </w:r>
          </w:p>
        </w:tc>
        <w:tc>
          <w:tcPr>
            <w:tcW w:w="1098" w:type="dxa"/>
            <w:tcBorders>
              <w:top w:val="single" w:sz="4" w:space="0" w:color="A6A6A6" w:themeColor="background1" w:themeShade="A6"/>
              <w:left w:val="single" w:sz="4" w:space="0" w:color="A6A6A6" w:themeColor="background1" w:themeShade="A6"/>
              <w:bottom w:val="single" w:sz="4" w:space="0" w:color="auto"/>
            </w:tcBorders>
          </w:tcPr>
          <w:p w:rsidR="00A16A93" w:rsidRPr="0091682C" w:rsidRDefault="00A16A93" w:rsidP="00504C41">
            <w:pPr>
              <w:pStyle w:val="TableText"/>
              <w:spacing w:before="30" w:after="30"/>
              <w:jc w:val="center"/>
              <w:rPr>
                <w:szCs w:val="18"/>
              </w:rPr>
            </w:pPr>
            <w:r w:rsidRPr="0091682C">
              <w:rPr>
                <w:szCs w:val="18"/>
              </w:rPr>
              <w:t>68.9%</w:t>
            </w:r>
          </w:p>
        </w:tc>
        <w:tc>
          <w:tcPr>
            <w:tcW w:w="2056" w:type="dxa"/>
            <w:tcBorders>
              <w:top w:val="single" w:sz="4" w:space="0" w:color="A6A6A6" w:themeColor="background1" w:themeShade="A6"/>
              <w:bottom w:val="single" w:sz="4" w:space="0" w:color="auto"/>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389,000</w:t>
            </w:r>
            <w:r w:rsidR="0091682C">
              <w:rPr>
                <w:szCs w:val="18"/>
              </w:rPr>
              <w:br/>
            </w:r>
            <w:r w:rsidRPr="0091682C">
              <w:rPr>
                <w:szCs w:val="18"/>
              </w:rPr>
              <w:t>(377,000–401,000)</w:t>
            </w:r>
          </w:p>
        </w:tc>
        <w:tc>
          <w:tcPr>
            <w:tcW w:w="1205" w:type="dxa"/>
            <w:tcBorders>
              <w:top w:val="single" w:sz="4" w:space="0" w:color="A6A6A6" w:themeColor="background1" w:themeShade="A6"/>
              <w:left w:val="single" w:sz="4" w:space="0" w:color="A6A6A6" w:themeColor="background1" w:themeShade="A6"/>
              <w:bottom w:val="single" w:sz="4" w:space="0" w:color="auto"/>
            </w:tcBorders>
          </w:tcPr>
          <w:p w:rsidR="00A16A93" w:rsidRPr="0091682C" w:rsidRDefault="00A16A93" w:rsidP="00504C41">
            <w:pPr>
              <w:pStyle w:val="TableText"/>
              <w:spacing w:before="30" w:after="30"/>
              <w:jc w:val="center"/>
              <w:rPr>
                <w:szCs w:val="18"/>
              </w:rPr>
            </w:pPr>
            <w:r w:rsidRPr="0091682C">
              <w:rPr>
                <w:szCs w:val="18"/>
              </w:rPr>
              <w:t>19.9%</w:t>
            </w:r>
          </w:p>
        </w:tc>
        <w:tc>
          <w:tcPr>
            <w:tcW w:w="1949" w:type="dxa"/>
            <w:tcBorders>
              <w:top w:val="single" w:sz="4" w:space="0" w:color="A6A6A6" w:themeColor="background1" w:themeShade="A6"/>
              <w:bottom w:val="single" w:sz="4" w:space="0" w:color="auto"/>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112,000</w:t>
            </w:r>
            <w:r w:rsidR="0091682C">
              <w:rPr>
                <w:szCs w:val="18"/>
              </w:rPr>
              <w:br/>
            </w:r>
            <w:r w:rsidRPr="0091682C">
              <w:rPr>
                <w:szCs w:val="18"/>
              </w:rPr>
              <w:t>(101,000–125,000)</w:t>
            </w:r>
          </w:p>
        </w:tc>
        <w:tc>
          <w:tcPr>
            <w:tcW w:w="1169" w:type="dxa"/>
            <w:tcBorders>
              <w:top w:val="single" w:sz="4" w:space="0" w:color="A6A6A6" w:themeColor="background1" w:themeShade="A6"/>
              <w:left w:val="single" w:sz="4" w:space="0" w:color="A6A6A6" w:themeColor="background1" w:themeShade="A6"/>
              <w:bottom w:val="single" w:sz="4" w:space="0" w:color="auto"/>
            </w:tcBorders>
          </w:tcPr>
          <w:p w:rsidR="00A16A93" w:rsidRPr="0091682C" w:rsidRDefault="00A16A93" w:rsidP="00504C41">
            <w:pPr>
              <w:pStyle w:val="TableText"/>
              <w:tabs>
                <w:tab w:val="decimal" w:pos="567"/>
              </w:tabs>
              <w:spacing w:before="30" w:after="30"/>
              <w:rPr>
                <w:szCs w:val="18"/>
              </w:rPr>
            </w:pPr>
            <w:r w:rsidRPr="0091682C">
              <w:rPr>
                <w:szCs w:val="18"/>
              </w:rPr>
              <w:t>6.8%</w:t>
            </w:r>
          </w:p>
        </w:tc>
        <w:tc>
          <w:tcPr>
            <w:tcW w:w="1985" w:type="dxa"/>
            <w:tcBorders>
              <w:top w:val="single" w:sz="4" w:space="0" w:color="A6A6A6" w:themeColor="background1" w:themeShade="A6"/>
              <w:bottom w:val="single" w:sz="4" w:space="0" w:color="auto"/>
            </w:tcBorders>
          </w:tcPr>
          <w:p w:rsidR="00A16A93" w:rsidRPr="0091682C" w:rsidRDefault="00A16A93" w:rsidP="00504C41">
            <w:pPr>
              <w:pStyle w:val="TableText"/>
              <w:spacing w:before="30" w:after="30"/>
              <w:jc w:val="center"/>
              <w:rPr>
                <w:szCs w:val="18"/>
              </w:rPr>
            </w:pPr>
            <w:r w:rsidRPr="0091682C">
              <w:rPr>
                <w:szCs w:val="18"/>
              </w:rPr>
              <w:t>38,000</w:t>
            </w:r>
            <w:r w:rsidR="0091682C">
              <w:rPr>
                <w:szCs w:val="18"/>
              </w:rPr>
              <w:br/>
            </w:r>
            <w:r w:rsidRPr="0091682C">
              <w:rPr>
                <w:szCs w:val="18"/>
              </w:rPr>
              <w:t>(32,000–46,000)</w:t>
            </w:r>
          </w:p>
        </w:tc>
      </w:tr>
      <w:tr w:rsidR="00947CC3" w:rsidRPr="00A16A93" w:rsidTr="000C1264">
        <w:trPr>
          <w:cantSplit/>
        </w:trPr>
        <w:tc>
          <w:tcPr>
            <w:tcW w:w="1985" w:type="dxa"/>
            <w:tcBorders>
              <w:top w:val="single" w:sz="4" w:space="0" w:color="auto"/>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rPr>
                <w:b/>
                <w:szCs w:val="18"/>
              </w:rPr>
            </w:pPr>
            <w:r w:rsidRPr="0091682C">
              <w:rPr>
                <w:b/>
                <w:szCs w:val="18"/>
              </w:rPr>
              <w:t>Neighbourhood d</w:t>
            </w:r>
            <w:r w:rsidR="0091682C">
              <w:rPr>
                <w:b/>
                <w:szCs w:val="18"/>
              </w:rPr>
              <w:t>eprivation quintile (NZDep2013)</w:t>
            </w:r>
          </w:p>
        </w:tc>
        <w:tc>
          <w:tcPr>
            <w:tcW w:w="1134" w:type="dxa"/>
            <w:tcBorders>
              <w:top w:val="single" w:sz="4" w:space="0" w:color="auto"/>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p>
        </w:tc>
        <w:tc>
          <w:tcPr>
            <w:tcW w:w="2020" w:type="dxa"/>
            <w:tcBorders>
              <w:top w:val="single" w:sz="4" w:space="0" w:color="auto"/>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p>
        </w:tc>
        <w:tc>
          <w:tcPr>
            <w:tcW w:w="1098" w:type="dxa"/>
            <w:tcBorders>
              <w:top w:val="single" w:sz="4" w:space="0" w:color="auto"/>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p>
        </w:tc>
        <w:tc>
          <w:tcPr>
            <w:tcW w:w="2056" w:type="dxa"/>
            <w:tcBorders>
              <w:top w:val="single" w:sz="4" w:space="0" w:color="auto"/>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p>
        </w:tc>
        <w:tc>
          <w:tcPr>
            <w:tcW w:w="1205" w:type="dxa"/>
            <w:tcBorders>
              <w:top w:val="single" w:sz="4" w:space="0" w:color="auto"/>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p>
        </w:tc>
        <w:tc>
          <w:tcPr>
            <w:tcW w:w="1949" w:type="dxa"/>
            <w:tcBorders>
              <w:top w:val="single" w:sz="4" w:space="0" w:color="auto"/>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p>
        </w:tc>
        <w:tc>
          <w:tcPr>
            <w:tcW w:w="1169" w:type="dxa"/>
            <w:tcBorders>
              <w:top w:val="single" w:sz="4" w:space="0" w:color="auto"/>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tabs>
                <w:tab w:val="decimal" w:pos="567"/>
              </w:tabs>
              <w:spacing w:before="30" w:after="30"/>
              <w:rPr>
                <w:szCs w:val="18"/>
              </w:rPr>
            </w:pPr>
          </w:p>
        </w:tc>
        <w:tc>
          <w:tcPr>
            <w:tcW w:w="1985" w:type="dxa"/>
            <w:tcBorders>
              <w:top w:val="single" w:sz="4" w:space="0" w:color="auto"/>
              <w:bottom w:val="single" w:sz="4" w:space="0" w:color="A6A6A6" w:themeColor="background1" w:themeShade="A6"/>
            </w:tcBorders>
          </w:tcPr>
          <w:p w:rsidR="00A16A93" w:rsidRPr="0091682C" w:rsidRDefault="00A16A93" w:rsidP="00504C41">
            <w:pPr>
              <w:pStyle w:val="TableText"/>
              <w:spacing w:before="30" w:after="30"/>
              <w:jc w:val="center"/>
              <w:rPr>
                <w:szCs w:val="18"/>
              </w:rPr>
            </w:pPr>
          </w:p>
        </w:tc>
      </w:tr>
      <w:tr w:rsidR="00A16A93" w:rsidRPr="00A16A93" w:rsidTr="000C1264">
        <w:trPr>
          <w:cantSplit/>
        </w:trPr>
        <w:tc>
          <w:tcPr>
            <w:tcW w:w="198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rPr>
                <w:szCs w:val="18"/>
              </w:rPr>
            </w:pPr>
            <w:r w:rsidRPr="0091682C">
              <w:rPr>
                <w:szCs w:val="18"/>
              </w:rPr>
              <w:t>Quintile 1</w:t>
            </w:r>
            <w:r w:rsidR="000C1264">
              <w:rPr>
                <w:szCs w:val="18"/>
              </w:rPr>
              <w:br/>
            </w:r>
            <w:r w:rsidRPr="0091682C">
              <w:rPr>
                <w:szCs w:val="18"/>
              </w:rPr>
              <w:t>(least deprived)</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5.0%</w:t>
            </w:r>
          </w:p>
        </w:tc>
        <w:tc>
          <w:tcPr>
            <w:tcW w:w="20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8,000</w:t>
            </w:r>
            <w:r w:rsidR="0091682C">
              <w:rPr>
                <w:szCs w:val="18"/>
              </w:rPr>
              <w:br/>
            </w:r>
            <w:r w:rsidRPr="0091682C">
              <w:rPr>
                <w:szCs w:val="18"/>
              </w:rPr>
              <w:t>(5,000–14,000)</w:t>
            </w:r>
          </w:p>
        </w:tc>
        <w:tc>
          <w:tcPr>
            <w:tcW w:w="109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74.6%</w:t>
            </w:r>
          </w:p>
        </w:tc>
        <w:tc>
          <w:tcPr>
            <w:tcW w:w="205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124,000</w:t>
            </w:r>
            <w:r w:rsidR="0091682C">
              <w:rPr>
                <w:szCs w:val="18"/>
              </w:rPr>
              <w:br/>
            </w:r>
            <w:r w:rsidRPr="0091682C">
              <w:rPr>
                <w:szCs w:val="18"/>
              </w:rPr>
              <w:t>(116,000–131,000)</w:t>
            </w:r>
          </w:p>
        </w:tc>
        <w:tc>
          <w:tcPr>
            <w:tcW w:w="120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16.4%</w:t>
            </w:r>
          </w:p>
        </w:tc>
        <w:tc>
          <w:tcPr>
            <w:tcW w:w="194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27,000</w:t>
            </w:r>
            <w:r w:rsidR="0091682C">
              <w:rPr>
                <w:szCs w:val="18"/>
              </w:rPr>
              <w:br/>
            </w:r>
            <w:r w:rsidRPr="0091682C">
              <w:rPr>
                <w:szCs w:val="18"/>
              </w:rPr>
              <w:t>(20,000-36,000)</w:t>
            </w:r>
          </w:p>
        </w:tc>
        <w:tc>
          <w:tcPr>
            <w:tcW w:w="116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tabs>
                <w:tab w:val="decimal" w:pos="567"/>
              </w:tabs>
              <w:spacing w:before="30" w:after="30"/>
              <w:rPr>
                <w:szCs w:val="18"/>
              </w:rPr>
            </w:pPr>
            <w:r w:rsidRPr="0091682C">
              <w:rPr>
                <w:szCs w:val="18"/>
              </w:rPr>
              <w:t>4.0%</w:t>
            </w:r>
          </w:p>
        </w:tc>
        <w:tc>
          <w:tcPr>
            <w:tcW w:w="1985" w:type="dxa"/>
            <w:tcBorders>
              <w:top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7,000</w:t>
            </w:r>
            <w:r w:rsidR="0091682C">
              <w:rPr>
                <w:szCs w:val="18"/>
              </w:rPr>
              <w:br/>
            </w:r>
            <w:r w:rsidRPr="0091682C">
              <w:rPr>
                <w:szCs w:val="18"/>
              </w:rPr>
              <w:t>(4,000–11,000)</w:t>
            </w:r>
          </w:p>
        </w:tc>
      </w:tr>
      <w:tr w:rsidR="00A16A93" w:rsidRPr="00A16A93" w:rsidTr="000C1264">
        <w:trPr>
          <w:cantSplit/>
        </w:trPr>
        <w:tc>
          <w:tcPr>
            <w:tcW w:w="198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rPr>
                <w:szCs w:val="18"/>
              </w:rPr>
            </w:pPr>
            <w:r w:rsidRPr="0091682C">
              <w:rPr>
                <w:szCs w:val="18"/>
              </w:rPr>
              <w:t>Quintile 2</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5.5%</w:t>
            </w:r>
          </w:p>
        </w:tc>
        <w:tc>
          <w:tcPr>
            <w:tcW w:w="20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9,000</w:t>
            </w:r>
            <w:r w:rsidR="0091682C">
              <w:rPr>
                <w:szCs w:val="18"/>
              </w:rPr>
              <w:br/>
            </w:r>
            <w:r w:rsidRPr="0091682C">
              <w:rPr>
                <w:szCs w:val="18"/>
              </w:rPr>
              <w:t>(5,000–14,000)</w:t>
            </w:r>
          </w:p>
        </w:tc>
        <w:tc>
          <w:tcPr>
            <w:tcW w:w="109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69.1%</w:t>
            </w:r>
          </w:p>
        </w:tc>
        <w:tc>
          <w:tcPr>
            <w:tcW w:w="205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107,000</w:t>
            </w:r>
            <w:r w:rsidR="0091682C">
              <w:rPr>
                <w:szCs w:val="18"/>
              </w:rPr>
              <w:br/>
            </w:r>
            <w:r w:rsidRPr="0091682C">
              <w:rPr>
                <w:szCs w:val="18"/>
              </w:rPr>
              <w:t>(99,000–114,000)</w:t>
            </w:r>
          </w:p>
        </w:tc>
        <w:tc>
          <w:tcPr>
            <w:tcW w:w="120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19.0%</w:t>
            </w:r>
          </w:p>
        </w:tc>
        <w:tc>
          <w:tcPr>
            <w:tcW w:w="194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29,000</w:t>
            </w:r>
            <w:r w:rsidR="0091682C">
              <w:rPr>
                <w:szCs w:val="18"/>
              </w:rPr>
              <w:br/>
            </w:r>
            <w:r w:rsidRPr="0091682C">
              <w:rPr>
                <w:szCs w:val="18"/>
              </w:rPr>
              <w:t>(23,000-37,000)</w:t>
            </w:r>
          </w:p>
        </w:tc>
        <w:tc>
          <w:tcPr>
            <w:tcW w:w="116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tabs>
                <w:tab w:val="decimal" w:pos="567"/>
              </w:tabs>
              <w:spacing w:before="30" w:after="30"/>
              <w:rPr>
                <w:szCs w:val="18"/>
              </w:rPr>
            </w:pPr>
            <w:r w:rsidRPr="0091682C">
              <w:rPr>
                <w:szCs w:val="18"/>
              </w:rPr>
              <w:t>6.4%</w:t>
            </w:r>
          </w:p>
        </w:tc>
        <w:tc>
          <w:tcPr>
            <w:tcW w:w="1985" w:type="dxa"/>
            <w:tcBorders>
              <w:top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10,000</w:t>
            </w:r>
            <w:r w:rsidR="000C1264">
              <w:rPr>
                <w:szCs w:val="18"/>
              </w:rPr>
              <w:br/>
            </w:r>
            <w:r w:rsidRPr="0091682C">
              <w:rPr>
                <w:szCs w:val="18"/>
              </w:rPr>
              <w:t>(7,000–15,000)</w:t>
            </w:r>
          </w:p>
        </w:tc>
      </w:tr>
      <w:tr w:rsidR="00A16A93" w:rsidRPr="00A16A93" w:rsidTr="000C1264">
        <w:trPr>
          <w:cantSplit/>
        </w:trPr>
        <w:tc>
          <w:tcPr>
            <w:tcW w:w="198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rPr>
                <w:szCs w:val="18"/>
              </w:rPr>
            </w:pPr>
            <w:r w:rsidRPr="0091682C">
              <w:rPr>
                <w:szCs w:val="18"/>
              </w:rPr>
              <w:t>Quintile 3</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3.9%</w:t>
            </w:r>
          </w:p>
        </w:tc>
        <w:tc>
          <w:tcPr>
            <w:tcW w:w="20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5,000</w:t>
            </w:r>
            <w:r w:rsidR="0091682C">
              <w:rPr>
                <w:szCs w:val="18"/>
              </w:rPr>
              <w:br/>
            </w:r>
            <w:r w:rsidRPr="0091682C">
              <w:rPr>
                <w:szCs w:val="18"/>
              </w:rPr>
              <w:t>(3,000–9,000)</w:t>
            </w:r>
          </w:p>
        </w:tc>
        <w:tc>
          <w:tcPr>
            <w:tcW w:w="109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66.9%</w:t>
            </w:r>
          </w:p>
        </w:tc>
        <w:tc>
          <w:tcPr>
            <w:tcW w:w="205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94,000</w:t>
            </w:r>
            <w:r w:rsidR="0091682C">
              <w:rPr>
                <w:szCs w:val="18"/>
              </w:rPr>
              <w:br/>
            </w:r>
            <w:r w:rsidRPr="0091682C">
              <w:rPr>
                <w:szCs w:val="18"/>
              </w:rPr>
              <w:t>(87,000–100,000)</w:t>
            </w:r>
          </w:p>
        </w:tc>
        <w:tc>
          <w:tcPr>
            <w:tcW w:w="120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19.7%</w:t>
            </w:r>
          </w:p>
        </w:tc>
        <w:tc>
          <w:tcPr>
            <w:tcW w:w="194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28,000</w:t>
            </w:r>
            <w:r w:rsidR="0091682C">
              <w:rPr>
                <w:szCs w:val="18"/>
              </w:rPr>
              <w:br/>
            </w:r>
            <w:r w:rsidRPr="0091682C">
              <w:rPr>
                <w:szCs w:val="18"/>
              </w:rPr>
              <w:t>(23,000-33,000)</w:t>
            </w:r>
          </w:p>
        </w:tc>
        <w:tc>
          <w:tcPr>
            <w:tcW w:w="116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tabs>
                <w:tab w:val="decimal" w:pos="567"/>
              </w:tabs>
              <w:spacing w:before="30" w:after="30"/>
              <w:rPr>
                <w:szCs w:val="18"/>
              </w:rPr>
            </w:pPr>
            <w:r w:rsidRPr="0091682C">
              <w:rPr>
                <w:szCs w:val="18"/>
              </w:rPr>
              <w:t>9.5%</w:t>
            </w:r>
          </w:p>
        </w:tc>
        <w:tc>
          <w:tcPr>
            <w:tcW w:w="1985" w:type="dxa"/>
            <w:tcBorders>
              <w:top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13,000</w:t>
            </w:r>
            <w:r w:rsidR="0091682C">
              <w:rPr>
                <w:szCs w:val="18"/>
              </w:rPr>
              <w:br/>
            </w:r>
            <w:r w:rsidRPr="0091682C">
              <w:rPr>
                <w:szCs w:val="18"/>
              </w:rPr>
              <w:t>(10,000–18,000)</w:t>
            </w:r>
          </w:p>
        </w:tc>
      </w:tr>
      <w:tr w:rsidR="00A16A93" w:rsidRPr="00A16A93" w:rsidTr="000C1264">
        <w:trPr>
          <w:cantSplit/>
        </w:trPr>
        <w:tc>
          <w:tcPr>
            <w:tcW w:w="198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rPr>
                <w:szCs w:val="18"/>
              </w:rPr>
            </w:pPr>
            <w:r w:rsidRPr="0091682C">
              <w:rPr>
                <w:szCs w:val="18"/>
              </w:rPr>
              <w:t>Quintile 4</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2.9%</w:t>
            </w:r>
          </w:p>
        </w:tc>
        <w:tc>
          <w:tcPr>
            <w:tcW w:w="20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4,000</w:t>
            </w:r>
            <w:r w:rsidR="0091682C">
              <w:rPr>
                <w:szCs w:val="18"/>
              </w:rPr>
              <w:br/>
            </w:r>
            <w:r w:rsidRPr="0091682C">
              <w:rPr>
                <w:szCs w:val="18"/>
              </w:rPr>
              <w:t>(2,000–7,000)</w:t>
            </w:r>
          </w:p>
        </w:tc>
        <w:tc>
          <w:tcPr>
            <w:tcW w:w="109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61.5%</w:t>
            </w:r>
          </w:p>
        </w:tc>
        <w:tc>
          <w:tcPr>
            <w:tcW w:w="205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91,000</w:t>
            </w:r>
            <w:r w:rsidR="0091682C">
              <w:rPr>
                <w:szCs w:val="18"/>
              </w:rPr>
              <w:br/>
            </w:r>
            <w:r w:rsidRPr="0091682C">
              <w:rPr>
                <w:szCs w:val="18"/>
              </w:rPr>
              <w:t>(83,000–98,000)</w:t>
            </w:r>
          </w:p>
        </w:tc>
        <w:tc>
          <w:tcPr>
            <w:tcW w:w="120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23.4%</w:t>
            </w:r>
          </w:p>
        </w:tc>
        <w:tc>
          <w:tcPr>
            <w:tcW w:w="194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35,000</w:t>
            </w:r>
            <w:r w:rsidR="0091682C">
              <w:rPr>
                <w:szCs w:val="18"/>
              </w:rPr>
              <w:br/>
            </w:r>
            <w:r w:rsidRPr="0091682C">
              <w:rPr>
                <w:szCs w:val="18"/>
              </w:rPr>
              <w:t>(29,000-41,000)</w:t>
            </w:r>
          </w:p>
        </w:tc>
        <w:tc>
          <w:tcPr>
            <w:tcW w:w="116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A16A93" w:rsidRPr="0091682C" w:rsidRDefault="00A16A93" w:rsidP="00504C41">
            <w:pPr>
              <w:pStyle w:val="TableText"/>
              <w:tabs>
                <w:tab w:val="decimal" w:pos="567"/>
              </w:tabs>
              <w:spacing w:before="30" w:after="30"/>
              <w:rPr>
                <w:szCs w:val="18"/>
              </w:rPr>
            </w:pPr>
            <w:r w:rsidRPr="0091682C">
              <w:rPr>
                <w:szCs w:val="18"/>
              </w:rPr>
              <w:t>12.1%</w:t>
            </w:r>
          </w:p>
        </w:tc>
        <w:tc>
          <w:tcPr>
            <w:tcW w:w="1985" w:type="dxa"/>
            <w:tcBorders>
              <w:top w:val="single" w:sz="4" w:space="0" w:color="A6A6A6" w:themeColor="background1" w:themeShade="A6"/>
              <w:bottom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18,000</w:t>
            </w:r>
            <w:r w:rsidR="0091682C">
              <w:rPr>
                <w:szCs w:val="18"/>
              </w:rPr>
              <w:br/>
            </w:r>
            <w:r w:rsidRPr="0091682C">
              <w:rPr>
                <w:szCs w:val="18"/>
              </w:rPr>
              <w:t>(14,000–23,000)</w:t>
            </w:r>
          </w:p>
        </w:tc>
      </w:tr>
      <w:tr w:rsidR="00947CC3" w:rsidRPr="00A16A93" w:rsidTr="000C1264">
        <w:trPr>
          <w:cantSplit/>
        </w:trPr>
        <w:tc>
          <w:tcPr>
            <w:tcW w:w="1985" w:type="dxa"/>
            <w:tcBorders>
              <w:top w:val="single" w:sz="4" w:space="0" w:color="A6A6A6" w:themeColor="background1" w:themeShade="A6"/>
              <w:bottom w:val="single" w:sz="4" w:space="0" w:color="auto"/>
              <w:right w:val="single" w:sz="4" w:space="0" w:color="A6A6A6" w:themeColor="background1" w:themeShade="A6"/>
            </w:tcBorders>
          </w:tcPr>
          <w:p w:rsidR="00A16A93" w:rsidRPr="0091682C" w:rsidRDefault="00A16A93" w:rsidP="00504C41">
            <w:pPr>
              <w:pStyle w:val="TableText"/>
              <w:spacing w:before="30" w:after="30"/>
              <w:rPr>
                <w:szCs w:val="18"/>
              </w:rPr>
            </w:pPr>
            <w:r w:rsidRPr="0091682C">
              <w:rPr>
                <w:szCs w:val="18"/>
              </w:rPr>
              <w:t>Quintile 5</w:t>
            </w:r>
            <w:r w:rsidR="000C1264">
              <w:rPr>
                <w:szCs w:val="18"/>
              </w:rPr>
              <w:br/>
            </w:r>
            <w:r w:rsidRPr="0091682C">
              <w:rPr>
                <w:szCs w:val="18"/>
              </w:rPr>
              <w:t>(most deprived)</w:t>
            </w:r>
          </w:p>
        </w:tc>
        <w:tc>
          <w:tcPr>
            <w:tcW w:w="1134" w:type="dxa"/>
            <w:tcBorders>
              <w:top w:val="single" w:sz="4" w:space="0" w:color="A6A6A6" w:themeColor="background1" w:themeShade="A6"/>
              <w:left w:val="single" w:sz="4" w:space="0" w:color="A6A6A6" w:themeColor="background1" w:themeShade="A6"/>
              <w:bottom w:val="single" w:sz="4" w:space="0" w:color="auto"/>
            </w:tcBorders>
          </w:tcPr>
          <w:p w:rsidR="00A16A93" w:rsidRPr="0091682C" w:rsidRDefault="00A16A93" w:rsidP="00504C41">
            <w:pPr>
              <w:pStyle w:val="TableText"/>
              <w:spacing w:before="30" w:after="30"/>
              <w:jc w:val="center"/>
              <w:rPr>
                <w:szCs w:val="18"/>
              </w:rPr>
            </w:pPr>
            <w:r w:rsidRPr="0091682C">
              <w:rPr>
                <w:szCs w:val="18"/>
              </w:rPr>
              <w:t>4.1%</w:t>
            </w:r>
          </w:p>
        </w:tc>
        <w:tc>
          <w:tcPr>
            <w:tcW w:w="2020" w:type="dxa"/>
            <w:tcBorders>
              <w:top w:val="single" w:sz="4" w:space="0" w:color="A6A6A6" w:themeColor="background1" w:themeShade="A6"/>
              <w:bottom w:val="single" w:sz="4" w:space="0" w:color="auto"/>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8,000</w:t>
            </w:r>
            <w:r w:rsidR="0091682C">
              <w:rPr>
                <w:szCs w:val="18"/>
              </w:rPr>
              <w:br/>
            </w:r>
            <w:r w:rsidRPr="0091682C">
              <w:rPr>
                <w:szCs w:val="18"/>
              </w:rPr>
              <w:t>(5,000–11,000)</w:t>
            </w:r>
          </w:p>
        </w:tc>
        <w:tc>
          <w:tcPr>
            <w:tcW w:w="1098" w:type="dxa"/>
            <w:tcBorders>
              <w:top w:val="single" w:sz="4" w:space="0" w:color="A6A6A6" w:themeColor="background1" w:themeShade="A6"/>
              <w:left w:val="single" w:sz="4" w:space="0" w:color="A6A6A6" w:themeColor="background1" w:themeShade="A6"/>
              <w:bottom w:val="single" w:sz="4" w:space="0" w:color="auto"/>
            </w:tcBorders>
          </w:tcPr>
          <w:p w:rsidR="00A16A93" w:rsidRPr="0091682C" w:rsidRDefault="00A16A93" w:rsidP="00504C41">
            <w:pPr>
              <w:pStyle w:val="TableText"/>
              <w:spacing w:before="30" w:after="30"/>
              <w:jc w:val="center"/>
              <w:rPr>
                <w:szCs w:val="18"/>
              </w:rPr>
            </w:pPr>
            <w:r w:rsidRPr="0091682C">
              <w:rPr>
                <w:szCs w:val="18"/>
              </w:rPr>
              <w:t>49.6%</w:t>
            </w:r>
          </w:p>
        </w:tc>
        <w:tc>
          <w:tcPr>
            <w:tcW w:w="2056" w:type="dxa"/>
            <w:tcBorders>
              <w:top w:val="single" w:sz="4" w:space="0" w:color="A6A6A6" w:themeColor="background1" w:themeShade="A6"/>
              <w:bottom w:val="single" w:sz="4" w:space="0" w:color="auto"/>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93,000</w:t>
            </w:r>
            <w:r w:rsidR="0091682C">
              <w:rPr>
                <w:szCs w:val="18"/>
              </w:rPr>
              <w:br/>
            </w:r>
            <w:r w:rsidRPr="0091682C">
              <w:rPr>
                <w:szCs w:val="18"/>
              </w:rPr>
              <w:t>(84,000–101,000)</w:t>
            </w:r>
          </w:p>
        </w:tc>
        <w:tc>
          <w:tcPr>
            <w:tcW w:w="1205" w:type="dxa"/>
            <w:tcBorders>
              <w:top w:val="single" w:sz="4" w:space="0" w:color="A6A6A6" w:themeColor="background1" w:themeShade="A6"/>
              <w:left w:val="single" w:sz="4" w:space="0" w:color="A6A6A6" w:themeColor="background1" w:themeShade="A6"/>
              <w:bottom w:val="single" w:sz="4" w:space="0" w:color="auto"/>
            </w:tcBorders>
          </w:tcPr>
          <w:p w:rsidR="00A16A93" w:rsidRPr="0091682C" w:rsidRDefault="00A16A93" w:rsidP="00504C41">
            <w:pPr>
              <w:pStyle w:val="TableText"/>
              <w:spacing w:before="30" w:after="30"/>
              <w:jc w:val="center"/>
              <w:rPr>
                <w:szCs w:val="18"/>
              </w:rPr>
            </w:pPr>
            <w:r w:rsidRPr="0091682C">
              <w:rPr>
                <w:szCs w:val="18"/>
              </w:rPr>
              <w:t>26.4%</w:t>
            </w:r>
          </w:p>
        </w:tc>
        <w:tc>
          <w:tcPr>
            <w:tcW w:w="1949" w:type="dxa"/>
            <w:tcBorders>
              <w:top w:val="single" w:sz="4" w:space="0" w:color="A6A6A6" w:themeColor="background1" w:themeShade="A6"/>
              <w:bottom w:val="single" w:sz="4" w:space="0" w:color="auto"/>
              <w:right w:val="single" w:sz="4" w:space="0" w:color="A6A6A6" w:themeColor="background1" w:themeShade="A6"/>
            </w:tcBorders>
          </w:tcPr>
          <w:p w:rsidR="00A16A93" w:rsidRPr="0091682C" w:rsidRDefault="00A16A93" w:rsidP="00504C41">
            <w:pPr>
              <w:pStyle w:val="TableText"/>
              <w:spacing w:before="30" w:after="30"/>
              <w:jc w:val="center"/>
              <w:rPr>
                <w:szCs w:val="18"/>
              </w:rPr>
            </w:pPr>
            <w:r w:rsidRPr="0091682C">
              <w:rPr>
                <w:szCs w:val="18"/>
              </w:rPr>
              <w:t>49,000</w:t>
            </w:r>
            <w:r w:rsidR="0091682C">
              <w:rPr>
                <w:szCs w:val="18"/>
              </w:rPr>
              <w:br/>
            </w:r>
            <w:r w:rsidRPr="0091682C">
              <w:rPr>
                <w:szCs w:val="18"/>
              </w:rPr>
              <w:t>(43,000-57,000)</w:t>
            </w:r>
          </w:p>
        </w:tc>
        <w:tc>
          <w:tcPr>
            <w:tcW w:w="1169" w:type="dxa"/>
            <w:tcBorders>
              <w:top w:val="single" w:sz="4" w:space="0" w:color="A6A6A6" w:themeColor="background1" w:themeShade="A6"/>
              <w:left w:val="single" w:sz="4" w:space="0" w:color="A6A6A6" w:themeColor="background1" w:themeShade="A6"/>
              <w:bottom w:val="single" w:sz="4" w:space="0" w:color="auto"/>
            </w:tcBorders>
          </w:tcPr>
          <w:p w:rsidR="00A16A93" w:rsidRPr="0091682C" w:rsidRDefault="00A16A93" w:rsidP="00504C41">
            <w:pPr>
              <w:pStyle w:val="TableText"/>
              <w:tabs>
                <w:tab w:val="decimal" w:pos="567"/>
              </w:tabs>
              <w:spacing w:before="30" w:after="30"/>
              <w:rPr>
                <w:szCs w:val="18"/>
              </w:rPr>
            </w:pPr>
            <w:r w:rsidRPr="0091682C">
              <w:rPr>
                <w:szCs w:val="18"/>
              </w:rPr>
              <w:t>20.0%</w:t>
            </w:r>
          </w:p>
        </w:tc>
        <w:tc>
          <w:tcPr>
            <w:tcW w:w="1985" w:type="dxa"/>
            <w:tcBorders>
              <w:top w:val="single" w:sz="4" w:space="0" w:color="A6A6A6" w:themeColor="background1" w:themeShade="A6"/>
              <w:bottom w:val="single" w:sz="4" w:space="0" w:color="auto"/>
            </w:tcBorders>
          </w:tcPr>
          <w:p w:rsidR="00A16A93" w:rsidRPr="0091682C" w:rsidRDefault="00A16A93" w:rsidP="00504C41">
            <w:pPr>
              <w:pStyle w:val="TableText"/>
              <w:spacing w:before="30" w:after="30"/>
              <w:jc w:val="center"/>
              <w:rPr>
                <w:szCs w:val="18"/>
              </w:rPr>
            </w:pPr>
            <w:r w:rsidRPr="0091682C">
              <w:rPr>
                <w:szCs w:val="18"/>
              </w:rPr>
              <w:t>37,000</w:t>
            </w:r>
            <w:r w:rsidR="0091682C">
              <w:rPr>
                <w:szCs w:val="18"/>
              </w:rPr>
              <w:br/>
            </w:r>
            <w:r w:rsidRPr="0091682C">
              <w:rPr>
                <w:szCs w:val="18"/>
              </w:rPr>
              <w:t>(32,000–44,000)</w:t>
            </w:r>
          </w:p>
        </w:tc>
      </w:tr>
    </w:tbl>
    <w:p w:rsidR="00A16A93" w:rsidRPr="00A16A93" w:rsidRDefault="00A16A93" w:rsidP="00504C41">
      <w:pPr>
        <w:pStyle w:val="Source"/>
        <w:spacing w:before="40"/>
        <w:rPr>
          <w:rFonts w:cs="Arial"/>
        </w:rPr>
      </w:pPr>
      <w:r w:rsidRPr="00A16A93">
        <w:rPr>
          <w:rFonts w:cs="Arial"/>
        </w:rPr>
        <w:t xml:space="preserve">Source: </w:t>
      </w:r>
      <w:hyperlink r:id="rId69" w:history="1">
        <w:r w:rsidRPr="00A16A93">
          <w:rPr>
            <w:rStyle w:val="Hyperlink"/>
            <w:rFonts w:cs="Arial"/>
          </w:rPr>
          <w:t>Ministry of Health 2016d</w:t>
        </w:r>
      </w:hyperlink>
    </w:p>
    <w:p w:rsidR="006A4849" w:rsidRPr="006A4849" w:rsidRDefault="00A16A93" w:rsidP="00EA2789">
      <w:pPr>
        <w:pStyle w:val="Note"/>
        <w:spacing w:before="40"/>
      </w:pPr>
      <w:r w:rsidRPr="00A16A93">
        <w:t>Note:</w:t>
      </w:r>
      <w:r w:rsidR="006A4849">
        <w:t xml:space="preserve"> </w:t>
      </w:r>
      <w:r w:rsidRPr="00A16A93">
        <w:t xml:space="preserve">The estimated numbers of children in each weight category and group are rounded to the nearest 1,000. For more information on how these numbers are calculated, please see section 7 of </w:t>
      </w:r>
      <w:hyperlink r:id="rId70" w:history="1">
        <w:r w:rsidRPr="006A4849">
          <w:rPr>
            <w:rStyle w:val="Hyperlink"/>
          </w:rPr>
          <w:t>Ministry of Health 2016b</w:t>
        </w:r>
      </w:hyperlink>
      <w:r w:rsidRPr="00A16A93">
        <w:t>.</w:t>
      </w:r>
    </w:p>
    <w:p w:rsidR="0091682C" w:rsidRDefault="0091682C" w:rsidP="006A4849">
      <w:pPr>
        <w:pStyle w:val="Heading2"/>
        <w:sectPr w:rsidR="0091682C" w:rsidSect="00504C41">
          <w:pgSz w:w="16834" w:h="11907" w:orient="landscape" w:code="9"/>
          <w:pgMar w:top="709" w:right="1134" w:bottom="851" w:left="1134" w:header="284" w:footer="567" w:gutter="0"/>
          <w:cols w:space="720"/>
          <w:docGrid w:linePitch="299"/>
        </w:sectPr>
      </w:pPr>
      <w:bookmarkStart w:id="104" w:name="_Toc480457792"/>
      <w:bookmarkStart w:id="105" w:name="_Toc480534248"/>
    </w:p>
    <w:p w:rsidR="00A16A93" w:rsidRPr="00A16A93" w:rsidRDefault="00A16A93" w:rsidP="00521B12">
      <w:pPr>
        <w:pStyle w:val="Heading2"/>
        <w:spacing w:before="0"/>
      </w:pPr>
      <w:r w:rsidRPr="00A16A93">
        <w:lastRenderedPageBreak/>
        <w:t>Indicator 13: Gestational diabetes</w:t>
      </w:r>
      <w:bookmarkEnd w:id="104"/>
      <w:bookmarkEnd w:id="105"/>
    </w:p>
    <w:p w:rsidR="00A16A93" w:rsidRPr="00A16A93" w:rsidRDefault="00A16A93" w:rsidP="006A4849">
      <w:pPr>
        <w:pStyle w:val="Heading3"/>
      </w:pPr>
      <w:bookmarkStart w:id="106" w:name="_Toc480457793"/>
      <w:r w:rsidRPr="00A16A93">
        <w:t>Description</w:t>
      </w:r>
      <w:bookmarkEnd w:id="106"/>
    </w:p>
    <w:p w:rsidR="00A16A93" w:rsidRPr="00A16A93" w:rsidRDefault="00A16A93" w:rsidP="006A4849">
      <w:r w:rsidRPr="00A16A93">
        <w:t>This indicator measures the percentage of births where the mother had gestational diabetes.</w:t>
      </w:r>
    </w:p>
    <w:p w:rsidR="00A16A93" w:rsidRPr="00A16A93" w:rsidRDefault="00A16A93" w:rsidP="006A4849"/>
    <w:p w:rsidR="00A16A93" w:rsidRPr="00A16A93" w:rsidRDefault="00A16A93" w:rsidP="006A4849">
      <w:r w:rsidRPr="00A16A93">
        <w:t>Gestational diabetes is a form of diabetes that is first detected in pregnancy and resolves following the birth of the baby. It occurs when a pregnant woman cannot produce enough insulin (a woman’s insulin needs are two to three times higher during pregnancy), causing the level of glucose in her blood to rise.</w:t>
      </w:r>
    </w:p>
    <w:p w:rsidR="00A16A93" w:rsidRPr="00A16A93" w:rsidRDefault="00A16A93" w:rsidP="006A4849"/>
    <w:p w:rsidR="00A16A93" w:rsidRPr="00A16A93" w:rsidRDefault="00A16A93" w:rsidP="006A4849">
      <w:r w:rsidRPr="00A16A93">
        <w:t>Gestational diabetes poses a number of risks to mothers and their babies. For the baby, it can cause prolonged newborn jaundice, low levels of calcium in the blood and respiratory distress syndrome (</w:t>
      </w:r>
      <w:hyperlink r:id="rId71" w:history="1">
        <w:r w:rsidRPr="006A4849">
          <w:rPr>
            <w:rStyle w:val="Hyperlink"/>
          </w:rPr>
          <w:t>Diabetes New Zealand 2016</w:t>
        </w:r>
      </w:hyperlink>
      <w:r w:rsidRPr="00A16A93">
        <w:t>). It can also cause babies to be very large at birth; babies who are too large at birth have a much higher risk of developing serious problems following their birth and are more likely to become obese later in life.</w:t>
      </w:r>
    </w:p>
    <w:p w:rsidR="00A16A93" w:rsidRPr="00A16A93" w:rsidRDefault="00A16A93" w:rsidP="006A4849"/>
    <w:p w:rsidR="00A16A93" w:rsidRPr="00A16A93" w:rsidRDefault="00A16A93" w:rsidP="006A4849">
      <w:r w:rsidRPr="00A16A93">
        <w:t>All women diagnosed with gestational diabetes should be offered treatment including specialised dietary and lifestyle advice (</w:t>
      </w:r>
      <w:hyperlink r:id="rId72" w:history="1">
        <w:r w:rsidRPr="006A4849">
          <w:rPr>
            <w:rStyle w:val="Hyperlink"/>
          </w:rPr>
          <w:t>Ministry of Health 2014</w:t>
        </w:r>
      </w:hyperlink>
      <w:r w:rsidRPr="00A16A93">
        <w:t>). There is good evidence to suggest that treatment improves maternal, fetal and neonatal outcomes.</w:t>
      </w:r>
    </w:p>
    <w:p w:rsidR="00A16A93" w:rsidRPr="00A16A93" w:rsidRDefault="00A16A93" w:rsidP="006A4849"/>
    <w:p w:rsidR="00A16A93" w:rsidRPr="00A16A93" w:rsidRDefault="00A16A93" w:rsidP="006A4849">
      <w:pPr>
        <w:pStyle w:val="Heading3"/>
      </w:pPr>
      <w:bookmarkStart w:id="107" w:name="_Toc480457794"/>
      <w:r w:rsidRPr="00A16A93">
        <w:t>Baseline performance</w:t>
      </w:r>
      <w:bookmarkEnd w:id="107"/>
    </w:p>
    <w:p w:rsidR="00A16A93" w:rsidRPr="006A4849" w:rsidRDefault="00A16A93" w:rsidP="006A4849">
      <w:r w:rsidRPr="006A4849">
        <w:t xml:space="preserve">The data for this indicator comes from the Ministry of Health’s </w:t>
      </w:r>
      <w:hyperlink r:id="rId73" w:history="1">
        <w:r w:rsidRPr="006A4849">
          <w:rPr>
            <w:rStyle w:val="Hyperlink"/>
          </w:rPr>
          <w:t>National Minimum Data Set</w:t>
        </w:r>
      </w:hyperlink>
      <w:r w:rsidRPr="006A4849">
        <w:t>. It excludes women who had a stillborn baby and any women who gave birth outside of a hospital (in 2015/16, 94.2% of New Zealand women had their baby in hospital).</w:t>
      </w:r>
    </w:p>
    <w:p w:rsidR="00A16A93" w:rsidRPr="00A16A93" w:rsidRDefault="00A16A93" w:rsidP="006A4849"/>
    <w:p w:rsidR="00A16A93" w:rsidRPr="00A16A93" w:rsidRDefault="00A16A93" w:rsidP="006A4849">
      <w:r w:rsidRPr="00A16A93">
        <w:t>This report presents data from 2015/16, broken down by ethnic group and neighbourhood deprivation quintile.</w:t>
      </w:r>
    </w:p>
    <w:p w:rsidR="00A16A93" w:rsidRPr="00A16A93" w:rsidRDefault="00A16A93" w:rsidP="006A4849"/>
    <w:p w:rsidR="00A16A93" w:rsidRPr="00A16A93" w:rsidRDefault="00A16A93" w:rsidP="006A4849">
      <w:pPr>
        <w:pStyle w:val="Table"/>
      </w:pPr>
      <w:bookmarkStart w:id="108" w:name="_Toc480534264"/>
      <w:r w:rsidRPr="00A16A93">
        <w:t>Table 12: Number and percentage of births where the mother had gestational diabetes, 2015/16</w:t>
      </w:r>
      <w:bookmarkEnd w:id="108"/>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835"/>
        <w:gridCol w:w="2173"/>
        <w:gridCol w:w="2174"/>
        <w:gridCol w:w="2174"/>
      </w:tblGrid>
      <w:tr w:rsidR="00A16A93" w:rsidRPr="00521B12" w:rsidTr="00521B12">
        <w:trPr>
          <w:cantSplit/>
        </w:trPr>
        <w:tc>
          <w:tcPr>
            <w:tcW w:w="2835" w:type="dxa"/>
            <w:tcBorders>
              <w:top w:val="single" w:sz="4" w:space="0" w:color="auto"/>
              <w:bottom w:val="single" w:sz="4" w:space="0" w:color="auto"/>
            </w:tcBorders>
          </w:tcPr>
          <w:p w:rsidR="00A16A93" w:rsidRPr="00521B12" w:rsidRDefault="00A16A93" w:rsidP="00521B12">
            <w:pPr>
              <w:pStyle w:val="TableText"/>
              <w:rPr>
                <w:b/>
              </w:rPr>
            </w:pPr>
          </w:p>
        </w:tc>
        <w:tc>
          <w:tcPr>
            <w:tcW w:w="2173" w:type="dxa"/>
            <w:tcBorders>
              <w:top w:val="single" w:sz="4" w:space="0" w:color="auto"/>
              <w:bottom w:val="single" w:sz="4" w:space="0" w:color="auto"/>
            </w:tcBorders>
          </w:tcPr>
          <w:p w:rsidR="00A16A93" w:rsidRPr="00521B12" w:rsidRDefault="00A16A93" w:rsidP="00521B12">
            <w:pPr>
              <w:pStyle w:val="TableText"/>
              <w:jc w:val="center"/>
              <w:rPr>
                <w:b/>
              </w:rPr>
            </w:pPr>
            <w:r w:rsidRPr="00521B12">
              <w:rPr>
                <w:b/>
              </w:rPr>
              <w:t>Number of births</w:t>
            </w:r>
          </w:p>
        </w:tc>
        <w:tc>
          <w:tcPr>
            <w:tcW w:w="2174" w:type="dxa"/>
            <w:tcBorders>
              <w:top w:val="single" w:sz="4" w:space="0" w:color="auto"/>
              <w:bottom w:val="single" w:sz="4" w:space="0" w:color="auto"/>
            </w:tcBorders>
          </w:tcPr>
          <w:p w:rsidR="00A16A93" w:rsidRPr="00521B12" w:rsidRDefault="00A16A93" w:rsidP="00521B12">
            <w:pPr>
              <w:pStyle w:val="TableText"/>
              <w:jc w:val="center"/>
              <w:rPr>
                <w:b/>
              </w:rPr>
            </w:pPr>
            <w:r w:rsidRPr="00521B12">
              <w:rPr>
                <w:b/>
              </w:rPr>
              <w:t>Number of mothers with gestational diabetes</w:t>
            </w:r>
          </w:p>
        </w:tc>
        <w:tc>
          <w:tcPr>
            <w:tcW w:w="2174" w:type="dxa"/>
            <w:tcBorders>
              <w:top w:val="single" w:sz="4" w:space="0" w:color="auto"/>
              <w:bottom w:val="single" w:sz="4" w:space="0" w:color="auto"/>
            </w:tcBorders>
          </w:tcPr>
          <w:p w:rsidR="00A16A93" w:rsidRPr="00521B12" w:rsidRDefault="00A16A93" w:rsidP="00521B12">
            <w:pPr>
              <w:pStyle w:val="TableText"/>
              <w:jc w:val="center"/>
              <w:rPr>
                <w:b/>
              </w:rPr>
            </w:pPr>
            <w:r w:rsidRPr="00521B12">
              <w:rPr>
                <w:b/>
              </w:rPr>
              <w:t>Births where the mother had gestational diabetes</w:t>
            </w:r>
          </w:p>
        </w:tc>
      </w:tr>
      <w:tr w:rsidR="00521B12" w:rsidRPr="00A16A93" w:rsidTr="00521B12">
        <w:trPr>
          <w:cantSplit/>
        </w:trPr>
        <w:tc>
          <w:tcPr>
            <w:tcW w:w="2835" w:type="dxa"/>
            <w:tcBorders>
              <w:top w:val="single" w:sz="4" w:space="0" w:color="auto"/>
              <w:bottom w:val="single" w:sz="4" w:space="0" w:color="A6A6A6" w:themeColor="background1" w:themeShade="A6"/>
            </w:tcBorders>
          </w:tcPr>
          <w:p w:rsidR="00521B12" w:rsidRPr="00521B12" w:rsidRDefault="00521B12" w:rsidP="00521B12">
            <w:pPr>
              <w:pStyle w:val="TableText"/>
            </w:pPr>
            <w:r w:rsidRPr="00521B12">
              <w:rPr>
                <w:b/>
              </w:rPr>
              <w:t>Population group</w:t>
            </w:r>
          </w:p>
        </w:tc>
        <w:tc>
          <w:tcPr>
            <w:tcW w:w="2173" w:type="dxa"/>
            <w:tcBorders>
              <w:top w:val="single" w:sz="4" w:space="0" w:color="auto"/>
              <w:bottom w:val="single" w:sz="4" w:space="0" w:color="A6A6A6" w:themeColor="background1" w:themeShade="A6"/>
            </w:tcBorders>
          </w:tcPr>
          <w:p w:rsidR="00521B12" w:rsidRPr="00521B12" w:rsidRDefault="00521B12" w:rsidP="00521B12">
            <w:pPr>
              <w:pStyle w:val="TableText"/>
              <w:tabs>
                <w:tab w:val="decimal" w:pos="1361"/>
              </w:tabs>
            </w:pPr>
          </w:p>
        </w:tc>
        <w:tc>
          <w:tcPr>
            <w:tcW w:w="2174" w:type="dxa"/>
            <w:tcBorders>
              <w:top w:val="single" w:sz="4" w:space="0" w:color="auto"/>
              <w:bottom w:val="single" w:sz="4" w:space="0" w:color="A6A6A6" w:themeColor="background1" w:themeShade="A6"/>
            </w:tcBorders>
          </w:tcPr>
          <w:p w:rsidR="00521B12" w:rsidRPr="00521B12" w:rsidRDefault="00521B12" w:rsidP="00521B12">
            <w:pPr>
              <w:pStyle w:val="TableText"/>
              <w:tabs>
                <w:tab w:val="decimal" w:pos="1218"/>
              </w:tabs>
            </w:pPr>
          </w:p>
        </w:tc>
        <w:tc>
          <w:tcPr>
            <w:tcW w:w="2174" w:type="dxa"/>
            <w:tcBorders>
              <w:top w:val="single" w:sz="4" w:space="0" w:color="auto"/>
              <w:bottom w:val="single" w:sz="4" w:space="0" w:color="A6A6A6" w:themeColor="background1" w:themeShade="A6"/>
            </w:tcBorders>
          </w:tcPr>
          <w:p w:rsidR="00521B12" w:rsidRPr="00521B12" w:rsidRDefault="00521B12" w:rsidP="00521B12">
            <w:pPr>
              <w:pStyle w:val="TableText"/>
              <w:jc w:val="center"/>
            </w:pPr>
          </w:p>
        </w:tc>
      </w:tr>
      <w:tr w:rsidR="00A16A93" w:rsidRPr="00A16A93" w:rsidTr="00521B12">
        <w:trPr>
          <w:cantSplit/>
        </w:trPr>
        <w:tc>
          <w:tcPr>
            <w:tcW w:w="2835" w:type="dxa"/>
            <w:tcBorders>
              <w:top w:val="single" w:sz="4" w:space="0" w:color="A6A6A6" w:themeColor="background1" w:themeShade="A6"/>
              <w:bottom w:val="single" w:sz="4" w:space="0" w:color="auto"/>
            </w:tcBorders>
          </w:tcPr>
          <w:p w:rsidR="00A16A93" w:rsidRPr="00521B12" w:rsidRDefault="00A16A93" w:rsidP="00521B12">
            <w:pPr>
              <w:pStyle w:val="TableText"/>
            </w:pPr>
            <w:r w:rsidRPr="00521B12">
              <w:t>Total</w:t>
            </w:r>
          </w:p>
        </w:tc>
        <w:tc>
          <w:tcPr>
            <w:tcW w:w="2173" w:type="dxa"/>
            <w:tcBorders>
              <w:top w:val="single" w:sz="4" w:space="0" w:color="A6A6A6" w:themeColor="background1" w:themeShade="A6"/>
              <w:bottom w:val="single" w:sz="4" w:space="0" w:color="auto"/>
            </w:tcBorders>
          </w:tcPr>
          <w:p w:rsidR="00A16A93" w:rsidRPr="00521B12" w:rsidRDefault="00A16A93" w:rsidP="00521B12">
            <w:pPr>
              <w:pStyle w:val="TableText"/>
              <w:tabs>
                <w:tab w:val="decimal" w:pos="1361"/>
              </w:tabs>
            </w:pPr>
            <w:r w:rsidRPr="00521B12">
              <w:t>55,263</w:t>
            </w:r>
          </w:p>
        </w:tc>
        <w:tc>
          <w:tcPr>
            <w:tcW w:w="2174" w:type="dxa"/>
            <w:tcBorders>
              <w:top w:val="single" w:sz="4" w:space="0" w:color="A6A6A6" w:themeColor="background1" w:themeShade="A6"/>
              <w:bottom w:val="single" w:sz="4" w:space="0" w:color="auto"/>
            </w:tcBorders>
          </w:tcPr>
          <w:p w:rsidR="00A16A93" w:rsidRPr="00521B12" w:rsidRDefault="00A16A93" w:rsidP="00521B12">
            <w:pPr>
              <w:pStyle w:val="TableText"/>
              <w:tabs>
                <w:tab w:val="decimal" w:pos="1218"/>
              </w:tabs>
            </w:pPr>
            <w:r w:rsidRPr="00521B12">
              <w:t>3,386</w:t>
            </w:r>
          </w:p>
        </w:tc>
        <w:tc>
          <w:tcPr>
            <w:tcW w:w="2174" w:type="dxa"/>
            <w:tcBorders>
              <w:top w:val="single" w:sz="4" w:space="0" w:color="A6A6A6" w:themeColor="background1" w:themeShade="A6"/>
              <w:bottom w:val="single" w:sz="4" w:space="0" w:color="auto"/>
            </w:tcBorders>
          </w:tcPr>
          <w:p w:rsidR="00A16A93" w:rsidRPr="00521B12" w:rsidRDefault="00A16A93" w:rsidP="00521B12">
            <w:pPr>
              <w:pStyle w:val="TableText"/>
              <w:jc w:val="center"/>
            </w:pPr>
            <w:r w:rsidRPr="00521B12">
              <w:t>6.1%</w:t>
            </w:r>
          </w:p>
        </w:tc>
      </w:tr>
      <w:tr w:rsidR="00A16A93" w:rsidRPr="00A16A93" w:rsidTr="00521B12">
        <w:trPr>
          <w:cantSplit/>
        </w:trPr>
        <w:tc>
          <w:tcPr>
            <w:tcW w:w="2835" w:type="dxa"/>
            <w:tcBorders>
              <w:top w:val="single" w:sz="4" w:space="0" w:color="auto"/>
              <w:bottom w:val="single" w:sz="4" w:space="0" w:color="A6A6A6" w:themeColor="background1" w:themeShade="A6"/>
            </w:tcBorders>
          </w:tcPr>
          <w:p w:rsidR="00A16A93" w:rsidRPr="00521B12" w:rsidRDefault="00A16A93" w:rsidP="00521B12">
            <w:pPr>
              <w:pStyle w:val="TableText"/>
              <w:rPr>
                <w:b/>
              </w:rPr>
            </w:pPr>
            <w:r w:rsidRPr="00521B12">
              <w:rPr>
                <w:b/>
              </w:rPr>
              <w:t>Ethnic group</w:t>
            </w:r>
          </w:p>
        </w:tc>
        <w:tc>
          <w:tcPr>
            <w:tcW w:w="2173" w:type="dxa"/>
            <w:tcBorders>
              <w:top w:val="single" w:sz="4" w:space="0" w:color="auto"/>
              <w:bottom w:val="single" w:sz="4" w:space="0" w:color="A6A6A6" w:themeColor="background1" w:themeShade="A6"/>
            </w:tcBorders>
          </w:tcPr>
          <w:p w:rsidR="00A16A93" w:rsidRPr="00521B12" w:rsidRDefault="00A16A93" w:rsidP="00521B12">
            <w:pPr>
              <w:pStyle w:val="TableText"/>
              <w:tabs>
                <w:tab w:val="decimal" w:pos="1361"/>
              </w:tabs>
            </w:pPr>
          </w:p>
        </w:tc>
        <w:tc>
          <w:tcPr>
            <w:tcW w:w="2174" w:type="dxa"/>
            <w:tcBorders>
              <w:top w:val="single" w:sz="4" w:space="0" w:color="auto"/>
              <w:bottom w:val="single" w:sz="4" w:space="0" w:color="A6A6A6" w:themeColor="background1" w:themeShade="A6"/>
            </w:tcBorders>
          </w:tcPr>
          <w:p w:rsidR="00A16A93" w:rsidRPr="00521B12" w:rsidRDefault="00A16A93" w:rsidP="00521B12">
            <w:pPr>
              <w:pStyle w:val="TableText"/>
              <w:tabs>
                <w:tab w:val="decimal" w:pos="1218"/>
              </w:tabs>
            </w:pPr>
          </w:p>
        </w:tc>
        <w:tc>
          <w:tcPr>
            <w:tcW w:w="2174" w:type="dxa"/>
            <w:tcBorders>
              <w:top w:val="single" w:sz="4" w:space="0" w:color="auto"/>
              <w:bottom w:val="single" w:sz="4" w:space="0" w:color="A6A6A6" w:themeColor="background1" w:themeShade="A6"/>
            </w:tcBorders>
          </w:tcPr>
          <w:p w:rsidR="00A16A93" w:rsidRPr="00521B12" w:rsidRDefault="00A16A93" w:rsidP="00521B12">
            <w:pPr>
              <w:pStyle w:val="TableText"/>
              <w:jc w:val="center"/>
            </w:pPr>
          </w:p>
        </w:tc>
      </w:tr>
      <w:tr w:rsidR="00A16A93" w:rsidRPr="00A16A93" w:rsidTr="00521B12">
        <w:trPr>
          <w:cantSplit/>
        </w:trPr>
        <w:tc>
          <w:tcPr>
            <w:tcW w:w="2835" w:type="dxa"/>
            <w:tcBorders>
              <w:top w:val="single" w:sz="4" w:space="0" w:color="A6A6A6" w:themeColor="background1" w:themeShade="A6"/>
              <w:bottom w:val="single" w:sz="4" w:space="0" w:color="A6A6A6" w:themeColor="background1" w:themeShade="A6"/>
            </w:tcBorders>
          </w:tcPr>
          <w:p w:rsidR="00A16A93" w:rsidRPr="00521B12" w:rsidRDefault="00A16A93" w:rsidP="00521B12">
            <w:pPr>
              <w:pStyle w:val="TableText"/>
            </w:pPr>
            <w:r w:rsidRPr="00521B12">
              <w:t>Māori</w:t>
            </w:r>
          </w:p>
        </w:tc>
        <w:tc>
          <w:tcPr>
            <w:tcW w:w="2173" w:type="dxa"/>
            <w:tcBorders>
              <w:top w:val="single" w:sz="4" w:space="0" w:color="A6A6A6" w:themeColor="background1" w:themeShade="A6"/>
              <w:bottom w:val="single" w:sz="4" w:space="0" w:color="A6A6A6" w:themeColor="background1" w:themeShade="A6"/>
            </w:tcBorders>
          </w:tcPr>
          <w:p w:rsidR="00A16A93" w:rsidRPr="00521B12" w:rsidRDefault="00A16A93" w:rsidP="00521B12">
            <w:pPr>
              <w:pStyle w:val="TableText"/>
              <w:tabs>
                <w:tab w:val="decimal" w:pos="1361"/>
              </w:tabs>
            </w:pPr>
            <w:r w:rsidRPr="00521B12">
              <w:t>13,560</w:t>
            </w:r>
          </w:p>
        </w:tc>
        <w:tc>
          <w:tcPr>
            <w:tcW w:w="2174" w:type="dxa"/>
            <w:tcBorders>
              <w:top w:val="single" w:sz="4" w:space="0" w:color="A6A6A6" w:themeColor="background1" w:themeShade="A6"/>
              <w:bottom w:val="single" w:sz="4" w:space="0" w:color="A6A6A6" w:themeColor="background1" w:themeShade="A6"/>
            </w:tcBorders>
          </w:tcPr>
          <w:p w:rsidR="00A16A93" w:rsidRPr="00521B12" w:rsidRDefault="00A16A93" w:rsidP="00521B12">
            <w:pPr>
              <w:pStyle w:val="TableText"/>
              <w:tabs>
                <w:tab w:val="decimal" w:pos="1218"/>
              </w:tabs>
            </w:pPr>
            <w:r w:rsidRPr="00521B12">
              <w:t>549</w:t>
            </w:r>
          </w:p>
        </w:tc>
        <w:tc>
          <w:tcPr>
            <w:tcW w:w="2174" w:type="dxa"/>
            <w:tcBorders>
              <w:top w:val="single" w:sz="4" w:space="0" w:color="A6A6A6" w:themeColor="background1" w:themeShade="A6"/>
              <w:bottom w:val="single" w:sz="4" w:space="0" w:color="A6A6A6" w:themeColor="background1" w:themeShade="A6"/>
            </w:tcBorders>
          </w:tcPr>
          <w:p w:rsidR="00A16A93" w:rsidRPr="00521B12" w:rsidRDefault="00A16A93" w:rsidP="00521B12">
            <w:pPr>
              <w:pStyle w:val="TableText"/>
              <w:jc w:val="center"/>
            </w:pPr>
            <w:r w:rsidRPr="00521B12">
              <w:t>4.0%</w:t>
            </w:r>
          </w:p>
        </w:tc>
      </w:tr>
      <w:tr w:rsidR="00A16A93" w:rsidRPr="00A16A93" w:rsidTr="00521B12">
        <w:trPr>
          <w:cantSplit/>
        </w:trPr>
        <w:tc>
          <w:tcPr>
            <w:tcW w:w="2835" w:type="dxa"/>
            <w:tcBorders>
              <w:top w:val="single" w:sz="4" w:space="0" w:color="A6A6A6" w:themeColor="background1" w:themeShade="A6"/>
              <w:bottom w:val="single" w:sz="4" w:space="0" w:color="A6A6A6" w:themeColor="background1" w:themeShade="A6"/>
            </w:tcBorders>
          </w:tcPr>
          <w:p w:rsidR="00A16A93" w:rsidRPr="00521B12" w:rsidRDefault="00A16A93" w:rsidP="00521B12">
            <w:pPr>
              <w:pStyle w:val="TableText"/>
            </w:pPr>
            <w:r w:rsidRPr="00521B12">
              <w:t>Pacific peoples</w:t>
            </w:r>
          </w:p>
        </w:tc>
        <w:tc>
          <w:tcPr>
            <w:tcW w:w="2173" w:type="dxa"/>
            <w:tcBorders>
              <w:top w:val="single" w:sz="4" w:space="0" w:color="A6A6A6" w:themeColor="background1" w:themeShade="A6"/>
              <w:bottom w:val="single" w:sz="4" w:space="0" w:color="A6A6A6" w:themeColor="background1" w:themeShade="A6"/>
            </w:tcBorders>
          </w:tcPr>
          <w:p w:rsidR="00A16A93" w:rsidRPr="00521B12" w:rsidRDefault="00A16A93" w:rsidP="00521B12">
            <w:pPr>
              <w:pStyle w:val="TableText"/>
              <w:tabs>
                <w:tab w:val="decimal" w:pos="1361"/>
              </w:tabs>
            </w:pPr>
            <w:r w:rsidRPr="00521B12">
              <w:t>5,855</w:t>
            </w:r>
          </w:p>
        </w:tc>
        <w:tc>
          <w:tcPr>
            <w:tcW w:w="2174" w:type="dxa"/>
            <w:tcBorders>
              <w:top w:val="single" w:sz="4" w:space="0" w:color="A6A6A6" w:themeColor="background1" w:themeShade="A6"/>
              <w:bottom w:val="single" w:sz="4" w:space="0" w:color="A6A6A6" w:themeColor="background1" w:themeShade="A6"/>
            </w:tcBorders>
          </w:tcPr>
          <w:p w:rsidR="00A16A93" w:rsidRPr="00521B12" w:rsidRDefault="00A16A93" w:rsidP="00521B12">
            <w:pPr>
              <w:pStyle w:val="TableText"/>
              <w:tabs>
                <w:tab w:val="decimal" w:pos="1218"/>
              </w:tabs>
            </w:pPr>
            <w:r w:rsidRPr="00521B12">
              <w:t>538</w:t>
            </w:r>
          </w:p>
        </w:tc>
        <w:tc>
          <w:tcPr>
            <w:tcW w:w="2174" w:type="dxa"/>
            <w:tcBorders>
              <w:top w:val="single" w:sz="4" w:space="0" w:color="A6A6A6" w:themeColor="background1" w:themeShade="A6"/>
              <w:bottom w:val="single" w:sz="4" w:space="0" w:color="A6A6A6" w:themeColor="background1" w:themeShade="A6"/>
            </w:tcBorders>
          </w:tcPr>
          <w:p w:rsidR="00A16A93" w:rsidRPr="00521B12" w:rsidRDefault="00A16A93" w:rsidP="00521B12">
            <w:pPr>
              <w:pStyle w:val="TableText"/>
              <w:jc w:val="center"/>
            </w:pPr>
            <w:r w:rsidRPr="00521B12">
              <w:t>9.2%</w:t>
            </w:r>
          </w:p>
        </w:tc>
      </w:tr>
      <w:tr w:rsidR="00A16A93" w:rsidRPr="00A16A93" w:rsidTr="00521B12">
        <w:trPr>
          <w:cantSplit/>
        </w:trPr>
        <w:tc>
          <w:tcPr>
            <w:tcW w:w="2835" w:type="dxa"/>
            <w:tcBorders>
              <w:top w:val="single" w:sz="4" w:space="0" w:color="A6A6A6" w:themeColor="background1" w:themeShade="A6"/>
              <w:bottom w:val="single" w:sz="4" w:space="0" w:color="auto"/>
            </w:tcBorders>
          </w:tcPr>
          <w:p w:rsidR="00A16A93" w:rsidRPr="00521B12" w:rsidRDefault="00A16A93" w:rsidP="00521B12">
            <w:pPr>
              <w:pStyle w:val="TableText"/>
            </w:pPr>
            <w:r w:rsidRPr="00521B12">
              <w:t>European</w:t>
            </w:r>
          </w:p>
        </w:tc>
        <w:tc>
          <w:tcPr>
            <w:tcW w:w="2173" w:type="dxa"/>
            <w:tcBorders>
              <w:top w:val="single" w:sz="4" w:space="0" w:color="A6A6A6" w:themeColor="background1" w:themeShade="A6"/>
              <w:bottom w:val="single" w:sz="4" w:space="0" w:color="auto"/>
            </w:tcBorders>
          </w:tcPr>
          <w:p w:rsidR="00A16A93" w:rsidRPr="00521B12" w:rsidRDefault="00A16A93" w:rsidP="00521B12">
            <w:pPr>
              <w:pStyle w:val="TableText"/>
              <w:tabs>
                <w:tab w:val="decimal" w:pos="1361"/>
              </w:tabs>
            </w:pPr>
            <w:r w:rsidRPr="00521B12">
              <w:t>25,271</w:t>
            </w:r>
          </w:p>
        </w:tc>
        <w:tc>
          <w:tcPr>
            <w:tcW w:w="2174" w:type="dxa"/>
            <w:tcBorders>
              <w:top w:val="single" w:sz="4" w:space="0" w:color="A6A6A6" w:themeColor="background1" w:themeShade="A6"/>
              <w:bottom w:val="single" w:sz="4" w:space="0" w:color="auto"/>
            </w:tcBorders>
          </w:tcPr>
          <w:p w:rsidR="00A16A93" w:rsidRPr="00521B12" w:rsidRDefault="00A16A93" w:rsidP="00521B12">
            <w:pPr>
              <w:pStyle w:val="TableText"/>
              <w:tabs>
                <w:tab w:val="decimal" w:pos="1218"/>
              </w:tabs>
            </w:pPr>
            <w:r w:rsidRPr="00521B12">
              <w:t>996</w:t>
            </w:r>
          </w:p>
        </w:tc>
        <w:tc>
          <w:tcPr>
            <w:tcW w:w="2174" w:type="dxa"/>
            <w:tcBorders>
              <w:top w:val="single" w:sz="4" w:space="0" w:color="A6A6A6" w:themeColor="background1" w:themeShade="A6"/>
              <w:bottom w:val="single" w:sz="4" w:space="0" w:color="auto"/>
            </w:tcBorders>
          </w:tcPr>
          <w:p w:rsidR="00A16A93" w:rsidRPr="00521B12" w:rsidRDefault="00A16A93" w:rsidP="00521B12">
            <w:pPr>
              <w:pStyle w:val="TableText"/>
              <w:jc w:val="center"/>
            </w:pPr>
            <w:r w:rsidRPr="00521B12">
              <w:t>3.9%</w:t>
            </w:r>
          </w:p>
        </w:tc>
      </w:tr>
      <w:tr w:rsidR="00A16A93" w:rsidRPr="00A16A93" w:rsidTr="00521B12">
        <w:trPr>
          <w:cantSplit/>
        </w:trPr>
        <w:tc>
          <w:tcPr>
            <w:tcW w:w="2835" w:type="dxa"/>
            <w:tcBorders>
              <w:top w:val="single" w:sz="4" w:space="0" w:color="auto"/>
              <w:bottom w:val="single" w:sz="4" w:space="0" w:color="A6A6A6" w:themeColor="background1" w:themeShade="A6"/>
            </w:tcBorders>
          </w:tcPr>
          <w:p w:rsidR="00A16A93" w:rsidRPr="00521B12" w:rsidRDefault="00A16A93" w:rsidP="00521B12">
            <w:pPr>
              <w:pStyle w:val="TableText"/>
              <w:rPr>
                <w:b/>
              </w:rPr>
            </w:pPr>
            <w:r w:rsidRPr="00521B12">
              <w:rPr>
                <w:b/>
              </w:rPr>
              <w:t>Neighbourhood deprivation (NZDep2013) quintile</w:t>
            </w:r>
          </w:p>
        </w:tc>
        <w:tc>
          <w:tcPr>
            <w:tcW w:w="2173" w:type="dxa"/>
            <w:tcBorders>
              <w:top w:val="single" w:sz="4" w:space="0" w:color="auto"/>
              <w:bottom w:val="single" w:sz="4" w:space="0" w:color="A6A6A6" w:themeColor="background1" w:themeShade="A6"/>
            </w:tcBorders>
          </w:tcPr>
          <w:p w:rsidR="00A16A93" w:rsidRPr="00521B12" w:rsidRDefault="00A16A93" w:rsidP="00521B12">
            <w:pPr>
              <w:pStyle w:val="TableText"/>
              <w:tabs>
                <w:tab w:val="decimal" w:pos="1361"/>
              </w:tabs>
            </w:pPr>
          </w:p>
        </w:tc>
        <w:tc>
          <w:tcPr>
            <w:tcW w:w="2174" w:type="dxa"/>
            <w:tcBorders>
              <w:top w:val="single" w:sz="4" w:space="0" w:color="auto"/>
              <w:bottom w:val="single" w:sz="4" w:space="0" w:color="A6A6A6" w:themeColor="background1" w:themeShade="A6"/>
            </w:tcBorders>
          </w:tcPr>
          <w:p w:rsidR="00A16A93" w:rsidRPr="00521B12" w:rsidRDefault="00A16A93" w:rsidP="00521B12">
            <w:pPr>
              <w:pStyle w:val="TableText"/>
              <w:tabs>
                <w:tab w:val="decimal" w:pos="1218"/>
              </w:tabs>
            </w:pPr>
          </w:p>
        </w:tc>
        <w:tc>
          <w:tcPr>
            <w:tcW w:w="2174" w:type="dxa"/>
            <w:tcBorders>
              <w:top w:val="single" w:sz="4" w:space="0" w:color="auto"/>
              <w:bottom w:val="single" w:sz="4" w:space="0" w:color="A6A6A6" w:themeColor="background1" w:themeShade="A6"/>
            </w:tcBorders>
          </w:tcPr>
          <w:p w:rsidR="00A16A93" w:rsidRPr="00521B12" w:rsidRDefault="00A16A93" w:rsidP="00521B12">
            <w:pPr>
              <w:pStyle w:val="TableText"/>
              <w:jc w:val="center"/>
            </w:pPr>
          </w:p>
        </w:tc>
      </w:tr>
      <w:tr w:rsidR="00A16A93" w:rsidRPr="00A16A93" w:rsidTr="00521B12">
        <w:trPr>
          <w:cantSplit/>
        </w:trPr>
        <w:tc>
          <w:tcPr>
            <w:tcW w:w="2835" w:type="dxa"/>
            <w:tcBorders>
              <w:top w:val="single" w:sz="4" w:space="0" w:color="A6A6A6" w:themeColor="background1" w:themeShade="A6"/>
              <w:bottom w:val="single" w:sz="4" w:space="0" w:color="A6A6A6" w:themeColor="background1" w:themeShade="A6"/>
            </w:tcBorders>
          </w:tcPr>
          <w:p w:rsidR="00A16A93" w:rsidRPr="00521B12" w:rsidRDefault="00A16A93" w:rsidP="00521B12">
            <w:pPr>
              <w:pStyle w:val="TableText"/>
            </w:pPr>
            <w:r w:rsidRPr="00521B12">
              <w:t>Quintile 1 (least deprived)</w:t>
            </w:r>
          </w:p>
        </w:tc>
        <w:tc>
          <w:tcPr>
            <w:tcW w:w="2173" w:type="dxa"/>
            <w:tcBorders>
              <w:top w:val="single" w:sz="4" w:space="0" w:color="A6A6A6" w:themeColor="background1" w:themeShade="A6"/>
              <w:bottom w:val="single" w:sz="4" w:space="0" w:color="A6A6A6" w:themeColor="background1" w:themeShade="A6"/>
            </w:tcBorders>
          </w:tcPr>
          <w:p w:rsidR="00A16A93" w:rsidRPr="00521B12" w:rsidRDefault="00A16A93" w:rsidP="00521B12">
            <w:pPr>
              <w:pStyle w:val="TableText"/>
              <w:tabs>
                <w:tab w:val="decimal" w:pos="1361"/>
              </w:tabs>
            </w:pPr>
            <w:r w:rsidRPr="00521B12">
              <w:t>7,846</w:t>
            </w:r>
          </w:p>
        </w:tc>
        <w:tc>
          <w:tcPr>
            <w:tcW w:w="2174" w:type="dxa"/>
            <w:tcBorders>
              <w:top w:val="single" w:sz="4" w:space="0" w:color="A6A6A6" w:themeColor="background1" w:themeShade="A6"/>
              <w:bottom w:val="single" w:sz="4" w:space="0" w:color="A6A6A6" w:themeColor="background1" w:themeShade="A6"/>
            </w:tcBorders>
          </w:tcPr>
          <w:p w:rsidR="00A16A93" w:rsidRPr="00521B12" w:rsidRDefault="00A16A93" w:rsidP="00521B12">
            <w:pPr>
              <w:pStyle w:val="TableText"/>
              <w:tabs>
                <w:tab w:val="decimal" w:pos="1218"/>
              </w:tabs>
            </w:pPr>
            <w:r w:rsidRPr="00521B12">
              <w:t>414</w:t>
            </w:r>
          </w:p>
        </w:tc>
        <w:tc>
          <w:tcPr>
            <w:tcW w:w="2174" w:type="dxa"/>
            <w:tcBorders>
              <w:top w:val="single" w:sz="4" w:space="0" w:color="A6A6A6" w:themeColor="background1" w:themeShade="A6"/>
              <w:bottom w:val="single" w:sz="4" w:space="0" w:color="A6A6A6" w:themeColor="background1" w:themeShade="A6"/>
            </w:tcBorders>
          </w:tcPr>
          <w:p w:rsidR="00A16A93" w:rsidRPr="00521B12" w:rsidRDefault="00A16A93" w:rsidP="00521B12">
            <w:pPr>
              <w:pStyle w:val="TableText"/>
              <w:jc w:val="center"/>
            </w:pPr>
            <w:r w:rsidRPr="00521B12">
              <w:t>5.3%</w:t>
            </w:r>
          </w:p>
        </w:tc>
      </w:tr>
      <w:tr w:rsidR="00A16A93" w:rsidRPr="00A16A93" w:rsidTr="00521B12">
        <w:trPr>
          <w:cantSplit/>
        </w:trPr>
        <w:tc>
          <w:tcPr>
            <w:tcW w:w="2835" w:type="dxa"/>
            <w:tcBorders>
              <w:top w:val="single" w:sz="4" w:space="0" w:color="A6A6A6" w:themeColor="background1" w:themeShade="A6"/>
              <w:bottom w:val="single" w:sz="4" w:space="0" w:color="A6A6A6" w:themeColor="background1" w:themeShade="A6"/>
            </w:tcBorders>
          </w:tcPr>
          <w:p w:rsidR="00A16A93" w:rsidRPr="00521B12" w:rsidRDefault="00A16A93" w:rsidP="00521B12">
            <w:pPr>
              <w:pStyle w:val="TableText"/>
            </w:pPr>
            <w:r w:rsidRPr="00521B12">
              <w:t>Quintile 2</w:t>
            </w:r>
          </w:p>
        </w:tc>
        <w:tc>
          <w:tcPr>
            <w:tcW w:w="2173" w:type="dxa"/>
            <w:tcBorders>
              <w:top w:val="single" w:sz="4" w:space="0" w:color="A6A6A6" w:themeColor="background1" w:themeShade="A6"/>
              <w:bottom w:val="single" w:sz="4" w:space="0" w:color="A6A6A6" w:themeColor="background1" w:themeShade="A6"/>
            </w:tcBorders>
          </w:tcPr>
          <w:p w:rsidR="00A16A93" w:rsidRPr="00521B12" w:rsidRDefault="00A16A93" w:rsidP="00521B12">
            <w:pPr>
              <w:pStyle w:val="TableText"/>
              <w:tabs>
                <w:tab w:val="decimal" w:pos="1361"/>
              </w:tabs>
            </w:pPr>
            <w:r w:rsidRPr="00521B12">
              <w:t>8,947</w:t>
            </w:r>
          </w:p>
        </w:tc>
        <w:tc>
          <w:tcPr>
            <w:tcW w:w="2174" w:type="dxa"/>
            <w:tcBorders>
              <w:top w:val="single" w:sz="4" w:space="0" w:color="A6A6A6" w:themeColor="background1" w:themeShade="A6"/>
              <w:bottom w:val="single" w:sz="4" w:space="0" w:color="A6A6A6" w:themeColor="background1" w:themeShade="A6"/>
            </w:tcBorders>
          </w:tcPr>
          <w:p w:rsidR="00A16A93" w:rsidRPr="00521B12" w:rsidRDefault="00A16A93" w:rsidP="00521B12">
            <w:pPr>
              <w:pStyle w:val="TableText"/>
              <w:tabs>
                <w:tab w:val="decimal" w:pos="1218"/>
              </w:tabs>
            </w:pPr>
            <w:r w:rsidRPr="00521B12">
              <w:t>558</w:t>
            </w:r>
          </w:p>
        </w:tc>
        <w:tc>
          <w:tcPr>
            <w:tcW w:w="2174" w:type="dxa"/>
            <w:tcBorders>
              <w:top w:val="single" w:sz="4" w:space="0" w:color="A6A6A6" w:themeColor="background1" w:themeShade="A6"/>
              <w:bottom w:val="single" w:sz="4" w:space="0" w:color="A6A6A6" w:themeColor="background1" w:themeShade="A6"/>
            </w:tcBorders>
          </w:tcPr>
          <w:p w:rsidR="00A16A93" w:rsidRPr="00521B12" w:rsidRDefault="00A16A93" w:rsidP="00521B12">
            <w:pPr>
              <w:pStyle w:val="TableText"/>
              <w:jc w:val="center"/>
            </w:pPr>
            <w:r w:rsidRPr="00521B12">
              <w:t>6.2%</w:t>
            </w:r>
          </w:p>
        </w:tc>
      </w:tr>
      <w:tr w:rsidR="00A16A93" w:rsidRPr="00A16A93" w:rsidTr="00521B12">
        <w:trPr>
          <w:cantSplit/>
        </w:trPr>
        <w:tc>
          <w:tcPr>
            <w:tcW w:w="2835" w:type="dxa"/>
            <w:tcBorders>
              <w:top w:val="single" w:sz="4" w:space="0" w:color="A6A6A6" w:themeColor="background1" w:themeShade="A6"/>
              <w:bottom w:val="single" w:sz="4" w:space="0" w:color="A6A6A6" w:themeColor="background1" w:themeShade="A6"/>
            </w:tcBorders>
          </w:tcPr>
          <w:p w:rsidR="00A16A93" w:rsidRPr="00521B12" w:rsidRDefault="00A16A93" w:rsidP="00521B12">
            <w:pPr>
              <w:pStyle w:val="TableText"/>
            </w:pPr>
            <w:r w:rsidRPr="00521B12">
              <w:t>Quintile 3</w:t>
            </w:r>
          </w:p>
        </w:tc>
        <w:tc>
          <w:tcPr>
            <w:tcW w:w="2173" w:type="dxa"/>
            <w:tcBorders>
              <w:top w:val="single" w:sz="4" w:space="0" w:color="A6A6A6" w:themeColor="background1" w:themeShade="A6"/>
              <w:bottom w:val="single" w:sz="4" w:space="0" w:color="A6A6A6" w:themeColor="background1" w:themeShade="A6"/>
            </w:tcBorders>
          </w:tcPr>
          <w:p w:rsidR="00A16A93" w:rsidRPr="00521B12" w:rsidRDefault="00A16A93" w:rsidP="00521B12">
            <w:pPr>
              <w:pStyle w:val="TableText"/>
              <w:tabs>
                <w:tab w:val="decimal" w:pos="1361"/>
              </w:tabs>
            </w:pPr>
            <w:r w:rsidRPr="00521B12">
              <w:t>9,858</w:t>
            </w:r>
          </w:p>
        </w:tc>
        <w:tc>
          <w:tcPr>
            <w:tcW w:w="2174" w:type="dxa"/>
            <w:tcBorders>
              <w:top w:val="single" w:sz="4" w:space="0" w:color="A6A6A6" w:themeColor="background1" w:themeShade="A6"/>
              <w:bottom w:val="single" w:sz="4" w:space="0" w:color="A6A6A6" w:themeColor="background1" w:themeShade="A6"/>
            </w:tcBorders>
          </w:tcPr>
          <w:p w:rsidR="00A16A93" w:rsidRPr="00521B12" w:rsidRDefault="00A16A93" w:rsidP="00521B12">
            <w:pPr>
              <w:pStyle w:val="TableText"/>
              <w:tabs>
                <w:tab w:val="decimal" w:pos="1218"/>
              </w:tabs>
            </w:pPr>
            <w:r w:rsidRPr="00521B12">
              <w:t>599</w:t>
            </w:r>
          </w:p>
        </w:tc>
        <w:tc>
          <w:tcPr>
            <w:tcW w:w="2174" w:type="dxa"/>
            <w:tcBorders>
              <w:top w:val="single" w:sz="4" w:space="0" w:color="A6A6A6" w:themeColor="background1" w:themeShade="A6"/>
              <w:bottom w:val="single" w:sz="4" w:space="0" w:color="A6A6A6" w:themeColor="background1" w:themeShade="A6"/>
            </w:tcBorders>
          </w:tcPr>
          <w:p w:rsidR="00A16A93" w:rsidRPr="00521B12" w:rsidRDefault="00A16A93" w:rsidP="00521B12">
            <w:pPr>
              <w:pStyle w:val="TableText"/>
              <w:jc w:val="center"/>
            </w:pPr>
            <w:r w:rsidRPr="00521B12">
              <w:t>6.1%</w:t>
            </w:r>
          </w:p>
        </w:tc>
      </w:tr>
      <w:tr w:rsidR="00A16A93" w:rsidRPr="00A16A93" w:rsidTr="00521B12">
        <w:trPr>
          <w:cantSplit/>
        </w:trPr>
        <w:tc>
          <w:tcPr>
            <w:tcW w:w="2835" w:type="dxa"/>
            <w:tcBorders>
              <w:top w:val="single" w:sz="4" w:space="0" w:color="A6A6A6" w:themeColor="background1" w:themeShade="A6"/>
              <w:bottom w:val="single" w:sz="4" w:space="0" w:color="A6A6A6" w:themeColor="background1" w:themeShade="A6"/>
            </w:tcBorders>
          </w:tcPr>
          <w:p w:rsidR="00A16A93" w:rsidRPr="00521B12" w:rsidRDefault="00A16A93" w:rsidP="00521B12">
            <w:pPr>
              <w:pStyle w:val="TableText"/>
            </w:pPr>
            <w:r w:rsidRPr="00521B12">
              <w:t>Quintile 4</w:t>
            </w:r>
          </w:p>
        </w:tc>
        <w:tc>
          <w:tcPr>
            <w:tcW w:w="2173" w:type="dxa"/>
            <w:tcBorders>
              <w:top w:val="single" w:sz="4" w:space="0" w:color="A6A6A6" w:themeColor="background1" w:themeShade="A6"/>
              <w:bottom w:val="single" w:sz="4" w:space="0" w:color="A6A6A6" w:themeColor="background1" w:themeShade="A6"/>
            </w:tcBorders>
          </w:tcPr>
          <w:p w:rsidR="00A16A93" w:rsidRPr="00521B12" w:rsidRDefault="00A16A93" w:rsidP="00521B12">
            <w:pPr>
              <w:pStyle w:val="TableText"/>
              <w:tabs>
                <w:tab w:val="decimal" w:pos="1361"/>
              </w:tabs>
            </w:pPr>
            <w:r w:rsidRPr="00521B12">
              <w:t>12,315</w:t>
            </w:r>
          </w:p>
        </w:tc>
        <w:tc>
          <w:tcPr>
            <w:tcW w:w="2174" w:type="dxa"/>
            <w:tcBorders>
              <w:top w:val="single" w:sz="4" w:space="0" w:color="A6A6A6" w:themeColor="background1" w:themeShade="A6"/>
              <w:bottom w:val="single" w:sz="4" w:space="0" w:color="A6A6A6" w:themeColor="background1" w:themeShade="A6"/>
            </w:tcBorders>
          </w:tcPr>
          <w:p w:rsidR="00A16A93" w:rsidRPr="00521B12" w:rsidRDefault="00A16A93" w:rsidP="00521B12">
            <w:pPr>
              <w:pStyle w:val="TableText"/>
              <w:tabs>
                <w:tab w:val="decimal" w:pos="1218"/>
              </w:tabs>
            </w:pPr>
            <w:r w:rsidRPr="00521B12">
              <w:t>779</w:t>
            </w:r>
          </w:p>
        </w:tc>
        <w:tc>
          <w:tcPr>
            <w:tcW w:w="2174" w:type="dxa"/>
            <w:tcBorders>
              <w:top w:val="single" w:sz="4" w:space="0" w:color="A6A6A6" w:themeColor="background1" w:themeShade="A6"/>
              <w:bottom w:val="single" w:sz="4" w:space="0" w:color="A6A6A6" w:themeColor="background1" w:themeShade="A6"/>
            </w:tcBorders>
          </w:tcPr>
          <w:p w:rsidR="00A16A93" w:rsidRPr="00521B12" w:rsidRDefault="00A16A93" w:rsidP="00521B12">
            <w:pPr>
              <w:pStyle w:val="TableText"/>
              <w:jc w:val="center"/>
            </w:pPr>
            <w:r w:rsidRPr="00521B12">
              <w:t>6.3%</w:t>
            </w:r>
          </w:p>
        </w:tc>
      </w:tr>
      <w:tr w:rsidR="00A16A93" w:rsidRPr="00A16A93" w:rsidTr="00521B12">
        <w:trPr>
          <w:cantSplit/>
        </w:trPr>
        <w:tc>
          <w:tcPr>
            <w:tcW w:w="2835" w:type="dxa"/>
            <w:tcBorders>
              <w:top w:val="single" w:sz="4" w:space="0" w:color="A6A6A6" w:themeColor="background1" w:themeShade="A6"/>
              <w:bottom w:val="single" w:sz="4" w:space="0" w:color="auto"/>
            </w:tcBorders>
          </w:tcPr>
          <w:p w:rsidR="00A16A93" w:rsidRPr="00521B12" w:rsidRDefault="00A16A93" w:rsidP="00521B12">
            <w:pPr>
              <w:pStyle w:val="TableText"/>
            </w:pPr>
            <w:r w:rsidRPr="00521B12">
              <w:t>Quintile 5 (most deprived)</w:t>
            </w:r>
          </w:p>
        </w:tc>
        <w:tc>
          <w:tcPr>
            <w:tcW w:w="2173" w:type="dxa"/>
            <w:tcBorders>
              <w:top w:val="single" w:sz="4" w:space="0" w:color="A6A6A6" w:themeColor="background1" w:themeShade="A6"/>
              <w:bottom w:val="single" w:sz="4" w:space="0" w:color="auto"/>
            </w:tcBorders>
          </w:tcPr>
          <w:p w:rsidR="00A16A93" w:rsidRPr="00521B12" w:rsidRDefault="00A16A93" w:rsidP="00521B12">
            <w:pPr>
              <w:pStyle w:val="TableText"/>
              <w:tabs>
                <w:tab w:val="decimal" w:pos="1361"/>
              </w:tabs>
            </w:pPr>
            <w:r w:rsidRPr="00521B12">
              <w:t>16,093</w:t>
            </w:r>
          </w:p>
        </w:tc>
        <w:tc>
          <w:tcPr>
            <w:tcW w:w="2174" w:type="dxa"/>
            <w:tcBorders>
              <w:top w:val="single" w:sz="4" w:space="0" w:color="A6A6A6" w:themeColor="background1" w:themeShade="A6"/>
              <w:bottom w:val="single" w:sz="4" w:space="0" w:color="auto"/>
            </w:tcBorders>
          </w:tcPr>
          <w:p w:rsidR="00A16A93" w:rsidRPr="00521B12" w:rsidRDefault="00A16A93" w:rsidP="00521B12">
            <w:pPr>
              <w:pStyle w:val="TableText"/>
              <w:tabs>
                <w:tab w:val="decimal" w:pos="1218"/>
              </w:tabs>
            </w:pPr>
            <w:r w:rsidRPr="00521B12">
              <w:t>1,026</w:t>
            </w:r>
          </w:p>
        </w:tc>
        <w:tc>
          <w:tcPr>
            <w:tcW w:w="2174" w:type="dxa"/>
            <w:tcBorders>
              <w:top w:val="single" w:sz="4" w:space="0" w:color="A6A6A6" w:themeColor="background1" w:themeShade="A6"/>
              <w:bottom w:val="single" w:sz="4" w:space="0" w:color="auto"/>
            </w:tcBorders>
          </w:tcPr>
          <w:p w:rsidR="00A16A93" w:rsidRPr="00521B12" w:rsidRDefault="00A16A93" w:rsidP="00521B12">
            <w:pPr>
              <w:pStyle w:val="TableText"/>
              <w:jc w:val="center"/>
            </w:pPr>
            <w:r w:rsidRPr="00521B12">
              <w:t>6.4%</w:t>
            </w:r>
          </w:p>
        </w:tc>
      </w:tr>
    </w:tbl>
    <w:p w:rsidR="006A4849" w:rsidRPr="006A4849" w:rsidRDefault="006A4849" w:rsidP="006A4849">
      <w:pPr>
        <w:pStyle w:val="Source"/>
        <w:rPr>
          <w:rStyle w:val="NoteChar"/>
        </w:rPr>
      </w:pPr>
      <w:r>
        <w:rPr>
          <w:rFonts w:cs="Arial"/>
        </w:rPr>
        <w:t>S</w:t>
      </w:r>
      <w:r w:rsidR="00A16A93" w:rsidRPr="00A16A93">
        <w:rPr>
          <w:rFonts w:cs="Arial"/>
        </w:rPr>
        <w:t xml:space="preserve">ource: </w:t>
      </w:r>
      <w:hyperlink r:id="rId74" w:history="1">
        <w:r w:rsidR="00A16A93" w:rsidRPr="00A16A93">
          <w:rPr>
            <w:rStyle w:val="Hyperlink"/>
            <w:rFonts w:cs="Arial"/>
          </w:rPr>
          <w:t>National Minimum Data Set</w:t>
        </w:r>
      </w:hyperlink>
    </w:p>
    <w:p w:rsidR="00A16A93" w:rsidRPr="00A16A93" w:rsidRDefault="00A16A93" w:rsidP="006A4849"/>
    <w:p w:rsidR="00A16A93" w:rsidRPr="00A16A93" w:rsidRDefault="00A16A93" w:rsidP="006A4849">
      <w:pPr>
        <w:pStyle w:val="Heading2"/>
      </w:pPr>
      <w:bookmarkStart w:id="109" w:name="_Toc480457795"/>
      <w:bookmarkStart w:id="110" w:name="_Toc480534249"/>
      <w:r w:rsidRPr="00A16A93">
        <w:lastRenderedPageBreak/>
        <w:t>Indicator 14: Raising Healthy Kids health target</w:t>
      </w:r>
      <w:bookmarkEnd w:id="109"/>
      <w:bookmarkEnd w:id="110"/>
    </w:p>
    <w:p w:rsidR="00A16A93" w:rsidRPr="00A16A93" w:rsidRDefault="00A16A93" w:rsidP="006A4849">
      <w:pPr>
        <w:pStyle w:val="Heading3"/>
      </w:pPr>
      <w:bookmarkStart w:id="111" w:name="_Toc480457796"/>
      <w:r w:rsidRPr="00A16A93">
        <w:t>Description</w:t>
      </w:r>
      <w:bookmarkEnd w:id="111"/>
    </w:p>
    <w:p w:rsidR="00A16A93" w:rsidRPr="00A16A93" w:rsidRDefault="00A16A93" w:rsidP="006A4849">
      <w:r w:rsidRPr="00A16A93">
        <w:t>The Raising Healthy Kids health target is one of six national health targets. It requires that 95</w:t>
      </w:r>
      <w:r w:rsidR="006A4849">
        <w:t> </w:t>
      </w:r>
      <w:r w:rsidRPr="00A16A93">
        <w:t>percent of obese children identified in the B4 School Check programme</w:t>
      </w:r>
      <w:r w:rsidRPr="006A4849">
        <w:rPr>
          <w:rStyle w:val="FootnoteReference"/>
        </w:rPr>
        <w:footnoteReference w:id="3"/>
      </w:r>
      <w:r w:rsidRPr="00A16A93">
        <w:t xml:space="preserve"> be offered a referral to a health professional for clinical assessment and family-based nutrition, activity and lifestyle intervention.</w:t>
      </w:r>
    </w:p>
    <w:p w:rsidR="00A16A93" w:rsidRPr="00A16A93" w:rsidRDefault="00A16A93" w:rsidP="006A4849"/>
    <w:p w:rsidR="00A16A93" w:rsidRPr="00A16A93" w:rsidRDefault="00A16A93" w:rsidP="006A4849">
      <w:r w:rsidRPr="00A16A93">
        <w:t>The aim of the health target is to:</w:t>
      </w:r>
    </w:p>
    <w:p w:rsidR="00A16A93" w:rsidRPr="00A16A93" w:rsidRDefault="00A16A93" w:rsidP="006A4849">
      <w:pPr>
        <w:pStyle w:val="Bullet"/>
      </w:pPr>
      <w:r w:rsidRPr="00A16A93">
        <w:t>identify children who are obese early</w:t>
      </w:r>
    </w:p>
    <w:p w:rsidR="00A16A93" w:rsidRPr="00A16A93" w:rsidRDefault="00A16A93" w:rsidP="006A4849">
      <w:pPr>
        <w:pStyle w:val="Bullet"/>
      </w:pPr>
      <w:r w:rsidRPr="00A16A93">
        <w:t>ensure that any clinical risks associated with children’s obesity are actively managed</w:t>
      </w:r>
    </w:p>
    <w:p w:rsidR="00A16A93" w:rsidRPr="00A16A93" w:rsidRDefault="00A16A93" w:rsidP="006A4849">
      <w:pPr>
        <w:pStyle w:val="Bullet"/>
      </w:pPr>
      <w:r w:rsidRPr="00A16A93">
        <w:t>encourage parents and caregivers to take action</w:t>
      </w:r>
    </w:p>
    <w:p w:rsidR="00A16A93" w:rsidRPr="00A16A93" w:rsidRDefault="00A16A93" w:rsidP="006A4849">
      <w:pPr>
        <w:pStyle w:val="Bullet"/>
      </w:pPr>
      <w:r w:rsidRPr="00A16A93">
        <w:t>regularly monitor children’s growth and support them to achieve a healthy weight.</w:t>
      </w:r>
    </w:p>
    <w:p w:rsidR="00A16A93" w:rsidRPr="00A16A93" w:rsidRDefault="00A16A93" w:rsidP="006A4849"/>
    <w:p w:rsidR="00A16A93" w:rsidRPr="006A4849" w:rsidRDefault="00A16A93" w:rsidP="006A4849">
      <w:pPr>
        <w:rPr>
          <w:spacing w:val="-2"/>
        </w:rPr>
      </w:pPr>
      <w:r w:rsidRPr="006A4849">
        <w:rPr>
          <w:spacing w:val="-2"/>
        </w:rPr>
        <w:t>For a child to be included in the results, their referral needs to be acknowledged by the service within 30 days of the referral being made. The referral must be made to a health professional that the Ministry of Health has deemed acceptable for the purposes of the health target, such as a:</w:t>
      </w:r>
    </w:p>
    <w:p w:rsidR="00A16A93" w:rsidRPr="00A16A93" w:rsidRDefault="00A16A93" w:rsidP="006A4849">
      <w:pPr>
        <w:pStyle w:val="Bullet"/>
      </w:pPr>
      <w:r w:rsidRPr="00A16A93">
        <w:t>general practitioner</w:t>
      </w:r>
    </w:p>
    <w:p w:rsidR="00A16A93" w:rsidRPr="00A16A93" w:rsidRDefault="00A16A93" w:rsidP="006A4849">
      <w:pPr>
        <w:pStyle w:val="Bullet"/>
      </w:pPr>
      <w:r w:rsidRPr="00A16A93">
        <w:t>practice nurse</w:t>
      </w:r>
    </w:p>
    <w:p w:rsidR="00A16A93" w:rsidRPr="00A16A93" w:rsidRDefault="00A16A93" w:rsidP="006A4849">
      <w:pPr>
        <w:pStyle w:val="Bullet"/>
      </w:pPr>
      <w:r w:rsidRPr="00A16A93">
        <w:t>community dietician</w:t>
      </w:r>
    </w:p>
    <w:p w:rsidR="00A16A93" w:rsidRPr="00A16A93" w:rsidRDefault="00A16A93" w:rsidP="006A4849">
      <w:pPr>
        <w:pStyle w:val="Bullet"/>
      </w:pPr>
      <w:r w:rsidRPr="00A16A93">
        <w:t>public health nurse</w:t>
      </w:r>
    </w:p>
    <w:p w:rsidR="00A16A93" w:rsidRPr="00A16A93" w:rsidRDefault="00A16A93" w:rsidP="006A4849">
      <w:pPr>
        <w:pStyle w:val="Bullet"/>
      </w:pPr>
      <w:r w:rsidRPr="00A16A93">
        <w:t>multi-disciplinary team that includes a registered primary health care professional.</w:t>
      </w:r>
    </w:p>
    <w:p w:rsidR="00A16A93" w:rsidRPr="00A16A93" w:rsidRDefault="00A16A93" w:rsidP="006A4849"/>
    <w:p w:rsidR="00A16A93" w:rsidRPr="00A16A93" w:rsidRDefault="00A16A93" w:rsidP="006A4849">
      <w:r w:rsidRPr="00A16A93">
        <w:t>The results also include children already under the care of a relevant service, and those whose parent/caregiver declined the referral.</w:t>
      </w:r>
    </w:p>
    <w:p w:rsidR="00A16A93" w:rsidRPr="00A16A93" w:rsidRDefault="00A16A93" w:rsidP="006A4849"/>
    <w:p w:rsidR="00A16A93" w:rsidRPr="00A16A93" w:rsidRDefault="00A16A93" w:rsidP="006A4849">
      <w:pPr>
        <w:pStyle w:val="Heading3"/>
      </w:pPr>
      <w:bookmarkStart w:id="112" w:name="_Toc480457797"/>
      <w:r w:rsidRPr="00A16A93">
        <w:t>Baseline performance</w:t>
      </w:r>
      <w:bookmarkEnd w:id="112"/>
    </w:p>
    <w:p w:rsidR="00A16A93" w:rsidRPr="00A16A93" w:rsidRDefault="00A16A93" w:rsidP="006A4849">
      <w:r w:rsidRPr="00A16A93">
        <w:rPr>
          <w:color w:val="000000"/>
        </w:rPr>
        <w:t xml:space="preserve">The data for this indicator is extracted from the Ministry of Health’s B4 </w:t>
      </w:r>
      <w:r w:rsidRPr="00A16A93">
        <w:t>School Check database each quarter. The results cover all of the B4 School Checks completed in a six-month period. For example, the results for quarter one 2016/17 cover the period from 1 March 2016 to 31 August 2016 with referrals acknowledged by 30 September 2016.</w:t>
      </w:r>
    </w:p>
    <w:p w:rsidR="00A16A93" w:rsidRPr="00A16A93" w:rsidRDefault="00A16A93" w:rsidP="006A4849"/>
    <w:p w:rsidR="00A16A93" w:rsidRPr="00A16A93" w:rsidRDefault="00A16A93" w:rsidP="006A4849">
      <w:r w:rsidRPr="00A16A93">
        <w:t>This report presents data by ethnic group and neighbourhood deprivation quintile.</w:t>
      </w:r>
    </w:p>
    <w:p w:rsidR="00A16A93" w:rsidRPr="00A16A93" w:rsidRDefault="00A16A93" w:rsidP="006A4849"/>
    <w:p w:rsidR="00A16A93" w:rsidRPr="00A16A93" w:rsidRDefault="00A16A93" w:rsidP="006A4849">
      <w:pPr>
        <w:pStyle w:val="Table"/>
      </w:pPr>
      <w:bookmarkStart w:id="113" w:name="_Toc480534265"/>
      <w:r w:rsidRPr="00A16A93">
        <w:lastRenderedPageBreak/>
        <w:t>Table 13: Raising Healthy Kids health target performance, quarter one 2016/17</w:t>
      </w:r>
      <w:bookmarkEnd w:id="113"/>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835"/>
        <w:gridCol w:w="1304"/>
        <w:gridCol w:w="1304"/>
        <w:gridCol w:w="1304"/>
        <w:gridCol w:w="1475"/>
        <w:gridCol w:w="1134"/>
      </w:tblGrid>
      <w:tr w:rsidR="00A16A93" w:rsidRPr="00F77AB7" w:rsidTr="00D65F8D">
        <w:trPr>
          <w:cantSplit/>
        </w:trPr>
        <w:tc>
          <w:tcPr>
            <w:tcW w:w="2835" w:type="dxa"/>
            <w:tcBorders>
              <w:bottom w:val="single" w:sz="4" w:space="0" w:color="auto"/>
            </w:tcBorders>
          </w:tcPr>
          <w:p w:rsidR="00A16A93" w:rsidRPr="00F77AB7" w:rsidRDefault="00A16A93" w:rsidP="00D65F8D">
            <w:pPr>
              <w:pStyle w:val="TableText"/>
              <w:keepNext/>
              <w:rPr>
                <w:b/>
              </w:rPr>
            </w:pPr>
          </w:p>
        </w:tc>
        <w:tc>
          <w:tcPr>
            <w:tcW w:w="1304" w:type="dxa"/>
            <w:tcBorders>
              <w:bottom w:val="single" w:sz="4" w:space="0" w:color="auto"/>
            </w:tcBorders>
          </w:tcPr>
          <w:p w:rsidR="00A16A93" w:rsidRPr="00F77AB7" w:rsidRDefault="00A16A93" w:rsidP="00892DDA">
            <w:pPr>
              <w:pStyle w:val="TableText"/>
              <w:keepNext/>
              <w:jc w:val="center"/>
              <w:rPr>
                <w:b/>
              </w:rPr>
            </w:pPr>
            <w:r w:rsidRPr="00F77AB7">
              <w:rPr>
                <w:b/>
              </w:rPr>
              <w:t>Number of B4</w:t>
            </w:r>
            <w:r w:rsidR="00892DDA">
              <w:rPr>
                <w:b/>
              </w:rPr>
              <w:t> </w:t>
            </w:r>
            <w:r w:rsidRPr="00F77AB7">
              <w:rPr>
                <w:b/>
              </w:rPr>
              <w:t>School checks</w:t>
            </w:r>
          </w:p>
        </w:tc>
        <w:tc>
          <w:tcPr>
            <w:tcW w:w="1304" w:type="dxa"/>
            <w:tcBorders>
              <w:bottom w:val="single" w:sz="4" w:space="0" w:color="auto"/>
            </w:tcBorders>
          </w:tcPr>
          <w:p w:rsidR="00A16A93" w:rsidRPr="00F77AB7" w:rsidRDefault="00A16A93" w:rsidP="00D65F8D">
            <w:pPr>
              <w:pStyle w:val="TableText"/>
              <w:keepNext/>
              <w:jc w:val="center"/>
              <w:rPr>
                <w:b/>
              </w:rPr>
            </w:pPr>
            <w:r w:rsidRPr="00F77AB7">
              <w:rPr>
                <w:b/>
              </w:rPr>
              <w:t>Number of obese children</w:t>
            </w:r>
          </w:p>
        </w:tc>
        <w:tc>
          <w:tcPr>
            <w:tcW w:w="1304" w:type="dxa"/>
            <w:tcBorders>
              <w:bottom w:val="single" w:sz="4" w:space="0" w:color="auto"/>
            </w:tcBorders>
          </w:tcPr>
          <w:p w:rsidR="00A16A93" w:rsidRPr="00F77AB7" w:rsidRDefault="00A16A93" w:rsidP="00892DDA">
            <w:pPr>
              <w:pStyle w:val="TableText"/>
              <w:keepNext/>
              <w:jc w:val="center"/>
              <w:rPr>
                <w:b/>
              </w:rPr>
            </w:pPr>
            <w:r w:rsidRPr="00F77AB7">
              <w:rPr>
                <w:b/>
              </w:rPr>
              <w:t>Obesity</w:t>
            </w:r>
            <w:r w:rsidR="00892DDA">
              <w:rPr>
                <w:b/>
              </w:rPr>
              <w:br/>
            </w:r>
            <w:r w:rsidRPr="00F77AB7">
              <w:rPr>
                <w:b/>
              </w:rPr>
              <w:t>rate</w:t>
            </w:r>
          </w:p>
        </w:tc>
        <w:tc>
          <w:tcPr>
            <w:tcW w:w="1475" w:type="dxa"/>
            <w:tcBorders>
              <w:bottom w:val="single" w:sz="4" w:space="0" w:color="auto"/>
            </w:tcBorders>
          </w:tcPr>
          <w:p w:rsidR="00A16A93" w:rsidRPr="00F77AB7" w:rsidRDefault="00A16A93" w:rsidP="00D65F8D">
            <w:pPr>
              <w:pStyle w:val="TableText"/>
              <w:keepNext/>
              <w:jc w:val="center"/>
              <w:rPr>
                <w:b/>
              </w:rPr>
            </w:pPr>
            <w:r w:rsidRPr="00F77AB7">
              <w:rPr>
                <w:b/>
              </w:rPr>
              <w:t>Number of obese children referred</w:t>
            </w:r>
          </w:p>
        </w:tc>
        <w:tc>
          <w:tcPr>
            <w:tcW w:w="1134" w:type="dxa"/>
            <w:tcBorders>
              <w:bottom w:val="single" w:sz="4" w:space="0" w:color="auto"/>
            </w:tcBorders>
          </w:tcPr>
          <w:p w:rsidR="00A16A93" w:rsidRPr="00F77AB7" w:rsidRDefault="00A16A93" w:rsidP="00D65F8D">
            <w:pPr>
              <w:pStyle w:val="TableText"/>
              <w:keepNext/>
              <w:jc w:val="center"/>
              <w:rPr>
                <w:b/>
              </w:rPr>
            </w:pPr>
            <w:r w:rsidRPr="00F77AB7">
              <w:rPr>
                <w:b/>
              </w:rPr>
              <w:t>Referral rate</w:t>
            </w:r>
          </w:p>
        </w:tc>
      </w:tr>
      <w:tr w:rsidR="00F77AB7" w:rsidRPr="00A16A93" w:rsidTr="00D65F8D">
        <w:trPr>
          <w:cantSplit/>
        </w:trPr>
        <w:tc>
          <w:tcPr>
            <w:tcW w:w="2835" w:type="dxa"/>
            <w:tcBorders>
              <w:top w:val="single" w:sz="4" w:space="0" w:color="auto"/>
              <w:bottom w:val="single" w:sz="4" w:space="0" w:color="A6A6A6" w:themeColor="background1" w:themeShade="A6"/>
            </w:tcBorders>
          </w:tcPr>
          <w:p w:rsidR="00F77AB7" w:rsidRPr="00F77AB7" w:rsidRDefault="00F77AB7" w:rsidP="00D65F8D">
            <w:pPr>
              <w:pStyle w:val="TableText"/>
              <w:keepNext/>
              <w:rPr>
                <w:b/>
              </w:rPr>
            </w:pPr>
            <w:r w:rsidRPr="00F77AB7">
              <w:rPr>
                <w:b/>
              </w:rPr>
              <w:t>Population group</w:t>
            </w:r>
          </w:p>
        </w:tc>
        <w:tc>
          <w:tcPr>
            <w:tcW w:w="1304" w:type="dxa"/>
            <w:tcBorders>
              <w:top w:val="single" w:sz="4" w:space="0" w:color="auto"/>
              <w:bottom w:val="single" w:sz="4" w:space="0" w:color="A6A6A6" w:themeColor="background1" w:themeShade="A6"/>
            </w:tcBorders>
          </w:tcPr>
          <w:p w:rsidR="00F77AB7" w:rsidRPr="00A16A93" w:rsidRDefault="00F77AB7" w:rsidP="00D65F8D">
            <w:pPr>
              <w:pStyle w:val="TableText"/>
              <w:keepNext/>
              <w:tabs>
                <w:tab w:val="decimal" w:pos="852"/>
              </w:tabs>
            </w:pPr>
          </w:p>
        </w:tc>
        <w:tc>
          <w:tcPr>
            <w:tcW w:w="1304" w:type="dxa"/>
            <w:tcBorders>
              <w:top w:val="single" w:sz="4" w:space="0" w:color="auto"/>
              <w:bottom w:val="single" w:sz="4" w:space="0" w:color="A6A6A6" w:themeColor="background1" w:themeShade="A6"/>
            </w:tcBorders>
          </w:tcPr>
          <w:p w:rsidR="00F77AB7" w:rsidRPr="00A16A93" w:rsidRDefault="00F77AB7" w:rsidP="00D65F8D">
            <w:pPr>
              <w:pStyle w:val="TableText"/>
              <w:keepNext/>
              <w:tabs>
                <w:tab w:val="decimal" w:pos="791"/>
              </w:tabs>
            </w:pPr>
          </w:p>
        </w:tc>
        <w:tc>
          <w:tcPr>
            <w:tcW w:w="1304" w:type="dxa"/>
            <w:tcBorders>
              <w:top w:val="single" w:sz="4" w:space="0" w:color="auto"/>
              <w:bottom w:val="single" w:sz="4" w:space="0" w:color="A6A6A6" w:themeColor="background1" w:themeShade="A6"/>
            </w:tcBorders>
          </w:tcPr>
          <w:p w:rsidR="00F77AB7" w:rsidRPr="00A16A93" w:rsidRDefault="00F77AB7" w:rsidP="00D65F8D">
            <w:pPr>
              <w:pStyle w:val="TableText"/>
              <w:keepNext/>
              <w:tabs>
                <w:tab w:val="decimal" w:pos="596"/>
              </w:tabs>
            </w:pPr>
          </w:p>
        </w:tc>
        <w:tc>
          <w:tcPr>
            <w:tcW w:w="1475" w:type="dxa"/>
            <w:tcBorders>
              <w:top w:val="single" w:sz="4" w:space="0" w:color="auto"/>
              <w:bottom w:val="single" w:sz="4" w:space="0" w:color="A6A6A6" w:themeColor="background1" w:themeShade="A6"/>
            </w:tcBorders>
          </w:tcPr>
          <w:p w:rsidR="00F77AB7" w:rsidRPr="00A16A93" w:rsidRDefault="00F77AB7" w:rsidP="00D65F8D">
            <w:pPr>
              <w:pStyle w:val="TableText"/>
              <w:keepNext/>
              <w:tabs>
                <w:tab w:val="decimal" w:pos="880"/>
              </w:tabs>
            </w:pPr>
          </w:p>
        </w:tc>
        <w:tc>
          <w:tcPr>
            <w:tcW w:w="1134" w:type="dxa"/>
            <w:tcBorders>
              <w:top w:val="single" w:sz="4" w:space="0" w:color="auto"/>
              <w:bottom w:val="single" w:sz="4" w:space="0" w:color="A6A6A6" w:themeColor="background1" w:themeShade="A6"/>
            </w:tcBorders>
          </w:tcPr>
          <w:p w:rsidR="00F77AB7" w:rsidRPr="00A16A93" w:rsidRDefault="00F77AB7" w:rsidP="00D65F8D">
            <w:pPr>
              <w:pStyle w:val="TableText"/>
              <w:keepNext/>
              <w:jc w:val="center"/>
            </w:pPr>
          </w:p>
        </w:tc>
      </w:tr>
      <w:tr w:rsidR="00A16A93" w:rsidRPr="00A16A93" w:rsidTr="00D65F8D">
        <w:trPr>
          <w:cantSplit/>
        </w:trPr>
        <w:tc>
          <w:tcPr>
            <w:tcW w:w="2835" w:type="dxa"/>
            <w:tcBorders>
              <w:top w:val="single" w:sz="4" w:space="0" w:color="A6A6A6" w:themeColor="background1" w:themeShade="A6"/>
              <w:bottom w:val="single" w:sz="4" w:space="0" w:color="auto"/>
            </w:tcBorders>
          </w:tcPr>
          <w:p w:rsidR="00A16A93" w:rsidRPr="00D65F8D" w:rsidRDefault="00A16A93" w:rsidP="00D65F8D">
            <w:pPr>
              <w:pStyle w:val="TableText"/>
              <w:keepNext/>
            </w:pPr>
            <w:r w:rsidRPr="00D65F8D">
              <w:t>Total</w:t>
            </w:r>
          </w:p>
        </w:tc>
        <w:tc>
          <w:tcPr>
            <w:tcW w:w="1304" w:type="dxa"/>
            <w:tcBorders>
              <w:top w:val="single" w:sz="4" w:space="0" w:color="A6A6A6" w:themeColor="background1" w:themeShade="A6"/>
              <w:bottom w:val="single" w:sz="4" w:space="0" w:color="auto"/>
            </w:tcBorders>
          </w:tcPr>
          <w:p w:rsidR="00A16A93" w:rsidRPr="00D65F8D" w:rsidRDefault="00A16A93" w:rsidP="00D65F8D">
            <w:pPr>
              <w:pStyle w:val="TableText"/>
              <w:keepNext/>
              <w:tabs>
                <w:tab w:val="decimal" w:pos="852"/>
              </w:tabs>
            </w:pPr>
            <w:r w:rsidRPr="00D65F8D">
              <w:t>29,376</w:t>
            </w:r>
          </w:p>
        </w:tc>
        <w:tc>
          <w:tcPr>
            <w:tcW w:w="1304" w:type="dxa"/>
            <w:tcBorders>
              <w:top w:val="single" w:sz="4" w:space="0" w:color="A6A6A6" w:themeColor="background1" w:themeShade="A6"/>
              <w:bottom w:val="single" w:sz="4" w:space="0" w:color="auto"/>
            </w:tcBorders>
          </w:tcPr>
          <w:p w:rsidR="00A16A93" w:rsidRPr="00D65F8D" w:rsidRDefault="00A16A93" w:rsidP="00D65F8D">
            <w:pPr>
              <w:pStyle w:val="TableText"/>
              <w:keepNext/>
              <w:tabs>
                <w:tab w:val="decimal" w:pos="791"/>
              </w:tabs>
            </w:pPr>
            <w:r w:rsidRPr="00D65F8D">
              <w:t>2</w:t>
            </w:r>
            <w:r w:rsidR="00D65F8D">
              <w:t>,</w:t>
            </w:r>
            <w:r w:rsidRPr="00D65F8D">
              <w:t>408</w:t>
            </w:r>
          </w:p>
        </w:tc>
        <w:tc>
          <w:tcPr>
            <w:tcW w:w="1304" w:type="dxa"/>
            <w:tcBorders>
              <w:top w:val="single" w:sz="4" w:space="0" w:color="A6A6A6" w:themeColor="background1" w:themeShade="A6"/>
              <w:bottom w:val="single" w:sz="4" w:space="0" w:color="auto"/>
            </w:tcBorders>
          </w:tcPr>
          <w:p w:rsidR="00A16A93" w:rsidRPr="00D65F8D" w:rsidRDefault="00A16A93" w:rsidP="00D65F8D">
            <w:pPr>
              <w:pStyle w:val="TableText"/>
              <w:keepNext/>
              <w:tabs>
                <w:tab w:val="decimal" w:pos="596"/>
              </w:tabs>
            </w:pPr>
            <w:r w:rsidRPr="00D65F8D">
              <w:t>8%</w:t>
            </w:r>
          </w:p>
        </w:tc>
        <w:tc>
          <w:tcPr>
            <w:tcW w:w="1475" w:type="dxa"/>
            <w:tcBorders>
              <w:top w:val="single" w:sz="4" w:space="0" w:color="A6A6A6" w:themeColor="background1" w:themeShade="A6"/>
              <w:bottom w:val="single" w:sz="4" w:space="0" w:color="auto"/>
            </w:tcBorders>
          </w:tcPr>
          <w:p w:rsidR="00A16A93" w:rsidRPr="00D65F8D" w:rsidRDefault="00A16A93" w:rsidP="00D65F8D">
            <w:pPr>
              <w:pStyle w:val="TableText"/>
              <w:keepNext/>
              <w:tabs>
                <w:tab w:val="decimal" w:pos="880"/>
              </w:tabs>
            </w:pPr>
            <w:r w:rsidRPr="00D65F8D">
              <w:t>1,180</w:t>
            </w:r>
          </w:p>
        </w:tc>
        <w:tc>
          <w:tcPr>
            <w:tcW w:w="1134" w:type="dxa"/>
            <w:tcBorders>
              <w:top w:val="single" w:sz="4" w:space="0" w:color="A6A6A6" w:themeColor="background1" w:themeShade="A6"/>
              <w:bottom w:val="single" w:sz="4" w:space="0" w:color="auto"/>
            </w:tcBorders>
          </w:tcPr>
          <w:p w:rsidR="00A16A93" w:rsidRPr="00D65F8D" w:rsidRDefault="00A16A93" w:rsidP="00D65F8D">
            <w:pPr>
              <w:pStyle w:val="TableText"/>
              <w:keepNext/>
              <w:jc w:val="center"/>
            </w:pPr>
            <w:r w:rsidRPr="00D65F8D">
              <w:t>49%</w:t>
            </w:r>
          </w:p>
        </w:tc>
      </w:tr>
      <w:tr w:rsidR="00A16A93" w:rsidRPr="00A16A93" w:rsidTr="00D65F8D">
        <w:trPr>
          <w:cantSplit/>
        </w:trPr>
        <w:tc>
          <w:tcPr>
            <w:tcW w:w="2835" w:type="dxa"/>
            <w:tcBorders>
              <w:top w:val="single" w:sz="4" w:space="0" w:color="auto"/>
              <w:bottom w:val="single" w:sz="4" w:space="0" w:color="A6A6A6" w:themeColor="background1" w:themeShade="A6"/>
            </w:tcBorders>
          </w:tcPr>
          <w:p w:rsidR="00A16A93" w:rsidRPr="00D65F8D" w:rsidRDefault="00A16A93" w:rsidP="00F77AB7">
            <w:pPr>
              <w:pStyle w:val="TableText"/>
              <w:rPr>
                <w:b/>
              </w:rPr>
            </w:pPr>
            <w:r w:rsidRPr="00D65F8D">
              <w:rPr>
                <w:b/>
              </w:rPr>
              <w:t>Ethnic group</w:t>
            </w:r>
          </w:p>
        </w:tc>
        <w:tc>
          <w:tcPr>
            <w:tcW w:w="1304" w:type="dxa"/>
            <w:tcBorders>
              <w:top w:val="single" w:sz="4" w:space="0" w:color="auto"/>
              <w:bottom w:val="single" w:sz="4" w:space="0" w:color="A6A6A6" w:themeColor="background1" w:themeShade="A6"/>
            </w:tcBorders>
          </w:tcPr>
          <w:p w:rsidR="00A16A93" w:rsidRPr="00D65F8D" w:rsidRDefault="00A16A93" w:rsidP="00D65F8D">
            <w:pPr>
              <w:pStyle w:val="TableText"/>
              <w:tabs>
                <w:tab w:val="decimal" w:pos="852"/>
              </w:tabs>
            </w:pPr>
          </w:p>
        </w:tc>
        <w:tc>
          <w:tcPr>
            <w:tcW w:w="1304" w:type="dxa"/>
            <w:tcBorders>
              <w:top w:val="single" w:sz="4" w:space="0" w:color="auto"/>
              <w:bottom w:val="single" w:sz="4" w:space="0" w:color="A6A6A6" w:themeColor="background1" w:themeShade="A6"/>
            </w:tcBorders>
          </w:tcPr>
          <w:p w:rsidR="00A16A93" w:rsidRPr="00D65F8D" w:rsidRDefault="00A16A93" w:rsidP="00D65F8D">
            <w:pPr>
              <w:pStyle w:val="TableText"/>
              <w:tabs>
                <w:tab w:val="decimal" w:pos="791"/>
              </w:tabs>
            </w:pPr>
          </w:p>
        </w:tc>
        <w:tc>
          <w:tcPr>
            <w:tcW w:w="1304" w:type="dxa"/>
            <w:tcBorders>
              <w:top w:val="single" w:sz="4" w:space="0" w:color="auto"/>
              <w:bottom w:val="single" w:sz="4" w:space="0" w:color="A6A6A6" w:themeColor="background1" w:themeShade="A6"/>
            </w:tcBorders>
          </w:tcPr>
          <w:p w:rsidR="00A16A93" w:rsidRPr="00D65F8D" w:rsidRDefault="00A16A93" w:rsidP="00D65F8D">
            <w:pPr>
              <w:pStyle w:val="TableText"/>
              <w:tabs>
                <w:tab w:val="decimal" w:pos="596"/>
              </w:tabs>
            </w:pPr>
          </w:p>
        </w:tc>
        <w:tc>
          <w:tcPr>
            <w:tcW w:w="1475" w:type="dxa"/>
            <w:tcBorders>
              <w:top w:val="single" w:sz="4" w:space="0" w:color="auto"/>
              <w:bottom w:val="single" w:sz="4" w:space="0" w:color="A6A6A6" w:themeColor="background1" w:themeShade="A6"/>
            </w:tcBorders>
          </w:tcPr>
          <w:p w:rsidR="00A16A93" w:rsidRPr="00D65F8D" w:rsidRDefault="00A16A93" w:rsidP="00D65F8D">
            <w:pPr>
              <w:pStyle w:val="TableText"/>
              <w:tabs>
                <w:tab w:val="decimal" w:pos="880"/>
              </w:tabs>
            </w:pPr>
          </w:p>
        </w:tc>
        <w:tc>
          <w:tcPr>
            <w:tcW w:w="1134" w:type="dxa"/>
            <w:tcBorders>
              <w:top w:val="single" w:sz="4" w:space="0" w:color="auto"/>
              <w:bottom w:val="single" w:sz="4" w:space="0" w:color="A6A6A6" w:themeColor="background1" w:themeShade="A6"/>
            </w:tcBorders>
          </w:tcPr>
          <w:p w:rsidR="00A16A93" w:rsidRPr="00D65F8D" w:rsidRDefault="00A16A93" w:rsidP="00D65F8D">
            <w:pPr>
              <w:pStyle w:val="TableText"/>
              <w:jc w:val="center"/>
            </w:pPr>
          </w:p>
        </w:tc>
      </w:tr>
      <w:tr w:rsidR="00A16A93" w:rsidRPr="00A16A93" w:rsidTr="00D65F8D">
        <w:trPr>
          <w:cantSplit/>
        </w:trPr>
        <w:tc>
          <w:tcPr>
            <w:tcW w:w="2835" w:type="dxa"/>
            <w:tcBorders>
              <w:top w:val="single" w:sz="4" w:space="0" w:color="A6A6A6" w:themeColor="background1" w:themeShade="A6"/>
              <w:bottom w:val="single" w:sz="4" w:space="0" w:color="A6A6A6" w:themeColor="background1" w:themeShade="A6"/>
            </w:tcBorders>
          </w:tcPr>
          <w:p w:rsidR="00A16A93" w:rsidRPr="00D65F8D" w:rsidRDefault="00A16A93" w:rsidP="00F77AB7">
            <w:pPr>
              <w:pStyle w:val="TableText"/>
            </w:pPr>
            <w:r w:rsidRPr="00D65F8D">
              <w:t>Māori</w:t>
            </w:r>
          </w:p>
        </w:tc>
        <w:tc>
          <w:tcPr>
            <w:tcW w:w="1304" w:type="dxa"/>
            <w:tcBorders>
              <w:top w:val="single" w:sz="4" w:space="0" w:color="A6A6A6" w:themeColor="background1" w:themeShade="A6"/>
              <w:bottom w:val="single" w:sz="4" w:space="0" w:color="A6A6A6" w:themeColor="background1" w:themeShade="A6"/>
            </w:tcBorders>
          </w:tcPr>
          <w:p w:rsidR="00A16A93" w:rsidRPr="00D65F8D" w:rsidRDefault="00A16A93" w:rsidP="00D65F8D">
            <w:pPr>
              <w:pStyle w:val="TableText"/>
              <w:tabs>
                <w:tab w:val="decimal" w:pos="852"/>
              </w:tabs>
            </w:pPr>
            <w:r w:rsidRPr="00D65F8D">
              <w:t>7,251</w:t>
            </w:r>
          </w:p>
        </w:tc>
        <w:tc>
          <w:tcPr>
            <w:tcW w:w="1304" w:type="dxa"/>
            <w:tcBorders>
              <w:top w:val="single" w:sz="4" w:space="0" w:color="A6A6A6" w:themeColor="background1" w:themeShade="A6"/>
              <w:bottom w:val="single" w:sz="4" w:space="0" w:color="A6A6A6" w:themeColor="background1" w:themeShade="A6"/>
            </w:tcBorders>
          </w:tcPr>
          <w:p w:rsidR="00A16A93" w:rsidRPr="00D65F8D" w:rsidRDefault="00A16A93" w:rsidP="00D65F8D">
            <w:pPr>
              <w:pStyle w:val="TableText"/>
              <w:tabs>
                <w:tab w:val="decimal" w:pos="791"/>
              </w:tabs>
            </w:pPr>
            <w:r w:rsidRPr="00D65F8D">
              <w:t>842</w:t>
            </w:r>
          </w:p>
        </w:tc>
        <w:tc>
          <w:tcPr>
            <w:tcW w:w="1304" w:type="dxa"/>
            <w:tcBorders>
              <w:top w:val="single" w:sz="4" w:space="0" w:color="A6A6A6" w:themeColor="background1" w:themeShade="A6"/>
              <w:bottom w:val="single" w:sz="4" w:space="0" w:color="A6A6A6" w:themeColor="background1" w:themeShade="A6"/>
            </w:tcBorders>
          </w:tcPr>
          <w:p w:rsidR="00A16A93" w:rsidRPr="00D65F8D" w:rsidRDefault="00A16A93" w:rsidP="00D65F8D">
            <w:pPr>
              <w:pStyle w:val="TableText"/>
              <w:tabs>
                <w:tab w:val="decimal" w:pos="596"/>
              </w:tabs>
            </w:pPr>
            <w:r w:rsidRPr="00D65F8D">
              <w:t>12%</w:t>
            </w:r>
          </w:p>
        </w:tc>
        <w:tc>
          <w:tcPr>
            <w:tcW w:w="1475" w:type="dxa"/>
            <w:tcBorders>
              <w:top w:val="single" w:sz="4" w:space="0" w:color="A6A6A6" w:themeColor="background1" w:themeShade="A6"/>
              <w:bottom w:val="single" w:sz="4" w:space="0" w:color="A6A6A6" w:themeColor="background1" w:themeShade="A6"/>
            </w:tcBorders>
          </w:tcPr>
          <w:p w:rsidR="00A16A93" w:rsidRPr="00D65F8D" w:rsidRDefault="00A16A93" w:rsidP="00D65F8D">
            <w:pPr>
              <w:pStyle w:val="TableText"/>
              <w:tabs>
                <w:tab w:val="decimal" w:pos="880"/>
              </w:tabs>
            </w:pPr>
            <w:r w:rsidRPr="00D65F8D">
              <w:t>415</w:t>
            </w:r>
          </w:p>
        </w:tc>
        <w:tc>
          <w:tcPr>
            <w:tcW w:w="1134" w:type="dxa"/>
            <w:tcBorders>
              <w:top w:val="single" w:sz="4" w:space="0" w:color="A6A6A6" w:themeColor="background1" w:themeShade="A6"/>
              <w:bottom w:val="single" w:sz="4" w:space="0" w:color="A6A6A6" w:themeColor="background1" w:themeShade="A6"/>
            </w:tcBorders>
          </w:tcPr>
          <w:p w:rsidR="00A16A93" w:rsidRPr="00D65F8D" w:rsidRDefault="00A16A93" w:rsidP="00D65F8D">
            <w:pPr>
              <w:pStyle w:val="TableText"/>
              <w:jc w:val="center"/>
            </w:pPr>
            <w:r w:rsidRPr="00D65F8D">
              <w:t>49%</w:t>
            </w:r>
          </w:p>
        </w:tc>
      </w:tr>
      <w:tr w:rsidR="00A16A93" w:rsidRPr="00A16A93" w:rsidTr="00D65F8D">
        <w:trPr>
          <w:cantSplit/>
        </w:trPr>
        <w:tc>
          <w:tcPr>
            <w:tcW w:w="2835" w:type="dxa"/>
            <w:tcBorders>
              <w:top w:val="single" w:sz="4" w:space="0" w:color="A6A6A6" w:themeColor="background1" w:themeShade="A6"/>
              <w:bottom w:val="single" w:sz="4" w:space="0" w:color="A6A6A6" w:themeColor="background1" w:themeShade="A6"/>
            </w:tcBorders>
          </w:tcPr>
          <w:p w:rsidR="00A16A93" w:rsidRPr="00D65F8D" w:rsidRDefault="00A16A93" w:rsidP="00F77AB7">
            <w:pPr>
              <w:pStyle w:val="TableText"/>
            </w:pPr>
            <w:r w:rsidRPr="00D65F8D">
              <w:t>Pacific peoples</w:t>
            </w:r>
          </w:p>
        </w:tc>
        <w:tc>
          <w:tcPr>
            <w:tcW w:w="1304" w:type="dxa"/>
            <w:tcBorders>
              <w:top w:val="single" w:sz="4" w:space="0" w:color="A6A6A6" w:themeColor="background1" w:themeShade="A6"/>
              <w:bottom w:val="single" w:sz="4" w:space="0" w:color="A6A6A6" w:themeColor="background1" w:themeShade="A6"/>
            </w:tcBorders>
          </w:tcPr>
          <w:p w:rsidR="00A16A93" w:rsidRPr="00D65F8D" w:rsidRDefault="00A16A93" w:rsidP="00D65F8D">
            <w:pPr>
              <w:pStyle w:val="TableText"/>
              <w:tabs>
                <w:tab w:val="decimal" w:pos="852"/>
              </w:tabs>
            </w:pPr>
            <w:r w:rsidRPr="00D65F8D">
              <w:t>2,600</w:t>
            </w:r>
          </w:p>
        </w:tc>
        <w:tc>
          <w:tcPr>
            <w:tcW w:w="1304" w:type="dxa"/>
            <w:tcBorders>
              <w:top w:val="single" w:sz="4" w:space="0" w:color="A6A6A6" w:themeColor="background1" w:themeShade="A6"/>
              <w:bottom w:val="single" w:sz="4" w:space="0" w:color="A6A6A6" w:themeColor="background1" w:themeShade="A6"/>
            </w:tcBorders>
          </w:tcPr>
          <w:p w:rsidR="00A16A93" w:rsidRPr="00D65F8D" w:rsidRDefault="00A16A93" w:rsidP="00D65F8D">
            <w:pPr>
              <w:pStyle w:val="TableText"/>
              <w:tabs>
                <w:tab w:val="decimal" w:pos="791"/>
              </w:tabs>
            </w:pPr>
            <w:r w:rsidRPr="00D65F8D">
              <w:t>553</w:t>
            </w:r>
          </w:p>
        </w:tc>
        <w:tc>
          <w:tcPr>
            <w:tcW w:w="1304" w:type="dxa"/>
            <w:tcBorders>
              <w:top w:val="single" w:sz="4" w:space="0" w:color="A6A6A6" w:themeColor="background1" w:themeShade="A6"/>
              <w:bottom w:val="single" w:sz="4" w:space="0" w:color="A6A6A6" w:themeColor="background1" w:themeShade="A6"/>
            </w:tcBorders>
          </w:tcPr>
          <w:p w:rsidR="00A16A93" w:rsidRPr="00D65F8D" w:rsidRDefault="00A16A93" w:rsidP="00D65F8D">
            <w:pPr>
              <w:pStyle w:val="TableText"/>
              <w:tabs>
                <w:tab w:val="decimal" w:pos="596"/>
              </w:tabs>
            </w:pPr>
            <w:r w:rsidRPr="00D65F8D">
              <w:t>21%</w:t>
            </w:r>
          </w:p>
        </w:tc>
        <w:tc>
          <w:tcPr>
            <w:tcW w:w="1475" w:type="dxa"/>
            <w:tcBorders>
              <w:top w:val="single" w:sz="4" w:space="0" w:color="A6A6A6" w:themeColor="background1" w:themeShade="A6"/>
              <w:bottom w:val="single" w:sz="4" w:space="0" w:color="A6A6A6" w:themeColor="background1" w:themeShade="A6"/>
            </w:tcBorders>
          </w:tcPr>
          <w:p w:rsidR="00A16A93" w:rsidRPr="00D65F8D" w:rsidRDefault="00A16A93" w:rsidP="00D65F8D">
            <w:pPr>
              <w:pStyle w:val="TableText"/>
              <w:tabs>
                <w:tab w:val="decimal" w:pos="880"/>
              </w:tabs>
            </w:pPr>
            <w:r w:rsidRPr="00D65F8D">
              <w:t>271</w:t>
            </w:r>
          </w:p>
        </w:tc>
        <w:tc>
          <w:tcPr>
            <w:tcW w:w="1134" w:type="dxa"/>
            <w:tcBorders>
              <w:top w:val="single" w:sz="4" w:space="0" w:color="A6A6A6" w:themeColor="background1" w:themeShade="A6"/>
              <w:bottom w:val="single" w:sz="4" w:space="0" w:color="A6A6A6" w:themeColor="background1" w:themeShade="A6"/>
            </w:tcBorders>
          </w:tcPr>
          <w:p w:rsidR="00A16A93" w:rsidRPr="00D65F8D" w:rsidRDefault="00A16A93" w:rsidP="00D65F8D">
            <w:pPr>
              <w:pStyle w:val="TableText"/>
              <w:jc w:val="center"/>
            </w:pPr>
            <w:r w:rsidRPr="00D65F8D">
              <w:t>49%</w:t>
            </w:r>
          </w:p>
        </w:tc>
      </w:tr>
      <w:tr w:rsidR="00A16A93" w:rsidRPr="00A16A93" w:rsidTr="00D65F8D">
        <w:trPr>
          <w:cantSplit/>
        </w:trPr>
        <w:tc>
          <w:tcPr>
            <w:tcW w:w="2835" w:type="dxa"/>
            <w:tcBorders>
              <w:top w:val="single" w:sz="4" w:space="0" w:color="A6A6A6" w:themeColor="background1" w:themeShade="A6"/>
              <w:bottom w:val="single" w:sz="4" w:space="0" w:color="auto"/>
            </w:tcBorders>
          </w:tcPr>
          <w:p w:rsidR="00A16A93" w:rsidRPr="00D65F8D" w:rsidRDefault="00A16A93" w:rsidP="00F77AB7">
            <w:pPr>
              <w:pStyle w:val="TableText"/>
            </w:pPr>
            <w:r w:rsidRPr="00D65F8D">
              <w:t>Other</w:t>
            </w:r>
          </w:p>
        </w:tc>
        <w:tc>
          <w:tcPr>
            <w:tcW w:w="1304" w:type="dxa"/>
            <w:tcBorders>
              <w:top w:val="single" w:sz="4" w:space="0" w:color="A6A6A6" w:themeColor="background1" w:themeShade="A6"/>
              <w:bottom w:val="single" w:sz="4" w:space="0" w:color="auto"/>
            </w:tcBorders>
          </w:tcPr>
          <w:p w:rsidR="00A16A93" w:rsidRPr="00D65F8D" w:rsidRDefault="00A16A93" w:rsidP="00D65F8D">
            <w:pPr>
              <w:pStyle w:val="TableText"/>
              <w:tabs>
                <w:tab w:val="decimal" w:pos="852"/>
              </w:tabs>
            </w:pPr>
            <w:r w:rsidRPr="00D65F8D">
              <w:t>19,525</w:t>
            </w:r>
          </w:p>
        </w:tc>
        <w:tc>
          <w:tcPr>
            <w:tcW w:w="1304" w:type="dxa"/>
            <w:tcBorders>
              <w:top w:val="single" w:sz="4" w:space="0" w:color="A6A6A6" w:themeColor="background1" w:themeShade="A6"/>
              <w:bottom w:val="single" w:sz="4" w:space="0" w:color="auto"/>
            </w:tcBorders>
          </w:tcPr>
          <w:p w:rsidR="00A16A93" w:rsidRPr="00D65F8D" w:rsidRDefault="00A16A93" w:rsidP="00D65F8D">
            <w:pPr>
              <w:pStyle w:val="TableText"/>
              <w:tabs>
                <w:tab w:val="decimal" w:pos="791"/>
              </w:tabs>
            </w:pPr>
            <w:r w:rsidRPr="00D65F8D">
              <w:t>1,013</w:t>
            </w:r>
          </w:p>
        </w:tc>
        <w:tc>
          <w:tcPr>
            <w:tcW w:w="1304" w:type="dxa"/>
            <w:tcBorders>
              <w:top w:val="single" w:sz="4" w:space="0" w:color="A6A6A6" w:themeColor="background1" w:themeShade="A6"/>
              <w:bottom w:val="single" w:sz="4" w:space="0" w:color="auto"/>
            </w:tcBorders>
          </w:tcPr>
          <w:p w:rsidR="00A16A93" w:rsidRPr="00D65F8D" w:rsidRDefault="00A16A93" w:rsidP="00D65F8D">
            <w:pPr>
              <w:pStyle w:val="TableText"/>
              <w:tabs>
                <w:tab w:val="decimal" w:pos="596"/>
              </w:tabs>
            </w:pPr>
            <w:r w:rsidRPr="00D65F8D">
              <w:t>5%</w:t>
            </w:r>
          </w:p>
        </w:tc>
        <w:tc>
          <w:tcPr>
            <w:tcW w:w="1475" w:type="dxa"/>
            <w:tcBorders>
              <w:top w:val="single" w:sz="4" w:space="0" w:color="A6A6A6" w:themeColor="background1" w:themeShade="A6"/>
              <w:bottom w:val="single" w:sz="4" w:space="0" w:color="auto"/>
            </w:tcBorders>
          </w:tcPr>
          <w:p w:rsidR="00A16A93" w:rsidRPr="00D65F8D" w:rsidRDefault="00A16A93" w:rsidP="00D65F8D">
            <w:pPr>
              <w:pStyle w:val="TableText"/>
              <w:tabs>
                <w:tab w:val="decimal" w:pos="880"/>
              </w:tabs>
            </w:pPr>
            <w:r w:rsidRPr="00D65F8D">
              <w:t>494</w:t>
            </w:r>
          </w:p>
        </w:tc>
        <w:tc>
          <w:tcPr>
            <w:tcW w:w="1134" w:type="dxa"/>
            <w:tcBorders>
              <w:top w:val="single" w:sz="4" w:space="0" w:color="A6A6A6" w:themeColor="background1" w:themeShade="A6"/>
              <w:bottom w:val="single" w:sz="4" w:space="0" w:color="auto"/>
            </w:tcBorders>
          </w:tcPr>
          <w:p w:rsidR="00A16A93" w:rsidRPr="00D65F8D" w:rsidRDefault="00A16A93" w:rsidP="00D65F8D">
            <w:pPr>
              <w:pStyle w:val="TableText"/>
              <w:jc w:val="center"/>
            </w:pPr>
            <w:r w:rsidRPr="00D65F8D">
              <w:t>49%</w:t>
            </w:r>
          </w:p>
        </w:tc>
      </w:tr>
      <w:tr w:rsidR="00A16A93" w:rsidRPr="00A16A93" w:rsidTr="00D65F8D">
        <w:trPr>
          <w:cantSplit/>
        </w:trPr>
        <w:tc>
          <w:tcPr>
            <w:tcW w:w="2835" w:type="dxa"/>
            <w:tcBorders>
              <w:top w:val="single" w:sz="4" w:space="0" w:color="auto"/>
              <w:bottom w:val="single" w:sz="4" w:space="0" w:color="A6A6A6" w:themeColor="background1" w:themeShade="A6"/>
            </w:tcBorders>
          </w:tcPr>
          <w:p w:rsidR="00A16A93" w:rsidRPr="00D65F8D" w:rsidRDefault="00A16A93" w:rsidP="00F77AB7">
            <w:pPr>
              <w:pStyle w:val="TableText"/>
              <w:rPr>
                <w:b/>
              </w:rPr>
            </w:pPr>
            <w:r w:rsidRPr="00D65F8D">
              <w:rPr>
                <w:b/>
              </w:rPr>
              <w:t>Neighbourhood deprivation quintile (NZDep2013)</w:t>
            </w:r>
          </w:p>
        </w:tc>
        <w:tc>
          <w:tcPr>
            <w:tcW w:w="1304" w:type="dxa"/>
            <w:tcBorders>
              <w:top w:val="single" w:sz="4" w:space="0" w:color="auto"/>
              <w:bottom w:val="single" w:sz="4" w:space="0" w:color="A6A6A6" w:themeColor="background1" w:themeShade="A6"/>
            </w:tcBorders>
          </w:tcPr>
          <w:p w:rsidR="00A16A93" w:rsidRPr="00D65F8D" w:rsidRDefault="00A16A93" w:rsidP="00D65F8D">
            <w:pPr>
              <w:pStyle w:val="TableText"/>
              <w:tabs>
                <w:tab w:val="decimal" w:pos="852"/>
              </w:tabs>
            </w:pPr>
          </w:p>
        </w:tc>
        <w:tc>
          <w:tcPr>
            <w:tcW w:w="1304" w:type="dxa"/>
            <w:tcBorders>
              <w:top w:val="single" w:sz="4" w:space="0" w:color="auto"/>
              <w:bottom w:val="single" w:sz="4" w:space="0" w:color="A6A6A6" w:themeColor="background1" w:themeShade="A6"/>
            </w:tcBorders>
          </w:tcPr>
          <w:p w:rsidR="00A16A93" w:rsidRPr="00D65F8D" w:rsidRDefault="00A16A93" w:rsidP="00D65F8D">
            <w:pPr>
              <w:pStyle w:val="TableText"/>
              <w:tabs>
                <w:tab w:val="decimal" w:pos="791"/>
              </w:tabs>
            </w:pPr>
          </w:p>
        </w:tc>
        <w:tc>
          <w:tcPr>
            <w:tcW w:w="1304" w:type="dxa"/>
            <w:tcBorders>
              <w:top w:val="single" w:sz="4" w:space="0" w:color="auto"/>
              <w:bottom w:val="single" w:sz="4" w:space="0" w:color="A6A6A6" w:themeColor="background1" w:themeShade="A6"/>
            </w:tcBorders>
          </w:tcPr>
          <w:p w:rsidR="00A16A93" w:rsidRPr="00D65F8D" w:rsidRDefault="00A16A93" w:rsidP="00D65F8D">
            <w:pPr>
              <w:pStyle w:val="TableText"/>
              <w:tabs>
                <w:tab w:val="decimal" w:pos="596"/>
              </w:tabs>
            </w:pPr>
          </w:p>
        </w:tc>
        <w:tc>
          <w:tcPr>
            <w:tcW w:w="1475" w:type="dxa"/>
            <w:tcBorders>
              <w:top w:val="single" w:sz="4" w:space="0" w:color="auto"/>
              <w:bottom w:val="single" w:sz="4" w:space="0" w:color="A6A6A6" w:themeColor="background1" w:themeShade="A6"/>
            </w:tcBorders>
          </w:tcPr>
          <w:p w:rsidR="00A16A93" w:rsidRPr="00D65F8D" w:rsidRDefault="00A16A93" w:rsidP="00D65F8D">
            <w:pPr>
              <w:pStyle w:val="TableText"/>
              <w:tabs>
                <w:tab w:val="decimal" w:pos="880"/>
              </w:tabs>
            </w:pPr>
          </w:p>
        </w:tc>
        <w:tc>
          <w:tcPr>
            <w:tcW w:w="1134" w:type="dxa"/>
            <w:tcBorders>
              <w:top w:val="single" w:sz="4" w:space="0" w:color="auto"/>
              <w:bottom w:val="single" w:sz="4" w:space="0" w:color="A6A6A6" w:themeColor="background1" w:themeShade="A6"/>
            </w:tcBorders>
          </w:tcPr>
          <w:p w:rsidR="00A16A93" w:rsidRPr="00D65F8D" w:rsidRDefault="00A16A93" w:rsidP="00D65F8D">
            <w:pPr>
              <w:pStyle w:val="TableText"/>
              <w:jc w:val="center"/>
            </w:pPr>
          </w:p>
        </w:tc>
      </w:tr>
      <w:tr w:rsidR="00A16A93" w:rsidRPr="00A16A93" w:rsidTr="00D65F8D">
        <w:trPr>
          <w:cantSplit/>
        </w:trPr>
        <w:tc>
          <w:tcPr>
            <w:tcW w:w="2835" w:type="dxa"/>
            <w:tcBorders>
              <w:top w:val="single" w:sz="4" w:space="0" w:color="A6A6A6" w:themeColor="background1" w:themeShade="A6"/>
              <w:bottom w:val="single" w:sz="4" w:space="0" w:color="A6A6A6" w:themeColor="background1" w:themeShade="A6"/>
            </w:tcBorders>
          </w:tcPr>
          <w:p w:rsidR="00A16A93" w:rsidRPr="00D65F8D" w:rsidRDefault="00A16A93" w:rsidP="00F77AB7">
            <w:pPr>
              <w:pStyle w:val="TableText"/>
            </w:pPr>
            <w:r w:rsidRPr="00D65F8D">
              <w:t>Quintile 1 (least deprived)</w:t>
            </w:r>
          </w:p>
        </w:tc>
        <w:tc>
          <w:tcPr>
            <w:tcW w:w="1304" w:type="dxa"/>
            <w:tcBorders>
              <w:top w:val="single" w:sz="4" w:space="0" w:color="A6A6A6" w:themeColor="background1" w:themeShade="A6"/>
              <w:bottom w:val="single" w:sz="4" w:space="0" w:color="A6A6A6" w:themeColor="background1" w:themeShade="A6"/>
            </w:tcBorders>
          </w:tcPr>
          <w:p w:rsidR="00A16A93" w:rsidRPr="00D65F8D" w:rsidRDefault="00A16A93" w:rsidP="00D65F8D">
            <w:pPr>
              <w:pStyle w:val="TableText"/>
              <w:tabs>
                <w:tab w:val="decimal" w:pos="852"/>
              </w:tabs>
            </w:pPr>
            <w:r w:rsidRPr="00D65F8D">
              <w:t>5,637</w:t>
            </w:r>
          </w:p>
        </w:tc>
        <w:tc>
          <w:tcPr>
            <w:tcW w:w="1304" w:type="dxa"/>
            <w:tcBorders>
              <w:top w:val="single" w:sz="4" w:space="0" w:color="A6A6A6" w:themeColor="background1" w:themeShade="A6"/>
              <w:bottom w:val="single" w:sz="4" w:space="0" w:color="A6A6A6" w:themeColor="background1" w:themeShade="A6"/>
            </w:tcBorders>
          </w:tcPr>
          <w:p w:rsidR="00A16A93" w:rsidRPr="00D65F8D" w:rsidRDefault="00A16A93" w:rsidP="00D65F8D">
            <w:pPr>
              <w:pStyle w:val="TableText"/>
              <w:tabs>
                <w:tab w:val="decimal" w:pos="791"/>
              </w:tabs>
            </w:pPr>
            <w:r w:rsidRPr="00D65F8D">
              <w:t>242</w:t>
            </w:r>
          </w:p>
        </w:tc>
        <w:tc>
          <w:tcPr>
            <w:tcW w:w="1304" w:type="dxa"/>
            <w:tcBorders>
              <w:top w:val="single" w:sz="4" w:space="0" w:color="A6A6A6" w:themeColor="background1" w:themeShade="A6"/>
              <w:bottom w:val="single" w:sz="4" w:space="0" w:color="A6A6A6" w:themeColor="background1" w:themeShade="A6"/>
            </w:tcBorders>
          </w:tcPr>
          <w:p w:rsidR="00A16A93" w:rsidRPr="00D65F8D" w:rsidRDefault="00A16A93" w:rsidP="00D65F8D">
            <w:pPr>
              <w:pStyle w:val="TableText"/>
              <w:tabs>
                <w:tab w:val="decimal" w:pos="596"/>
              </w:tabs>
            </w:pPr>
            <w:r w:rsidRPr="00D65F8D">
              <w:t>4%</w:t>
            </w:r>
          </w:p>
        </w:tc>
        <w:tc>
          <w:tcPr>
            <w:tcW w:w="1475" w:type="dxa"/>
            <w:tcBorders>
              <w:top w:val="single" w:sz="4" w:space="0" w:color="A6A6A6" w:themeColor="background1" w:themeShade="A6"/>
              <w:bottom w:val="single" w:sz="4" w:space="0" w:color="A6A6A6" w:themeColor="background1" w:themeShade="A6"/>
            </w:tcBorders>
          </w:tcPr>
          <w:p w:rsidR="00A16A93" w:rsidRPr="00D65F8D" w:rsidRDefault="00A16A93" w:rsidP="00D65F8D">
            <w:pPr>
              <w:pStyle w:val="TableText"/>
              <w:tabs>
                <w:tab w:val="decimal" w:pos="880"/>
              </w:tabs>
            </w:pPr>
            <w:r w:rsidRPr="00D65F8D">
              <w:t>119</w:t>
            </w:r>
          </w:p>
        </w:tc>
        <w:tc>
          <w:tcPr>
            <w:tcW w:w="1134" w:type="dxa"/>
            <w:tcBorders>
              <w:top w:val="single" w:sz="4" w:space="0" w:color="A6A6A6" w:themeColor="background1" w:themeShade="A6"/>
              <w:bottom w:val="single" w:sz="4" w:space="0" w:color="A6A6A6" w:themeColor="background1" w:themeShade="A6"/>
            </w:tcBorders>
          </w:tcPr>
          <w:p w:rsidR="00A16A93" w:rsidRPr="00D65F8D" w:rsidRDefault="00A16A93" w:rsidP="00D65F8D">
            <w:pPr>
              <w:pStyle w:val="TableText"/>
              <w:jc w:val="center"/>
            </w:pPr>
            <w:r w:rsidRPr="00D65F8D">
              <w:t>49%</w:t>
            </w:r>
          </w:p>
        </w:tc>
      </w:tr>
      <w:tr w:rsidR="00A16A93" w:rsidRPr="00A16A93" w:rsidTr="00D65F8D">
        <w:trPr>
          <w:cantSplit/>
        </w:trPr>
        <w:tc>
          <w:tcPr>
            <w:tcW w:w="2835" w:type="dxa"/>
            <w:tcBorders>
              <w:top w:val="single" w:sz="4" w:space="0" w:color="A6A6A6" w:themeColor="background1" w:themeShade="A6"/>
              <w:bottom w:val="single" w:sz="4" w:space="0" w:color="A6A6A6" w:themeColor="background1" w:themeShade="A6"/>
            </w:tcBorders>
          </w:tcPr>
          <w:p w:rsidR="00A16A93" w:rsidRPr="00D65F8D" w:rsidRDefault="00A16A93" w:rsidP="00F77AB7">
            <w:pPr>
              <w:pStyle w:val="TableText"/>
            </w:pPr>
            <w:r w:rsidRPr="00D65F8D">
              <w:t>Quintile 2</w:t>
            </w:r>
          </w:p>
        </w:tc>
        <w:tc>
          <w:tcPr>
            <w:tcW w:w="1304" w:type="dxa"/>
            <w:tcBorders>
              <w:top w:val="single" w:sz="4" w:space="0" w:color="A6A6A6" w:themeColor="background1" w:themeShade="A6"/>
              <w:bottom w:val="single" w:sz="4" w:space="0" w:color="A6A6A6" w:themeColor="background1" w:themeShade="A6"/>
            </w:tcBorders>
          </w:tcPr>
          <w:p w:rsidR="00A16A93" w:rsidRPr="00D65F8D" w:rsidRDefault="00A16A93" w:rsidP="00D65F8D">
            <w:pPr>
              <w:pStyle w:val="TableText"/>
              <w:tabs>
                <w:tab w:val="decimal" w:pos="852"/>
              </w:tabs>
            </w:pPr>
            <w:r w:rsidRPr="00D65F8D">
              <w:t>5,473</w:t>
            </w:r>
          </w:p>
        </w:tc>
        <w:tc>
          <w:tcPr>
            <w:tcW w:w="1304" w:type="dxa"/>
            <w:tcBorders>
              <w:top w:val="single" w:sz="4" w:space="0" w:color="A6A6A6" w:themeColor="background1" w:themeShade="A6"/>
              <w:bottom w:val="single" w:sz="4" w:space="0" w:color="A6A6A6" w:themeColor="background1" w:themeShade="A6"/>
            </w:tcBorders>
          </w:tcPr>
          <w:p w:rsidR="00A16A93" w:rsidRPr="00D65F8D" w:rsidRDefault="00A16A93" w:rsidP="00D65F8D">
            <w:pPr>
              <w:pStyle w:val="TableText"/>
              <w:tabs>
                <w:tab w:val="decimal" w:pos="791"/>
              </w:tabs>
            </w:pPr>
            <w:r w:rsidRPr="00D65F8D">
              <w:t>277</w:t>
            </w:r>
          </w:p>
        </w:tc>
        <w:tc>
          <w:tcPr>
            <w:tcW w:w="1304" w:type="dxa"/>
            <w:tcBorders>
              <w:top w:val="single" w:sz="4" w:space="0" w:color="A6A6A6" w:themeColor="background1" w:themeShade="A6"/>
              <w:bottom w:val="single" w:sz="4" w:space="0" w:color="A6A6A6" w:themeColor="background1" w:themeShade="A6"/>
            </w:tcBorders>
          </w:tcPr>
          <w:p w:rsidR="00A16A93" w:rsidRPr="00D65F8D" w:rsidRDefault="00A16A93" w:rsidP="00D65F8D">
            <w:pPr>
              <w:pStyle w:val="TableText"/>
              <w:tabs>
                <w:tab w:val="decimal" w:pos="596"/>
              </w:tabs>
            </w:pPr>
            <w:r w:rsidRPr="00D65F8D">
              <w:t>5%</w:t>
            </w:r>
          </w:p>
        </w:tc>
        <w:tc>
          <w:tcPr>
            <w:tcW w:w="1475" w:type="dxa"/>
            <w:tcBorders>
              <w:top w:val="single" w:sz="4" w:space="0" w:color="A6A6A6" w:themeColor="background1" w:themeShade="A6"/>
              <w:bottom w:val="single" w:sz="4" w:space="0" w:color="A6A6A6" w:themeColor="background1" w:themeShade="A6"/>
            </w:tcBorders>
          </w:tcPr>
          <w:p w:rsidR="00A16A93" w:rsidRPr="00D65F8D" w:rsidRDefault="00A16A93" w:rsidP="00D65F8D">
            <w:pPr>
              <w:pStyle w:val="TableText"/>
              <w:tabs>
                <w:tab w:val="decimal" w:pos="880"/>
              </w:tabs>
            </w:pPr>
            <w:r w:rsidRPr="00D65F8D">
              <w:t>149</w:t>
            </w:r>
          </w:p>
        </w:tc>
        <w:tc>
          <w:tcPr>
            <w:tcW w:w="1134" w:type="dxa"/>
            <w:tcBorders>
              <w:top w:val="single" w:sz="4" w:space="0" w:color="A6A6A6" w:themeColor="background1" w:themeShade="A6"/>
              <w:bottom w:val="single" w:sz="4" w:space="0" w:color="A6A6A6" w:themeColor="background1" w:themeShade="A6"/>
            </w:tcBorders>
          </w:tcPr>
          <w:p w:rsidR="00A16A93" w:rsidRPr="00D65F8D" w:rsidRDefault="00A16A93" w:rsidP="00D65F8D">
            <w:pPr>
              <w:pStyle w:val="TableText"/>
              <w:jc w:val="center"/>
            </w:pPr>
            <w:r w:rsidRPr="00D65F8D">
              <w:t>54%</w:t>
            </w:r>
          </w:p>
        </w:tc>
      </w:tr>
      <w:tr w:rsidR="00A16A93" w:rsidRPr="00A16A93" w:rsidTr="00D65F8D">
        <w:trPr>
          <w:cantSplit/>
        </w:trPr>
        <w:tc>
          <w:tcPr>
            <w:tcW w:w="2835" w:type="dxa"/>
            <w:tcBorders>
              <w:top w:val="single" w:sz="4" w:space="0" w:color="A6A6A6" w:themeColor="background1" w:themeShade="A6"/>
              <w:bottom w:val="single" w:sz="4" w:space="0" w:color="A6A6A6" w:themeColor="background1" w:themeShade="A6"/>
            </w:tcBorders>
          </w:tcPr>
          <w:p w:rsidR="00A16A93" w:rsidRPr="00D65F8D" w:rsidRDefault="00A16A93" w:rsidP="00F77AB7">
            <w:pPr>
              <w:pStyle w:val="TableText"/>
            </w:pPr>
            <w:r w:rsidRPr="00D65F8D">
              <w:t>Quintile 3</w:t>
            </w:r>
          </w:p>
        </w:tc>
        <w:tc>
          <w:tcPr>
            <w:tcW w:w="1304" w:type="dxa"/>
            <w:tcBorders>
              <w:top w:val="single" w:sz="4" w:space="0" w:color="A6A6A6" w:themeColor="background1" w:themeShade="A6"/>
              <w:bottom w:val="single" w:sz="4" w:space="0" w:color="A6A6A6" w:themeColor="background1" w:themeShade="A6"/>
            </w:tcBorders>
          </w:tcPr>
          <w:p w:rsidR="00A16A93" w:rsidRPr="00D65F8D" w:rsidRDefault="00A16A93" w:rsidP="00D65F8D">
            <w:pPr>
              <w:pStyle w:val="TableText"/>
              <w:tabs>
                <w:tab w:val="decimal" w:pos="852"/>
              </w:tabs>
            </w:pPr>
            <w:r w:rsidRPr="00D65F8D">
              <w:t>5,387</w:t>
            </w:r>
          </w:p>
        </w:tc>
        <w:tc>
          <w:tcPr>
            <w:tcW w:w="1304" w:type="dxa"/>
            <w:tcBorders>
              <w:top w:val="single" w:sz="4" w:space="0" w:color="A6A6A6" w:themeColor="background1" w:themeShade="A6"/>
              <w:bottom w:val="single" w:sz="4" w:space="0" w:color="A6A6A6" w:themeColor="background1" w:themeShade="A6"/>
            </w:tcBorders>
          </w:tcPr>
          <w:p w:rsidR="00A16A93" w:rsidRPr="00D65F8D" w:rsidRDefault="00A16A93" w:rsidP="00D65F8D">
            <w:pPr>
              <w:pStyle w:val="TableText"/>
              <w:tabs>
                <w:tab w:val="decimal" w:pos="791"/>
              </w:tabs>
            </w:pPr>
            <w:r w:rsidRPr="00D65F8D">
              <w:t>392</w:t>
            </w:r>
          </w:p>
        </w:tc>
        <w:tc>
          <w:tcPr>
            <w:tcW w:w="1304" w:type="dxa"/>
            <w:tcBorders>
              <w:top w:val="single" w:sz="4" w:space="0" w:color="A6A6A6" w:themeColor="background1" w:themeShade="A6"/>
              <w:bottom w:val="single" w:sz="4" w:space="0" w:color="A6A6A6" w:themeColor="background1" w:themeShade="A6"/>
            </w:tcBorders>
          </w:tcPr>
          <w:p w:rsidR="00A16A93" w:rsidRPr="00D65F8D" w:rsidRDefault="00A16A93" w:rsidP="00D65F8D">
            <w:pPr>
              <w:pStyle w:val="TableText"/>
              <w:tabs>
                <w:tab w:val="decimal" w:pos="596"/>
              </w:tabs>
            </w:pPr>
            <w:r w:rsidRPr="00D65F8D">
              <w:t>7%</w:t>
            </w:r>
          </w:p>
        </w:tc>
        <w:tc>
          <w:tcPr>
            <w:tcW w:w="1475" w:type="dxa"/>
            <w:tcBorders>
              <w:top w:val="single" w:sz="4" w:space="0" w:color="A6A6A6" w:themeColor="background1" w:themeShade="A6"/>
              <w:bottom w:val="single" w:sz="4" w:space="0" w:color="A6A6A6" w:themeColor="background1" w:themeShade="A6"/>
            </w:tcBorders>
          </w:tcPr>
          <w:p w:rsidR="00A16A93" w:rsidRPr="00D65F8D" w:rsidRDefault="00A16A93" w:rsidP="00D65F8D">
            <w:pPr>
              <w:pStyle w:val="TableText"/>
              <w:tabs>
                <w:tab w:val="decimal" w:pos="880"/>
              </w:tabs>
            </w:pPr>
            <w:r w:rsidRPr="00D65F8D">
              <w:t>192</w:t>
            </w:r>
          </w:p>
        </w:tc>
        <w:tc>
          <w:tcPr>
            <w:tcW w:w="1134" w:type="dxa"/>
            <w:tcBorders>
              <w:top w:val="single" w:sz="4" w:space="0" w:color="A6A6A6" w:themeColor="background1" w:themeShade="A6"/>
              <w:bottom w:val="single" w:sz="4" w:space="0" w:color="A6A6A6" w:themeColor="background1" w:themeShade="A6"/>
            </w:tcBorders>
          </w:tcPr>
          <w:p w:rsidR="00A16A93" w:rsidRPr="00D65F8D" w:rsidRDefault="00A16A93" w:rsidP="00D65F8D">
            <w:pPr>
              <w:pStyle w:val="TableText"/>
              <w:jc w:val="center"/>
            </w:pPr>
            <w:r w:rsidRPr="00D65F8D">
              <w:t>49%</w:t>
            </w:r>
          </w:p>
        </w:tc>
      </w:tr>
      <w:tr w:rsidR="00A16A93" w:rsidRPr="00A16A93" w:rsidTr="00D65F8D">
        <w:trPr>
          <w:cantSplit/>
        </w:trPr>
        <w:tc>
          <w:tcPr>
            <w:tcW w:w="2835" w:type="dxa"/>
            <w:tcBorders>
              <w:top w:val="single" w:sz="4" w:space="0" w:color="A6A6A6" w:themeColor="background1" w:themeShade="A6"/>
              <w:bottom w:val="single" w:sz="4" w:space="0" w:color="A6A6A6" w:themeColor="background1" w:themeShade="A6"/>
            </w:tcBorders>
          </w:tcPr>
          <w:p w:rsidR="00A16A93" w:rsidRPr="00D65F8D" w:rsidRDefault="00A16A93" w:rsidP="00F77AB7">
            <w:pPr>
              <w:pStyle w:val="TableText"/>
            </w:pPr>
            <w:r w:rsidRPr="00D65F8D">
              <w:t>Quintile 4</w:t>
            </w:r>
          </w:p>
        </w:tc>
        <w:tc>
          <w:tcPr>
            <w:tcW w:w="1304" w:type="dxa"/>
            <w:tcBorders>
              <w:top w:val="single" w:sz="4" w:space="0" w:color="A6A6A6" w:themeColor="background1" w:themeShade="A6"/>
              <w:bottom w:val="single" w:sz="4" w:space="0" w:color="A6A6A6" w:themeColor="background1" w:themeShade="A6"/>
            </w:tcBorders>
          </w:tcPr>
          <w:p w:rsidR="00A16A93" w:rsidRPr="00D65F8D" w:rsidRDefault="00A16A93" w:rsidP="00D65F8D">
            <w:pPr>
              <w:pStyle w:val="TableText"/>
              <w:tabs>
                <w:tab w:val="decimal" w:pos="852"/>
              </w:tabs>
            </w:pPr>
            <w:r w:rsidRPr="00D65F8D">
              <w:t>5,440</w:t>
            </w:r>
          </w:p>
        </w:tc>
        <w:tc>
          <w:tcPr>
            <w:tcW w:w="1304" w:type="dxa"/>
            <w:tcBorders>
              <w:top w:val="single" w:sz="4" w:space="0" w:color="A6A6A6" w:themeColor="background1" w:themeShade="A6"/>
              <w:bottom w:val="single" w:sz="4" w:space="0" w:color="A6A6A6" w:themeColor="background1" w:themeShade="A6"/>
            </w:tcBorders>
          </w:tcPr>
          <w:p w:rsidR="00A16A93" w:rsidRPr="00D65F8D" w:rsidRDefault="00A16A93" w:rsidP="00D65F8D">
            <w:pPr>
              <w:pStyle w:val="TableText"/>
              <w:tabs>
                <w:tab w:val="decimal" w:pos="791"/>
              </w:tabs>
            </w:pPr>
            <w:r w:rsidRPr="00D65F8D">
              <w:t>493</w:t>
            </w:r>
          </w:p>
        </w:tc>
        <w:tc>
          <w:tcPr>
            <w:tcW w:w="1304" w:type="dxa"/>
            <w:tcBorders>
              <w:top w:val="single" w:sz="4" w:space="0" w:color="A6A6A6" w:themeColor="background1" w:themeShade="A6"/>
              <w:bottom w:val="single" w:sz="4" w:space="0" w:color="A6A6A6" w:themeColor="background1" w:themeShade="A6"/>
            </w:tcBorders>
          </w:tcPr>
          <w:p w:rsidR="00A16A93" w:rsidRPr="00D65F8D" w:rsidRDefault="00A16A93" w:rsidP="00D65F8D">
            <w:pPr>
              <w:pStyle w:val="TableText"/>
              <w:tabs>
                <w:tab w:val="decimal" w:pos="596"/>
              </w:tabs>
            </w:pPr>
            <w:r w:rsidRPr="00D65F8D">
              <w:t>9%</w:t>
            </w:r>
          </w:p>
        </w:tc>
        <w:tc>
          <w:tcPr>
            <w:tcW w:w="1475" w:type="dxa"/>
            <w:tcBorders>
              <w:top w:val="single" w:sz="4" w:space="0" w:color="A6A6A6" w:themeColor="background1" w:themeShade="A6"/>
              <w:bottom w:val="single" w:sz="4" w:space="0" w:color="A6A6A6" w:themeColor="background1" w:themeShade="A6"/>
            </w:tcBorders>
          </w:tcPr>
          <w:p w:rsidR="00A16A93" w:rsidRPr="00D65F8D" w:rsidRDefault="00A16A93" w:rsidP="00D65F8D">
            <w:pPr>
              <w:pStyle w:val="TableText"/>
              <w:tabs>
                <w:tab w:val="decimal" w:pos="880"/>
              </w:tabs>
            </w:pPr>
            <w:r w:rsidRPr="00D65F8D">
              <w:t>254</w:t>
            </w:r>
          </w:p>
        </w:tc>
        <w:tc>
          <w:tcPr>
            <w:tcW w:w="1134" w:type="dxa"/>
            <w:tcBorders>
              <w:top w:val="single" w:sz="4" w:space="0" w:color="A6A6A6" w:themeColor="background1" w:themeShade="A6"/>
              <w:bottom w:val="single" w:sz="4" w:space="0" w:color="A6A6A6" w:themeColor="background1" w:themeShade="A6"/>
            </w:tcBorders>
          </w:tcPr>
          <w:p w:rsidR="00A16A93" w:rsidRPr="00D65F8D" w:rsidRDefault="00A16A93" w:rsidP="00D65F8D">
            <w:pPr>
              <w:pStyle w:val="TableText"/>
              <w:jc w:val="center"/>
            </w:pPr>
            <w:r w:rsidRPr="00D65F8D">
              <w:t>52%</w:t>
            </w:r>
          </w:p>
        </w:tc>
      </w:tr>
      <w:tr w:rsidR="00A16A93" w:rsidRPr="00A16A93" w:rsidTr="00D65F8D">
        <w:trPr>
          <w:cantSplit/>
        </w:trPr>
        <w:tc>
          <w:tcPr>
            <w:tcW w:w="2835" w:type="dxa"/>
            <w:tcBorders>
              <w:top w:val="single" w:sz="4" w:space="0" w:color="A6A6A6" w:themeColor="background1" w:themeShade="A6"/>
              <w:bottom w:val="single" w:sz="4" w:space="0" w:color="auto"/>
            </w:tcBorders>
          </w:tcPr>
          <w:p w:rsidR="00A16A93" w:rsidRPr="00D65F8D" w:rsidRDefault="00A16A93" w:rsidP="00F77AB7">
            <w:pPr>
              <w:pStyle w:val="TableText"/>
            </w:pPr>
            <w:r w:rsidRPr="00D65F8D">
              <w:t>Quintile 5 (most deprived)</w:t>
            </w:r>
          </w:p>
        </w:tc>
        <w:tc>
          <w:tcPr>
            <w:tcW w:w="1304" w:type="dxa"/>
            <w:tcBorders>
              <w:top w:val="single" w:sz="4" w:space="0" w:color="A6A6A6" w:themeColor="background1" w:themeShade="A6"/>
              <w:bottom w:val="single" w:sz="4" w:space="0" w:color="auto"/>
            </w:tcBorders>
          </w:tcPr>
          <w:p w:rsidR="00A16A93" w:rsidRPr="00D65F8D" w:rsidRDefault="00A16A93" w:rsidP="00D65F8D">
            <w:pPr>
              <w:pStyle w:val="TableText"/>
              <w:tabs>
                <w:tab w:val="decimal" w:pos="852"/>
              </w:tabs>
            </w:pPr>
            <w:r w:rsidRPr="00D65F8D">
              <w:t>7,338</w:t>
            </w:r>
          </w:p>
        </w:tc>
        <w:tc>
          <w:tcPr>
            <w:tcW w:w="1304" w:type="dxa"/>
            <w:tcBorders>
              <w:top w:val="single" w:sz="4" w:space="0" w:color="A6A6A6" w:themeColor="background1" w:themeShade="A6"/>
              <w:bottom w:val="single" w:sz="4" w:space="0" w:color="auto"/>
            </w:tcBorders>
          </w:tcPr>
          <w:p w:rsidR="00A16A93" w:rsidRPr="00D65F8D" w:rsidRDefault="00A16A93" w:rsidP="00D65F8D">
            <w:pPr>
              <w:pStyle w:val="TableText"/>
              <w:tabs>
                <w:tab w:val="decimal" w:pos="791"/>
              </w:tabs>
            </w:pPr>
            <w:r w:rsidRPr="00D65F8D">
              <w:t>1,001</w:t>
            </w:r>
          </w:p>
        </w:tc>
        <w:tc>
          <w:tcPr>
            <w:tcW w:w="1304" w:type="dxa"/>
            <w:tcBorders>
              <w:top w:val="single" w:sz="4" w:space="0" w:color="A6A6A6" w:themeColor="background1" w:themeShade="A6"/>
              <w:bottom w:val="single" w:sz="4" w:space="0" w:color="auto"/>
            </w:tcBorders>
          </w:tcPr>
          <w:p w:rsidR="00A16A93" w:rsidRPr="00D65F8D" w:rsidRDefault="00A16A93" w:rsidP="00D65F8D">
            <w:pPr>
              <w:pStyle w:val="TableText"/>
              <w:tabs>
                <w:tab w:val="decimal" w:pos="596"/>
              </w:tabs>
            </w:pPr>
            <w:r w:rsidRPr="00D65F8D">
              <w:t>14%</w:t>
            </w:r>
          </w:p>
        </w:tc>
        <w:tc>
          <w:tcPr>
            <w:tcW w:w="1475" w:type="dxa"/>
            <w:tcBorders>
              <w:top w:val="single" w:sz="4" w:space="0" w:color="A6A6A6" w:themeColor="background1" w:themeShade="A6"/>
              <w:bottom w:val="single" w:sz="4" w:space="0" w:color="auto"/>
            </w:tcBorders>
          </w:tcPr>
          <w:p w:rsidR="00A16A93" w:rsidRPr="00D65F8D" w:rsidRDefault="00A16A93" w:rsidP="00D65F8D">
            <w:pPr>
              <w:pStyle w:val="TableText"/>
              <w:tabs>
                <w:tab w:val="decimal" w:pos="880"/>
              </w:tabs>
            </w:pPr>
            <w:r w:rsidRPr="00D65F8D">
              <w:t>466</w:t>
            </w:r>
          </w:p>
        </w:tc>
        <w:tc>
          <w:tcPr>
            <w:tcW w:w="1134" w:type="dxa"/>
            <w:tcBorders>
              <w:top w:val="single" w:sz="4" w:space="0" w:color="A6A6A6" w:themeColor="background1" w:themeShade="A6"/>
              <w:bottom w:val="single" w:sz="4" w:space="0" w:color="auto"/>
            </w:tcBorders>
          </w:tcPr>
          <w:p w:rsidR="00A16A93" w:rsidRPr="00D65F8D" w:rsidRDefault="00A16A93" w:rsidP="00D65F8D">
            <w:pPr>
              <w:pStyle w:val="TableText"/>
              <w:jc w:val="center"/>
            </w:pPr>
            <w:r w:rsidRPr="00D65F8D">
              <w:t>47%</w:t>
            </w:r>
          </w:p>
        </w:tc>
      </w:tr>
    </w:tbl>
    <w:p w:rsidR="00A16A93" w:rsidRPr="00A16A93" w:rsidRDefault="00A16A93" w:rsidP="006A4849">
      <w:pPr>
        <w:pStyle w:val="Source"/>
      </w:pPr>
      <w:r w:rsidRPr="00A16A93">
        <w:t>Source: B4 School Check database</w:t>
      </w:r>
    </w:p>
    <w:p w:rsidR="00A16A93" w:rsidRPr="00A16A93" w:rsidRDefault="00A16A93" w:rsidP="006A4849"/>
    <w:p w:rsidR="00A16A93" w:rsidRPr="00A16A93" w:rsidRDefault="00A16A93" w:rsidP="006A4849">
      <w:pPr>
        <w:pStyle w:val="Heading2"/>
      </w:pPr>
      <w:bookmarkStart w:id="114" w:name="_Toc480457798"/>
      <w:bookmarkStart w:id="115" w:name="_Toc480534250"/>
      <w:r w:rsidRPr="00A16A93">
        <w:lastRenderedPageBreak/>
        <w:t>Indicator 15: Birth weight</w:t>
      </w:r>
      <w:bookmarkEnd w:id="114"/>
      <w:bookmarkEnd w:id="115"/>
    </w:p>
    <w:p w:rsidR="00A16A93" w:rsidRPr="00A16A93" w:rsidRDefault="00A16A93" w:rsidP="006A4849">
      <w:pPr>
        <w:pStyle w:val="Heading3"/>
      </w:pPr>
      <w:bookmarkStart w:id="116" w:name="_Toc480457799"/>
      <w:r w:rsidRPr="00A16A93">
        <w:t>Description</w:t>
      </w:r>
      <w:bookmarkEnd w:id="116"/>
    </w:p>
    <w:p w:rsidR="00A16A93" w:rsidRPr="00A16A93" w:rsidRDefault="00A16A93" w:rsidP="00892DDA">
      <w:pPr>
        <w:keepNext/>
      </w:pPr>
      <w:r w:rsidRPr="00A16A93">
        <w:t>This indicator measures the percentage of babies whose birth weight (in kilograms) was extremely low, very low, low, normal or high. Birth weight is the first weight of the baby obtained after birth, preferably measured within the first hour of life before significant postnatal weight loss has occurred.</w:t>
      </w:r>
    </w:p>
    <w:p w:rsidR="00A16A93" w:rsidRPr="00A16A93" w:rsidRDefault="00A16A93" w:rsidP="00892DDA">
      <w:pPr>
        <w:keepNext/>
      </w:pPr>
    </w:p>
    <w:p w:rsidR="00A16A93" w:rsidRPr="00A16A93" w:rsidRDefault="00A16A93" w:rsidP="00892DDA">
      <w:pPr>
        <w:keepNext/>
      </w:pPr>
      <w:r w:rsidRPr="00A16A93">
        <w:t>Low birth weight is associated with increased risk of foetal and neonatal mortality and morbidity, as well as inhibited growth and cognitive development (WHO and UNICEF 2004). Low birth weight can be caused by prematurity, multiple pregnancy, restricted fetal (intra-uterine) growth or environmental factors like the mother’s exposure to second-hand smoke. High birth weight can be caused by gestational diabetes, or excessive weight gain by the mother during pregnancy. It can also be caused by some congenital abnormalities or genetic disorders.</w:t>
      </w:r>
    </w:p>
    <w:p w:rsidR="00A16A93" w:rsidRPr="00A16A93" w:rsidRDefault="00A16A93" w:rsidP="00892DDA">
      <w:pPr>
        <w:keepNext/>
      </w:pPr>
    </w:p>
    <w:p w:rsidR="00A16A93" w:rsidRPr="00A16A93" w:rsidRDefault="00A16A93" w:rsidP="00892DDA">
      <w:pPr>
        <w:keepNext/>
      </w:pPr>
      <w:r w:rsidRPr="00A16A93">
        <w:t>Researchers have identified that a baby born at either end of the two weight extremes – too small or too large for its gestational age – has an increased risk of obesity in later life; the exact cause of this is not known (Singhal et al 2003).</w:t>
      </w:r>
    </w:p>
    <w:p w:rsidR="00A16A93" w:rsidRPr="00A16A93" w:rsidRDefault="00A16A93" w:rsidP="00892DDA">
      <w:pPr>
        <w:keepNext/>
      </w:pPr>
    </w:p>
    <w:p w:rsidR="00A16A93" w:rsidRPr="00A16A93" w:rsidRDefault="00A16A93" w:rsidP="00892DDA">
      <w:pPr>
        <w:pStyle w:val="Heading3"/>
      </w:pPr>
      <w:bookmarkStart w:id="117" w:name="_Toc480457800"/>
      <w:r w:rsidRPr="00A16A93">
        <w:t>Baseline performance</w:t>
      </w:r>
      <w:bookmarkEnd w:id="117"/>
    </w:p>
    <w:p w:rsidR="00A16A93" w:rsidRPr="00A16A93" w:rsidRDefault="00A16A93" w:rsidP="00892DDA">
      <w:pPr>
        <w:keepNext/>
      </w:pPr>
      <w:r w:rsidRPr="00A16A93">
        <w:t>The five birth weight categories are defined as follows:</w:t>
      </w:r>
    </w:p>
    <w:p w:rsidR="00A16A93" w:rsidRPr="00A16A93" w:rsidRDefault="00A16A93" w:rsidP="00892DDA">
      <w:pPr>
        <w:pStyle w:val="Bullet"/>
        <w:keepNext/>
      </w:pPr>
      <w:r w:rsidRPr="00A16A93">
        <w:t>Extremely low = birth weight lower than 1.0 kg</w:t>
      </w:r>
    </w:p>
    <w:p w:rsidR="00A16A93" w:rsidRPr="00A16A93" w:rsidRDefault="00A16A93" w:rsidP="00892DDA">
      <w:pPr>
        <w:pStyle w:val="Bullet"/>
        <w:keepNext/>
      </w:pPr>
      <w:r w:rsidRPr="00A16A93">
        <w:t>Very low = birth weight between 1.0 and 1.4 kg</w:t>
      </w:r>
    </w:p>
    <w:p w:rsidR="00A16A93" w:rsidRPr="00A16A93" w:rsidRDefault="00A16A93" w:rsidP="00892DDA">
      <w:pPr>
        <w:pStyle w:val="Bullet"/>
        <w:keepNext/>
      </w:pPr>
      <w:r w:rsidRPr="00A16A93">
        <w:t>Low = birth weight between 1.5 and 2.4 kg</w:t>
      </w:r>
    </w:p>
    <w:p w:rsidR="00A16A93" w:rsidRPr="00A16A93" w:rsidRDefault="00A16A93" w:rsidP="00892DDA">
      <w:pPr>
        <w:pStyle w:val="Bullet"/>
        <w:keepNext/>
      </w:pPr>
      <w:r w:rsidRPr="00A16A93">
        <w:t>Normal = birth weight between 2.5 and 4.4 kg</w:t>
      </w:r>
    </w:p>
    <w:p w:rsidR="00A16A93" w:rsidRPr="00A16A93" w:rsidRDefault="00A16A93" w:rsidP="00892DDA">
      <w:pPr>
        <w:pStyle w:val="Bullet"/>
        <w:keepNext/>
      </w:pPr>
      <w:r w:rsidRPr="00A16A93">
        <w:t>High = birth weight of 4.5 kg or more.</w:t>
      </w:r>
    </w:p>
    <w:p w:rsidR="006A4849" w:rsidRDefault="006A4849" w:rsidP="00892DDA">
      <w:pPr>
        <w:keepNext/>
      </w:pPr>
    </w:p>
    <w:p w:rsidR="00A16A93" w:rsidRPr="00A16A93" w:rsidRDefault="00A16A93" w:rsidP="006A4849">
      <w:r w:rsidRPr="00A16A93">
        <w:t>Some babies may have an extremely low, very low or low birth weight because they were born pre-term. Some babies may have a high birth weight because they were born after their due date.</w:t>
      </w:r>
    </w:p>
    <w:p w:rsidR="00A16A93" w:rsidRPr="00A16A93" w:rsidRDefault="00A16A93" w:rsidP="006A4849"/>
    <w:p w:rsidR="00A16A93" w:rsidRPr="00A16A93" w:rsidRDefault="00A16A93" w:rsidP="006A4849">
      <w:r w:rsidRPr="00A16A93">
        <w:t xml:space="preserve">The baseline data for this indicator comes from the Ministry of Health’s </w:t>
      </w:r>
      <w:hyperlink r:id="rId75" w:history="1">
        <w:r w:rsidRPr="006A4849">
          <w:rPr>
            <w:rStyle w:val="Hyperlink"/>
          </w:rPr>
          <w:t>Report on Maternity</w:t>
        </w:r>
      </w:hyperlink>
      <w:r w:rsidRPr="00A16A93">
        <w:t xml:space="preserve"> for 2015. The Report on Maternity is an annual publication, which uses data from the </w:t>
      </w:r>
      <w:hyperlink r:id="rId76" w:history="1">
        <w:r w:rsidRPr="006A4849">
          <w:rPr>
            <w:rStyle w:val="Hyperlink"/>
          </w:rPr>
          <w:t>National Maternity Collection</w:t>
        </w:r>
      </w:hyperlink>
      <w:r w:rsidRPr="00A16A93">
        <w:t>.</w:t>
      </w:r>
    </w:p>
    <w:p w:rsidR="00A16A93" w:rsidRPr="00A16A93" w:rsidRDefault="00A16A93" w:rsidP="006A4849"/>
    <w:p w:rsidR="00A16A93" w:rsidRPr="00A16A93" w:rsidRDefault="00A16A93" w:rsidP="006A4849">
      <w:pPr>
        <w:pStyle w:val="Table"/>
      </w:pPr>
      <w:bookmarkStart w:id="118" w:name="_Toc480534266"/>
      <w:r w:rsidRPr="00A16A93">
        <w:lastRenderedPageBreak/>
        <w:t>Table 14: Number and percentage of babies by birth weight category, 2015</w:t>
      </w:r>
      <w:bookmarkEnd w:id="118"/>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835"/>
        <w:gridCol w:w="1304"/>
        <w:gridCol w:w="1304"/>
        <w:gridCol w:w="1304"/>
        <w:gridCol w:w="1304"/>
        <w:gridCol w:w="1305"/>
      </w:tblGrid>
      <w:tr w:rsidR="00A16A93" w:rsidRPr="007C12AD" w:rsidTr="007C12AD">
        <w:trPr>
          <w:cantSplit/>
        </w:trPr>
        <w:tc>
          <w:tcPr>
            <w:tcW w:w="2835" w:type="dxa"/>
            <w:tcBorders>
              <w:top w:val="single" w:sz="4" w:space="0" w:color="auto"/>
              <w:bottom w:val="single" w:sz="4" w:space="0" w:color="auto"/>
            </w:tcBorders>
          </w:tcPr>
          <w:p w:rsidR="00A16A93" w:rsidRPr="007C12AD" w:rsidRDefault="00A16A93" w:rsidP="007C12AD">
            <w:pPr>
              <w:pStyle w:val="TableText"/>
              <w:keepNext/>
              <w:rPr>
                <w:b/>
              </w:rPr>
            </w:pPr>
          </w:p>
        </w:tc>
        <w:tc>
          <w:tcPr>
            <w:tcW w:w="1304" w:type="dxa"/>
            <w:tcBorders>
              <w:top w:val="single" w:sz="4" w:space="0" w:color="auto"/>
              <w:bottom w:val="single" w:sz="4" w:space="0" w:color="auto"/>
            </w:tcBorders>
          </w:tcPr>
          <w:p w:rsidR="00A16A93" w:rsidRPr="007C12AD" w:rsidRDefault="00A16A93" w:rsidP="007C12AD">
            <w:pPr>
              <w:pStyle w:val="TableText"/>
              <w:keepNext/>
              <w:jc w:val="center"/>
              <w:rPr>
                <w:b/>
              </w:rPr>
            </w:pPr>
            <w:r w:rsidRPr="007C12AD">
              <w:rPr>
                <w:b/>
              </w:rPr>
              <w:t>Extremely low (n)</w:t>
            </w:r>
          </w:p>
        </w:tc>
        <w:tc>
          <w:tcPr>
            <w:tcW w:w="1304" w:type="dxa"/>
            <w:tcBorders>
              <w:top w:val="single" w:sz="4" w:space="0" w:color="auto"/>
              <w:bottom w:val="single" w:sz="4" w:space="0" w:color="auto"/>
            </w:tcBorders>
          </w:tcPr>
          <w:p w:rsidR="00A16A93" w:rsidRPr="007C12AD" w:rsidRDefault="00A16A93" w:rsidP="007C12AD">
            <w:pPr>
              <w:pStyle w:val="TableText"/>
              <w:keepNext/>
              <w:jc w:val="center"/>
              <w:rPr>
                <w:b/>
              </w:rPr>
            </w:pPr>
            <w:r w:rsidRPr="007C12AD">
              <w:rPr>
                <w:b/>
              </w:rPr>
              <w:t>Very low</w:t>
            </w:r>
            <w:r w:rsidR="007C12AD">
              <w:rPr>
                <w:b/>
              </w:rPr>
              <w:br/>
            </w:r>
            <w:r w:rsidRPr="007C12AD">
              <w:rPr>
                <w:b/>
              </w:rPr>
              <w:t>(n)</w:t>
            </w:r>
          </w:p>
        </w:tc>
        <w:tc>
          <w:tcPr>
            <w:tcW w:w="1304" w:type="dxa"/>
            <w:tcBorders>
              <w:top w:val="single" w:sz="4" w:space="0" w:color="auto"/>
              <w:bottom w:val="single" w:sz="4" w:space="0" w:color="auto"/>
            </w:tcBorders>
          </w:tcPr>
          <w:p w:rsidR="00A16A93" w:rsidRPr="007C12AD" w:rsidRDefault="00A16A93" w:rsidP="007C12AD">
            <w:pPr>
              <w:pStyle w:val="TableText"/>
              <w:keepNext/>
              <w:jc w:val="center"/>
              <w:rPr>
                <w:b/>
              </w:rPr>
            </w:pPr>
            <w:r w:rsidRPr="007C12AD">
              <w:rPr>
                <w:b/>
              </w:rPr>
              <w:t>Low</w:t>
            </w:r>
            <w:r w:rsidR="007C12AD">
              <w:rPr>
                <w:b/>
              </w:rPr>
              <w:br/>
            </w:r>
            <w:r w:rsidRPr="007C12AD">
              <w:rPr>
                <w:b/>
              </w:rPr>
              <w:t>(n)</w:t>
            </w:r>
          </w:p>
        </w:tc>
        <w:tc>
          <w:tcPr>
            <w:tcW w:w="1304" w:type="dxa"/>
            <w:tcBorders>
              <w:top w:val="single" w:sz="4" w:space="0" w:color="auto"/>
              <w:bottom w:val="single" w:sz="4" w:space="0" w:color="auto"/>
            </w:tcBorders>
          </w:tcPr>
          <w:p w:rsidR="00A16A93" w:rsidRPr="007C12AD" w:rsidRDefault="00A16A93" w:rsidP="007C12AD">
            <w:pPr>
              <w:pStyle w:val="TableText"/>
              <w:keepNext/>
              <w:jc w:val="center"/>
              <w:rPr>
                <w:b/>
              </w:rPr>
            </w:pPr>
            <w:r w:rsidRPr="007C12AD">
              <w:rPr>
                <w:b/>
              </w:rPr>
              <w:t>Normal</w:t>
            </w:r>
            <w:r w:rsidR="007C12AD">
              <w:rPr>
                <w:b/>
              </w:rPr>
              <w:br/>
            </w:r>
            <w:r w:rsidRPr="007C12AD">
              <w:rPr>
                <w:b/>
              </w:rPr>
              <w:t>(n)</w:t>
            </w:r>
          </w:p>
        </w:tc>
        <w:tc>
          <w:tcPr>
            <w:tcW w:w="1305" w:type="dxa"/>
            <w:tcBorders>
              <w:top w:val="single" w:sz="4" w:space="0" w:color="auto"/>
              <w:bottom w:val="single" w:sz="4" w:space="0" w:color="auto"/>
            </w:tcBorders>
          </w:tcPr>
          <w:p w:rsidR="00A16A93" w:rsidRPr="007C12AD" w:rsidRDefault="00A16A93" w:rsidP="007C12AD">
            <w:pPr>
              <w:pStyle w:val="TableText"/>
              <w:keepNext/>
              <w:jc w:val="center"/>
              <w:rPr>
                <w:b/>
              </w:rPr>
            </w:pPr>
            <w:r w:rsidRPr="007C12AD">
              <w:rPr>
                <w:b/>
              </w:rPr>
              <w:t>High</w:t>
            </w:r>
            <w:r w:rsidR="007C12AD">
              <w:rPr>
                <w:b/>
              </w:rPr>
              <w:br/>
            </w:r>
            <w:r w:rsidRPr="007C12AD">
              <w:rPr>
                <w:b/>
              </w:rPr>
              <w:t>(n)</w:t>
            </w:r>
          </w:p>
        </w:tc>
      </w:tr>
      <w:tr w:rsidR="007C12AD" w:rsidRPr="007C12AD" w:rsidTr="007C12AD">
        <w:trPr>
          <w:cantSplit/>
        </w:trPr>
        <w:tc>
          <w:tcPr>
            <w:tcW w:w="2835" w:type="dxa"/>
            <w:tcBorders>
              <w:top w:val="single" w:sz="4" w:space="0" w:color="auto"/>
              <w:bottom w:val="single" w:sz="4" w:space="0" w:color="A6A6A6" w:themeColor="background1" w:themeShade="A6"/>
            </w:tcBorders>
          </w:tcPr>
          <w:p w:rsidR="007C12AD" w:rsidRPr="007C12AD" w:rsidRDefault="007C12AD" w:rsidP="007C12AD">
            <w:pPr>
              <w:pStyle w:val="TableText"/>
              <w:keepNext/>
            </w:pPr>
            <w:r w:rsidRPr="007C12AD">
              <w:rPr>
                <w:b/>
              </w:rPr>
              <w:t>Population group</w:t>
            </w:r>
          </w:p>
        </w:tc>
        <w:tc>
          <w:tcPr>
            <w:tcW w:w="1304" w:type="dxa"/>
            <w:tcBorders>
              <w:top w:val="single" w:sz="4" w:space="0" w:color="auto"/>
              <w:bottom w:val="single" w:sz="4" w:space="0" w:color="A6A6A6" w:themeColor="background1" w:themeShade="A6"/>
            </w:tcBorders>
          </w:tcPr>
          <w:p w:rsidR="007C12AD" w:rsidRPr="007C12AD" w:rsidRDefault="007C12AD" w:rsidP="007C12AD">
            <w:pPr>
              <w:pStyle w:val="TableText"/>
              <w:keepNext/>
              <w:jc w:val="center"/>
              <w:rPr>
                <w:sz w:val="20"/>
              </w:rPr>
            </w:pPr>
          </w:p>
        </w:tc>
        <w:tc>
          <w:tcPr>
            <w:tcW w:w="1304" w:type="dxa"/>
            <w:tcBorders>
              <w:top w:val="single" w:sz="4" w:space="0" w:color="auto"/>
              <w:bottom w:val="single" w:sz="4" w:space="0" w:color="A6A6A6" w:themeColor="background1" w:themeShade="A6"/>
            </w:tcBorders>
          </w:tcPr>
          <w:p w:rsidR="007C12AD" w:rsidRPr="007C12AD" w:rsidRDefault="007C12AD" w:rsidP="007C12AD">
            <w:pPr>
              <w:pStyle w:val="TableText"/>
              <w:keepNext/>
              <w:jc w:val="center"/>
              <w:rPr>
                <w:sz w:val="20"/>
              </w:rPr>
            </w:pPr>
          </w:p>
        </w:tc>
        <w:tc>
          <w:tcPr>
            <w:tcW w:w="1304" w:type="dxa"/>
            <w:tcBorders>
              <w:top w:val="single" w:sz="4" w:space="0" w:color="auto"/>
              <w:bottom w:val="single" w:sz="4" w:space="0" w:color="A6A6A6" w:themeColor="background1" w:themeShade="A6"/>
            </w:tcBorders>
          </w:tcPr>
          <w:p w:rsidR="007C12AD" w:rsidRPr="007C12AD" w:rsidRDefault="007C12AD" w:rsidP="007C12AD">
            <w:pPr>
              <w:pStyle w:val="TableText"/>
              <w:keepNext/>
              <w:jc w:val="center"/>
              <w:rPr>
                <w:sz w:val="20"/>
              </w:rPr>
            </w:pPr>
          </w:p>
        </w:tc>
        <w:tc>
          <w:tcPr>
            <w:tcW w:w="1304" w:type="dxa"/>
            <w:tcBorders>
              <w:top w:val="single" w:sz="4" w:space="0" w:color="auto"/>
              <w:bottom w:val="single" w:sz="4" w:space="0" w:color="A6A6A6" w:themeColor="background1" w:themeShade="A6"/>
            </w:tcBorders>
          </w:tcPr>
          <w:p w:rsidR="007C12AD" w:rsidRPr="007C12AD" w:rsidRDefault="007C12AD" w:rsidP="007C12AD">
            <w:pPr>
              <w:pStyle w:val="TableText"/>
              <w:keepNext/>
              <w:jc w:val="center"/>
              <w:rPr>
                <w:sz w:val="20"/>
              </w:rPr>
            </w:pPr>
          </w:p>
        </w:tc>
        <w:tc>
          <w:tcPr>
            <w:tcW w:w="1305" w:type="dxa"/>
            <w:tcBorders>
              <w:top w:val="single" w:sz="4" w:space="0" w:color="auto"/>
              <w:bottom w:val="single" w:sz="4" w:space="0" w:color="A6A6A6" w:themeColor="background1" w:themeShade="A6"/>
            </w:tcBorders>
          </w:tcPr>
          <w:p w:rsidR="007C12AD" w:rsidRPr="007C12AD" w:rsidRDefault="007C12AD" w:rsidP="007C12AD">
            <w:pPr>
              <w:pStyle w:val="TableText"/>
              <w:keepNext/>
              <w:jc w:val="center"/>
              <w:rPr>
                <w:sz w:val="20"/>
              </w:rPr>
            </w:pPr>
          </w:p>
        </w:tc>
      </w:tr>
      <w:tr w:rsidR="00A16A93" w:rsidRPr="007C12AD" w:rsidTr="007C12AD">
        <w:trPr>
          <w:cantSplit/>
        </w:trPr>
        <w:tc>
          <w:tcPr>
            <w:tcW w:w="2835" w:type="dxa"/>
            <w:tcBorders>
              <w:top w:val="single" w:sz="4" w:space="0" w:color="A6A6A6" w:themeColor="background1" w:themeShade="A6"/>
              <w:bottom w:val="single" w:sz="4" w:space="0" w:color="auto"/>
            </w:tcBorders>
          </w:tcPr>
          <w:p w:rsidR="00A16A93" w:rsidRPr="007C12AD" w:rsidRDefault="00A16A93" w:rsidP="007C12AD">
            <w:pPr>
              <w:pStyle w:val="TableText"/>
              <w:keepNext/>
            </w:pPr>
            <w:r w:rsidRPr="007C12AD">
              <w:t>Total</w:t>
            </w:r>
          </w:p>
        </w:tc>
        <w:tc>
          <w:tcPr>
            <w:tcW w:w="1304" w:type="dxa"/>
            <w:tcBorders>
              <w:top w:val="single" w:sz="4" w:space="0" w:color="A6A6A6" w:themeColor="background1" w:themeShade="A6"/>
              <w:bottom w:val="single" w:sz="4" w:space="0" w:color="auto"/>
            </w:tcBorders>
          </w:tcPr>
          <w:p w:rsidR="00A16A93" w:rsidRPr="007C12AD" w:rsidRDefault="00A16A93" w:rsidP="007C12AD">
            <w:pPr>
              <w:pStyle w:val="TableText"/>
              <w:keepNext/>
              <w:jc w:val="center"/>
            </w:pPr>
            <w:r w:rsidRPr="007C12AD">
              <w:t>0.4%</w:t>
            </w:r>
            <w:r w:rsidR="007C12AD">
              <w:br/>
            </w:r>
            <w:r w:rsidRPr="007C12AD">
              <w:t>(210)</w:t>
            </w:r>
          </w:p>
        </w:tc>
        <w:tc>
          <w:tcPr>
            <w:tcW w:w="1304" w:type="dxa"/>
            <w:tcBorders>
              <w:top w:val="single" w:sz="4" w:space="0" w:color="A6A6A6" w:themeColor="background1" w:themeShade="A6"/>
              <w:bottom w:val="single" w:sz="4" w:space="0" w:color="auto"/>
            </w:tcBorders>
          </w:tcPr>
          <w:p w:rsidR="00A16A93" w:rsidRPr="007C12AD" w:rsidRDefault="00A16A93" w:rsidP="007C12AD">
            <w:pPr>
              <w:pStyle w:val="TableText"/>
              <w:keepNext/>
              <w:jc w:val="center"/>
            </w:pPr>
            <w:r w:rsidRPr="007C12AD">
              <w:t>0.6%</w:t>
            </w:r>
            <w:r w:rsidR="007C12AD">
              <w:br/>
            </w:r>
            <w:r w:rsidRPr="007C12AD">
              <w:t>(353)</w:t>
            </w:r>
          </w:p>
        </w:tc>
        <w:tc>
          <w:tcPr>
            <w:tcW w:w="1304" w:type="dxa"/>
            <w:tcBorders>
              <w:top w:val="single" w:sz="4" w:space="0" w:color="A6A6A6" w:themeColor="background1" w:themeShade="A6"/>
              <w:bottom w:val="single" w:sz="4" w:space="0" w:color="auto"/>
            </w:tcBorders>
          </w:tcPr>
          <w:p w:rsidR="00A16A93" w:rsidRPr="007C12AD" w:rsidRDefault="00A16A93" w:rsidP="007C12AD">
            <w:pPr>
              <w:pStyle w:val="TableText"/>
              <w:keepNext/>
              <w:jc w:val="center"/>
            </w:pPr>
            <w:r w:rsidRPr="007C12AD">
              <w:t>4.9%</w:t>
            </w:r>
            <w:r w:rsidR="007C12AD">
              <w:br/>
            </w:r>
            <w:r w:rsidRPr="007C12AD">
              <w:t>(2,795)</w:t>
            </w:r>
          </w:p>
        </w:tc>
        <w:tc>
          <w:tcPr>
            <w:tcW w:w="1304" w:type="dxa"/>
            <w:tcBorders>
              <w:top w:val="single" w:sz="4" w:space="0" w:color="A6A6A6" w:themeColor="background1" w:themeShade="A6"/>
              <w:bottom w:val="single" w:sz="4" w:space="0" w:color="auto"/>
            </w:tcBorders>
          </w:tcPr>
          <w:p w:rsidR="00A16A93" w:rsidRPr="007C12AD" w:rsidRDefault="00A16A93" w:rsidP="007C12AD">
            <w:pPr>
              <w:pStyle w:val="TableText"/>
              <w:keepNext/>
              <w:jc w:val="center"/>
            </w:pPr>
            <w:r w:rsidRPr="007C12AD">
              <w:t>91.8%</w:t>
            </w:r>
            <w:r w:rsidR="007C12AD">
              <w:br/>
            </w:r>
            <w:r w:rsidRPr="007C12AD">
              <w:t>(51,856)</w:t>
            </w:r>
          </w:p>
        </w:tc>
        <w:tc>
          <w:tcPr>
            <w:tcW w:w="1305" w:type="dxa"/>
            <w:tcBorders>
              <w:top w:val="single" w:sz="4" w:space="0" w:color="A6A6A6" w:themeColor="background1" w:themeShade="A6"/>
              <w:bottom w:val="single" w:sz="4" w:space="0" w:color="auto"/>
            </w:tcBorders>
          </w:tcPr>
          <w:p w:rsidR="00A16A93" w:rsidRPr="007C12AD" w:rsidRDefault="00A16A93" w:rsidP="007C12AD">
            <w:pPr>
              <w:pStyle w:val="TableText"/>
              <w:keepNext/>
              <w:jc w:val="center"/>
            </w:pPr>
            <w:r w:rsidRPr="007C12AD">
              <w:t>2.2%</w:t>
            </w:r>
            <w:r w:rsidR="007C12AD">
              <w:br/>
            </w:r>
            <w:r w:rsidRPr="007C12AD">
              <w:t>(1,251)</w:t>
            </w:r>
          </w:p>
        </w:tc>
      </w:tr>
      <w:tr w:rsidR="00A16A93" w:rsidRPr="007C12AD" w:rsidTr="007C12AD">
        <w:trPr>
          <w:cantSplit/>
        </w:trPr>
        <w:tc>
          <w:tcPr>
            <w:tcW w:w="2835" w:type="dxa"/>
            <w:tcBorders>
              <w:top w:val="single" w:sz="4" w:space="0" w:color="auto"/>
              <w:bottom w:val="single" w:sz="4" w:space="0" w:color="A6A6A6" w:themeColor="background1" w:themeShade="A6"/>
            </w:tcBorders>
          </w:tcPr>
          <w:p w:rsidR="00A16A93" w:rsidRPr="007C12AD" w:rsidRDefault="00A16A93" w:rsidP="007C12AD">
            <w:pPr>
              <w:pStyle w:val="TableText"/>
              <w:keepNext/>
              <w:rPr>
                <w:b/>
              </w:rPr>
            </w:pPr>
            <w:r w:rsidRPr="007C12AD">
              <w:rPr>
                <w:b/>
              </w:rPr>
              <w:t>Ethnic group</w:t>
            </w:r>
          </w:p>
        </w:tc>
        <w:tc>
          <w:tcPr>
            <w:tcW w:w="1304" w:type="dxa"/>
            <w:tcBorders>
              <w:top w:val="single" w:sz="4" w:space="0" w:color="auto"/>
              <w:bottom w:val="single" w:sz="4" w:space="0" w:color="A6A6A6" w:themeColor="background1" w:themeShade="A6"/>
            </w:tcBorders>
          </w:tcPr>
          <w:p w:rsidR="00A16A93" w:rsidRPr="007C12AD" w:rsidRDefault="00A16A93" w:rsidP="007C12AD">
            <w:pPr>
              <w:pStyle w:val="TableText"/>
              <w:keepNext/>
              <w:jc w:val="center"/>
            </w:pPr>
          </w:p>
        </w:tc>
        <w:tc>
          <w:tcPr>
            <w:tcW w:w="1304" w:type="dxa"/>
            <w:tcBorders>
              <w:top w:val="single" w:sz="4" w:space="0" w:color="auto"/>
              <w:bottom w:val="single" w:sz="4" w:space="0" w:color="A6A6A6" w:themeColor="background1" w:themeShade="A6"/>
            </w:tcBorders>
          </w:tcPr>
          <w:p w:rsidR="00A16A93" w:rsidRPr="007C12AD" w:rsidRDefault="00A16A93" w:rsidP="007C12AD">
            <w:pPr>
              <w:pStyle w:val="TableText"/>
              <w:keepNext/>
              <w:jc w:val="center"/>
            </w:pPr>
          </w:p>
        </w:tc>
        <w:tc>
          <w:tcPr>
            <w:tcW w:w="1304" w:type="dxa"/>
            <w:tcBorders>
              <w:top w:val="single" w:sz="4" w:space="0" w:color="auto"/>
              <w:bottom w:val="single" w:sz="4" w:space="0" w:color="A6A6A6" w:themeColor="background1" w:themeShade="A6"/>
            </w:tcBorders>
          </w:tcPr>
          <w:p w:rsidR="00A16A93" w:rsidRPr="007C12AD" w:rsidRDefault="00A16A93" w:rsidP="007C12AD">
            <w:pPr>
              <w:pStyle w:val="TableText"/>
              <w:keepNext/>
              <w:jc w:val="center"/>
            </w:pPr>
          </w:p>
        </w:tc>
        <w:tc>
          <w:tcPr>
            <w:tcW w:w="1304" w:type="dxa"/>
            <w:tcBorders>
              <w:top w:val="single" w:sz="4" w:space="0" w:color="auto"/>
              <w:bottom w:val="single" w:sz="4" w:space="0" w:color="A6A6A6" w:themeColor="background1" w:themeShade="A6"/>
            </w:tcBorders>
          </w:tcPr>
          <w:p w:rsidR="00A16A93" w:rsidRPr="007C12AD" w:rsidRDefault="00A16A93" w:rsidP="007C12AD">
            <w:pPr>
              <w:pStyle w:val="TableText"/>
              <w:keepNext/>
              <w:jc w:val="center"/>
            </w:pPr>
          </w:p>
        </w:tc>
        <w:tc>
          <w:tcPr>
            <w:tcW w:w="1305" w:type="dxa"/>
            <w:tcBorders>
              <w:top w:val="single" w:sz="4" w:space="0" w:color="auto"/>
              <w:bottom w:val="single" w:sz="4" w:space="0" w:color="A6A6A6" w:themeColor="background1" w:themeShade="A6"/>
            </w:tcBorders>
          </w:tcPr>
          <w:p w:rsidR="00A16A93" w:rsidRPr="007C12AD" w:rsidRDefault="00A16A93" w:rsidP="007C12AD">
            <w:pPr>
              <w:pStyle w:val="TableText"/>
              <w:keepNext/>
              <w:jc w:val="center"/>
            </w:pPr>
          </w:p>
        </w:tc>
      </w:tr>
      <w:tr w:rsidR="00A16A93" w:rsidRPr="007C12AD" w:rsidTr="007C12AD">
        <w:trPr>
          <w:cantSplit/>
        </w:trPr>
        <w:tc>
          <w:tcPr>
            <w:tcW w:w="2835" w:type="dxa"/>
            <w:tcBorders>
              <w:top w:val="single" w:sz="4" w:space="0" w:color="A6A6A6" w:themeColor="background1" w:themeShade="A6"/>
              <w:bottom w:val="single" w:sz="4" w:space="0" w:color="A6A6A6" w:themeColor="background1" w:themeShade="A6"/>
            </w:tcBorders>
          </w:tcPr>
          <w:p w:rsidR="00A16A93" w:rsidRPr="007C12AD" w:rsidRDefault="00A16A93" w:rsidP="007C12AD">
            <w:pPr>
              <w:pStyle w:val="TableText"/>
              <w:keepNext/>
            </w:pPr>
            <w:r w:rsidRPr="007C12AD">
              <w:t>Māori</w:t>
            </w:r>
          </w:p>
        </w:tc>
        <w:tc>
          <w:tcPr>
            <w:tcW w:w="1304"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keepNext/>
              <w:jc w:val="center"/>
            </w:pPr>
            <w:r w:rsidRPr="007C12AD">
              <w:t>0.4%</w:t>
            </w:r>
            <w:r w:rsidR="007C12AD">
              <w:br/>
            </w:r>
            <w:r w:rsidRPr="007C12AD">
              <w:t>(59)</w:t>
            </w:r>
          </w:p>
        </w:tc>
        <w:tc>
          <w:tcPr>
            <w:tcW w:w="1304"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keepNext/>
              <w:jc w:val="center"/>
            </w:pPr>
            <w:r w:rsidRPr="007C12AD">
              <w:t>0.7%</w:t>
            </w:r>
            <w:r w:rsidR="007C12AD">
              <w:br/>
            </w:r>
            <w:r w:rsidRPr="007C12AD">
              <w:t>(109)</w:t>
            </w:r>
          </w:p>
        </w:tc>
        <w:tc>
          <w:tcPr>
            <w:tcW w:w="1304"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keepNext/>
              <w:jc w:val="center"/>
            </w:pPr>
            <w:r w:rsidRPr="007C12AD">
              <w:t>5.6%</w:t>
            </w:r>
            <w:r w:rsidR="007C12AD">
              <w:br/>
            </w:r>
            <w:r w:rsidRPr="007C12AD">
              <w:t>(835)</w:t>
            </w:r>
          </w:p>
        </w:tc>
        <w:tc>
          <w:tcPr>
            <w:tcW w:w="1304"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keepNext/>
              <w:jc w:val="center"/>
            </w:pPr>
            <w:r w:rsidRPr="007C12AD">
              <w:t>91.1%</w:t>
            </w:r>
            <w:r w:rsidR="007C12AD">
              <w:br/>
            </w:r>
            <w:r w:rsidRPr="007C12AD">
              <w:t>(13,632)</w:t>
            </w:r>
          </w:p>
        </w:tc>
        <w:tc>
          <w:tcPr>
            <w:tcW w:w="1305"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keepNext/>
              <w:jc w:val="center"/>
            </w:pPr>
            <w:r w:rsidRPr="007C12AD">
              <w:t>2.2%</w:t>
            </w:r>
            <w:r w:rsidR="007C12AD">
              <w:br/>
            </w:r>
            <w:r w:rsidRPr="007C12AD">
              <w:t>(327)</w:t>
            </w:r>
          </w:p>
        </w:tc>
      </w:tr>
      <w:tr w:rsidR="00A16A93" w:rsidRPr="007C12AD" w:rsidTr="007C12AD">
        <w:trPr>
          <w:cantSplit/>
        </w:trPr>
        <w:tc>
          <w:tcPr>
            <w:tcW w:w="2835" w:type="dxa"/>
            <w:tcBorders>
              <w:top w:val="single" w:sz="4" w:space="0" w:color="A6A6A6" w:themeColor="background1" w:themeShade="A6"/>
              <w:bottom w:val="single" w:sz="4" w:space="0" w:color="A6A6A6" w:themeColor="background1" w:themeShade="A6"/>
            </w:tcBorders>
          </w:tcPr>
          <w:p w:rsidR="00A16A93" w:rsidRPr="007C12AD" w:rsidRDefault="00A16A93" w:rsidP="007C12AD">
            <w:pPr>
              <w:pStyle w:val="TableText"/>
              <w:keepNext/>
            </w:pPr>
            <w:r w:rsidRPr="007C12AD">
              <w:t>Pacific peoples</w:t>
            </w:r>
          </w:p>
        </w:tc>
        <w:tc>
          <w:tcPr>
            <w:tcW w:w="1304"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keepNext/>
              <w:jc w:val="center"/>
            </w:pPr>
            <w:r w:rsidRPr="007C12AD">
              <w:t>0.4%</w:t>
            </w:r>
            <w:r w:rsidR="007C12AD">
              <w:br/>
            </w:r>
            <w:r w:rsidRPr="007C12AD">
              <w:t>(22)</w:t>
            </w:r>
          </w:p>
        </w:tc>
        <w:tc>
          <w:tcPr>
            <w:tcW w:w="1304"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keepNext/>
              <w:jc w:val="center"/>
            </w:pPr>
            <w:r w:rsidRPr="007C12AD">
              <w:t>0.6%</w:t>
            </w:r>
            <w:r w:rsidR="007C12AD">
              <w:br/>
            </w:r>
            <w:r w:rsidRPr="007C12AD">
              <w:t>(33)</w:t>
            </w:r>
          </w:p>
        </w:tc>
        <w:tc>
          <w:tcPr>
            <w:tcW w:w="1304"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keepNext/>
              <w:jc w:val="center"/>
            </w:pPr>
            <w:r w:rsidRPr="007C12AD">
              <w:t>4.0%</w:t>
            </w:r>
            <w:r w:rsidR="007C12AD">
              <w:br/>
            </w:r>
            <w:r w:rsidRPr="007C12AD">
              <w:t>(240)</w:t>
            </w:r>
          </w:p>
        </w:tc>
        <w:tc>
          <w:tcPr>
            <w:tcW w:w="1304"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keepNext/>
              <w:jc w:val="center"/>
            </w:pPr>
            <w:r w:rsidRPr="007C12AD">
              <w:t>90.9%</w:t>
            </w:r>
            <w:r w:rsidR="007C12AD">
              <w:br/>
            </w:r>
            <w:r w:rsidRPr="007C12AD">
              <w:t>(5,394)</w:t>
            </w:r>
          </w:p>
        </w:tc>
        <w:tc>
          <w:tcPr>
            <w:tcW w:w="1305"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keepNext/>
              <w:jc w:val="center"/>
            </w:pPr>
            <w:r w:rsidRPr="007C12AD">
              <w:t>4.1%</w:t>
            </w:r>
            <w:r w:rsidR="007C12AD">
              <w:br/>
            </w:r>
            <w:r w:rsidRPr="007C12AD">
              <w:t>(246)</w:t>
            </w:r>
          </w:p>
        </w:tc>
      </w:tr>
      <w:tr w:rsidR="00A16A93" w:rsidRPr="007C12AD" w:rsidTr="007C12AD">
        <w:trPr>
          <w:cantSplit/>
        </w:trPr>
        <w:tc>
          <w:tcPr>
            <w:tcW w:w="2835" w:type="dxa"/>
            <w:tcBorders>
              <w:top w:val="single" w:sz="4" w:space="0" w:color="A6A6A6" w:themeColor="background1" w:themeShade="A6"/>
              <w:bottom w:val="single" w:sz="4" w:space="0" w:color="A6A6A6" w:themeColor="background1" w:themeShade="A6"/>
            </w:tcBorders>
          </w:tcPr>
          <w:p w:rsidR="00A16A93" w:rsidRPr="007C12AD" w:rsidRDefault="00A16A93" w:rsidP="007C12AD">
            <w:pPr>
              <w:pStyle w:val="TableText"/>
              <w:keepNext/>
            </w:pPr>
            <w:r w:rsidRPr="007C12AD">
              <w:t>Indian</w:t>
            </w:r>
          </w:p>
        </w:tc>
        <w:tc>
          <w:tcPr>
            <w:tcW w:w="1304"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keepNext/>
              <w:jc w:val="center"/>
            </w:pPr>
            <w:r w:rsidRPr="007C12AD">
              <w:t>0.7%</w:t>
            </w:r>
            <w:r w:rsidR="007C12AD">
              <w:br/>
            </w:r>
            <w:r w:rsidRPr="007C12AD">
              <w:t>(24)</w:t>
            </w:r>
          </w:p>
        </w:tc>
        <w:tc>
          <w:tcPr>
            <w:tcW w:w="1304"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keepNext/>
              <w:jc w:val="center"/>
            </w:pPr>
            <w:r w:rsidRPr="007C12AD">
              <w:t>0.7%</w:t>
            </w:r>
            <w:r w:rsidR="007C12AD">
              <w:br/>
            </w:r>
            <w:r w:rsidRPr="007C12AD">
              <w:t>(22)</w:t>
            </w:r>
          </w:p>
        </w:tc>
        <w:tc>
          <w:tcPr>
            <w:tcW w:w="1304"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keepNext/>
              <w:jc w:val="center"/>
            </w:pPr>
            <w:r w:rsidRPr="007C12AD">
              <w:t>8.1%</w:t>
            </w:r>
            <w:r w:rsidR="007C12AD">
              <w:br/>
            </w:r>
            <w:r w:rsidRPr="007C12AD">
              <w:t>(262)</w:t>
            </w:r>
          </w:p>
        </w:tc>
        <w:tc>
          <w:tcPr>
            <w:tcW w:w="1304"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keepNext/>
              <w:jc w:val="center"/>
            </w:pPr>
            <w:r w:rsidRPr="007C12AD">
              <w:t>90.1%</w:t>
            </w:r>
            <w:r w:rsidR="007C12AD">
              <w:br/>
            </w:r>
            <w:r w:rsidRPr="007C12AD">
              <w:t>(2,898)</w:t>
            </w:r>
          </w:p>
        </w:tc>
        <w:tc>
          <w:tcPr>
            <w:tcW w:w="1305"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keepNext/>
              <w:jc w:val="center"/>
            </w:pPr>
            <w:r w:rsidRPr="007C12AD">
              <w:t>0.3%</w:t>
            </w:r>
            <w:r w:rsidR="007C12AD">
              <w:br/>
            </w:r>
            <w:r w:rsidRPr="007C12AD">
              <w:t>(10)</w:t>
            </w:r>
          </w:p>
        </w:tc>
      </w:tr>
      <w:tr w:rsidR="00A16A93" w:rsidRPr="007C12AD" w:rsidTr="007C12AD">
        <w:trPr>
          <w:cantSplit/>
        </w:trPr>
        <w:tc>
          <w:tcPr>
            <w:tcW w:w="2835" w:type="dxa"/>
            <w:tcBorders>
              <w:top w:val="single" w:sz="4" w:space="0" w:color="A6A6A6" w:themeColor="background1" w:themeShade="A6"/>
              <w:bottom w:val="single" w:sz="4" w:space="0" w:color="A6A6A6" w:themeColor="background1" w:themeShade="A6"/>
            </w:tcBorders>
          </w:tcPr>
          <w:p w:rsidR="00A16A93" w:rsidRPr="007C12AD" w:rsidRDefault="00A16A93" w:rsidP="007C12AD">
            <w:pPr>
              <w:pStyle w:val="TableText"/>
            </w:pPr>
            <w:r w:rsidRPr="007C12AD">
              <w:t>Asian</w:t>
            </w:r>
          </w:p>
        </w:tc>
        <w:tc>
          <w:tcPr>
            <w:tcW w:w="1304"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jc w:val="center"/>
            </w:pPr>
            <w:r w:rsidRPr="007C12AD">
              <w:t>0.4%</w:t>
            </w:r>
            <w:r w:rsidR="007C12AD">
              <w:br/>
            </w:r>
            <w:r w:rsidRPr="007C12AD">
              <w:t>(21)</w:t>
            </w:r>
          </w:p>
        </w:tc>
        <w:tc>
          <w:tcPr>
            <w:tcW w:w="1304"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jc w:val="center"/>
            </w:pPr>
            <w:r w:rsidRPr="007C12AD">
              <w:t>0.5%</w:t>
            </w:r>
            <w:r w:rsidR="007C12AD">
              <w:br/>
            </w:r>
            <w:r w:rsidRPr="007C12AD">
              <w:t>(29)</w:t>
            </w:r>
          </w:p>
        </w:tc>
        <w:tc>
          <w:tcPr>
            <w:tcW w:w="1304"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jc w:val="center"/>
            </w:pPr>
            <w:r w:rsidRPr="007C12AD">
              <w:t>5.0%</w:t>
            </w:r>
            <w:r w:rsidR="007C12AD">
              <w:br/>
            </w:r>
            <w:r w:rsidRPr="007C12AD">
              <w:t>(298)</w:t>
            </w:r>
          </w:p>
        </w:tc>
        <w:tc>
          <w:tcPr>
            <w:tcW w:w="1304"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jc w:val="center"/>
            </w:pPr>
            <w:r w:rsidRPr="007C12AD">
              <w:t>93.6%</w:t>
            </w:r>
            <w:r w:rsidR="007C12AD">
              <w:br/>
            </w:r>
            <w:r w:rsidRPr="007C12AD">
              <w:t>(5,595)</w:t>
            </w:r>
          </w:p>
        </w:tc>
        <w:tc>
          <w:tcPr>
            <w:tcW w:w="1305"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jc w:val="center"/>
            </w:pPr>
            <w:r w:rsidRPr="007C12AD">
              <w:t>0.6%</w:t>
            </w:r>
            <w:r w:rsidR="007C12AD">
              <w:br/>
            </w:r>
            <w:r w:rsidRPr="007C12AD">
              <w:t>(34)</w:t>
            </w:r>
          </w:p>
        </w:tc>
      </w:tr>
      <w:tr w:rsidR="00A16A93" w:rsidRPr="007C12AD" w:rsidTr="007C12AD">
        <w:trPr>
          <w:cantSplit/>
        </w:trPr>
        <w:tc>
          <w:tcPr>
            <w:tcW w:w="2835" w:type="dxa"/>
            <w:tcBorders>
              <w:top w:val="single" w:sz="4" w:space="0" w:color="A6A6A6" w:themeColor="background1" w:themeShade="A6"/>
              <w:bottom w:val="single" w:sz="4" w:space="0" w:color="auto"/>
            </w:tcBorders>
          </w:tcPr>
          <w:p w:rsidR="00A16A93" w:rsidRPr="007C12AD" w:rsidRDefault="00A16A93" w:rsidP="007C12AD">
            <w:pPr>
              <w:pStyle w:val="TableText"/>
            </w:pPr>
            <w:r w:rsidRPr="007C12AD">
              <w:t>European/Other</w:t>
            </w:r>
          </w:p>
        </w:tc>
        <w:tc>
          <w:tcPr>
            <w:tcW w:w="1304" w:type="dxa"/>
            <w:tcBorders>
              <w:top w:val="single" w:sz="4" w:space="0" w:color="A6A6A6" w:themeColor="background1" w:themeShade="A6"/>
              <w:bottom w:val="single" w:sz="4" w:space="0" w:color="auto"/>
            </w:tcBorders>
            <w:shd w:val="clear" w:color="auto" w:fill="FFFFFF" w:themeFill="background1"/>
          </w:tcPr>
          <w:p w:rsidR="00A16A93" w:rsidRPr="007C12AD" w:rsidRDefault="00A16A93" w:rsidP="007C12AD">
            <w:pPr>
              <w:pStyle w:val="TableText"/>
              <w:jc w:val="center"/>
            </w:pPr>
            <w:r w:rsidRPr="007C12AD">
              <w:t>0.3%</w:t>
            </w:r>
            <w:r w:rsidR="007C12AD">
              <w:br/>
            </w:r>
            <w:r w:rsidRPr="007C12AD">
              <w:t>(84)</w:t>
            </w:r>
          </w:p>
        </w:tc>
        <w:tc>
          <w:tcPr>
            <w:tcW w:w="1304" w:type="dxa"/>
            <w:tcBorders>
              <w:top w:val="single" w:sz="4" w:space="0" w:color="A6A6A6" w:themeColor="background1" w:themeShade="A6"/>
              <w:bottom w:val="single" w:sz="4" w:space="0" w:color="auto"/>
            </w:tcBorders>
            <w:shd w:val="clear" w:color="auto" w:fill="FFFFFF" w:themeFill="background1"/>
          </w:tcPr>
          <w:p w:rsidR="00A16A93" w:rsidRPr="007C12AD" w:rsidRDefault="00A16A93" w:rsidP="007C12AD">
            <w:pPr>
              <w:pStyle w:val="TableText"/>
              <w:jc w:val="center"/>
            </w:pPr>
            <w:r w:rsidRPr="007C12AD">
              <w:t>0.6%</w:t>
            </w:r>
            <w:r w:rsidR="007C12AD">
              <w:br/>
            </w:r>
            <w:r w:rsidRPr="007C12AD">
              <w:t>(160)</w:t>
            </w:r>
          </w:p>
        </w:tc>
        <w:tc>
          <w:tcPr>
            <w:tcW w:w="1304" w:type="dxa"/>
            <w:tcBorders>
              <w:top w:val="single" w:sz="4" w:space="0" w:color="A6A6A6" w:themeColor="background1" w:themeShade="A6"/>
              <w:bottom w:val="single" w:sz="4" w:space="0" w:color="auto"/>
            </w:tcBorders>
            <w:shd w:val="clear" w:color="auto" w:fill="FFFFFF" w:themeFill="background1"/>
          </w:tcPr>
          <w:p w:rsidR="00A16A93" w:rsidRPr="007C12AD" w:rsidRDefault="00A16A93" w:rsidP="007C12AD">
            <w:pPr>
              <w:pStyle w:val="TableText"/>
              <w:jc w:val="center"/>
            </w:pPr>
            <w:r w:rsidRPr="007C12AD">
              <w:t>4.4%</w:t>
            </w:r>
            <w:r w:rsidR="007C12AD">
              <w:br/>
            </w:r>
            <w:r w:rsidRPr="007C12AD">
              <w:t>(1,160)</w:t>
            </w:r>
          </w:p>
        </w:tc>
        <w:tc>
          <w:tcPr>
            <w:tcW w:w="1304" w:type="dxa"/>
            <w:tcBorders>
              <w:top w:val="single" w:sz="4" w:space="0" w:color="A6A6A6" w:themeColor="background1" w:themeShade="A6"/>
              <w:bottom w:val="single" w:sz="4" w:space="0" w:color="auto"/>
            </w:tcBorders>
            <w:shd w:val="clear" w:color="auto" w:fill="FFFFFF" w:themeFill="background1"/>
          </w:tcPr>
          <w:p w:rsidR="00A16A93" w:rsidRPr="007C12AD" w:rsidRDefault="00A16A93" w:rsidP="007C12AD">
            <w:pPr>
              <w:pStyle w:val="TableText"/>
              <w:jc w:val="center"/>
            </w:pPr>
            <w:r w:rsidRPr="007C12AD">
              <w:t>92.3%</w:t>
            </w:r>
            <w:r w:rsidR="007C12AD">
              <w:br/>
            </w:r>
            <w:r w:rsidRPr="007C12AD">
              <w:t>(24,315)</w:t>
            </w:r>
          </w:p>
        </w:tc>
        <w:tc>
          <w:tcPr>
            <w:tcW w:w="1305" w:type="dxa"/>
            <w:tcBorders>
              <w:top w:val="single" w:sz="4" w:space="0" w:color="A6A6A6" w:themeColor="background1" w:themeShade="A6"/>
              <w:bottom w:val="single" w:sz="4" w:space="0" w:color="auto"/>
            </w:tcBorders>
            <w:shd w:val="clear" w:color="auto" w:fill="FFFFFF" w:themeFill="background1"/>
          </w:tcPr>
          <w:p w:rsidR="00A16A93" w:rsidRPr="007C12AD" w:rsidRDefault="00A16A93" w:rsidP="007C12AD">
            <w:pPr>
              <w:pStyle w:val="TableText"/>
              <w:jc w:val="center"/>
            </w:pPr>
            <w:r w:rsidRPr="007C12AD">
              <w:t>2.4%</w:t>
            </w:r>
            <w:r w:rsidR="007C12AD">
              <w:br/>
            </w:r>
            <w:r w:rsidRPr="007C12AD">
              <w:t>(634)</w:t>
            </w:r>
          </w:p>
        </w:tc>
      </w:tr>
      <w:tr w:rsidR="00A16A93" w:rsidRPr="007C12AD" w:rsidTr="007C12AD">
        <w:trPr>
          <w:cantSplit/>
        </w:trPr>
        <w:tc>
          <w:tcPr>
            <w:tcW w:w="2835" w:type="dxa"/>
            <w:tcBorders>
              <w:top w:val="single" w:sz="4" w:space="0" w:color="auto"/>
              <w:bottom w:val="single" w:sz="4" w:space="0" w:color="A6A6A6" w:themeColor="background1" w:themeShade="A6"/>
            </w:tcBorders>
          </w:tcPr>
          <w:p w:rsidR="00A16A93" w:rsidRPr="007C12AD" w:rsidRDefault="00A16A93" w:rsidP="007C12AD">
            <w:pPr>
              <w:pStyle w:val="TableText"/>
              <w:rPr>
                <w:b/>
              </w:rPr>
            </w:pPr>
            <w:r w:rsidRPr="007C12AD">
              <w:rPr>
                <w:b/>
              </w:rPr>
              <w:t>Neighbourhood deprivation quintile (NZDep2013)</w:t>
            </w:r>
          </w:p>
        </w:tc>
        <w:tc>
          <w:tcPr>
            <w:tcW w:w="1304" w:type="dxa"/>
            <w:tcBorders>
              <w:top w:val="single" w:sz="4" w:space="0" w:color="auto"/>
              <w:bottom w:val="single" w:sz="4" w:space="0" w:color="A6A6A6" w:themeColor="background1" w:themeShade="A6"/>
            </w:tcBorders>
            <w:shd w:val="clear" w:color="auto" w:fill="FFFFFF" w:themeFill="background1"/>
          </w:tcPr>
          <w:p w:rsidR="00A16A93" w:rsidRPr="007C12AD" w:rsidRDefault="00A16A93" w:rsidP="007C12AD">
            <w:pPr>
              <w:pStyle w:val="TableText"/>
              <w:jc w:val="center"/>
            </w:pPr>
          </w:p>
        </w:tc>
        <w:tc>
          <w:tcPr>
            <w:tcW w:w="1304" w:type="dxa"/>
            <w:tcBorders>
              <w:top w:val="single" w:sz="4" w:space="0" w:color="auto"/>
              <w:bottom w:val="single" w:sz="4" w:space="0" w:color="A6A6A6" w:themeColor="background1" w:themeShade="A6"/>
            </w:tcBorders>
            <w:shd w:val="clear" w:color="auto" w:fill="FFFFFF" w:themeFill="background1"/>
          </w:tcPr>
          <w:p w:rsidR="00A16A93" w:rsidRPr="007C12AD" w:rsidRDefault="00A16A93" w:rsidP="007C12AD">
            <w:pPr>
              <w:pStyle w:val="TableText"/>
              <w:jc w:val="center"/>
            </w:pPr>
          </w:p>
        </w:tc>
        <w:tc>
          <w:tcPr>
            <w:tcW w:w="1304" w:type="dxa"/>
            <w:tcBorders>
              <w:top w:val="single" w:sz="4" w:space="0" w:color="auto"/>
              <w:bottom w:val="single" w:sz="4" w:space="0" w:color="A6A6A6" w:themeColor="background1" w:themeShade="A6"/>
            </w:tcBorders>
            <w:shd w:val="clear" w:color="auto" w:fill="FFFFFF" w:themeFill="background1"/>
          </w:tcPr>
          <w:p w:rsidR="00A16A93" w:rsidRPr="007C12AD" w:rsidRDefault="00A16A93" w:rsidP="007C12AD">
            <w:pPr>
              <w:pStyle w:val="TableText"/>
              <w:jc w:val="center"/>
            </w:pPr>
          </w:p>
        </w:tc>
        <w:tc>
          <w:tcPr>
            <w:tcW w:w="1304" w:type="dxa"/>
            <w:tcBorders>
              <w:top w:val="single" w:sz="4" w:space="0" w:color="auto"/>
              <w:bottom w:val="single" w:sz="4" w:space="0" w:color="A6A6A6" w:themeColor="background1" w:themeShade="A6"/>
            </w:tcBorders>
            <w:shd w:val="clear" w:color="auto" w:fill="FFFFFF" w:themeFill="background1"/>
          </w:tcPr>
          <w:p w:rsidR="00A16A93" w:rsidRPr="007C12AD" w:rsidRDefault="00A16A93" w:rsidP="007C12AD">
            <w:pPr>
              <w:pStyle w:val="TableText"/>
              <w:jc w:val="center"/>
            </w:pPr>
          </w:p>
        </w:tc>
        <w:tc>
          <w:tcPr>
            <w:tcW w:w="1305" w:type="dxa"/>
            <w:tcBorders>
              <w:top w:val="single" w:sz="4" w:space="0" w:color="auto"/>
              <w:bottom w:val="single" w:sz="4" w:space="0" w:color="A6A6A6" w:themeColor="background1" w:themeShade="A6"/>
            </w:tcBorders>
            <w:shd w:val="clear" w:color="auto" w:fill="FFFFFF" w:themeFill="background1"/>
          </w:tcPr>
          <w:p w:rsidR="00A16A93" w:rsidRPr="007C12AD" w:rsidRDefault="00A16A93" w:rsidP="007C12AD">
            <w:pPr>
              <w:pStyle w:val="TableText"/>
              <w:jc w:val="center"/>
            </w:pPr>
          </w:p>
        </w:tc>
      </w:tr>
      <w:tr w:rsidR="00A16A93" w:rsidRPr="007C12AD" w:rsidTr="007C12AD">
        <w:trPr>
          <w:cantSplit/>
        </w:trPr>
        <w:tc>
          <w:tcPr>
            <w:tcW w:w="2835" w:type="dxa"/>
            <w:tcBorders>
              <w:top w:val="single" w:sz="4" w:space="0" w:color="A6A6A6" w:themeColor="background1" w:themeShade="A6"/>
              <w:bottom w:val="single" w:sz="4" w:space="0" w:color="A6A6A6" w:themeColor="background1" w:themeShade="A6"/>
            </w:tcBorders>
          </w:tcPr>
          <w:p w:rsidR="00A16A93" w:rsidRPr="007C12AD" w:rsidRDefault="00A16A93" w:rsidP="007C12AD">
            <w:pPr>
              <w:pStyle w:val="TableText"/>
            </w:pPr>
            <w:r w:rsidRPr="007C12AD">
              <w:t>Quintile 1 (least deprived)</w:t>
            </w:r>
          </w:p>
        </w:tc>
        <w:tc>
          <w:tcPr>
            <w:tcW w:w="1304"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jc w:val="center"/>
            </w:pPr>
            <w:r w:rsidRPr="007C12AD">
              <w:t>0.3%</w:t>
            </w:r>
            <w:r w:rsidR="007C12AD">
              <w:br/>
            </w:r>
            <w:r w:rsidRPr="007C12AD">
              <w:t>(22)</w:t>
            </w:r>
          </w:p>
        </w:tc>
        <w:tc>
          <w:tcPr>
            <w:tcW w:w="1304"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jc w:val="center"/>
            </w:pPr>
            <w:r w:rsidRPr="007C12AD">
              <w:t>0.5%</w:t>
            </w:r>
            <w:r w:rsidR="007C12AD">
              <w:br/>
            </w:r>
            <w:r w:rsidRPr="007C12AD">
              <w:t>(41)</w:t>
            </w:r>
          </w:p>
        </w:tc>
        <w:tc>
          <w:tcPr>
            <w:tcW w:w="1304"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jc w:val="center"/>
            </w:pPr>
            <w:r w:rsidRPr="007C12AD">
              <w:t>4.2%</w:t>
            </w:r>
            <w:r w:rsidR="007C12AD">
              <w:br/>
            </w:r>
            <w:r w:rsidRPr="007C12AD">
              <w:t>(317)</w:t>
            </w:r>
          </w:p>
        </w:tc>
        <w:tc>
          <w:tcPr>
            <w:tcW w:w="1304"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jc w:val="center"/>
            </w:pPr>
            <w:r w:rsidRPr="007C12AD">
              <w:t>92.8%</w:t>
            </w:r>
            <w:r w:rsidR="007C12AD">
              <w:br/>
            </w:r>
            <w:r w:rsidRPr="007C12AD">
              <w:t>(6,982)</w:t>
            </w:r>
          </w:p>
        </w:tc>
        <w:tc>
          <w:tcPr>
            <w:tcW w:w="1305"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jc w:val="center"/>
            </w:pPr>
            <w:r w:rsidRPr="007C12AD">
              <w:t>2.1%</w:t>
            </w:r>
            <w:r w:rsidR="007C12AD">
              <w:br/>
            </w:r>
            <w:r w:rsidRPr="007C12AD">
              <w:t>(160)</w:t>
            </w:r>
          </w:p>
        </w:tc>
      </w:tr>
      <w:tr w:rsidR="00A16A93" w:rsidRPr="007C12AD" w:rsidTr="007C12AD">
        <w:trPr>
          <w:cantSplit/>
        </w:trPr>
        <w:tc>
          <w:tcPr>
            <w:tcW w:w="2835" w:type="dxa"/>
            <w:tcBorders>
              <w:top w:val="single" w:sz="4" w:space="0" w:color="A6A6A6" w:themeColor="background1" w:themeShade="A6"/>
              <w:bottom w:val="single" w:sz="4" w:space="0" w:color="A6A6A6" w:themeColor="background1" w:themeShade="A6"/>
            </w:tcBorders>
          </w:tcPr>
          <w:p w:rsidR="00A16A93" w:rsidRPr="007C12AD" w:rsidRDefault="00A16A93" w:rsidP="007C12AD">
            <w:pPr>
              <w:pStyle w:val="TableText"/>
            </w:pPr>
            <w:r w:rsidRPr="007C12AD">
              <w:t>Quintile 2</w:t>
            </w:r>
          </w:p>
        </w:tc>
        <w:tc>
          <w:tcPr>
            <w:tcW w:w="1304"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jc w:val="center"/>
            </w:pPr>
            <w:r w:rsidRPr="007C12AD">
              <w:t>0.3%</w:t>
            </w:r>
            <w:r w:rsidR="007C12AD">
              <w:br/>
            </w:r>
            <w:r w:rsidRPr="007C12AD">
              <w:t>(23)</w:t>
            </w:r>
          </w:p>
        </w:tc>
        <w:tc>
          <w:tcPr>
            <w:tcW w:w="1304"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jc w:val="center"/>
            </w:pPr>
            <w:r w:rsidRPr="007C12AD">
              <w:t>0.7%</w:t>
            </w:r>
            <w:r w:rsidR="007C12AD">
              <w:br/>
            </w:r>
            <w:r w:rsidRPr="007C12AD">
              <w:t>(62)</w:t>
            </w:r>
          </w:p>
        </w:tc>
        <w:tc>
          <w:tcPr>
            <w:tcW w:w="1304"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jc w:val="center"/>
            </w:pPr>
            <w:r w:rsidRPr="007C12AD">
              <w:t>4.8%</w:t>
            </w:r>
            <w:r w:rsidR="007C12AD">
              <w:br/>
            </w:r>
            <w:r w:rsidRPr="007C12AD">
              <w:t>(414)</w:t>
            </w:r>
          </w:p>
        </w:tc>
        <w:tc>
          <w:tcPr>
            <w:tcW w:w="1304"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jc w:val="center"/>
            </w:pPr>
            <w:r w:rsidRPr="007C12AD">
              <w:t>91.9%</w:t>
            </w:r>
            <w:r w:rsidR="007C12AD">
              <w:br/>
            </w:r>
            <w:r w:rsidRPr="007C12AD">
              <w:t>(7,937)</w:t>
            </w:r>
          </w:p>
        </w:tc>
        <w:tc>
          <w:tcPr>
            <w:tcW w:w="1305"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jc w:val="center"/>
            </w:pPr>
            <w:r w:rsidRPr="007C12AD">
              <w:t>2.4%</w:t>
            </w:r>
            <w:r w:rsidR="007C12AD">
              <w:br/>
            </w:r>
            <w:r w:rsidRPr="007C12AD">
              <w:t>(204)</w:t>
            </w:r>
          </w:p>
        </w:tc>
      </w:tr>
      <w:tr w:rsidR="00A16A93" w:rsidRPr="007C12AD" w:rsidTr="007C12AD">
        <w:trPr>
          <w:cantSplit/>
        </w:trPr>
        <w:tc>
          <w:tcPr>
            <w:tcW w:w="2835" w:type="dxa"/>
            <w:tcBorders>
              <w:top w:val="single" w:sz="4" w:space="0" w:color="A6A6A6" w:themeColor="background1" w:themeShade="A6"/>
              <w:bottom w:val="single" w:sz="4" w:space="0" w:color="A6A6A6" w:themeColor="background1" w:themeShade="A6"/>
            </w:tcBorders>
          </w:tcPr>
          <w:p w:rsidR="00A16A93" w:rsidRPr="007C12AD" w:rsidRDefault="00A16A93" w:rsidP="007C12AD">
            <w:pPr>
              <w:pStyle w:val="TableText"/>
            </w:pPr>
            <w:r w:rsidRPr="007C12AD">
              <w:t>Quintile 3</w:t>
            </w:r>
          </w:p>
        </w:tc>
        <w:tc>
          <w:tcPr>
            <w:tcW w:w="1304"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jc w:val="center"/>
            </w:pPr>
            <w:r w:rsidRPr="007C12AD">
              <w:t>0.4%</w:t>
            </w:r>
            <w:r w:rsidR="007C12AD">
              <w:br/>
            </w:r>
            <w:r w:rsidRPr="007C12AD">
              <w:t>(37)</w:t>
            </w:r>
          </w:p>
        </w:tc>
        <w:tc>
          <w:tcPr>
            <w:tcW w:w="1304"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jc w:val="center"/>
            </w:pPr>
            <w:r w:rsidRPr="007C12AD">
              <w:t>0.7%</w:t>
            </w:r>
            <w:r w:rsidR="007C12AD">
              <w:br/>
            </w:r>
            <w:r w:rsidRPr="007C12AD">
              <w:t>(71)</w:t>
            </w:r>
          </w:p>
        </w:tc>
        <w:tc>
          <w:tcPr>
            <w:tcW w:w="1304"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jc w:val="center"/>
            </w:pPr>
            <w:r w:rsidRPr="007C12AD">
              <w:t>5.1%</w:t>
            </w:r>
            <w:r w:rsidR="007C12AD">
              <w:br/>
            </w:r>
            <w:r w:rsidRPr="007C12AD">
              <w:t>(500)</w:t>
            </w:r>
          </w:p>
        </w:tc>
        <w:tc>
          <w:tcPr>
            <w:tcW w:w="1304"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jc w:val="center"/>
            </w:pPr>
            <w:r w:rsidRPr="007C12AD">
              <w:t>91.6%</w:t>
            </w:r>
            <w:r w:rsidR="007C12AD">
              <w:br/>
            </w:r>
            <w:r w:rsidRPr="007C12AD">
              <w:t>(8,922)</w:t>
            </w:r>
          </w:p>
        </w:tc>
        <w:tc>
          <w:tcPr>
            <w:tcW w:w="1305"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jc w:val="center"/>
            </w:pPr>
            <w:r w:rsidRPr="007C12AD">
              <w:t>2.1%</w:t>
            </w:r>
            <w:r w:rsidR="007C12AD">
              <w:br/>
            </w:r>
            <w:r w:rsidRPr="007C12AD">
              <w:t>(206)</w:t>
            </w:r>
          </w:p>
        </w:tc>
      </w:tr>
      <w:tr w:rsidR="00A16A93" w:rsidRPr="007C12AD" w:rsidTr="007C12AD">
        <w:trPr>
          <w:cantSplit/>
        </w:trPr>
        <w:tc>
          <w:tcPr>
            <w:tcW w:w="2835" w:type="dxa"/>
            <w:tcBorders>
              <w:top w:val="single" w:sz="4" w:space="0" w:color="A6A6A6" w:themeColor="background1" w:themeShade="A6"/>
              <w:bottom w:val="single" w:sz="4" w:space="0" w:color="A6A6A6" w:themeColor="background1" w:themeShade="A6"/>
            </w:tcBorders>
          </w:tcPr>
          <w:p w:rsidR="00A16A93" w:rsidRPr="007C12AD" w:rsidRDefault="00A16A93" w:rsidP="007C12AD">
            <w:pPr>
              <w:pStyle w:val="TableText"/>
            </w:pPr>
            <w:r w:rsidRPr="007C12AD">
              <w:t>Quintile 4</w:t>
            </w:r>
          </w:p>
        </w:tc>
        <w:tc>
          <w:tcPr>
            <w:tcW w:w="1304"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jc w:val="center"/>
            </w:pPr>
            <w:r w:rsidRPr="007C12AD">
              <w:t>0.4%</w:t>
            </w:r>
            <w:r w:rsidR="007C12AD">
              <w:br/>
            </w:r>
            <w:r w:rsidRPr="007C12AD">
              <w:t>(53)</w:t>
            </w:r>
          </w:p>
        </w:tc>
        <w:tc>
          <w:tcPr>
            <w:tcW w:w="1304"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jc w:val="center"/>
            </w:pPr>
            <w:r w:rsidRPr="007C12AD">
              <w:t>0.7%</w:t>
            </w:r>
            <w:r w:rsidR="007C12AD">
              <w:br/>
            </w:r>
            <w:r w:rsidRPr="007C12AD">
              <w:t>(83)</w:t>
            </w:r>
          </w:p>
        </w:tc>
        <w:tc>
          <w:tcPr>
            <w:tcW w:w="1304"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jc w:val="center"/>
            </w:pPr>
            <w:r w:rsidRPr="007C12AD">
              <w:t>4.8%</w:t>
            </w:r>
            <w:r w:rsidR="007C12AD">
              <w:br/>
            </w:r>
            <w:r w:rsidRPr="007C12AD">
              <w:t>(596)</w:t>
            </w:r>
          </w:p>
        </w:tc>
        <w:tc>
          <w:tcPr>
            <w:tcW w:w="1304"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jc w:val="center"/>
            </w:pPr>
            <w:r w:rsidRPr="007C12AD">
              <w:t>92.1%</w:t>
            </w:r>
            <w:r w:rsidR="007C12AD">
              <w:br/>
            </w:r>
            <w:r w:rsidRPr="007C12AD">
              <w:t>(11,402)</w:t>
            </w:r>
          </w:p>
        </w:tc>
        <w:tc>
          <w:tcPr>
            <w:tcW w:w="1305" w:type="dxa"/>
            <w:tcBorders>
              <w:top w:val="single" w:sz="4" w:space="0" w:color="A6A6A6" w:themeColor="background1" w:themeShade="A6"/>
              <w:bottom w:val="single" w:sz="4" w:space="0" w:color="A6A6A6" w:themeColor="background1" w:themeShade="A6"/>
            </w:tcBorders>
            <w:shd w:val="clear" w:color="auto" w:fill="FFFFFF" w:themeFill="background1"/>
          </w:tcPr>
          <w:p w:rsidR="00A16A93" w:rsidRPr="007C12AD" w:rsidRDefault="00A16A93" w:rsidP="007C12AD">
            <w:pPr>
              <w:pStyle w:val="TableText"/>
              <w:jc w:val="center"/>
            </w:pPr>
            <w:r w:rsidRPr="007C12AD">
              <w:t>2.0%</w:t>
            </w:r>
            <w:r w:rsidR="007C12AD">
              <w:br/>
            </w:r>
            <w:r w:rsidRPr="007C12AD">
              <w:t>(252)</w:t>
            </w:r>
          </w:p>
        </w:tc>
      </w:tr>
      <w:tr w:rsidR="00A16A93" w:rsidRPr="007C12AD" w:rsidTr="007C12AD">
        <w:trPr>
          <w:cantSplit/>
        </w:trPr>
        <w:tc>
          <w:tcPr>
            <w:tcW w:w="2835" w:type="dxa"/>
            <w:tcBorders>
              <w:top w:val="single" w:sz="4" w:space="0" w:color="A6A6A6" w:themeColor="background1" w:themeShade="A6"/>
              <w:bottom w:val="single" w:sz="4" w:space="0" w:color="auto"/>
            </w:tcBorders>
          </w:tcPr>
          <w:p w:rsidR="00A16A93" w:rsidRPr="007C12AD" w:rsidRDefault="00A16A93" w:rsidP="007C12AD">
            <w:pPr>
              <w:pStyle w:val="TableText"/>
            </w:pPr>
            <w:r w:rsidRPr="007C12AD">
              <w:t>Quintile 5 (most deprived)</w:t>
            </w:r>
          </w:p>
        </w:tc>
        <w:tc>
          <w:tcPr>
            <w:tcW w:w="1304" w:type="dxa"/>
            <w:tcBorders>
              <w:top w:val="single" w:sz="4" w:space="0" w:color="A6A6A6" w:themeColor="background1" w:themeShade="A6"/>
              <w:bottom w:val="single" w:sz="4" w:space="0" w:color="auto"/>
            </w:tcBorders>
            <w:shd w:val="clear" w:color="auto" w:fill="FFFFFF" w:themeFill="background1"/>
          </w:tcPr>
          <w:p w:rsidR="00A16A93" w:rsidRPr="007C12AD" w:rsidRDefault="00A16A93" w:rsidP="007C12AD">
            <w:pPr>
              <w:pStyle w:val="TableText"/>
              <w:jc w:val="center"/>
            </w:pPr>
            <w:r w:rsidRPr="007C12AD">
              <w:t>0.4%</w:t>
            </w:r>
            <w:r w:rsidR="007C12AD">
              <w:br/>
            </w:r>
            <w:r w:rsidRPr="007C12AD">
              <w:t>(71)</w:t>
            </w:r>
          </w:p>
        </w:tc>
        <w:tc>
          <w:tcPr>
            <w:tcW w:w="1304" w:type="dxa"/>
            <w:tcBorders>
              <w:top w:val="single" w:sz="4" w:space="0" w:color="A6A6A6" w:themeColor="background1" w:themeShade="A6"/>
              <w:bottom w:val="single" w:sz="4" w:space="0" w:color="auto"/>
            </w:tcBorders>
            <w:shd w:val="clear" w:color="auto" w:fill="FFFFFF" w:themeFill="background1"/>
          </w:tcPr>
          <w:p w:rsidR="00A16A93" w:rsidRPr="007C12AD" w:rsidRDefault="00A16A93" w:rsidP="007C12AD">
            <w:pPr>
              <w:pStyle w:val="TableText"/>
              <w:jc w:val="center"/>
            </w:pPr>
            <w:r w:rsidRPr="007C12AD">
              <w:t>0.5%</w:t>
            </w:r>
            <w:r w:rsidR="007C12AD">
              <w:br/>
            </w:r>
            <w:r w:rsidRPr="007C12AD">
              <w:t>(90)</w:t>
            </w:r>
          </w:p>
        </w:tc>
        <w:tc>
          <w:tcPr>
            <w:tcW w:w="1304" w:type="dxa"/>
            <w:tcBorders>
              <w:top w:val="single" w:sz="4" w:space="0" w:color="A6A6A6" w:themeColor="background1" w:themeShade="A6"/>
              <w:bottom w:val="single" w:sz="4" w:space="0" w:color="auto"/>
            </w:tcBorders>
            <w:shd w:val="clear" w:color="auto" w:fill="FFFFFF" w:themeFill="background1"/>
          </w:tcPr>
          <w:p w:rsidR="00A16A93" w:rsidRPr="007C12AD" w:rsidRDefault="00A16A93" w:rsidP="007C12AD">
            <w:pPr>
              <w:pStyle w:val="TableText"/>
              <w:jc w:val="center"/>
            </w:pPr>
            <w:r w:rsidRPr="007C12AD">
              <w:t>5.5%</w:t>
            </w:r>
            <w:r w:rsidR="007C12AD">
              <w:br/>
            </w:r>
            <w:r w:rsidRPr="007C12AD">
              <w:t>(898)</w:t>
            </w:r>
          </w:p>
        </w:tc>
        <w:tc>
          <w:tcPr>
            <w:tcW w:w="1304" w:type="dxa"/>
            <w:tcBorders>
              <w:top w:val="single" w:sz="4" w:space="0" w:color="A6A6A6" w:themeColor="background1" w:themeShade="A6"/>
              <w:bottom w:val="single" w:sz="4" w:space="0" w:color="auto"/>
            </w:tcBorders>
            <w:shd w:val="clear" w:color="auto" w:fill="FFFFFF" w:themeFill="background1"/>
          </w:tcPr>
          <w:p w:rsidR="00A16A93" w:rsidRPr="007C12AD" w:rsidRDefault="00A16A93" w:rsidP="007C12AD">
            <w:pPr>
              <w:pStyle w:val="TableText"/>
              <w:jc w:val="center"/>
            </w:pPr>
            <w:r w:rsidRPr="007C12AD">
              <w:t>91.2%</w:t>
            </w:r>
            <w:r w:rsidR="007C12AD">
              <w:br/>
            </w:r>
            <w:r w:rsidRPr="007C12AD">
              <w:t>(15,010)</w:t>
            </w:r>
          </w:p>
        </w:tc>
        <w:tc>
          <w:tcPr>
            <w:tcW w:w="1305" w:type="dxa"/>
            <w:tcBorders>
              <w:top w:val="single" w:sz="4" w:space="0" w:color="A6A6A6" w:themeColor="background1" w:themeShade="A6"/>
              <w:bottom w:val="single" w:sz="4" w:space="0" w:color="auto"/>
            </w:tcBorders>
            <w:shd w:val="clear" w:color="auto" w:fill="FFFFFF" w:themeFill="background1"/>
          </w:tcPr>
          <w:p w:rsidR="00A16A93" w:rsidRPr="007C12AD" w:rsidRDefault="00A16A93" w:rsidP="007C12AD">
            <w:pPr>
              <w:pStyle w:val="TableText"/>
              <w:jc w:val="center"/>
            </w:pPr>
            <w:r w:rsidRPr="007C12AD">
              <w:t>2.3%</w:t>
            </w:r>
            <w:r w:rsidR="007C12AD">
              <w:br/>
            </w:r>
            <w:r w:rsidRPr="007C12AD">
              <w:t>(385)</w:t>
            </w:r>
          </w:p>
        </w:tc>
      </w:tr>
    </w:tbl>
    <w:p w:rsidR="00A16A93" w:rsidRPr="00A16A93" w:rsidRDefault="00A16A93" w:rsidP="006A4849">
      <w:pPr>
        <w:pStyle w:val="Source"/>
        <w:rPr>
          <w:rFonts w:cs="Arial"/>
        </w:rPr>
      </w:pPr>
      <w:r w:rsidRPr="00A16A93">
        <w:rPr>
          <w:rFonts w:cs="Arial"/>
        </w:rPr>
        <w:t xml:space="preserve">Source: </w:t>
      </w:r>
      <w:hyperlink r:id="rId77" w:history="1">
        <w:r w:rsidRPr="00A16A93">
          <w:rPr>
            <w:rStyle w:val="Hyperlink"/>
            <w:rFonts w:cs="Arial"/>
          </w:rPr>
          <w:t>Report on Maternity</w:t>
        </w:r>
      </w:hyperlink>
      <w:r w:rsidRPr="00A16A93">
        <w:rPr>
          <w:rFonts w:cs="Arial"/>
        </w:rPr>
        <w:t xml:space="preserve"> 2015</w:t>
      </w:r>
    </w:p>
    <w:p w:rsidR="00A16A93" w:rsidRPr="00A16A93" w:rsidRDefault="00A16A93" w:rsidP="006A4849"/>
    <w:p w:rsidR="00A16A93" w:rsidRPr="00A16A93" w:rsidRDefault="00A16A93" w:rsidP="006A4849">
      <w:pPr>
        <w:pStyle w:val="Heading1"/>
      </w:pPr>
      <w:bookmarkStart w:id="119" w:name="_Toc480457801"/>
      <w:bookmarkStart w:id="120" w:name="_Toc480534251"/>
      <w:r w:rsidRPr="00A16A93">
        <w:lastRenderedPageBreak/>
        <w:t>Baseline performance against the reducing childhood obesity indicators</w:t>
      </w:r>
      <w:bookmarkEnd w:id="119"/>
      <w:bookmarkEnd w:id="120"/>
    </w:p>
    <w:p w:rsidR="00A16A93" w:rsidRDefault="00A16A93" w:rsidP="006A4849">
      <w:r w:rsidRPr="00A16A93">
        <w:t>Table 15 summarises baseline performance against the complete set of reducing childhood obesity indicators. The table presents the results for the total New Zealand population and for the three key population groups – Māori, Pacific peoples, and people living in our most deprived (ie, quintile 5) neighbourhoods.</w:t>
      </w:r>
    </w:p>
    <w:p w:rsidR="006A4849" w:rsidRPr="00A16A93" w:rsidRDefault="006A4849" w:rsidP="006A4849"/>
    <w:p w:rsidR="00A16A93" w:rsidRPr="00A16A93" w:rsidRDefault="00A16A93" w:rsidP="006A4849">
      <w:pPr>
        <w:pStyle w:val="Table"/>
      </w:pPr>
      <w:bookmarkStart w:id="121" w:name="_Toc480534267"/>
      <w:r w:rsidRPr="00A16A93">
        <w:t>Table 15: Baseline performance against the reducing childhood obesity indicators</w:t>
      </w:r>
      <w:bookmarkEnd w:id="121"/>
    </w:p>
    <w:tbl>
      <w:tblPr>
        <w:tblStyle w:val="TableGrid"/>
        <w:tblW w:w="0" w:type="auto"/>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40"/>
        <w:gridCol w:w="1662"/>
        <w:gridCol w:w="2009"/>
        <w:gridCol w:w="38"/>
        <w:gridCol w:w="104"/>
        <w:gridCol w:w="1169"/>
        <w:gridCol w:w="28"/>
        <w:gridCol w:w="78"/>
        <w:gridCol w:w="1205"/>
        <w:gridCol w:w="19"/>
        <w:gridCol w:w="52"/>
        <w:gridCol w:w="1240"/>
        <w:gridCol w:w="10"/>
        <w:gridCol w:w="26"/>
        <w:gridCol w:w="1276"/>
      </w:tblGrid>
      <w:tr w:rsidR="00A16A93" w:rsidRPr="00A16A93" w:rsidTr="007C6368">
        <w:trPr>
          <w:cantSplit/>
          <w:tblHeader/>
        </w:trPr>
        <w:tc>
          <w:tcPr>
            <w:tcW w:w="440" w:type="dxa"/>
            <w:tcBorders>
              <w:top w:val="single" w:sz="4" w:space="0" w:color="auto"/>
              <w:bottom w:val="single" w:sz="4" w:space="0" w:color="auto"/>
            </w:tcBorders>
          </w:tcPr>
          <w:p w:rsidR="00A16A93" w:rsidRPr="00A16A93" w:rsidRDefault="00A16A93" w:rsidP="007C6368">
            <w:pPr>
              <w:pStyle w:val="TableText"/>
            </w:pPr>
          </w:p>
        </w:tc>
        <w:tc>
          <w:tcPr>
            <w:tcW w:w="1662" w:type="dxa"/>
            <w:tcBorders>
              <w:top w:val="single" w:sz="4" w:space="0" w:color="auto"/>
              <w:bottom w:val="single" w:sz="4" w:space="0" w:color="auto"/>
            </w:tcBorders>
          </w:tcPr>
          <w:p w:rsidR="00A16A93" w:rsidRPr="00A16A93" w:rsidRDefault="00A16A93" w:rsidP="007C6368">
            <w:pPr>
              <w:pStyle w:val="TableText"/>
              <w:rPr>
                <w:b/>
              </w:rPr>
            </w:pPr>
            <w:r w:rsidRPr="00A16A93">
              <w:rPr>
                <w:b/>
              </w:rPr>
              <w:t>Indicator</w:t>
            </w:r>
          </w:p>
        </w:tc>
        <w:tc>
          <w:tcPr>
            <w:tcW w:w="2009" w:type="dxa"/>
            <w:tcBorders>
              <w:top w:val="single" w:sz="4" w:space="0" w:color="auto"/>
              <w:bottom w:val="single" w:sz="4" w:space="0" w:color="auto"/>
            </w:tcBorders>
          </w:tcPr>
          <w:p w:rsidR="00A16A93" w:rsidRPr="00A16A93" w:rsidRDefault="00A16A93" w:rsidP="007C6368">
            <w:pPr>
              <w:pStyle w:val="TableText"/>
              <w:jc w:val="center"/>
              <w:rPr>
                <w:b/>
              </w:rPr>
            </w:pPr>
            <w:r w:rsidRPr="00A16A93">
              <w:rPr>
                <w:b/>
              </w:rPr>
              <w:t>Measure</w:t>
            </w:r>
          </w:p>
        </w:tc>
        <w:tc>
          <w:tcPr>
            <w:tcW w:w="1311" w:type="dxa"/>
            <w:gridSpan w:val="3"/>
            <w:tcBorders>
              <w:top w:val="single" w:sz="4" w:space="0" w:color="auto"/>
              <w:bottom w:val="single" w:sz="4" w:space="0" w:color="auto"/>
            </w:tcBorders>
          </w:tcPr>
          <w:p w:rsidR="00A16A93" w:rsidRPr="00A16A93" w:rsidRDefault="00A16A93" w:rsidP="007C6368">
            <w:pPr>
              <w:pStyle w:val="TableText"/>
              <w:jc w:val="center"/>
              <w:rPr>
                <w:b/>
              </w:rPr>
            </w:pPr>
            <w:r w:rsidRPr="00A16A93">
              <w:rPr>
                <w:b/>
              </w:rPr>
              <w:t>Total</w:t>
            </w:r>
          </w:p>
        </w:tc>
        <w:tc>
          <w:tcPr>
            <w:tcW w:w="1311" w:type="dxa"/>
            <w:gridSpan w:val="3"/>
            <w:tcBorders>
              <w:top w:val="single" w:sz="4" w:space="0" w:color="auto"/>
              <w:bottom w:val="single" w:sz="4" w:space="0" w:color="auto"/>
            </w:tcBorders>
          </w:tcPr>
          <w:p w:rsidR="00A16A93" w:rsidRPr="00A16A93" w:rsidRDefault="00A16A93" w:rsidP="007C6368">
            <w:pPr>
              <w:pStyle w:val="TableText"/>
              <w:jc w:val="center"/>
              <w:rPr>
                <w:b/>
              </w:rPr>
            </w:pPr>
            <w:r w:rsidRPr="00A16A93">
              <w:rPr>
                <w:b/>
              </w:rPr>
              <w:t>Māori</w:t>
            </w:r>
          </w:p>
        </w:tc>
        <w:tc>
          <w:tcPr>
            <w:tcW w:w="1311" w:type="dxa"/>
            <w:gridSpan w:val="3"/>
            <w:tcBorders>
              <w:top w:val="single" w:sz="4" w:space="0" w:color="auto"/>
              <w:bottom w:val="single" w:sz="4" w:space="0" w:color="auto"/>
            </w:tcBorders>
          </w:tcPr>
          <w:p w:rsidR="00A16A93" w:rsidRPr="00A16A93" w:rsidRDefault="00A16A93" w:rsidP="007C6368">
            <w:pPr>
              <w:pStyle w:val="TableText"/>
              <w:jc w:val="center"/>
              <w:rPr>
                <w:b/>
              </w:rPr>
            </w:pPr>
            <w:r w:rsidRPr="00A16A93">
              <w:rPr>
                <w:b/>
              </w:rPr>
              <w:t>Pacific</w:t>
            </w:r>
            <w:r w:rsidR="007C6368">
              <w:rPr>
                <w:b/>
              </w:rPr>
              <w:br/>
            </w:r>
            <w:r w:rsidRPr="00A16A93">
              <w:rPr>
                <w:b/>
              </w:rPr>
              <w:t>peoples</w:t>
            </w:r>
          </w:p>
        </w:tc>
        <w:tc>
          <w:tcPr>
            <w:tcW w:w="1312" w:type="dxa"/>
            <w:gridSpan w:val="3"/>
            <w:tcBorders>
              <w:top w:val="single" w:sz="4" w:space="0" w:color="auto"/>
              <w:bottom w:val="single" w:sz="4" w:space="0" w:color="auto"/>
            </w:tcBorders>
          </w:tcPr>
          <w:p w:rsidR="00A16A93" w:rsidRPr="00A16A93" w:rsidRDefault="00A16A93" w:rsidP="007C6368">
            <w:pPr>
              <w:pStyle w:val="TableText"/>
              <w:jc w:val="center"/>
              <w:rPr>
                <w:b/>
              </w:rPr>
            </w:pPr>
            <w:r w:rsidRPr="00A16A93">
              <w:rPr>
                <w:b/>
              </w:rPr>
              <w:t>High deprivation</w:t>
            </w:r>
          </w:p>
        </w:tc>
      </w:tr>
      <w:tr w:rsidR="00A16A93" w:rsidRPr="00A16A93" w:rsidTr="007C6368">
        <w:trPr>
          <w:cantSplit/>
        </w:trPr>
        <w:tc>
          <w:tcPr>
            <w:tcW w:w="9356" w:type="dxa"/>
            <w:gridSpan w:val="15"/>
            <w:tcBorders>
              <w:top w:val="single" w:sz="4" w:space="0" w:color="auto"/>
              <w:bottom w:val="single" w:sz="4" w:space="0" w:color="A6A6A6" w:themeColor="background1" w:themeShade="A6"/>
            </w:tcBorders>
          </w:tcPr>
          <w:p w:rsidR="00A16A93" w:rsidRPr="007C6368" w:rsidRDefault="00A16A93" w:rsidP="007C6368">
            <w:pPr>
              <w:pStyle w:val="TableText"/>
              <w:rPr>
                <w:b/>
              </w:rPr>
            </w:pPr>
            <w:r w:rsidRPr="007C6368">
              <w:rPr>
                <w:b/>
              </w:rPr>
              <w:t>More children are physically active</w:t>
            </w:r>
          </w:p>
        </w:tc>
      </w:tr>
      <w:tr w:rsidR="00A16A93" w:rsidRPr="00A16A93" w:rsidTr="007C6368">
        <w:trPr>
          <w:cantSplit/>
        </w:trPr>
        <w:tc>
          <w:tcPr>
            <w:tcW w:w="440" w:type="dxa"/>
            <w:tcBorders>
              <w:top w:val="single" w:sz="4" w:space="0" w:color="A6A6A6" w:themeColor="background1" w:themeShade="A6"/>
              <w:bottom w:val="single" w:sz="4" w:space="0" w:color="A6A6A6" w:themeColor="background1" w:themeShade="A6"/>
            </w:tcBorders>
          </w:tcPr>
          <w:p w:rsidR="00A16A93" w:rsidRPr="00A16A93" w:rsidRDefault="00A16A93" w:rsidP="007C6368">
            <w:pPr>
              <w:pStyle w:val="TableText"/>
            </w:pPr>
            <w:r w:rsidRPr="00A16A93">
              <w:t>1</w:t>
            </w:r>
          </w:p>
        </w:tc>
        <w:tc>
          <w:tcPr>
            <w:tcW w:w="1662" w:type="dxa"/>
            <w:tcBorders>
              <w:top w:val="single" w:sz="4" w:space="0" w:color="A6A6A6" w:themeColor="background1" w:themeShade="A6"/>
              <w:bottom w:val="single" w:sz="4" w:space="0" w:color="A6A6A6" w:themeColor="background1" w:themeShade="A6"/>
            </w:tcBorders>
          </w:tcPr>
          <w:p w:rsidR="00A16A93" w:rsidRPr="00A16A93" w:rsidRDefault="00A16A93" w:rsidP="007C6368">
            <w:pPr>
              <w:pStyle w:val="TableText"/>
            </w:pPr>
            <w:r w:rsidRPr="00A16A93">
              <w:t>Time spent watching television, videos or screens</w:t>
            </w:r>
          </w:p>
        </w:tc>
        <w:tc>
          <w:tcPr>
            <w:tcW w:w="2151" w:type="dxa"/>
            <w:gridSpan w:val="3"/>
            <w:tcBorders>
              <w:top w:val="single" w:sz="4" w:space="0" w:color="A6A6A6" w:themeColor="background1" w:themeShade="A6"/>
              <w:bottom w:val="single" w:sz="4" w:space="0" w:color="A6A6A6" w:themeColor="background1" w:themeShade="A6"/>
            </w:tcBorders>
          </w:tcPr>
          <w:p w:rsidR="00A16A93" w:rsidRPr="00A16A93" w:rsidRDefault="00A16A93" w:rsidP="007C6368">
            <w:pPr>
              <w:pStyle w:val="TableText"/>
            </w:pPr>
            <w:r w:rsidRPr="00A16A93">
              <w:t>Percentage of children (aged 2–14 years) who usually watch two or more hours of television per day (2015/16)</w:t>
            </w:r>
          </w:p>
        </w:tc>
        <w:tc>
          <w:tcPr>
            <w:tcW w:w="1275" w:type="dxa"/>
            <w:gridSpan w:val="3"/>
            <w:tcBorders>
              <w:top w:val="single" w:sz="4" w:space="0" w:color="A6A6A6" w:themeColor="background1" w:themeShade="A6"/>
              <w:bottom w:val="single" w:sz="4" w:space="0" w:color="A6A6A6" w:themeColor="background1" w:themeShade="A6"/>
            </w:tcBorders>
          </w:tcPr>
          <w:p w:rsidR="00A16A93" w:rsidRPr="00A16A93" w:rsidRDefault="00A16A93" w:rsidP="007C6368">
            <w:pPr>
              <w:pStyle w:val="TableText"/>
              <w:jc w:val="center"/>
            </w:pPr>
            <w:r w:rsidRPr="00A16A93">
              <w:t>44.8%</w:t>
            </w:r>
          </w:p>
        </w:tc>
        <w:tc>
          <w:tcPr>
            <w:tcW w:w="1276" w:type="dxa"/>
            <w:gridSpan w:val="3"/>
            <w:tcBorders>
              <w:top w:val="single" w:sz="4" w:space="0" w:color="A6A6A6" w:themeColor="background1" w:themeShade="A6"/>
              <w:bottom w:val="single" w:sz="4" w:space="0" w:color="A6A6A6" w:themeColor="background1" w:themeShade="A6"/>
            </w:tcBorders>
          </w:tcPr>
          <w:p w:rsidR="00A16A93" w:rsidRPr="00A16A93" w:rsidRDefault="00A16A93" w:rsidP="007C6368">
            <w:pPr>
              <w:pStyle w:val="TableText"/>
              <w:jc w:val="center"/>
            </w:pPr>
            <w:r w:rsidRPr="00A16A93">
              <w:t>51.8%</w:t>
            </w:r>
          </w:p>
        </w:tc>
        <w:tc>
          <w:tcPr>
            <w:tcW w:w="1276" w:type="dxa"/>
            <w:gridSpan w:val="3"/>
            <w:tcBorders>
              <w:top w:val="single" w:sz="4" w:space="0" w:color="A6A6A6" w:themeColor="background1" w:themeShade="A6"/>
              <w:bottom w:val="single" w:sz="4" w:space="0" w:color="A6A6A6" w:themeColor="background1" w:themeShade="A6"/>
            </w:tcBorders>
          </w:tcPr>
          <w:p w:rsidR="00A16A93" w:rsidRPr="00A16A93" w:rsidRDefault="00A16A93" w:rsidP="007C6368">
            <w:pPr>
              <w:pStyle w:val="TableText"/>
              <w:jc w:val="center"/>
            </w:pPr>
            <w:r w:rsidRPr="00A16A93">
              <w:t>47.4%</w:t>
            </w:r>
          </w:p>
        </w:tc>
        <w:tc>
          <w:tcPr>
            <w:tcW w:w="1276" w:type="dxa"/>
            <w:tcBorders>
              <w:top w:val="single" w:sz="4" w:space="0" w:color="A6A6A6" w:themeColor="background1" w:themeShade="A6"/>
              <w:bottom w:val="single" w:sz="4" w:space="0" w:color="A6A6A6" w:themeColor="background1" w:themeShade="A6"/>
            </w:tcBorders>
          </w:tcPr>
          <w:p w:rsidR="00A16A93" w:rsidRPr="00A16A93" w:rsidRDefault="00A16A93" w:rsidP="007C6368">
            <w:pPr>
              <w:pStyle w:val="TableText"/>
              <w:jc w:val="center"/>
            </w:pPr>
            <w:r w:rsidRPr="00A16A93">
              <w:t>51.3%</w:t>
            </w:r>
          </w:p>
        </w:tc>
      </w:tr>
      <w:tr w:rsidR="00A16A93" w:rsidRPr="00A16A93" w:rsidTr="007C6368">
        <w:trPr>
          <w:cantSplit/>
        </w:trPr>
        <w:tc>
          <w:tcPr>
            <w:tcW w:w="440" w:type="dxa"/>
            <w:tcBorders>
              <w:top w:val="single" w:sz="4" w:space="0" w:color="A6A6A6" w:themeColor="background1" w:themeShade="A6"/>
              <w:bottom w:val="single" w:sz="4" w:space="0" w:color="A6A6A6" w:themeColor="background1" w:themeShade="A6"/>
            </w:tcBorders>
          </w:tcPr>
          <w:p w:rsidR="00A16A93" w:rsidRPr="00A16A93" w:rsidRDefault="00A16A93" w:rsidP="007C6368">
            <w:pPr>
              <w:pStyle w:val="TableText"/>
            </w:pPr>
            <w:r w:rsidRPr="00A16A93">
              <w:t>2</w:t>
            </w:r>
          </w:p>
        </w:tc>
        <w:tc>
          <w:tcPr>
            <w:tcW w:w="1662" w:type="dxa"/>
            <w:tcBorders>
              <w:top w:val="single" w:sz="4" w:space="0" w:color="A6A6A6" w:themeColor="background1" w:themeShade="A6"/>
              <w:bottom w:val="single" w:sz="4" w:space="0" w:color="A6A6A6" w:themeColor="background1" w:themeShade="A6"/>
            </w:tcBorders>
          </w:tcPr>
          <w:p w:rsidR="00A16A93" w:rsidRPr="00A16A93" w:rsidRDefault="00A16A93" w:rsidP="007C6368">
            <w:pPr>
              <w:pStyle w:val="TableText"/>
            </w:pPr>
            <w:r w:rsidRPr="00A16A93">
              <w:t>Sleep duration</w:t>
            </w:r>
          </w:p>
        </w:tc>
        <w:tc>
          <w:tcPr>
            <w:tcW w:w="2151" w:type="dxa"/>
            <w:gridSpan w:val="3"/>
            <w:tcBorders>
              <w:top w:val="single" w:sz="4" w:space="0" w:color="A6A6A6" w:themeColor="background1" w:themeShade="A6"/>
              <w:bottom w:val="single" w:sz="4" w:space="0" w:color="A6A6A6" w:themeColor="background1" w:themeShade="A6"/>
            </w:tcBorders>
          </w:tcPr>
          <w:p w:rsidR="00A16A93" w:rsidRPr="00A16A93" w:rsidRDefault="00A16A93" w:rsidP="007C6368">
            <w:pPr>
              <w:pStyle w:val="TableText"/>
            </w:pPr>
            <w:r w:rsidRPr="00A16A93">
              <w:t>Percentage of children (aged 5–13 years) who get 9–11 hours of sleep per day on average</w:t>
            </w:r>
          </w:p>
        </w:tc>
        <w:tc>
          <w:tcPr>
            <w:tcW w:w="1275" w:type="dxa"/>
            <w:gridSpan w:val="3"/>
            <w:tcBorders>
              <w:top w:val="single" w:sz="4" w:space="0" w:color="A6A6A6" w:themeColor="background1" w:themeShade="A6"/>
              <w:bottom w:val="single" w:sz="4" w:space="0" w:color="A6A6A6" w:themeColor="background1" w:themeShade="A6"/>
            </w:tcBorders>
          </w:tcPr>
          <w:p w:rsidR="00A16A93" w:rsidRPr="00A16A93" w:rsidRDefault="00A16A93" w:rsidP="007C6368">
            <w:pPr>
              <w:pStyle w:val="TableText"/>
              <w:jc w:val="center"/>
            </w:pPr>
            <w:r w:rsidRPr="00A16A93">
              <w:t>First data available in early 2019</w:t>
            </w:r>
          </w:p>
        </w:tc>
        <w:tc>
          <w:tcPr>
            <w:tcW w:w="1276" w:type="dxa"/>
            <w:gridSpan w:val="3"/>
            <w:tcBorders>
              <w:top w:val="single" w:sz="4" w:space="0" w:color="A6A6A6" w:themeColor="background1" w:themeShade="A6"/>
              <w:bottom w:val="single" w:sz="4" w:space="0" w:color="A6A6A6" w:themeColor="background1" w:themeShade="A6"/>
            </w:tcBorders>
          </w:tcPr>
          <w:p w:rsidR="00A16A93" w:rsidRPr="00A16A93" w:rsidRDefault="00A16A93" w:rsidP="007C6368">
            <w:pPr>
              <w:pStyle w:val="TableText"/>
              <w:jc w:val="center"/>
            </w:pPr>
            <w:r w:rsidRPr="00A16A93">
              <w:t>First data available in early 2019</w:t>
            </w:r>
          </w:p>
        </w:tc>
        <w:tc>
          <w:tcPr>
            <w:tcW w:w="1276" w:type="dxa"/>
            <w:gridSpan w:val="3"/>
            <w:tcBorders>
              <w:top w:val="single" w:sz="4" w:space="0" w:color="A6A6A6" w:themeColor="background1" w:themeShade="A6"/>
              <w:bottom w:val="single" w:sz="4" w:space="0" w:color="A6A6A6" w:themeColor="background1" w:themeShade="A6"/>
            </w:tcBorders>
          </w:tcPr>
          <w:p w:rsidR="00A16A93" w:rsidRPr="00A16A93" w:rsidRDefault="00A16A93" w:rsidP="007C6368">
            <w:pPr>
              <w:pStyle w:val="TableText"/>
              <w:jc w:val="center"/>
            </w:pPr>
            <w:r w:rsidRPr="00A16A93">
              <w:t>First data available in early 2019</w:t>
            </w:r>
          </w:p>
        </w:tc>
        <w:tc>
          <w:tcPr>
            <w:tcW w:w="1276" w:type="dxa"/>
            <w:tcBorders>
              <w:top w:val="single" w:sz="4" w:space="0" w:color="A6A6A6" w:themeColor="background1" w:themeShade="A6"/>
              <w:bottom w:val="single" w:sz="4" w:space="0" w:color="A6A6A6" w:themeColor="background1" w:themeShade="A6"/>
            </w:tcBorders>
          </w:tcPr>
          <w:p w:rsidR="00A16A93" w:rsidRPr="00A16A93" w:rsidRDefault="00A16A93" w:rsidP="007C6368">
            <w:pPr>
              <w:pStyle w:val="TableText"/>
              <w:jc w:val="center"/>
            </w:pPr>
            <w:r w:rsidRPr="00A16A93">
              <w:t>First data available in early 2019</w:t>
            </w:r>
          </w:p>
        </w:tc>
      </w:tr>
      <w:tr w:rsidR="00A16A93" w:rsidRPr="00A16A93" w:rsidTr="007C6368">
        <w:trPr>
          <w:cantSplit/>
        </w:trPr>
        <w:tc>
          <w:tcPr>
            <w:tcW w:w="440" w:type="dxa"/>
            <w:tcBorders>
              <w:top w:val="single" w:sz="4" w:space="0" w:color="A6A6A6" w:themeColor="background1" w:themeShade="A6"/>
              <w:bottom w:val="single" w:sz="4" w:space="0" w:color="auto"/>
            </w:tcBorders>
          </w:tcPr>
          <w:p w:rsidR="00A16A93" w:rsidRPr="00A16A93" w:rsidRDefault="00A16A93" w:rsidP="007C6368">
            <w:pPr>
              <w:pStyle w:val="TableText"/>
            </w:pPr>
            <w:r w:rsidRPr="00A16A93">
              <w:t>3</w:t>
            </w:r>
          </w:p>
        </w:tc>
        <w:tc>
          <w:tcPr>
            <w:tcW w:w="1662" w:type="dxa"/>
            <w:tcBorders>
              <w:top w:val="single" w:sz="4" w:space="0" w:color="A6A6A6" w:themeColor="background1" w:themeShade="A6"/>
              <w:bottom w:val="single" w:sz="4" w:space="0" w:color="auto"/>
            </w:tcBorders>
          </w:tcPr>
          <w:p w:rsidR="00A16A93" w:rsidRPr="00A16A93" w:rsidRDefault="00A16A93" w:rsidP="007C6368">
            <w:pPr>
              <w:pStyle w:val="TableText"/>
            </w:pPr>
            <w:r w:rsidRPr="00A16A93">
              <w:t>Time spent on physical activity</w:t>
            </w:r>
          </w:p>
        </w:tc>
        <w:tc>
          <w:tcPr>
            <w:tcW w:w="2151" w:type="dxa"/>
            <w:gridSpan w:val="3"/>
            <w:tcBorders>
              <w:top w:val="single" w:sz="4" w:space="0" w:color="A6A6A6" w:themeColor="background1" w:themeShade="A6"/>
              <w:bottom w:val="single" w:sz="4" w:space="0" w:color="auto"/>
            </w:tcBorders>
          </w:tcPr>
          <w:p w:rsidR="00A16A93" w:rsidRPr="00A16A93" w:rsidRDefault="00A16A93" w:rsidP="007C6368">
            <w:pPr>
              <w:pStyle w:val="TableText"/>
            </w:pPr>
            <w:r w:rsidRPr="00A16A93">
              <w:t>Percentage of children (aged 5–17 years) who spent at least one hour per day being physically activity (for sport, physical education, exercise or fun) over the last week</w:t>
            </w:r>
          </w:p>
        </w:tc>
        <w:tc>
          <w:tcPr>
            <w:tcW w:w="1275" w:type="dxa"/>
            <w:gridSpan w:val="3"/>
            <w:tcBorders>
              <w:top w:val="single" w:sz="4" w:space="0" w:color="A6A6A6" w:themeColor="background1" w:themeShade="A6"/>
              <w:bottom w:val="single" w:sz="4" w:space="0" w:color="auto"/>
            </w:tcBorders>
          </w:tcPr>
          <w:p w:rsidR="00A16A93" w:rsidRPr="00A16A93" w:rsidRDefault="00A16A93" w:rsidP="007C6368">
            <w:pPr>
              <w:pStyle w:val="TableText"/>
              <w:jc w:val="center"/>
            </w:pPr>
            <w:r w:rsidRPr="00A16A93">
              <w:t>First data available in early 2018</w:t>
            </w:r>
          </w:p>
        </w:tc>
        <w:tc>
          <w:tcPr>
            <w:tcW w:w="1276" w:type="dxa"/>
            <w:gridSpan w:val="3"/>
            <w:tcBorders>
              <w:top w:val="single" w:sz="4" w:space="0" w:color="A6A6A6" w:themeColor="background1" w:themeShade="A6"/>
              <w:bottom w:val="single" w:sz="4" w:space="0" w:color="auto"/>
            </w:tcBorders>
          </w:tcPr>
          <w:p w:rsidR="00A16A93" w:rsidRPr="00A16A93" w:rsidRDefault="00A16A93" w:rsidP="007C6368">
            <w:pPr>
              <w:pStyle w:val="TableText"/>
              <w:jc w:val="center"/>
            </w:pPr>
            <w:r w:rsidRPr="00A16A93">
              <w:t>First data available in early 2018</w:t>
            </w:r>
          </w:p>
        </w:tc>
        <w:tc>
          <w:tcPr>
            <w:tcW w:w="1276" w:type="dxa"/>
            <w:gridSpan w:val="3"/>
            <w:tcBorders>
              <w:top w:val="single" w:sz="4" w:space="0" w:color="A6A6A6" w:themeColor="background1" w:themeShade="A6"/>
              <w:bottom w:val="single" w:sz="4" w:space="0" w:color="auto"/>
            </w:tcBorders>
          </w:tcPr>
          <w:p w:rsidR="00A16A93" w:rsidRPr="00A16A93" w:rsidRDefault="00A16A93" w:rsidP="007C6368">
            <w:pPr>
              <w:pStyle w:val="TableText"/>
              <w:jc w:val="center"/>
            </w:pPr>
            <w:r w:rsidRPr="00A16A93">
              <w:t>First data available in early 2018</w:t>
            </w:r>
          </w:p>
        </w:tc>
        <w:tc>
          <w:tcPr>
            <w:tcW w:w="1276" w:type="dxa"/>
            <w:tcBorders>
              <w:top w:val="single" w:sz="4" w:space="0" w:color="A6A6A6" w:themeColor="background1" w:themeShade="A6"/>
              <w:bottom w:val="single" w:sz="4" w:space="0" w:color="auto"/>
            </w:tcBorders>
          </w:tcPr>
          <w:p w:rsidR="00A16A93" w:rsidRPr="00A16A93" w:rsidRDefault="00A16A93" w:rsidP="007C6368">
            <w:pPr>
              <w:pStyle w:val="TableText"/>
              <w:jc w:val="center"/>
            </w:pPr>
            <w:r w:rsidRPr="00A16A93">
              <w:t>First data available in early 2018</w:t>
            </w:r>
          </w:p>
        </w:tc>
      </w:tr>
      <w:tr w:rsidR="00A16A93" w:rsidRPr="00A16A93" w:rsidTr="007C6368">
        <w:trPr>
          <w:cantSplit/>
        </w:trPr>
        <w:tc>
          <w:tcPr>
            <w:tcW w:w="9356" w:type="dxa"/>
            <w:gridSpan w:val="15"/>
            <w:tcBorders>
              <w:top w:val="single" w:sz="4" w:space="0" w:color="auto"/>
              <w:bottom w:val="single" w:sz="4" w:space="0" w:color="A6A6A6" w:themeColor="background1" w:themeShade="A6"/>
            </w:tcBorders>
          </w:tcPr>
          <w:p w:rsidR="00A16A93" w:rsidRPr="007C6368" w:rsidRDefault="00A16A93" w:rsidP="007C6368">
            <w:pPr>
              <w:pStyle w:val="TableText"/>
              <w:rPr>
                <w:b/>
              </w:rPr>
            </w:pPr>
            <w:r w:rsidRPr="007C6368">
              <w:rPr>
                <w:b/>
              </w:rPr>
              <w:t>More children eat well</w:t>
            </w:r>
          </w:p>
        </w:tc>
      </w:tr>
      <w:tr w:rsidR="00A16A93" w:rsidRPr="00A16A93" w:rsidTr="00EA6F74">
        <w:trPr>
          <w:cantSplit/>
        </w:trPr>
        <w:tc>
          <w:tcPr>
            <w:tcW w:w="440" w:type="dxa"/>
            <w:tcBorders>
              <w:top w:val="single" w:sz="4" w:space="0" w:color="A6A6A6" w:themeColor="background1" w:themeShade="A6"/>
              <w:bottom w:val="nil"/>
            </w:tcBorders>
          </w:tcPr>
          <w:p w:rsidR="00A16A93" w:rsidRPr="00A16A93" w:rsidRDefault="00A16A93" w:rsidP="007C6368">
            <w:pPr>
              <w:pStyle w:val="TableText"/>
            </w:pPr>
            <w:r w:rsidRPr="00A16A93">
              <w:t>4</w:t>
            </w:r>
          </w:p>
        </w:tc>
        <w:tc>
          <w:tcPr>
            <w:tcW w:w="1662" w:type="dxa"/>
            <w:tcBorders>
              <w:top w:val="single" w:sz="4" w:space="0" w:color="A6A6A6" w:themeColor="background1" w:themeShade="A6"/>
              <w:bottom w:val="nil"/>
            </w:tcBorders>
          </w:tcPr>
          <w:p w:rsidR="00A16A93" w:rsidRPr="00A16A93" w:rsidRDefault="00A16A93" w:rsidP="007C6368">
            <w:pPr>
              <w:pStyle w:val="TableText"/>
            </w:pPr>
            <w:r w:rsidRPr="00A16A93">
              <w:t>Breastfeeding rates</w:t>
            </w:r>
          </w:p>
        </w:tc>
        <w:tc>
          <w:tcPr>
            <w:tcW w:w="2047" w:type="dxa"/>
            <w:gridSpan w:val="2"/>
            <w:tcBorders>
              <w:top w:val="single" w:sz="4" w:space="0" w:color="A6A6A6" w:themeColor="background1" w:themeShade="A6"/>
              <w:bottom w:val="nil"/>
            </w:tcBorders>
          </w:tcPr>
          <w:p w:rsidR="00A16A93" w:rsidRPr="00A16A93" w:rsidRDefault="00A16A93" w:rsidP="007C6368">
            <w:pPr>
              <w:pStyle w:val="TableText"/>
            </w:pPr>
            <w:r w:rsidRPr="00A16A93">
              <w:t>Percentage of infants who are exc</w:t>
            </w:r>
            <w:r w:rsidR="007C6368">
              <w:t>lusively or fully breastfed at:</w:t>
            </w:r>
          </w:p>
        </w:tc>
        <w:tc>
          <w:tcPr>
            <w:tcW w:w="1301" w:type="dxa"/>
            <w:gridSpan w:val="3"/>
            <w:tcBorders>
              <w:top w:val="single" w:sz="4" w:space="0" w:color="A6A6A6" w:themeColor="background1" w:themeShade="A6"/>
              <w:bottom w:val="nil"/>
            </w:tcBorders>
          </w:tcPr>
          <w:p w:rsidR="00A16A93" w:rsidRPr="00A16A93" w:rsidRDefault="00A16A93" w:rsidP="007C6368">
            <w:pPr>
              <w:pStyle w:val="TableText"/>
              <w:jc w:val="center"/>
            </w:pPr>
          </w:p>
        </w:tc>
        <w:tc>
          <w:tcPr>
            <w:tcW w:w="1302" w:type="dxa"/>
            <w:gridSpan w:val="3"/>
            <w:tcBorders>
              <w:top w:val="single" w:sz="4" w:space="0" w:color="A6A6A6" w:themeColor="background1" w:themeShade="A6"/>
              <w:bottom w:val="nil"/>
            </w:tcBorders>
          </w:tcPr>
          <w:p w:rsidR="00A16A93" w:rsidRPr="00A16A93" w:rsidRDefault="00A16A93" w:rsidP="007C6368">
            <w:pPr>
              <w:pStyle w:val="TableText"/>
              <w:jc w:val="center"/>
            </w:pPr>
          </w:p>
        </w:tc>
        <w:tc>
          <w:tcPr>
            <w:tcW w:w="1302" w:type="dxa"/>
            <w:gridSpan w:val="3"/>
            <w:tcBorders>
              <w:top w:val="single" w:sz="4" w:space="0" w:color="A6A6A6" w:themeColor="background1" w:themeShade="A6"/>
              <w:bottom w:val="nil"/>
            </w:tcBorders>
          </w:tcPr>
          <w:p w:rsidR="00A16A93" w:rsidRPr="00A16A93" w:rsidRDefault="00A16A93" w:rsidP="007C6368">
            <w:pPr>
              <w:pStyle w:val="TableText"/>
              <w:jc w:val="center"/>
            </w:pPr>
          </w:p>
        </w:tc>
        <w:tc>
          <w:tcPr>
            <w:tcW w:w="1302" w:type="dxa"/>
            <w:gridSpan w:val="2"/>
            <w:tcBorders>
              <w:top w:val="single" w:sz="4" w:space="0" w:color="A6A6A6" w:themeColor="background1" w:themeShade="A6"/>
              <w:bottom w:val="nil"/>
            </w:tcBorders>
          </w:tcPr>
          <w:p w:rsidR="00A16A93" w:rsidRPr="00A16A93" w:rsidRDefault="00A16A93" w:rsidP="007C6368">
            <w:pPr>
              <w:pStyle w:val="TableText"/>
              <w:jc w:val="center"/>
            </w:pPr>
          </w:p>
        </w:tc>
      </w:tr>
      <w:tr w:rsidR="007C6368" w:rsidRPr="00A16A93" w:rsidTr="00EA6F74">
        <w:trPr>
          <w:cantSplit/>
        </w:trPr>
        <w:tc>
          <w:tcPr>
            <w:tcW w:w="440" w:type="dxa"/>
            <w:tcBorders>
              <w:top w:val="nil"/>
              <w:bottom w:val="nil"/>
            </w:tcBorders>
          </w:tcPr>
          <w:p w:rsidR="007C6368" w:rsidRPr="00A16A93" w:rsidRDefault="007C6368" w:rsidP="0051696B">
            <w:pPr>
              <w:pStyle w:val="TableText"/>
              <w:spacing w:before="0"/>
            </w:pPr>
          </w:p>
        </w:tc>
        <w:tc>
          <w:tcPr>
            <w:tcW w:w="1662" w:type="dxa"/>
            <w:tcBorders>
              <w:top w:val="nil"/>
              <w:bottom w:val="nil"/>
            </w:tcBorders>
          </w:tcPr>
          <w:p w:rsidR="007C6368" w:rsidRPr="00A16A93" w:rsidRDefault="007C6368" w:rsidP="0051696B">
            <w:pPr>
              <w:pStyle w:val="TableText"/>
              <w:spacing w:before="0"/>
            </w:pPr>
          </w:p>
        </w:tc>
        <w:tc>
          <w:tcPr>
            <w:tcW w:w="2047" w:type="dxa"/>
            <w:gridSpan w:val="2"/>
            <w:tcBorders>
              <w:top w:val="nil"/>
              <w:bottom w:val="nil"/>
            </w:tcBorders>
          </w:tcPr>
          <w:p w:rsidR="007C6368" w:rsidRPr="00A16A93" w:rsidRDefault="007C6368" w:rsidP="007C6368">
            <w:pPr>
              <w:pStyle w:val="TableBullet"/>
            </w:pPr>
            <w:r w:rsidRPr="00A16A93">
              <w:t>two weeks</w:t>
            </w:r>
          </w:p>
        </w:tc>
        <w:tc>
          <w:tcPr>
            <w:tcW w:w="1301" w:type="dxa"/>
            <w:gridSpan w:val="3"/>
            <w:tcBorders>
              <w:top w:val="nil"/>
              <w:bottom w:val="nil"/>
            </w:tcBorders>
          </w:tcPr>
          <w:p w:rsidR="007C6368" w:rsidRPr="00A16A93" w:rsidRDefault="007C6368" w:rsidP="0051696B">
            <w:pPr>
              <w:pStyle w:val="TableText"/>
              <w:spacing w:before="0"/>
              <w:jc w:val="center"/>
            </w:pPr>
            <w:r w:rsidRPr="00A16A93">
              <w:t>78%</w:t>
            </w:r>
          </w:p>
        </w:tc>
        <w:tc>
          <w:tcPr>
            <w:tcW w:w="1302" w:type="dxa"/>
            <w:gridSpan w:val="3"/>
            <w:tcBorders>
              <w:top w:val="nil"/>
              <w:bottom w:val="nil"/>
            </w:tcBorders>
          </w:tcPr>
          <w:p w:rsidR="007C6368" w:rsidRPr="00A16A93" w:rsidRDefault="007C6368" w:rsidP="0051696B">
            <w:pPr>
              <w:pStyle w:val="TableText"/>
              <w:spacing w:before="0"/>
              <w:jc w:val="center"/>
            </w:pPr>
            <w:r w:rsidRPr="00A16A93">
              <w:t>76%</w:t>
            </w:r>
          </w:p>
        </w:tc>
        <w:tc>
          <w:tcPr>
            <w:tcW w:w="1302" w:type="dxa"/>
            <w:gridSpan w:val="3"/>
            <w:tcBorders>
              <w:top w:val="nil"/>
              <w:bottom w:val="nil"/>
            </w:tcBorders>
          </w:tcPr>
          <w:p w:rsidR="007C6368" w:rsidRPr="00A16A93" w:rsidRDefault="007C6368" w:rsidP="0051696B">
            <w:pPr>
              <w:pStyle w:val="TableText"/>
              <w:spacing w:before="0"/>
              <w:jc w:val="center"/>
            </w:pPr>
            <w:r w:rsidRPr="00A16A93">
              <w:t>74%</w:t>
            </w:r>
          </w:p>
        </w:tc>
        <w:tc>
          <w:tcPr>
            <w:tcW w:w="1302" w:type="dxa"/>
            <w:gridSpan w:val="2"/>
            <w:tcBorders>
              <w:top w:val="nil"/>
              <w:bottom w:val="nil"/>
            </w:tcBorders>
          </w:tcPr>
          <w:p w:rsidR="007C6368" w:rsidRPr="00A16A93" w:rsidRDefault="007C6368" w:rsidP="0051696B">
            <w:pPr>
              <w:pStyle w:val="TableText"/>
              <w:spacing w:before="0"/>
              <w:jc w:val="center"/>
            </w:pPr>
            <w:r w:rsidRPr="00A16A93">
              <w:t>75%</w:t>
            </w:r>
          </w:p>
        </w:tc>
      </w:tr>
      <w:tr w:rsidR="007C6368" w:rsidRPr="00A16A93" w:rsidTr="00EA6F74">
        <w:trPr>
          <w:cantSplit/>
        </w:trPr>
        <w:tc>
          <w:tcPr>
            <w:tcW w:w="440" w:type="dxa"/>
            <w:tcBorders>
              <w:top w:val="nil"/>
              <w:bottom w:val="nil"/>
            </w:tcBorders>
          </w:tcPr>
          <w:p w:rsidR="007C6368" w:rsidRPr="00A16A93" w:rsidRDefault="007C6368" w:rsidP="0051696B">
            <w:pPr>
              <w:pStyle w:val="TableText"/>
              <w:spacing w:before="0"/>
            </w:pPr>
          </w:p>
        </w:tc>
        <w:tc>
          <w:tcPr>
            <w:tcW w:w="1662" w:type="dxa"/>
            <w:tcBorders>
              <w:top w:val="nil"/>
              <w:bottom w:val="nil"/>
            </w:tcBorders>
          </w:tcPr>
          <w:p w:rsidR="007C6368" w:rsidRPr="00A16A93" w:rsidRDefault="007C6368" w:rsidP="0051696B">
            <w:pPr>
              <w:pStyle w:val="TableText"/>
              <w:spacing w:before="0"/>
            </w:pPr>
          </w:p>
        </w:tc>
        <w:tc>
          <w:tcPr>
            <w:tcW w:w="2047" w:type="dxa"/>
            <w:gridSpan w:val="2"/>
            <w:tcBorders>
              <w:top w:val="nil"/>
              <w:bottom w:val="nil"/>
            </w:tcBorders>
          </w:tcPr>
          <w:p w:rsidR="007C6368" w:rsidRPr="00A16A93" w:rsidRDefault="007C6368" w:rsidP="007C6368">
            <w:pPr>
              <w:pStyle w:val="TableBullet"/>
            </w:pPr>
            <w:r w:rsidRPr="00A16A93">
              <w:t>six weeks</w:t>
            </w:r>
          </w:p>
        </w:tc>
        <w:tc>
          <w:tcPr>
            <w:tcW w:w="1301" w:type="dxa"/>
            <w:gridSpan w:val="3"/>
            <w:tcBorders>
              <w:top w:val="nil"/>
              <w:bottom w:val="nil"/>
            </w:tcBorders>
          </w:tcPr>
          <w:p w:rsidR="007C6368" w:rsidRPr="00A16A93" w:rsidRDefault="007C6368" w:rsidP="0051696B">
            <w:pPr>
              <w:pStyle w:val="TableText"/>
              <w:spacing w:before="0"/>
              <w:jc w:val="center"/>
            </w:pPr>
            <w:r w:rsidRPr="00A16A93">
              <w:t>74%</w:t>
            </w:r>
          </w:p>
        </w:tc>
        <w:tc>
          <w:tcPr>
            <w:tcW w:w="1302" w:type="dxa"/>
            <w:gridSpan w:val="3"/>
            <w:tcBorders>
              <w:top w:val="nil"/>
              <w:bottom w:val="nil"/>
            </w:tcBorders>
          </w:tcPr>
          <w:p w:rsidR="007C6368" w:rsidRPr="00A16A93" w:rsidRDefault="007C6368" w:rsidP="0051696B">
            <w:pPr>
              <w:pStyle w:val="TableText"/>
              <w:spacing w:before="0"/>
              <w:jc w:val="center"/>
            </w:pPr>
            <w:r w:rsidRPr="00A16A93">
              <w:t>68%</w:t>
            </w:r>
          </w:p>
        </w:tc>
        <w:tc>
          <w:tcPr>
            <w:tcW w:w="1302" w:type="dxa"/>
            <w:gridSpan w:val="3"/>
            <w:tcBorders>
              <w:top w:val="nil"/>
              <w:bottom w:val="nil"/>
            </w:tcBorders>
          </w:tcPr>
          <w:p w:rsidR="007C6368" w:rsidRPr="00A16A93" w:rsidRDefault="007C6368" w:rsidP="0051696B">
            <w:pPr>
              <w:pStyle w:val="TableText"/>
              <w:spacing w:before="0"/>
              <w:jc w:val="center"/>
            </w:pPr>
            <w:r w:rsidRPr="00A16A93">
              <w:t>70%</w:t>
            </w:r>
          </w:p>
        </w:tc>
        <w:tc>
          <w:tcPr>
            <w:tcW w:w="1302" w:type="dxa"/>
            <w:gridSpan w:val="2"/>
            <w:tcBorders>
              <w:top w:val="nil"/>
              <w:bottom w:val="nil"/>
            </w:tcBorders>
          </w:tcPr>
          <w:p w:rsidR="007C6368" w:rsidRPr="00A16A93" w:rsidRDefault="007C6368" w:rsidP="0051696B">
            <w:pPr>
              <w:pStyle w:val="TableText"/>
              <w:spacing w:before="0"/>
              <w:jc w:val="center"/>
            </w:pPr>
            <w:r w:rsidRPr="00A16A93">
              <w:t>69%</w:t>
            </w:r>
          </w:p>
        </w:tc>
      </w:tr>
      <w:tr w:rsidR="007C6368" w:rsidRPr="00A16A93" w:rsidTr="00EA6F74">
        <w:trPr>
          <w:cantSplit/>
        </w:trPr>
        <w:tc>
          <w:tcPr>
            <w:tcW w:w="440" w:type="dxa"/>
            <w:tcBorders>
              <w:top w:val="nil"/>
              <w:bottom w:val="nil"/>
            </w:tcBorders>
          </w:tcPr>
          <w:p w:rsidR="007C6368" w:rsidRPr="00A16A93" w:rsidRDefault="007C6368" w:rsidP="0051696B">
            <w:pPr>
              <w:pStyle w:val="TableText"/>
              <w:spacing w:before="0"/>
            </w:pPr>
          </w:p>
        </w:tc>
        <w:tc>
          <w:tcPr>
            <w:tcW w:w="1662" w:type="dxa"/>
            <w:tcBorders>
              <w:top w:val="nil"/>
              <w:bottom w:val="nil"/>
            </w:tcBorders>
          </w:tcPr>
          <w:p w:rsidR="007C6368" w:rsidRPr="00A16A93" w:rsidRDefault="007C6368" w:rsidP="0051696B">
            <w:pPr>
              <w:pStyle w:val="TableText"/>
              <w:spacing w:before="0"/>
            </w:pPr>
          </w:p>
        </w:tc>
        <w:tc>
          <w:tcPr>
            <w:tcW w:w="2047" w:type="dxa"/>
            <w:gridSpan w:val="2"/>
            <w:tcBorders>
              <w:top w:val="nil"/>
              <w:bottom w:val="nil"/>
            </w:tcBorders>
          </w:tcPr>
          <w:p w:rsidR="007C6368" w:rsidRPr="00A16A93" w:rsidRDefault="007C6368" w:rsidP="007C6368">
            <w:pPr>
              <w:pStyle w:val="TableBullet"/>
            </w:pPr>
            <w:r w:rsidRPr="00A16A93">
              <w:t>three months</w:t>
            </w:r>
          </w:p>
          <w:p w:rsidR="007C6368" w:rsidRPr="00A16A93" w:rsidRDefault="007C6368" w:rsidP="0051696B">
            <w:pPr>
              <w:pStyle w:val="TableText"/>
              <w:spacing w:before="0"/>
            </w:pPr>
            <w:r w:rsidRPr="00A16A93">
              <w:t>(March 2016)</w:t>
            </w:r>
          </w:p>
        </w:tc>
        <w:tc>
          <w:tcPr>
            <w:tcW w:w="1301" w:type="dxa"/>
            <w:gridSpan w:val="3"/>
            <w:tcBorders>
              <w:top w:val="nil"/>
              <w:bottom w:val="nil"/>
            </w:tcBorders>
          </w:tcPr>
          <w:p w:rsidR="007C6368" w:rsidRPr="00A16A93" w:rsidRDefault="007C6368" w:rsidP="0051696B">
            <w:pPr>
              <w:pStyle w:val="TableText"/>
              <w:spacing w:before="0"/>
              <w:jc w:val="center"/>
            </w:pPr>
            <w:r w:rsidRPr="00A16A93">
              <w:t>55%</w:t>
            </w:r>
          </w:p>
        </w:tc>
        <w:tc>
          <w:tcPr>
            <w:tcW w:w="1302" w:type="dxa"/>
            <w:gridSpan w:val="3"/>
            <w:tcBorders>
              <w:top w:val="nil"/>
              <w:bottom w:val="nil"/>
            </w:tcBorders>
          </w:tcPr>
          <w:p w:rsidR="007C6368" w:rsidRPr="00A16A93" w:rsidRDefault="007C6368" w:rsidP="0051696B">
            <w:pPr>
              <w:pStyle w:val="TableText"/>
              <w:spacing w:before="0"/>
              <w:jc w:val="center"/>
            </w:pPr>
            <w:r w:rsidRPr="00A16A93">
              <w:t>43%</w:t>
            </w:r>
          </w:p>
        </w:tc>
        <w:tc>
          <w:tcPr>
            <w:tcW w:w="1302" w:type="dxa"/>
            <w:gridSpan w:val="3"/>
            <w:tcBorders>
              <w:top w:val="nil"/>
              <w:bottom w:val="nil"/>
            </w:tcBorders>
          </w:tcPr>
          <w:p w:rsidR="007C6368" w:rsidRPr="00A16A93" w:rsidRDefault="007C6368" w:rsidP="0051696B">
            <w:pPr>
              <w:pStyle w:val="TableText"/>
              <w:spacing w:before="0"/>
              <w:jc w:val="center"/>
            </w:pPr>
            <w:r w:rsidRPr="00A16A93">
              <w:t>46%</w:t>
            </w:r>
          </w:p>
        </w:tc>
        <w:tc>
          <w:tcPr>
            <w:tcW w:w="1302" w:type="dxa"/>
            <w:gridSpan w:val="2"/>
            <w:tcBorders>
              <w:top w:val="nil"/>
              <w:bottom w:val="nil"/>
            </w:tcBorders>
          </w:tcPr>
          <w:p w:rsidR="007C6368" w:rsidRPr="00A16A93" w:rsidRDefault="007C6368" w:rsidP="0051696B">
            <w:pPr>
              <w:pStyle w:val="TableText"/>
              <w:spacing w:before="0"/>
              <w:jc w:val="center"/>
            </w:pPr>
            <w:r w:rsidRPr="00A16A93">
              <w:t>46%</w:t>
            </w:r>
          </w:p>
        </w:tc>
      </w:tr>
      <w:tr w:rsidR="007C6368" w:rsidRPr="00A16A93" w:rsidTr="00EA6F74">
        <w:trPr>
          <w:cantSplit/>
        </w:trPr>
        <w:tc>
          <w:tcPr>
            <w:tcW w:w="440" w:type="dxa"/>
            <w:tcBorders>
              <w:top w:val="nil"/>
              <w:bottom w:val="single" w:sz="4" w:space="0" w:color="A6A6A6" w:themeColor="background1" w:themeShade="A6"/>
            </w:tcBorders>
          </w:tcPr>
          <w:p w:rsidR="007C6368" w:rsidRPr="00A16A93" w:rsidRDefault="007C6368" w:rsidP="0051696B">
            <w:pPr>
              <w:pStyle w:val="TableText"/>
              <w:spacing w:before="0"/>
            </w:pPr>
          </w:p>
        </w:tc>
        <w:tc>
          <w:tcPr>
            <w:tcW w:w="1662" w:type="dxa"/>
            <w:tcBorders>
              <w:top w:val="nil"/>
              <w:bottom w:val="single" w:sz="4" w:space="0" w:color="A6A6A6" w:themeColor="background1" w:themeShade="A6"/>
            </w:tcBorders>
          </w:tcPr>
          <w:p w:rsidR="007C6368" w:rsidRPr="00A16A93" w:rsidRDefault="007C6368" w:rsidP="0051696B">
            <w:pPr>
              <w:pStyle w:val="TableText"/>
              <w:spacing w:before="0"/>
            </w:pPr>
          </w:p>
        </w:tc>
        <w:tc>
          <w:tcPr>
            <w:tcW w:w="2047" w:type="dxa"/>
            <w:gridSpan w:val="2"/>
            <w:tcBorders>
              <w:top w:val="nil"/>
              <w:bottom w:val="single" w:sz="4" w:space="0" w:color="A6A6A6" w:themeColor="background1" w:themeShade="A6"/>
            </w:tcBorders>
          </w:tcPr>
          <w:p w:rsidR="007C6368" w:rsidRPr="00A16A93" w:rsidRDefault="007C6368" w:rsidP="0051696B">
            <w:pPr>
              <w:pStyle w:val="TableText"/>
              <w:spacing w:before="0"/>
            </w:pPr>
            <w:r w:rsidRPr="00A16A93">
              <w:t>Percentage of infants who are still receiving breast milk at six months (March 2016)</w:t>
            </w:r>
          </w:p>
        </w:tc>
        <w:tc>
          <w:tcPr>
            <w:tcW w:w="1301" w:type="dxa"/>
            <w:gridSpan w:val="3"/>
            <w:tcBorders>
              <w:top w:val="nil"/>
              <w:bottom w:val="single" w:sz="4" w:space="0" w:color="A6A6A6" w:themeColor="background1" w:themeShade="A6"/>
            </w:tcBorders>
          </w:tcPr>
          <w:p w:rsidR="007C6368" w:rsidRPr="00A16A93" w:rsidRDefault="007C6368" w:rsidP="0051696B">
            <w:pPr>
              <w:pStyle w:val="TableText"/>
              <w:spacing w:before="0"/>
              <w:jc w:val="center"/>
            </w:pPr>
            <w:r>
              <w:t>66%</w:t>
            </w:r>
          </w:p>
        </w:tc>
        <w:tc>
          <w:tcPr>
            <w:tcW w:w="1302" w:type="dxa"/>
            <w:gridSpan w:val="3"/>
            <w:tcBorders>
              <w:top w:val="nil"/>
              <w:bottom w:val="single" w:sz="4" w:space="0" w:color="A6A6A6" w:themeColor="background1" w:themeShade="A6"/>
            </w:tcBorders>
          </w:tcPr>
          <w:p w:rsidR="007C6368" w:rsidRPr="00A16A93" w:rsidRDefault="007C6368" w:rsidP="0051696B">
            <w:pPr>
              <w:pStyle w:val="TableText"/>
              <w:spacing w:before="0"/>
              <w:jc w:val="center"/>
            </w:pPr>
            <w:r>
              <w:t>53%</w:t>
            </w:r>
          </w:p>
        </w:tc>
        <w:tc>
          <w:tcPr>
            <w:tcW w:w="1302" w:type="dxa"/>
            <w:gridSpan w:val="3"/>
            <w:tcBorders>
              <w:top w:val="nil"/>
              <w:bottom w:val="single" w:sz="4" w:space="0" w:color="A6A6A6" w:themeColor="background1" w:themeShade="A6"/>
            </w:tcBorders>
          </w:tcPr>
          <w:p w:rsidR="007C6368" w:rsidRPr="00A16A93" w:rsidRDefault="007C6368" w:rsidP="0051696B">
            <w:pPr>
              <w:pStyle w:val="TableText"/>
              <w:spacing w:before="0"/>
              <w:jc w:val="center"/>
            </w:pPr>
            <w:r>
              <w:t>62%</w:t>
            </w:r>
          </w:p>
        </w:tc>
        <w:tc>
          <w:tcPr>
            <w:tcW w:w="1302" w:type="dxa"/>
            <w:gridSpan w:val="2"/>
            <w:tcBorders>
              <w:top w:val="nil"/>
              <w:bottom w:val="single" w:sz="4" w:space="0" w:color="A6A6A6" w:themeColor="background1" w:themeShade="A6"/>
            </w:tcBorders>
          </w:tcPr>
          <w:p w:rsidR="007C6368" w:rsidRPr="00A16A93" w:rsidRDefault="007C6368" w:rsidP="0051696B">
            <w:pPr>
              <w:pStyle w:val="TableText"/>
              <w:spacing w:before="0"/>
              <w:jc w:val="center"/>
            </w:pPr>
            <w:r>
              <w:t>57%</w:t>
            </w:r>
          </w:p>
        </w:tc>
      </w:tr>
      <w:tr w:rsidR="007C6368" w:rsidRPr="00A16A93" w:rsidTr="00EA6F74">
        <w:trPr>
          <w:cantSplit/>
        </w:trPr>
        <w:tc>
          <w:tcPr>
            <w:tcW w:w="440" w:type="dxa"/>
            <w:tcBorders>
              <w:top w:val="single" w:sz="4" w:space="0" w:color="A6A6A6" w:themeColor="background1" w:themeShade="A6"/>
              <w:bottom w:val="single" w:sz="4" w:space="0" w:color="A6A6A6" w:themeColor="background1" w:themeShade="A6"/>
            </w:tcBorders>
          </w:tcPr>
          <w:p w:rsidR="007C6368" w:rsidRPr="00A16A93" w:rsidRDefault="007C6368" w:rsidP="007C6368">
            <w:pPr>
              <w:pStyle w:val="TableText"/>
            </w:pPr>
            <w:r w:rsidRPr="00A16A93">
              <w:t>5</w:t>
            </w:r>
          </w:p>
        </w:tc>
        <w:tc>
          <w:tcPr>
            <w:tcW w:w="1662" w:type="dxa"/>
            <w:tcBorders>
              <w:top w:val="single" w:sz="4" w:space="0" w:color="A6A6A6" w:themeColor="background1" w:themeShade="A6"/>
              <w:bottom w:val="single" w:sz="4" w:space="0" w:color="A6A6A6" w:themeColor="background1" w:themeShade="A6"/>
            </w:tcBorders>
          </w:tcPr>
          <w:p w:rsidR="007C6368" w:rsidRPr="00A16A93" w:rsidRDefault="007C6368" w:rsidP="007C6368">
            <w:pPr>
              <w:pStyle w:val="TableText"/>
            </w:pPr>
            <w:r w:rsidRPr="00A16A93">
              <w:t>Consumption of fast foods</w:t>
            </w:r>
          </w:p>
        </w:tc>
        <w:tc>
          <w:tcPr>
            <w:tcW w:w="2047" w:type="dxa"/>
            <w:gridSpan w:val="2"/>
            <w:tcBorders>
              <w:top w:val="single" w:sz="4" w:space="0" w:color="A6A6A6" w:themeColor="background1" w:themeShade="A6"/>
              <w:bottom w:val="single" w:sz="4" w:space="0" w:color="A6A6A6" w:themeColor="background1" w:themeShade="A6"/>
            </w:tcBorders>
          </w:tcPr>
          <w:p w:rsidR="007C6368" w:rsidRPr="00A16A93" w:rsidRDefault="007C6368" w:rsidP="007C6368">
            <w:pPr>
              <w:pStyle w:val="TableText"/>
            </w:pPr>
            <w:r w:rsidRPr="00A16A93">
              <w:t>Percentage of children (aged 2–14 years) who ate fast food at least once in the past week (2015/16)</w:t>
            </w:r>
          </w:p>
        </w:tc>
        <w:tc>
          <w:tcPr>
            <w:tcW w:w="1301" w:type="dxa"/>
            <w:gridSpan w:val="3"/>
            <w:tcBorders>
              <w:top w:val="single" w:sz="4" w:space="0" w:color="A6A6A6" w:themeColor="background1" w:themeShade="A6"/>
              <w:bottom w:val="single" w:sz="4" w:space="0" w:color="A6A6A6" w:themeColor="background1" w:themeShade="A6"/>
            </w:tcBorders>
          </w:tcPr>
          <w:p w:rsidR="007C6368" w:rsidRPr="00A16A93" w:rsidRDefault="007C6368" w:rsidP="007C6368">
            <w:pPr>
              <w:pStyle w:val="TableText"/>
              <w:jc w:val="center"/>
            </w:pPr>
            <w:r w:rsidRPr="00A16A93">
              <w:t>69.4%</w:t>
            </w:r>
          </w:p>
        </w:tc>
        <w:tc>
          <w:tcPr>
            <w:tcW w:w="1302" w:type="dxa"/>
            <w:gridSpan w:val="3"/>
            <w:tcBorders>
              <w:top w:val="single" w:sz="4" w:space="0" w:color="A6A6A6" w:themeColor="background1" w:themeShade="A6"/>
              <w:bottom w:val="single" w:sz="4" w:space="0" w:color="A6A6A6" w:themeColor="background1" w:themeShade="A6"/>
            </w:tcBorders>
          </w:tcPr>
          <w:p w:rsidR="007C6368" w:rsidRPr="00A16A93" w:rsidRDefault="007C6368" w:rsidP="007C6368">
            <w:pPr>
              <w:pStyle w:val="TableText"/>
              <w:jc w:val="center"/>
            </w:pPr>
            <w:r w:rsidRPr="00A16A93">
              <w:t>78.6%</w:t>
            </w:r>
          </w:p>
        </w:tc>
        <w:tc>
          <w:tcPr>
            <w:tcW w:w="1302" w:type="dxa"/>
            <w:gridSpan w:val="3"/>
            <w:tcBorders>
              <w:top w:val="single" w:sz="4" w:space="0" w:color="A6A6A6" w:themeColor="background1" w:themeShade="A6"/>
              <w:bottom w:val="single" w:sz="4" w:space="0" w:color="A6A6A6" w:themeColor="background1" w:themeShade="A6"/>
            </w:tcBorders>
          </w:tcPr>
          <w:p w:rsidR="007C6368" w:rsidRPr="00A16A93" w:rsidRDefault="007C6368" w:rsidP="007C6368">
            <w:pPr>
              <w:pStyle w:val="TableText"/>
              <w:jc w:val="center"/>
            </w:pPr>
            <w:r w:rsidRPr="00A16A93">
              <w:t>81.7%</w:t>
            </w:r>
          </w:p>
        </w:tc>
        <w:tc>
          <w:tcPr>
            <w:tcW w:w="1302" w:type="dxa"/>
            <w:gridSpan w:val="2"/>
            <w:tcBorders>
              <w:top w:val="single" w:sz="4" w:space="0" w:color="A6A6A6" w:themeColor="background1" w:themeShade="A6"/>
              <w:bottom w:val="single" w:sz="4" w:space="0" w:color="A6A6A6" w:themeColor="background1" w:themeShade="A6"/>
            </w:tcBorders>
          </w:tcPr>
          <w:p w:rsidR="007C6368" w:rsidRPr="00A16A93" w:rsidRDefault="007C6368" w:rsidP="007C6368">
            <w:pPr>
              <w:pStyle w:val="TableText"/>
              <w:jc w:val="center"/>
            </w:pPr>
            <w:r w:rsidRPr="00A16A93">
              <w:t>73.4%</w:t>
            </w:r>
          </w:p>
        </w:tc>
      </w:tr>
      <w:tr w:rsidR="007C6368" w:rsidRPr="00A16A93" w:rsidTr="00EA6F74">
        <w:trPr>
          <w:cantSplit/>
        </w:trPr>
        <w:tc>
          <w:tcPr>
            <w:tcW w:w="440" w:type="dxa"/>
            <w:tcBorders>
              <w:top w:val="single" w:sz="4" w:space="0" w:color="A6A6A6" w:themeColor="background1" w:themeShade="A6"/>
              <w:bottom w:val="single" w:sz="4" w:space="0" w:color="A6A6A6" w:themeColor="background1" w:themeShade="A6"/>
            </w:tcBorders>
          </w:tcPr>
          <w:p w:rsidR="007C6368" w:rsidRPr="00A16A93" w:rsidRDefault="007C6368" w:rsidP="007C6368">
            <w:pPr>
              <w:pStyle w:val="TableText"/>
            </w:pPr>
            <w:r w:rsidRPr="00A16A93">
              <w:lastRenderedPageBreak/>
              <w:t>6</w:t>
            </w:r>
          </w:p>
        </w:tc>
        <w:tc>
          <w:tcPr>
            <w:tcW w:w="1662" w:type="dxa"/>
            <w:tcBorders>
              <w:top w:val="single" w:sz="4" w:space="0" w:color="A6A6A6" w:themeColor="background1" w:themeShade="A6"/>
              <w:bottom w:val="single" w:sz="4" w:space="0" w:color="A6A6A6" w:themeColor="background1" w:themeShade="A6"/>
            </w:tcBorders>
          </w:tcPr>
          <w:p w:rsidR="007C6368" w:rsidRPr="00A16A93" w:rsidRDefault="007C6368" w:rsidP="007C6368">
            <w:pPr>
              <w:pStyle w:val="TableText"/>
            </w:pPr>
            <w:r w:rsidRPr="00A16A93">
              <w:t>Consumption of sugary drinks</w:t>
            </w:r>
          </w:p>
        </w:tc>
        <w:tc>
          <w:tcPr>
            <w:tcW w:w="2047" w:type="dxa"/>
            <w:gridSpan w:val="2"/>
            <w:tcBorders>
              <w:top w:val="single" w:sz="4" w:space="0" w:color="A6A6A6" w:themeColor="background1" w:themeShade="A6"/>
              <w:bottom w:val="single" w:sz="4" w:space="0" w:color="A6A6A6" w:themeColor="background1" w:themeShade="A6"/>
            </w:tcBorders>
          </w:tcPr>
          <w:p w:rsidR="007C6368" w:rsidRPr="00A16A93" w:rsidRDefault="007C6368" w:rsidP="007C6368">
            <w:pPr>
              <w:pStyle w:val="TableText"/>
            </w:pPr>
            <w:r w:rsidRPr="00A16A93">
              <w:t>Percentage of children (aged 2–14 years) who had fizzy drink three or more times in the past week</w:t>
            </w:r>
          </w:p>
        </w:tc>
        <w:tc>
          <w:tcPr>
            <w:tcW w:w="1301" w:type="dxa"/>
            <w:gridSpan w:val="3"/>
            <w:tcBorders>
              <w:top w:val="single" w:sz="4" w:space="0" w:color="A6A6A6" w:themeColor="background1" w:themeShade="A6"/>
              <w:bottom w:val="single" w:sz="4" w:space="0" w:color="A6A6A6" w:themeColor="background1" w:themeShade="A6"/>
            </w:tcBorders>
          </w:tcPr>
          <w:p w:rsidR="007C6368" w:rsidRPr="00A16A93" w:rsidRDefault="007C6368" w:rsidP="00EA6F74">
            <w:pPr>
              <w:pStyle w:val="TableText"/>
              <w:jc w:val="center"/>
            </w:pPr>
            <w:r w:rsidRPr="00A16A93">
              <w:t>17.5%</w:t>
            </w:r>
          </w:p>
        </w:tc>
        <w:tc>
          <w:tcPr>
            <w:tcW w:w="1302" w:type="dxa"/>
            <w:gridSpan w:val="3"/>
            <w:tcBorders>
              <w:top w:val="single" w:sz="4" w:space="0" w:color="A6A6A6" w:themeColor="background1" w:themeShade="A6"/>
              <w:bottom w:val="single" w:sz="4" w:space="0" w:color="A6A6A6" w:themeColor="background1" w:themeShade="A6"/>
            </w:tcBorders>
          </w:tcPr>
          <w:p w:rsidR="007C6368" w:rsidRPr="00A16A93" w:rsidRDefault="007C6368" w:rsidP="00EA6F74">
            <w:pPr>
              <w:pStyle w:val="TableText"/>
              <w:jc w:val="center"/>
            </w:pPr>
            <w:r w:rsidRPr="00A16A93">
              <w:t>23.1%</w:t>
            </w:r>
          </w:p>
        </w:tc>
        <w:tc>
          <w:tcPr>
            <w:tcW w:w="1302" w:type="dxa"/>
            <w:gridSpan w:val="3"/>
            <w:tcBorders>
              <w:top w:val="single" w:sz="4" w:space="0" w:color="A6A6A6" w:themeColor="background1" w:themeShade="A6"/>
              <w:bottom w:val="single" w:sz="4" w:space="0" w:color="A6A6A6" w:themeColor="background1" w:themeShade="A6"/>
            </w:tcBorders>
          </w:tcPr>
          <w:p w:rsidR="007C6368" w:rsidRPr="00A16A93" w:rsidRDefault="007C6368" w:rsidP="00EA6F74">
            <w:pPr>
              <w:pStyle w:val="TableText"/>
              <w:jc w:val="center"/>
            </w:pPr>
            <w:r w:rsidRPr="00A16A93">
              <w:t>30.6%</w:t>
            </w:r>
          </w:p>
        </w:tc>
        <w:tc>
          <w:tcPr>
            <w:tcW w:w="1302" w:type="dxa"/>
            <w:gridSpan w:val="2"/>
            <w:tcBorders>
              <w:top w:val="single" w:sz="4" w:space="0" w:color="A6A6A6" w:themeColor="background1" w:themeShade="A6"/>
              <w:bottom w:val="single" w:sz="4" w:space="0" w:color="A6A6A6" w:themeColor="background1" w:themeShade="A6"/>
            </w:tcBorders>
          </w:tcPr>
          <w:p w:rsidR="007C6368" w:rsidRPr="00A16A93" w:rsidRDefault="007C6368" w:rsidP="00EA6F74">
            <w:pPr>
              <w:pStyle w:val="TableText"/>
              <w:jc w:val="center"/>
            </w:pPr>
            <w:r w:rsidRPr="00A16A93">
              <w:t>30.2%</w:t>
            </w:r>
          </w:p>
        </w:tc>
      </w:tr>
      <w:tr w:rsidR="00EA6F74" w:rsidRPr="00A16A93" w:rsidTr="00EA6F74">
        <w:trPr>
          <w:cantSplit/>
        </w:trPr>
        <w:tc>
          <w:tcPr>
            <w:tcW w:w="440" w:type="dxa"/>
            <w:tcBorders>
              <w:top w:val="single" w:sz="4" w:space="0" w:color="A6A6A6" w:themeColor="background1" w:themeShade="A6"/>
              <w:bottom w:val="nil"/>
            </w:tcBorders>
          </w:tcPr>
          <w:p w:rsidR="00EA6F74" w:rsidRPr="00A16A93" w:rsidRDefault="00EA6F74" w:rsidP="00CD78D1">
            <w:pPr>
              <w:pStyle w:val="TableText"/>
            </w:pPr>
            <w:r w:rsidRPr="00A16A93">
              <w:t>7</w:t>
            </w:r>
          </w:p>
        </w:tc>
        <w:tc>
          <w:tcPr>
            <w:tcW w:w="1662" w:type="dxa"/>
            <w:tcBorders>
              <w:top w:val="single" w:sz="4" w:space="0" w:color="A6A6A6" w:themeColor="background1" w:themeShade="A6"/>
              <w:bottom w:val="nil"/>
            </w:tcBorders>
          </w:tcPr>
          <w:p w:rsidR="00EA6F74" w:rsidRPr="00A16A93" w:rsidRDefault="00EA6F74" w:rsidP="00CD78D1">
            <w:pPr>
              <w:pStyle w:val="TableText"/>
            </w:pPr>
            <w:r w:rsidRPr="00A16A93">
              <w:t>Fruit and vegetable intake</w:t>
            </w:r>
          </w:p>
        </w:tc>
        <w:tc>
          <w:tcPr>
            <w:tcW w:w="2047" w:type="dxa"/>
            <w:gridSpan w:val="2"/>
            <w:tcBorders>
              <w:top w:val="single" w:sz="4" w:space="0" w:color="A6A6A6" w:themeColor="background1" w:themeShade="A6"/>
              <w:bottom w:val="nil"/>
            </w:tcBorders>
          </w:tcPr>
          <w:p w:rsidR="00EA6F74" w:rsidRPr="00A16A93" w:rsidRDefault="00EA6F74" w:rsidP="00EA6F74">
            <w:pPr>
              <w:pStyle w:val="TableText"/>
            </w:pPr>
            <w:r w:rsidRPr="00A16A93">
              <w:t>Percentage of children (aged 2–14 years) who eat at least two servings of fruit each day (2015/16)</w:t>
            </w:r>
          </w:p>
        </w:tc>
        <w:tc>
          <w:tcPr>
            <w:tcW w:w="1301" w:type="dxa"/>
            <w:gridSpan w:val="3"/>
            <w:tcBorders>
              <w:top w:val="single" w:sz="4" w:space="0" w:color="A6A6A6" w:themeColor="background1" w:themeShade="A6"/>
              <w:bottom w:val="nil"/>
            </w:tcBorders>
          </w:tcPr>
          <w:p w:rsidR="00EA6F74" w:rsidRPr="00A16A93" w:rsidRDefault="00EA6F74" w:rsidP="00EA6F74">
            <w:pPr>
              <w:pStyle w:val="TableText"/>
              <w:jc w:val="center"/>
            </w:pPr>
            <w:r w:rsidRPr="00A16A93">
              <w:t>73.6%</w:t>
            </w:r>
          </w:p>
        </w:tc>
        <w:tc>
          <w:tcPr>
            <w:tcW w:w="1302" w:type="dxa"/>
            <w:gridSpan w:val="3"/>
            <w:tcBorders>
              <w:top w:val="single" w:sz="4" w:space="0" w:color="A6A6A6" w:themeColor="background1" w:themeShade="A6"/>
              <w:bottom w:val="nil"/>
            </w:tcBorders>
          </w:tcPr>
          <w:p w:rsidR="00EA6F74" w:rsidRPr="00A16A93" w:rsidRDefault="00EA6F74" w:rsidP="00EA6F74">
            <w:pPr>
              <w:pStyle w:val="TableText"/>
              <w:jc w:val="center"/>
            </w:pPr>
            <w:r w:rsidRPr="00A16A93">
              <w:t>73.8%</w:t>
            </w:r>
          </w:p>
        </w:tc>
        <w:tc>
          <w:tcPr>
            <w:tcW w:w="1302" w:type="dxa"/>
            <w:gridSpan w:val="3"/>
            <w:tcBorders>
              <w:top w:val="single" w:sz="4" w:space="0" w:color="A6A6A6" w:themeColor="background1" w:themeShade="A6"/>
              <w:bottom w:val="nil"/>
            </w:tcBorders>
          </w:tcPr>
          <w:p w:rsidR="00EA6F74" w:rsidRPr="00A16A93" w:rsidRDefault="00EA6F74" w:rsidP="00EA6F74">
            <w:pPr>
              <w:pStyle w:val="TableText"/>
              <w:jc w:val="center"/>
            </w:pPr>
            <w:r w:rsidRPr="00A16A93">
              <w:t>70.4%</w:t>
            </w:r>
          </w:p>
        </w:tc>
        <w:tc>
          <w:tcPr>
            <w:tcW w:w="1302" w:type="dxa"/>
            <w:gridSpan w:val="2"/>
            <w:tcBorders>
              <w:top w:val="single" w:sz="4" w:space="0" w:color="A6A6A6" w:themeColor="background1" w:themeShade="A6"/>
              <w:bottom w:val="nil"/>
            </w:tcBorders>
          </w:tcPr>
          <w:p w:rsidR="00EA6F74" w:rsidRPr="00A16A93" w:rsidRDefault="00EA6F74" w:rsidP="00EA6F74">
            <w:pPr>
              <w:pStyle w:val="TableText"/>
              <w:jc w:val="center"/>
            </w:pPr>
            <w:r w:rsidRPr="00A16A93">
              <w:t>69.1%</w:t>
            </w:r>
          </w:p>
        </w:tc>
      </w:tr>
      <w:tr w:rsidR="00EA6F74" w:rsidRPr="00A16A93" w:rsidTr="00EA6F74">
        <w:trPr>
          <w:cantSplit/>
        </w:trPr>
        <w:tc>
          <w:tcPr>
            <w:tcW w:w="440" w:type="dxa"/>
            <w:tcBorders>
              <w:top w:val="nil"/>
              <w:bottom w:val="single" w:sz="4" w:space="0" w:color="auto"/>
            </w:tcBorders>
          </w:tcPr>
          <w:p w:rsidR="00EA6F74" w:rsidRPr="00A16A93" w:rsidRDefault="00EA6F74" w:rsidP="00EA6F74">
            <w:pPr>
              <w:pStyle w:val="TableText"/>
              <w:spacing w:before="0"/>
            </w:pPr>
          </w:p>
        </w:tc>
        <w:tc>
          <w:tcPr>
            <w:tcW w:w="1662" w:type="dxa"/>
            <w:tcBorders>
              <w:top w:val="nil"/>
              <w:bottom w:val="single" w:sz="4" w:space="0" w:color="auto"/>
            </w:tcBorders>
          </w:tcPr>
          <w:p w:rsidR="00EA6F74" w:rsidRPr="00A16A93" w:rsidRDefault="00EA6F74" w:rsidP="00EA6F74">
            <w:pPr>
              <w:pStyle w:val="TableText"/>
              <w:spacing w:before="0"/>
            </w:pPr>
          </w:p>
        </w:tc>
        <w:tc>
          <w:tcPr>
            <w:tcW w:w="2047" w:type="dxa"/>
            <w:gridSpan w:val="2"/>
            <w:tcBorders>
              <w:top w:val="nil"/>
              <w:bottom w:val="single" w:sz="4" w:space="0" w:color="auto"/>
            </w:tcBorders>
          </w:tcPr>
          <w:p w:rsidR="00EA6F74" w:rsidRPr="00A16A93" w:rsidRDefault="00EA6F74" w:rsidP="00EA6F74">
            <w:pPr>
              <w:pStyle w:val="TableText"/>
              <w:spacing w:before="0"/>
            </w:pPr>
            <w:r w:rsidRPr="00A16A93">
              <w:t>Percentage of children (aged 2–14 years) who meet New Zealand’s age-specific vegetable intake guidelines (2015/16)</w:t>
            </w:r>
          </w:p>
        </w:tc>
        <w:tc>
          <w:tcPr>
            <w:tcW w:w="1301" w:type="dxa"/>
            <w:gridSpan w:val="3"/>
            <w:tcBorders>
              <w:top w:val="nil"/>
              <w:bottom w:val="single" w:sz="4" w:space="0" w:color="auto"/>
            </w:tcBorders>
          </w:tcPr>
          <w:p w:rsidR="00EA6F74" w:rsidRPr="00A16A93" w:rsidRDefault="00EA6F74" w:rsidP="00EA6F74">
            <w:pPr>
              <w:pStyle w:val="TableText"/>
              <w:spacing w:before="0"/>
              <w:jc w:val="center"/>
            </w:pPr>
            <w:r w:rsidRPr="00A16A93">
              <w:t>50.5%</w:t>
            </w:r>
          </w:p>
        </w:tc>
        <w:tc>
          <w:tcPr>
            <w:tcW w:w="1302" w:type="dxa"/>
            <w:gridSpan w:val="3"/>
            <w:tcBorders>
              <w:top w:val="nil"/>
              <w:bottom w:val="single" w:sz="4" w:space="0" w:color="auto"/>
            </w:tcBorders>
          </w:tcPr>
          <w:p w:rsidR="00EA6F74" w:rsidRPr="00A16A93" w:rsidRDefault="00EA6F74" w:rsidP="00EA6F74">
            <w:pPr>
              <w:pStyle w:val="TableText"/>
              <w:spacing w:before="0"/>
              <w:jc w:val="center"/>
            </w:pPr>
            <w:r w:rsidRPr="00A16A93">
              <w:t>46.9%</w:t>
            </w:r>
          </w:p>
        </w:tc>
        <w:tc>
          <w:tcPr>
            <w:tcW w:w="1302" w:type="dxa"/>
            <w:gridSpan w:val="3"/>
            <w:tcBorders>
              <w:top w:val="nil"/>
              <w:bottom w:val="single" w:sz="4" w:space="0" w:color="auto"/>
            </w:tcBorders>
          </w:tcPr>
          <w:p w:rsidR="00EA6F74" w:rsidRPr="00A16A93" w:rsidRDefault="00EA6F74" w:rsidP="00EA6F74">
            <w:pPr>
              <w:pStyle w:val="TableText"/>
              <w:spacing w:before="0"/>
              <w:jc w:val="center"/>
            </w:pPr>
            <w:r w:rsidRPr="00A16A93">
              <w:t>39.8%</w:t>
            </w:r>
          </w:p>
        </w:tc>
        <w:tc>
          <w:tcPr>
            <w:tcW w:w="1302" w:type="dxa"/>
            <w:gridSpan w:val="2"/>
            <w:tcBorders>
              <w:top w:val="nil"/>
              <w:bottom w:val="single" w:sz="4" w:space="0" w:color="auto"/>
            </w:tcBorders>
          </w:tcPr>
          <w:p w:rsidR="00EA6F74" w:rsidRPr="00A16A93" w:rsidRDefault="00EA6F74" w:rsidP="00EA6F74">
            <w:pPr>
              <w:pStyle w:val="TableText"/>
              <w:spacing w:before="0"/>
              <w:jc w:val="center"/>
            </w:pPr>
            <w:r w:rsidRPr="00A16A93">
              <w:t>42.7%</w:t>
            </w:r>
          </w:p>
        </w:tc>
      </w:tr>
      <w:tr w:rsidR="00EA6F74" w:rsidRPr="00A16A93" w:rsidTr="00EA6F74">
        <w:trPr>
          <w:cantSplit/>
        </w:trPr>
        <w:tc>
          <w:tcPr>
            <w:tcW w:w="9356" w:type="dxa"/>
            <w:gridSpan w:val="15"/>
            <w:tcBorders>
              <w:top w:val="single" w:sz="4" w:space="0" w:color="auto"/>
              <w:bottom w:val="single" w:sz="4" w:space="0" w:color="A6A6A6" w:themeColor="background1" w:themeShade="A6"/>
            </w:tcBorders>
          </w:tcPr>
          <w:p w:rsidR="00EA6F74" w:rsidRPr="00EA6F74" w:rsidRDefault="00EA6F74" w:rsidP="007C6368">
            <w:pPr>
              <w:pStyle w:val="TableText"/>
              <w:rPr>
                <w:b/>
              </w:rPr>
            </w:pPr>
            <w:r w:rsidRPr="00EA6F74">
              <w:rPr>
                <w:b/>
              </w:rPr>
              <w:t>Children’s environments support physical activity and healthy living</w:t>
            </w:r>
          </w:p>
        </w:tc>
      </w:tr>
      <w:tr w:rsidR="00EA6F74" w:rsidRPr="00A16A93" w:rsidTr="00766D01">
        <w:trPr>
          <w:cantSplit/>
        </w:trPr>
        <w:tc>
          <w:tcPr>
            <w:tcW w:w="440" w:type="dxa"/>
            <w:tcBorders>
              <w:top w:val="single" w:sz="4" w:space="0" w:color="A6A6A6" w:themeColor="background1" w:themeShade="A6"/>
              <w:bottom w:val="nil"/>
            </w:tcBorders>
          </w:tcPr>
          <w:p w:rsidR="00EA6F74" w:rsidRPr="00A16A93" w:rsidRDefault="00EA6F74" w:rsidP="007C6368">
            <w:pPr>
              <w:pStyle w:val="TableText"/>
            </w:pPr>
            <w:r w:rsidRPr="00A16A93">
              <w:t>8</w:t>
            </w:r>
          </w:p>
        </w:tc>
        <w:tc>
          <w:tcPr>
            <w:tcW w:w="1662" w:type="dxa"/>
            <w:tcBorders>
              <w:top w:val="single" w:sz="4" w:space="0" w:color="A6A6A6" w:themeColor="background1" w:themeShade="A6"/>
              <w:bottom w:val="nil"/>
            </w:tcBorders>
          </w:tcPr>
          <w:p w:rsidR="00EA6F74" w:rsidRPr="00A16A93" w:rsidRDefault="00EA6F74" w:rsidP="007C6368">
            <w:pPr>
              <w:pStyle w:val="TableText"/>
            </w:pPr>
            <w:r w:rsidRPr="00A16A93">
              <w:t>Awareness of the Health Star Rating system</w:t>
            </w:r>
          </w:p>
        </w:tc>
        <w:tc>
          <w:tcPr>
            <w:tcW w:w="2047" w:type="dxa"/>
            <w:gridSpan w:val="2"/>
            <w:tcBorders>
              <w:top w:val="single" w:sz="4" w:space="0" w:color="A6A6A6" w:themeColor="background1" w:themeShade="A6"/>
              <w:bottom w:val="nil"/>
            </w:tcBorders>
          </w:tcPr>
          <w:p w:rsidR="00EA6F74" w:rsidRPr="00A16A93" w:rsidRDefault="00EA6F74" w:rsidP="00766D01">
            <w:pPr>
              <w:pStyle w:val="TableText"/>
            </w:pPr>
            <w:r w:rsidRPr="00A16A93">
              <w:t>Percentage of grocery shoppers who recognise the Health Star Rating system when prompted (2015)</w:t>
            </w:r>
          </w:p>
        </w:tc>
        <w:tc>
          <w:tcPr>
            <w:tcW w:w="1301" w:type="dxa"/>
            <w:gridSpan w:val="3"/>
            <w:tcBorders>
              <w:top w:val="single" w:sz="4" w:space="0" w:color="A6A6A6" w:themeColor="background1" w:themeShade="A6"/>
              <w:bottom w:val="nil"/>
            </w:tcBorders>
          </w:tcPr>
          <w:p w:rsidR="00EA6F74" w:rsidRPr="00A16A93" w:rsidRDefault="00EA6F74" w:rsidP="00766D01">
            <w:pPr>
              <w:pStyle w:val="TableText"/>
              <w:jc w:val="center"/>
            </w:pPr>
            <w:r w:rsidRPr="00A16A93">
              <w:t>38%</w:t>
            </w:r>
          </w:p>
        </w:tc>
        <w:tc>
          <w:tcPr>
            <w:tcW w:w="1302" w:type="dxa"/>
            <w:gridSpan w:val="3"/>
            <w:tcBorders>
              <w:top w:val="single" w:sz="4" w:space="0" w:color="A6A6A6" w:themeColor="background1" w:themeShade="A6"/>
              <w:bottom w:val="nil"/>
            </w:tcBorders>
          </w:tcPr>
          <w:p w:rsidR="00EA6F74" w:rsidRPr="00A16A93" w:rsidRDefault="00EA6F74" w:rsidP="00766D01">
            <w:pPr>
              <w:pStyle w:val="TableText"/>
              <w:ind w:right="57"/>
              <w:jc w:val="center"/>
            </w:pPr>
            <w:r w:rsidRPr="00A16A93">
              <w:t>Māori with children under 14: 36%</w:t>
            </w:r>
          </w:p>
        </w:tc>
        <w:tc>
          <w:tcPr>
            <w:tcW w:w="1302" w:type="dxa"/>
            <w:gridSpan w:val="3"/>
            <w:tcBorders>
              <w:top w:val="single" w:sz="4" w:space="0" w:color="A6A6A6" w:themeColor="background1" w:themeShade="A6"/>
              <w:bottom w:val="nil"/>
            </w:tcBorders>
          </w:tcPr>
          <w:p w:rsidR="00EA6F74" w:rsidRPr="00A16A93" w:rsidRDefault="00EA6F74" w:rsidP="00766D01">
            <w:pPr>
              <w:pStyle w:val="TableText"/>
              <w:ind w:right="57"/>
              <w:jc w:val="center"/>
            </w:pPr>
            <w:r w:rsidRPr="00A16A93">
              <w:t>Pacific people with children under 14:</w:t>
            </w:r>
            <w:r w:rsidR="00766D01">
              <w:t xml:space="preserve"> </w:t>
            </w:r>
            <w:r w:rsidRPr="00A16A93">
              <w:t>65%</w:t>
            </w:r>
          </w:p>
        </w:tc>
        <w:tc>
          <w:tcPr>
            <w:tcW w:w="1302" w:type="dxa"/>
            <w:gridSpan w:val="2"/>
            <w:tcBorders>
              <w:top w:val="single" w:sz="4" w:space="0" w:color="A6A6A6" w:themeColor="background1" w:themeShade="A6"/>
              <w:bottom w:val="nil"/>
            </w:tcBorders>
          </w:tcPr>
          <w:p w:rsidR="00EA6F74" w:rsidRPr="00A16A93" w:rsidRDefault="00EA6F74" w:rsidP="00766D01">
            <w:pPr>
              <w:pStyle w:val="TableText"/>
              <w:jc w:val="center"/>
            </w:pPr>
            <w:r w:rsidRPr="00A16A93">
              <w:t>People of low income with children under 14: 44%</w:t>
            </w:r>
          </w:p>
        </w:tc>
      </w:tr>
      <w:tr w:rsidR="00766D01" w:rsidRPr="00A16A93" w:rsidTr="00766D01">
        <w:trPr>
          <w:cantSplit/>
        </w:trPr>
        <w:tc>
          <w:tcPr>
            <w:tcW w:w="440" w:type="dxa"/>
            <w:tcBorders>
              <w:top w:val="nil"/>
              <w:bottom w:val="nil"/>
            </w:tcBorders>
          </w:tcPr>
          <w:p w:rsidR="00766D01" w:rsidRPr="00A16A93" w:rsidRDefault="00766D01" w:rsidP="00766D01">
            <w:pPr>
              <w:pStyle w:val="TableText"/>
              <w:spacing w:before="0"/>
            </w:pPr>
          </w:p>
        </w:tc>
        <w:tc>
          <w:tcPr>
            <w:tcW w:w="1662" w:type="dxa"/>
            <w:tcBorders>
              <w:top w:val="nil"/>
              <w:bottom w:val="nil"/>
            </w:tcBorders>
          </w:tcPr>
          <w:p w:rsidR="00766D01" w:rsidRPr="00A16A93" w:rsidRDefault="00766D01" w:rsidP="00766D01">
            <w:pPr>
              <w:pStyle w:val="TableText"/>
              <w:spacing w:before="0"/>
            </w:pPr>
          </w:p>
        </w:tc>
        <w:tc>
          <w:tcPr>
            <w:tcW w:w="2047" w:type="dxa"/>
            <w:gridSpan w:val="2"/>
            <w:tcBorders>
              <w:top w:val="nil"/>
              <w:bottom w:val="nil"/>
            </w:tcBorders>
          </w:tcPr>
          <w:p w:rsidR="00766D01" w:rsidRPr="00A16A93" w:rsidRDefault="00766D01" w:rsidP="00766D01">
            <w:pPr>
              <w:pStyle w:val="TableText"/>
              <w:spacing w:before="0"/>
            </w:pPr>
            <w:r w:rsidRPr="00A16A93">
              <w:t>Percentage of grocery shoppers who understand the Health Star Rating system (2015)</w:t>
            </w:r>
          </w:p>
        </w:tc>
        <w:tc>
          <w:tcPr>
            <w:tcW w:w="1301" w:type="dxa"/>
            <w:gridSpan w:val="3"/>
            <w:tcBorders>
              <w:top w:val="nil"/>
              <w:bottom w:val="nil"/>
            </w:tcBorders>
          </w:tcPr>
          <w:p w:rsidR="00766D01" w:rsidRPr="00A16A93" w:rsidRDefault="00766D01" w:rsidP="00766D01">
            <w:pPr>
              <w:pStyle w:val="TableText"/>
              <w:spacing w:before="0"/>
              <w:jc w:val="center"/>
            </w:pPr>
            <w:r w:rsidRPr="00A16A93">
              <w:t>51%</w:t>
            </w:r>
          </w:p>
        </w:tc>
        <w:tc>
          <w:tcPr>
            <w:tcW w:w="1302" w:type="dxa"/>
            <w:gridSpan w:val="3"/>
            <w:tcBorders>
              <w:top w:val="nil"/>
              <w:bottom w:val="nil"/>
            </w:tcBorders>
          </w:tcPr>
          <w:p w:rsidR="00766D01" w:rsidRPr="00A16A93" w:rsidRDefault="00766D01" w:rsidP="00766D01">
            <w:pPr>
              <w:pStyle w:val="TableText"/>
              <w:spacing w:before="0"/>
              <w:ind w:right="57"/>
              <w:jc w:val="center"/>
            </w:pPr>
            <w:r w:rsidRPr="00A16A93">
              <w:t>Māori with children under 14: 56%</w:t>
            </w:r>
          </w:p>
        </w:tc>
        <w:tc>
          <w:tcPr>
            <w:tcW w:w="1302" w:type="dxa"/>
            <w:gridSpan w:val="3"/>
            <w:tcBorders>
              <w:top w:val="nil"/>
              <w:bottom w:val="nil"/>
            </w:tcBorders>
          </w:tcPr>
          <w:p w:rsidR="00766D01" w:rsidRPr="00A16A93" w:rsidRDefault="00766D01" w:rsidP="00766D01">
            <w:pPr>
              <w:pStyle w:val="TableText"/>
              <w:spacing w:before="0"/>
              <w:ind w:right="57"/>
              <w:jc w:val="center"/>
            </w:pPr>
            <w:r w:rsidRPr="00A16A93">
              <w:t>Pacific people with children under 14:</w:t>
            </w:r>
            <w:r>
              <w:t xml:space="preserve"> </w:t>
            </w:r>
            <w:r w:rsidRPr="00A16A93">
              <w:t>31%</w:t>
            </w:r>
          </w:p>
        </w:tc>
        <w:tc>
          <w:tcPr>
            <w:tcW w:w="1302" w:type="dxa"/>
            <w:gridSpan w:val="2"/>
            <w:tcBorders>
              <w:top w:val="nil"/>
              <w:bottom w:val="nil"/>
            </w:tcBorders>
          </w:tcPr>
          <w:p w:rsidR="00766D01" w:rsidRPr="00A16A93" w:rsidRDefault="00766D01" w:rsidP="00766D01">
            <w:pPr>
              <w:pStyle w:val="TableText"/>
              <w:spacing w:before="0"/>
              <w:jc w:val="center"/>
            </w:pPr>
            <w:r w:rsidRPr="00A16A93">
              <w:t>People of low income with children under 14: 49%</w:t>
            </w:r>
          </w:p>
        </w:tc>
      </w:tr>
      <w:tr w:rsidR="00766D01" w:rsidRPr="00A16A93" w:rsidTr="00F3589B">
        <w:trPr>
          <w:cantSplit/>
        </w:trPr>
        <w:tc>
          <w:tcPr>
            <w:tcW w:w="440" w:type="dxa"/>
            <w:tcBorders>
              <w:top w:val="nil"/>
              <w:bottom w:val="single" w:sz="4" w:space="0" w:color="A6A6A6" w:themeColor="background1" w:themeShade="A6"/>
            </w:tcBorders>
          </w:tcPr>
          <w:p w:rsidR="00766D01" w:rsidRPr="00A16A93" w:rsidRDefault="00766D01" w:rsidP="00766D01">
            <w:pPr>
              <w:pStyle w:val="TableText"/>
              <w:spacing w:before="0"/>
            </w:pPr>
          </w:p>
        </w:tc>
        <w:tc>
          <w:tcPr>
            <w:tcW w:w="1662" w:type="dxa"/>
            <w:tcBorders>
              <w:top w:val="nil"/>
              <w:bottom w:val="single" w:sz="4" w:space="0" w:color="A6A6A6" w:themeColor="background1" w:themeShade="A6"/>
            </w:tcBorders>
          </w:tcPr>
          <w:p w:rsidR="00766D01" w:rsidRPr="00A16A93" w:rsidRDefault="00766D01" w:rsidP="00766D01">
            <w:pPr>
              <w:pStyle w:val="TableText"/>
              <w:spacing w:before="0"/>
            </w:pPr>
          </w:p>
        </w:tc>
        <w:tc>
          <w:tcPr>
            <w:tcW w:w="2047" w:type="dxa"/>
            <w:gridSpan w:val="2"/>
            <w:tcBorders>
              <w:top w:val="nil"/>
              <w:bottom w:val="single" w:sz="4" w:space="0" w:color="A6A6A6" w:themeColor="background1" w:themeShade="A6"/>
            </w:tcBorders>
          </w:tcPr>
          <w:p w:rsidR="00766D01" w:rsidRPr="00A16A93" w:rsidRDefault="00766D01" w:rsidP="00766D01">
            <w:pPr>
              <w:pStyle w:val="TableText"/>
              <w:spacing w:before="0"/>
            </w:pPr>
            <w:r w:rsidRPr="00A16A93">
              <w:t>Percentage of grocery shoppers who use the Health Star Rating system when shopping (2015)</w:t>
            </w:r>
          </w:p>
        </w:tc>
        <w:tc>
          <w:tcPr>
            <w:tcW w:w="1301" w:type="dxa"/>
            <w:gridSpan w:val="3"/>
            <w:tcBorders>
              <w:top w:val="nil"/>
              <w:bottom w:val="single" w:sz="4" w:space="0" w:color="A6A6A6" w:themeColor="background1" w:themeShade="A6"/>
            </w:tcBorders>
          </w:tcPr>
          <w:p w:rsidR="00766D01" w:rsidRPr="00A16A93" w:rsidRDefault="00766D01" w:rsidP="00766D01">
            <w:pPr>
              <w:pStyle w:val="TableText"/>
              <w:spacing w:before="0"/>
              <w:jc w:val="center"/>
            </w:pPr>
            <w:r w:rsidRPr="00A16A93">
              <w:t>10%</w:t>
            </w:r>
          </w:p>
        </w:tc>
        <w:tc>
          <w:tcPr>
            <w:tcW w:w="1302" w:type="dxa"/>
            <w:gridSpan w:val="3"/>
            <w:tcBorders>
              <w:top w:val="nil"/>
              <w:bottom w:val="single" w:sz="4" w:space="0" w:color="A6A6A6" w:themeColor="background1" w:themeShade="A6"/>
            </w:tcBorders>
          </w:tcPr>
          <w:p w:rsidR="00766D01" w:rsidRPr="00A16A93" w:rsidRDefault="00766D01" w:rsidP="00766D01">
            <w:pPr>
              <w:pStyle w:val="TableText"/>
              <w:spacing w:before="0"/>
              <w:ind w:right="57"/>
              <w:jc w:val="center"/>
            </w:pPr>
            <w:r w:rsidRPr="00A16A93">
              <w:t>Māori with children under 14:</w:t>
            </w:r>
            <w:r>
              <w:br/>
            </w:r>
            <w:r w:rsidRPr="00A16A93">
              <w:t>6%</w:t>
            </w:r>
          </w:p>
        </w:tc>
        <w:tc>
          <w:tcPr>
            <w:tcW w:w="1302" w:type="dxa"/>
            <w:gridSpan w:val="3"/>
            <w:tcBorders>
              <w:top w:val="nil"/>
              <w:bottom w:val="single" w:sz="4" w:space="0" w:color="A6A6A6" w:themeColor="background1" w:themeShade="A6"/>
            </w:tcBorders>
          </w:tcPr>
          <w:p w:rsidR="00766D01" w:rsidRPr="00A16A93" w:rsidRDefault="00766D01" w:rsidP="00766D01">
            <w:pPr>
              <w:pStyle w:val="TableText"/>
              <w:spacing w:before="0"/>
              <w:ind w:right="57"/>
              <w:jc w:val="center"/>
            </w:pPr>
            <w:r w:rsidRPr="00A16A93">
              <w:t>Pacific people with children under 14:</w:t>
            </w:r>
            <w:r>
              <w:t xml:space="preserve"> </w:t>
            </w:r>
            <w:r w:rsidRPr="00A16A93">
              <w:t>25%</w:t>
            </w:r>
          </w:p>
        </w:tc>
        <w:tc>
          <w:tcPr>
            <w:tcW w:w="1302" w:type="dxa"/>
            <w:gridSpan w:val="2"/>
            <w:tcBorders>
              <w:top w:val="nil"/>
              <w:bottom w:val="single" w:sz="4" w:space="0" w:color="A6A6A6" w:themeColor="background1" w:themeShade="A6"/>
            </w:tcBorders>
          </w:tcPr>
          <w:p w:rsidR="00766D01" w:rsidRPr="00A16A93" w:rsidRDefault="00766D01" w:rsidP="00766D01">
            <w:pPr>
              <w:pStyle w:val="TableText"/>
              <w:spacing w:before="0"/>
              <w:jc w:val="center"/>
            </w:pPr>
            <w:r w:rsidRPr="00A16A93">
              <w:t>People of low income with children under 14: 14%</w:t>
            </w:r>
          </w:p>
        </w:tc>
      </w:tr>
      <w:tr w:rsidR="00EA6F74" w:rsidRPr="00A16A93" w:rsidTr="00F3589B">
        <w:trPr>
          <w:cantSplit/>
        </w:trPr>
        <w:tc>
          <w:tcPr>
            <w:tcW w:w="440" w:type="dxa"/>
            <w:tcBorders>
              <w:top w:val="single" w:sz="4" w:space="0" w:color="A6A6A6" w:themeColor="background1" w:themeShade="A6"/>
              <w:bottom w:val="single" w:sz="4" w:space="0" w:color="A6A6A6" w:themeColor="background1" w:themeShade="A6"/>
            </w:tcBorders>
          </w:tcPr>
          <w:p w:rsidR="00EA6F74" w:rsidRPr="00A16A93" w:rsidRDefault="00EA6F74" w:rsidP="007C6368">
            <w:pPr>
              <w:pStyle w:val="TableText"/>
            </w:pPr>
            <w:r w:rsidRPr="00A16A93">
              <w:t>9</w:t>
            </w:r>
          </w:p>
        </w:tc>
        <w:tc>
          <w:tcPr>
            <w:tcW w:w="1662" w:type="dxa"/>
            <w:tcBorders>
              <w:top w:val="single" w:sz="4" w:space="0" w:color="A6A6A6" w:themeColor="background1" w:themeShade="A6"/>
              <w:bottom w:val="single" w:sz="4" w:space="0" w:color="A6A6A6" w:themeColor="background1" w:themeShade="A6"/>
            </w:tcBorders>
          </w:tcPr>
          <w:p w:rsidR="00EA6F74" w:rsidRPr="00A16A93" w:rsidRDefault="00EA6F74" w:rsidP="007C6368">
            <w:pPr>
              <w:pStyle w:val="TableText"/>
            </w:pPr>
            <w:r w:rsidRPr="00A16A93">
              <w:t>Active transport to and from school</w:t>
            </w:r>
          </w:p>
        </w:tc>
        <w:tc>
          <w:tcPr>
            <w:tcW w:w="2047" w:type="dxa"/>
            <w:gridSpan w:val="2"/>
            <w:tcBorders>
              <w:top w:val="single" w:sz="4" w:space="0" w:color="A6A6A6" w:themeColor="background1" w:themeShade="A6"/>
              <w:bottom w:val="single" w:sz="4" w:space="0" w:color="A6A6A6" w:themeColor="background1" w:themeShade="A6"/>
            </w:tcBorders>
          </w:tcPr>
          <w:p w:rsidR="00EA6F74" w:rsidRPr="00A16A93" w:rsidRDefault="00EA6F74" w:rsidP="007C6368">
            <w:pPr>
              <w:pStyle w:val="TableText"/>
            </w:pPr>
            <w:r w:rsidRPr="00A16A93">
              <w:t>Percentage of children (aged 5–14 years) who usually use an active mode of transport, such as walking, biking or skating, to get to and from school (2015/16)</w:t>
            </w:r>
          </w:p>
        </w:tc>
        <w:tc>
          <w:tcPr>
            <w:tcW w:w="1301" w:type="dxa"/>
            <w:gridSpan w:val="3"/>
            <w:tcBorders>
              <w:top w:val="single" w:sz="4" w:space="0" w:color="A6A6A6" w:themeColor="background1" w:themeShade="A6"/>
              <w:bottom w:val="single" w:sz="4" w:space="0" w:color="A6A6A6" w:themeColor="background1" w:themeShade="A6"/>
            </w:tcBorders>
          </w:tcPr>
          <w:p w:rsidR="00EA6F74" w:rsidRPr="00A16A93" w:rsidRDefault="00EA6F74" w:rsidP="00766D01">
            <w:pPr>
              <w:pStyle w:val="TableText"/>
              <w:jc w:val="center"/>
            </w:pPr>
            <w:r w:rsidRPr="00A16A93">
              <w:t>45.8%</w:t>
            </w:r>
          </w:p>
        </w:tc>
        <w:tc>
          <w:tcPr>
            <w:tcW w:w="1302" w:type="dxa"/>
            <w:gridSpan w:val="3"/>
            <w:tcBorders>
              <w:top w:val="single" w:sz="4" w:space="0" w:color="A6A6A6" w:themeColor="background1" w:themeShade="A6"/>
              <w:bottom w:val="single" w:sz="4" w:space="0" w:color="A6A6A6" w:themeColor="background1" w:themeShade="A6"/>
            </w:tcBorders>
          </w:tcPr>
          <w:p w:rsidR="00EA6F74" w:rsidRPr="00A16A93" w:rsidRDefault="00EA6F74" w:rsidP="00766D01">
            <w:pPr>
              <w:pStyle w:val="TableText"/>
              <w:jc w:val="center"/>
            </w:pPr>
            <w:r w:rsidRPr="00A16A93">
              <w:t>45.0%</w:t>
            </w:r>
          </w:p>
        </w:tc>
        <w:tc>
          <w:tcPr>
            <w:tcW w:w="1302" w:type="dxa"/>
            <w:gridSpan w:val="3"/>
            <w:tcBorders>
              <w:top w:val="single" w:sz="4" w:space="0" w:color="A6A6A6" w:themeColor="background1" w:themeShade="A6"/>
              <w:bottom w:val="single" w:sz="4" w:space="0" w:color="A6A6A6" w:themeColor="background1" w:themeShade="A6"/>
            </w:tcBorders>
          </w:tcPr>
          <w:p w:rsidR="00EA6F74" w:rsidRPr="00A16A93" w:rsidRDefault="00EA6F74" w:rsidP="00766D01">
            <w:pPr>
              <w:pStyle w:val="TableText"/>
              <w:jc w:val="center"/>
            </w:pPr>
            <w:r w:rsidRPr="00A16A93">
              <w:t>48.3%</w:t>
            </w:r>
          </w:p>
        </w:tc>
        <w:tc>
          <w:tcPr>
            <w:tcW w:w="1302" w:type="dxa"/>
            <w:gridSpan w:val="2"/>
            <w:tcBorders>
              <w:top w:val="single" w:sz="4" w:space="0" w:color="A6A6A6" w:themeColor="background1" w:themeShade="A6"/>
              <w:bottom w:val="single" w:sz="4" w:space="0" w:color="A6A6A6" w:themeColor="background1" w:themeShade="A6"/>
            </w:tcBorders>
          </w:tcPr>
          <w:p w:rsidR="00EA6F74" w:rsidRPr="00A16A93" w:rsidRDefault="00EA6F74" w:rsidP="00766D01">
            <w:pPr>
              <w:pStyle w:val="TableText"/>
              <w:jc w:val="center"/>
            </w:pPr>
            <w:r w:rsidRPr="00A16A93">
              <w:t>47.5%</w:t>
            </w:r>
          </w:p>
        </w:tc>
      </w:tr>
      <w:tr w:rsidR="00EA6F74" w:rsidRPr="00A16A93" w:rsidTr="00F3589B">
        <w:trPr>
          <w:cantSplit/>
        </w:trPr>
        <w:tc>
          <w:tcPr>
            <w:tcW w:w="440" w:type="dxa"/>
            <w:tcBorders>
              <w:top w:val="single" w:sz="4" w:space="0" w:color="A6A6A6" w:themeColor="background1" w:themeShade="A6"/>
              <w:bottom w:val="nil"/>
            </w:tcBorders>
          </w:tcPr>
          <w:p w:rsidR="00EA6F74" w:rsidRPr="00A16A93" w:rsidRDefault="00EA6F74" w:rsidP="007C6368">
            <w:pPr>
              <w:pStyle w:val="TableText"/>
            </w:pPr>
            <w:r w:rsidRPr="00A16A93">
              <w:t>10</w:t>
            </w:r>
          </w:p>
        </w:tc>
        <w:tc>
          <w:tcPr>
            <w:tcW w:w="1662" w:type="dxa"/>
            <w:tcBorders>
              <w:top w:val="single" w:sz="4" w:space="0" w:color="A6A6A6" w:themeColor="background1" w:themeShade="A6"/>
              <w:bottom w:val="nil"/>
            </w:tcBorders>
          </w:tcPr>
          <w:p w:rsidR="00EA6F74" w:rsidRPr="00A16A93" w:rsidRDefault="00EA6F74" w:rsidP="00F3589B">
            <w:pPr>
              <w:pStyle w:val="TableText"/>
            </w:pPr>
            <w:r w:rsidRPr="00A16A93">
              <w:t>Use of a bicycle</w:t>
            </w:r>
          </w:p>
        </w:tc>
        <w:tc>
          <w:tcPr>
            <w:tcW w:w="2047" w:type="dxa"/>
            <w:gridSpan w:val="2"/>
            <w:tcBorders>
              <w:top w:val="single" w:sz="4" w:space="0" w:color="A6A6A6" w:themeColor="background1" w:themeShade="A6"/>
              <w:bottom w:val="nil"/>
            </w:tcBorders>
          </w:tcPr>
          <w:p w:rsidR="00EA6F74" w:rsidRPr="00A16A93" w:rsidRDefault="00EA6F74" w:rsidP="00F3589B">
            <w:pPr>
              <w:pStyle w:val="TableText"/>
            </w:pPr>
            <w:r w:rsidRPr="00A16A93">
              <w:t>Percentage of children (aged 5–17 years) who have ridden a bicycle in the last week for sport, exercise or fun.</w:t>
            </w:r>
          </w:p>
        </w:tc>
        <w:tc>
          <w:tcPr>
            <w:tcW w:w="1301" w:type="dxa"/>
            <w:gridSpan w:val="3"/>
            <w:tcBorders>
              <w:top w:val="single" w:sz="4" w:space="0" w:color="A6A6A6" w:themeColor="background1" w:themeShade="A6"/>
              <w:bottom w:val="nil"/>
            </w:tcBorders>
          </w:tcPr>
          <w:p w:rsidR="00EA6F74" w:rsidRPr="00A16A93" w:rsidRDefault="00EA6F74" w:rsidP="00F3589B">
            <w:pPr>
              <w:pStyle w:val="TableText"/>
              <w:jc w:val="center"/>
            </w:pPr>
            <w:r w:rsidRPr="00A16A93">
              <w:t>First data available in early 2018</w:t>
            </w:r>
          </w:p>
        </w:tc>
        <w:tc>
          <w:tcPr>
            <w:tcW w:w="1302" w:type="dxa"/>
            <w:gridSpan w:val="3"/>
            <w:tcBorders>
              <w:top w:val="single" w:sz="4" w:space="0" w:color="A6A6A6" w:themeColor="background1" w:themeShade="A6"/>
              <w:bottom w:val="nil"/>
            </w:tcBorders>
          </w:tcPr>
          <w:p w:rsidR="00EA6F74" w:rsidRPr="00A16A93" w:rsidRDefault="00EA6F74" w:rsidP="00F3589B">
            <w:pPr>
              <w:pStyle w:val="TableText"/>
              <w:jc w:val="center"/>
            </w:pPr>
            <w:r w:rsidRPr="00A16A93">
              <w:t>First data available in early 2018</w:t>
            </w:r>
          </w:p>
        </w:tc>
        <w:tc>
          <w:tcPr>
            <w:tcW w:w="1302" w:type="dxa"/>
            <w:gridSpan w:val="3"/>
            <w:tcBorders>
              <w:top w:val="single" w:sz="4" w:space="0" w:color="A6A6A6" w:themeColor="background1" w:themeShade="A6"/>
              <w:bottom w:val="nil"/>
            </w:tcBorders>
          </w:tcPr>
          <w:p w:rsidR="00EA6F74" w:rsidRPr="00A16A93" w:rsidRDefault="00EA6F74" w:rsidP="00F3589B">
            <w:pPr>
              <w:pStyle w:val="TableText"/>
              <w:jc w:val="center"/>
            </w:pPr>
            <w:r w:rsidRPr="00A16A93">
              <w:t>First data available in early 2018</w:t>
            </w:r>
          </w:p>
        </w:tc>
        <w:tc>
          <w:tcPr>
            <w:tcW w:w="1302" w:type="dxa"/>
            <w:gridSpan w:val="2"/>
            <w:tcBorders>
              <w:top w:val="single" w:sz="4" w:space="0" w:color="A6A6A6" w:themeColor="background1" w:themeShade="A6"/>
              <w:bottom w:val="nil"/>
            </w:tcBorders>
          </w:tcPr>
          <w:p w:rsidR="00EA6F74" w:rsidRPr="00A16A93" w:rsidRDefault="00EA6F74" w:rsidP="00F3589B">
            <w:pPr>
              <w:pStyle w:val="TableText"/>
              <w:jc w:val="center"/>
            </w:pPr>
            <w:r w:rsidRPr="00A16A93">
              <w:t>First data available in early 2018</w:t>
            </w:r>
          </w:p>
        </w:tc>
      </w:tr>
      <w:tr w:rsidR="00F3589B" w:rsidRPr="00A16A93" w:rsidTr="00F3589B">
        <w:trPr>
          <w:cantSplit/>
        </w:trPr>
        <w:tc>
          <w:tcPr>
            <w:tcW w:w="440" w:type="dxa"/>
            <w:tcBorders>
              <w:top w:val="nil"/>
              <w:bottom w:val="single" w:sz="4" w:space="0" w:color="A6A6A6" w:themeColor="background1" w:themeShade="A6"/>
            </w:tcBorders>
          </w:tcPr>
          <w:p w:rsidR="00F3589B" w:rsidRPr="00A16A93" w:rsidRDefault="00F3589B" w:rsidP="007C6368">
            <w:pPr>
              <w:pStyle w:val="TableText"/>
            </w:pPr>
          </w:p>
        </w:tc>
        <w:tc>
          <w:tcPr>
            <w:tcW w:w="1662" w:type="dxa"/>
            <w:tcBorders>
              <w:top w:val="nil"/>
              <w:bottom w:val="single" w:sz="4" w:space="0" w:color="A6A6A6" w:themeColor="background1" w:themeShade="A6"/>
            </w:tcBorders>
          </w:tcPr>
          <w:p w:rsidR="00F3589B" w:rsidRPr="00A16A93" w:rsidRDefault="00F3589B" w:rsidP="007C6368">
            <w:pPr>
              <w:pStyle w:val="TableText"/>
            </w:pPr>
          </w:p>
        </w:tc>
        <w:tc>
          <w:tcPr>
            <w:tcW w:w="2047" w:type="dxa"/>
            <w:gridSpan w:val="2"/>
            <w:tcBorders>
              <w:top w:val="nil"/>
              <w:bottom w:val="single" w:sz="4" w:space="0" w:color="A6A6A6" w:themeColor="background1" w:themeShade="A6"/>
            </w:tcBorders>
          </w:tcPr>
          <w:p w:rsidR="00F3589B" w:rsidRPr="00A16A93" w:rsidRDefault="00F3589B" w:rsidP="00F3589B">
            <w:pPr>
              <w:pStyle w:val="TableText"/>
            </w:pPr>
            <w:r w:rsidRPr="00A16A93">
              <w:t>Average number of hours children (aged</w:t>
            </w:r>
            <w:r>
              <w:br/>
            </w:r>
            <w:r w:rsidRPr="00A16A93">
              <w:t>5–17 years) spent riding a bicycle in the last week for sport, exercise or fun</w:t>
            </w:r>
          </w:p>
        </w:tc>
        <w:tc>
          <w:tcPr>
            <w:tcW w:w="1301" w:type="dxa"/>
            <w:gridSpan w:val="3"/>
            <w:tcBorders>
              <w:top w:val="nil"/>
              <w:bottom w:val="single" w:sz="4" w:space="0" w:color="A6A6A6" w:themeColor="background1" w:themeShade="A6"/>
            </w:tcBorders>
          </w:tcPr>
          <w:p w:rsidR="00F3589B" w:rsidRPr="00A16A93" w:rsidRDefault="00F3589B" w:rsidP="00F3589B">
            <w:pPr>
              <w:pStyle w:val="TableText"/>
              <w:jc w:val="center"/>
            </w:pPr>
            <w:r w:rsidRPr="00A16A93">
              <w:t>First data available in early 2018</w:t>
            </w:r>
          </w:p>
        </w:tc>
        <w:tc>
          <w:tcPr>
            <w:tcW w:w="1302" w:type="dxa"/>
            <w:gridSpan w:val="3"/>
            <w:tcBorders>
              <w:top w:val="nil"/>
              <w:bottom w:val="single" w:sz="4" w:space="0" w:color="A6A6A6" w:themeColor="background1" w:themeShade="A6"/>
            </w:tcBorders>
          </w:tcPr>
          <w:p w:rsidR="00F3589B" w:rsidRPr="00A16A93" w:rsidRDefault="00F3589B" w:rsidP="00F3589B">
            <w:pPr>
              <w:pStyle w:val="TableText"/>
              <w:jc w:val="center"/>
            </w:pPr>
            <w:r w:rsidRPr="00A16A93">
              <w:t>First data available in early 2018</w:t>
            </w:r>
          </w:p>
        </w:tc>
        <w:tc>
          <w:tcPr>
            <w:tcW w:w="1302" w:type="dxa"/>
            <w:gridSpan w:val="3"/>
            <w:tcBorders>
              <w:top w:val="nil"/>
              <w:bottom w:val="single" w:sz="4" w:space="0" w:color="A6A6A6" w:themeColor="background1" w:themeShade="A6"/>
            </w:tcBorders>
          </w:tcPr>
          <w:p w:rsidR="00F3589B" w:rsidRPr="00A16A93" w:rsidRDefault="00F3589B" w:rsidP="00F3589B">
            <w:pPr>
              <w:pStyle w:val="TableText"/>
              <w:jc w:val="center"/>
            </w:pPr>
            <w:r w:rsidRPr="00A16A93">
              <w:t>First data available in early 2018</w:t>
            </w:r>
          </w:p>
        </w:tc>
        <w:tc>
          <w:tcPr>
            <w:tcW w:w="1302" w:type="dxa"/>
            <w:gridSpan w:val="2"/>
            <w:tcBorders>
              <w:top w:val="nil"/>
              <w:bottom w:val="single" w:sz="4" w:space="0" w:color="A6A6A6" w:themeColor="background1" w:themeShade="A6"/>
            </w:tcBorders>
          </w:tcPr>
          <w:p w:rsidR="00F3589B" w:rsidRPr="00A16A93" w:rsidRDefault="00F3589B" w:rsidP="00F3589B">
            <w:pPr>
              <w:pStyle w:val="TableText"/>
              <w:jc w:val="center"/>
            </w:pPr>
            <w:r w:rsidRPr="00A16A93">
              <w:t>First data available in early 2018</w:t>
            </w:r>
          </w:p>
        </w:tc>
      </w:tr>
      <w:tr w:rsidR="00EA6F74" w:rsidRPr="00A16A93" w:rsidTr="00F3589B">
        <w:trPr>
          <w:cantSplit/>
        </w:trPr>
        <w:tc>
          <w:tcPr>
            <w:tcW w:w="440" w:type="dxa"/>
            <w:tcBorders>
              <w:top w:val="single" w:sz="4" w:space="0" w:color="A6A6A6" w:themeColor="background1" w:themeShade="A6"/>
              <w:bottom w:val="single" w:sz="4" w:space="0" w:color="auto"/>
            </w:tcBorders>
          </w:tcPr>
          <w:p w:rsidR="00EA6F74" w:rsidRPr="00A16A93" w:rsidRDefault="00EA6F74" w:rsidP="007C6368">
            <w:pPr>
              <w:pStyle w:val="TableText"/>
            </w:pPr>
            <w:r w:rsidRPr="00A16A93">
              <w:t>11</w:t>
            </w:r>
          </w:p>
        </w:tc>
        <w:tc>
          <w:tcPr>
            <w:tcW w:w="1662" w:type="dxa"/>
            <w:tcBorders>
              <w:top w:val="single" w:sz="4" w:space="0" w:color="A6A6A6" w:themeColor="background1" w:themeShade="A6"/>
              <w:bottom w:val="single" w:sz="4" w:space="0" w:color="auto"/>
            </w:tcBorders>
          </w:tcPr>
          <w:p w:rsidR="00EA6F74" w:rsidRPr="00A16A93" w:rsidRDefault="00EA6F74" w:rsidP="007C6368">
            <w:pPr>
              <w:pStyle w:val="TableText"/>
            </w:pPr>
            <w:r w:rsidRPr="00A16A93">
              <w:t>Water in schools</w:t>
            </w:r>
          </w:p>
        </w:tc>
        <w:tc>
          <w:tcPr>
            <w:tcW w:w="7254" w:type="dxa"/>
            <w:gridSpan w:val="13"/>
            <w:tcBorders>
              <w:top w:val="single" w:sz="4" w:space="0" w:color="A6A6A6" w:themeColor="background1" w:themeShade="A6"/>
              <w:bottom w:val="single" w:sz="4" w:space="0" w:color="auto"/>
            </w:tcBorders>
            <w:shd w:val="clear" w:color="auto" w:fill="BFBFBF" w:themeFill="background1" w:themeFillShade="BF"/>
          </w:tcPr>
          <w:p w:rsidR="00EA6F74" w:rsidRPr="00A16A93" w:rsidRDefault="00EA6F74" w:rsidP="001603B6">
            <w:pPr>
              <w:pStyle w:val="TableText"/>
              <w:jc w:val="center"/>
            </w:pPr>
            <w:r w:rsidRPr="00A16A93">
              <w:t>This measure is still under development</w:t>
            </w:r>
          </w:p>
        </w:tc>
      </w:tr>
      <w:tr w:rsidR="00EA6F74" w:rsidRPr="00A16A93" w:rsidTr="00766D01">
        <w:trPr>
          <w:cantSplit/>
        </w:trPr>
        <w:tc>
          <w:tcPr>
            <w:tcW w:w="9356" w:type="dxa"/>
            <w:gridSpan w:val="15"/>
            <w:tcBorders>
              <w:top w:val="single" w:sz="4" w:space="0" w:color="auto"/>
              <w:bottom w:val="single" w:sz="4" w:space="0" w:color="A6A6A6" w:themeColor="background1" w:themeShade="A6"/>
            </w:tcBorders>
          </w:tcPr>
          <w:p w:rsidR="00EA6F74" w:rsidRPr="00766D01" w:rsidRDefault="00EA6F74" w:rsidP="00F3589B">
            <w:pPr>
              <w:pStyle w:val="TableText"/>
              <w:keepNext/>
              <w:rPr>
                <w:b/>
              </w:rPr>
            </w:pPr>
            <w:r w:rsidRPr="00766D01">
              <w:rPr>
                <w:b/>
              </w:rPr>
              <w:lastRenderedPageBreak/>
              <w:t>More children have improved outcomes</w:t>
            </w:r>
          </w:p>
        </w:tc>
      </w:tr>
      <w:tr w:rsidR="00EA6F74" w:rsidRPr="00A16A93" w:rsidTr="001603B6">
        <w:trPr>
          <w:cantSplit/>
        </w:trPr>
        <w:tc>
          <w:tcPr>
            <w:tcW w:w="440" w:type="dxa"/>
            <w:tcBorders>
              <w:top w:val="single" w:sz="4" w:space="0" w:color="A6A6A6" w:themeColor="background1" w:themeShade="A6"/>
              <w:bottom w:val="nil"/>
            </w:tcBorders>
          </w:tcPr>
          <w:p w:rsidR="00EA6F74" w:rsidRPr="00A16A93" w:rsidRDefault="00EA6F74" w:rsidP="00B8797A">
            <w:pPr>
              <w:pStyle w:val="TableText"/>
              <w:keepNext/>
            </w:pPr>
            <w:r w:rsidRPr="00A16A93">
              <w:t>12</w:t>
            </w:r>
          </w:p>
        </w:tc>
        <w:tc>
          <w:tcPr>
            <w:tcW w:w="1662" w:type="dxa"/>
            <w:tcBorders>
              <w:top w:val="single" w:sz="4" w:space="0" w:color="A6A6A6" w:themeColor="background1" w:themeShade="A6"/>
              <w:bottom w:val="nil"/>
            </w:tcBorders>
          </w:tcPr>
          <w:p w:rsidR="00EA6F74" w:rsidRPr="00A16A93" w:rsidRDefault="00EA6F74" w:rsidP="00B8797A">
            <w:pPr>
              <w:pStyle w:val="TableText"/>
              <w:keepNext/>
            </w:pPr>
            <w:r w:rsidRPr="00A16A93">
              <w:t>Body mass index levels</w:t>
            </w:r>
          </w:p>
        </w:tc>
        <w:tc>
          <w:tcPr>
            <w:tcW w:w="2047" w:type="dxa"/>
            <w:gridSpan w:val="2"/>
            <w:tcBorders>
              <w:top w:val="single" w:sz="4" w:space="0" w:color="A6A6A6" w:themeColor="background1" w:themeShade="A6"/>
              <w:bottom w:val="nil"/>
            </w:tcBorders>
          </w:tcPr>
          <w:p w:rsidR="00EA6F74" w:rsidRPr="00A16A93" w:rsidRDefault="00EA6F74" w:rsidP="00B8797A">
            <w:pPr>
              <w:pStyle w:val="TableText"/>
              <w:keepNext/>
            </w:pPr>
            <w:r w:rsidRPr="00A16A93">
              <w:t>Percentage of children (aged 2–14 years) with a BMI that indicates they are:</w:t>
            </w:r>
          </w:p>
        </w:tc>
        <w:tc>
          <w:tcPr>
            <w:tcW w:w="1301" w:type="dxa"/>
            <w:gridSpan w:val="3"/>
            <w:tcBorders>
              <w:top w:val="single" w:sz="4" w:space="0" w:color="A6A6A6" w:themeColor="background1" w:themeShade="A6"/>
              <w:bottom w:val="nil"/>
            </w:tcBorders>
          </w:tcPr>
          <w:p w:rsidR="00EA6F74" w:rsidRPr="00A16A93" w:rsidRDefault="00EA6F74" w:rsidP="00B8797A">
            <w:pPr>
              <w:pStyle w:val="TableText"/>
              <w:keepNext/>
              <w:jc w:val="center"/>
            </w:pPr>
          </w:p>
        </w:tc>
        <w:tc>
          <w:tcPr>
            <w:tcW w:w="1302" w:type="dxa"/>
            <w:gridSpan w:val="3"/>
            <w:tcBorders>
              <w:top w:val="single" w:sz="4" w:space="0" w:color="A6A6A6" w:themeColor="background1" w:themeShade="A6"/>
              <w:bottom w:val="nil"/>
            </w:tcBorders>
          </w:tcPr>
          <w:p w:rsidR="00EA6F74" w:rsidRPr="00A16A93" w:rsidRDefault="00EA6F74" w:rsidP="00B8797A">
            <w:pPr>
              <w:pStyle w:val="TableText"/>
              <w:keepNext/>
              <w:jc w:val="center"/>
            </w:pPr>
          </w:p>
        </w:tc>
        <w:tc>
          <w:tcPr>
            <w:tcW w:w="1302" w:type="dxa"/>
            <w:gridSpan w:val="3"/>
            <w:tcBorders>
              <w:top w:val="single" w:sz="4" w:space="0" w:color="A6A6A6" w:themeColor="background1" w:themeShade="A6"/>
              <w:bottom w:val="nil"/>
            </w:tcBorders>
          </w:tcPr>
          <w:p w:rsidR="00EA6F74" w:rsidRPr="00A16A93" w:rsidRDefault="00EA6F74" w:rsidP="00B8797A">
            <w:pPr>
              <w:pStyle w:val="TableText"/>
              <w:keepNext/>
              <w:jc w:val="center"/>
            </w:pPr>
          </w:p>
        </w:tc>
        <w:tc>
          <w:tcPr>
            <w:tcW w:w="1302" w:type="dxa"/>
            <w:gridSpan w:val="2"/>
            <w:tcBorders>
              <w:top w:val="single" w:sz="4" w:space="0" w:color="A6A6A6" w:themeColor="background1" w:themeShade="A6"/>
              <w:bottom w:val="nil"/>
            </w:tcBorders>
          </w:tcPr>
          <w:p w:rsidR="00EA6F74" w:rsidRPr="00A16A93" w:rsidRDefault="00EA6F74" w:rsidP="00B8797A">
            <w:pPr>
              <w:pStyle w:val="TableText"/>
              <w:keepNext/>
              <w:jc w:val="center"/>
            </w:pPr>
          </w:p>
        </w:tc>
      </w:tr>
      <w:tr w:rsidR="001603B6" w:rsidRPr="00A16A93" w:rsidTr="001603B6">
        <w:trPr>
          <w:cantSplit/>
        </w:trPr>
        <w:tc>
          <w:tcPr>
            <w:tcW w:w="440" w:type="dxa"/>
            <w:tcBorders>
              <w:top w:val="nil"/>
              <w:bottom w:val="nil"/>
            </w:tcBorders>
          </w:tcPr>
          <w:p w:rsidR="001603B6" w:rsidRPr="00A16A93" w:rsidRDefault="001603B6" w:rsidP="00B8797A">
            <w:pPr>
              <w:pStyle w:val="TableText"/>
              <w:keepNext/>
              <w:spacing w:before="0"/>
            </w:pPr>
          </w:p>
        </w:tc>
        <w:tc>
          <w:tcPr>
            <w:tcW w:w="1662" w:type="dxa"/>
            <w:tcBorders>
              <w:top w:val="nil"/>
              <w:bottom w:val="nil"/>
            </w:tcBorders>
          </w:tcPr>
          <w:p w:rsidR="001603B6" w:rsidRPr="00A16A93" w:rsidRDefault="001603B6" w:rsidP="00B8797A">
            <w:pPr>
              <w:pStyle w:val="TableText"/>
              <w:keepNext/>
              <w:spacing w:before="0"/>
            </w:pPr>
          </w:p>
        </w:tc>
        <w:tc>
          <w:tcPr>
            <w:tcW w:w="2047" w:type="dxa"/>
            <w:gridSpan w:val="2"/>
            <w:tcBorders>
              <w:top w:val="nil"/>
              <w:bottom w:val="nil"/>
            </w:tcBorders>
          </w:tcPr>
          <w:p w:rsidR="001603B6" w:rsidRPr="00A16A93" w:rsidRDefault="001603B6" w:rsidP="00B8797A">
            <w:pPr>
              <w:pStyle w:val="TableBullet"/>
              <w:keepNext/>
            </w:pPr>
            <w:r w:rsidRPr="00A16A93">
              <w:t>thin</w:t>
            </w:r>
          </w:p>
        </w:tc>
        <w:tc>
          <w:tcPr>
            <w:tcW w:w="1301" w:type="dxa"/>
            <w:gridSpan w:val="3"/>
            <w:tcBorders>
              <w:top w:val="nil"/>
              <w:bottom w:val="nil"/>
            </w:tcBorders>
          </w:tcPr>
          <w:p w:rsidR="001603B6" w:rsidRPr="00A16A93" w:rsidRDefault="001603B6" w:rsidP="00B8797A">
            <w:pPr>
              <w:pStyle w:val="TableText"/>
              <w:keepNext/>
              <w:spacing w:before="0"/>
              <w:jc w:val="center"/>
            </w:pPr>
            <w:r w:rsidRPr="00A16A93">
              <w:t>4.3%</w:t>
            </w:r>
          </w:p>
        </w:tc>
        <w:tc>
          <w:tcPr>
            <w:tcW w:w="1302" w:type="dxa"/>
            <w:gridSpan w:val="3"/>
            <w:tcBorders>
              <w:top w:val="nil"/>
              <w:bottom w:val="nil"/>
            </w:tcBorders>
          </w:tcPr>
          <w:p w:rsidR="001603B6" w:rsidRPr="00A16A93" w:rsidRDefault="001603B6" w:rsidP="00B8797A">
            <w:pPr>
              <w:pStyle w:val="TableText"/>
              <w:keepNext/>
              <w:spacing w:before="0"/>
              <w:jc w:val="center"/>
            </w:pPr>
            <w:r w:rsidRPr="00A16A93">
              <w:t>2.4%</w:t>
            </w:r>
          </w:p>
        </w:tc>
        <w:tc>
          <w:tcPr>
            <w:tcW w:w="1302" w:type="dxa"/>
            <w:gridSpan w:val="3"/>
            <w:tcBorders>
              <w:top w:val="nil"/>
              <w:bottom w:val="nil"/>
            </w:tcBorders>
          </w:tcPr>
          <w:p w:rsidR="001603B6" w:rsidRPr="00A16A93" w:rsidRDefault="001603B6" w:rsidP="00B8797A">
            <w:pPr>
              <w:pStyle w:val="TableText"/>
              <w:keepNext/>
              <w:spacing w:before="0"/>
              <w:jc w:val="center"/>
            </w:pPr>
            <w:r w:rsidRPr="00A16A93">
              <w:t>1.8%</w:t>
            </w:r>
          </w:p>
        </w:tc>
        <w:tc>
          <w:tcPr>
            <w:tcW w:w="1302" w:type="dxa"/>
            <w:gridSpan w:val="2"/>
            <w:tcBorders>
              <w:top w:val="nil"/>
              <w:bottom w:val="nil"/>
            </w:tcBorders>
          </w:tcPr>
          <w:p w:rsidR="001603B6" w:rsidRPr="00A16A93" w:rsidRDefault="001603B6" w:rsidP="00B8797A">
            <w:pPr>
              <w:pStyle w:val="TableText"/>
              <w:keepNext/>
              <w:spacing w:before="0"/>
              <w:jc w:val="center"/>
            </w:pPr>
            <w:r w:rsidRPr="00A16A93">
              <w:t>4.1%</w:t>
            </w:r>
          </w:p>
        </w:tc>
      </w:tr>
      <w:tr w:rsidR="001603B6" w:rsidRPr="00A16A93" w:rsidTr="001603B6">
        <w:trPr>
          <w:cantSplit/>
        </w:trPr>
        <w:tc>
          <w:tcPr>
            <w:tcW w:w="440" w:type="dxa"/>
            <w:tcBorders>
              <w:top w:val="nil"/>
              <w:bottom w:val="nil"/>
            </w:tcBorders>
          </w:tcPr>
          <w:p w:rsidR="001603B6" w:rsidRPr="00A16A93" w:rsidRDefault="001603B6" w:rsidP="00B8797A">
            <w:pPr>
              <w:pStyle w:val="TableText"/>
              <w:keepNext/>
              <w:spacing w:before="0"/>
            </w:pPr>
          </w:p>
        </w:tc>
        <w:tc>
          <w:tcPr>
            <w:tcW w:w="1662" w:type="dxa"/>
            <w:tcBorders>
              <w:top w:val="nil"/>
              <w:bottom w:val="nil"/>
            </w:tcBorders>
          </w:tcPr>
          <w:p w:rsidR="001603B6" w:rsidRPr="00A16A93" w:rsidRDefault="001603B6" w:rsidP="00B8797A">
            <w:pPr>
              <w:pStyle w:val="TableText"/>
              <w:keepNext/>
              <w:spacing w:before="0"/>
            </w:pPr>
          </w:p>
        </w:tc>
        <w:tc>
          <w:tcPr>
            <w:tcW w:w="2047" w:type="dxa"/>
            <w:gridSpan w:val="2"/>
            <w:tcBorders>
              <w:top w:val="nil"/>
              <w:bottom w:val="nil"/>
            </w:tcBorders>
          </w:tcPr>
          <w:p w:rsidR="001603B6" w:rsidRPr="00A16A93" w:rsidRDefault="001603B6" w:rsidP="00B8797A">
            <w:pPr>
              <w:pStyle w:val="TableBullet"/>
              <w:keepNext/>
            </w:pPr>
            <w:r w:rsidRPr="00A16A93">
              <w:t>a healthy weight</w:t>
            </w:r>
          </w:p>
        </w:tc>
        <w:tc>
          <w:tcPr>
            <w:tcW w:w="1301" w:type="dxa"/>
            <w:gridSpan w:val="3"/>
            <w:tcBorders>
              <w:top w:val="nil"/>
              <w:bottom w:val="nil"/>
            </w:tcBorders>
          </w:tcPr>
          <w:p w:rsidR="001603B6" w:rsidRPr="00A16A93" w:rsidRDefault="001603B6" w:rsidP="00B8797A">
            <w:pPr>
              <w:pStyle w:val="TableText"/>
              <w:keepNext/>
              <w:spacing w:before="0"/>
              <w:jc w:val="center"/>
            </w:pPr>
            <w:r w:rsidRPr="00A16A93">
              <w:t>63.9%</w:t>
            </w:r>
          </w:p>
        </w:tc>
        <w:tc>
          <w:tcPr>
            <w:tcW w:w="1302" w:type="dxa"/>
            <w:gridSpan w:val="3"/>
            <w:tcBorders>
              <w:top w:val="nil"/>
              <w:bottom w:val="nil"/>
            </w:tcBorders>
          </w:tcPr>
          <w:p w:rsidR="001603B6" w:rsidRPr="00A16A93" w:rsidRDefault="001603B6" w:rsidP="00B8797A">
            <w:pPr>
              <w:pStyle w:val="TableText"/>
              <w:keepNext/>
              <w:spacing w:before="0"/>
              <w:jc w:val="center"/>
            </w:pPr>
            <w:r w:rsidRPr="00A16A93">
              <w:t>53.7%</w:t>
            </w:r>
          </w:p>
        </w:tc>
        <w:tc>
          <w:tcPr>
            <w:tcW w:w="1302" w:type="dxa"/>
            <w:gridSpan w:val="3"/>
            <w:tcBorders>
              <w:top w:val="nil"/>
              <w:bottom w:val="nil"/>
            </w:tcBorders>
          </w:tcPr>
          <w:p w:rsidR="001603B6" w:rsidRPr="00A16A93" w:rsidRDefault="001603B6" w:rsidP="00B8797A">
            <w:pPr>
              <w:pStyle w:val="TableText"/>
              <w:keepNext/>
              <w:spacing w:before="0"/>
              <w:jc w:val="center"/>
            </w:pPr>
            <w:r w:rsidRPr="00A16A93">
              <w:t>37.2%</w:t>
            </w:r>
          </w:p>
        </w:tc>
        <w:tc>
          <w:tcPr>
            <w:tcW w:w="1302" w:type="dxa"/>
            <w:gridSpan w:val="2"/>
            <w:tcBorders>
              <w:top w:val="nil"/>
              <w:bottom w:val="nil"/>
            </w:tcBorders>
          </w:tcPr>
          <w:p w:rsidR="001603B6" w:rsidRPr="00A16A93" w:rsidRDefault="001603B6" w:rsidP="00B8797A">
            <w:pPr>
              <w:pStyle w:val="TableText"/>
              <w:keepNext/>
              <w:spacing w:before="0"/>
              <w:jc w:val="center"/>
            </w:pPr>
            <w:r w:rsidRPr="00A16A93">
              <w:t>49.6%</w:t>
            </w:r>
          </w:p>
        </w:tc>
      </w:tr>
      <w:tr w:rsidR="001603B6" w:rsidRPr="00A16A93" w:rsidTr="001603B6">
        <w:trPr>
          <w:cantSplit/>
        </w:trPr>
        <w:tc>
          <w:tcPr>
            <w:tcW w:w="440" w:type="dxa"/>
            <w:tcBorders>
              <w:top w:val="nil"/>
              <w:bottom w:val="nil"/>
            </w:tcBorders>
          </w:tcPr>
          <w:p w:rsidR="001603B6" w:rsidRPr="00A16A93" w:rsidRDefault="001603B6" w:rsidP="00B8797A">
            <w:pPr>
              <w:pStyle w:val="TableText"/>
              <w:keepNext/>
              <w:spacing w:before="0"/>
            </w:pPr>
          </w:p>
        </w:tc>
        <w:tc>
          <w:tcPr>
            <w:tcW w:w="1662" w:type="dxa"/>
            <w:tcBorders>
              <w:top w:val="nil"/>
              <w:bottom w:val="nil"/>
            </w:tcBorders>
          </w:tcPr>
          <w:p w:rsidR="001603B6" w:rsidRPr="00A16A93" w:rsidRDefault="001603B6" w:rsidP="00B8797A">
            <w:pPr>
              <w:pStyle w:val="TableText"/>
              <w:keepNext/>
              <w:spacing w:before="0"/>
            </w:pPr>
          </w:p>
        </w:tc>
        <w:tc>
          <w:tcPr>
            <w:tcW w:w="2047" w:type="dxa"/>
            <w:gridSpan w:val="2"/>
            <w:tcBorders>
              <w:top w:val="nil"/>
              <w:bottom w:val="nil"/>
            </w:tcBorders>
          </w:tcPr>
          <w:p w:rsidR="001603B6" w:rsidRPr="00A16A93" w:rsidRDefault="001603B6" w:rsidP="00B8797A">
            <w:pPr>
              <w:pStyle w:val="TableBullet"/>
              <w:keepNext/>
            </w:pPr>
            <w:r w:rsidRPr="00A16A93">
              <w:t>overweight (but not obese)</w:t>
            </w:r>
          </w:p>
        </w:tc>
        <w:tc>
          <w:tcPr>
            <w:tcW w:w="1301" w:type="dxa"/>
            <w:gridSpan w:val="3"/>
            <w:tcBorders>
              <w:top w:val="nil"/>
              <w:bottom w:val="nil"/>
            </w:tcBorders>
          </w:tcPr>
          <w:p w:rsidR="001603B6" w:rsidRPr="00A16A93" w:rsidRDefault="001603B6" w:rsidP="00B8797A">
            <w:pPr>
              <w:pStyle w:val="TableText"/>
              <w:keepNext/>
              <w:spacing w:before="0"/>
              <w:jc w:val="center"/>
            </w:pPr>
            <w:r w:rsidRPr="00A16A93">
              <w:t>21.1%</w:t>
            </w:r>
          </w:p>
        </w:tc>
        <w:tc>
          <w:tcPr>
            <w:tcW w:w="1302" w:type="dxa"/>
            <w:gridSpan w:val="3"/>
            <w:tcBorders>
              <w:top w:val="nil"/>
              <w:bottom w:val="nil"/>
            </w:tcBorders>
          </w:tcPr>
          <w:p w:rsidR="001603B6" w:rsidRPr="00A16A93" w:rsidRDefault="001603B6" w:rsidP="00B8797A">
            <w:pPr>
              <w:pStyle w:val="TableText"/>
              <w:keepNext/>
              <w:spacing w:before="0"/>
              <w:jc w:val="center"/>
            </w:pPr>
            <w:r w:rsidRPr="00A16A93">
              <w:t>29.1%</w:t>
            </w:r>
          </w:p>
        </w:tc>
        <w:tc>
          <w:tcPr>
            <w:tcW w:w="1302" w:type="dxa"/>
            <w:gridSpan w:val="3"/>
            <w:tcBorders>
              <w:top w:val="nil"/>
              <w:bottom w:val="nil"/>
            </w:tcBorders>
          </w:tcPr>
          <w:p w:rsidR="001603B6" w:rsidRPr="00A16A93" w:rsidRDefault="001603B6" w:rsidP="00B8797A">
            <w:pPr>
              <w:pStyle w:val="TableText"/>
              <w:keepNext/>
              <w:spacing w:before="0"/>
              <w:jc w:val="center"/>
            </w:pPr>
            <w:r w:rsidRPr="00A16A93">
              <w:t>31.3%</w:t>
            </w:r>
          </w:p>
        </w:tc>
        <w:tc>
          <w:tcPr>
            <w:tcW w:w="1302" w:type="dxa"/>
            <w:gridSpan w:val="2"/>
            <w:tcBorders>
              <w:top w:val="nil"/>
              <w:bottom w:val="nil"/>
            </w:tcBorders>
          </w:tcPr>
          <w:p w:rsidR="001603B6" w:rsidRPr="00A16A93" w:rsidRDefault="001603B6" w:rsidP="00B8797A">
            <w:pPr>
              <w:pStyle w:val="TableText"/>
              <w:keepNext/>
              <w:spacing w:before="0"/>
              <w:jc w:val="center"/>
            </w:pPr>
            <w:r w:rsidRPr="00A16A93">
              <w:t>26.4%</w:t>
            </w:r>
          </w:p>
        </w:tc>
      </w:tr>
      <w:tr w:rsidR="001603B6" w:rsidRPr="00A16A93" w:rsidTr="00B21C3C">
        <w:trPr>
          <w:cantSplit/>
        </w:trPr>
        <w:tc>
          <w:tcPr>
            <w:tcW w:w="440" w:type="dxa"/>
            <w:tcBorders>
              <w:top w:val="nil"/>
              <w:bottom w:val="single" w:sz="4" w:space="0" w:color="A6A6A6" w:themeColor="background1" w:themeShade="A6"/>
            </w:tcBorders>
          </w:tcPr>
          <w:p w:rsidR="001603B6" w:rsidRPr="00A16A93" w:rsidRDefault="001603B6" w:rsidP="001603B6">
            <w:pPr>
              <w:pStyle w:val="TableText"/>
              <w:spacing w:before="0"/>
            </w:pPr>
          </w:p>
        </w:tc>
        <w:tc>
          <w:tcPr>
            <w:tcW w:w="1662" w:type="dxa"/>
            <w:tcBorders>
              <w:top w:val="nil"/>
              <w:bottom w:val="single" w:sz="4" w:space="0" w:color="A6A6A6" w:themeColor="background1" w:themeShade="A6"/>
            </w:tcBorders>
          </w:tcPr>
          <w:p w:rsidR="001603B6" w:rsidRPr="00A16A93" w:rsidRDefault="001603B6" w:rsidP="001603B6">
            <w:pPr>
              <w:pStyle w:val="TableText"/>
              <w:spacing w:before="0"/>
            </w:pPr>
          </w:p>
        </w:tc>
        <w:tc>
          <w:tcPr>
            <w:tcW w:w="2047" w:type="dxa"/>
            <w:gridSpan w:val="2"/>
            <w:tcBorders>
              <w:top w:val="nil"/>
              <w:bottom w:val="single" w:sz="4" w:space="0" w:color="A6A6A6" w:themeColor="background1" w:themeShade="A6"/>
            </w:tcBorders>
          </w:tcPr>
          <w:p w:rsidR="001603B6" w:rsidRPr="00A16A93" w:rsidRDefault="001603B6" w:rsidP="001603B6">
            <w:pPr>
              <w:pStyle w:val="TableBullet"/>
            </w:pPr>
            <w:r w:rsidRPr="00A16A93">
              <w:t>obese</w:t>
            </w:r>
          </w:p>
          <w:p w:rsidR="001603B6" w:rsidRPr="00A16A93" w:rsidRDefault="001603B6" w:rsidP="00B21C3C">
            <w:pPr>
              <w:pStyle w:val="TableText"/>
              <w:spacing w:before="0"/>
            </w:pPr>
            <w:r w:rsidRPr="00A16A93">
              <w:t>(2015/16)</w:t>
            </w:r>
          </w:p>
        </w:tc>
        <w:tc>
          <w:tcPr>
            <w:tcW w:w="1301" w:type="dxa"/>
            <w:gridSpan w:val="3"/>
            <w:tcBorders>
              <w:top w:val="nil"/>
              <w:bottom w:val="single" w:sz="4" w:space="0" w:color="A6A6A6" w:themeColor="background1" w:themeShade="A6"/>
            </w:tcBorders>
          </w:tcPr>
          <w:p w:rsidR="001603B6" w:rsidRPr="00A16A93" w:rsidRDefault="001603B6" w:rsidP="001603B6">
            <w:pPr>
              <w:pStyle w:val="TableText"/>
              <w:spacing w:before="0"/>
              <w:jc w:val="center"/>
            </w:pPr>
            <w:r w:rsidRPr="00A16A93">
              <w:t>10.7%</w:t>
            </w:r>
          </w:p>
        </w:tc>
        <w:tc>
          <w:tcPr>
            <w:tcW w:w="1302" w:type="dxa"/>
            <w:gridSpan w:val="3"/>
            <w:tcBorders>
              <w:top w:val="nil"/>
              <w:bottom w:val="single" w:sz="4" w:space="0" w:color="A6A6A6" w:themeColor="background1" w:themeShade="A6"/>
            </w:tcBorders>
          </w:tcPr>
          <w:p w:rsidR="001603B6" w:rsidRPr="00A16A93" w:rsidRDefault="001603B6" w:rsidP="001603B6">
            <w:pPr>
              <w:pStyle w:val="TableText"/>
              <w:spacing w:before="0"/>
              <w:jc w:val="center"/>
            </w:pPr>
            <w:r w:rsidRPr="00A16A93">
              <w:t>14.7%</w:t>
            </w:r>
          </w:p>
        </w:tc>
        <w:tc>
          <w:tcPr>
            <w:tcW w:w="1302" w:type="dxa"/>
            <w:gridSpan w:val="3"/>
            <w:tcBorders>
              <w:top w:val="nil"/>
              <w:bottom w:val="single" w:sz="4" w:space="0" w:color="A6A6A6" w:themeColor="background1" w:themeShade="A6"/>
            </w:tcBorders>
          </w:tcPr>
          <w:p w:rsidR="001603B6" w:rsidRPr="00A16A93" w:rsidRDefault="001603B6" w:rsidP="001603B6">
            <w:pPr>
              <w:pStyle w:val="TableText"/>
              <w:spacing w:before="0"/>
              <w:jc w:val="center"/>
            </w:pPr>
            <w:r w:rsidRPr="00A16A93">
              <w:t>29.8%</w:t>
            </w:r>
          </w:p>
        </w:tc>
        <w:tc>
          <w:tcPr>
            <w:tcW w:w="1302" w:type="dxa"/>
            <w:gridSpan w:val="2"/>
            <w:tcBorders>
              <w:top w:val="nil"/>
              <w:bottom w:val="single" w:sz="4" w:space="0" w:color="A6A6A6" w:themeColor="background1" w:themeShade="A6"/>
            </w:tcBorders>
          </w:tcPr>
          <w:p w:rsidR="001603B6" w:rsidRPr="00A16A93" w:rsidRDefault="001603B6" w:rsidP="001603B6">
            <w:pPr>
              <w:pStyle w:val="TableText"/>
              <w:spacing w:before="0"/>
              <w:jc w:val="center"/>
            </w:pPr>
            <w:r w:rsidRPr="00A16A93">
              <w:t>20.0%</w:t>
            </w:r>
          </w:p>
        </w:tc>
      </w:tr>
      <w:tr w:rsidR="001603B6" w:rsidRPr="00A16A93" w:rsidTr="00B21C3C">
        <w:trPr>
          <w:cantSplit/>
        </w:trPr>
        <w:tc>
          <w:tcPr>
            <w:tcW w:w="440" w:type="dxa"/>
            <w:tcBorders>
              <w:top w:val="single" w:sz="4" w:space="0" w:color="A6A6A6" w:themeColor="background1" w:themeShade="A6"/>
              <w:bottom w:val="single" w:sz="4" w:space="0" w:color="A6A6A6" w:themeColor="background1" w:themeShade="A6"/>
            </w:tcBorders>
          </w:tcPr>
          <w:p w:rsidR="001603B6" w:rsidRPr="00A16A93" w:rsidRDefault="001603B6" w:rsidP="007C6368">
            <w:pPr>
              <w:pStyle w:val="TableText"/>
            </w:pPr>
            <w:r w:rsidRPr="00A16A93">
              <w:t>13</w:t>
            </w:r>
          </w:p>
        </w:tc>
        <w:tc>
          <w:tcPr>
            <w:tcW w:w="1662" w:type="dxa"/>
            <w:tcBorders>
              <w:top w:val="single" w:sz="4" w:space="0" w:color="A6A6A6" w:themeColor="background1" w:themeShade="A6"/>
              <w:bottom w:val="single" w:sz="4" w:space="0" w:color="A6A6A6" w:themeColor="background1" w:themeShade="A6"/>
            </w:tcBorders>
          </w:tcPr>
          <w:p w:rsidR="001603B6" w:rsidRPr="00A16A93" w:rsidRDefault="001603B6" w:rsidP="007C6368">
            <w:pPr>
              <w:pStyle w:val="TableText"/>
            </w:pPr>
            <w:r w:rsidRPr="00A16A93">
              <w:t>Gestational diabetes</w:t>
            </w:r>
          </w:p>
        </w:tc>
        <w:tc>
          <w:tcPr>
            <w:tcW w:w="2047" w:type="dxa"/>
            <w:gridSpan w:val="2"/>
            <w:tcBorders>
              <w:top w:val="single" w:sz="4" w:space="0" w:color="A6A6A6" w:themeColor="background1" w:themeShade="A6"/>
              <w:bottom w:val="single" w:sz="4" w:space="0" w:color="A6A6A6" w:themeColor="background1" w:themeShade="A6"/>
            </w:tcBorders>
          </w:tcPr>
          <w:p w:rsidR="001603B6" w:rsidRPr="00A16A93" w:rsidRDefault="001603B6" w:rsidP="007C6368">
            <w:pPr>
              <w:pStyle w:val="TableText"/>
            </w:pPr>
            <w:r w:rsidRPr="00A16A93">
              <w:t>Percentage of births where the mother had gestational diabetes (2015/16)</w:t>
            </w:r>
          </w:p>
        </w:tc>
        <w:tc>
          <w:tcPr>
            <w:tcW w:w="1301" w:type="dxa"/>
            <w:gridSpan w:val="3"/>
            <w:tcBorders>
              <w:top w:val="single" w:sz="4" w:space="0" w:color="A6A6A6" w:themeColor="background1" w:themeShade="A6"/>
              <w:bottom w:val="single" w:sz="4" w:space="0" w:color="A6A6A6" w:themeColor="background1" w:themeShade="A6"/>
            </w:tcBorders>
          </w:tcPr>
          <w:p w:rsidR="001603B6" w:rsidRPr="00A16A93" w:rsidRDefault="001603B6" w:rsidP="00B21C3C">
            <w:pPr>
              <w:pStyle w:val="TableText"/>
              <w:jc w:val="center"/>
            </w:pPr>
            <w:r w:rsidRPr="00A16A93">
              <w:t>6.1%</w:t>
            </w:r>
          </w:p>
        </w:tc>
        <w:tc>
          <w:tcPr>
            <w:tcW w:w="1302" w:type="dxa"/>
            <w:gridSpan w:val="3"/>
            <w:tcBorders>
              <w:top w:val="single" w:sz="4" w:space="0" w:color="A6A6A6" w:themeColor="background1" w:themeShade="A6"/>
              <w:bottom w:val="single" w:sz="4" w:space="0" w:color="A6A6A6" w:themeColor="background1" w:themeShade="A6"/>
            </w:tcBorders>
          </w:tcPr>
          <w:p w:rsidR="001603B6" w:rsidRPr="00A16A93" w:rsidRDefault="001603B6" w:rsidP="00B21C3C">
            <w:pPr>
              <w:pStyle w:val="TableText"/>
              <w:jc w:val="center"/>
            </w:pPr>
            <w:r w:rsidRPr="00A16A93">
              <w:t>4.0%</w:t>
            </w:r>
          </w:p>
        </w:tc>
        <w:tc>
          <w:tcPr>
            <w:tcW w:w="1302" w:type="dxa"/>
            <w:gridSpan w:val="3"/>
            <w:tcBorders>
              <w:top w:val="single" w:sz="4" w:space="0" w:color="A6A6A6" w:themeColor="background1" w:themeShade="A6"/>
              <w:bottom w:val="single" w:sz="4" w:space="0" w:color="A6A6A6" w:themeColor="background1" w:themeShade="A6"/>
            </w:tcBorders>
          </w:tcPr>
          <w:p w:rsidR="001603B6" w:rsidRPr="00A16A93" w:rsidRDefault="001603B6" w:rsidP="00B21C3C">
            <w:pPr>
              <w:pStyle w:val="TableText"/>
              <w:jc w:val="center"/>
            </w:pPr>
            <w:r w:rsidRPr="00A16A93">
              <w:t>9.2%</w:t>
            </w:r>
          </w:p>
        </w:tc>
        <w:tc>
          <w:tcPr>
            <w:tcW w:w="1302" w:type="dxa"/>
            <w:gridSpan w:val="2"/>
            <w:tcBorders>
              <w:top w:val="single" w:sz="4" w:space="0" w:color="A6A6A6" w:themeColor="background1" w:themeShade="A6"/>
              <w:bottom w:val="single" w:sz="4" w:space="0" w:color="A6A6A6" w:themeColor="background1" w:themeShade="A6"/>
            </w:tcBorders>
          </w:tcPr>
          <w:p w:rsidR="001603B6" w:rsidRPr="00A16A93" w:rsidRDefault="001603B6" w:rsidP="00B21C3C">
            <w:pPr>
              <w:pStyle w:val="TableText"/>
              <w:jc w:val="center"/>
            </w:pPr>
            <w:r w:rsidRPr="00A16A93">
              <w:t>6.4%</w:t>
            </w:r>
          </w:p>
        </w:tc>
      </w:tr>
      <w:tr w:rsidR="001603B6" w:rsidRPr="00A16A93" w:rsidTr="00B21C3C">
        <w:trPr>
          <w:cantSplit/>
        </w:trPr>
        <w:tc>
          <w:tcPr>
            <w:tcW w:w="440" w:type="dxa"/>
            <w:tcBorders>
              <w:top w:val="single" w:sz="4" w:space="0" w:color="A6A6A6" w:themeColor="background1" w:themeShade="A6"/>
              <w:bottom w:val="single" w:sz="4" w:space="0" w:color="A6A6A6" w:themeColor="background1" w:themeShade="A6"/>
            </w:tcBorders>
          </w:tcPr>
          <w:p w:rsidR="001603B6" w:rsidRPr="00A16A93" w:rsidRDefault="001603B6" w:rsidP="007C6368">
            <w:pPr>
              <w:pStyle w:val="TableText"/>
            </w:pPr>
            <w:r w:rsidRPr="00A16A93">
              <w:t>14</w:t>
            </w:r>
          </w:p>
        </w:tc>
        <w:tc>
          <w:tcPr>
            <w:tcW w:w="1662" w:type="dxa"/>
            <w:tcBorders>
              <w:top w:val="single" w:sz="4" w:space="0" w:color="A6A6A6" w:themeColor="background1" w:themeShade="A6"/>
              <w:bottom w:val="single" w:sz="4" w:space="0" w:color="A6A6A6" w:themeColor="background1" w:themeShade="A6"/>
            </w:tcBorders>
          </w:tcPr>
          <w:p w:rsidR="001603B6" w:rsidRPr="00A16A93" w:rsidRDefault="001603B6" w:rsidP="007C6368">
            <w:pPr>
              <w:pStyle w:val="TableText"/>
            </w:pPr>
            <w:r w:rsidRPr="00A16A93">
              <w:t>Raising Healthy Kids health target</w:t>
            </w:r>
          </w:p>
        </w:tc>
        <w:tc>
          <w:tcPr>
            <w:tcW w:w="2047" w:type="dxa"/>
            <w:gridSpan w:val="2"/>
            <w:tcBorders>
              <w:top w:val="single" w:sz="4" w:space="0" w:color="A6A6A6" w:themeColor="background1" w:themeShade="A6"/>
              <w:bottom w:val="single" w:sz="4" w:space="0" w:color="A6A6A6" w:themeColor="background1" w:themeShade="A6"/>
            </w:tcBorders>
          </w:tcPr>
          <w:p w:rsidR="001603B6" w:rsidRPr="00A16A93" w:rsidRDefault="001603B6" w:rsidP="007C6368">
            <w:pPr>
              <w:pStyle w:val="TableText"/>
            </w:pPr>
            <w:r w:rsidRPr="00A16A93">
              <w:t>Percentage of obese children identified in the B4 School Check programme who were offered a referral to a health professional for clinical assessment and family-based nutrition, activity and lifestyle interventions (Q1 2016/17)</w:t>
            </w:r>
          </w:p>
        </w:tc>
        <w:tc>
          <w:tcPr>
            <w:tcW w:w="1301" w:type="dxa"/>
            <w:gridSpan w:val="3"/>
            <w:tcBorders>
              <w:top w:val="single" w:sz="4" w:space="0" w:color="A6A6A6" w:themeColor="background1" w:themeShade="A6"/>
              <w:bottom w:val="single" w:sz="4" w:space="0" w:color="A6A6A6" w:themeColor="background1" w:themeShade="A6"/>
            </w:tcBorders>
          </w:tcPr>
          <w:p w:rsidR="001603B6" w:rsidRPr="00A16A93" w:rsidRDefault="001603B6" w:rsidP="00B21C3C">
            <w:pPr>
              <w:pStyle w:val="TableText"/>
              <w:jc w:val="center"/>
            </w:pPr>
            <w:r w:rsidRPr="00A16A93">
              <w:t>49%</w:t>
            </w:r>
          </w:p>
        </w:tc>
        <w:tc>
          <w:tcPr>
            <w:tcW w:w="1302" w:type="dxa"/>
            <w:gridSpan w:val="3"/>
            <w:tcBorders>
              <w:top w:val="single" w:sz="4" w:space="0" w:color="A6A6A6" w:themeColor="background1" w:themeShade="A6"/>
              <w:bottom w:val="single" w:sz="4" w:space="0" w:color="A6A6A6" w:themeColor="background1" w:themeShade="A6"/>
            </w:tcBorders>
          </w:tcPr>
          <w:p w:rsidR="001603B6" w:rsidRPr="00A16A93" w:rsidRDefault="001603B6" w:rsidP="00B21C3C">
            <w:pPr>
              <w:pStyle w:val="TableText"/>
              <w:jc w:val="center"/>
            </w:pPr>
            <w:r w:rsidRPr="00A16A93">
              <w:t>49%</w:t>
            </w:r>
          </w:p>
        </w:tc>
        <w:tc>
          <w:tcPr>
            <w:tcW w:w="1302" w:type="dxa"/>
            <w:gridSpan w:val="3"/>
            <w:tcBorders>
              <w:top w:val="single" w:sz="4" w:space="0" w:color="A6A6A6" w:themeColor="background1" w:themeShade="A6"/>
              <w:bottom w:val="single" w:sz="4" w:space="0" w:color="A6A6A6" w:themeColor="background1" w:themeShade="A6"/>
            </w:tcBorders>
          </w:tcPr>
          <w:p w:rsidR="001603B6" w:rsidRPr="00A16A93" w:rsidRDefault="001603B6" w:rsidP="00B21C3C">
            <w:pPr>
              <w:pStyle w:val="TableText"/>
              <w:jc w:val="center"/>
            </w:pPr>
            <w:r w:rsidRPr="00A16A93">
              <w:t>49%</w:t>
            </w:r>
          </w:p>
        </w:tc>
        <w:tc>
          <w:tcPr>
            <w:tcW w:w="1302" w:type="dxa"/>
            <w:gridSpan w:val="2"/>
            <w:tcBorders>
              <w:top w:val="single" w:sz="4" w:space="0" w:color="A6A6A6" w:themeColor="background1" w:themeShade="A6"/>
              <w:bottom w:val="single" w:sz="4" w:space="0" w:color="A6A6A6" w:themeColor="background1" w:themeShade="A6"/>
            </w:tcBorders>
          </w:tcPr>
          <w:p w:rsidR="001603B6" w:rsidRPr="00A16A93" w:rsidRDefault="001603B6" w:rsidP="00B21C3C">
            <w:pPr>
              <w:pStyle w:val="TableText"/>
              <w:jc w:val="center"/>
            </w:pPr>
            <w:r w:rsidRPr="00A16A93">
              <w:t>47%</w:t>
            </w:r>
          </w:p>
        </w:tc>
      </w:tr>
      <w:tr w:rsidR="001603B6" w:rsidRPr="00A16A93" w:rsidTr="00B21C3C">
        <w:trPr>
          <w:cantSplit/>
        </w:trPr>
        <w:tc>
          <w:tcPr>
            <w:tcW w:w="440" w:type="dxa"/>
            <w:tcBorders>
              <w:top w:val="single" w:sz="4" w:space="0" w:color="A6A6A6" w:themeColor="background1" w:themeShade="A6"/>
              <w:bottom w:val="nil"/>
            </w:tcBorders>
          </w:tcPr>
          <w:p w:rsidR="001603B6" w:rsidRPr="00A16A93" w:rsidRDefault="001603B6" w:rsidP="007C6368">
            <w:pPr>
              <w:pStyle w:val="TableText"/>
            </w:pPr>
            <w:r w:rsidRPr="00A16A93">
              <w:t>15</w:t>
            </w:r>
          </w:p>
        </w:tc>
        <w:tc>
          <w:tcPr>
            <w:tcW w:w="1662" w:type="dxa"/>
            <w:tcBorders>
              <w:top w:val="single" w:sz="4" w:space="0" w:color="A6A6A6" w:themeColor="background1" w:themeShade="A6"/>
              <w:bottom w:val="nil"/>
            </w:tcBorders>
          </w:tcPr>
          <w:p w:rsidR="001603B6" w:rsidRPr="00A16A93" w:rsidRDefault="001603B6" w:rsidP="007C6368">
            <w:pPr>
              <w:pStyle w:val="TableText"/>
            </w:pPr>
            <w:r w:rsidRPr="00A16A93">
              <w:t>Birth weight</w:t>
            </w:r>
          </w:p>
        </w:tc>
        <w:tc>
          <w:tcPr>
            <w:tcW w:w="2047" w:type="dxa"/>
            <w:gridSpan w:val="2"/>
            <w:tcBorders>
              <w:top w:val="single" w:sz="4" w:space="0" w:color="A6A6A6" w:themeColor="background1" w:themeShade="A6"/>
              <w:bottom w:val="nil"/>
            </w:tcBorders>
          </w:tcPr>
          <w:p w:rsidR="001603B6" w:rsidRPr="00A16A93" w:rsidRDefault="001603B6" w:rsidP="00B21C3C">
            <w:pPr>
              <w:pStyle w:val="TableText"/>
            </w:pPr>
            <w:r w:rsidRPr="00A16A93">
              <w:t>Percentage of babies whose birth weight (in kilograms) was:</w:t>
            </w:r>
          </w:p>
        </w:tc>
        <w:tc>
          <w:tcPr>
            <w:tcW w:w="1301" w:type="dxa"/>
            <w:gridSpan w:val="3"/>
            <w:tcBorders>
              <w:top w:val="single" w:sz="4" w:space="0" w:color="A6A6A6" w:themeColor="background1" w:themeShade="A6"/>
              <w:bottom w:val="nil"/>
            </w:tcBorders>
          </w:tcPr>
          <w:p w:rsidR="001603B6" w:rsidRPr="00A16A93" w:rsidRDefault="001603B6" w:rsidP="00B21C3C">
            <w:pPr>
              <w:pStyle w:val="TableText"/>
              <w:jc w:val="center"/>
            </w:pPr>
          </w:p>
        </w:tc>
        <w:tc>
          <w:tcPr>
            <w:tcW w:w="1302" w:type="dxa"/>
            <w:gridSpan w:val="3"/>
            <w:tcBorders>
              <w:top w:val="single" w:sz="4" w:space="0" w:color="A6A6A6" w:themeColor="background1" w:themeShade="A6"/>
              <w:bottom w:val="nil"/>
            </w:tcBorders>
          </w:tcPr>
          <w:p w:rsidR="001603B6" w:rsidRPr="00A16A93" w:rsidRDefault="001603B6" w:rsidP="00B21C3C">
            <w:pPr>
              <w:pStyle w:val="TableText"/>
              <w:jc w:val="center"/>
            </w:pPr>
          </w:p>
        </w:tc>
        <w:tc>
          <w:tcPr>
            <w:tcW w:w="1302" w:type="dxa"/>
            <w:gridSpan w:val="3"/>
            <w:tcBorders>
              <w:top w:val="single" w:sz="4" w:space="0" w:color="A6A6A6" w:themeColor="background1" w:themeShade="A6"/>
              <w:bottom w:val="nil"/>
            </w:tcBorders>
          </w:tcPr>
          <w:p w:rsidR="001603B6" w:rsidRPr="00A16A93" w:rsidRDefault="001603B6" w:rsidP="00B21C3C">
            <w:pPr>
              <w:pStyle w:val="TableText"/>
              <w:jc w:val="center"/>
            </w:pPr>
          </w:p>
        </w:tc>
        <w:tc>
          <w:tcPr>
            <w:tcW w:w="1302" w:type="dxa"/>
            <w:gridSpan w:val="2"/>
            <w:tcBorders>
              <w:top w:val="single" w:sz="4" w:space="0" w:color="A6A6A6" w:themeColor="background1" w:themeShade="A6"/>
              <w:bottom w:val="nil"/>
            </w:tcBorders>
          </w:tcPr>
          <w:p w:rsidR="001603B6" w:rsidRPr="00A16A93" w:rsidRDefault="001603B6" w:rsidP="00B21C3C">
            <w:pPr>
              <w:pStyle w:val="TableText"/>
              <w:jc w:val="center"/>
            </w:pPr>
          </w:p>
        </w:tc>
      </w:tr>
      <w:tr w:rsidR="00B21C3C" w:rsidRPr="00A16A93" w:rsidTr="00B21C3C">
        <w:trPr>
          <w:cantSplit/>
        </w:trPr>
        <w:tc>
          <w:tcPr>
            <w:tcW w:w="440" w:type="dxa"/>
            <w:tcBorders>
              <w:top w:val="nil"/>
              <w:bottom w:val="nil"/>
            </w:tcBorders>
          </w:tcPr>
          <w:p w:rsidR="00B21C3C" w:rsidRPr="00A16A93" w:rsidRDefault="00B21C3C" w:rsidP="00B21C3C">
            <w:pPr>
              <w:pStyle w:val="TableText"/>
              <w:spacing w:before="0"/>
            </w:pPr>
          </w:p>
        </w:tc>
        <w:tc>
          <w:tcPr>
            <w:tcW w:w="1662" w:type="dxa"/>
            <w:tcBorders>
              <w:top w:val="nil"/>
              <w:bottom w:val="nil"/>
            </w:tcBorders>
          </w:tcPr>
          <w:p w:rsidR="00B21C3C" w:rsidRPr="00A16A93" w:rsidRDefault="00B21C3C" w:rsidP="00B21C3C">
            <w:pPr>
              <w:pStyle w:val="TableText"/>
              <w:spacing w:before="0"/>
            </w:pPr>
          </w:p>
        </w:tc>
        <w:tc>
          <w:tcPr>
            <w:tcW w:w="2047" w:type="dxa"/>
            <w:gridSpan w:val="2"/>
            <w:tcBorders>
              <w:top w:val="nil"/>
              <w:bottom w:val="nil"/>
            </w:tcBorders>
          </w:tcPr>
          <w:p w:rsidR="00B21C3C" w:rsidRPr="00A16A93" w:rsidRDefault="00B21C3C" w:rsidP="00B21C3C">
            <w:pPr>
              <w:pStyle w:val="TableBullet"/>
            </w:pPr>
            <w:r w:rsidRPr="00A16A93">
              <w:t>extremely low</w:t>
            </w:r>
          </w:p>
        </w:tc>
        <w:tc>
          <w:tcPr>
            <w:tcW w:w="1301" w:type="dxa"/>
            <w:gridSpan w:val="3"/>
            <w:tcBorders>
              <w:top w:val="nil"/>
              <w:bottom w:val="nil"/>
            </w:tcBorders>
          </w:tcPr>
          <w:p w:rsidR="00B21C3C" w:rsidRPr="00A16A93" w:rsidRDefault="00B21C3C" w:rsidP="00B21C3C">
            <w:pPr>
              <w:pStyle w:val="TableText"/>
              <w:spacing w:before="0"/>
              <w:jc w:val="center"/>
            </w:pPr>
            <w:r w:rsidRPr="00A16A93">
              <w:t>0.4%</w:t>
            </w:r>
          </w:p>
        </w:tc>
        <w:tc>
          <w:tcPr>
            <w:tcW w:w="1302" w:type="dxa"/>
            <w:gridSpan w:val="3"/>
            <w:tcBorders>
              <w:top w:val="nil"/>
              <w:bottom w:val="nil"/>
            </w:tcBorders>
          </w:tcPr>
          <w:p w:rsidR="00B21C3C" w:rsidRPr="00A16A93" w:rsidRDefault="00B21C3C" w:rsidP="00B21C3C">
            <w:pPr>
              <w:pStyle w:val="TableText"/>
              <w:spacing w:before="0"/>
              <w:jc w:val="center"/>
            </w:pPr>
            <w:r w:rsidRPr="00A16A93">
              <w:t>0.4%</w:t>
            </w:r>
          </w:p>
        </w:tc>
        <w:tc>
          <w:tcPr>
            <w:tcW w:w="1302" w:type="dxa"/>
            <w:gridSpan w:val="3"/>
            <w:tcBorders>
              <w:top w:val="nil"/>
              <w:bottom w:val="nil"/>
            </w:tcBorders>
          </w:tcPr>
          <w:p w:rsidR="00B21C3C" w:rsidRPr="00A16A93" w:rsidRDefault="00B21C3C" w:rsidP="00B21C3C">
            <w:pPr>
              <w:pStyle w:val="TableText"/>
              <w:spacing w:before="0"/>
              <w:jc w:val="center"/>
            </w:pPr>
            <w:r w:rsidRPr="00A16A93">
              <w:t>0.4%</w:t>
            </w:r>
          </w:p>
        </w:tc>
        <w:tc>
          <w:tcPr>
            <w:tcW w:w="1302" w:type="dxa"/>
            <w:gridSpan w:val="2"/>
            <w:tcBorders>
              <w:top w:val="nil"/>
              <w:bottom w:val="nil"/>
            </w:tcBorders>
          </w:tcPr>
          <w:p w:rsidR="00B21C3C" w:rsidRPr="00A16A93" w:rsidRDefault="00B21C3C" w:rsidP="00B21C3C">
            <w:pPr>
              <w:pStyle w:val="TableText"/>
              <w:spacing w:before="0"/>
              <w:jc w:val="center"/>
            </w:pPr>
            <w:r w:rsidRPr="00A16A93">
              <w:t>0.4%</w:t>
            </w:r>
          </w:p>
        </w:tc>
      </w:tr>
      <w:tr w:rsidR="00B21C3C" w:rsidRPr="00A16A93" w:rsidTr="00B21C3C">
        <w:trPr>
          <w:cantSplit/>
        </w:trPr>
        <w:tc>
          <w:tcPr>
            <w:tcW w:w="440" w:type="dxa"/>
            <w:tcBorders>
              <w:top w:val="nil"/>
              <w:bottom w:val="nil"/>
            </w:tcBorders>
          </w:tcPr>
          <w:p w:rsidR="00B21C3C" w:rsidRPr="00A16A93" w:rsidRDefault="00B21C3C" w:rsidP="00B21C3C">
            <w:pPr>
              <w:pStyle w:val="TableText"/>
              <w:spacing w:before="0"/>
            </w:pPr>
          </w:p>
        </w:tc>
        <w:tc>
          <w:tcPr>
            <w:tcW w:w="1662" w:type="dxa"/>
            <w:tcBorders>
              <w:top w:val="nil"/>
              <w:bottom w:val="nil"/>
            </w:tcBorders>
          </w:tcPr>
          <w:p w:rsidR="00B21C3C" w:rsidRPr="00A16A93" w:rsidRDefault="00B21C3C" w:rsidP="00B21C3C">
            <w:pPr>
              <w:pStyle w:val="TableText"/>
              <w:spacing w:before="0"/>
            </w:pPr>
          </w:p>
        </w:tc>
        <w:tc>
          <w:tcPr>
            <w:tcW w:w="2047" w:type="dxa"/>
            <w:gridSpan w:val="2"/>
            <w:tcBorders>
              <w:top w:val="nil"/>
              <w:bottom w:val="nil"/>
            </w:tcBorders>
          </w:tcPr>
          <w:p w:rsidR="00B21C3C" w:rsidRPr="00A16A93" w:rsidRDefault="00B21C3C" w:rsidP="00B21C3C">
            <w:pPr>
              <w:pStyle w:val="TableBullet"/>
            </w:pPr>
            <w:r w:rsidRPr="00A16A93">
              <w:t>very low</w:t>
            </w:r>
          </w:p>
        </w:tc>
        <w:tc>
          <w:tcPr>
            <w:tcW w:w="1301" w:type="dxa"/>
            <w:gridSpan w:val="3"/>
            <w:tcBorders>
              <w:top w:val="nil"/>
              <w:bottom w:val="nil"/>
            </w:tcBorders>
          </w:tcPr>
          <w:p w:rsidR="00B21C3C" w:rsidRPr="00A16A93" w:rsidRDefault="00B21C3C" w:rsidP="00B21C3C">
            <w:pPr>
              <w:pStyle w:val="TableText"/>
              <w:spacing w:before="0"/>
              <w:jc w:val="center"/>
            </w:pPr>
            <w:r w:rsidRPr="00A16A93">
              <w:t>0.6%</w:t>
            </w:r>
          </w:p>
        </w:tc>
        <w:tc>
          <w:tcPr>
            <w:tcW w:w="1302" w:type="dxa"/>
            <w:gridSpan w:val="3"/>
            <w:tcBorders>
              <w:top w:val="nil"/>
              <w:bottom w:val="nil"/>
            </w:tcBorders>
          </w:tcPr>
          <w:p w:rsidR="00B21C3C" w:rsidRPr="00A16A93" w:rsidRDefault="00B21C3C" w:rsidP="00B21C3C">
            <w:pPr>
              <w:pStyle w:val="TableText"/>
              <w:spacing w:before="0"/>
              <w:jc w:val="center"/>
            </w:pPr>
            <w:r w:rsidRPr="00A16A93">
              <w:t>0.7%</w:t>
            </w:r>
          </w:p>
        </w:tc>
        <w:tc>
          <w:tcPr>
            <w:tcW w:w="1302" w:type="dxa"/>
            <w:gridSpan w:val="3"/>
            <w:tcBorders>
              <w:top w:val="nil"/>
              <w:bottom w:val="nil"/>
            </w:tcBorders>
          </w:tcPr>
          <w:p w:rsidR="00B21C3C" w:rsidRPr="00A16A93" w:rsidRDefault="00B21C3C" w:rsidP="00B21C3C">
            <w:pPr>
              <w:pStyle w:val="TableText"/>
              <w:spacing w:before="0"/>
              <w:jc w:val="center"/>
            </w:pPr>
            <w:r w:rsidRPr="00A16A93">
              <w:t>0.6%</w:t>
            </w:r>
          </w:p>
        </w:tc>
        <w:tc>
          <w:tcPr>
            <w:tcW w:w="1302" w:type="dxa"/>
            <w:gridSpan w:val="2"/>
            <w:tcBorders>
              <w:top w:val="nil"/>
              <w:bottom w:val="nil"/>
            </w:tcBorders>
          </w:tcPr>
          <w:p w:rsidR="00B21C3C" w:rsidRPr="00A16A93" w:rsidRDefault="00B21C3C" w:rsidP="00B21C3C">
            <w:pPr>
              <w:pStyle w:val="TableText"/>
              <w:spacing w:before="0"/>
              <w:jc w:val="center"/>
            </w:pPr>
            <w:r w:rsidRPr="00A16A93">
              <w:t>0.5%</w:t>
            </w:r>
          </w:p>
        </w:tc>
      </w:tr>
      <w:tr w:rsidR="00B21C3C" w:rsidRPr="00A16A93" w:rsidTr="00B21C3C">
        <w:trPr>
          <w:cantSplit/>
        </w:trPr>
        <w:tc>
          <w:tcPr>
            <w:tcW w:w="440" w:type="dxa"/>
            <w:tcBorders>
              <w:top w:val="nil"/>
              <w:bottom w:val="nil"/>
            </w:tcBorders>
          </w:tcPr>
          <w:p w:rsidR="00B21C3C" w:rsidRPr="00A16A93" w:rsidRDefault="00B21C3C" w:rsidP="00B21C3C">
            <w:pPr>
              <w:pStyle w:val="TableText"/>
              <w:spacing w:before="0"/>
            </w:pPr>
          </w:p>
        </w:tc>
        <w:tc>
          <w:tcPr>
            <w:tcW w:w="1662" w:type="dxa"/>
            <w:tcBorders>
              <w:top w:val="nil"/>
              <w:bottom w:val="nil"/>
            </w:tcBorders>
          </w:tcPr>
          <w:p w:rsidR="00B21C3C" w:rsidRPr="00A16A93" w:rsidRDefault="00B21C3C" w:rsidP="00B21C3C">
            <w:pPr>
              <w:pStyle w:val="TableText"/>
              <w:spacing w:before="0"/>
            </w:pPr>
          </w:p>
        </w:tc>
        <w:tc>
          <w:tcPr>
            <w:tcW w:w="2047" w:type="dxa"/>
            <w:gridSpan w:val="2"/>
            <w:tcBorders>
              <w:top w:val="nil"/>
              <w:bottom w:val="nil"/>
            </w:tcBorders>
          </w:tcPr>
          <w:p w:rsidR="00B21C3C" w:rsidRPr="00A16A93" w:rsidRDefault="00B21C3C" w:rsidP="00B21C3C">
            <w:pPr>
              <w:pStyle w:val="TableBullet"/>
            </w:pPr>
            <w:r w:rsidRPr="00A16A93">
              <w:t>low</w:t>
            </w:r>
          </w:p>
        </w:tc>
        <w:tc>
          <w:tcPr>
            <w:tcW w:w="1301" w:type="dxa"/>
            <w:gridSpan w:val="3"/>
            <w:tcBorders>
              <w:top w:val="nil"/>
              <w:bottom w:val="nil"/>
            </w:tcBorders>
          </w:tcPr>
          <w:p w:rsidR="00B21C3C" w:rsidRPr="00A16A93" w:rsidRDefault="00B21C3C" w:rsidP="00B21C3C">
            <w:pPr>
              <w:pStyle w:val="TableText"/>
              <w:spacing w:before="0"/>
              <w:jc w:val="center"/>
            </w:pPr>
            <w:r w:rsidRPr="00A16A93">
              <w:t>4.9%</w:t>
            </w:r>
          </w:p>
        </w:tc>
        <w:tc>
          <w:tcPr>
            <w:tcW w:w="1302" w:type="dxa"/>
            <w:gridSpan w:val="3"/>
            <w:tcBorders>
              <w:top w:val="nil"/>
              <w:bottom w:val="nil"/>
            </w:tcBorders>
          </w:tcPr>
          <w:p w:rsidR="00B21C3C" w:rsidRPr="00A16A93" w:rsidRDefault="00B21C3C" w:rsidP="00B21C3C">
            <w:pPr>
              <w:pStyle w:val="TableText"/>
              <w:spacing w:before="0"/>
              <w:jc w:val="center"/>
            </w:pPr>
            <w:r w:rsidRPr="00A16A93">
              <w:t>5.6%</w:t>
            </w:r>
          </w:p>
        </w:tc>
        <w:tc>
          <w:tcPr>
            <w:tcW w:w="1302" w:type="dxa"/>
            <w:gridSpan w:val="3"/>
            <w:tcBorders>
              <w:top w:val="nil"/>
              <w:bottom w:val="nil"/>
            </w:tcBorders>
          </w:tcPr>
          <w:p w:rsidR="00B21C3C" w:rsidRPr="00A16A93" w:rsidRDefault="00B21C3C" w:rsidP="00B21C3C">
            <w:pPr>
              <w:pStyle w:val="TableText"/>
              <w:spacing w:before="0"/>
              <w:jc w:val="center"/>
            </w:pPr>
            <w:r w:rsidRPr="00A16A93">
              <w:t>4.0%</w:t>
            </w:r>
          </w:p>
        </w:tc>
        <w:tc>
          <w:tcPr>
            <w:tcW w:w="1302" w:type="dxa"/>
            <w:gridSpan w:val="2"/>
            <w:tcBorders>
              <w:top w:val="nil"/>
              <w:bottom w:val="nil"/>
            </w:tcBorders>
          </w:tcPr>
          <w:p w:rsidR="00B21C3C" w:rsidRPr="00A16A93" w:rsidRDefault="00B21C3C" w:rsidP="00B21C3C">
            <w:pPr>
              <w:pStyle w:val="TableText"/>
              <w:spacing w:before="0"/>
              <w:jc w:val="center"/>
            </w:pPr>
            <w:r w:rsidRPr="00A16A93">
              <w:t>5.5%</w:t>
            </w:r>
          </w:p>
        </w:tc>
      </w:tr>
      <w:tr w:rsidR="00B21C3C" w:rsidRPr="00A16A93" w:rsidTr="00B21C3C">
        <w:trPr>
          <w:cantSplit/>
        </w:trPr>
        <w:tc>
          <w:tcPr>
            <w:tcW w:w="440" w:type="dxa"/>
            <w:tcBorders>
              <w:top w:val="nil"/>
              <w:bottom w:val="nil"/>
            </w:tcBorders>
          </w:tcPr>
          <w:p w:rsidR="00B21C3C" w:rsidRPr="00A16A93" w:rsidRDefault="00B21C3C" w:rsidP="00B21C3C">
            <w:pPr>
              <w:pStyle w:val="TableText"/>
              <w:spacing w:before="0"/>
            </w:pPr>
          </w:p>
        </w:tc>
        <w:tc>
          <w:tcPr>
            <w:tcW w:w="1662" w:type="dxa"/>
            <w:tcBorders>
              <w:top w:val="nil"/>
              <w:bottom w:val="nil"/>
            </w:tcBorders>
          </w:tcPr>
          <w:p w:rsidR="00B21C3C" w:rsidRPr="00A16A93" w:rsidRDefault="00B21C3C" w:rsidP="00B21C3C">
            <w:pPr>
              <w:pStyle w:val="TableText"/>
              <w:spacing w:before="0"/>
            </w:pPr>
          </w:p>
        </w:tc>
        <w:tc>
          <w:tcPr>
            <w:tcW w:w="2047" w:type="dxa"/>
            <w:gridSpan w:val="2"/>
            <w:tcBorders>
              <w:top w:val="nil"/>
              <w:bottom w:val="nil"/>
            </w:tcBorders>
          </w:tcPr>
          <w:p w:rsidR="00B21C3C" w:rsidRPr="00A16A93" w:rsidRDefault="00B21C3C" w:rsidP="00B21C3C">
            <w:pPr>
              <w:pStyle w:val="TableBullet"/>
            </w:pPr>
            <w:r w:rsidRPr="00A16A93">
              <w:t>normal</w:t>
            </w:r>
          </w:p>
        </w:tc>
        <w:tc>
          <w:tcPr>
            <w:tcW w:w="1301" w:type="dxa"/>
            <w:gridSpan w:val="3"/>
            <w:tcBorders>
              <w:top w:val="nil"/>
              <w:bottom w:val="nil"/>
            </w:tcBorders>
          </w:tcPr>
          <w:p w:rsidR="00B21C3C" w:rsidRPr="00A16A93" w:rsidRDefault="00B21C3C" w:rsidP="00B21C3C">
            <w:pPr>
              <w:pStyle w:val="TableText"/>
              <w:spacing w:before="0"/>
              <w:jc w:val="center"/>
            </w:pPr>
            <w:r w:rsidRPr="00A16A93">
              <w:t>91.8%</w:t>
            </w:r>
          </w:p>
        </w:tc>
        <w:tc>
          <w:tcPr>
            <w:tcW w:w="1302" w:type="dxa"/>
            <w:gridSpan w:val="3"/>
            <w:tcBorders>
              <w:top w:val="nil"/>
              <w:bottom w:val="nil"/>
            </w:tcBorders>
          </w:tcPr>
          <w:p w:rsidR="00B21C3C" w:rsidRPr="00A16A93" w:rsidRDefault="00B21C3C" w:rsidP="00B21C3C">
            <w:pPr>
              <w:pStyle w:val="TableText"/>
              <w:spacing w:before="0"/>
              <w:jc w:val="center"/>
            </w:pPr>
            <w:r w:rsidRPr="00A16A93">
              <w:t>91.1%</w:t>
            </w:r>
          </w:p>
        </w:tc>
        <w:tc>
          <w:tcPr>
            <w:tcW w:w="1302" w:type="dxa"/>
            <w:gridSpan w:val="3"/>
            <w:tcBorders>
              <w:top w:val="nil"/>
              <w:bottom w:val="nil"/>
            </w:tcBorders>
          </w:tcPr>
          <w:p w:rsidR="00B21C3C" w:rsidRPr="00A16A93" w:rsidRDefault="00B21C3C" w:rsidP="00B21C3C">
            <w:pPr>
              <w:pStyle w:val="TableText"/>
              <w:spacing w:before="0"/>
              <w:jc w:val="center"/>
            </w:pPr>
            <w:r w:rsidRPr="00A16A93">
              <w:t>90.9%</w:t>
            </w:r>
          </w:p>
        </w:tc>
        <w:tc>
          <w:tcPr>
            <w:tcW w:w="1302" w:type="dxa"/>
            <w:gridSpan w:val="2"/>
            <w:tcBorders>
              <w:top w:val="nil"/>
              <w:bottom w:val="nil"/>
            </w:tcBorders>
          </w:tcPr>
          <w:p w:rsidR="00B21C3C" w:rsidRPr="00A16A93" w:rsidRDefault="00B21C3C" w:rsidP="00B21C3C">
            <w:pPr>
              <w:pStyle w:val="TableText"/>
              <w:spacing w:before="0"/>
              <w:jc w:val="center"/>
            </w:pPr>
            <w:r w:rsidRPr="00A16A93">
              <w:t>91.2%</w:t>
            </w:r>
          </w:p>
        </w:tc>
      </w:tr>
      <w:tr w:rsidR="00B21C3C" w:rsidRPr="00A16A93" w:rsidTr="00B21C3C">
        <w:trPr>
          <w:cantSplit/>
        </w:trPr>
        <w:tc>
          <w:tcPr>
            <w:tcW w:w="440" w:type="dxa"/>
            <w:tcBorders>
              <w:top w:val="nil"/>
            </w:tcBorders>
          </w:tcPr>
          <w:p w:rsidR="00B21C3C" w:rsidRPr="00A16A93" w:rsidRDefault="00B21C3C" w:rsidP="00B21C3C">
            <w:pPr>
              <w:pStyle w:val="TableText"/>
              <w:spacing w:before="0"/>
            </w:pPr>
          </w:p>
        </w:tc>
        <w:tc>
          <w:tcPr>
            <w:tcW w:w="1662" w:type="dxa"/>
            <w:tcBorders>
              <w:top w:val="nil"/>
            </w:tcBorders>
          </w:tcPr>
          <w:p w:rsidR="00B21C3C" w:rsidRPr="00A16A93" w:rsidRDefault="00B21C3C" w:rsidP="00B21C3C">
            <w:pPr>
              <w:pStyle w:val="TableText"/>
              <w:spacing w:before="0"/>
            </w:pPr>
          </w:p>
        </w:tc>
        <w:tc>
          <w:tcPr>
            <w:tcW w:w="2047" w:type="dxa"/>
            <w:gridSpan w:val="2"/>
            <w:tcBorders>
              <w:top w:val="nil"/>
            </w:tcBorders>
          </w:tcPr>
          <w:p w:rsidR="00B21C3C" w:rsidRPr="00A16A93" w:rsidRDefault="00B21C3C" w:rsidP="00B21C3C">
            <w:pPr>
              <w:pStyle w:val="TableBullet"/>
            </w:pPr>
            <w:r w:rsidRPr="00A16A93">
              <w:t>high</w:t>
            </w:r>
          </w:p>
          <w:p w:rsidR="00B21C3C" w:rsidRPr="00A16A93" w:rsidRDefault="00B21C3C" w:rsidP="00B21C3C">
            <w:pPr>
              <w:pStyle w:val="TableText"/>
              <w:spacing w:before="0"/>
            </w:pPr>
            <w:r w:rsidRPr="00A16A93">
              <w:t>(2014)</w:t>
            </w:r>
          </w:p>
        </w:tc>
        <w:tc>
          <w:tcPr>
            <w:tcW w:w="1301" w:type="dxa"/>
            <w:gridSpan w:val="3"/>
            <w:tcBorders>
              <w:top w:val="nil"/>
            </w:tcBorders>
          </w:tcPr>
          <w:p w:rsidR="00B21C3C" w:rsidRPr="00A16A93" w:rsidRDefault="00B21C3C" w:rsidP="00B21C3C">
            <w:pPr>
              <w:pStyle w:val="TableText"/>
              <w:spacing w:before="0"/>
              <w:jc w:val="center"/>
            </w:pPr>
            <w:r w:rsidRPr="00A16A93">
              <w:t>2.2%</w:t>
            </w:r>
          </w:p>
        </w:tc>
        <w:tc>
          <w:tcPr>
            <w:tcW w:w="1302" w:type="dxa"/>
            <w:gridSpan w:val="3"/>
            <w:tcBorders>
              <w:top w:val="nil"/>
            </w:tcBorders>
          </w:tcPr>
          <w:p w:rsidR="00B21C3C" w:rsidRPr="00A16A93" w:rsidRDefault="00B21C3C" w:rsidP="00B21C3C">
            <w:pPr>
              <w:pStyle w:val="TableText"/>
              <w:spacing w:before="0"/>
              <w:jc w:val="center"/>
            </w:pPr>
            <w:r w:rsidRPr="00A16A93">
              <w:t>2.2%</w:t>
            </w:r>
          </w:p>
        </w:tc>
        <w:tc>
          <w:tcPr>
            <w:tcW w:w="1302" w:type="dxa"/>
            <w:gridSpan w:val="3"/>
            <w:tcBorders>
              <w:top w:val="nil"/>
            </w:tcBorders>
          </w:tcPr>
          <w:p w:rsidR="00B21C3C" w:rsidRPr="00A16A93" w:rsidRDefault="00B21C3C" w:rsidP="00B21C3C">
            <w:pPr>
              <w:pStyle w:val="TableText"/>
              <w:spacing w:before="0"/>
              <w:jc w:val="center"/>
            </w:pPr>
            <w:r w:rsidRPr="00A16A93">
              <w:t>4.1%</w:t>
            </w:r>
          </w:p>
        </w:tc>
        <w:tc>
          <w:tcPr>
            <w:tcW w:w="1302" w:type="dxa"/>
            <w:gridSpan w:val="2"/>
            <w:tcBorders>
              <w:top w:val="nil"/>
            </w:tcBorders>
          </w:tcPr>
          <w:p w:rsidR="00B21C3C" w:rsidRPr="00A16A93" w:rsidRDefault="00B21C3C" w:rsidP="00B21C3C">
            <w:pPr>
              <w:pStyle w:val="TableText"/>
              <w:spacing w:before="0"/>
              <w:jc w:val="center"/>
            </w:pPr>
            <w:r w:rsidRPr="00A16A93">
              <w:t>2.3%</w:t>
            </w:r>
          </w:p>
        </w:tc>
      </w:tr>
    </w:tbl>
    <w:p w:rsidR="00A16A93" w:rsidRPr="00A16A93" w:rsidRDefault="00A16A93" w:rsidP="00E05F71"/>
    <w:p w:rsidR="00A16A93" w:rsidRPr="00A16A93" w:rsidRDefault="00A16A93" w:rsidP="006A4849">
      <w:pPr>
        <w:pStyle w:val="Heading1"/>
      </w:pPr>
      <w:bookmarkStart w:id="122" w:name="_Toc480457802"/>
      <w:bookmarkStart w:id="123" w:name="_Toc480534252"/>
      <w:r w:rsidRPr="00A16A93">
        <w:lastRenderedPageBreak/>
        <w:t>References</w:t>
      </w:r>
      <w:bookmarkEnd w:id="122"/>
      <w:bookmarkEnd w:id="123"/>
    </w:p>
    <w:p w:rsidR="00A16A93" w:rsidRPr="00A16A93" w:rsidRDefault="00A16A93" w:rsidP="00A16A93">
      <w:pPr>
        <w:pStyle w:val="References"/>
        <w:rPr>
          <w:sz w:val="22"/>
          <w:szCs w:val="22"/>
        </w:rPr>
      </w:pPr>
      <w:r w:rsidRPr="00A16A93">
        <w:rPr>
          <w:sz w:val="22"/>
          <w:szCs w:val="22"/>
        </w:rPr>
        <w:t xml:space="preserve">Bartel KA, Gradisar M, Williamson P. 2015. Protective and risk factors for adolescent sleep: a meta-analytic review. </w:t>
      </w:r>
      <w:r w:rsidRPr="00A16A93">
        <w:rPr>
          <w:i/>
          <w:sz w:val="22"/>
          <w:szCs w:val="22"/>
        </w:rPr>
        <w:t>Sleep Medicine Reviews</w:t>
      </w:r>
      <w:r w:rsidRPr="00A16A93">
        <w:rPr>
          <w:sz w:val="22"/>
          <w:szCs w:val="22"/>
        </w:rPr>
        <w:t xml:space="preserve"> 21: 72–85.</w:t>
      </w:r>
    </w:p>
    <w:p w:rsidR="00A16A93" w:rsidRPr="00A16A93" w:rsidRDefault="00A16A93" w:rsidP="00A16A93">
      <w:pPr>
        <w:pStyle w:val="References"/>
        <w:rPr>
          <w:sz w:val="22"/>
          <w:szCs w:val="22"/>
        </w:rPr>
      </w:pPr>
      <w:r w:rsidRPr="00A16A93">
        <w:rPr>
          <w:sz w:val="22"/>
          <w:szCs w:val="22"/>
        </w:rPr>
        <w:t xml:space="preserve">Cole TJ, Bellizzi MC, Flegal KM, et al. 2000. Establishing a standard definition for child overweight and obesity worldwide: international survey. </w:t>
      </w:r>
      <w:r w:rsidRPr="00A16A93">
        <w:rPr>
          <w:i/>
          <w:sz w:val="22"/>
          <w:szCs w:val="22"/>
        </w:rPr>
        <w:t xml:space="preserve">British Medical Journal </w:t>
      </w:r>
      <w:r w:rsidRPr="00A16A93">
        <w:rPr>
          <w:sz w:val="22"/>
          <w:szCs w:val="22"/>
        </w:rPr>
        <w:t>320(7244):</w:t>
      </w:r>
      <w:r w:rsidR="006A4849">
        <w:rPr>
          <w:sz w:val="22"/>
          <w:szCs w:val="22"/>
        </w:rPr>
        <w:t> </w:t>
      </w:r>
      <w:r w:rsidRPr="00A16A93">
        <w:rPr>
          <w:sz w:val="22"/>
          <w:szCs w:val="22"/>
        </w:rPr>
        <w:t>1240.</w:t>
      </w:r>
    </w:p>
    <w:p w:rsidR="00A16A93" w:rsidRPr="00A16A93" w:rsidRDefault="00A16A93" w:rsidP="00A16A93">
      <w:pPr>
        <w:pStyle w:val="References"/>
        <w:rPr>
          <w:sz w:val="22"/>
          <w:szCs w:val="22"/>
        </w:rPr>
      </w:pPr>
      <w:r w:rsidRPr="00A16A93">
        <w:rPr>
          <w:sz w:val="22"/>
          <w:szCs w:val="22"/>
        </w:rPr>
        <w:t xml:space="preserve">Cole TJ, Flegal KM, Nicholls D, et al. 2007. Body mass index cut offs to define thinness in children and adolescents: international survey. </w:t>
      </w:r>
      <w:r w:rsidRPr="00A16A93">
        <w:rPr>
          <w:i/>
          <w:sz w:val="22"/>
          <w:szCs w:val="22"/>
        </w:rPr>
        <w:t xml:space="preserve">British Medical Journal </w:t>
      </w:r>
      <w:r w:rsidRPr="00A16A93">
        <w:rPr>
          <w:sz w:val="22"/>
          <w:szCs w:val="22"/>
        </w:rPr>
        <w:t>335(7612): 194.</w:t>
      </w:r>
    </w:p>
    <w:p w:rsidR="00A16A93" w:rsidRPr="00A16A93" w:rsidRDefault="00A16A93" w:rsidP="00A16A93">
      <w:pPr>
        <w:pStyle w:val="References"/>
        <w:rPr>
          <w:sz w:val="22"/>
          <w:szCs w:val="22"/>
        </w:rPr>
      </w:pPr>
      <w:r w:rsidRPr="00A16A93">
        <w:rPr>
          <w:sz w:val="22"/>
          <w:szCs w:val="22"/>
        </w:rPr>
        <w:t xml:space="preserve">Cole TJ, Lobstein T. 2012. Extended international (IOTF) body mass index cut-offs for thinness, overweight and obesity. </w:t>
      </w:r>
      <w:r w:rsidRPr="00A16A93">
        <w:rPr>
          <w:i/>
          <w:sz w:val="22"/>
          <w:szCs w:val="22"/>
        </w:rPr>
        <w:t xml:space="preserve">Pediatric Obesity </w:t>
      </w:r>
      <w:r w:rsidRPr="00A16A93">
        <w:rPr>
          <w:sz w:val="22"/>
          <w:szCs w:val="22"/>
        </w:rPr>
        <w:t>7(4): 284–94.</w:t>
      </w:r>
    </w:p>
    <w:p w:rsidR="00A16A93" w:rsidRPr="00A16A93" w:rsidRDefault="00A16A93" w:rsidP="00A16A93">
      <w:pPr>
        <w:pStyle w:val="References"/>
      </w:pPr>
      <w:r w:rsidRPr="00A16A93">
        <w:t xml:space="preserve">Colmar Brunton. 2016. </w:t>
      </w:r>
      <w:r w:rsidRPr="00A16A93">
        <w:rPr>
          <w:i/>
        </w:rPr>
        <w:t>Health Star Rating Monitoring and Evaluation</w:t>
      </w:r>
      <w:r w:rsidRPr="00A16A93">
        <w:t>. Wellington: Health Promotion Agency.</w:t>
      </w:r>
    </w:p>
    <w:p w:rsidR="00A16A93" w:rsidRPr="00A16A93" w:rsidRDefault="00A16A93" w:rsidP="00A16A93">
      <w:pPr>
        <w:pStyle w:val="References"/>
      </w:pPr>
      <w:r w:rsidRPr="00A16A93">
        <w:t xml:space="preserve">Cushman P. 2016. </w:t>
      </w:r>
      <w:r w:rsidRPr="00A16A93">
        <w:rPr>
          <w:i/>
        </w:rPr>
        <w:t xml:space="preserve">The </w:t>
      </w:r>
      <w:r w:rsidR="006A4849">
        <w:rPr>
          <w:i/>
        </w:rPr>
        <w:t>E</w:t>
      </w:r>
      <w:r w:rsidRPr="00A16A93">
        <w:rPr>
          <w:i/>
        </w:rPr>
        <w:t xml:space="preserve">ffects of </w:t>
      </w:r>
      <w:r w:rsidR="006A4849">
        <w:rPr>
          <w:i/>
        </w:rPr>
        <w:t>C</w:t>
      </w:r>
      <w:r w:rsidRPr="00A16A93">
        <w:rPr>
          <w:i/>
        </w:rPr>
        <w:t xml:space="preserve">hildhood </w:t>
      </w:r>
      <w:r w:rsidR="006A4849">
        <w:rPr>
          <w:i/>
        </w:rPr>
        <w:t>O</w:t>
      </w:r>
      <w:r w:rsidRPr="00A16A93">
        <w:rPr>
          <w:i/>
        </w:rPr>
        <w:t xml:space="preserve">besity on </w:t>
      </w:r>
      <w:r w:rsidR="006A4849">
        <w:rPr>
          <w:i/>
        </w:rPr>
        <w:t>L</w:t>
      </w:r>
      <w:r w:rsidRPr="00A16A93">
        <w:rPr>
          <w:i/>
        </w:rPr>
        <w:t xml:space="preserve">earning, and the </w:t>
      </w:r>
      <w:r w:rsidR="006A4849">
        <w:rPr>
          <w:i/>
        </w:rPr>
        <w:t>R</w:t>
      </w:r>
      <w:r w:rsidRPr="00A16A93">
        <w:rPr>
          <w:i/>
        </w:rPr>
        <w:t xml:space="preserve">ole of the </w:t>
      </w:r>
      <w:r w:rsidR="006A4849">
        <w:rPr>
          <w:i/>
        </w:rPr>
        <w:t>S</w:t>
      </w:r>
      <w:r w:rsidRPr="00A16A93">
        <w:rPr>
          <w:i/>
        </w:rPr>
        <w:t xml:space="preserve">chool </w:t>
      </w:r>
      <w:r w:rsidR="006A4849">
        <w:rPr>
          <w:i/>
        </w:rPr>
        <w:t>F</w:t>
      </w:r>
      <w:r w:rsidRPr="00A16A93">
        <w:rPr>
          <w:i/>
        </w:rPr>
        <w:t xml:space="preserve">ood </w:t>
      </w:r>
      <w:r w:rsidR="006A4849">
        <w:rPr>
          <w:i/>
        </w:rPr>
        <w:t>E</w:t>
      </w:r>
      <w:r w:rsidRPr="00A16A93">
        <w:rPr>
          <w:i/>
        </w:rPr>
        <w:t xml:space="preserve">nvironment: </w:t>
      </w:r>
      <w:r w:rsidR="006A4849">
        <w:rPr>
          <w:i/>
        </w:rPr>
        <w:t>A</w:t>
      </w:r>
      <w:r w:rsidRPr="00A16A93">
        <w:rPr>
          <w:i/>
        </w:rPr>
        <w:t xml:space="preserve"> summary of the evidence</w:t>
      </w:r>
      <w:r w:rsidRPr="00A16A93">
        <w:t>. Prepared for the Heart Foundation of New Zealand. University of Canterbury 1–82.</w:t>
      </w:r>
    </w:p>
    <w:p w:rsidR="00A16A93" w:rsidRPr="00A16A93" w:rsidRDefault="00A16A93" w:rsidP="00A16A93">
      <w:pPr>
        <w:pStyle w:val="References"/>
      </w:pPr>
      <w:r w:rsidRPr="00A16A93">
        <w:t xml:space="preserve">Diabetes New Zealand. 2016. Gestational Diabetes. URL: </w:t>
      </w:r>
      <w:hyperlink r:id="rId78" w:history="1">
        <w:r w:rsidRPr="00A16A93">
          <w:rPr>
            <w:rStyle w:val="Hyperlink"/>
          </w:rPr>
          <w:t>www.diabetes.org.nz/about_diabetes/gestational_diabetes</w:t>
        </w:r>
      </w:hyperlink>
      <w:r w:rsidRPr="00A16A93">
        <w:t xml:space="preserve"> (accessed 7 April 2017).</w:t>
      </w:r>
    </w:p>
    <w:p w:rsidR="00A16A93" w:rsidRPr="00A16A93" w:rsidRDefault="00A16A93" w:rsidP="00A16A93">
      <w:pPr>
        <w:pStyle w:val="References"/>
      </w:pPr>
      <w:r w:rsidRPr="00A16A93">
        <w:t xml:space="preserve">Fatima Y, Doi SA, Mamun AA. 2015. Longitudinal impact of sleep on overweight and obesity in children and adolescents: a systematic review and bias-adjusted meta-analysis. </w:t>
      </w:r>
      <w:r w:rsidRPr="00A16A93">
        <w:rPr>
          <w:i/>
        </w:rPr>
        <w:t>Obesity Reviews</w:t>
      </w:r>
      <w:r w:rsidRPr="00A16A93">
        <w:t xml:space="preserve"> 16(2): 137–49.</w:t>
      </w:r>
    </w:p>
    <w:p w:rsidR="00A16A93" w:rsidRPr="00A16A93" w:rsidRDefault="00A16A93" w:rsidP="00A16A93">
      <w:pPr>
        <w:pStyle w:val="References"/>
      </w:pPr>
      <w:r w:rsidRPr="00A16A93">
        <w:t xml:space="preserve">Harnack L, Stang J, Story M. 1999. Soft drink consumption among US children and adolescents: nutritional consequences. </w:t>
      </w:r>
      <w:r w:rsidRPr="00A16A93">
        <w:rPr>
          <w:i/>
        </w:rPr>
        <w:t>Journal of the American Dietetic Association</w:t>
      </w:r>
      <w:r w:rsidRPr="00A16A93">
        <w:t xml:space="preserve"> 99(4): 436–41.</w:t>
      </w:r>
    </w:p>
    <w:p w:rsidR="00A16A93" w:rsidRPr="00A16A93" w:rsidRDefault="00A16A93" w:rsidP="00A16A93">
      <w:pPr>
        <w:pStyle w:val="References"/>
      </w:pPr>
      <w:r w:rsidRPr="00A16A93">
        <w:t xml:space="preserve">Horta BL, Loret de Mola C, Victora CG. 2015. Long-term consequences of breastfeeding on cholesterol, obesity, systolic blood pressure and type 2 diabetes: a systematic review and meta-analysis. </w:t>
      </w:r>
      <w:r w:rsidRPr="00A16A93">
        <w:rPr>
          <w:i/>
        </w:rPr>
        <w:t>Acta Paediatrica Suppl</w:t>
      </w:r>
      <w:r w:rsidRPr="00A16A93">
        <w:t xml:space="preserve"> 104: 30–7.</w:t>
      </w:r>
    </w:p>
    <w:p w:rsidR="00A16A93" w:rsidRPr="00A16A93" w:rsidRDefault="00A16A93" w:rsidP="00A16A93">
      <w:pPr>
        <w:pStyle w:val="References"/>
      </w:pPr>
      <w:r w:rsidRPr="00A16A93">
        <w:t xml:space="preserve">Miller S, Connolly P, Maguire L. 2013. Wellbeing, academic buoyancy and educational achievement in primary school students. </w:t>
      </w:r>
      <w:r w:rsidRPr="00A16A93">
        <w:rPr>
          <w:i/>
        </w:rPr>
        <w:t xml:space="preserve">International Journal of Educational Research </w:t>
      </w:r>
      <w:r w:rsidRPr="00A16A93">
        <w:t>62: 239–48.</w:t>
      </w:r>
    </w:p>
    <w:p w:rsidR="00A16A93" w:rsidRPr="00A16A93" w:rsidRDefault="00A16A93" w:rsidP="00A16A93">
      <w:pPr>
        <w:pStyle w:val="References"/>
      </w:pPr>
      <w:r w:rsidRPr="00A16A93">
        <w:t xml:space="preserve">Ministry of Health. 2012. </w:t>
      </w:r>
      <w:r w:rsidRPr="00A16A93">
        <w:rPr>
          <w:i/>
        </w:rPr>
        <w:t>Food and Nutrition Guidelines for Healthy Children and Young People (Aged 2–18 years): A background paper</w:t>
      </w:r>
      <w:r w:rsidRPr="00A16A93">
        <w:t>. Partial revision February 2015. Wellington: Ministry of Health.</w:t>
      </w:r>
    </w:p>
    <w:p w:rsidR="00A16A93" w:rsidRPr="00A16A93" w:rsidRDefault="00A16A93" w:rsidP="00A16A93">
      <w:pPr>
        <w:pStyle w:val="References"/>
      </w:pPr>
      <w:r w:rsidRPr="00A16A93">
        <w:t xml:space="preserve">Ministry of Health. 2014. </w:t>
      </w:r>
      <w:r w:rsidRPr="00A16A93">
        <w:rPr>
          <w:i/>
        </w:rPr>
        <w:t>Diabetes in Pregnancy: Quick reference guide for health professionals on the screening, diagnosis and treatment of gestational diabetes in New Zealand</w:t>
      </w:r>
      <w:r w:rsidRPr="00A16A93">
        <w:t>. Wellington: Ministry of Health.</w:t>
      </w:r>
    </w:p>
    <w:p w:rsidR="00A16A93" w:rsidRPr="00A16A93" w:rsidRDefault="00A16A93" w:rsidP="00A16A93">
      <w:pPr>
        <w:pStyle w:val="References"/>
      </w:pPr>
      <w:r w:rsidRPr="00A16A93">
        <w:t xml:space="preserve">Ministry of Health. 2015. </w:t>
      </w:r>
      <w:r w:rsidRPr="00A16A93">
        <w:rPr>
          <w:i/>
        </w:rPr>
        <w:t>Physical activity</w:t>
      </w:r>
      <w:r w:rsidRPr="00A16A93">
        <w:t xml:space="preserve">. URL: </w:t>
      </w:r>
      <w:hyperlink r:id="rId79" w:history="1">
        <w:r w:rsidRPr="00A16A93">
          <w:rPr>
            <w:rStyle w:val="Hyperlink"/>
          </w:rPr>
          <w:t>http://www.health.govt.nz/our-work/preventative-health-wellness/physical-activity</w:t>
        </w:r>
      </w:hyperlink>
      <w:r w:rsidRPr="00A16A93">
        <w:t xml:space="preserve"> (accessed 18 April 2017).</w:t>
      </w:r>
    </w:p>
    <w:p w:rsidR="00A16A93" w:rsidRPr="00A16A93" w:rsidRDefault="00A16A93" w:rsidP="00A16A93">
      <w:pPr>
        <w:pStyle w:val="References"/>
      </w:pPr>
      <w:r w:rsidRPr="00A16A93">
        <w:t xml:space="preserve">Ministry of Health. 2016a. </w:t>
      </w:r>
      <w:r w:rsidRPr="00A16A93">
        <w:rPr>
          <w:i/>
        </w:rPr>
        <w:t>Clinical Guidelines for Weight Management in New Zealand Children and Young People</w:t>
      </w:r>
      <w:r w:rsidRPr="00A16A93">
        <w:t>. Wellington: Ministry of Health.</w:t>
      </w:r>
    </w:p>
    <w:p w:rsidR="00A16A93" w:rsidRPr="00A16A93" w:rsidRDefault="00A16A93" w:rsidP="00A16A93">
      <w:pPr>
        <w:pStyle w:val="References"/>
      </w:pPr>
      <w:r w:rsidRPr="00A16A93">
        <w:t xml:space="preserve">Ministry of Health. 2016b. </w:t>
      </w:r>
      <w:r w:rsidRPr="00A16A93">
        <w:rPr>
          <w:i/>
        </w:rPr>
        <w:t>Methodology Report 2015/16: New Zealand Health Survey</w:t>
      </w:r>
      <w:r w:rsidRPr="00A16A93">
        <w:t>. Wellington: Ministry of Health.</w:t>
      </w:r>
    </w:p>
    <w:p w:rsidR="00A16A93" w:rsidRPr="00A16A93" w:rsidRDefault="00A16A93" w:rsidP="00A16A93">
      <w:pPr>
        <w:pStyle w:val="References"/>
      </w:pPr>
      <w:r w:rsidRPr="00A16A93">
        <w:lastRenderedPageBreak/>
        <w:t xml:space="preserve">Ministry of Health. 2016c. </w:t>
      </w:r>
      <w:r w:rsidRPr="00A16A93">
        <w:rPr>
          <w:i/>
        </w:rPr>
        <w:t>Indicators for the Well Child/Tamariki Ora Quality Improvement Framework: March 2016</w:t>
      </w:r>
      <w:r w:rsidRPr="00A16A93">
        <w:t>. Wellington: Ministry of Health.</w:t>
      </w:r>
    </w:p>
    <w:p w:rsidR="00A16A93" w:rsidRPr="00A16A93" w:rsidRDefault="00A16A93" w:rsidP="00A16A93">
      <w:pPr>
        <w:pStyle w:val="References"/>
      </w:pPr>
      <w:r w:rsidRPr="00A16A93">
        <w:t xml:space="preserve">Ministry of Health. 2016d. </w:t>
      </w:r>
      <w:r w:rsidRPr="00A16A93">
        <w:rPr>
          <w:i/>
        </w:rPr>
        <w:t>Annual Update of Key Results 2015/16: New Zealand Health Survey</w:t>
      </w:r>
      <w:r w:rsidRPr="00A16A93">
        <w:t>. Wellington: Ministry of Health.</w:t>
      </w:r>
    </w:p>
    <w:p w:rsidR="00A16A93" w:rsidRPr="00A16A93" w:rsidRDefault="00A16A93" w:rsidP="00A16A93">
      <w:pPr>
        <w:pStyle w:val="References"/>
      </w:pPr>
      <w:r w:rsidRPr="00A16A93">
        <w:t xml:space="preserve">Ministry of Transport. 2015. </w:t>
      </w:r>
      <w:r w:rsidRPr="00A16A93">
        <w:rPr>
          <w:i/>
        </w:rPr>
        <w:t>Cycling New Zealand Household Travel Survey 2011–2014: September 2015</w:t>
      </w:r>
      <w:r w:rsidRPr="00A16A93">
        <w:t>. Wellington: Ministry of Transport.</w:t>
      </w:r>
    </w:p>
    <w:p w:rsidR="00A16A93" w:rsidRPr="00A16A93" w:rsidRDefault="00A16A93" w:rsidP="00A16A93">
      <w:pPr>
        <w:pStyle w:val="References"/>
      </w:pPr>
      <w:r w:rsidRPr="00A16A93">
        <w:t xml:space="preserve">Mrdjenovic G, Levitsky DA. 2003. Nutritional and energetic consequences of sweetened drink consumption in 6- to 13-year old children. </w:t>
      </w:r>
      <w:r w:rsidRPr="00A16A93">
        <w:rPr>
          <w:i/>
        </w:rPr>
        <w:t>Journal of Paediatrics</w:t>
      </w:r>
      <w:r w:rsidRPr="00A16A93">
        <w:t xml:space="preserve"> 142(6): 604–10.</w:t>
      </w:r>
    </w:p>
    <w:p w:rsidR="00A16A93" w:rsidRPr="006A4849" w:rsidRDefault="00A16A93" w:rsidP="00A16A93">
      <w:pPr>
        <w:pStyle w:val="References"/>
      </w:pPr>
      <w:r w:rsidRPr="00A16A93">
        <w:t xml:space="preserve">Pizarro AN, Ribeiro JC, Marques EA, et al. 2013. Is walking to school associated with improved metabolic health? </w:t>
      </w:r>
      <w:r w:rsidRPr="006A4849">
        <w:rPr>
          <w:i/>
        </w:rPr>
        <w:t>International Journal of Behavioral Nutrition and Physical Activity</w:t>
      </w:r>
      <w:r w:rsidRPr="006A4849">
        <w:t xml:space="preserve"> 10: 12.</w:t>
      </w:r>
    </w:p>
    <w:p w:rsidR="00A16A93" w:rsidRPr="00A16A93" w:rsidRDefault="00A16A93" w:rsidP="00A16A93">
      <w:pPr>
        <w:pStyle w:val="References"/>
      </w:pPr>
      <w:r w:rsidRPr="00A16A93">
        <w:t xml:space="preserve">Sarmiento OL, Lemoine P, Gonzalez SA, et al. 2015. Relationships between active school transport and adiposity indicators in school-age children from low-, middle- and high-income countries. </w:t>
      </w:r>
      <w:r w:rsidRPr="00A16A93">
        <w:rPr>
          <w:i/>
        </w:rPr>
        <w:t>International Journal of Obesity Supplements</w:t>
      </w:r>
      <w:r w:rsidRPr="00A16A93">
        <w:t xml:space="preserve"> 5: S107–14.</w:t>
      </w:r>
    </w:p>
    <w:p w:rsidR="00A16A93" w:rsidRPr="00A16A93" w:rsidRDefault="00A16A93" w:rsidP="00A16A93">
      <w:pPr>
        <w:pStyle w:val="References"/>
      </w:pPr>
      <w:r w:rsidRPr="00A16A93">
        <w:t xml:space="preserve">Schmid SM, Hallschmid M, Schultes B. 2015. The metabolic burden of sleep loss. </w:t>
      </w:r>
      <w:r w:rsidRPr="00A16A93">
        <w:rPr>
          <w:i/>
        </w:rPr>
        <w:t>Lancet Diabetes and Endocrinology</w:t>
      </w:r>
      <w:r w:rsidRPr="00A16A93">
        <w:t xml:space="preserve"> 3: 52–62.</w:t>
      </w:r>
    </w:p>
    <w:p w:rsidR="00A16A93" w:rsidRPr="00A16A93" w:rsidRDefault="00A16A93" w:rsidP="00A16A93">
      <w:pPr>
        <w:pStyle w:val="References"/>
      </w:pPr>
      <w:r w:rsidRPr="00A16A93">
        <w:t xml:space="preserve">Shochat T, Cohen-Zion M, Tzischinsky O. 2014. Functional consequences of inadequate sleep in adolescents: a systematic review. </w:t>
      </w:r>
      <w:r w:rsidRPr="00A16A93">
        <w:rPr>
          <w:i/>
        </w:rPr>
        <w:t>Sleep Medicine Reviews</w:t>
      </w:r>
      <w:r w:rsidRPr="00A16A93">
        <w:t xml:space="preserve"> 18(1): 75–87.</w:t>
      </w:r>
    </w:p>
    <w:p w:rsidR="00A16A93" w:rsidRPr="00A16A93" w:rsidRDefault="00A16A93" w:rsidP="00A16A93">
      <w:pPr>
        <w:pStyle w:val="References"/>
      </w:pPr>
      <w:r w:rsidRPr="00A16A93">
        <w:t xml:space="preserve">Singhal A, Wells J, Cole TJ, et al. 2003. Programming of lean body mass: a link between birth weight, obesity, and cardiovascular disease? </w:t>
      </w:r>
      <w:r w:rsidRPr="00A16A93">
        <w:rPr>
          <w:i/>
        </w:rPr>
        <w:t>American Journal of Clinical Nutrition</w:t>
      </w:r>
      <w:r w:rsidRPr="00A16A93">
        <w:t xml:space="preserve"> 77(3): 726–30.</w:t>
      </w:r>
    </w:p>
    <w:p w:rsidR="00A16A93" w:rsidRPr="00A16A93" w:rsidRDefault="00A16A93" w:rsidP="00A16A93">
      <w:pPr>
        <w:pStyle w:val="References"/>
      </w:pPr>
      <w:r w:rsidRPr="00A16A93">
        <w:t xml:space="preserve">Suhrcke M, de Paz Nieves, C. 2011. </w:t>
      </w:r>
      <w:r w:rsidRPr="00A16A93">
        <w:rPr>
          <w:i/>
        </w:rPr>
        <w:t>The impact of health and health behaviours on educational outcomes in high-income countries: a review of the evidence</w:t>
      </w:r>
      <w:r w:rsidRPr="00A16A93">
        <w:t>. Copenhagen: World Health Organization Regional Office for Europe.</w:t>
      </w:r>
    </w:p>
    <w:p w:rsidR="00A16A93" w:rsidRPr="00A16A93" w:rsidRDefault="00A16A93" w:rsidP="00A16A93">
      <w:pPr>
        <w:pStyle w:val="References"/>
      </w:pPr>
      <w:r w:rsidRPr="00A16A93">
        <w:t xml:space="preserve">Taylor R, Scragg R, Quigley R. 2005. </w:t>
      </w:r>
      <w:r w:rsidRPr="00A16A93">
        <w:rPr>
          <w:i/>
        </w:rPr>
        <w:t>Do sugary drinks contribute to obesity in children? A report prepared by the Scientific Committee of the Agencies for Nutrition Action</w:t>
      </w:r>
      <w:r w:rsidRPr="00A16A93">
        <w:t>. Wellington: Agencies for Nutrition Action.</w:t>
      </w:r>
    </w:p>
    <w:p w:rsidR="00A16A93" w:rsidRPr="00A16A93" w:rsidRDefault="00A16A93" w:rsidP="00A16A93">
      <w:pPr>
        <w:pStyle w:val="References"/>
      </w:pPr>
      <w:r w:rsidRPr="00A16A93">
        <w:t xml:space="preserve">Vartanian LR, Schwartz MB, Brownell KD. 2007. Effects of soft drink consumption on nutrition and health: a systematic review and meta-analysis. </w:t>
      </w:r>
      <w:r w:rsidRPr="00A16A93">
        <w:rPr>
          <w:i/>
        </w:rPr>
        <w:t>American Journal of Public Health</w:t>
      </w:r>
      <w:r w:rsidRPr="00A16A93">
        <w:t xml:space="preserve"> 97(4): 667–75.</w:t>
      </w:r>
    </w:p>
    <w:p w:rsidR="00A16A93" w:rsidRPr="00A16A93" w:rsidRDefault="00A16A93" w:rsidP="00A16A93">
      <w:pPr>
        <w:pStyle w:val="References"/>
      </w:pPr>
      <w:r w:rsidRPr="00A16A93">
        <w:t xml:space="preserve">WHO. 2016. </w:t>
      </w:r>
      <w:r w:rsidR="005B1945">
        <w:rPr>
          <w:i/>
        </w:rPr>
        <w:t>Report of the C</w:t>
      </w:r>
      <w:r w:rsidRPr="00A16A93">
        <w:rPr>
          <w:i/>
        </w:rPr>
        <w:t xml:space="preserve">ommission on </w:t>
      </w:r>
      <w:r w:rsidR="005B1945">
        <w:rPr>
          <w:i/>
        </w:rPr>
        <w:t>E</w:t>
      </w:r>
      <w:r w:rsidRPr="00A16A93">
        <w:rPr>
          <w:i/>
        </w:rPr>
        <w:t xml:space="preserve">nding </w:t>
      </w:r>
      <w:r w:rsidR="005B1945">
        <w:rPr>
          <w:i/>
        </w:rPr>
        <w:t>C</w:t>
      </w:r>
      <w:r w:rsidRPr="00A16A93">
        <w:rPr>
          <w:i/>
        </w:rPr>
        <w:t xml:space="preserve">hildhood </w:t>
      </w:r>
      <w:r w:rsidR="005B1945">
        <w:rPr>
          <w:i/>
        </w:rPr>
        <w:t>O</w:t>
      </w:r>
      <w:r w:rsidRPr="00A16A93">
        <w:rPr>
          <w:i/>
        </w:rPr>
        <w:t>besity</w:t>
      </w:r>
      <w:r w:rsidRPr="00A16A93">
        <w:t>. World Health Organization: Geneva, Switzerland.</w:t>
      </w:r>
    </w:p>
    <w:p w:rsidR="00A16A93" w:rsidRPr="00A16A93" w:rsidRDefault="00A16A93" w:rsidP="00A16A93">
      <w:pPr>
        <w:pStyle w:val="References"/>
      </w:pPr>
      <w:r w:rsidRPr="00A16A93">
        <w:t xml:space="preserve">WHO, UNICEF. 2004. </w:t>
      </w:r>
      <w:r w:rsidRPr="00A16A93">
        <w:rPr>
          <w:i/>
        </w:rPr>
        <w:t>Low Birthweight: Country, regional and global estimates</w:t>
      </w:r>
      <w:r w:rsidRPr="00A16A93">
        <w:t>. New York: United Nations Children’s Fund.</w:t>
      </w:r>
    </w:p>
    <w:p w:rsidR="00A16A93" w:rsidRPr="00A16A93" w:rsidRDefault="00A16A93" w:rsidP="00A16A93">
      <w:pPr>
        <w:pStyle w:val="References"/>
      </w:pPr>
      <w:r w:rsidRPr="00A16A93">
        <w:t xml:space="preserve">World Cancer Research Fund, American Institute for Cancer Research. 2007. </w:t>
      </w:r>
      <w:r w:rsidRPr="00A16A93">
        <w:rPr>
          <w:i/>
        </w:rPr>
        <w:t xml:space="preserve">Food, Nutrition, Physical Activity, and the Prevention of Cancer: </w:t>
      </w:r>
      <w:r w:rsidR="005B1945">
        <w:rPr>
          <w:i/>
        </w:rPr>
        <w:t>A</w:t>
      </w:r>
      <w:r w:rsidRPr="00A16A93">
        <w:rPr>
          <w:i/>
        </w:rPr>
        <w:t xml:space="preserve"> </w:t>
      </w:r>
      <w:r w:rsidR="005B1945">
        <w:rPr>
          <w:i/>
        </w:rPr>
        <w:t>g</w:t>
      </w:r>
      <w:r w:rsidRPr="00A16A93">
        <w:rPr>
          <w:i/>
        </w:rPr>
        <w:t xml:space="preserve">lobal </w:t>
      </w:r>
      <w:r w:rsidR="005B1945">
        <w:rPr>
          <w:i/>
        </w:rPr>
        <w:t>p</w:t>
      </w:r>
      <w:r w:rsidRPr="00A16A93">
        <w:rPr>
          <w:i/>
        </w:rPr>
        <w:t>erspective</w:t>
      </w:r>
      <w:r w:rsidRPr="00A16A93">
        <w:t>. Washington DC: World Cancer Research Fund, American Institute for Cancer Research.</w:t>
      </w:r>
    </w:p>
    <w:sectPr w:rsidR="00A16A93" w:rsidRPr="00A16A93" w:rsidSect="0091682C">
      <w:pgSz w:w="11907" w:h="16834" w:code="9"/>
      <w:pgMar w:top="851" w:right="1134" w:bottom="1134" w:left="1134" w:header="284" w:footer="567" w:gutter="28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6FD2" w:rsidRDefault="00D36FD2">
      <w:pPr>
        <w:spacing w:line="240" w:lineRule="auto"/>
      </w:pPr>
      <w:r>
        <w:separator/>
      </w:r>
    </w:p>
    <w:p w:rsidR="00D36FD2" w:rsidRDefault="00D36FD2"/>
  </w:endnote>
  <w:endnote w:type="continuationSeparator" w:id="0">
    <w:p w:rsidR="00D36FD2" w:rsidRDefault="00D36FD2">
      <w:pPr>
        <w:spacing w:line="240" w:lineRule="auto"/>
      </w:pPr>
      <w:r>
        <w:continuationSeparator/>
      </w:r>
    </w:p>
    <w:p w:rsidR="00D36FD2" w:rsidRDefault="00D36F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entury">
    <w:panose1 w:val="0204060405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581" w:rsidRDefault="00EE55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581" w:rsidRPr="00581136" w:rsidRDefault="00EE5581" w:rsidP="00F9366A">
    <w:pPr>
      <w:pStyle w:val="Footer"/>
      <w:pBdr>
        <w:bottom w:val="single" w:sz="4" w:space="1" w:color="auto"/>
      </w:pBdr>
      <w:tabs>
        <w:tab w:val="right" w:pos="8504"/>
      </w:tabs>
      <w:ind w:left="-1559"/>
      <w:rPr>
        <w:b/>
      </w:rPr>
    </w:pPr>
    <w:r w:rsidRPr="00581136">
      <w:rPr>
        <w:b/>
      </w:rPr>
      <w:t>Released 201</w:t>
    </w:r>
    <w:r>
      <w:rPr>
        <w:b/>
      </w:rPr>
      <w:t>7</w:t>
    </w:r>
    <w:r w:rsidRPr="00581136">
      <w:rPr>
        <w:b/>
      </w:rPr>
      <w:tab/>
      <w:t>health.govt.nz</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581" w:rsidRDefault="00EE558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581" w:rsidRDefault="00EE5581" w:rsidP="004D6689">
    <w:pPr>
      <w:pStyle w:val="Footer"/>
      <w:pBdr>
        <w:bottom w:val="none" w:sz="0" w:space="0" w:color="auto"/>
      </w:pBdr>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581" w:rsidRDefault="00EE558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581" w:rsidRPr="00275D08" w:rsidRDefault="00EE5581"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ED37B9">
      <w:rPr>
        <w:rStyle w:val="PageNumber"/>
        <w:noProof/>
      </w:rPr>
      <w:t>16</w:t>
    </w:r>
    <w:r w:rsidRPr="00FC46E7">
      <w:rPr>
        <w:rStyle w:val="PageNumber"/>
      </w:rPr>
      <w:fldChar w:fldCharType="end"/>
    </w:r>
    <w:r>
      <w:tab/>
      <w:t>Children and Young People Living Well and Staying Well</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581" w:rsidRDefault="00EE5581" w:rsidP="00533B90">
    <w:pPr>
      <w:pStyle w:val="RectoFooter"/>
    </w:pPr>
    <w:r>
      <w:tab/>
      <w:t>Children and Young People Living Well and Staying Well</w:t>
    </w:r>
    <w:r>
      <w:tab/>
    </w:r>
    <w:r>
      <w:rPr>
        <w:rStyle w:val="PageNumber"/>
      </w:rPr>
      <w:fldChar w:fldCharType="begin"/>
    </w:r>
    <w:r>
      <w:rPr>
        <w:rStyle w:val="PageNumber"/>
      </w:rPr>
      <w:instrText xml:space="preserve"> PAGE </w:instrText>
    </w:r>
    <w:r>
      <w:rPr>
        <w:rStyle w:val="PageNumber"/>
      </w:rPr>
      <w:fldChar w:fldCharType="separate"/>
    </w:r>
    <w:r w:rsidR="00ED37B9">
      <w:rPr>
        <w:rStyle w:val="PageNumber"/>
        <w:noProof/>
      </w:rPr>
      <w:t>iii</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581" w:rsidRDefault="00EE5581" w:rsidP="009E3C8C">
    <w:pPr>
      <w:pStyle w:val="RectoFooter"/>
    </w:pPr>
    <w:r>
      <w:tab/>
      <w:t>Children and young people living well and staying well</w:t>
    </w:r>
    <w:r>
      <w:tab/>
    </w:r>
    <w:r>
      <w:rPr>
        <w:rStyle w:val="PageNumber"/>
      </w:rPr>
      <w:fldChar w:fldCharType="begin"/>
    </w:r>
    <w:r>
      <w:rPr>
        <w:rStyle w:val="PageNumber"/>
      </w:rPr>
      <w:instrText xml:space="preserve"> PAGE </w:instrText>
    </w:r>
    <w:r>
      <w:rPr>
        <w:rStyle w:val="PageNumber"/>
      </w:rPr>
      <w:fldChar w:fldCharType="separate"/>
    </w:r>
    <w:r w:rsidR="00ED37B9">
      <w:rPr>
        <w:rStyle w:val="PageNumber"/>
        <w:noProof/>
      </w:rPr>
      <w:t>15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6FD2" w:rsidRPr="00A26E6B" w:rsidRDefault="00D36FD2" w:rsidP="00A26E6B"/>
  </w:footnote>
  <w:footnote w:type="continuationSeparator" w:id="0">
    <w:p w:rsidR="00D36FD2" w:rsidRDefault="00D36FD2">
      <w:pPr>
        <w:spacing w:line="240" w:lineRule="auto"/>
      </w:pPr>
      <w:r>
        <w:continuationSeparator/>
      </w:r>
    </w:p>
    <w:p w:rsidR="00D36FD2" w:rsidRDefault="00D36FD2"/>
  </w:footnote>
  <w:footnote w:id="1">
    <w:p w:rsidR="00EE5581" w:rsidRDefault="00EE5581" w:rsidP="00546C37">
      <w:pPr>
        <w:pStyle w:val="FootnoteText"/>
      </w:pPr>
      <w:r w:rsidRPr="00546C37">
        <w:rPr>
          <w:rStyle w:val="FootnoteReference"/>
        </w:rPr>
        <w:footnoteRef/>
      </w:r>
      <w:r>
        <w:tab/>
        <w:t xml:space="preserve">The 95% </w:t>
      </w:r>
      <w:r w:rsidRPr="00134650">
        <w:t>confidence interval</w:t>
      </w:r>
      <w:r>
        <w:t xml:space="preserve"> (CI) </w:t>
      </w:r>
      <w:r w:rsidRPr="00134650">
        <w:t xml:space="preserve">refers to the fact that if repeated samples were taken and the 95% </w:t>
      </w:r>
      <w:r>
        <w:t xml:space="preserve">CI </w:t>
      </w:r>
      <w:r w:rsidRPr="00134650">
        <w:t xml:space="preserve">was calculated for each sample, 95% of the intervals would contain the population mean (ie, a 95% </w:t>
      </w:r>
      <w:r>
        <w:t xml:space="preserve">CI </w:t>
      </w:r>
      <w:r w:rsidRPr="00134650">
        <w:t>has a 0.95</w:t>
      </w:r>
      <w:r>
        <w:t> </w:t>
      </w:r>
      <w:r w:rsidRPr="00134650">
        <w:t>probability of containing the population mean).</w:t>
      </w:r>
    </w:p>
  </w:footnote>
  <w:footnote w:id="2">
    <w:p w:rsidR="00EE5581" w:rsidRDefault="00EE5581" w:rsidP="006A4849">
      <w:pPr>
        <w:pStyle w:val="FootnoteText"/>
      </w:pPr>
      <w:r w:rsidRPr="006A4849">
        <w:rPr>
          <w:rStyle w:val="FootnoteReference"/>
        </w:rPr>
        <w:footnoteRef/>
      </w:r>
      <w:r>
        <w:tab/>
      </w:r>
      <w:r w:rsidRPr="00072DF5">
        <w:t xml:space="preserve">The term </w:t>
      </w:r>
      <w:r>
        <w:t>‘</w:t>
      </w:r>
      <w:r w:rsidRPr="00072DF5">
        <w:t>thin</w:t>
      </w:r>
      <w:r>
        <w:t>’</w:t>
      </w:r>
      <w:r w:rsidRPr="00072DF5">
        <w:t xml:space="preserve"> refers to children who have a low BMI for their age, rather than children who are </w:t>
      </w:r>
      <w:r>
        <w:t>‘</w:t>
      </w:r>
      <w:r w:rsidRPr="00072DF5">
        <w:t>underweight</w:t>
      </w:r>
      <w:r>
        <w:t>’</w:t>
      </w:r>
      <w:r w:rsidRPr="00072DF5">
        <w:t>.</w:t>
      </w:r>
    </w:p>
  </w:footnote>
  <w:footnote w:id="3">
    <w:p w:rsidR="00EE5581" w:rsidRDefault="00EE5581" w:rsidP="006A4849">
      <w:pPr>
        <w:pStyle w:val="FootnoteText"/>
      </w:pPr>
      <w:r w:rsidRPr="006A4849">
        <w:rPr>
          <w:rStyle w:val="FootnoteReference"/>
        </w:rPr>
        <w:footnoteRef/>
      </w:r>
      <w:r>
        <w:tab/>
      </w:r>
      <w:r w:rsidRPr="00C1219B">
        <w:t>The B4 School Check is the final core Well Child/Tamariki Ora check</w:t>
      </w:r>
      <w:r>
        <w:t>.</w:t>
      </w:r>
      <w:r w:rsidRPr="00C1219B">
        <w:t xml:space="preserve"> </w:t>
      </w:r>
      <w:r>
        <w:t xml:space="preserve">It </w:t>
      </w:r>
      <w:r w:rsidRPr="00C1219B">
        <w:t>is a comprehensive needs assessment, screening and health education opportunity for children turning four and their parents/</w:t>
      </w:r>
      <w:r>
        <w:t>caregivers</w:t>
      </w:r>
      <w:r w:rsidRPr="00C1219B">
        <w:t xml:space="preserve">. </w:t>
      </w:r>
      <w:r>
        <w:t>R</w:t>
      </w:r>
      <w:r w:rsidRPr="00C1219B">
        <w:t>egistered health professional</w:t>
      </w:r>
      <w:r>
        <w:t>s</w:t>
      </w:r>
      <w:r w:rsidRPr="00C1219B">
        <w:t xml:space="preserve"> </w:t>
      </w:r>
      <w:r>
        <w:t xml:space="preserve">provide the free check </w:t>
      </w:r>
      <w:r w:rsidRPr="00C1219B">
        <w:t>through a range of community health services</w:t>
      </w:r>
      <w:r>
        <w:t>;</w:t>
      </w:r>
      <w:r w:rsidRPr="00C1219B">
        <w:t xml:space="preserve"> </w:t>
      </w:r>
      <w:r>
        <w:t xml:space="preserve">the check </w:t>
      </w:r>
      <w:r w:rsidRPr="00C1219B">
        <w:t>include</w:t>
      </w:r>
      <w:r>
        <w:t>s</w:t>
      </w:r>
      <w:r w:rsidRPr="00C1219B">
        <w:t xml:space="preserve"> hearing, eyesight, height, weight and oral health assessments, as well as comprehensive health and development questionnaires.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581" w:rsidRDefault="00EE55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581" w:rsidRDefault="00EE5581" w:rsidP="009216CC">
    <w:pPr>
      <w:pStyle w:val="Header"/>
      <w:ind w:left="-1559"/>
    </w:pPr>
    <w:r>
      <w:rPr>
        <w:noProof/>
        <w:lang w:eastAsia="en-NZ"/>
      </w:rPr>
      <w:drawing>
        <wp:inline distT="0" distB="0" distL="0" distR="0" wp14:anchorId="3DFC18D7" wp14:editId="0B51C754">
          <wp:extent cx="6467302" cy="5346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banner-final.jpg"/>
                  <pic:cNvPicPr/>
                </pic:nvPicPr>
                <pic:blipFill>
                  <a:blip r:embed="rId1">
                    <a:extLst>
                      <a:ext uri="{28A0092B-C50C-407E-A947-70E740481C1C}">
                        <a14:useLocalDpi xmlns:a14="http://schemas.microsoft.com/office/drawing/2010/main" val="0"/>
                      </a:ext>
                    </a:extLst>
                  </a:blip>
                  <a:stretch>
                    <a:fillRect/>
                  </a:stretch>
                </pic:blipFill>
                <pic:spPr>
                  <a:xfrm>
                    <a:off x="0" y="0"/>
                    <a:ext cx="6465795" cy="53450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581" w:rsidRDefault="00EE558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581" w:rsidRDefault="00EE5581" w:rsidP="00533B9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581" w:rsidRDefault="00EE5581" w:rsidP="0090019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581" w:rsidRDefault="00EE558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435F5101"/>
    <w:multiLevelType w:val="hybridMultilevel"/>
    <w:tmpl w:val="D97C0FFE"/>
    <w:lvl w:ilvl="0" w:tplc="61DA6B0E">
      <w:start w:val="47"/>
      <w:numFmt w:val="bullet"/>
      <w:lvlText w:val="-"/>
      <w:lvlJc w:val="left"/>
      <w:pPr>
        <w:ind w:left="36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5">
    <w:nsid w:val="69B16730"/>
    <w:multiLevelType w:val="hybridMultilevel"/>
    <w:tmpl w:val="545EEB18"/>
    <w:lvl w:ilvl="0" w:tplc="61DA6B0E">
      <w:start w:val="47"/>
      <w:numFmt w:val="bullet"/>
      <w:lvlText w:val="-"/>
      <w:lvlJc w:val="left"/>
      <w:pPr>
        <w:ind w:left="36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6"/>
  </w:num>
  <w:num w:numId="2">
    <w:abstractNumId w:val="4"/>
  </w:num>
  <w:num w:numId="3">
    <w:abstractNumId w:val="1"/>
  </w:num>
  <w:num w:numId="4">
    <w:abstractNumId w:val="2"/>
  </w:num>
  <w:num w:numId="5">
    <w:abstractNumId w:val="0"/>
  </w:num>
  <w:num w:numId="6">
    <w:abstractNumId w:val="5"/>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EB"/>
    <w:rsid w:val="00030B26"/>
    <w:rsid w:val="00032C0A"/>
    <w:rsid w:val="00035257"/>
    <w:rsid w:val="0006228D"/>
    <w:rsid w:val="00072BD6"/>
    <w:rsid w:val="00075B78"/>
    <w:rsid w:val="00082CD6"/>
    <w:rsid w:val="00085AFE"/>
    <w:rsid w:val="000B0730"/>
    <w:rsid w:val="000C1264"/>
    <w:rsid w:val="000F2AE2"/>
    <w:rsid w:val="00102063"/>
    <w:rsid w:val="0010541C"/>
    <w:rsid w:val="00106F93"/>
    <w:rsid w:val="00111D50"/>
    <w:rsid w:val="00113B8E"/>
    <w:rsid w:val="001342C7"/>
    <w:rsid w:val="0013585C"/>
    <w:rsid w:val="00140171"/>
    <w:rsid w:val="00142954"/>
    <w:rsid w:val="001460E0"/>
    <w:rsid w:val="00147F71"/>
    <w:rsid w:val="00150A6E"/>
    <w:rsid w:val="001603B6"/>
    <w:rsid w:val="0016468A"/>
    <w:rsid w:val="00185595"/>
    <w:rsid w:val="00197341"/>
    <w:rsid w:val="001A21B4"/>
    <w:rsid w:val="001A5CF5"/>
    <w:rsid w:val="001B0085"/>
    <w:rsid w:val="001B39D2"/>
    <w:rsid w:val="001B4BF8"/>
    <w:rsid w:val="001C4326"/>
    <w:rsid w:val="001D3541"/>
    <w:rsid w:val="001F45A7"/>
    <w:rsid w:val="00201A01"/>
    <w:rsid w:val="002056B3"/>
    <w:rsid w:val="002104D3"/>
    <w:rsid w:val="00213A33"/>
    <w:rsid w:val="0021763B"/>
    <w:rsid w:val="00246DB1"/>
    <w:rsid w:val="002476B5"/>
    <w:rsid w:val="00253ECF"/>
    <w:rsid w:val="002546A1"/>
    <w:rsid w:val="00275D08"/>
    <w:rsid w:val="002858E3"/>
    <w:rsid w:val="0029190A"/>
    <w:rsid w:val="00292C5A"/>
    <w:rsid w:val="00295241"/>
    <w:rsid w:val="002A4DFC"/>
    <w:rsid w:val="002B047D"/>
    <w:rsid w:val="002B732B"/>
    <w:rsid w:val="002C2219"/>
    <w:rsid w:val="002D0DF2"/>
    <w:rsid w:val="002D23BD"/>
    <w:rsid w:val="002E0B47"/>
    <w:rsid w:val="002F7213"/>
    <w:rsid w:val="0030382F"/>
    <w:rsid w:val="0030408D"/>
    <w:rsid w:val="003060E4"/>
    <w:rsid w:val="003160E7"/>
    <w:rsid w:val="0031739E"/>
    <w:rsid w:val="003325AB"/>
    <w:rsid w:val="003332D1"/>
    <w:rsid w:val="0033412B"/>
    <w:rsid w:val="00343365"/>
    <w:rsid w:val="00353501"/>
    <w:rsid w:val="003606F8"/>
    <w:rsid w:val="003648EF"/>
    <w:rsid w:val="003673E6"/>
    <w:rsid w:val="00377264"/>
    <w:rsid w:val="003949CD"/>
    <w:rsid w:val="003A26A5"/>
    <w:rsid w:val="003A3761"/>
    <w:rsid w:val="003A5FEA"/>
    <w:rsid w:val="003B1D10"/>
    <w:rsid w:val="003C76D4"/>
    <w:rsid w:val="003D2CC5"/>
    <w:rsid w:val="003E71FA"/>
    <w:rsid w:val="003E7C46"/>
    <w:rsid w:val="003F52A7"/>
    <w:rsid w:val="0040240C"/>
    <w:rsid w:val="00413021"/>
    <w:rsid w:val="00433A38"/>
    <w:rsid w:val="00440BE0"/>
    <w:rsid w:val="00442C1C"/>
    <w:rsid w:val="0044584B"/>
    <w:rsid w:val="00447CB7"/>
    <w:rsid w:val="00455CC9"/>
    <w:rsid w:val="00460826"/>
    <w:rsid w:val="00460EA7"/>
    <w:rsid w:val="0046195B"/>
    <w:rsid w:val="0046596D"/>
    <w:rsid w:val="00487C04"/>
    <w:rsid w:val="004907E1"/>
    <w:rsid w:val="004A035B"/>
    <w:rsid w:val="004A38D7"/>
    <w:rsid w:val="004A778C"/>
    <w:rsid w:val="004C2E6A"/>
    <w:rsid w:val="004C64B8"/>
    <w:rsid w:val="004D2A2D"/>
    <w:rsid w:val="004D6689"/>
    <w:rsid w:val="004E1D1D"/>
    <w:rsid w:val="004E4937"/>
    <w:rsid w:val="004E7AC8"/>
    <w:rsid w:val="004F0C94"/>
    <w:rsid w:val="005019AE"/>
    <w:rsid w:val="00503749"/>
    <w:rsid w:val="00504C41"/>
    <w:rsid w:val="00504CF4"/>
    <w:rsid w:val="0050635B"/>
    <w:rsid w:val="005151C2"/>
    <w:rsid w:val="0051696B"/>
    <w:rsid w:val="00521B12"/>
    <w:rsid w:val="005255EA"/>
    <w:rsid w:val="0053199F"/>
    <w:rsid w:val="00533B90"/>
    <w:rsid w:val="005410F8"/>
    <w:rsid w:val="005448EC"/>
    <w:rsid w:val="00545963"/>
    <w:rsid w:val="00546C37"/>
    <w:rsid w:val="00550256"/>
    <w:rsid w:val="0055227C"/>
    <w:rsid w:val="00553958"/>
    <w:rsid w:val="0055763D"/>
    <w:rsid w:val="005621F2"/>
    <w:rsid w:val="00567B58"/>
    <w:rsid w:val="005763E0"/>
    <w:rsid w:val="00581136"/>
    <w:rsid w:val="005A27CA"/>
    <w:rsid w:val="005A43BD"/>
    <w:rsid w:val="005A65A9"/>
    <w:rsid w:val="005B1945"/>
    <w:rsid w:val="005E226E"/>
    <w:rsid w:val="005E2636"/>
    <w:rsid w:val="006015D7"/>
    <w:rsid w:val="00601B21"/>
    <w:rsid w:val="006041F0"/>
    <w:rsid w:val="00626CF8"/>
    <w:rsid w:val="006307E0"/>
    <w:rsid w:val="00634ED8"/>
    <w:rsid w:val="00636D7D"/>
    <w:rsid w:val="00637408"/>
    <w:rsid w:val="00642868"/>
    <w:rsid w:val="00647AFE"/>
    <w:rsid w:val="006512BC"/>
    <w:rsid w:val="00653A5A"/>
    <w:rsid w:val="006575F4"/>
    <w:rsid w:val="006579E6"/>
    <w:rsid w:val="00660BDA"/>
    <w:rsid w:val="00663EDC"/>
    <w:rsid w:val="00671078"/>
    <w:rsid w:val="006758CA"/>
    <w:rsid w:val="00680A04"/>
    <w:rsid w:val="006833F7"/>
    <w:rsid w:val="00686D80"/>
    <w:rsid w:val="00694895"/>
    <w:rsid w:val="00697E2E"/>
    <w:rsid w:val="006A25A2"/>
    <w:rsid w:val="006A4849"/>
    <w:rsid w:val="006B0E73"/>
    <w:rsid w:val="006B2AA8"/>
    <w:rsid w:val="006B4A4D"/>
    <w:rsid w:val="006B5695"/>
    <w:rsid w:val="006C78EB"/>
    <w:rsid w:val="006D1660"/>
    <w:rsid w:val="006F1B67"/>
    <w:rsid w:val="0070091D"/>
    <w:rsid w:val="00702854"/>
    <w:rsid w:val="0071741C"/>
    <w:rsid w:val="00740471"/>
    <w:rsid w:val="00742B90"/>
    <w:rsid w:val="0074434D"/>
    <w:rsid w:val="007639E0"/>
    <w:rsid w:val="00766D01"/>
    <w:rsid w:val="00771B1E"/>
    <w:rsid w:val="00773C95"/>
    <w:rsid w:val="0078171E"/>
    <w:rsid w:val="00795B34"/>
    <w:rsid w:val="007B1770"/>
    <w:rsid w:val="007B4D3E"/>
    <w:rsid w:val="007B7C70"/>
    <w:rsid w:val="007C0A7E"/>
    <w:rsid w:val="007C12AD"/>
    <w:rsid w:val="007C6368"/>
    <w:rsid w:val="007D2151"/>
    <w:rsid w:val="007D42CC"/>
    <w:rsid w:val="007D5DE4"/>
    <w:rsid w:val="007E0777"/>
    <w:rsid w:val="007E1341"/>
    <w:rsid w:val="007E1B41"/>
    <w:rsid w:val="007E30B9"/>
    <w:rsid w:val="007E74F1"/>
    <w:rsid w:val="007F0F0C"/>
    <w:rsid w:val="007F1288"/>
    <w:rsid w:val="00800A8A"/>
    <w:rsid w:val="0080155C"/>
    <w:rsid w:val="008052E1"/>
    <w:rsid w:val="008158B6"/>
    <w:rsid w:val="00822F2C"/>
    <w:rsid w:val="008305E8"/>
    <w:rsid w:val="00834CCB"/>
    <w:rsid w:val="00840EA1"/>
    <w:rsid w:val="00851E7D"/>
    <w:rsid w:val="00860826"/>
    <w:rsid w:val="00860E21"/>
    <w:rsid w:val="00863117"/>
    <w:rsid w:val="0086388B"/>
    <w:rsid w:val="008642E5"/>
    <w:rsid w:val="00865074"/>
    <w:rsid w:val="00872D93"/>
    <w:rsid w:val="00880470"/>
    <w:rsid w:val="00880D94"/>
    <w:rsid w:val="008924DE"/>
    <w:rsid w:val="00892DDA"/>
    <w:rsid w:val="008A3755"/>
    <w:rsid w:val="008B264F"/>
    <w:rsid w:val="008B6F83"/>
    <w:rsid w:val="008B7FD8"/>
    <w:rsid w:val="008C2973"/>
    <w:rsid w:val="008C6324"/>
    <w:rsid w:val="008C64C4"/>
    <w:rsid w:val="008D74D5"/>
    <w:rsid w:val="008F29BE"/>
    <w:rsid w:val="008F4AE5"/>
    <w:rsid w:val="008F51EB"/>
    <w:rsid w:val="008F5617"/>
    <w:rsid w:val="00900197"/>
    <w:rsid w:val="00902F55"/>
    <w:rsid w:val="0090582B"/>
    <w:rsid w:val="009060C0"/>
    <w:rsid w:val="009133F5"/>
    <w:rsid w:val="0091682C"/>
    <w:rsid w:val="00920A27"/>
    <w:rsid w:val="00921216"/>
    <w:rsid w:val="009216CC"/>
    <w:rsid w:val="00930D08"/>
    <w:rsid w:val="00932D69"/>
    <w:rsid w:val="00944647"/>
    <w:rsid w:val="00947CC3"/>
    <w:rsid w:val="00977B8A"/>
    <w:rsid w:val="00982971"/>
    <w:rsid w:val="009845AD"/>
    <w:rsid w:val="00995BA0"/>
    <w:rsid w:val="009A09E3"/>
    <w:rsid w:val="009A418B"/>
    <w:rsid w:val="009A4473"/>
    <w:rsid w:val="009C151C"/>
    <w:rsid w:val="009D5125"/>
    <w:rsid w:val="009D60B8"/>
    <w:rsid w:val="009D7D4B"/>
    <w:rsid w:val="009E36ED"/>
    <w:rsid w:val="009E3C8C"/>
    <w:rsid w:val="009E6B77"/>
    <w:rsid w:val="009F460A"/>
    <w:rsid w:val="00A043FB"/>
    <w:rsid w:val="00A0729C"/>
    <w:rsid w:val="00A07779"/>
    <w:rsid w:val="00A16A93"/>
    <w:rsid w:val="00A20B2E"/>
    <w:rsid w:val="00A25069"/>
    <w:rsid w:val="00A26E6B"/>
    <w:rsid w:val="00A3068F"/>
    <w:rsid w:val="00A3145B"/>
    <w:rsid w:val="00A339D0"/>
    <w:rsid w:val="00A41002"/>
    <w:rsid w:val="00A4201A"/>
    <w:rsid w:val="00A553CE"/>
    <w:rsid w:val="00A5677A"/>
    <w:rsid w:val="00A6490D"/>
    <w:rsid w:val="00A80363"/>
    <w:rsid w:val="00A83E9D"/>
    <w:rsid w:val="00A9169D"/>
    <w:rsid w:val="00A9542B"/>
    <w:rsid w:val="00AA240C"/>
    <w:rsid w:val="00AC101C"/>
    <w:rsid w:val="00AC5DE5"/>
    <w:rsid w:val="00AD4CF1"/>
    <w:rsid w:val="00AD5988"/>
    <w:rsid w:val="00AF7800"/>
    <w:rsid w:val="00B072E0"/>
    <w:rsid w:val="00B21C3C"/>
    <w:rsid w:val="00B253F6"/>
    <w:rsid w:val="00B305DB"/>
    <w:rsid w:val="00B332F8"/>
    <w:rsid w:val="00B3492B"/>
    <w:rsid w:val="00B4646F"/>
    <w:rsid w:val="00B50F67"/>
    <w:rsid w:val="00B55C7D"/>
    <w:rsid w:val="00B63038"/>
    <w:rsid w:val="00B64BD8"/>
    <w:rsid w:val="00B701D1"/>
    <w:rsid w:val="00B73AF2"/>
    <w:rsid w:val="00B7551A"/>
    <w:rsid w:val="00B773F1"/>
    <w:rsid w:val="00B86AB1"/>
    <w:rsid w:val="00B8797A"/>
    <w:rsid w:val="00BB143F"/>
    <w:rsid w:val="00BB2CBB"/>
    <w:rsid w:val="00BC59F1"/>
    <w:rsid w:val="00BF3DE1"/>
    <w:rsid w:val="00BF4843"/>
    <w:rsid w:val="00BF5205"/>
    <w:rsid w:val="00C12508"/>
    <w:rsid w:val="00C23728"/>
    <w:rsid w:val="00C45AA2"/>
    <w:rsid w:val="00C45C90"/>
    <w:rsid w:val="00C55BEF"/>
    <w:rsid w:val="00C66296"/>
    <w:rsid w:val="00C70F0D"/>
    <w:rsid w:val="00C77282"/>
    <w:rsid w:val="00C84DE5"/>
    <w:rsid w:val="00C86248"/>
    <w:rsid w:val="00CA4C33"/>
    <w:rsid w:val="00CA6F4A"/>
    <w:rsid w:val="00CD2119"/>
    <w:rsid w:val="00CD237A"/>
    <w:rsid w:val="00CD36AC"/>
    <w:rsid w:val="00CD78D1"/>
    <w:rsid w:val="00CE13A3"/>
    <w:rsid w:val="00CF1747"/>
    <w:rsid w:val="00D23323"/>
    <w:rsid w:val="00D2392A"/>
    <w:rsid w:val="00D25FFE"/>
    <w:rsid w:val="00D36FD2"/>
    <w:rsid w:val="00D4476F"/>
    <w:rsid w:val="00D54D50"/>
    <w:rsid w:val="00D65F8D"/>
    <w:rsid w:val="00D66797"/>
    <w:rsid w:val="00D7087C"/>
    <w:rsid w:val="00D70C3C"/>
    <w:rsid w:val="00D72BE5"/>
    <w:rsid w:val="00D82F26"/>
    <w:rsid w:val="00D863D0"/>
    <w:rsid w:val="00D87C87"/>
    <w:rsid w:val="00D90E07"/>
    <w:rsid w:val="00DB39CF"/>
    <w:rsid w:val="00DD0BCD"/>
    <w:rsid w:val="00DD447A"/>
    <w:rsid w:val="00DE3B20"/>
    <w:rsid w:val="00DE6C94"/>
    <w:rsid w:val="00DE6FD7"/>
    <w:rsid w:val="00E05F71"/>
    <w:rsid w:val="00E23271"/>
    <w:rsid w:val="00E24F80"/>
    <w:rsid w:val="00E259F3"/>
    <w:rsid w:val="00E33238"/>
    <w:rsid w:val="00E4486C"/>
    <w:rsid w:val="00E44A77"/>
    <w:rsid w:val="00E460B6"/>
    <w:rsid w:val="00E511D5"/>
    <w:rsid w:val="00E60249"/>
    <w:rsid w:val="00E65269"/>
    <w:rsid w:val="00E76D66"/>
    <w:rsid w:val="00EA2789"/>
    <w:rsid w:val="00EA6F74"/>
    <w:rsid w:val="00EA796A"/>
    <w:rsid w:val="00EB1856"/>
    <w:rsid w:val="00EC50CE"/>
    <w:rsid w:val="00EC5B34"/>
    <w:rsid w:val="00ED37B9"/>
    <w:rsid w:val="00EE2D5C"/>
    <w:rsid w:val="00EE4ADE"/>
    <w:rsid w:val="00EE5581"/>
    <w:rsid w:val="00EE5CB7"/>
    <w:rsid w:val="00F024FE"/>
    <w:rsid w:val="00F05AD4"/>
    <w:rsid w:val="00F25970"/>
    <w:rsid w:val="00F3589B"/>
    <w:rsid w:val="00F5180D"/>
    <w:rsid w:val="00F63781"/>
    <w:rsid w:val="00F67496"/>
    <w:rsid w:val="00F77AB7"/>
    <w:rsid w:val="00F801BA"/>
    <w:rsid w:val="00F9366A"/>
    <w:rsid w:val="00F946C9"/>
    <w:rsid w:val="00FA0779"/>
    <w:rsid w:val="00FA74EE"/>
    <w:rsid w:val="00FC3711"/>
    <w:rsid w:val="00FC46E7"/>
    <w:rsid w:val="00FC5D25"/>
    <w:rsid w:val="00FD0D7E"/>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3E8FAF36-B153-4D6B-AC69-FFA5958E2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6A93"/>
    <w:pPr>
      <w:spacing w:line="264" w:lineRule="auto"/>
    </w:pPr>
    <w:rPr>
      <w:rFonts w:ascii="Georgia" w:hAnsi="Georgia"/>
      <w:sz w:val="22"/>
      <w:lang w:eastAsia="en-GB"/>
    </w:rPr>
  </w:style>
  <w:style w:type="paragraph" w:styleId="Heading1">
    <w:name w:val="heading 1"/>
    <w:basedOn w:val="Normal"/>
    <w:next w:val="Normal"/>
    <w:link w:val="Heading1Char"/>
    <w:uiPriority w:val="9"/>
    <w:qFormat/>
    <w:rsid w:val="00035257"/>
    <w:pPr>
      <w:pageBreakBefore/>
      <w:pBdr>
        <w:top w:val="single" w:sz="48" w:space="16" w:color="auto"/>
      </w:pBdr>
      <w:spacing w:after="360"/>
      <w:outlineLvl w:val="0"/>
    </w:pPr>
    <w:rPr>
      <w:b/>
      <w:sz w:val="60"/>
    </w:rPr>
  </w:style>
  <w:style w:type="paragraph" w:styleId="Heading2">
    <w:name w:val="heading 2"/>
    <w:basedOn w:val="Normal"/>
    <w:next w:val="Normal"/>
    <w:link w:val="Heading2Char"/>
    <w:uiPriority w:val="9"/>
    <w:qFormat/>
    <w:rsid w:val="00D2392A"/>
    <w:pPr>
      <w:keepNext/>
      <w:spacing w:before="120" w:after="120"/>
      <w:outlineLvl w:val="1"/>
    </w:pPr>
    <w:rPr>
      <w:b/>
      <w:sz w:val="40"/>
    </w:rPr>
  </w:style>
  <w:style w:type="paragraph" w:styleId="Heading3">
    <w:name w:val="heading 3"/>
    <w:basedOn w:val="Normal"/>
    <w:next w:val="Normal"/>
    <w:link w:val="Heading3Char"/>
    <w:uiPriority w:val="9"/>
    <w:qFormat/>
    <w:rsid w:val="0033412B"/>
    <w:pPr>
      <w:keepNext/>
      <w:spacing w:before="120" w:after="120"/>
      <w:outlineLvl w:val="2"/>
    </w:pPr>
    <w:rPr>
      <w:b/>
      <w:sz w:val="28"/>
    </w:rPr>
  </w:style>
  <w:style w:type="paragraph" w:styleId="Heading4">
    <w:name w:val="heading 4"/>
    <w:basedOn w:val="Normal"/>
    <w:next w:val="Normal"/>
    <w:link w:val="Heading4Char"/>
    <w:uiPriority w:val="9"/>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5B1945"/>
    <w:pPr>
      <w:tabs>
        <w:tab w:val="right" w:pos="9356"/>
      </w:tabs>
      <w:spacing w:before="6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semiHidden/>
    <w:rsid w:val="003060E4"/>
    <w:pPr>
      <w:spacing w:before="60"/>
      <w:ind w:left="284" w:hanging="284"/>
    </w:pPr>
    <w:rPr>
      <w:sz w:val="18"/>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10"/>
    <w:qFormat/>
    <w:rsid w:val="00CD237A"/>
    <w:pPr>
      <w:pBdr>
        <w:bottom w:val="single" w:sz="48" w:space="6" w:color="auto"/>
      </w:pBd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rsid w:val="00185595"/>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A9542B"/>
  </w:style>
  <w:style w:type="paragraph" w:customStyle="1" w:styleId="Note">
    <w:name w:val="Note"/>
    <w:basedOn w:val="Normal"/>
    <w:next w:val="Normal"/>
    <w:link w:val="NoteChar"/>
    <w:qFormat/>
    <w:rsid w:val="00A9542B"/>
    <w:pPr>
      <w:spacing w:before="60" w:line="240" w:lineRule="auto"/>
    </w:pPr>
    <w:rPr>
      <w:rFonts w:ascii="Arial" w:hAnsi="Arial"/>
      <w:sz w:val="17"/>
    </w:rPr>
  </w:style>
  <w:style w:type="paragraph" w:customStyle="1" w:styleId="Subhead">
    <w:name w:val="Subhead"/>
    <w:basedOn w:val="Normal"/>
    <w:next w:val="Normal"/>
    <w:qFormat/>
    <w:rsid w:val="00A16A93"/>
    <w:pPr>
      <w:spacing w:before="180"/>
      <w:ind w:right="1701"/>
    </w:pPr>
    <w:rPr>
      <w:sz w:val="46"/>
    </w:rPr>
  </w:style>
  <w:style w:type="character" w:styleId="Hyperlink">
    <w:name w:val="Hyperlink"/>
    <w:uiPriority w:val="99"/>
    <w:rsid w:val="00546C37"/>
    <w:rPr>
      <w:color w:val="595959" w:themeColor="text1" w:themeTint="A6"/>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9542B"/>
    <w:rPr>
      <w:rFonts w:ascii="Arial" w:hAnsi="Arial"/>
      <w:sz w:val="17"/>
      <w:lang w:eastAsia="en-GB"/>
    </w:rPr>
  </w:style>
  <w:style w:type="character" w:customStyle="1" w:styleId="FootnoteTextChar">
    <w:name w:val="Footnote Text Char"/>
    <w:link w:val="FootnoteText"/>
    <w:semiHidden/>
    <w:rsid w:val="003060E4"/>
    <w:rPr>
      <w:rFonts w:ascii="Georgia" w:hAnsi="Georgia"/>
      <w:sz w:val="18"/>
      <w:lang w:eastAsia="en-GB"/>
    </w:rPr>
  </w:style>
  <w:style w:type="table" w:styleId="TableGrid">
    <w:name w:val="Table Grid"/>
    <w:basedOn w:val="TableNormal"/>
    <w:uiPriority w:val="39"/>
    <w:rsid w:val="00503749"/>
    <w:pPr>
      <w:spacing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uiPriority w:val="9"/>
    <w:rsid w:val="00035257"/>
    <w:rPr>
      <w:rFonts w:ascii="Georgia" w:hAnsi="Georgia"/>
      <w:b/>
      <w:sz w:val="60"/>
      <w:lang w:eastAsia="en-GB"/>
    </w:rPr>
  </w:style>
  <w:style w:type="paragraph" w:styleId="Revision">
    <w:name w:val="Revision"/>
    <w:hidden/>
    <w:uiPriority w:val="71"/>
    <w:rsid w:val="0086388B"/>
    <w:rPr>
      <w:rFonts w:ascii="Calibri" w:eastAsia="Calibri" w:hAnsi="Calibri"/>
      <w:sz w:val="22"/>
      <w:szCs w:val="22"/>
      <w:lang w:val="en-US" w:eastAsia="en-US"/>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paragraph" w:customStyle="1" w:styleId="Year">
    <w:name w:val="Year"/>
    <w:basedOn w:val="Subhead"/>
    <w:next w:val="Subhead"/>
    <w:qFormat/>
    <w:rsid w:val="00F63781"/>
    <w:pPr>
      <w:pBdr>
        <w:bottom w:val="single" w:sz="48" w:space="6" w:color="auto"/>
      </w:pBdr>
    </w:pPr>
    <w:rPr>
      <w:sz w:val="56"/>
    </w:rPr>
  </w:style>
  <w:style w:type="paragraph" w:customStyle="1" w:styleId="Textboxheading">
    <w:name w:val="Text box heading"/>
    <w:basedOn w:val="Table"/>
    <w:qFormat/>
    <w:rsid w:val="008158B6"/>
  </w:style>
  <w:style w:type="character" w:customStyle="1" w:styleId="Heading4Char">
    <w:name w:val="Heading 4 Char"/>
    <w:basedOn w:val="DefaultParagraphFont"/>
    <w:link w:val="Heading4"/>
    <w:uiPriority w:val="9"/>
    <w:rsid w:val="00A16A93"/>
    <w:rPr>
      <w:rFonts w:ascii="Georgia" w:hAnsi="Georgia"/>
      <w:b/>
      <w:sz w:val="22"/>
      <w:lang w:eastAsia="en-GB"/>
    </w:rPr>
  </w:style>
  <w:style w:type="character" w:customStyle="1" w:styleId="TitleChar">
    <w:name w:val="Title Char"/>
    <w:basedOn w:val="DefaultParagraphFont"/>
    <w:link w:val="Title"/>
    <w:uiPriority w:val="10"/>
    <w:rsid w:val="00A16A93"/>
    <w:rPr>
      <w:rFonts w:ascii="Georgia" w:hAnsi="Georgia"/>
      <w:b/>
      <w:sz w:val="80"/>
      <w:lang w:eastAsia="en-GB"/>
    </w:rPr>
  </w:style>
  <w:style w:type="paragraph" w:styleId="BalloonText">
    <w:name w:val="Balloon Text"/>
    <w:basedOn w:val="Normal"/>
    <w:link w:val="BalloonTextChar"/>
    <w:uiPriority w:val="99"/>
    <w:semiHidden/>
    <w:unhideWhenUsed/>
    <w:rsid w:val="00CD78D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8D1"/>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yperlink" Target="http://www.health.govt.nz/publication/clinical-guidelines-weight-management-new-zealand-children-and-young-people" TargetMode="External"/><Relationship Id="rId39" Type="http://schemas.openxmlformats.org/officeDocument/2006/relationships/hyperlink" Target="http://www.health.govt.nz/publication/clinical-guidelines-weight-management-new-zealand-children-and-young-people" TargetMode="External"/><Relationship Id="rId21" Type="http://schemas.openxmlformats.org/officeDocument/2006/relationships/footer" Target="footer7.xml"/><Relationship Id="rId34" Type="http://schemas.openxmlformats.org/officeDocument/2006/relationships/hyperlink" Target="http://www.health.govt.nz/nz-health-statistics/health-statistics-and-data-sets/report-maternity-series" TargetMode="External"/><Relationship Id="rId42" Type="http://schemas.openxmlformats.org/officeDocument/2006/relationships/hyperlink" Target="http://www.health.govt.nz/publication/indicators-well-child-tamariki-ora-quality-improvement-framework-march-2016" TargetMode="External"/><Relationship Id="rId47" Type="http://schemas.openxmlformats.org/officeDocument/2006/relationships/hyperlink" Target="http://www.health.govt.nz/publication/annual-update-key-results-2015-16-new-zealand-health-survey" TargetMode="External"/><Relationship Id="rId50" Type="http://schemas.openxmlformats.org/officeDocument/2006/relationships/chart" Target="charts/chart3.xml"/><Relationship Id="rId55" Type="http://schemas.openxmlformats.org/officeDocument/2006/relationships/hyperlink" Target="http://www.health.govt.nz/publication/annual-update-key-results-2015-16-new-zealand-health-survey" TargetMode="External"/><Relationship Id="rId63" Type="http://schemas.openxmlformats.org/officeDocument/2006/relationships/hyperlink" Target="http://www.health.govt.nz/publication/methodology-report-2015-16-new-zealand-health-survey" TargetMode="External"/><Relationship Id="rId68" Type="http://schemas.openxmlformats.org/officeDocument/2006/relationships/footer" Target="footer8.xml"/><Relationship Id="rId76" Type="http://schemas.openxmlformats.org/officeDocument/2006/relationships/hyperlink" Target="http://www.health.govt.nz/nz-health-statistics/national-collections-and-surveys/collections/national-maternity-collection" TargetMode="External"/><Relationship Id="rId7" Type="http://schemas.openxmlformats.org/officeDocument/2006/relationships/endnotes" Target="endnotes.xml"/><Relationship Id="rId71" Type="http://schemas.openxmlformats.org/officeDocument/2006/relationships/hyperlink" Target="http://www.diabetes.org.nz/about_diabetes/gestational_diabetes"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health.govt.nz/nz-health-statistics/national-collections-and-surveys/surveys/current-recent-surveys/new-zealand-health-survey" TargetMode="External"/><Relationship Id="rId11" Type="http://schemas.openxmlformats.org/officeDocument/2006/relationships/footer" Target="footer2.xml"/><Relationship Id="rId24" Type="http://schemas.openxmlformats.org/officeDocument/2006/relationships/hyperlink" Target="http://www.health.govt.nz/publication/national-healthy-food-and-drink-policy" TargetMode="External"/><Relationship Id="rId32" Type="http://schemas.openxmlformats.org/officeDocument/2006/relationships/hyperlink" Target="http://www.health.govt.nz/nz-health-statistics/national-collections-and-surveys/collections/national-maternity-collection" TargetMode="External"/><Relationship Id="rId37" Type="http://schemas.openxmlformats.org/officeDocument/2006/relationships/chart" Target="charts/chart1.xml"/><Relationship Id="rId40" Type="http://schemas.openxmlformats.org/officeDocument/2006/relationships/hyperlink" Target="http://www.health.govt.nz/publication/indicators-well-child-tamariki-ora-quality-improvement-framework-march-2016" TargetMode="External"/><Relationship Id="rId45" Type="http://schemas.openxmlformats.org/officeDocument/2006/relationships/hyperlink" Target="http://www.health.govt.nz/publication/methodology-report-2015-16-new-zealand-health-survey" TargetMode="External"/><Relationship Id="rId53" Type="http://schemas.openxmlformats.org/officeDocument/2006/relationships/hyperlink" Target="http://www.health.govt.nz/publication/methodology-report-2015-16-new-zealand-health-survey" TargetMode="External"/><Relationship Id="rId58" Type="http://schemas.openxmlformats.org/officeDocument/2006/relationships/hyperlink" Target="http://www.health.govt.nz/publication/annual-update-key-results-2015-16-new-zealand-health-survey" TargetMode="External"/><Relationship Id="rId66" Type="http://schemas.openxmlformats.org/officeDocument/2006/relationships/hyperlink" Target="http://www.health.govt.nz/publication/clinical-guidelines-weight-management-new-zealand-children-and-young-people" TargetMode="External"/><Relationship Id="rId74" Type="http://schemas.openxmlformats.org/officeDocument/2006/relationships/hyperlink" Target="http://www.health.govt.nz/nz-health-statistics/national-collections-and-surveys/collections/national-minimum-dataset-hospital-events" TargetMode="External"/><Relationship Id="rId79" Type="http://schemas.openxmlformats.org/officeDocument/2006/relationships/hyperlink" Target="http://www.health.govt.nz/our-work/preventative-health-wellness/physical-activity" TargetMode="External"/><Relationship Id="rId5" Type="http://schemas.openxmlformats.org/officeDocument/2006/relationships/webSettings" Target="webSettings.xml"/><Relationship Id="rId61" Type="http://schemas.openxmlformats.org/officeDocument/2006/relationships/hyperlink" Target="http://www.hpa.org.nz/sites/default/files/Health%20Star%20Rating%20Monitoring%20and%20Evaluation.pdf" TargetMode="Externa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yperlink" Target="http://www.hpa.org.nz/sites/default/files/Health%20Star%20Rating%20Monitoring%20and%20Evaluation.pdf" TargetMode="External"/><Relationship Id="rId44" Type="http://schemas.openxmlformats.org/officeDocument/2006/relationships/hyperlink" Target="http://www.health.govt.nz/publication/annual-update-key-results-2015-16-new-zealand-health-survey" TargetMode="External"/><Relationship Id="rId52" Type="http://schemas.openxmlformats.org/officeDocument/2006/relationships/hyperlink" Target="http://www.health.govt.nz/publication/annual-update-key-results-2015-16-new-zealand-health-survey" TargetMode="External"/><Relationship Id="rId60" Type="http://schemas.openxmlformats.org/officeDocument/2006/relationships/hyperlink" Target="http://www.hpa.org.nz/sites/default/files/Health%20Star%20Rating%20Monitoring%20and%20Evaluation.pdf" TargetMode="External"/><Relationship Id="rId65" Type="http://schemas.openxmlformats.org/officeDocument/2006/relationships/hyperlink" Target="http://www.health.govt.nz/publication/annual-update-key-results-2015-16-new-zealand-health-survey" TargetMode="External"/><Relationship Id="rId73" Type="http://schemas.openxmlformats.org/officeDocument/2006/relationships/hyperlink" Target="http://www.health.govt.nz/nz-health-statistics/national-collections-and-surveys/collections/national-minimum-dataset-hospital-events" TargetMode="External"/><Relationship Id="rId78" Type="http://schemas.openxmlformats.org/officeDocument/2006/relationships/hyperlink" Target="file:///C:\Users\hbutton\AppData\Local\Temp\notesD1E4ED\www.diabetes.org.nz\about_diabetes\gestational_diabetes"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www.health.govt.nz/our-work/diseases-and-conditions/obesity/childhood-obesity-plan" TargetMode="External"/><Relationship Id="rId27" Type="http://schemas.openxmlformats.org/officeDocument/2006/relationships/image" Target="media/image4.emf"/><Relationship Id="rId30" Type="http://schemas.openxmlformats.org/officeDocument/2006/relationships/hyperlink" Target="http://www.health.govt.nz/publication/indicators-well-child-tamariki-ora-quality-improvement-framework-march-2016" TargetMode="External"/><Relationship Id="rId35" Type="http://schemas.openxmlformats.org/officeDocument/2006/relationships/hyperlink" Target="http://www.health.govt.nz/publication/annual-update-key-results-2015-16-new-zealand-health-survey" TargetMode="External"/><Relationship Id="rId43" Type="http://schemas.openxmlformats.org/officeDocument/2006/relationships/hyperlink" Target="http://www.health.govt.nz/publication/clinical-guidelines-weight-management-new-zealand-children-and-young-people" TargetMode="External"/><Relationship Id="rId48" Type="http://schemas.openxmlformats.org/officeDocument/2006/relationships/hyperlink" Target="http://www.health.govt.nz/publication/annual-update-key-results-2015-16-new-zealand-health-survey" TargetMode="External"/><Relationship Id="rId56" Type="http://schemas.openxmlformats.org/officeDocument/2006/relationships/hyperlink" Target="http://www.health.govt.nz/publication/methodology-report-2015-16-new-zealand-health-survey" TargetMode="External"/><Relationship Id="rId64" Type="http://schemas.openxmlformats.org/officeDocument/2006/relationships/chart" Target="charts/chart6.xml"/><Relationship Id="rId69" Type="http://schemas.openxmlformats.org/officeDocument/2006/relationships/hyperlink" Target="http://www.health.govt.nz/publication/annual-update-key-results-2015-16-new-zealand-health-survey" TargetMode="External"/><Relationship Id="rId77" Type="http://schemas.openxmlformats.org/officeDocument/2006/relationships/hyperlink" Target="http://www.health.govt.nz/nz-health-statistics/health-statistics-and-data-sets/report-maternity-series" TargetMode="External"/><Relationship Id="rId8" Type="http://schemas.openxmlformats.org/officeDocument/2006/relationships/header" Target="header1.xml"/><Relationship Id="rId51" Type="http://schemas.openxmlformats.org/officeDocument/2006/relationships/hyperlink" Target="http://www.health.govt.nz/publication/annual-update-key-results-2015-16-new-zealand-health-survey" TargetMode="External"/><Relationship Id="rId72" Type="http://schemas.openxmlformats.org/officeDocument/2006/relationships/hyperlink" Target="http://www.health.govt.nz/publication/diabetes-pregnancy"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yperlink" Target="http://www.health.govt.nz/publication/eating-and-activity-guidelines-new-zealand-adults" TargetMode="External"/><Relationship Id="rId33" Type="http://schemas.openxmlformats.org/officeDocument/2006/relationships/hyperlink" Target="http://www.health.govt.nz/nz-health-statistics/national-collections-and-surveys/collections/national-minimum-dataset-hospital-events" TargetMode="External"/><Relationship Id="rId38" Type="http://schemas.openxmlformats.org/officeDocument/2006/relationships/hyperlink" Target="http://www.health.govt.nz/publication/annual-update-key-results-2015-16-new-zealand-health-survey" TargetMode="External"/><Relationship Id="rId46" Type="http://schemas.openxmlformats.org/officeDocument/2006/relationships/chart" Target="charts/chart2.xml"/><Relationship Id="rId59" Type="http://schemas.openxmlformats.org/officeDocument/2006/relationships/image" Target="media/image6.png"/><Relationship Id="rId67" Type="http://schemas.openxmlformats.org/officeDocument/2006/relationships/header" Target="header6.xml"/><Relationship Id="rId20" Type="http://schemas.openxmlformats.org/officeDocument/2006/relationships/footer" Target="footer6.xml"/><Relationship Id="rId41" Type="http://schemas.openxmlformats.org/officeDocument/2006/relationships/hyperlink" Target="http://www.health.govt.nz/nz-health-statistics/national-collections-and-surveys/collections/national-maternity-collection" TargetMode="External"/><Relationship Id="rId54" Type="http://schemas.openxmlformats.org/officeDocument/2006/relationships/chart" Target="charts/chart4.xml"/><Relationship Id="rId62" Type="http://schemas.openxmlformats.org/officeDocument/2006/relationships/hyperlink" Target="http://www.health.govt.nz/publication/annual-update-key-results-2015-16-new-zealand-health-survey" TargetMode="External"/><Relationship Id="rId70" Type="http://schemas.openxmlformats.org/officeDocument/2006/relationships/hyperlink" Target="http://www.health.govt.nz/publication/methodology-report-2015-16-new-zealand-health-survey" TargetMode="External"/><Relationship Id="rId75" Type="http://schemas.openxmlformats.org/officeDocument/2006/relationships/hyperlink" Target="http://www.health.govt.nz/nz-health-statistics/health-statistics-and-data-sets/report-maternity-seri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health.govt.nz/new-zealand-health-system/health-targets/about-health-targets/health-targets-raising-healthy-kids" TargetMode="External"/><Relationship Id="rId28" Type="http://schemas.openxmlformats.org/officeDocument/2006/relationships/image" Target="media/image5.jpg"/><Relationship Id="rId36" Type="http://schemas.openxmlformats.org/officeDocument/2006/relationships/hyperlink" Target="http://www.health.govt.nz/publication/methodology-report-2015-16-new-zealand-health-survey" TargetMode="External"/><Relationship Id="rId49" Type="http://schemas.openxmlformats.org/officeDocument/2006/relationships/hyperlink" Target="http://www.health.govt.nz/publication/methodology-report-2015-16-new-zealand-health-survey" TargetMode="External"/><Relationship Id="rId57" Type="http://schemas.openxmlformats.org/officeDocument/2006/relationships/chart" Target="charts/chart5.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4625255176434E-2"/>
          <c:y val="4.3650793650793648E-2"/>
          <c:w val="0.90681685622630503"/>
          <c:h val="0.86912698412698408"/>
        </c:manualLayout>
      </c:layout>
      <c:lineChart>
        <c:grouping val="standard"/>
        <c:varyColors val="0"/>
        <c:ser>
          <c:idx val="0"/>
          <c:order val="0"/>
          <c:tx>
            <c:strRef>
              <c:f>Sheet1!$B$1</c:f>
              <c:strCache>
                <c:ptCount val="1"/>
                <c:pt idx="0">
                  <c:v>Total</c:v>
                </c:pt>
              </c:strCache>
            </c:strRef>
          </c:tx>
          <c:spPr>
            <a:ln w="38100" cap="rnd">
              <a:solidFill>
                <a:schemeClr val="bg1">
                  <a:lumMod val="50000"/>
                </a:schemeClr>
              </a:solidFill>
              <a:round/>
            </a:ln>
            <a:effectLst/>
          </c:spPr>
          <c:marker>
            <c:symbol val="none"/>
          </c:marker>
          <c:cat>
            <c:strRef>
              <c:f>Sheet1!$A$2:$A$6</c:f>
              <c:strCache>
                <c:ptCount val="5"/>
                <c:pt idx="0">
                  <c:v>2011/12</c:v>
                </c:pt>
                <c:pt idx="1">
                  <c:v>2012/13</c:v>
                </c:pt>
                <c:pt idx="2">
                  <c:v>2013/14</c:v>
                </c:pt>
                <c:pt idx="3">
                  <c:v>2014/15</c:v>
                </c:pt>
                <c:pt idx="4">
                  <c:v>2015/16</c:v>
                </c:pt>
              </c:strCache>
            </c:strRef>
          </c:cat>
          <c:val>
            <c:numRef>
              <c:f>Sheet1!$B$2:$B$6</c:f>
              <c:numCache>
                <c:formatCode>0.0%</c:formatCode>
                <c:ptCount val="5"/>
                <c:pt idx="0">
                  <c:v>0.53300000000000003</c:v>
                </c:pt>
                <c:pt idx="1">
                  <c:v>0.52300000000000002</c:v>
                </c:pt>
                <c:pt idx="2">
                  <c:v>0.49299999999999999</c:v>
                </c:pt>
                <c:pt idx="3">
                  <c:v>0.44800000000000001</c:v>
                </c:pt>
                <c:pt idx="4">
                  <c:v>0.44800000000000001</c:v>
                </c:pt>
              </c:numCache>
            </c:numRef>
          </c:val>
          <c:smooth val="0"/>
        </c:ser>
        <c:dLbls>
          <c:showLegendKey val="0"/>
          <c:showVal val="0"/>
          <c:showCatName val="0"/>
          <c:showSerName val="0"/>
          <c:showPercent val="0"/>
          <c:showBubbleSize val="0"/>
        </c:dLbls>
        <c:smooth val="0"/>
        <c:axId val="185415568"/>
        <c:axId val="185415176"/>
      </c:lineChart>
      <c:catAx>
        <c:axId val="1854155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5415176"/>
        <c:crosses val="autoZero"/>
        <c:auto val="1"/>
        <c:lblAlgn val="ctr"/>
        <c:lblOffset val="100"/>
        <c:noMultiLvlLbl val="0"/>
      </c:catAx>
      <c:valAx>
        <c:axId val="185415176"/>
        <c:scaling>
          <c:orientation val="minMax"/>
          <c:max val="1"/>
          <c:min val="0"/>
        </c:scaling>
        <c:delete val="0"/>
        <c:axPos val="l"/>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54155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4625255176434E-2"/>
          <c:y val="4.3650793650793648E-2"/>
          <c:w val="0.91376130067074945"/>
          <c:h val="0.86912698412698408"/>
        </c:manualLayout>
      </c:layout>
      <c:lineChart>
        <c:grouping val="standard"/>
        <c:varyColors val="0"/>
        <c:ser>
          <c:idx val="0"/>
          <c:order val="0"/>
          <c:tx>
            <c:strRef>
              <c:f>Sheet1!$B$1</c:f>
              <c:strCache>
                <c:ptCount val="1"/>
                <c:pt idx="0">
                  <c:v>Total</c:v>
                </c:pt>
              </c:strCache>
            </c:strRef>
          </c:tx>
          <c:spPr>
            <a:ln w="38100" cap="rnd">
              <a:solidFill>
                <a:schemeClr val="bg1">
                  <a:lumMod val="50000"/>
                </a:schemeClr>
              </a:solidFill>
              <a:round/>
            </a:ln>
            <a:effectLst/>
          </c:spPr>
          <c:marker>
            <c:symbol val="none"/>
          </c:marker>
          <c:cat>
            <c:strRef>
              <c:f>Sheet1!$A$2:$A$6</c:f>
              <c:strCache>
                <c:ptCount val="5"/>
                <c:pt idx="0">
                  <c:v>2011/12</c:v>
                </c:pt>
                <c:pt idx="1">
                  <c:v>2012/13</c:v>
                </c:pt>
                <c:pt idx="2">
                  <c:v>2013/14</c:v>
                </c:pt>
                <c:pt idx="3">
                  <c:v>2014/15</c:v>
                </c:pt>
                <c:pt idx="4">
                  <c:v>2015/16</c:v>
                </c:pt>
              </c:strCache>
            </c:strRef>
          </c:cat>
          <c:val>
            <c:numRef>
              <c:f>Sheet1!$B$2:$B$6</c:f>
              <c:numCache>
                <c:formatCode>0.00%</c:formatCode>
                <c:ptCount val="5"/>
                <c:pt idx="0">
                  <c:v>0.67900000000000005</c:v>
                </c:pt>
                <c:pt idx="1">
                  <c:v>0.66700000000000004</c:v>
                </c:pt>
                <c:pt idx="2">
                  <c:v>0.67500000000000004</c:v>
                </c:pt>
                <c:pt idx="3">
                  <c:v>0.68700000000000006</c:v>
                </c:pt>
                <c:pt idx="4">
                  <c:v>0.69399999999999995</c:v>
                </c:pt>
              </c:numCache>
            </c:numRef>
          </c:val>
          <c:smooth val="0"/>
        </c:ser>
        <c:dLbls>
          <c:showLegendKey val="0"/>
          <c:showVal val="0"/>
          <c:showCatName val="0"/>
          <c:showSerName val="0"/>
          <c:showPercent val="0"/>
          <c:showBubbleSize val="0"/>
        </c:dLbls>
        <c:smooth val="0"/>
        <c:axId val="185411648"/>
        <c:axId val="185410864"/>
      </c:lineChart>
      <c:catAx>
        <c:axId val="1854116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5410864"/>
        <c:crosses val="autoZero"/>
        <c:auto val="1"/>
        <c:lblAlgn val="ctr"/>
        <c:lblOffset val="100"/>
        <c:noMultiLvlLbl val="0"/>
      </c:catAx>
      <c:valAx>
        <c:axId val="185410864"/>
        <c:scaling>
          <c:orientation val="minMax"/>
          <c:max val="1"/>
          <c:min val="0"/>
        </c:scaling>
        <c:delete val="0"/>
        <c:axPos val="l"/>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54116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979440069991245E-2"/>
          <c:y val="4.3650793650793648E-2"/>
          <c:w val="0.89755759696704573"/>
          <c:h val="0.86912698412698408"/>
        </c:manualLayout>
      </c:layout>
      <c:lineChart>
        <c:grouping val="standard"/>
        <c:varyColors val="0"/>
        <c:ser>
          <c:idx val="0"/>
          <c:order val="0"/>
          <c:tx>
            <c:strRef>
              <c:f>Sheet1!$B$1</c:f>
              <c:strCache>
                <c:ptCount val="1"/>
                <c:pt idx="0">
                  <c:v>Total</c:v>
                </c:pt>
              </c:strCache>
            </c:strRef>
          </c:tx>
          <c:spPr>
            <a:ln w="38100" cap="rnd">
              <a:solidFill>
                <a:schemeClr val="bg1">
                  <a:lumMod val="50000"/>
                </a:schemeClr>
              </a:solidFill>
              <a:round/>
            </a:ln>
            <a:effectLst/>
          </c:spPr>
          <c:marker>
            <c:symbol val="none"/>
          </c:marker>
          <c:cat>
            <c:strRef>
              <c:f>Sheet1!$A$2:$A$6</c:f>
              <c:strCache>
                <c:ptCount val="5"/>
                <c:pt idx="0">
                  <c:v>2011/12</c:v>
                </c:pt>
                <c:pt idx="1">
                  <c:v>2012/13</c:v>
                </c:pt>
                <c:pt idx="2">
                  <c:v>2013/14</c:v>
                </c:pt>
                <c:pt idx="3">
                  <c:v>2014/15</c:v>
                </c:pt>
                <c:pt idx="4">
                  <c:v>2015/16</c:v>
                </c:pt>
              </c:strCache>
            </c:strRef>
          </c:cat>
          <c:val>
            <c:numRef>
              <c:f>Sheet1!$B$2:$B$6</c:f>
              <c:numCache>
                <c:formatCode>0.0%</c:formatCode>
                <c:ptCount val="5"/>
                <c:pt idx="0">
                  <c:v>0.191</c:v>
                </c:pt>
                <c:pt idx="1">
                  <c:v>0.19</c:v>
                </c:pt>
                <c:pt idx="2">
                  <c:v>0.16800000000000001</c:v>
                </c:pt>
                <c:pt idx="3">
                  <c:v>0.183</c:v>
                </c:pt>
                <c:pt idx="4">
                  <c:v>0.17499999999999999</c:v>
                </c:pt>
              </c:numCache>
            </c:numRef>
          </c:val>
          <c:smooth val="0"/>
        </c:ser>
        <c:dLbls>
          <c:showLegendKey val="0"/>
          <c:showVal val="0"/>
          <c:showCatName val="0"/>
          <c:showSerName val="0"/>
          <c:showPercent val="0"/>
          <c:showBubbleSize val="0"/>
        </c:dLbls>
        <c:smooth val="0"/>
        <c:axId val="185412040"/>
        <c:axId val="185416352"/>
      </c:lineChart>
      <c:catAx>
        <c:axId val="18541204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5416352"/>
        <c:crosses val="autoZero"/>
        <c:auto val="1"/>
        <c:lblAlgn val="ctr"/>
        <c:lblOffset val="100"/>
        <c:noMultiLvlLbl val="0"/>
      </c:catAx>
      <c:valAx>
        <c:axId val="185416352"/>
        <c:scaling>
          <c:orientation val="minMax"/>
          <c:max val="1"/>
          <c:min val="0"/>
        </c:scaling>
        <c:delete val="0"/>
        <c:axPos val="l"/>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5412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4625255176434E-2"/>
          <c:y val="4.3650793650793648E-2"/>
          <c:w val="0.90218722659667538"/>
          <c:h val="0.86912698412698408"/>
        </c:manualLayout>
      </c:layout>
      <c:lineChart>
        <c:grouping val="standard"/>
        <c:varyColors val="0"/>
        <c:ser>
          <c:idx val="0"/>
          <c:order val="0"/>
          <c:tx>
            <c:strRef>
              <c:f>Sheet1!$B$1</c:f>
              <c:strCache>
                <c:ptCount val="1"/>
                <c:pt idx="0">
                  <c:v>Total</c:v>
                </c:pt>
              </c:strCache>
            </c:strRef>
          </c:tx>
          <c:spPr>
            <a:ln w="38100" cap="rnd">
              <a:solidFill>
                <a:schemeClr val="bg1">
                  <a:lumMod val="65000"/>
                </a:schemeClr>
              </a:solidFill>
              <a:round/>
            </a:ln>
            <a:effectLst/>
          </c:spPr>
          <c:marker>
            <c:symbol val="none"/>
          </c:marker>
          <c:cat>
            <c:strRef>
              <c:f>Sheet1!$A$2:$A$6</c:f>
              <c:strCache>
                <c:ptCount val="5"/>
                <c:pt idx="0">
                  <c:v>2011/12</c:v>
                </c:pt>
                <c:pt idx="1">
                  <c:v>2012/13</c:v>
                </c:pt>
                <c:pt idx="2">
                  <c:v>2013/14</c:v>
                </c:pt>
                <c:pt idx="3">
                  <c:v>2014/15</c:v>
                </c:pt>
                <c:pt idx="4">
                  <c:v>2015/16</c:v>
                </c:pt>
              </c:strCache>
            </c:strRef>
          </c:cat>
          <c:val>
            <c:numRef>
              <c:f>Sheet1!$B$2:$B$6</c:f>
              <c:numCache>
                <c:formatCode>0.0%</c:formatCode>
                <c:ptCount val="5"/>
                <c:pt idx="0">
                  <c:v>0.71599999999999997</c:v>
                </c:pt>
                <c:pt idx="1">
                  <c:v>0.73299999999999998</c:v>
                </c:pt>
                <c:pt idx="2">
                  <c:v>0.73099999999999998</c:v>
                </c:pt>
                <c:pt idx="3">
                  <c:v>0.748</c:v>
                </c:pt>
                <c:pt idx="4">
                  <c:v>0.73599999999999999</c:v>
                </c:pt>
              </c:numCache>
            </c:numRef>
          </c:val>
          <c:smooth val="0"/>
        </c:ser>
        <c:dLbls>
          <c:showLegendKey val="0"/>
          <c:showVal val="0"/>
          <c:showCatName val="0"/>
          <c:showSerName val="0"/>
          <c:showPercent val="0"/>
          <c:showBubbleSize val="0"/>
        </c:dLbls>
        <c:smooth val="0"/>
        <c:axId val="185409296"/>
        <c:axId val="185410080"/>
      </c:lineChart>
      <c:catAx>
        <c:axId val="18540929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5410080"/>
        <c:crosses val="autoZero"/>
        <c:auto val="1"/>
        <c:lblAlgn val="ctr"/>
        <c:lblOffset val="100"/>
        <c:noMultiLvlLbl val="0"/>
      </c:catAx>
      <c:valAx>
        <c:axId val="185410080"/>
        <c:scaling>
          <c:orientation val="minMax"/>
          <c:max val="1"/>
          <c:min val="0"/>
        </c:scaling>
        <c:delete val="0"/>
        <c:axPos val="l"/>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5409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238699329250504E-2"/>
          <c:y val="4.3650793650793648E-2"/>
          <c:w val="0.89987241178186061"/>
          <c:h val="0.87309523809523815"/>
        </c:manualLayout>
      </c:layout>
      <c:lineChart>
        <c:grouping val="standard"/>
        <c:varyColors val="0"/>
        <c:ser>
          <c:idx val="0"/>
          <c:order val="0"/>
          <c:tx>
            <c:strRef>
              <c:f>Sheet1!$B$1</c:f>
              <c:strCache>
                <c:ptCount val="1"/>
                <c:pt idx="0">
                  <c:v>Total</c:v>
                </c:pt>
              </c:strCache>
            </c:strRef>
          </c:tx>
          <c:spPr>
            <a:ln w="38100" cap="rnd">
              <a:solidFill>
                <a:schemeClr val="bg1">
                  <a:lumMod val="65000"/>
                </a:schemeClr>
              </a:solidFill>
              <a:round/>
            </a:ln>
            <a:effectLst/>
          </c:spPr>
          <c:marker>
            <c:symbol val="none"/>
          </c:marker>
          <c:cat>
            <c:strRef>
              <c:f>Sheet1!$A$2:$A$6</c:f>
              <c:strCache>
                <c:ptCount val="5"/>
                <c:pt idx="0">
                  <c:v>2011/12</c:v>
                </c:pt>
                <c:pt idx="1">
                  <c:v>2012/13</c:v>
                </c:pt>
                <c:pt idx="2">
                  <c:v>2013/14</c:v>
                </c:pt>
                <c:pt idx="3">
                  <c:v>2014/15</c:v>
                </c:pt>
                <c:pt idx="4">
                  <c:v>2015/16</c:v>
                </c:pt>
              </c:strCache>
            </c:strRef>
          </c:cat>
          <c:val>
            <c:numRef>
              <c:f>Sheet1!$B$2:$B$6</c:f>
              <c:numCache>
                <c:formatCode>0.0%</c:formatCode>
                <c:ptCount val="5"/>
                <c:pt idx="0">
                  <c:v>0.58099999999999996</c:v>
                </c:pt>
                <c:pt idx="1">
                  <c:v>0.57599999999999996</c:v>
                </c:pt>
                <c:pt idx="2">
                  <c:v>0.55600000000000005</c:v>
                </c:pt>
                <c:pt idx="3">
                  <c:v>0.57199999999999995</c:v>
                </c:pt>
                <c:pt idx="4">
                  <c:v>0.505</c:v>
                </c:pt>
              </c:numCache>
            </c:numRef>
          </c:val>
          <c:smooth val="0"/>
        </c:ser>
        <c:dLbls>
          <c:showLegendKey val="0"/>
          <c:showVal val="0"/>
          <c:showCatName val="0"/>
          <c:showSerName val="0"/>
          <c:showPercent val="0"/>
          <c:showBubbleSize val="0"/>
        </c:dLbls>
        <c:smooth val="0"/>
        <c:axId val="185412824"/>
        <c:axId val="185413216"/>
      </c:lineChart>
      <c:catAx>
        <c:axId val="18541282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5413216"/>
        <c:crosses val="autoZero"/>
        <c:auto val="1"/>
        <c:lblAlgn val="ctr"/>
        <c:lblOffset val="100"/>
        <c:noMultiLvlLbl val="0"/>
      </c:catAx>
      <c:valAx>
        <c:axId val="185413216"/>
        <c:scaling>
          <c:orientation val="minMax"/>
          <c:max val="1"/>
          <c:min val="0"/>
        </c:scaling>
        <c:delete val="0"/>
        <c:axPos val="l"/>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54128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4625255176434E-2"/>
          <c:y val="4.3650793650793648E-2"/>
          <c:w val="0.91144648585593468"/>
          <c:h val="0.86912698412698408"/>
        </c:manualLayout>
      </c:layout>
      <c:lineChart>
        <c:grouping val="standard"/>
        <c:varyColors val="0"/>
        <c:ser>
          <c:idx val="0"/>
          <c:order val="0"/>
          <c:tx>
            <c:strRef>
              <c:f>Sheet1!$B$1</c:f>
              <c:strCache>
                <c:ptCount val="1"/>
                <c:pt idx="0">
                  <c:v>Total</c:v>
                </c:pt>
              </c:strCache>
            </c:strRef>
          </c:tx>
          <c:spPr>
            <a:ln w="38100" cap="rnd">
              <a:solidFill>
                <a:schemeClr val="bg1">
                  <a:lumMod val="50000"/>
                </a:schemeClr>
              </a:solidFill>
              <a:round/>
            </a:ln>
            <a:effectLst/>
          </c:spPr>
          <c:marker>
            <c:symbol val="none"/>
          </c:marker>
          <c:cat>
            <c:strRef>
              <c:f>Sheet1!$A$2:$A$6</c:f>
              <c:strCache>
                <c:ptCount val="5"/>
                <c:pt idx="0">
                  <c:v>2011/12</c:v>
                </c:pt>
                <c:pt idx="1">
                  <c:v>2012/13</c:v>
                </c:pt>
                <c:pt idx="2">
                  <c:v>2013/14</c:v>
                </c:pt>
                <c:pt idx="3">
                  <c:v>2014/15</c:v>
                </c:pt>
                <c:pt idx="4">
                  <c:v>2015/16</c:v>
                </c:pt>
              </c:strCache>
            </c:strRef>
          </c:cat>
          <c:val>
            <c:numRef>
              <c:f>Sheet1!$B$2:$B$6</c:f>
              <c:numCache>
                <c:formatCode>0.0%</c:formatCode>
                <c:ptCount val="5"/>
                <c:pt idx="0">
                  <c:v>0.46500000000000002</c:v>
                </c:pt>
                <c:pt idx="1">
                  <c:v>0.45</c:v>
                </c:pt>
                <c:pt idx="2">
                  <c:v>0.443</c:v>
                </c:pt>
                <c:pt idx="3">
                  <c:v>0.41</c:v>
                </c:pt>
                <c:pt idx="4">
                  <c:v>0.45800000000000002</c:v>
                </c:pt>
              </c:numCache>
            </c:numRef>
          </c:val>
          <c:smooth val="0"/>
        </c:ser>
        <c:dLbls>
          <c:showLegendKey val="0"/>
          <c:showVal val="0"/>
          <c:showCatName val="0"/>
          <c:showSerName val="0"/>
          <c:showPercent val="0"/>
          <c:showBubbleSize val="0"/>
        </c:dLbls>
        <c:smooth val="0"/>
        <c:axId val="185414392"/>
        <c:axId val="185414784"/>
      </c:lineChart>
      <c:catAx>
        <c:axId val="18541439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5414784"/>
        <c:crosses val="autoZero"/>
        <c:auto val="1"/>
        <c:lblAlgn val="ctr"/>
        <c:lblOffset val="100"/>
        <c:noMultiLvlLbl val="0"/>
      </c:catAx>
      <c:valAx>
        <c:axId val="185414784"/>
        <c:scaling>
          <c:orientation val="minMax"/>
          <c:max val="1"/>
          <c:min val="0"/>
        </c:scaling>
        <c:delete val="0"/>
        <c:axPos val="l"/>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5414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23E55-BC46-4909-AD03-6740ADBCE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71</TotalTime>
  <Pages>48</Pages>
  <Words>12308</Words>
  <Characters>70159</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 and Young People Living Well and Staying Well: New Zealand Childhood Obesity Programme Baseline Report 2016/17</dc:title>
  <dc:creator>Ministry of Health</dc:creator>
  <cp:lastModifiedBy>Jane Adam</cp:lastModifiedBy>
  <cp:revision>8</cp:revision>
  <cp:lastPrinted>2017-05-01T02:46:00Z</cp:lastPrinted>
  <dcterms:created xsi:type="dcterms:W3CDTF">2017-04-23T22:36:00Z</dcterms:created>
  <dcterms:modified xsi:type="dcterms:W3CDTF">2017-06-07T01:40:00Z</dcterms:modified>
</cp:coreProperties>
</file>