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15" w:rsidRDefault="00075C15" w:rsidP="00075C15">
      <w:pPr>
        <w:pStyle w:val="Heading2"/>
      </w:pPr>
      <w:bookmarkStart w:id="0" w:name="_Toc376617544"/>
      <w:bookmarkStart w:id="1" w:name="_Toc412540051"/>
      <w:bookmarkStart w:id="2" w:name="_Toc457842160"/>
      <w:r>
        <w:t>Appendix 6: Adherence to BSP quality standards</w:t>
      </w:r>
      <w:bookmarkEnd w:id="0"/>
      <w:bookmarkEnd w:id="1"/>
      <w:bookmarkEnd w:id="2"/>
    </w:p>
    <w:p w:rsidR="00FD6899" w:rsidRDefault="004D22CD" w:rsidP="00652094">
      <w:pPr>
        <w:ind w:left="0"/>
      </w:pPr>
      <w:r>
        <w:t>F</w:t>
      </w:r>
      <w:r w:rsidR="00B27A5B">
        <w:t>or the interim evaluation report</w:t>
      </w:r>
      <w:r w:rsidR="00075C15">
        <w:t xml:space="preserve">, analysis was undertaken to identify 1) whether data was available against each of the quality standards and 2) any variance from targets set. Table </w:t>
      </w:r>
      <w:r w:rsidR="00B27A5B">
        <w:t>14</w:t>
      </w:r>
      <w:r w:rsidR="00075C15">
        <w:t xml:space="preserve"> updates this table for the period ending 31 December 2015</w:t>
      </w:r>
      <w:r w:rsidR="00B27A5B">
        <w:t xml:space="preserve"> drawing from existing data and communications with BS</w:t>
      </w:r>
      <w:r w:rsidR="00FD6899">
        <w:t>P</w:t>
      </w:r>
      <w:r w:rsidR="00B27A5B">
        <w:t xml:space="preserve"> Coordination Centre</w:t>
      </w:r>
      <w:r w:rsidR="00075C15">
        <w:t xml:space="preserve">. </w:t>
      </w:r>
      <w:r w:rsidR="00FD6899">
        <w:t xml:space="preserve"> </w:t>
      </w:r>
    </w:p>
    <w:p w:rsidR="00FD6899" w:rsidRDefault="00FD6899" w:rsidP="00652094">
      <w:pPr>
        <w:ind w:left="0"/>
      </w:pPr>
      <w:r>
        <w:t xml:space="preserve">An independent review of the adherence of the BSP to the interim quality standards and their finalisation was recommended to inform a national programme. Such a review was outside the scope of the evaluation.  </w:t>
      </w:r>
    </w:p>
    <w:p w:rsidR="00075C15" w:rsidRPr="00075C15" w:rsidRDefault="00075C15" w:rsidP="00652094">
      <w:pPr>
        <w:pStyle w:val="Tableheading"/>
        <w:ind w:left="0"/>
      </w:pPr>
      <w:bookmarkStart w:id="3" w:name="_Toc412540176"/>
      <w:bookmarkStart w:id="4" w:name="_GoBack"/>
      <w:r w:rsidRPr="00075C15">
        <w:t xml:space="preserve">Table 14: Adherence to BSP quality standards dated </w:t>
      </w:r>
      <w:bookmarkEnd w:id="3"/>
      <w:r w:rsidRPr="00075C15">
        <w:t xml:space="preserve">31 December 2015 </w:t>
      </w:r>
    </w:p>
    <w:tbl>
      <w:tblPr>
        <w:tblW w:w="9210" w:type="dxa"/>
        <w:tblInd w:w="5" w:type="dxa"/>
        <w:tblLayout w:type="fixed"/>
        <w:tblLook w:val="04A0" w:firstRow="1" w:lastRow="0" w:firstColumn="1" w:lastColumn="0" w:noHBand="0" w:noVBand="1"/>
      </w:tblPr>
      <w:tblGrid>
        <w:gridCol w:w="708"/>
        <w:gridCol w:w="1135"/>
        <w:gridCol w:w="3966"/>
        <w:gridCol w:w="3401"/>
      </w:tblGrid>
      <w:tr w:rsidR="00075C15" w:rsidTr="004400C2">
        <w:trPr>
          <w:cantSplit/>
          <w:trHeight w:val="192"/>
          <w:tblHeader/>
        </w:trPr>
        <w:tc>
          <w:tcPr>
            <w:tcW w:w="708" w:type="dxa"/>
            <w:tcBorders>
              <w:top w:val="single" w:sz="4" w:space="0" w:color="000000"/>
              <w:left w:val="single" w:sz="4" w:space="0" w:color="000000"/>
              <w:bottom w:val="single" w:sz="4" w:space="0" w:color="000000"/>
              <w:right w:val="single" w:sz="4" w:space="0" w:color="000000"/>
            </w:tcBorders>
            <w:shd w:val="clear" w:color="auto" w:fill="9BBB59"/>
            <w:tcMar>
              <w:top w:w="80" w:type="dxa"/>
              <w:left w:w="0" w:type="dxa"/>
              <w:bottom w:w="80" w:type="dxa"/>
              <w:right w:w="0" w:type="dxa"/>
            </w:tcMar>
            <w:hideMark/>
          </w:tcPr>
          <w:bookmarkEnd w:id="4"/>
          <w:p w:rsidR="00075C15" w:rsidRPr="000A5013" w:rsidRDefault="00075C15" w:rsidP="004400C2">
            <w:pPr>
              <w:spacing w:before="0"/>
              <w:ind w:left="0"/>
              <w:rPr>
                <w:b/>
                <w:color w:val="FFFFFF" w:themeColor="background1"/>
                <w:sz w:val="16"/>
              </w:rPr>
            </w:pPr>
            <w:r w:rsidRPr="000A5013">
              <w:rPr>
                <w:b/>
                <w:color w:val="FFFFFF" w:themeColor="background1"/>
                <w:sz w:val="16"/>
              </w:rPr>
              <w:t>Number</w:t>
            </w:r>
          </w:p>
        </w:tc>
        <w:tc>
          <w:tcPr>
            <w:tcW w:w="1135" w:type="dxa"/>
            <w:tcBorders>
              <w:top w:val="single" w:sz="4" w:space="0" w:color="000000"/>
              <w:left w:val="single" w:sz="4" w:space="0" w:color="000000"/>
              <w:bottom w:val="single" w:sz="4" w:space="0" w:color="000000"/>
              <w:right w:val="single" w:sz="4" w:space="0" w:color="000000"/>
            </w:tcBorders>
            <w:shd w:val="clear" w:color="auto" w:fill="9BBB59"/>
            <w:tcMar>
              <w:top w:w="80" w:type="dxa"/>
              <w:left w:w="0" w:type="dxa"/>
              <w:bottom w:w="80" w:type="dxa"/>
              <w:right w:w="0" w:type="dxa"/>
            </w:tcMar>
            <w:hideMark/>
          </w:tcPr>
          <w:p w:rsidR="00075C15" w:rsidRPr="000A5013" w:rsidRDefault="00075C15" w:rsidP="004400C2">
            <w:pPr>
              <w:spacing w:before="0"/>
              <w:ind w:left="0"/>
              <w:rPr>
                <w:b/>
                <w:color w:val="FFFFFF" w:themeColor="background1"/>
                <w:sz w:val="16"/>
              </w:rPr>
            </w:pPr>
            <w:r w:rsidRPr="000A5013">
              <w:rPr>
                <w:b/>
                <w:color w:val="FFFFFF" w:themeColor="background1"/>
                <w:sz w:val="16"/>
              </w:rPr>
              <w:t>Section</w:t>
            </w:r>
          </w:p>
        </w:tc>
        <w:tc>
          <w:tcPr>
            <w:tcW w:w="3966" w:type="dxa"/>
            <w:tcBorders>
              <w:top w:val="single" w:sz="4" w:space="0" w:color="000000"/>
              <w:left w:val="single" w:sz="4" w:space="0" w:color="000000"/>
              <w:bottom w:val="single" w:sz="4" w:space="0" w:color="000000"/>
              <w:right w:val="single" w:sz="4" w:space="0" w:color="000000"/>
            </w:tcBorders>
            <w:shd w:val="clear" w:color="auto" w:fill="9BBB59"/>
            <w:tcMar>
              <w:top w:w="80" w:type="dxa"/>
              <w:left w:w="0" w:type="dxa"/>
              <w:bottom w:w="80" w:type="dxa"/>
              <w:right w:w="0" w:type="dxa"/>
            </w:tcMar>
            <w:hideMark/>
          </w:tcPr>
          <w:p w:rsidR="00075C15" w:rsidRPr="000A5013" w:rsidRDefault="00075C15" w:rsidP="004400C2">
            <w:pPr>
              <w:spacing w:before="0"/>
              <w:ind w:left="0"/>
              <w:rPr>
                <w:b/>
                <w:color w:val="FFFFFF" w:themeColor="background1"/>
                <w:sz w:val="16"/>
              </w:rPr>
            </w:pPr>
            <w:r w:rsidRPr="000A5013">
              <w:rPr>
                <w:b/>
                <w:color w:val="FFFFFF" w:themeColor="background1"/>
                <w:sz w:val="16"/>
              </w:rPr>
              <w:t xml:space="preserve">Requirement </w:t>
            </w:r>
          </w:p>
        </w:tc>
        <w:tc>
          <w:tcPr>
            <w:tcW w:w="3401" w:type="dxa"/>
            <w:tcBorders>
              <w:top w:val="single" w:sz="4" w:space="0" w:color="000000"/>
              <w:left w:val="single" w:sz="4" w:space="0" w:color="000000"/>
              <w:bottom w:val="single" w:sz="4" w:space="0" w:color="000000"/>
              <w:right w:val="single" w:sz="4" w:space="0" w:color="000000"/>
            </w:tcBorders>
            <w:shd w:val="clear" w:color="auto" w:fill="9BBB59"/>
            <w:hideMark/>
          </w:tcPr>
          <w:p w:rsidR="00075C15" w:rsidRPr="000A5013" w:rsidRDefault="00075C15" w:rsidP="004400C2">
            <w:pPr>
              <w:spacing w:before="0"/>
              <w:ind w:left="0"/>
              <w:rPr>
                <w:b/>
                <w:color w:val="FFFFFF" w:themeColor="background1"/>
                <w:sz w:val="16"/>
              </w:rPr>
            </w:pPr>
            <w:r w:rsidRPr="000A5013">
              <w:rPr>
                <w:b/>
                <w:color w:val="FFFFFF" w:themeColor="background1"/>
                <w:sz w:val="16"/>
              </w:rPr>
              <w:t xml:space="preserve">Results </w:t>
            </w:r>
          </w:p>
        </w:tc>
      </w:tr>
      <w:tr w:rsidR="00075C15" w:rsidTr="004400C2">
        <w:trPr>
          <w:cantSplit/>
          <w:trHeight w:val="664"/>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Uptake</w:t>
            </w:r>
          </w:p>
          <w:p w:rsidR="00075C15" w:rsidRDefault="00075C15" w:rsidP="004400C2">
            <w:pPr>
              <w:spacing w:before="0"/>
              <w:ind w:left="0"/>
              <w:rPr>
                <w:sz w:val="16"/>
              </w:rPr>
            </w:pPr>
            <w:r>
              <w:rPr>
                <w:sz w:val="16"/>
              </w:rPr>
              <w:t>QS 1, 2</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075C15">
            <w:pPr>
              <w:pStyle w:val="ListParagraph"/>
              <w:numPr>
                <w:ilvl w:val="0"/>
                <w:numId w:val="35"/>
              </w:numPr>
              <w:spacing w:before="0"/>
              <w:ind w:left="360"/>
              <w:rPr>
                <w:sz w:val="16"/>
              </w:rPr>
            </w:pPr>
            <w:r>
              <w:rPr>
                <w:sz w:val="16"/>
              </w:rPr>
              <w:t>Bowel Screening is offered to the target population within the BSP.</w:t>
            </w:r>
          </w:p>
          <w:p w:rsidR="00075C15" w:rsidRDefault="00075C15" w:rsidP="00075C15">
            <w:pPr>
              <w:pStyle w:val="ListParagraph"/>
              <w:numPr>
                <w:ilvl w:val="0"/>
                <w:numId w:val="35"/>
              </w:numPr>
              <w:spacing w:before="0"/>
              <w:ind w:left="360"/>
              <w:rPr>
                <w:sz w:val="16"/>
              </w:rPr>
            </w:pPr>
            <w:r>
              <w:rPr>
                <w:sz w:val="16"/>
              </w:rPr>
              <w:t>60% of all eligible people will participate (completed an iFOBT test) in the screening programme after 2 years.</w:t>
            </w:r>
          </w:p>
        </w:tc>
        <w:tc>
          <w:tcPr>
            <w:tcW w:w="3401" w:type="dxa"/>
            <w:tcBorders>
              <w:top w:val="single" w:sz="4" w:space="0" w:color="000000"/>
              <w:left w:val="single" w:sz="4" w:space="0" w:color="000000"/>
              <w:bottom w:val="single" w:sz="4" w:space="0" w:color="000000"/>
              <w:right w:val="single" w:sz="4" w:space="0" w:color="000000"/>
            </w:tcBorders>
            <w:shd w:val="clear" w:color="auto" w:fill="FFFFFF"/>
            <w:hideMark/>
          </w:tcPr>
          <w:p w:rsidR="00075C15" w:rsidRPr="005B3255" w:rsidRDefault="00075C15" w:rsidP="00075C15">
            <w:pPr>
              <w:pStyle w:val="ListParagraph"/>
              <w:numPr>
                <w:ilvl w:val="0"/>
                <w:numId w:val="35"/>
              </w:numPr>
              <w:spacing w:before="0"/>
              <w:ind w:left="360"/>
              <w:rPr>
                <w:sz w:val="16"/>
              </w:rPr>
            </w:pPr>
            <w:r>
              <w:rPr>
                <w:sz w:val="16"/>
              </w:rPr>
              <w:t>Refer section 3. Met fo</w:t>
            </w:r>
            <w:r w:rsidR="004D22CD">
              <w:rPr>
                <w:sz w:val="16"/>
              </w:rPr>
              <w:t>r some groups but not all.</w:t>
            </w:r>
          </w:p>
        </w:tc>
      </w:tr>
      <w:tr w:rsidR="00075C15" w:rsidRPr="00D45FE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Call/Recall</w:t>
            </w:r>
          </w:p>
          <w:p w:rsidR="00075C15" w:rsidRDefault="00075C15" w:rsidP="004400C2">
            <w:pPr>
              <w:spacing w:before="0"/>
              <w:ind w:left="0"/>
              <w:rPr>
                <w:sz w:val="16"/>
              </w:rPr>
            </w:pPr>
            <w:r>
              <w:rPr>
                <w:sz w:val="16"/>
              </w:rPr>
              <w:t xml:space="preserve">QS 3 </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 w:type="dxa"/>
              <w:bottom w:w="80" w:type="dxa"/>
              <w:right w:w="0" w:type="dxa"/>
            </w:tcMar>
            <w:hideMark/>
          </w:tcPr>
          <w:p w:rsidR="00075C15" w:rsidRPr="000A5013" w:rsidRDefault="00075C15" w:rsidP="00075C15">
            <w:pPr>
              <w:pStyle w:val="ListParagraph"/>
              <w:numPr>
                <w:ilvl w:val="0"/>
                <w:numId w:val="35"/>
              </w:numPr>
              <w:spacing w:before="0"/>
              <w:ind w:left="360"/>
              <w:rPr>
                <w:sz w:val="16"/>
              </w:rPr>
            </w:pPr>
            <w:r w:rsidRPr="000A5013">
              <w:rPr>
                <w:sz w:val="16"/>
              </w:rPr>
              <w:t>95% of eligible participants are sent their first invitation for screening, though a pre-notification letter, within 2 years of commencement of the BSP.</w:t>
            </w:r>
          </w:p>
          <w:p w:rsidR="00075C15" w:rsidRPr="000A5013" w:rsidRDefault="00075C15" w:rsidP="004400C2">
            <w:pPr>
              <w:pStyle w:val="ListParagraph"/>
              <w:spacing w:before="0"/>
              <w:ind w:left="360"/>
              <w:rPr>
                <w:sz w:val="16"/>
              </w:rPr>
            </w:pPr>
          </w:p>
          <w:p w:rsidR="00075C15" w:rsidRDefault="00075C15" w:rsidP="00075C15">
            <w:pPr>
              <w:pStyle w:val="ListParagraph"/>
              <w:numPr>
                <w:ilvl w:val="0"/>
                <w:numId w:val="35"/>
              </w:numPr>
              <w:spacing w:before="0"/>
              <w:ind w:left="360"/>
              <w:rPr>
                <w:sz w:val="16"/>
              </w:rPr>
            </w:pPr>
            <w:r w:rsidRPr="000A5013">
              <w:rPr>
                <w:sz w:val="16"/>
              </w:rPr>
              <w:t>95% of eligible participants are recalled for screening every 2 years (within 27 months) of their previous invitation for screening.</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075C15" w:rsidRPr="005B3255" w:rsidRDefault="00075C15" w:rsidP="00075C15">
            <w:pPr>
              <w:pStyle w:val="ListParagraph"/>
              <w:numPr>
                <w:ilvl w:val="0"/>
                <w:numId w:val="35"/>
              </w:numPr>
              <w:spacing w:before="0"/>
              <w:ind w:left="360"/>
              <w:rPr>
                <w:sz w:val="16"/>
              </w:rPr>
            </w:pPr>
            <w:r w:rsidRPr="005B3255">
              <w:rPr>
                <w:sz w:val="16"/>
              </w:rPr>
              <w:t>97.50% of eligible people in Waitemat</w:t>
            </w:r>
            <w:r w:rsidR="00555A5D">
              <w:rPr>
                <w:rFonts w:cs="Arial"/>
                <w:sz w:val="16"/>
              </w:rPr>
              <w:t>ā</w:t>
            </w:r>
            <w:r w:rsidR="004D22CD">
              <w:rPr>
                <w:sz w:val="16"/>
              </w:rPr>
              <w:t xml:space="preserve"> DHB region </w:t>
            </w:r>
            <w:r w:rsidRPr="005B3255">
              <w:rPr>
                <w:sz w:val="16"/>
              </w:rPr>
              <w:t>who were invited to participate during the first screening round</w:t>
            </w:r>
            <w:r w:rsidRPr="000A5013">
              <w:rPr>
                <w:sz w:val="16"/>
              </w:rPr>
              <w:t xml:space="preserve"> </w:t>
            </w:r>
            <w:r w:rsidRPr="004D22CD">
              <w:rPr>
                <w:rStyle w:val="FootnoteReference"/>
              </w:rPr>
              <w:footnoteReference w:id="1"/>
            </w:r>
          </w:p>
          <w:p w:rsidR="00075C15" w:rsidRPr="000A5013" w:rsidRDefault="00075C15" w:rsidP="004D22CD">
            <w:pPr>
              <w:spacing w:before="0"/>
              <w:ind w:left="0"/>
              <w:rPr>
                <w:sz w:val="16"/>
              </w:rPr>
            </w:pPr>
          </w:p>
          <w:p w:rsidR="00075C15" w:rsidRDefault="00075C15" w:rsidP="00075C15">
            <w:pPr>
              <w:pStyle w:val="ListParagraph"/>
              <w:numPr>
                <w:ilvl w:val="0"/>
                <w:numId w:val="35"/>
              </w:numPr>
              <w:spacing w:before="0"/>
              <w:ind w:left="360"/>
              <w:rPr>
                <w:sz w:val="16"/>
              </w:rPr>
            </w:pPr>
            <w:r>
              <w:rPr>
                <w:sz w:val="16"/>
              </w:rPr>
              <w:t>BSP Coordination Centre confirmed this standard was achieved.</w:t>
            </w:r>
          </w:p>
        </w:tc>
      </w:tr>
      <w:tr w:rsidR="00075C1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Informed Choice/</w:t>
            </w:r>
          </w:p>
          <w:p w:rsidR="00075C15" w:rsidRDefault="00075C15" w:rsidP="004400C2">
            <w:pPr>
              <w:spacing w:before="0"/>
              <w:ind w:left="0"/>
              <w:rPr>
                <w:sz w:val="16"/>
              </w:rPr>
            </w:pPr>
            <w:r>
              <w:rPr>
                <w:sz w:val="16"/>
              </w:rPr>
              <w:t>Consent</w:t>
            </w:r>
          </w:p>
          <w:p w:rsidR="00075C15" w:rsidRDefault="00075C15" w:rsidP="004400C2">
            <w:pPr>
              <w:spacing w:before="0"/>
              <w:ind w:left="0"/>
              <w:rPr>
                <w:sz w:val="16"/>
              </w:rPr>
            </w:pPr>
            <w:r>
              <w:rPr>
                <w:sz w:val="16"/>
              </w:rPr>
              <w:t>QS 3, 4</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 w:type="dxa"/>
              <w:bottom w:w="80" w:type="dxa"/>
              <w:right w:w="0" w:type="dxa"/>
            </w:tcMar>
          </w:tcPr>
          <w:p w:rsidR="00075C15" w:rsidRDefault="00075C15" w:rsidP="00075C15">
            <w:pPr>
              <w:pStyle w:val="ListParagraph"/>
              <w:numPr>
                <w:ilvl w:val="0"/>
                <w:numId w:val="35"/>
              </w:numPr>
              <w:spacing w:before="0"/>
              <w:ind w:left="360"/>
              <w:rPr>
                <w:sz w:val="16"/>
              </w:rPr>
            </w:pPr>
            <w:r>
              <w:rPr>
                <w:sz w:val="16"/>
              </w:rPr>
              <w:t>95% of bowel screening participants surveyed report that they were appropriately informed about the process involved prior to participating in BSP</w:t>
            </w:r>
          </w:p>
          <w:p w:rsidR="00075C15" w:rsidRDefault="00075C15" w:rsidP="004400C2">
            <w:pPr>
              <w:pStyle w:val="ListParagraph"/>
              <w:spacing w:before="0"/>
              <w:ind w:left="360"/>
              <w:rPr>
                <w:sz w:val="16"/>
              </w:rPr>
            </w:pPr>
            <w:r>
              <w:rPr>
                <w:sz w:val="16"/>
              </w:rPr>
              <w:t>.</w:t>
            </w:r>
          </w:p>
          <w:p w:rsidR="00075C15" w:rsidRDefault="00075C15" w:rsidP="00075C15">
            <w:pPr>
              <w:pStyle w:val="ListParagraph"/>
              <w:numPr>
                <w:ilvl w:val="0"/>
                <w:numId w:val="35"/>
              </w:numPr>
              <w:spacing w:before="0"/>
              <w:ind w:left="360"/>
              <w:rPr>
                <w:sz w:val="16"/>
              </w:rPr>
            </w:pPr>
            <w:r>
              <w:rPr>
                <w:sz w:val="16"/>
              </w:rPr>
              <w:t>90% of bowel screening participants receive appropriate information in a format that meets the needs of the individual.</w:t>
            </w:r>
          </w:p>
          <w:p w:rsidR="00075C15" w:rsidRDefault="00075C15" w:rsidP="004400C2">
            <w:pPr>
              <w:pStyle w:val="ListParagraph"/>
              <w:spacing w:before="0"/>
              <w:ind w:left="360"/>
              <w:rPr>
                <w:sz w:val="16"/>
              </w:rPr>
            </w:pPr>
          </w:p>
          <w:p w:rsidR="00075C15" w:rsidRPr="000A5013" w:rsidRDefault="00075C15" w:rsidP="00075C15">
            <w:pPr>
              <w:pStyle w:val="ListParagraph"/>
              <w:numPr>
                <w:ilvl w:val="0"/>
                <w:numId w:val="35"/>
              </w:numPr>
              <w:spacing w:before="0"/>
              <w:ind w:left="360"/>
              <w:rPr>
                <w:sz w:val="16"/>
              </w:rPr>
            </w:pPr>
            <w:r w:rsidRPr="000A5013">
              <w:rPr>
                <w:sz w:val="16"/>
              </w:rPr>
              <w:t>95% of participants return an iFOBT consent form with their completed iFOBT sample.</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075C15">
            <w:pPr>
              <w:pStyle w:val="ListParagraph"/>
              <w:numPr>
                <w:ilvl w:val="0"/>
                <w:numId w:val="35"/>
              </w:numPr>
              <w:spacing w:before="0"/>
              <w:ind w:left="360"/>
              <w:rPr>
                <w:sz w:val="16"/>
              </w:rPr>
            </w:pPr>
            <w:r>
              <w:rPr>
                <w:sz w:val="16"/>
              </w:rPr>
              <w:t>95% of participants surveyed report telephone contact was respectful, informative and culturally appropriate.</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075C15" w:rsidRDefault="00075C15" w:rsidP="00075C15">
            <w:pPr>
              <w:pStyle w:val="ListParagraph"/>
              <w:numPr>
                <w:ilvl w:val="0"/>
                <w:numId w:val="35"/>
              </w:numPr>
              <w:spacing w:before="0"/>
              <w:ind w:left="360"/>
              <w:rPr>
                <w:sz w:val="16"/>
              </w:rPr>
            </w:pPr>
            <w:r>
              <w:rPr>
                <w:sz w:val="16"/>
              </w:rPr>
              <w:t>Not measured.</w:t>
            </w:r>
          </w:p>
          <w:p w:rsidR="00075C15" w:rsidRDefault="00075C15" w:rsidP="004400C2">
            <w:pPr>
              <w:spacing w:before="0"/>
              <w:rPr>
                <w:sz w:val="16"/>
              </w:rPr>
            </w:pPr>
          </w:p>
          <w:p w:rsidR="00075C15" w:rsidRDefault="00075C15" w:rsidP="004400C2">
            <w:pPr>
              <w:spacing w:before="0"/>
              <w:rPr>
                <w:sz w:val="16"/>
              </w:rPr>
            </w:pPr>
          </w:p>
          <w:p w:rsidR="00075C15" w:rsidRPr="0056034F" w:rsidRDefault="00075C15" w:rsidP="004400C2">
            <w:pPr>
              <w:spacing w:before="0"/>
              <w:rPr>
                <w:sz w:val="16"/>
              </w:rPr>
            </w:pPr>
          </w:p>
          <w:p w:rsidR="00075C15" w:rsidRDefault="00075C15" w:rsidP="00075C15">
            <w:pPr>
              <w:pStyle w:val="ListParagraph"/>
              <w:numPr>
                <w:ilvl w:val="0"/>
                <w:numId w:val="35"/>
              </w:numPr>
              <w:spacing w:before="0"/>
              <w:ind w:left="360"/>
              <w:rPr>
                <w:sz w:val="16"/>
              </w:rPr>
            </w:pPr>
            <w:r>
              <w:rPr>
                <w:sz w:val="16"/>
              </w:rPr>
              <w:t>See outcome from satisfaction surveys in section 5 below.</w:t>
            </w:r>
          </w:p>
          <w:p w:rsidR="00075C15" w:rsidRDefault="00075C15" w:rsidP="004400C2">
            <w:pPr>
              <w:spacing w:before="0"/>
              <w:rPr>
                <w:sz w:val="16"/>
                <w:highlight w:val="yellow"/>
              </w:rPr>
            </w:pPr>
          </w:p>
          <w:p w:rsidR="00075C15" w:rsidRDefault="00075C15" w:rsidP="004400C2">
            <w:pPr>
              <w:spacing w:before="0"/>
              <w:rPr>
                <w:sz w:val="16"/>
                <w:highlight w:val="yellow"/>
              </w:rPr>
            </w:pPr>
          </w:p>
          <w:p w:rsidR="00075C15" w:rsidRPr="000A5013" w:rsidRDefault="00075C15" w:rsidP="00075C15">
            <w:pPr>
              <w:pStyle w:val="ListParagraph"/>
              <w:numPr>
                <w:ilvl w:val="0"/>
                <w:numId w:val="35"/>
              </w:numPr>
              <w:spacing w:before="0"/>
              <w:ind w:left="360"/>
              <w:rPr>
                <w:sz w:val="16"/>
              </w:rPr>
            </w:pPr>
            <w:r w:rsidRPr="000A5013">
              <w:rPr>
                <w:sz w:val="16"/>
              </w:rPr>
              <w:t>This data can be accessed from a manual count but it cannot be reported off the Register.  LabPLUS advise the BSP Coordination Centre each time a kit is received without a consent form. Where the participant is able to be identified</w:t>
            </w:r>
            <w:r w:rsidR="004D22CD">
              <w:rPr>
                <w:sz w:val="16"/>
              </w:rPr>
              <w:t>,</w:t>
            </w:r>
            <w:r w:rsidRPr="000A5013">
              <w:rPr>
                <w:sz w:val="16"/>
              </w:rPr>
              <w:t xml:space="preserve"> the BSP Coordination Centre arranges for a replacement kit to be sent with advice to the participant on including the consent form</w:t>
            </w:r>
          </w:p>
          <w:p w:rsidR="00075C15" w:rsidRPr="005B3255" w:rsidRDefault="00075C15" w:rsidP="004400C2">
            <w:pPr>
              <w:pStyle w:val="ListParagraph"/>
              <w:spacing w:before="0"/>
              <w:ind w:left="360"/>
              <w:rPr>
                <w:sz w:val="16"/>
                <w:highlight w:val="yellow"/>
              </w:rPr>
            </w:pPr>
          </w:p>
          <w:p w:rsidR="00075C15" w:rsidRDefault="00075C15" w:rsidP="00075C15">
            <w:pPr>
              <w:pStyle w:val="ListParagraph"/>
              <w:numPr>
                <w:ilvl w:val="0"/>
                <w:numId w:val="35"/>
              </w:numPr>
              <w:spacing w:before="0"/>
              <w:ind w:left="360"/>
              <w:rPr>
                <w:sz w:val="16"/>
              </w:rPr>
            </w:pPr>
            <w:r>
              <w:rPr>
                <w:sz w:val="16"/>
              </w:rPr>
              <w:t>97% of the survey participants said that the information line had met their needs.</w:t>
            </w:r>
            <w:r>
              <w:rPr>
                <w:rStyle w:val="FootnoteReference"/>
                <w:sz w:val="16"/>
              </w:rPr>
              <w:footnoteReference w:id="2"/>
            </w:r>
          </w:p>
        </w:tc>
      </w:tr>
      <w:tr w:rsidR="00075C1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lastRenderedPageBreak/>
              <w:t>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Failsafe</w:t>
            </w:r>
          </w:p>
          <w:p w:rsidR="00075C15" w:rsidRDefault="00075C15" w:rsidP="004400C2">
            <w:pPr>
              <w:spacing w:before="0"/>
              <w:ind w:left="0"/>
              <w:rPr>
                <w:sz w:val="16"/>
              </w:rPr>
            </w:pPr>
            <w:r>
              <w:rPr>
                <w:sz w:val="16"/>
              </w:rPr>
              <w:t>QS 3</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 w:type="dxa"/>
              <w:bottom w:w="80" w:type="dxa"/>
              <w:right w:w="0" w:type="dxa"/>
            </w:tcMar>
          </w:tcPr>
          <w:p w:rsidR="00075C15" w:rsidRDefault="00075C15" w:rsidP="00075C15">
            <w:pPr>
              <w:pStyle w:val="ListParagraph"/>
              <w:numPr>
                <w:ilvl w:val="0"/>
                <w:numId w:val="35"/>
              </w:numPr>
              <w:spacing w:before="0"/>
              <w:ind w:left="360"/>
              <w:rPr>
                <w:sz w:val="16"/>
              </w:rPr>
            </w:pPr>
            <w:r>
              <w:rPr>
                <w:sz w:val="16"/>
              </w:rPr>
              <w:t>100% of bowel screening participants with a negative screening result are returned to 2 yearly recall.</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075C15">
            <w:pPr>
              <w:pStyle w:val="ListParagraph"/>
              <w:numPr>
                <w:ilvl w:val="0"/>
                <w:numId w:val="35"/>
              </w:numPr>
              <w:spacing w:before="0"/>
              <w:ind w:left="360"/>
              <w:rPr>
                <w:sz w:val="16"/>
              </w:rPr>
            </w:pPr>
            <w:r>
              <w:rPr>
                <w:sz w:val="16"/>
              </w:rPr>
              <w:t>100% of bowel screening participants with a positive iFOBT result are followed up by the BSP Endoscopy Unit and/or their GP.</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075C15" w:rsidRPr="00657D0A" w:rsidRDefault="00075C15" w:rsidP="00075C15">
            <w:pPr>
              <w:pStyle w:val="ListParagraph"/>
              <w:numPr>
                <w:ilvl w:val="0"/>
                <w:numId w:val="35"/>
              </w:numPr>
              <w:spacing w:before="0"/>
              <w:ind w:left="360"/>
              <w:rPr>
                <w:sz w:val="16"/>
              </w:rPr>
            </w:pPr>
            <w:r>
              <w:rPr>
                <w:sz w:val="16"/>
              </w:rPr>
              <w:t>The BSP system automatically moves participants to two yearly recall and there is no reason to suspect that this is not happening as it should (</w:t>
            </w:r>
            <w:r w:rsidRPr="000A5013">
              <w:rPr>
                <w:sz w:val="16"/>
              </w:rPr>
              <w:t>BSP Coordination Centre</w:t>
            </w:r>
            <w:r>
              <w:rPr>
                <w:sz w:val="16"/>
              </w:rPr>
              <w:t xml:space="preserve"> communication)</w:t>
            </w:r>
            <w:r w:rsidRPr="000A5013">
              <w:rPr>
                <w:sz w:val="16"/>
              </w:rPr>
              <w:t xml:space="preserve">. </w:t>
            </w:r>
          </w:p>
          <w:p w:rsidR="00075C15" w:rsidRDefault="00075C15" w:rsidP="004400C2">
            <w:pPr>
              <w:pStyle w:val="ListParagraph"/>
              <w:spacing w:before="0"/>
              <w:ind w:left="360"/>
              <w:rPr>
                <w:sz w:val="16"/>
              </w:rPr>
            </w:pPr>
          </w:p>
          <w:p w:rsidR="00075C15" w:rsidRDefault="00075C15" w:rsidP="00075C15">
            <w:pPr>
              <w:pStyle w:val="ListParagraph"/>
              <w:numPr>
                <w:ilvl w:val="0"/>
                <w:numId w:val="35"/>
              </w:numPr>
              <w:spacing w:before="0"/>
              <w:ind w:left="360"/>
              <w:rPr>
                <w:sz w:val="16"/>
              </w:rPr>
            </w:pPr>
            <w:r>
              <w:rPr>
                <w:sz w:val="16"/>
              </w:rPr>
              <w:t>100% – the system sends tasks to the Endoscopy Unit if the timeframe within which the referral should be received has not been met and the CNSs assume responsibility for contacting the participant.  There is a formal process in place for when a participant is unable to be contacted at all.</w:t>
            </w:r>
          </w:p>
        </w:tc>
      </w:tr>
      <w:tr w:rsidR="00075C1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iFOBT Kit</w:t>
            </w:r>
          </w:p>
          <w:p w:rsidR="00075C15" w:rsidRDefault="00075C15" w:rsidP="004400C2">
            <w:pPr>
              <w:spacing w:before="0"/>
              <w:ind w:left="0"/>
              <w:rPr>
                <w:sz w:val="16"/>
              </w:rPr>
            </w:pPr>
            <w:r>
              <w:rPr>
                <w:sz w:val="16"/>
              </w:rPr>
              <w:t>QS 4, 5</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 w:type="dxa"/>
              <w:bottom w:w="80" w:type="dxa"/>
              <w:right w:w="0" w:type="dxa"/>
            </w:tcMar>
          </w:tcPr>
          <w:p w:rsidR="00075C15" w:rsidRDefault="00075C15" w:rsidP="00075C15">
            <w:pPr>
              <w:pStyle w:val="ListParagraph"/>
              <w:numPr>
                <w:ilvl w:val="0"/>
                <w:numId w:val="35"/>
              </w:numPr>
              <w:spacing w:before="0"/>
              <w:ind w:left="360"/>
              <w:rPr>
                <w:sz w:val="16"/>
              </w:rPr>
            </w:pPr>
            <w:r>
              <w:rPr>
                <w:sz w:val="16"/>
              </w:rPr>
              <w:t>100% of iFOBT logged within 1 working day of receipt in laboratory.</w:t>
            </w:r>
          </w:p>
          <w:p w:rsidR="00075C15" w:rsidRDefault="00075C15" w:rsidP="004400C2">
            <w:pPr>
              <w:pStyle w:val="ListParagraph"/>
              <w:spacing w:before="0"/>
              <w:rPr>
                <w:sz w:val="16"/>
              </w:rPr>
            </w:pPr>
          </w:p>
          <w:p w:rsidR="00075C15" w:rsidRDefault="00075C15" w:rsidP="004400C2">
            <w:pPr>
              <w:pStyle w:val="ListParagraph"/>
              <w:spacing w:before="0"/>
              <w:ind w:left="360"/>
              <w:rPr>
                <w:sz w:val="16"/>
              </w:rPr>
            </w:pPr>
          </w:p>
          <w:p w:rsidR="00075C15" w:rsidRDefault="00075C15" w:rsidP="00075C15">
            <w:pPr>
              <w:pStyle w:val="ListParagraph"/>
              <w:numPr>
                <w:ilvl w:val="0"/>
                <w:numId w:val="35"/>
              </w:numPr>
              <w:spacing w:before="0"/>
              <w:ind w:left="360"/>
              <w:rPr>
                <w:sz w:val="16"/>
              </w:rPr>
            </w:pPr>
            <w:r>
              <w:rPr>
                <w:sz w:val="16"/>
              </w:rPr>
              <w:t>100% of correctly completed iFOBTs received by the screening laboratory are tested and results released within 2 working days of receipt in the laboratory.</w:t>
            </w:r>
          </w:p>
          <w:p w:rsidR="00075C15" w:rsidRDefault="00075C15" w:rsidP="004400C2">
            <w:pPr>
              <w:pStyle w:val="ListParagraph"/>
              <w:spacing w:before="0"/>
              <w:ind w:left="360"/>
              <w:rPr>
                <w:sz w:val="16"/>
              </w:rPr>
            </w:pPr>
          </w:p>
          <w:p w:rsidR="00075C15" w:rsidRDefault="00075C15" w:rsidP="00075C15">
            <w:pPr>
              <w:pStyle w:val="ListParagraph"/>
              <w:numPr>
                <w:ilvl w:val="0"/>
                <w:numId w:val="35"/>
              </w:numPr>
              <w:spacing w:before="0"/>
              <w:ind w:left="360"/>
              <w:rPr>
                <w:sz w:val="16"/>
              </w:rPr>
            </w:pPr>
            <w:r>
              <w:rPr>
                <w:sz w:val="16"/>
              </w:rPr>
              <w:t>95% of individuals returning a correctly completed iFOBT are advised of their results by the GP or endoscopy unit within 10 working days of receipt of the test result from the laboratory.</w:t>
            </w:r>
          </w:p>
          <w:p w:rsidR="00075C15" w:rsidRDefault="00075C15" w:rsidP="004400C2">
            <w:pPr>
              <w:pStyle w:val="ListParagraph"/>
              <w:spacing w:before="0"/>
              <w:ind w:left="0"/>
              <w:rPr>
                <w:sz w:val="16"/>
              </w:rPr>
            </w:pPr>
          </w:p>
          <w:p w:rsidR="00075C15" w:rsidRDefault="00075C15" w:rsidP="004400C2">
            <w:pPr>
              <w:pStyle w:val="ListParagraph"/>
              <w:spacing w:before="0"/>
              <w:ind w:left="0"/>
              <w:rPr>
                <w:sz w:val="16"/>
              </w:rPr>
            </w:pPr>
          </w:p>
          <w:p w:rsidR="00075C15" w:rsidRDefault="00075C15" w:rsidP="004400C2">
            <w:pPr>
              <w:pStyle w:val="ListParagraph"/>
              <w:spacing w:before="0"/>
              <w:ind w:left="0"/>
              <w:rPr>
                <w:sz w:val="16"/>
              </w:rPr>
            </w:pPr>
          </w:p>
          <w:p w:rsidR="00075C15" w:rsidRDefault="00075C15" w:rsidP="004400C2">
            <w:pPr>
              <w:pStyle w:val="ListParagraph"/>
              <w:spacing w:before="0"/>
              <w:ind w:left="0"/>
              <w:rPr>
                <w:sz w:val="16"/>
              </w:rPr>
            </w:pPr>
          </w:p>
          <w:p w:rsidR="00075C15" w:rsidRDefault="00075C15" w:rsidP="004400C2">
            <w:pPr>
              <w:pStyle w:val="ListParagraph"/>
              <w:spacing w:before="0"/>
              <w:ind w:left="0"/>
              <w:rPr>
                <w:sz w:val="16"/>
              </w:rPr>
            </w:pPr>
          </w:p>
          <w:p w:rsidR="00075C15" w:rsidRDefault="00075C15" w:rsidP="00075C15">
            <w:pPr>
              <w:pStyle w:val="ListParagraph"/>
              <w:numPr>
                <w:ilvl w:val="0"/>
                <w:numId w:val="35"/>
              </w:numPr>
              <w:spacing w:before="0"/>
              <w:ind w:left="360"/>
              <w:rPr>
                <w:sz w:val="16"/>
              </w:rPr>
            </w:pPr>
            <w:r>
              <w:rPr>
                <w:sz w:val="16"/>
              </w:rPr>
              <w:t>100% of laboratory staff performing iFOBT testing must be appropriately qualified and receive relevant training before undertaking unsupervised work.</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075C15" w:rsidRDefault="00075C15" w:rsidP="004400C2">
            <w:pPr>
              <w:pStyle w:val="ListParagraph"/>
              <w:numPr>
                <w:ilvl w:val="0"/>
                <w:numId w:val="35"/>
              </w:numPr>
              <w:spacing w:before="0"/>
              <w:ind w:left="360"/>
              <w:rPr>
                <w:sz w:val="16"/>
              </w:rPr>
            </w:pPr>
            <w:r w:rsidRPr="004D22CD">
              <w:rPr>
                <w:sz w:val="16"/>
              </w:rPr>
              <w:t xml:space="preserve">BSP Coordination Centre confirmed this standard has been met for the full four year period </w:t>
            </w:r>
          </w:p>
          <w:p w:rsidR="004D22CD" w:rsidRDefault="004D22CD" w:rsidP="004D22CD">
            <w:pPr>
              <w:pStyle w:val="ListParagraph"/>
              <w:spacing w:before="0"/>
              <w:ind w:left="360"/>
              <w:rPr>
                <w:sz w:val="16"/>
              </w:rPr>
            </w:pPr>
          </w:p>
          <w:p w:rsidR="00075C15" w:rsidRDefault="00075C15" w:rsidP="00075C15">
            <w:pPr>
              <w:pStyle w:val="ListParagraph"/>
              <w:numPr>
                <w:ilvl w:val="0"/>
                <w:numId w:val="35"/>
              </w:numPr>
              <w:spacing w:before="0"/>
              <w:ind w:left="360"/>
              <w:rPr>
                <w:sz w:val="16"/>
              </w:rPr>
            </w:pPr>
            <w:r w:rsidRPr="000A5013">
              <w:rPr>
                <w:sz w:val="16"/>
              </w:rPr>
              <w:t xml:space="preserve">BSP Coordination Centre confirmed </w:t>
            </w:r>
            <w:r>
              <w:rPr>
                <w:sz w:val="16"/>
              </w:rPr>
              <w:t>t</w:t>
            </w:r>
            <w:r w:rsidRPr="000A5013">
              <w:rPr>
                <w:sz w:val="16"/>
              </w:rPr>
              <w:t xml:space="preserve">his standard has been met for the full four year period </w:t>
            </w:r>
          </w:p>
          <w:p w:rsidR="004D22CD" w:rsidRDefault="004D22CD" w:rsidP="004D22CD">
            <w:pPr>
              <w:pStyle w:val="ListParagraph"/>
              <w:spacing w:before="0"/>
              <w:ind w:left="360"/>
              <w:rPr>
                <w:sz w:val="16"/>
              </w:rPr>
            </w:pPr>
          </w:p>
          <w:p w:rsidR="00075C15" w:rsidRDefault="00075C15" w:rsidP="004400C2">
            <w:pPr>
              <w:pStyle w:val="ListParagraph"/>
              <w:spacing w:before="0"/>
              <w:ind w:left="360"/>
              <w:rPr>
                <w:sz w:val="16"/>
              </w:rPr>
            </w:pPr>
          </w:p>
          <w:p w:rsidR="00075C15" w:rsidRPr="000A5013" w:rsidRDefault="00075C15" w:rsidP="00075C15">
            <w:pPr>
              <w:pStyle w:val="ListParagraph"/>
              <w:numPr>
                <w:ilvl w:val="0"/>
                <w:numId w:val="35"/>
              </w:numPr>
              <w:spacing w:before="0"/>
              <w:ind w:left="360"/>
              <w:rPr>
                <w:sz w:val="16"/>
              </w:rPr>
            </w:pPr>
            <w:r w:rsidRPr="000A5013">
              <w:rPr>
                <w:sz w:val="16"/>
              </w:rPr>
              <w:t xml:space="preserve">BSP Coordination Centre </w:t>
            </w:r>
            <w:r>
              <w:rPr>
                <w:sz w:val="16"/>
              </w:rPr>
              <w:t>noted that i</w:t>
            </w:r>
            <w:r w:rsidRPr="000A5013">
              <w:rPr>
                <w:sz w:val="16"/>
              </w:rPr>
              <w:t xml:space="preserve">t is not known the date on which the GP advised the participants of their result.  The only known date is the date on which the GP referred.  It is known that the </w:t>
            </w:r>
            <w:r w:rsidR="004D22CD">
              <w:rPr>
                <w:sz w:val="16"/>
              </w:rPr>
              <w:t>E</w:t>
            </w:r>
            <w:r w:rsidRPr="000A5013">
              <w:rPr>
                <w:sz w:val="16"/>
              </w:rPr>
              <w:t xml:space="preserve">ndoscopy </w:t>
            </w:r>
            <w:r w:rsidR="004D22CD">
              <w:rPr>
                <w:sz w:val="16"/>
              </w:rPr>
              <w:t>U</w:t>
            </w:r>
            <w:r w:rsidRPr="000A5013">
              <w:rPr>
                <w:sz w:val="16"/>
              </w:rPr>
              <w:t>nit consistently advises participants of results within 10 working days – where there is no GP involved.</w:t>
            </w:r>
          </w:p>
          <w:p w:rsidR="00075C15" w:rsidRDefault="00075C15" w:rsidP="004400C2">
            <w:pPr>
              <w:spacing w:before="0"/>
              <w:rPr>
                <w:sz w:val="16"/>
              </w:rPr>
            </w:pPr>
          </w:p>
          <w:p w:rsidR="00075C15" w:rsidRDefault="00075C15" w:rsidP="00075C15">
            <w:pPr>
              <w:pStyle w:val="ListParagraph"/>
              <w:numPr>
                <w:ilvl w:val="0"/>
                <w:numId w:val="35"/>
              </w:numPr>
              <w:spacing w:before="0"/>
              <w:ind w:left="360"/>
              <w:rPr>
                <w:sz w:val="16"/>
              </w:rPr>
            </w:pPr>
            <w:r>
              <w:rPr>
                <w:sz w:val="16"/>
              </w:rPr>
              <w:t>100% - IANZ accreditation requirement.</w:t>
            </w:r>
          </w:p>
          <w:p w:rsidR="00075C15" w:rsidRDefault="00075C15" w:rsidP="004400C2">
            <w:pPr>
              <w:pStyle w:val="ListParagraph"/>
              <w:spacing w:before="0"/>
              <w:rPr>
                <w:sz w:val="16"/>
              </w:rPr>
            </w:pPr>
          </w:p>
        </w:tc>
      </w:tr>
      <w:tr w:rsidR="00075C1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lastRenderedPageBreak/>
              <w:t>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Pre-Assessment</w:t>
            </w:r>
          </w:p>
          <w:p w:rsidR="00075C15" w:rsidRDefault="00075C15" w:rsidP="004400C2">
            <w:pPr>
              <w:spacing w:before="0"/>
              <w:ind w:left="0"/>
              <w:rPr>
                <w:sz w:val="16"/>
              </w:rPr>
            </w:pPr>
            <w:r>
              <w:rPr>
                <w:sz w:val="16"/>
              </w:rPr>
              <w:t>QS 6</w:t>
            </w:r>
            <w:r>
              <w:rPr>
                <w:sz w:val="16"/>
              </w:rPr>
              <w:tab/>
            </w:r>
          </w:p>
        </w:tc>
        <w:tc>
          <w:tcPr>
            <w:tcW w:w="39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0" w:type="dxa"/>
              <w:bottom w:w="80" w:type="dxa"/>
              <w:right w:w="0" w:type="dxa"/>
            </w:tcMar>
          </w:tcPr>
          <w:p w:rsidR="00075C15" w:rsidRPr="004810BC" w:rsidRDefault="00075C15" w:rsidP="00075C15">
            <w:pPr>
              <w:pStyle w:val="ListParagraph"/>
              <w:numPr>
                <w:ilvl w:val="0"/>
                <w:numId w:val="35"/>
              </w:numPr>
              <w:spacing w:before="0"/>
              <w:ind w:left="360"/>
              <w:rPr>
                <w:sz w:val="16"/>
              </w:rPr>
            </w:pPr>
            <w:r w:rsidRPr="004810BC">
              <w:rPr>
                <w:sz w:val="16"/>
              </w:rPr>
              <w:t xml:space="preserve">The time interval following a positive result being entered into the BSP IT system and date of initial contact, for colonoscopy is within 15 working days for at least 95% of individuals. </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075C15">
            <w:pPr>
              <w:pStyle w:val="ListParagraph"/>
              <w:numPr>
                <w:ilvl w:val="0"/>
                <w:numId w:val="35"/>
              </w:numPr>
              <w:spacing w:before="0"/>
              <w:ind w:left="360"/>
              <w:rPr>
                <w:sz w:val="16"/>
              </w:rPr>
            </w:pPr>
            <w:r>
              <w:rPr>
                <w:sz w:val="16"/>
              </w:rPr>
              <w:t xml:space="preserve">100% of participants are documented to have received a pre -assessment interview. </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4D22CD" w:rsidRDefault="004D22CD" w:rsidP="004400C2">
            <w:pPr>
              <w:pStyle w:val="ListParagraph"/>
              <w:spacing w:before="0"/>
              <w:rPr>
                <w:sz w:val="16"/>
              </w:rPr>
            </w:pPr>
          </w:p>
          <w:p w:rsidR="00075C15" w:rsidRDefault="00075C15" w:rsidP="00075C15">
            <w:pPr>
              <w:pStyle w:val="ListParagraph"/>
              <w:numPr>
                <w:ilvl w:val="0"/>
                <w:numId w:val="35"/>
              </w:numPr>
              <w:spacing w:before="0"/>
              <w:ind w:left="360"/>
              <w:rPr>
                <w:sz w:val="16"/>
              </w:rPr>
            </w:pPr>
            <w:r>
              <w:rPr>
                <w:sz w:val="16"/>
              </w:rPr>
              <w:t>100% of participants deemed fit for colonoscopy are appropriately referred for colonoscopy.</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075C15">
            <w:pPr>
              <w:pStyle w:val="ListParagraph"/>
              <w:numPr>
                <w:ilvl w:val="0"/>
                <w:numId w:val="35"/>
              </w:numPr>
              <w:spacing w:before="0"/>
              <w:ind w:left="360"/>
              <w:rPr>
                <w:sz w:val="16"/>
              </w:rPr>
            </w:pPr>
            <w:r>
              <w:rPr>
                <w:sz w:val="16"/>
              </w:rPr>
              <w:t xml:space="preserve">For all participants with a positive iFOBT result who do not proceed for colonoscopy there is documentation that appropriate pathways were followed and action taken. </w:t>
            </w:r>
          </w:p>
          <w:p w:rsidR="00075C15" w:rsidRDefault="00075C15" w:rsidP="004400C2">
            <w:pPr>
              <w:pStyle w:val="ListParagraph"/>
              <w:spacing w:before="0"/>
              <w:ind w:left="360"/>
              <w:rPr>
                <w:sz w:val="16"/>
              </w:rPr>
            </w:pPr>
          </w:p>
          <w:p w:rsidR="00075C15" w:rsidRDefault="00075C15" w:rsidP="00075C15">
            <w:pPr>
              <w:pStyle w:val="ListParagraph"/>
              <w:numPr>
                <w:ilvl w:val="0"/>
                <w:numId w:val="35"/>
              </w:numPr>
              <w:spacing w:before="0"/>
              <w:ind w:left="360"/>
              <w:rPr>
                <w:sz w:val="16"/>
              </w:rPr>
            </w:pPr>
            <w:r>
              <w:rPr>
                <w:sz w:val="16"/>
              </w:rPr>
              <w:t>95% of participants responding to patient satisfaction surveys report that they received appropriate information relating to colonoscopy and bowel preparation for the procedure.</w:t>
            </w:r>
          </w:p>
          <w:p w:rsidR="00075C15" w:rsidRDefault="00075C15" w:rsidP="004400C2">
            <w:pPr>
              <w:pStyle w:val="ListParagraph"/>
              <w:spacing w:before="0"/>
              <w:ind w:left="360"/>
              <w:rPr>
                <w:sz w:val="16"/>
              </w:rPr>
            </w:pPr>
          </w:p>
          <w:p w:rsidR="00075C15" w:rsidRDefault="00075C15" w:rsidP="00075C15">
            <w:pPr>
              <w:pStyle w:val="ListParagraph"/>
              <w:numPr>
                <w:ilvl w:val="0"/>
                <w:numId w:val="35"/>
              </w:numPr>
              <w:spacing w:before="0"/>
              <w:ind w:left="360"/>
              <w:rPr>
                <w:sz w:val="16"/>
              </w:rPr>
            </w:pPr>
            <w:r>
              <w:rPr>
                <w:sz w:val="16"/>
              </w:rPr>
              <w:t>95% of participants responding to patient satisfaction surveys report that timely and appropriate advice regarding colonoscopy and bowel preparation was available.</w:t>
            </w:r>
          </w:p>
          <w:p w:rsidR="00075C15" w:rsidRDefault="00075C15" w:rsidP="004400C2">
            <w:pPr>
              <w:pStyle w:val="ListParagraph"/>
              <w:spacing w:before="0"/>
              <w:rPr>
                <w:sz w:val="16"/>
              </w:rPr>
            </w:pPr>
          </w:p>
          <w:p w:rsidR="00075C15" w:rsidRDefault="00075C15" w:rsidP="00075C15">
            <w:pPr>
              <w:pStyle w:val="ListParagraph"/>
              <w:numPr>
                <w:ilvl w:val="0"/>
                <w:numId w:val="35"/>
              </w:numPr>
              <w:spacing w:before="0"/>
              <w:ind w:left="360"/>
              <w:rPr>
                <w:sz w:val="16"/>
              </w:rPr>
            </w:pPr>
            <w:r>
              <w:rPr>
                <w:sz w:val="16"/>
              </w:rPr>
              <w:t>For 90% of participants proceeding to colonoscopy there is evidence that a participant has completed the questionnaire relating to family history of bowel cancer. The questionnaire (yet to be finalised) is designed to facilitate on-referral to the New Zealand Familial Gastrointestinal Service, if appropriate.</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5C15" w:rsidRDefault="00075C15" w:rsidP="00075C15">
            <w:pPr>
              <w:pStyle w:val="ListParagraph"/>
              <w:numPr>
                <w:ilvl w:val="0"/>
                <w:numId w:val="35"/>
              </w:numPr>
              <w:spacing w:before="0"/>
              <w:ind w:left="360"/>
              <w:rPr>
                <w:sz w:val="16"/>
              </w:rPr>
            </w:pPr>
            <w:r w:rsidRPr="000A5013">
              <w:rPr>
                <w:sz w:val="16"/>
              </w:rPr>
              <w:t>BSP Coordination Centre confirmed this standard has been consistently met over the four year period.</w:t>
            </w:r>
          </w:p>
          <w:p w:rsidR="00075C15" w:rsidRDefault="00075C15" w:rsidP="004400C2">
            <w:pPr>
              <w:spacing w:before="0"/>
              <w:rPr>
                <w:sz w:val="16"/>
              </w:rPr>
            </w:pPr>
          </w:p>
          <w:p w:rsidR="00075C15" w:rsidRDefault="00075C15" w:rsidP="004400C2">
            <w:pPr>
              <w:spacing w:before="0"/>
              <w:rPr>
                <w:sz w:val="16"/>
              </w:rPr>
            </w:pPr>
          </w:p>
          <w:p w:rsidR="00075C15" w:rsidRDefault="00075C15" w:rsidP="004400C2">
            <w:pPr>
              <w:spacing w:before="0"/>
              <w:rPr>
                <w:sz w:val="16"/>
              </w:rPr>
            </w:pPr>
          </w:p>
          <w:p w:rsidR="00075C15" w:rsidRPr="000A5013" w:rsidRDefault="00075C15" w:rsidP="00075C15">
            <w:pPr>
              <w:pStyle w:val="ListParagraph"/>
              <w:numPr>
                <w:ilvl w:val="0"/>
                <w:numId w:val="35"/>
              </w:numPr>
              <w:spacing w:before="0"/>
              <w:ind w:left="360"/>
              <w:rPr>
                <w:sz w:val="16"/>
              </w:rPr>
            </w:pPr>
            <w:r w:rsidRPr="000A5013">
              <w:rPr>
                <w:sz w:val="16"/>
              </w:rPr>
              <w:t xml:space="preserve">100% of participants are documented to have received a pre-assessment interview </w:t>
            </w:r>
            <w:r>
              <w:rPr>
                <w:sz w:val="16"/>
              </w:rPr>
              <w:t>(</w:t>
            </w:r>
            <w:r w:rsidRPr="000A5013">
              <w:rPr>
                <w:sz w:val="16"/>
              </w:rPr>
              <w:t>BSP Coordination Centre</w:t>
            </w:r>
            <w:r>
              <w:rPr>
                <w:sz w:val="16"/>
              </w:rPr>
              <w:t xml:space="preserve"> communication)</w:t>
            </w:r>
            <w:r w:rsidRPr="000A5013">
              <w:rPr>
                <w:sz w:val="16"/>
              </w:rPr>
              <w:t xml:space="preserve">. </w:t>
            </w:r>
          </w:p>
          <w:p w:rsidR="00075C15" w:rsidRPr="008D6773" w:rsidRDefault="00075C15" w:rsidP="004400C2">
            <w:pPr>
              <w:pStyle w:val="ListParagraph"/>
              <w:spacing w:before="0"/>
              <w:ind w:left="360"/>
              <w:rPr>
                <w:sz w:val="16"/>
                <w:highlight w:val="green"/>
              </w:rPr>
            </w:pPr>
          </w:p>
          <w:p w:rsidR="00075C15" w:rsidRPr="000A5013" w:rsidRDefault="00075C15" w:rsidP="00075C15">
            <w:pPr>
              <w:pStyle w:val="ListParagraph"/>
              <w:numPr>
                <w:ilvl w:val="0"/>
                <w:numId w:val="35"/>
              </w:numPr>
              <w:spacing w:before="0"/>
              <w:ind w:left="360"/>
              <w:rPr>
                <w:sz w:val="16"/>
              </w:rPr>
            </w:pPr>
            <w:r w:rsidRPr="000A5013">
              <w:rPr>
                <w:sz w:val="16"/>
              </w:rPr>
              <w:t>100% of participants deemed fit for colonoscopy are appropriately referred for colonoscopy</w:t>
            </w:r>
            <w:r>
              <w:rPr>
                <w:sz w:val="16"/>
              </w:rPr>
              <w:t xml:space="preserve"> (</w:t>
            </w:r>
            <w:r w:rsidRPr="000A5013">
              <w:rPr>
                <w:sz w:val="16"/>
              </w:rPr>
              <w:t>BSP Coordination Centre</w:t>
            </w:r>
            <w:r>
              <w:rPr>
                <w:sz w:val="16"/>
              </w:rPr>
              <w:t xml:space="preserve"> communication)</w:t>
            </w:r>
            <w:r w:rsidRPr="000A5013">
              <w:rPr>
                <w:sz w:val="16"/>
              </w:rPr>
              <w:t>.</w:t>
            </w:r>
          </w:p>
          <w:p w:rsidR="00075C15" w:rsidRDefault="00075C15" w:rsidP="004400C2">
            <w:pPr>
              <w:pStyle w:val="ListParagraph"/>
              <w:spacing w:before="0"/>
              <w:ind w:left="360"/>
              <w:rPr>
                <w:sz w:val="16"/>
              </w:rPr>
            </w:pPr>
          </w:p>
          <w:p w:rsidR="00075C15" w:rsidRPr="000A5013" w:rsidRDefault="00075C15" w:rsidP="00075C15">
            <w:pPr>
              <w:pStyle w:val="ListParagraph"/>
              <w:numPr>
                <w:ilvl w:val="0"/>
                <w:numId w:val="35"/>
              </w:numPr>
              <w:spacing w:before="0"/>
              <w:ind w:left="360"/>
              <w:rPr>
                <w:sz w:val="16"/>
              </w:rPr>
            </w:pPr>
            <w:r>
              <w:rPr>
                <w:sz w:val="16"/>
              </w:rPr>
              <w:t xml:space="preserve">All are </w:t>
            </w:r>
            <w:r w:rsidRPr="000A5013">
              <w:rPr>
                <w:sz w:val="16"/>
              </w:rPr>
              <w:t>documented on the system</w:t>
            </w:r>
            <w:r>
              <w:rPr>
                <w:sz w:val="16"/>
              </w:rPr>
              <w:t xml:space="preserve"> (</w:t>
            </w:r>
            <w:r w:rsidRPr="000A5013">
              <w:rPr>
                <w:sz w:val="16"/>
              </w:rPr>
              <w:t>BSP Coordination Centre</w:t>
            </w:r>
            <w:r>
              <w:rPr>
                <w:sz w:val="16"/>
              </w:rPr>
              <w:t xml:space="preserve"> communication)</w:t>
            </w:r>
            <w:r w:rsidRPr="000A5013">
              <w:rPr>
                <w:sz w:val="16"/>
              </w:rPr>
              <w:t>.</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Pr="000A5013" w:rsidRDefault="00075C15" w:rsidP="00075C15">
            <w:pPr>
              <w:pStyle w:val="ListParagraph"/>
              <w:numPr>
                <w:ilvl w:val="0"/>
                <w:numId w:val="36"/>
              </w:numPr>
              <w:spacing w:before="0"/>
              <w:ind w:left="360"/>
              <w:rPr>
                <w:sz w:val="16"/>
              </w:rPr>
            </w:pPr>
            <w:r w:rsidRPr="000A5013">
              <w:rPr>
                <w:sz w:val="16"/>
              </w:rPr>
              <w:t>95% in Round 1 and 93% in Round 2</w:t>
            </w:r>
            <w:r w:rsidRPr="000A5013">
              <w:rPr>
                <w:rStyle w:val="FootnoteReference"/>
                <w:sz w:val="16"/>
              </w:rPr>
              <w:footnoteReference w:id="3"/>
            </w:r>
          </w:p>
          <w:p w:rsidR="00075C15" w:rsidRDefault="00075C15" w:rsidP="004400C2">
            <w:pPr>
              <w:spacing w:before="0"/>
              <w:rPr>
                <w:sz w:val="16"/>
              </w:rPr>
            </w:pPr>
          </w:p>
          <w:p w:rsidR="00075C15" w:rsidRDefault="00075C15" w:rsidP="004400C2">
            <w:pPr>
              <w:spacing w:before="0"/>
              <w:rPr>
                <w:sz w:val="16"/>
              </w:rPr>
            </w:pPr>
          </w:p>
          <w:p w:rsidR="00075C15" w:rsidRDefault="00075C15" w:rsidP="004400C2">
            <w:pPr>
              <w:spacing w:before="0"/>
              <w:rPr>
                <w:sz w:val="16"/>
              </w:rPr>
            </w:pPr>
          </w:p>
          <w:p w:rsidR="00075C15" w:rsidRDefault="00075C15" w:rsidP="004400C2">
            <w:pPr>
              <w:pStyle w:val="ListParagraph"/>
              <w:spacing w:before="0"/>
              <w:ind w:left="360"/>
              <w:rPr>
                <w:sz w:val="16"/>
              </w:rPr>
            </w:pPr>
          </w:p>
          <w:p w:rsidR="00075C15" w:rsidRDefault="00075C15" w:rsidP="00075C15">
            <w:pPr>
              <w:pStyle w:val="ListParagraph"/>
              <w:numPr>
                <w:ilvl w:val="0"/>
                <w:numId w:val="36"/>
              </w:numPr>
              <w:spacing w:before="0"/>
              <w:ind w:left="360"/>
              <w:rPr>
                <w:sz w:val="16"/>
              </w:rPr>
            </w:pPr>
            <w:r>
              <w:rPr>
                <w:sz w:val="16"/>
              </w:rPr>
              <w:t>97% rated very good or good ‘provide clear information to prepare you for your colonoscopy’.</w:t>
            </w:r>
            <w:r>
              <w:rPr>
                <w:rStyle w:val="FootnoteReference"/>
                <w:sz w:val="16"/>
              </w:rPr>
              <w:footnoteReference w:id="4"/>
            </w:r>
          </w:p>
          <w:p w:rsidR="00075C15" w:rsidRDefault="00075C15" w:rsidP="004400C2">
            <w:pPr>
              <w:spacing w:before="0"/>
              <w:rPr>
                <w:sz w:val="16"/>
              </w:rPr>
            </w:pPr>
          </w:p>
          <w:p w:rsidR="00075C15" w:rsidRDefault="00075C15" w:rsidP="004400C2">
            <w:pPr>
              <w:spacing w:before="0"/>
              <w:rPr>
                <w:sz w:val="16"/>
              </w:rPr>
            </w:pPr>
          </w:p>
          <w:p w:rsidR="00075C15" w:rsidRDefault="00075C15" w:rsidP="00075C15">
            <w:pPr>
              <w:pStyle w:val="ListParagraph"/>
              <w:numPr>
                <w:ilvl w:val="0"/>
                <w:numId w:val="36"/>
              </w:numPr>
              <w:spacing w:before="0"/>
              <w:ind w:left="360"/>
              <w:rPr>
                <w:sz w:val="16"/>
              </w:rPr>
            </w:pPr>
            <w:r w:rsidRPr="000A5013">
              <w:rPr>
                <w:sz w:val="16"/>
              </w:rPr>
              <w:t>The questionnaire has not been implemented.</w:t>
            </w:r>
          </w:p>
        </w:tc>
      </w:tr>
      <w:tr w:rsidR="00075C15" w:rsidTr="004400C2">
        <w:trPr>
          <w:cantSplit/>
          <w:trHeight w:val="350"/>
        </w:trPr>
        <w:tc>
          <w:tcPr>
            <w:tcW w:w="708" w:type="dxa"/>
            <w:tcBorders>
              <w:top w:val="single" w:sz="4" w:space="0" w:color="000000"/>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7</w:t>
            </w:r>
          </w:p>
        </w:tc>
        <w:tc>
          <w:tcPr>
            <w:tcW w:w="1135" w:type="dxa"/>
            <w:tcBorders>
              <w:top w:val="single" w:sz="4" w:space="0" w:color="000000"/>
              <w:left w:val="single" w:sz="4" w:space="0" w:color="auto"/>
              <w:bottom w:val="single" w:sz="4" w:space="0" w:color="auto"/>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Colonoscopy</w:t>
            </w:r>
          </w:p>
          <w:p w:rsidR="00075C15" w:rsidRDefault="00075C15" w:rsidP="004400C2">
            <w:pPr>
              <w:spacing w:before="0"/>
              <w:ind w:left="0"/>
              <w:rPr>
                <w:sz w:val="16"/>
              </w:rPr>
            </w:pPr>
            <w:r>
              <w:rPr>
                <w:sz w:val="16"/>
              </w:rPr>
              <w:t>QS 7</w:t>
            </w:r>
          </w:p>
        </w:tc>
        <w:tc>
          <w:tcPr>
            <w:tcW w:w="3966"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tcPr>
          <w:p w:rsidR="00075C15" w:rsidRDefault="00075C15" w:rsidP="00075C15">
            <w:pPr>
              <w:pStyle w:val="ListParagraph"/>
              <w:numPr>
                <w:ilvl w:val="0"/>
                <w:numId w:val="35"/>
              </w:numPr>
              <w:spacing w:before="0"/>
              <w:ind w:left="360"/>
              <w:rPr>
                <w:sz w:val="16"/>
              </w:rPr>
            </w:pPr>
            <w:r>
              <w:rPr>
                <w:sz w:val="16"/>
              </w:rPr>
              <w:t>In at least 95% of cases, the interval between the pre-assessment appointment and the first date offered for colonoscopy is within 15 working days.</w:t>
            </w:r>
          </w:p>
          <w:p w:rsidR="00075C15" w:rsidRDefault="00075C15" w:rsidP="004400C2">
            <w:pPr>
              <w:spacing w:before="0"/>
              <w:ind w:left="0"/>
              <w:rPr>
                <w:sz w:val="16"/>
              </w:rPr>
            </w:pPr>
          </w:p>
          <w:p w:rsidR="00075C15" w:rsidRDefault="00075C15" w:rsidP="00075C15">
            <w:pPr>
              <w:pStyle w:val="ListParagraph"/>
              <w:numPr>
                <w:ilvl w:val="0"/>
                <w:numId w:val="35"/>
              </w:numPr>
              <w:spacing w:before="0"/>
              <w:ind w:left="360"/>
              <w:rPr>
                <w:sz w:val="16"/>
              </w:rPr>
            </w:pPr>
            <w:r>
              <w:rPr>
                <w:sz w:val="16"/>
              </w:rPr>
              <w:t>In at least 95% of cases, the interval between the notification of the positive screening result and the date colonoscopy is completed is within 55 working days (11 weeks).</w:t>
            </w:r>
          </w:p>
          <w:p w:rsidR="00075C15" w:rsidRDefault="00075C15" w:rsidP="004400C2">
            <w:pPr>
              <w:spacing w:before="0"/>
              <w:ind w:left="0"/>
              <w:rPr>
                <w:sz w:val="16"/>
              </w:rPr>
            </w:pPr>
          </w:p>
          <w:p w:rsidR="00075C15" w:rsidRDefault="00075C15" w:rsidP="00075C15">
            <w:pPr>
              <w:pStyle w:val="ListParagraph"/>
              <w:numPr>
                <w:ilvl w:val="0"/>
                <w:numId w:val="35"/>
              </w:numPr>
              <w:spacing w:before="0"/>
              <w:ind w:left="360"/>
              <w:rPr>
                <w:sz w:val="16"/>
              </w:rPr>
            </w:pPr>
            <w:r>
              <w:rPr>
                <w:sz w:val="16"/>
              </w:rPr>
              <w:t>100% of screening colonoscopy outcomes site are reported in the BSP IT system.</w:t>
            </w:r>
          </w:p>
          <w:p w:rsidR="00075C15" w:rsidRDefault="00075C15" w:rsidP="004400C2">
            <w:pPr>
              <w:spacing w:before="0"/>
              <w:ind w:left="0"/>
              <w:rPr>
                <w:sz w:val="16"/>
              </w:rPr>
            </w:pPr>
          </w:p>
          <w:p w:rsidR="00075C15" w:rsidRDefault="00075C15" w:rsidP="00075C15">
            <w:pPr>
              <w:pStyle w:val="ListParagraph"/>
              <w:numPr>
                <w:ilvl w:val="0"/>
                <w:numId w:val="35"/>
              </w:numPr>
              <w:spacing w:before="0"/>
              <w:ind w:left="360"/>
              <w:rPr>
                <w:sz w:val="16"/>
              </w:rPr>
            </w:pPr>
            <w:r>
              <w:rPr>
                <w:sz w:val="16"/>
              </w:rPr>
              <w:t>100% of screening colonoscopy results (excluding histopathology) are reported within 5 working days after the procedure to the participants nominated GP and to the CC.</w:t>
            </w:r>
          </w:p>
          <w:p w:rsidR="00075C15" w:rsidRDefault="00075C15" w:rsidP="004400C2">
            <w:pPr>
              <w:spacing w:before="0"/>
              <w:ind w:left="0"/>
              <w:rPr>
                <w:sz w:val="16"/>
              </w:rPr>
            </w:pPr>
          </w:p>
          <w:p w:rsidR="00075C15" w:rsidRDefault="00075C15" w:rsidP="00075C15">
            <w:pPr>
              <w:pStyle w:val="ListParagraph"/>
              <w:numPr>
                <w:ilvl w:val="0"/>
                <w:numId w:val="35"/>
              </w:numPr>
              <w:spacing w:before="0"/>
              <w:ind w:left="360"/>
              <w:rPr>
                <w:sz w:val="16"/>
              </w:rPr>
            </w:pPr>
            <w:r>
              <w:rPr>
                <w:sz w:val="16"/>
              </w:rPr>
              <w:t>100% of participants will receive the results of all colonoscopy investigations (including histopathology) within 20 working days of the final procedure.</w:t>
            </w:r>
          </w:p>
        </w:tc>
        <w:tc>
          <w:tcPr>
            <w:tcW w:w="3401" w:type="dxa"/>
            <w:tcBorders>
              <w:top w:val="single" w:sz="4" w:space="0" w:color="000000"/>
              <w:left w:val="single" w:sz="4" w:space="0" w:color="000000"/>
              <w:bottom w:val="single" w:sz="4" w:space="0" w:color="auto"/>
              <w:right w:val="single" w:sz="4" w:space="0" w:color="auto"/>
            </w:tcBorders>
            <w:shd w:val="clear" w:color="auto" w:fill="FFFFFF"/>
          </w:tcPr>
          <w:p w:rsidR="00075C15" w:rsidRDefault="00075C15" w:rsidP="00075C15">
            <w:pPr>
              <w:pStyle w:val="ListParagraph"/>
              <w:numPr>
                <w:ilvl w:val="0"/>
                <w:numId w:val="36"/>
              </w:numPr>
              <w:spacing w:before="0"/>
              <w:ind w:left="360"/>
              <w:rPr>
                <w:sz w:val="16"/>
              </w:rPr>
            </w:pPr>
            <w:r>
              <w:rPr>
                <w:sz w:val="16"/>
              </w:rPr>
              <w:t>100% - There is no interval because the date is offered at the time of the pre-assessment.</w:t>
            </w:r>
          </w:p>
          <w:p w:rsidR="00075C15" w:rsidRDefault="00075C15" w:rsidP="004400C2">
            <w:pPr>
              <w:spacing w:before="0"/>
              <w:rPr>
                <w:sz w:val="16"/>
              </w:rPr>
            </w:pPr>
          </w:p>
          <w:p w:rsidR="00075C15" w:rsidRPr="005A5A41" w:rsidRDefault="004D22CD" w:rsidP="004400C2">
            <w:pPr>
              <w:pStyle w:val="ListParagraph"/>
              <w:numPr>
                <w:ilvl w:val="0"/>
                <w:numId w:val="36"/>
              </w:numPr>
              <w:spacing w:before="0"/>
              <w:ind w:left="360"/>
              <w:rPr>
                <w:sz w:val="16"/>
              </w:rPr>
            </w:pPr>
            <w:r w:rsidRPr="005A5A41">
              <w:rPr>
                <w:rFonts w:cs="Arial"/>
                <w:sz w:val="16"/>
                <w:szCs w:val="16"/>
                <w:lang w:eastAsia="en-NZ"/>
              </w:rPr>
              <w:t>9</w:t>
            </w:r>
            <w:r w:rsidR="005A5A41">
              <w:rPr>
                <w:rFonts w:cs="Arial"/>
                <w:sz w:val="16"/>
                <w:szCs w:val="16"/>
                <w:lang w:eastAsia="en-NZ"/>
              </w:rPr>
              <w:t>5%</w:t>
            </w:r>
          </w:p>
          <w:p w:rsidR="00075C15" w:rsidRDefault="00075C15" w:rsidP="004400C2">
            <w:pPr>
              <w:spacing w:before="0"/>
              <w:rPr>
                <w:sz w:val="16"/>
              </w:rPr>
            </w:pPr>
          </w:p>
          <w:p w:rsidR="00075C15" w:rsidRDefault="00075C15" w:rsidP="004400C2">
            <w:pPr>
              <w:spacing w:before="0"/>
              <w:rPr>
                <w:sz w:val="16"/>
              </w:rPr>
            </w:pPr>
          </w:p>
          <w:p w:rsidR="00075C15" w:rsidRDefault="00075C15" w:rsidP="004400C2">
            <w:pPr>
              <w:spacing w:before="0"/>
              <w:rPr>
                <w:sz w:val="16"/>
              </w:rPr>
            </w:pPr>
          </w:p>
          <w:p w:rsidR="005A5A41" w:rsidRDefault="005A5A41" w:rsidP="004400C2">
            <w:pPr>
              <w:spacing w:before="0"/>
              <w:rPr>
                <w:sz w:val="16"/>
              </w:rPr>
            </w:pPr>
          </w:p>
          <w:p w:rsidR="00075C15" w:rsidRDefault="00075C15" w:rsidP="00075C15">
            <w:pPr>
              <w:pStyle w:val="ListParagraph"/>
              <w:numPr>
                <w:ilvl w:val="0"/>
                <w:numId w:val="36"/>
              </w:numPr>
              <w:spacing w:before="0"/>
              <w:ind w:left="360"/>
              <w:rPr>
                <w:sz w:val="16"/>
              </w:rPr>
            </w:pPr>
            <w:r>
              <w:rPr>
                <w:rFonts w:cs="Arial"/>
                <w:sz w:val="16"/>
                <w:szCs w:val="16"/>
                <w:lang w:eastAsia="en-NZ"/>
              </w:rPr>
              <w:t>100%</w:t>
            </w:r>
            <w:r w:rsidR="004D22CD">
              <w:rPr>
                <w:rFonts w:cs="Arial"/>
                <w:sz w:val="16"/>
                <w:szCs w:val="16"/>
                <w:lang w:eastAsia="en-NZ"/>
              </w:rPr>
              <w:t xml:space="preserve"> </w:t>
            </w:r>
            <w:r w:rsidR="004D22CD">
              <w:rPr>
                <w:sz w:val="16"/>
              </w:rPr>
              <w:t>(</w:t>
            </w:r>
            <w:r w:rsidR="004D22CD" w:rsidRPr="000A5013">
              <w:rPr>
                <w:sz w:val="16"/>
              </w:rPr>
              <w:t>BSP Coordination Centre</w:t>
            </w:r>
            <w:r w:rsidR="004D22CD">
              <w:rPr>
                <w:sz w:val="16"/>
              </w:rPr>
              <w:t xml:space="preserve"> communication)</w:t>
            </w:r>
            <w:r>
              <w:rPr>
                <w:rFonts w:cs="Arial"/>
                <w:sz w:val="16"/>
                <w:szCs w:val="16"/>
                <w:lang w:eastAsia="en-NZ"/>
              </w:rPr>
              <w:t xml:space="preserve">. </w:t>
            </w:r>
          </w:p>
          <w:p w:rsidR="00075C15" w:rsidRDefault="00075C15" w:rsidP="004400C2">
            <w:pPr>
              <w:pStyle w:val="ListParagraph"/>
              <w:spacing w:before="0"/>
              <w:ind w:left="360"/>
              <w:rPr>
                <w:sz w:val="16"/>
              </w:rPr>
            </w:pPr>
          </w:p>
          <w:p w:rsidR="00075C15" w:rsidRDefault="00075C15" w:rsidP="00075C15">
            <w:pPr>
              <w:pStyle w:val="ListParagraph"/>
              <w:numPr>
                <w:ilvl w:val="0"/>
                <w:numId w:val="36"/>
              </w:numPr>
              <w:spacing w:before="0"/>
              <w:ind w:left="360"/>
              <w:rPr>
                <w:sz w:val="16"/>
              </w:rPr>
            </w:pPr>
            <w:r>
              <w:rPr>
                <w:sz w:val="16"/>
              </w:rPr>
              <w:t>100% - Participant receives the procedure report to take home on the day and also on the same day it is put in the mail to the GP.</w:t>
            </w:r>
          </w:p>
          <w:p w:rsidR="00075C15" w:rsidRDefault="00075C15" w:rsidP="004400C2">
            <w:pPr>
              <w:spacing w:before="0"/>
              <w:rPr>
                <w:sz w:val="16"/>
              </w:rPr>
            </w:pPr>
          </w:p>
          <w:p w:rsidR="00075C15" w:rsidRDefault="00075C15" w:rsidP="00075C15">
            <w:pPr>
              <w:pStyle w:val="ListParagraph"/>
              <w:numPr>
                <w:ilvl w:val="0"/>
                <w:numId w:val="36"/>
              </w:numPr>
              <w:spacing w:before="0"/>
              <w:ind w:left="360"/>
              <w:rPr>
                <w:sz w:val="16"/>
              </w:rPr>
            </w:pPr>
            <w:r>
              <w:rPr>
                <w:sz w:val="16"/>
              </w:rPr>
              <w:t>Difficult to calculate as result letter not generated from BSP system.  Estimated at 98%</w:t>
            </w:r>
            <w:r w:rsidR="004D22CD">
              <w:rPr>
                <w:sz w:val="16"/>
              </w:rPr>
              <w:t xml:space="preserve"> (</w:t>
            </w:r>
            <w:r w:rsidR="004D22CD" w:rsidRPr="000A5013">
              <w:rPr>
                <w:sz w:val="16"/>
              </w:rPr>
              <w:t>BSP Coordination Centre</w:t>
            </w:r>
            <w:r w:rsidR="004D22CD">
              <w:rPr>
                <w:sz w:val="16"/>
              </w:rPr>
              <w:t xml:space="preserve"> communication)</w:t>
            </w:r>
            <w:r>
              <w:rPr>
                <w:sz w:val="16"/>
              </w:rPr>
              <w:t>.</w:t>
            </w:r>
          </w:p>
          <w:p w:rsidR="00075C15" w:rsidRDefault="00075C15" w:rsidP="004400C2">
            <w:pPr>
              <w:spacing w:before="0"/>
              <w:rPr>
                <w:sz w:val="16"/>
              </w:rPr>
            </w:pPr>
          </w:p>
        </w:tc>
      </w:tr>
      <w:tr w:rsidR="00075C15" w:rsidTr="004400C2">
        <w:trPr>
          <w:cantSplit/>
          <w:trHeight w:val="350"/>
        </w:trPr>
        <w:tc>
          <w:tcPr>
            <w:tcW w:w="708" w:type="dxa"/>
            <w:tcBorders>
              <w:top w:val="single" w:sz="4" w:space="0" w:color="000000"/>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8</w:t>
            </w:r>
          </w:p>
        </w:tc>
        <w:tc>
          <w:tcPr>
            <w:tcW w:w="1135" w:type="dxa"/>
            <w:tcBorders>
              <w:top w:val="single" w:sz="4" w:space="0" w:color="000000"/>
              <w:left w:val="single" w:sz="4" w:space="0" w:color="auto"/>
              <w:bottom w:val="single" w:sz="4" w:space="0" w:color="auto"/>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Colonoscopy Procedure</w:t>
            </w:r>
          </w:p>
          <w:p w:rsidR="00075C15" w:rsidRDefault="00075C15" w:rsidP="004400C2">
            <w:pPr>
              <w:spacing w:before="0"/>
              <w:ind w:left="0"/>
              <w:rPr>
                <w:sz w:val="16"/>
              </w:rPr>
            </w:pPr>
            <w:r>
              <w:rPr>
                <w:sz w:val="16"/>
              </w:rPr>
              <w:t>QS 7</w:t>
            </w:r>
          </w:p>
        </w:tc>
        <w:tc>
          <w:tcPr>
            <w:tcW w:w="3966"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tcPr>
          <w:p w:rsidR="00075C15" w:rsidRDefault="00075C15" w:rsidP="00075C15">
            <w:pPr>
              <w:pStyle w:val="ListParagraph"/>
              <w:numPr>
                <w:ilvl w:val="0"/>
                <w:numId w:val="37"/>
              </w:numPr>
              <w:spacing w:before="0"/>
              <w:ind w:left="360"/>
              <w:rPr>
                <w:sz w:val="16"/>
              </w:rPr>
            </w:pPr>
            <w:r>
              <w:rPr>
                <w:sz w:val="16"/>
              </w:rPr>
              <w:t>All colonoscopists working in the BSP are approved to work in the programme by the BSP Endoscopy Lead.</w:t>
            </w:r>
          </w:p>
          <w:p w:rsidR="00075C15" w:rsidRPr="00C42EF2" w:rsidRDefault="00075C15" w:rsidP="004400C2">
            <w:pPr>
              <w:pStyle w:val="ListParagraph"/>
              <w:ind w:left="360" w:hanging="360"/>
              <w:rPr>
                <w:sz w:val="16"/>
              </w:rPr>
            </w:pPr>
          </w:p>
          <w:p w:rsidR="00075C15" w:rsidRDefault="00075C15" w:rsidP="00075C15">
            <w:pPr>
              <w:pStyle w:val="ListParagraph"/>
              <w:numPr>
                <w:ilvl w:val="0"/>
                <w:numId w:val="37"/>
              </w:numPr>
              <w:spacing w:before="0"/>
              <w:ind w:left="360"/>
              <w:rPr>
                <w:sz w:val="16"/>
              </w:rPr>
            </w:pPr>
            <w:r>
              <w:rPr>
                <w:sz w:val="16"/>
              </w:rPr>
              <w:t>The minimum standards for performance of colonoscopy are met and reviewed three monthly by the Lead Endoscopist. These records are available for external audit as de-identified data.</w:t>
            </w:r>
          </w:p>
          <w:p w:rsidR="00075C15" w:rsidRPr="00625437" w:rsidRDefault="00075C15" w:rsidP="004400C2">
            <w:pPr>
              <w:pStyle w:val="ListParagraph"/>
              <w:rPr>
                <w:sz w:val="16"/>
              </w:rPr>
            </w:pPr>
          </w:p>
          <w:p w:rsidR="00075C15" w:rsidRPr="00625437" w:rsidRDefault="00075C15" w:rsidP="00075C15">
            <w:pPr>
              <w:pStyle w:val="ListParagraph"/>
              <w:numPr>
                <w:ilvl w:val="0"/>
                <w:numId w:val="37"/>
              </w:numPr>
              <w:spacing w:before="0"/>
              <w:ind w:left="360"/>
              <w:rPr>
                <w:sz w:val="16"/>
              </w:rPr>
            </w:pPr>
            <w:r w:rsidRPr="00625437">
              <w:rPr>
                <w:sz w:val="16"/>
              </w:rPr>
              <w:t>Minimum Standards for performance of colonoscopy are:</w:t>
            </w:r>
          </w:p>
          <w:p w:rsidR="00075C15" w:rsidRDefault="00075C15" w:rsidP="00075C15">
            <w:pPr>
              <w:pStyle w:val="ListParagraph"/>
              <w:numPr>
                <w:ilvl w:val="0"/>
                <w:numId w:val="38"/>
              </w:numPr>
              <w:spacing w:before="0"/>
              <w:ind w:left="720"/>
              <w:rPr>
                <w:sz w:val="16"/>
              </w:rPr>
            </w:pPr>
            <w:r>
              <w:rPr>
                <w:sz w:val="16"/>
              </w:rPr>
              <w:t>The caecal intubation rate for each proceduralist is 95% or greater for screening patients.</w:t>
            </w:r>
          </w:p>
          <w:p w:rsidR="00075C15" w:rsidRDefault="00075C15" w:rsidP="00075C15">
            <w:pPr>
              <w:pStyle w:val="ListParagraph"/>
              <w:numPr>
                <w:ilvl w:val="0"/>
                <w:numId w:val="38"/>
              </w:numPr>
              <w:spacing w:before="0"/>
              <w:ind w:left="720"/>
              <w:rPr>
                <w:sz w:val="16"/>
              </w:rPr>
            </w:pPr>
            <w:r>
              <w:rPr>
                <w:sz w:val="16"/>
              </w:rPr>
              <w:t>The mean colonoscope withdrawal time from the caecum is 6 minutes or greater for procedures where no polypectomy performed.</w:t>
            </w:r>
          </w:p>
          <w:p w:rsidR="00075C15" w:rsidRDefault="00075C15" w:rsidP="00075C15">
            <w:pPr>
              <w:pStyle w:val="ListParagraph"/>
              <w:numPr>
                <w:ilvl w:val="0"/>
                <w:numId w:val="38"/>
              </w:numPr>
              <w:spacing w:before="0"/>
              <w:ind w:left="720"/>
              <w:rPr>
                <w:sz w:val="16"/>
              </w:rPr>
            </w:pPr>
            <w:r>
              <w:rPr>
                <w:sz w:val="16"/>
              </w:rPr>
              <w:t>The polyp detection rate for each proceduralist is in line with the average polyp detection rate being documented in participants proceeding to colonoscopy within the WDHB BSP.</w:t>
            </w:r>
          </w:p>
          <w:p w:rsidR="00075C15" w:rsidRDefault="00075C15" w:rsidP="004400C2">
            <w:pPr>
              <w:pStyle w:val="ListParagraph"/>
              <w:spacing w:before="0"/>
              <w:ind w:left="360" w:hanging="360"/>
              <w:rPr>
                <w:sz w:val="16"/>
              </w:rPr>
            </w:pPr>
          </w:p>
          <w:p w:rsidR="00075C15" w:rsidRDefault="00075C15" w:rsidP="004400C2">
            <w:pPr>
              <w:pStyle w:val="ListParagraph"/>
              <w:spacing w:before="0"/>
              <w:ind w:left="360" w:hanging="360"/>
              <w:rPr>
                <w:sz w:val="16"/>
              </w:rPr>
            </w:pPr>
          </w:p>
          <w:p w:rsidR="005A5A41" w:rsidRDefault="005A5A41" w:rsidP="004400C2">
            <w:pPr>
              <w:pStyle w:val="ListParagraph"/>
              <w:spacing w:before="0"/>
              <w:ind w:left="360" w:hanging="360"/>
              <w:rPr>
                <w:sz w:val="16"/>
              </w:rPr>
            </w:pPr>
          </w:p>
          <w:p w:rsidR="00075C15" w:rsidRDefault="00075C15" w:rsidP="00075C15">
            <w:pPr>
              <w:pStyle w:val="ListParagraph"/>
              <w:numPr>
                <w:ilvl w:val="0"/>
                <w:numId w:val="38"/>
              </w:numPr>
              <w:spacing w:before="0"/>
              <w:ind w:left="360"/>
              <w:rPr>
                <w:sz w:val="16"/>
              </w:rPr>
            </w:pPr>
            <w:r>
              <w:rPr>
                <w:sz w:val="16"/>
              </w:rPr>
              <w:t>The Adenoma detection rate for each proceduralist performing colonoscopy within the BSP should be ≥ than 35% of screening colonoscopies.</w:t>
            </w:r>
          </w:p>
          <w:p w:rsidR="00075C15" w:rsidRDefault="00075C15" w:rsidP="004400C2">
            <w:pPr>
              <w:pStyle w:val="ListParagraph"/>
              <w:spacing w:before="0"/>
              <w:ind w:left="360" w:hanging="360"/>
              <w:rPr>
                <w:sz w:val="16"/>
              </w:rPr>
            </w:pPr>
          </w:p>
          <w:p w:rsidR="00075C15" w:rsidRDefault="00075C15" w:rsidP="00075C15">
            <w:pPr>
              <w:pStyle w:val="ListParagraph"/>
              <w:numPr>
                <w:ilvl w:val="0"/>
                <w:numId w:val="38"/>
              </w:numPr>
              <w:spacing w:before="0"/>
              <w:ind w:left="360"/>
              <w:rPr>
                <w:sz w:val="16"/>
              </w:rPr>
            </w:pPr>
            <w:r>
              <w:rPr>
                <w:sz w:val="16"/>
              </w:rPr>
              <w:t>The rate of polyp recovery for pathological examination for each proceduralist is more than 95% for polyps &gt; 5mm.</w:t>
            </w:r>
          </w:p>
          <w:p w:rsidR="00075C15" w:rsidRDefault="00075C15" w:rsidP="004400C2">
            <w:pPr>
              <w:pStyle w:val="ListParagraph"/>
              <w:spacing w:before="0"/>
              <w:ind w:left="360" w:hanging="360"/>
              <w:rPr>
                <w:sz w:val="16"/>
              </w:rPr>
            </w:pPr>
          </w:p>
          <w:p w:rsidR="00075C15" w:rsidRDefault="00075C15" w:rsidP="00075C15">
            <w:pPr>
              <w:pStyle w:val="ListParagraph"/>
              <w:numPr>
                <w:ilvl w:val="0"/>
                <w:numId w:val="39"/>
              </w:numPr>
              <w:spacing w:before="0"/>
              <w:ind w:left="360"/>
              <w:rPr>
                <w:sz w:val="16"/>
              </w:rPr>
            </w:pPr>
            <w:r>
              <w:rPr>
                <w:sz w:val="16"/>
              </w:rPr>
              <w:t xml:space="preserve">All colonoscopists working in BSP receive performance feedback from the BSP Endoscopy Lead and these records are available for external audit as de-identified data. </w:t>
            </w:r>
          </w:p>
          <w:p w:rsidR="00075C15" w:rsidRDefault="00075C15" w:rsidP="004400C2">
            <w:pPr>
              <w:pStyle w:val="ListParagraph"/>
              <w:spacing w:before="0"/>
              <w:ind w:left="360" w:hanging="360"/>
              <w:rPr>
                <w:sz w:val="16"/>
              </w:rPr>
            </w:pPr>
          </w:p>
          <w:p w:rsidR="00075C15" w:rsidRDefault="00075C15" w:rsidP="00075C15">
            <w:pPr>
              <w:pStyle w:val="ListParagraph"/>
              <w:numPr>
                <w:ilvl w:val="0"/>
                <w:numId w:val="39"/>
              </w:numPr>
              <w:spacing w:before="0"/>
              <w:ind w:left="360"/>
              <w:rPr>
                <w:sz w:val="16"/>
              </w:rPr>
            </w:pPr>
            <w:r>
              <w:rPr>
                <w:sz w:val="16"/>
              </w:rPr>
              <w:t>100% of screening colonoscopy results are reported in the BSP IT system.</w:t>
            </w:r>
          </w:p>
          <w:p w:rsidR="00075C15" w:rsidRDefault="00075C15" w:rsidP="004400C2">
            <w:pPr>
              <w:pStyle w:val="ListParagraph"/>
              <w:spacing w:before="0"/>
              <w:ind w:left="360"/>
              <w:rPr>
                <w:sz w:val="16"/>
              </w:rPr>
            </w:pPr>
          </w:p>
          <w:p w:rsidR="00B27A5B" w:rsidRDefault="00B27A5B" w:rsidP="00B27A5B">
            <w:pPr>
              <w:pStyle w:val="ListParagraph"/>
              <w:numPr>
                <w:ilvl w:val="0"/>
                <w:numId w:val="39"/>
              </w:numPr>
              <w:spacing w:before="0"/>
              <w:ind w:left="360"/>
              <w:rPr>
                <w:sz w:val="16"/>
              </w:rPr>
            </w:pPr>
            <w:r>
              <w:rPr>
                <w:sz w:val="16"/>
              </w:rPr>
              <w:t>100% of screening colonoscopy results are reported within 5 working days after the procedure to the participant’s nominated GP and the BSP IT system.</w:t>
            </w:r>
          </w:p>
          <w:p w:rsidR="00B27A5B" w:rsidRDefault="00B27A5B" w:rsidP="00B27A5B">
            <w:pPr>
              <w:pStyle w:val="ListParagraph"/>
              <w:spacing w:before="0"/>
              <w:rPr>
                <w:sz w:val="16"/>
              </w:rPr>
            </w:pPr>
          </w:p>
          <w:p w:rsidR="00B27A5B" w:rsidRDefault="00B27A5B" w:rsidP="00B27A5B">
            <w:pPr>
              <w:pStyle w:val="ListParagraph"/>
              <w:numPr>
                <w:ilvl w:val="0"/>
                <w:numId w:val="39"/>
              </w:numPr>
              <w:spacing w:before="0"/>
              <w:ind w:left="360"/>
              <w:rPr>
                <w:sz w:val="16"/>
              </w:rPr>
            </w:pPr>
            <w:r>
              <w:rPr>
                <w:sz w:val="16"/>
              </w:rPr>
              <w:t xml:space="preserve">All adverse events and hospital admissions within 30 days following performance of colonoscopy within the BSP are documented and appropriately reviewed at a minimum of monthly intervals. The severity categorisation, root cause analysis and information to be recorded as per the United Kingdom NHS Quality Assurance Guidelines for Colonoscopy. </w:t>
            </w:r>
          </w:p>
          <w:p w:rsidR="00B27A5B" w:rsidRDefault="00B27A5B" w:rsidP="00B27A5B">
            <w:pPr>
              <w:pStyle w:val="ListParagraph"/>
              <w:spacing w:before="0"/>
              <w:ind w:left="360"/>
              <w:rPr>
                <w:sz w:val="16"/>
              </w:rPr>
            </w:pPr>
          </w:p>
          <w:p w:rsidR="00B27A5B" w:rsidRDefault="00B27A5B" w:rsidP="00B27A5B">
            <w:pPr>
              <w:pStyle w:val="ListParagraph"/>
              <w:numPr>
                <w:ilvl w:val="0"/>
                <w:numId w:val="39"/>
              </w:numPr>
              <w:spacing w:before="0"/>
              <w:ind w:left="360"/>
              <w:rPr>
                <w:sz w:val="16"/>
              </w:rPr>
            </w:pPr>
            <w:r>
              <w:rPr>
                <w:sz w:val="16"/>
              </w:rPr>
              <w:t>These records are available for external audit as de-identified data.</w:t>
            </w:r>
          </w:p>
          <w:p w:rsidR="00B27A5B" w:rsidRDefault="00B27A5B" w:rsidP="00B27A5B">
            <w:pPr>
              <w:pStyle w:val="ListParagraph"/>
              <w:spacing w:before="0"/>
              <w:ind w:left="360"/>
              <w:rPr>
                <w:sz w:val="16"/>
              </w:rPr>
            </w:pPr>
          </w:p>
          <w:p w:rsidR="00B27A5B" w:rsidRDefault="00B27A5B" w:rsidP="00B27A5B">
            <w:pPr>
              <w:spacing w:before="0"/>
              <w:ind w:left="0"/>
              <w:rPr>
                <w:sz w:val="16"/>
              </w:rPr>
            </w:pPr>
          </w:p>
          <w:p w:rsidR="00B27A5B" w:rsidRDefault="00B27A5B" w:rsidP="00B27A5B">
            <w:pPr>
              <w:spacing w:before="0"/>
              <w:ind w:left="0"/>
              <w:rPr>
                <w:sz w:val="16"/>
              </w:rPr>
            </w:pPr>
          </w:p>
          <w:p w:rsidR="00B27A5B" w:rsidRDefault="00B27A5B" w:rsidP="00B27A5B">
            <w:pPr>
              <w:spacing w:before="0"/>
              <w:ind w:left="0"/>
              <w:rPr>
                <w:sz w:val="16"/>
              </w:rPr>
            </w:pPr>
          </w:p>
          <w:p w:rsidR="00B27A5B" w:rsidRDefault="00B27A5B" w:rsidP="00B27A5B">
            <w:pPr>
              <w:pStyle w:val="ListParagraph"/>
              <w:numPr>
                <w:ilvl w:val="0"/>
                <w:numId w:val="39"/>
              </w:numPr>
              <w:spacing w:before="0"/>
              <w:ind w:left="360"/>
              <w:rPr>
                <w:sz w:val="16"/>
              </w:rPr>
            </w:pPr>
            <w:r w:rsidRPr="00B27A5B">
              <w:rPr>
                <w:sz w:val="16"/>
              </w:rPr>
              <w:t>The rate of intermediate or serious colonoscopic complications relating to perforation or bleeding requiring hospital admission within 30 days of performance of colonoscopy within the BSP shall be &lt;10:1000 colonoscopies ( this number is based on the fact that 70% of participants proceeding to colonoscopy in the WDHB Pilot have a lesion detected).</w:t>
            </w:r>
          </w:p>
        </w:tc>
        <w:tc>
          <w:tcPr>
            <w:tcW w:w="3401" w:type="dxa"/>
            <w:tcBorders>
              <w:top w:val="single" w:sz="4" w:space="0" w:color="000000"/>
              <w:left w:val="single" w:sz="4" w:space="0" w:color="000000"/>
              <w:bottom w:val="single" w:sz="4" w:space="0" w:color="auto"/>
              <w:right w:val="single" w:sz="4" w:space="0" w:color="auto"/>
            </w:tcBorders>
            <w:shd w:val="clear" w:color="auto" w:fill="FFFFFF"/>
          </w:tcPr>
          <w:p w:rsidR="00075C15" w:rsidRDefault="00075C15" w:rsidP="00075C15">
            <w:pPr>
              <w:pStyle w:val="ListParagraph"/>
              <w:numPr>
                <w:ilvl w:val="0"/>
                <w:numId w:val="39"/>
              </w:numPr>
              <w:spacing w:before="0"/>
              <w:ind w:left="360"/>
              <w:rPr>
                <w:sz w:val="16"/>
              </w:rPr>
            </w:pPr>
            <w:r>
              <w:rPr>
                <w:sz w:val="16"/>
              </w:rPr>
              <w:t>Yes.</w:t>
            </w:r>
          </w:p>
          <w:p w:rsidR="00075C15" w:rsidRDefault="00075C15" w:rsidP="004400C2">
            <w:pPr>
              <w:pStyle w:val="ListParagraph"/>
              <w:ind w:left="360" w:hanging="360"/>
              <w:rPr>
                <w:sz w:val="16"/>
              </w:rPr>
            </w:pPr>
          </w:p>
          <w:p w:rsidR="00075C15" w:rsidRDefault="00075C15" w:rsidP="004400C2">
            <w:pPr>
              <w:pStyle w:val="ListParagraph"/>
              <w:ind w:left="360" w:hanging="360"/>
              <w:rPr>
                <w:sz w:val="16"/>
              </w:rPr>
            </w:pPr>
          </w:p>
          <w:p w:rsidR="00075C15" w:rsidRDefault="00075C15" w:rsidP="004400C2">
            <w:pPr>
              <w:pStyle w:val="ListParagraph"/>
              <w:ind w:left="360" w:hanging="360"/>
              <w:rPr>
                <w:sz w:val="16"/>
              </w:rPr>
            </w:pPr>
          </w:p>
          <w:p w:rsidR="00075C15" w:rsidRDefault="00075C15" w:rsidP="00075C15">
            <w:pPr>
              <w:pStyle w:val="ListParagraph"/>
              <w:numPr>
                <w:ilvl w:val="0"/>
                <w:numId w:val="39"/>
              </w:numPr>
              <w:spacing w:before="0"/>
              <w:ind w:left="360"/>
              <w:rPr>
                <w:sz w:val="16"/>
              </w:rPr>
            </w:pPr>
            <w:r>
              <w:rPr>
                <w:sz w:val="16"/>
              </w:rPr>
              <w:t>Yes – noted by all relevant stakeholders.</w:t>
            </w:r>
          </w:p>
          <w:p w:rsidR="00075C15" w:rsidRDefault="00075C15" w:rsidP="004400C2">
            <w:pPr>
              <w:pStyle w:val="ListParagraph"/>
              <w:ind w:left="360" w:hanging="360"/>
              <w:rPr>
                <w:sz w:val="16"/>
              </w:rPr>
            </w:pPr>
          </w:p>
          <w:p w:rsidR="00075C15" w:rsidRDefault="00075C15" w:rsidP="004400C2">
            <w:pPr>
              <w:pStyle w:val="ListParagraph"/>
              <w:ind w:left="360" w:hanging="360"/>
              <w:rPr>
                <w:sz w:val="16"/>
              </w:rPr>
            </w:pPr>
          </w:p>
          <w:p w:rsidR="00075C15" w:rsidRDefault="00075C15" w:rsidP="004400C2">
            <w:pPr>
              <w:pStyle w:val="ListParagraph"/>
              <w:ind w:left="360" w:hanging="360"/>
              <w:rPr>
                <w:sz w:val="16"/>
              </w:rPr>
            </w:pPr>
          </w:p>
          <w:p w:rsidR="00075C15" w:rsidRDefault="00075C15" w:rsidP="004400C2">
            <w:pPr>
              <w:pStyle w:val="ListParagraph"/>
              <w:ind w:left="360" w:hanging="360"/>
              <w:rPr>
                <w:sz w:val="16"/>
              </w:rPr>
            </w:pPr>
          </w:p>
          <w:p w:rsidR="00075C15" w:rsidRDefault="00075C15" w:rsidP="004400C2">
            <w:pPr>
              <w:pStyle w:val="ListParagraph"/>
              <w:ind w:left="360" w:hanging="360"/>
              <w:rPr>
                <w:sz w:val="16"/>
              </w:rPr>
            </w:pPr>
          </w:p>
          <w:p w:rsidR="00075C15" w:rsidRPr="000A5013" w:rsidRDefault="00075C15" w:rsidP="00075C15">
            <w:pPr>
              <w:pStyle w:val="ListParagraph"/>
              <w:numPr>
                <w:ilvl w:val="0"/>
                <w:numId w:val="39"/>
              </w:numPr>
              <w:spacing w:before="0"/>
              <w:ind w:left="360"/>
              <w:rPr>
                <w:sz w:val="16"/>
              </w:rPr>
            </w:pPr>
            <w:r w:rsidRPr="000A5013">
              <w:rPr>
                <w:sz w:val="16"/>
              </w:rPr>
              <w:t>BSP Coordination Centre confirmed this standard is met</w:t>
            </w:r>
          </w:p>
          <w:p w:rsidR="00075C15" w:rsidRPr="000A5013" w:rsidRDefault="00075C15" w:rsidP="004400C2">
            <w:pPr>
              <w:pStyle w:val="ListParagraph"/>
              <w:ind w:left="360" w:hanging="360"/>
              <w:rPr>
                <w:sz w:val="16"/>
              </w:rPr>
            </w:pPr>
          </w:p>
          <w:p w:rsidR="00075C15" w:rsidRPr="000A5013" w:rsidRDefault="00075C15" w:rsidP="00075C15">
            <w:pPr>
              <w:pStyle w:val="ListParagraph"/>
              <w:numPr>
                <w:ilvl w:val="0"/>
                <w:numId w:val="39"/>
              </w:numPr>
              <w:spacing w:before="0"/>
              <w:ind w:left="360"/>
              <w:rPr>
                <w:sz w:val="16"/>
              </w:rPr>
            </w:pPr>
            <w:r w:rsidRPr="000A5013">
              <w:rPr>
                <w:sz w:val="16"/>
              </w:rPr>
              <w:t>BSP Coordination Centre confirmed this standard is met.</w:t>
            </w:r>
          </w:p>
          <w:p w:rsidR="00075C15" w:rsidRDefault="00075C15" w:rsidP="004400C2">
            <w:pPr>
              <w:pStyle w:val="ListParagraph"/>
              <w:ind w:left="360" w:hanging="360"/>
              <w:rPr>
                <w:sz w:val="16"/>
              </w:rPr>
            </w:pPr>
          </w:p>
          <w:p w:rsidR="00075C15" w:rsidRDefault="00075C15" w:rsidP="004400C2">
            <w:pPr>
              <w:pStyle w:val="ListParagraph"/>
              <w:ind w:left="360" w:hanging="360"/>
              <w:rPr>
                <w:sz w:val="16"/>
              </w:rPr>
            </w:pPr>
          </w:p>
          <w:p w:rsidR="00075C15" w:rsidRDefault="00075C15" w:rsidP="00075C15">
            <w:pPr>
              <w:pStyle w:val="ListParagraph"/>
              <w:numPr>
                <w:ilvl w:val="0"/>
                <w:numId w:val="39"/>
              </w:numPr>
              <w:spacing w:before="0"/>
              <w:ind w:left="360"/>
              <w:rPr>
                <w:sz w:val="16"/>
              </w:rPr>
            </w:pPr>
            <w:r>
              <w:rPr>
                <w:sz w:val="16"/>
              </w:rPr>
              <w:t>The number of polyps detected is recorded on the Register within the participant’s record, but the name of the proceduralist is not captured. An aggregated polyp detection rate number is therefore used for the proceduralists as a group.</w:t>
            </w:r>
          </w:p>
          <w:p w:rsidR="00075C15" w:rsidRDefault="00075C15" w:rsidP="004400C2">
            <w:pPr>
              <w:spacing w:before="0"/>
              <w:ind w:left="0"/>
              <w:rPr>
                <w:sz w:val="16"/>
              </w:rPr>
            </w:pPr>
          </w:p>
          <w:p w:rsidR="00075C15" w:rsidRDefault="00075C15" w:rsidP="00075C15">
            <w:pPr>
              <w:pStyle w:val="ListParagraph"/>
              <w:numPr>
                <w:ilvl w:val="0"/>
                <w:numId w:val="39"/>
              </w:numPr>
              <w:spacing w:before="0"/>
              <w:ind w:left="360"/>
              <w:rPr>
                <w:sz w:val="16"/>
              </w:rPr>
            </w:pPr>
            <w:r w:rsidRPr="000A5013">
              <w:rPr>
                <w:sz w:val="16"/>
              </w:rPr>
              <w:t xml:space="preserve">BSP Coordination Centre confirmed </w:t>
            </w:r>
            <w:r>
              <w:rPr>
                <w:sz w:val="16"/>
              </w:rPr>
              <w:t>this standard is met on the aggregated data.</w:t>
            </w:r>
          </w:p>
          <w:p w:rsidR="00075C15" w:rsidRDefault="00075C15" w:rsidP="004400C2">
            <w:pPr>
              <w:pStyle w:val="ListParagraph"/>
              <w:spacing w:before="0"/>
              <w:ind w:left="360"/>
              <w:rPr>
                <w:sz w:val="16"/>
              </w:rPr>
            </w:pPr>
          </w:p>
          <w:p w:rsidR="00075C15" w:rsidRDefault="00075C15" w:rsidP="00075C15">
            <w:pPr>
              <w:pStyle w:val="ListParagraph"/>
              <w:numPr>
                <w:ilvl w:val="0"/>
                <w:numId w:val="39"/>
              </w:numPr>
              <w:spacing w:before="0"/>
              <w:ind w:left="360"/>
              <w:rPr>
                <w:sz w:val="16"/>
              </w:rPr>
            </w:pPr>
            <w:r w:rsidRPr="000A5013">
              <w:rPr>
                <w:sz w:val="16"/>
              </w:rPr>
              <w:t xml:space="preserve">BSP Coordination Centre confirmed </w:t>
            </w:r>
            <w:r>
              <w:rPr>
                <w:sz w:val="16"/>
              </w:rPr>
              <w:t>this standard is met on the aggregated data.</w:t>
            </w:r>
          </w:p>
          <w:p w:rsidR="00075C15" w:rsidRDefault="00075C15" w:rsidP="004400C2">
            <w:pPr>
              <w:spacing w:before="0"/>
              <w:ind w:left="0"/>
              <w:rPr>
                <w:sz w:val="16"/>
              </w:rPr>
            </w:pPr>
          </w:p>
          <w:p w:rsidR="005A5A41" w:rsidRDefault="005A5A41" w:rsidP="004400C2">
            <w:pPr>
              <w:spacing w:before="0"/>
              <w:ind w:left="0"/>
              <w:rPr>
                <w:sz w:val="16"/>
              </w:rPr>
            </w:pPr>
          </w:p>
          <w:p w:rsidR="00075C15" w:rsidRDefault="00075C15" w:rsidP="00075C15">
            <w:pPr>
              <w:pStyle w:val="ListParagraph"/>
              <w:numPr>
                <w:ilvl w:val="0"/>
                <w:numId w:val="39"/>
              </w:numPr>
              <w:spacing w:before="0"/>
              <w:ind w:left="360"/>
              <w:rPr>
                <w:sz w:val="16"/>
              </w:rPr>
            </w:pPr>
            <w:r>
              <w:rPr>
                <w:sz w:val="16"/>
              </w:rPr>
              <w:t xml:space="preserve">Yes – noted by all relevant stakeholders interviewed.  </w:t>
            </w:r>
          </w:p>
          <w:p w:rsidR="00075C15" w:rsidRDefault="00075C15" w:rsidP="004400C2">
            <w:pPr>
              <w:spacing w:before="0"/>
              <w:ind w:left="0"/>
              <w:rPr>
                <w:sz w:val="16"/>
              </w:rPr>
            </w:pPr>
          </w:p>
          <w:p w:rsidR="00075C15" w:rsidRDefault="00075C15" w:rsidP="004400C2">
            <w:pPr>
              <w:spacing w:before="0"/>
              <w:ind w:left="0"/>
              <w:rPr>
                <w:sz w:val="16"/>
              </w:rPr>
            </w:pPr>
          </w:p>
          <w:p w:rsidR="00075C15" w:rsidRDefault="00075C15" w:rsidP="004400C2">
            <w:pPr>
              <w:spacing w:before="0"/>
              <w:ind w:left="0"/>
              <w:rPr>
                <w:sz w:val="16"/>
              </w:rPr>
            </w:pPr>
          </w:p>
          <w:p w:rsidR="00075C15" w:rsidRDefault="00075C15" w:rsidP="00075C15">
            <w:pPr>
              <w:pStyle w:val="ListParagraph"/>
              <w:numPr>
                <w:ilvl w:val="0"/>
                <w:numId w:val="39"/>
              </w:numPr>
              <w:spacing w:before="0"/>
              <w:ind w:left="360"/>
              <w:rPr>
                <w:sz w:val="16"/>
              </w:rPr>
            </w:pPr>
            <w:r>
              <w:rPr>
                <w:sz w:val="16"/>
              </w:rPr>
              <w:t>100% of screening colonoscopy results are reported in the BSP IT system.</w:t>
            </w:r>
          </w:p>
          <w:p w:rsidR="00075C15" w:rsidRDefault="00075C15" w:rsidP="004400C2">
            <w:pPr>
              <w:spacing w:before="0"/>
              <w:ind w:left="0"/>
              <w:rPr>
                <w:sz w:val="16"/>
              </w:rPr>
            </w:pPr>
          </w:p>
          <w:p w:rsidR="00B27A5B" w:rsidRDefault="00B27A5B" w:rsidP="00B27A5B">
            <w:pPr>
              <w:pStyle w:val="ListParagraph"/>
              <w:numPr>
                <w:ilvl w:val="0"/>
                <w:numId w:val="39"/>
              </w:numPr>
              <w:spacing w:before="0"/>
              <w:ind w:left="360"/>
              <w:rPr>
                <w:sz w:val="16"/>
              </w:rPr>
            </w:pPr>
            <w:r>
              <w:rPr>
                <w:sz w:val="16"/>
              </w:rPr>
              <w:t>100%</w:t>
            </w:r>
            <w:r w:rsidR="005A5A41">
              <w:rPr>
                <w:sz w:val="16"/>
              </w:rPr>
              <w:t xml:space="preserve"> (</w:t>
            </w:r>
            <w:r w:rsidR="005A5A41" w:rsidRPr="000A5013">
              <w:rPr>
                <w:sz w:val="16"/>
              </w:rPr>
              <w:t>BSP Coordination Centre</w:t>
            </w:r>
            <w:r w:rsidR="005A5A41">
              <w:rPr>
                <w:sz w:val="16"/>
              </w:rPr>
              <w:t xml:space="preserve"> communication)</w:t>
            </w:r>
            <w:r>
              <w:rPr>
                <w:sz w:val="16"/>
              </w:rPr>
              <w:t>.</w:t>
            </w:r>
          </w:p>
          <w:p w:rsidR="00B27A5B" w:rsidRDefault="00B27A5B" w:rsidP="00B27A5B">
            <w:pPr>
              <w:pStyle w:val="ListParagraph"/>
              <w:rPr>
                <w:sz w:val="16"/>
              </w:rPr>
            </w:pPr>
          </w:p>
          <w:p w:rsidR="00B27A5B" w:rsidRDefault="00B27A5B" w:rsidP="00B27A5B">
            <w:pPr>
              <w:spacing w:before="0"/>
              <w:rPr>
                <w:sz w:val="16"/>
              </w:rPr>
            </w:pPr>
          </w:p>
          <w:p w:rsidR="00B27A5B" w:rsidRDefault="00B27A5B" w:rsidP="00B27A5B">
            <w:pPr>
              <w:spacing w:before="0"/>
              <w:rPr>
                <w:sz w:val="16"/>
              </w:rPr>
            </w:pPr>
          </w:p>
          <w:p w:rsidR="00B27A5B" w:rsidRDefault="00B27A5B" w:rsidP="00B27A5B">
            <w:pPr>
              <w:pStyle w:val="ListParagraph"/>
              <w:numPr>
                <w:ilvl w:val="0"/>
                <w:numId w:val="39"/>
              </w:numPr>
              <w:spacing w:before="0"/>
              <w:ind w:left="360"/>
              <w:rPr>
                <w:sz w:val="16"/>
              </w:rPr>
            </w:pPr>
            <w:r>
              <w:rPr>
                <w:sz w:val="16"/>
              </w:rPr>
              <w:t xml:space="preserve">Yes - The BSP adheres to the National Policy for the Management of Healthcare Incidents.  All incidents are entered onto the RiskPro system and managed, recorded and reported according to a standardised process. </w:t>
            </w:r>
          </w:p>
          <w:p w:rsidR="00B27A5B" w:rsidRDefault="00B27A5B" w:rsidP="00B27A5B">
            <w:pPr>
              <w:pStyle w:val="ListParagraph"/>
              <w:spacing w:before="0"/>
              <w:rPr>
                <w:sz w:val="16"/>
              </w:rPr>
            </w:pPr>
          </w:p>
          <w:p w:rsidR="00B27A5B" w:rsidRDefault="00B27A5B" w:rsidP="00B27A5B">
            <w:pPr>
              <w:pStyle w:val="ListParagraph"/>
              <w:spacing w:before="0"/>
              <w:rPr>
                <w:sz w:val="16"/>
              </w:rPr>
            </w:pPr>
          </w:p>
          <w:p w:rsidR="00B27A5B" w:rsidRDefault="00B27A5B" w:rsidP="00B27A5B">
            <w:pPr>
              <w:pStyle w:val="ListParagraph"/>
              <w:spacing w:before="0"/>
              <w:rPr>
                <w:sz w:val="16"/>
              </w:rPr>
            </w:pPr>
          </w:p>
          <w:p w:rsidR="00B27A5B" w:rsidRDefault="00B27A5B" w:rsidP="00B27A5B">
            <w:pPr>
              <w:pStyle w:val="ListParagraph"/>
              <w:numPr>
                <w:ilvl w:val="0"/>
                <w:numId w:val="39"/>
              </w:numPr>
              <w:spacing w:before="0"/>
              <w:ind w:left="360"/>
              <w:rPr>
                <w:sz w:val="16"/>
              </w:rPr>
            </w:pPr>
            <w:r>
              <w:rPr>
                <w:sz w:val="16"/>
              </w:rPr>
              <w:t>All hospital admissions reported to the Ministry of Health in de-identified form. A record of participant readmission review is retained at endoscopy unit. Adverse events reviews, subsequent reports and other actions are undertaken in accordance with Ministry of Health requirements of DHBs for management and reporting of adverse events.</w:t>
            </w:r>
          </w:p>
          <w:p w:rsidR="00B27A5B" w:rsidRDefault="00B27A5B" w:rsidP="00B27A5B">
            <w:pPr>
              <w:pStyle w:val="ListParagraph"/>
              <w:spacing w:before="0"/>
              <w:ind w:left="360"/>
              <w:rPr>
                <w:sz w:val="16"/>
              </w:rPr>
            </w:pPr>
          </w:p>
          <w:p w:rsidR="00B27A5B" w:rsidRDefault="00B27A5B" w:rsidP="00B27A5B">
            <w:pPr>
              <w:pStyle w:val="ListParagraph"/>
              <w:numPr>
                <w:ilvl w:val="0"/>
                <w:numId w:val="39"/>
              </w:numPr>
              <w:spacing w:before="0"/>
              <w:ind w:left="360"/>
              <w:rPr>
                <w:sz w:val="16"/>
              </w:rPr>
            </w:pPr>
            <w:r>
              <w:rPr>
                <w:sz w:val="16"/>
              </w:rPr>
              <w:t xml:space="preserve">Perforation or bleeding </w:t>
            </w:r>
            <w:r w:rsidRPr="00C35729">
              <w:rPr>
                <w:sz w:val="16"/>
              </w:rPr>
              <w:t>3.</w:t>
            </w:r>
            <w:r w:rsidRPr="0026686C">
              <w:rPr>
                <w:sz w:val="16"/>
              </w:rPr>
              <w:t>3 per 1000</w:t>
            </w:r>
          </w:p>
          <w:p w:rsidR="00B27A5B" w:rsidRDefault="005A5A41" w:rsidP="00B27A5B">
            <w:pPr>
              <w:pStyle w:val="ListParagraph"/>
              <w:numPr>
                <w:ilvl w:val="0"/>
                <w:numId w:val="39"/>
              </w:numPr>
              <w:spacing w:before="0"/>
              <w:ind w:left="360"/>
              <w:rPr>
                <w:sz w:val="16"/>
              </w:rPr>
            </w:pPr>
            <w:r>
              <w:rPr>
                <w:sz w:val="16"/>
              </w:rPr>
              <w:t>Other events not</w:t>
            </w:r>
            <w:r w:rsidR="00B27A5B">
              <w:rPr>
                <w:sz w:val="16"/>
              </w:rPr>
              <w:t xml:space="preserve"> perforation or bleeding 0.3 per 1000</w:t>
            </w:r>
          </w:p>
          <w:p w:rsidR="00B27A5B" w:rsidRPr="00625437" w:rsidRDefault="00B27A5B" w:rsidP="004400C2">
            <w:pPr>
              <w:spacing w:before="0"/>
              <w:ind w:left="0"/>
              <w:rPr>
                <w:sz w:val="16"/>
              </w:rPr>
            </w:pPr>
          </w:p>
        </w:tc>
      </w:tr>
      <w:tr w:rsidR="00075C1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rFonts w:cs="Arial"/>
                <w:sz w:val="16"/>
              </w:rPr>
            </w:pPr>
            <w:r>
              <w:rPr>
                <w:rFonts w:cs="Arial"/>
                <w:sz w:val="16"/>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Alternative Investigation</w:t>
            </w:r>
          </w:p>
          <w:p w:rsidR="00075C15" w:rsidRDefault="00075C15" w:rsidP="004400C2">
            <w:pPr>
              <w:spacing w:before="0"/>
              <w:ind w:left="0"/>
              <w:rPr>
                <w:sz w:val="16"/>
              </w:rPr>
            </w:pPr>
            <w:r>
              <w:rPr>
                <w:sz w:val="16"/>
              </w:rPr>
              <w:t>QS 7</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0" w:type="dxa"/>
            </w:tcMar>
          </w:tcPr>
          <w:p w:rsidR="00075C15" w:rsidRDefault="00075C15" w:rsidP="00075C15">
            <w:pPr>
              <w:pStyle w:val="ListParagraph"/>
              <w:numPr>
                <w:ilvl w:val="0"/>
                <w:numId w:val="40"/>
              </w:numPr>
              <w:spacing w:before="0"/>
              <w:ind w:left="360"/>
              <w:rPr>
                <w:sz w:val="16"/>
              </w:rPr>
            </w:pPr>
            <w:r>
              <w:rPr>
                <w:sz w:val="16"/>
              </w:rPr>
              <w:t>95% of participants requiring a CTC are given a date for the procedure on the day they are deemed unfit for colonoscopy or within 5 working days if pre-assessment is carried out by telephone.</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075C15">
            <w:pPr>
              <w:pStyle w:val="ListParagraph"/>
              <w:numPr>
                <w:ilvl w:val="0"/>
                <w:numId w:val="40"/>
              </w:numPr>
              <w:spacing w:before="0"/>
              <w:ind w:left="360"/>
              <w:rPr>
                <w:sz w:val="16"/>
              </w:rPr>
            </w:pPr>
            <w:r>
              <w:rPr>
                <w:sz w:val="16"/>
              </w:rPr>
              <w:t>95% of participants requiring CTC receive the examination within 20 working days (4 weeks) from the day they are deemed unfit for colonoscopy/pre-assessment.</w:t>
            </w:r>
          </w:p>
          <w:p w:rsidR="00075C15" w:rsidRDefault="00075C15" w:rsidP="004400C2">
            <w:pPr>
              <w:pStyle w:val="ListParagraph"/>
              <w:spacing w:before="0"/>
              <w:ind w:left="360"/>
              <w:rPr>
                <w:sz w:val="16"/>
              </w:rPr>
            </w:pPr>
          </w:p>
          <w:p w:rsidR="00075C15" w:rsidRDefault="00075C15" w:rsidP="00075C15">
            <w:pPr>
              <w:pStyle w:val="ListParagraph"/>
              <w:numPr>
                <w:ilvl w:val="0"/>
                <w:numId w:val="40"/>
              </w:numPr>
              <w:spacing w:before="0"/>
              <w:ind w:left="360"/>
              <w:rPr>
                <w:sz w:val="16"/>
              </w:rPr>
            </w:pPr>
            <w:r>
              <w:rPr>
                <w:sz w:val="16"/>
              </w:rPr>
              <w:t>95% of radiological reports will be sent to GPs within 7 working days from completion of the examination.</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075C15">
            <w:pPr>
              <w:pStyle w:val="ListParagraph"/>
              <w:numPr>
                <w:ilvl w:val="0"/>
                <w:numId w:val="40"/>
              </w:numPr>
              <w:spacing w:before="0"/>
              <w:ind w:left="360"/>
              <w:rPr>
                <w:sz w:val="16"/>
              </w:rPr>
            </w:pPr>
            <w:r>
              <w:rPr>
                <w:sz w:val="16"/>
              </w:rPr>
              <w:t xml:space="preserve">A date for CTC is offered within 5 working days of the incomplete colonoscopy. </w:t>
            </w: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4400C2">
            <w:pPr>
              <w:pStyle w:val="ListParagraph"/>
              <w:spacing w:before="0"/>
              <w:rPr>
                <w:sz w:val="16"/>
              </w:rPr>
            </w:pPr>
          </w:p>
          <w:p w:rsidR="00075C15" w:rsidRDefault="00075C15" w:rsidP="00075C15">
            <w:pPr>
              <w:pStyle w:val="ListParagraph"/>
              <w:numPr>
                <w:ilvl w:val="0"/>
                <w:numId w:val="40"/>
              </w:numPr>
              <w:spacing w:before="0"/>
              <w:ind w:left="360"/>
              <w:rPr>
                <w:sz w:val="16"/>
              </w:rPr>
            </w:pPr>
            <w:r>
              <w:rPr>
                <w:sz w:val="16"/>
              </w:rPr>
              <w:t>90% of participants will be notified of their results of all final investigations within 7 working days.</w:t>
            </w:r>
          </w:p>
          <w:p w:rsidR="00075C15" w:rsidRDefault="00075C15" w:rsidP="004400C2">
            <w:pPr>
              <w:pStyle w:val="ListParagraph"/>
              <w:spacing w:before="0"/>
              <w:ind w:left="360"/>
              <w:rPr>
                <w:sz w:val="16"/>
              </w:rPr>
            </w:pPr>
          </w:p>
          <w:p w:rsidR="00075C15" w:rsidRDefault="00075C15" w:rsidP="00075C15">
            <w:pPr>
              <w:pStyle w:val="ListParagraph"/>
              <w:numPr>
                <w:ilvl w:val="0"/>
                <w:numId w:val="40"/>
              </w:numPr>
              <w:spacing w:before="0"/>
              <w:ind w:left="360"/>
              <w:rPr>
                <w:sz w:val="16"/>
              </w:rPr>
            </w:pPr>
            <w:r>
              <w:rPr>
                <w:sz w:val="16"/>
              </w:rPr>
              <w:t>100% of providers of CTC comply with the CTC Standards as endorsed by the Royal Australian and New Zealand College of Radiologists.</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075C15" w:rsidRDefault="00075C15" w:rsidP="00075C15">
            <w:pPr>
              <w:pStyle w:val="ListParagraph"/>
              <w:numPr>
                <w:ilvl w:val="0"/>
                <w:numId w:val="40"/>
              </w:numPr>
              <w:spacing w:before="0"/>
              <w:ind w:left="360"/>
              <w:rPr>
                <w:sz w:val="16"/>
              </w:rPr>
            </w:pPr>
            <w:r>
              <w:rPr>
                <w:sz w:val="16"/>
              </w:rPr>
              <w:t xml:space="preserve">No data, but the process is that when the CNS pre-assesses and is of the view that the participant may be unsuitable for colonoscopy the Lead Colonoscopist will make a decision within 5 days and refer for CTC.  Data is not kept on whether the Radiology Department contacts the participant with an appointment within 5 days.  </w:t>
            </w:r>
          </w:p>
          <w:p w:rsidR="00075C15" w:rsidRDefault="00075C15" w:rsidP="004400C2">
            <w:pPr>
              <w:spacing w:before="0"/>
              <w:rPr>
                <w:sz w:val="16"/>
              </w:rPr>
            </w:pPr>
          </w:p>
          <w:p w:rsidR="00075C15" w:rsidRDefault="00075C15" w:rsidP="00075C15">
            <w:pPr>
              <w:pStyle w:val="ListParagraph"/>
              <w:numPr>
                <w:ilvl w:val="0"/>
                <w:numId w:val="39"/>
              </w:numPr>
              <w:spacing w:before="0"/>
              <w:ind w:left="360"/>
              <w:rPr>
                <w:sz w:val="16"/>
              </w:rPr>
            </w:pPr>
            <w:r>
              <w:rPr>
                <w:sz w:val="16"/>
              </w:rPr>
              <w:t>No data kept on this – the date of the CTC appointment is not captured on the system.</w:t>
            </w:r>
          </w:p>
          <w:p w:rsidR="00075C15" w:rsidRDefault="00075C15" w:rsidP="004400C2">
            <w:pPr>
              <w:spacing w:before="0"/>
              <w:rPr>
                <w:sz w:val="16"/>
              </w:rPr>
            </w:pPr>
          </w:p>
          <w:p w:rsidR="00075C15" w:rsidRDefault="00075C15" w:rsidP="004400C2">
            <w:pPr>
              <w:spacing w:before="0"/>
              <w:rPr>
                <w:sz w:val="16"/>
              </w:rPr>
            </w:pPr>
          </w:p>
          <w:p w:rsidR="00075C15" w:rsidRDefault="00075C15" w:rsidP="00075C15">
            <w:pPr>
              <w:pStyle w:val="ListParagraph"/>
              <w:numPr>
                <w:ilvl w:val="0"/>
                <w:numId w:val="39"/>
              </w:numPr>
              <w:spacing w:before="0"/>
              <w:ind w:left="360"/>
              <w:rPr>
                <w:sz w:val="16"/>
              </w:rPr>
            </w:pPr>
            <w:r>
              <w:rPr>
                <w:sz w:val="16"/>
              </w:rPr>
              <w:t xml:space="preserve">No data kept on this – letters not generated by the system therefore unable to report.  </w:t>
            </w:r>
          </w:p>
          <w:p w:rsidR="00075C15" w:rsidRDefault="00075C15" w:rsidP="004400C2">
            <w:pPr>
              <w:spacing w:before="0"/>
              <w:ind w:left="0"/>
              <w:rPr>
                <w:sz w:val="16"/>
              </w:rPr>
            </w:pPr>
          </w:p>
          <w:p w:rsidR="00075C15" w:rsidRDefault="00075C15" w:rsidP="004400C2">
            <w:pPr>
              <w:spacing w:before="0"/>
              <w:ind w:left="0"/>
              <w:rPr>
                <w:sz w:val="16"/>
              </w:rPr>
            </w:pPr>
          </w:p>
          <w:p w:rsidR="00075C15" w:rsidRDefault="00075C15" w:rsidP="00075C15">
            <w:pPr>
              <w:pStyle w:val="ListParagraph"/>
              <w:numPr>
                <w:ilvl w:val="0"/>
                <w:numId w:val="39"/>
              </w:numPr>
              <w:spacing w:before="0"/>
              <w:ind w:left="360"/>
              <w:rPr>
                <w:sz w:val="16"/>
              </w:rPr>
            </w:pPr>
            <w:r>
              <w:rPr>
                <w:sz w:val="16"/>
              </w:rPr>
              <w:t xml:space="preserve">In most instances the person receives the CTC on the same day or the next day.  This is not able to happen for people from a Friday afternoon list who are referred for an appointment – again. The date of the appointment is not captured on the BSP system. </w:t>
            </w:r>
          </w:p>
          <w:p w:rsidR="00075C15" w:rsidRDefault="00075C15" w:rsidP="004400C2">
            <w:pPr>
              <w:pStyle w:val="ListParagraph"/>
              <w:spacing w:before="0"/>
              <w:rPr>
                <w:sz w:val="16"/>
              </w:rPr>
            </w:pPr>
          </w:p>
          <w:p w:rsidR="00075C15" w:rsidRDefault="00075C15" w:rsidP="00075C15">
            <w:pPr>
              <w:pStyle w:val="ListParagraph"/>
              <w:numPr>
                <w:ilvl w:val="0"/>
                <w:numId w:val="39"/>
              </w:numPr>
              <w:spacing w:before="0"/>
              <w:ind w:left="360"/>
              <w:rPr>
                <w:sz w:val="16"/>
              </w:rPr>
            </w:pPr>
            <w:r>
              <w:rPr>
                <w:sz w:val="16"/>
              </w:rPr>
              <w:t>As above – letters not generated from BSP system so unable to report.</w:t>
            </w:r>
          </w:p>
          <w:p w:rsidR="00075C15" w:rsidRDefault="00075C15" w:rsidP="004400C2">
            <w:pPr>
              <w:pStyle w:val="ListParagraph"/>
              <w:spacing w:before="0"/>
              <w:rPr>
                <w:sz w:val="16"/>
              </w:rPr>
            </w:pPr>
          </w:p>
          <w:p w:rsidR="00075C15" w:rsidRDefault="00075C15" w:rsidP="00075C15">
            <w:pPr>
              <w:pStyle w:val="ListParagraph"/>
              <w:numPr>
                <w:ilvl w:val="0"/>
                <w:numId w:val="39"/>
              </w:numPr>
              <w:spacing w:before="0"/>
              <w:ind w:left="360"/>
              <w:rPr>
                <w:sz w:val="16"/>
              </w:rPr>
            </w:pPr>
            <w:r>
              <w:rPr>
                <w:sz w:val="16"/>
              </w:rPr>
              <w:t>100%.</w:t>
            </w:r>
          </w:p>
          <w:p w:rsidR="00075C15" w:rsidRDefault="00075C15" w:rsidP="004400C2">
            <w:pPr>
              <w:pStyle w:val="ListParagraph"/>
              <w:spacing w:before="0"/>
              <w:rPr>
                <w:sz w:val="16"/>
              </w:rPr>
            </w:pPr>
          </w:p>
        </w:tc>
      </w:tr>
      <w:tr w:rsidR="00075C1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Histopathology</w:t>
            </w:r>
          </w:p>
          <w:p w:rsidR="00075C15" w:rsidRDefault="00075C15" w:rsidP="004400C2">
            <w:pPr>
              <w:spacing w:before="0"/>
              <w:ind w:left="0"/>
              <w:rPr>
                <w:sz w:val="16"/>
              </w:rPr>
            </w:pPr>
            <w:r>
              <w:rPr>
                <w:sz w:val="16"/>
              </w:rPr>
              <w:t>QS 8</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 w:type="dxa"/>
              <w:bottom w:w="80" w:type="dxa"/>
              <w:right w:w="0" w:type="dxa"/>
            </w:tcMar>
          </w:tcPr>
          <w:p w:rsidR="00075C15" w:rsidRDefault="00075C15" w:rsidP="00075C15">
            <w:pPr>
              <w:pStyle w:val="ListParagraph"/>
              <w:numPr>
                <w:ilvl w:val="0"/>
                <w:numId w:val="41"/>
              </w:numPr>
              <w:spacing w:before="0"/>
              <w:ind w:left="360"/>
              <w:rPr>
                <w:sz w:val="16"/>
              </w:rPr>
            </w:pPr>
            <w:r>
              <w:rPr>
                <w:sz w:val="16"/>
              </w:rPr>
              <w:t>100% of BSP pathology specimens obtained during BSP colonoscopy or surgery are reported using BSP standardised/synoptic reports.</w:t>
            </w:r>
          </w:p>
          <w:p w:rsidR="00075C15" w:rsidRDefault="00075C15" w:rsidP="004400C2">
            <w:pPr>
              <w:pStyle w:val="ListParagraph"/>
              <w:spacing w:before="0"/>
              <w:rPr>
                <w:sz w:val="16"/>
              </w:rPr>
            </w:pPr>
          </w:p>
          <w:p w:rsidR="00075C15" w:rsidRDefault="00075C15" w:rsidP="00075C15">
            <w:pPr>
              <w:pStyle w:val="ListParagraph"/>
              <w:numPr>
                <w:ilvl w:val="0"/>
                <w:numId w:val="41"/>
              </w:numPr>
              <w:spacing w:before="0"/>
              <w:ind w:left="360"/>
              <w:rPr>
                <w:sz w:val="16"/>
              </w:rPr>
            </w:pPr>
            <w:r>
              <w:rPr>
                <w:sz w:val="16"/>
              </w:rPr>
              <w:t>95% of specimens submitted from colonoscopy are reported and relayed to the referring endoscopist/surgeon within 10 working days of receipt of the specimen in the laboratory.</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075C15" w:rsidRDefault="00075C15" w:rsidP="00075C15">
            <w:pPr>
              <w:pStyle w:val="ListParagraph"/>
              <w:numPr>
                <w:ilvl w:val="0"/>
                <w:numId w:val="39"/>
              </w:numPr>
              <w:spacing w:before="0"/>
              <w:ind w:left="360"/>
              <w:rPr>
                <w:sz w:val="16"/>
              </w:rPr>
            </w:pPr>
            <w:r>
              <w:rPr>
                <w:sz w:val="16"/>
              </w:rPr>
              <w:t>100% – this is the only report used by LabPLUS for the BSP (</w:t>
            </w:r>
            <w:r w:rsidRPr="000A5013">
              <w:rPr>
                <w:sz w:val="16"/>
              </w:rPr>
              <w:t xml:space="preserve">BSP Coordination Centre </w:t>
            </w:r>
            <w:r>
              <w:rPr>
                <w:sz w:val="16"/>
              </w:rPr>
              <w:t>communication).</w:t>
            </w:r>
          </w:p>
          <w:p w:rsidR="00075C15" w:rsidRDefault="00075C15" w:rsidP="004400C2">
            <w:pPr>
              <w:spacing w:before="0"/>
              <w:rPr>
                <w:sz w:val="16"/>
              </w:rPr>
            </w:pPr>
          </w:p>
          <w:p w:rsidR="00075C15" w:rsidRDefault="00075C15" w:rsidP="00075C15">
            <w:pPr>
              <w:pStyle w:val="ListParagraph"/>
              <w:numPr>
                <w:ilvl w:val="0"/>
                <w:numId w:val="39"/>
              </w:numPr>
              <w:spacing w:before="0"/>
              <w:ind w:left="360"/>
              <w:rPr>
                <w:sz w:val="16"/>
              </w:rPr>
            </w:pPr>
            <w:r>
              <w:rPr>
                <w:sz w:val="16"/>
              </w:rPr>
              <w:t>This standard is reported by LabPLUS to BSP as part of their quarterly contract report and has been consistently met for the period to 30 June (</w:t>
            </w:r>
            <w:r w:rsidRPr="000A5013">
              <w:rPr>
                <w:sz w:val="16"/>
              </w:rPr>
              <w:t xml:space="preserve">BSP Coordination Centre </w:t>
            </w:r>
            <w:r>
              <w:rPr>
                <w:sz w:val="16"/>
              </w:rPr>
              <w:t>communication).</w:t>
            </w:r>
          </w:p>
          <w:p w:rsidR="00075C15" w:rsidRDefault="00075C15" w:rsidP="004400C2">
            <w:pPr>
              <w:pStyle w:val="ListParagraph"/>
              <w:spacing w:before="0"/>
              <w:ind w:left="360"/>
              <w:rPr>
                <w:sz w:val="16"/>
              </w:rPr>
            </w:pPr>
          </w:p>
        </w:tc>
      </w:tr>
      <w:tr w:rsidR="00075C15" w:rsidTr="004400C2">
        <w:trPr>
          <w:cantSplit/>
          <w:trHeight w:val="350"/>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5C15" w:rsidRDefault="00075C15" w:rsidP="004400C2">
            <w:pPr>
              <w:spacing w:before="0"/>
              <w:ind w:left="0"/>
              <w:rPr>
                <w:sz w:val="16"/>
              </w:rPr>
            </w:pPr>
            <w:r>
              <w:rPr>
                <w:sz w:val="16"/>
              </w:rPr>
              <w:t>Referral Pathways</w:t>
            </w:r>
          </w:p>
          <w:p w:rsidR="00075C15" w:rsidRDefault="00075C15" w:rsidP="004400C2">
            <w:pPr>
              <w:spacing w:before="0"/>
              <w:ind w:left="0"/>
              <w:rPr>
                <w:sz w:val="16"/>
              </w:rPr>
            </w:pPr>
            <w:r>
              <w:rPr>
                <w:sz w:val="16"/>
              </w:rPr>
              <w:t>QS 9</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 w:type="dxa"/>
              <w:bottom w:w="80" w:type="dxa"/>
              <w:right w:w="0" w:type="dxa"/>
            </w:tcMar>
          </w:tcPr>
          <w:p w:rsidR="00075C15" w:rsidRDefault="00075C15" w:rsidP="00075C15">
            <w:pPr>
              <w:pStyle w:val="ListParagraph"/>
              <w:numPr>
                <w:ilvl w:val="0"/>
                <w:numId w:val="31"/>
              </w:numPr>
              <w:spacing w:before="0"/>
              <w:ind w:left="360"/>
              <w:rPr>
                <w:sz w:val="16"/>
              </w:rPr>
            </w:pPr>
            <w:r>
              <w:rPr>
                <w:sz w:val="16"/>
              </w:rPr>
              <w:t>95% of BSP participants requiring clinical follow-up have been referred and seen by an appropriate consultant within 10 working days of diagnosis (2 weeks).</w:t>
            </w:r>
          </w:p>
          <w:p w:rsidR="00075C15" w:rsidRDefault="00075C15" w:rsidP="004400C2">
            <w:pPr>
              <w:spacing w:before="0"/>
              <w:rPr>
                <w:sz w:val="16"/>
              </w:rPr>
            </w:pPr>
          </w:p>
          <w:p w:rsidR="00075C15" w:rsidRDefault="00075C15" w:rsidP="004400C2">
            <w:pPr>
              <w:spacing w:before="0"/>
              <w:rPr>
                <w:sz w:val="16"/>
              </w:rPr>
            </w:pPr>
          </w:p>
          <w:p w:rsidR="00075C15" w:rsidRDefault="00075C15" w:rsidP="004400C2">
            <w:pPr>
              <w:spacing w:before="0"/>
              <w:rPr>
                <w:sz w:val="16"/>
              </w:rPr>
            </w:pPr>
          </w:p>
          <w:p w:rsidR="00075C15" w:rsidRDefault="00075C15" w:rsidP="004400C2">
            <w:pPr>
              <w:spacing w:before="0"/>
              <w:rPr>
                <w:sz w:val="16"/>
              </w:rPr>
            </w:pPr>
          </w:p>
          <w:p w:rsidR="00075C15" w:rsidRDefault="00075C15" w:rsidP="004400C2">
            <w:pPr>
              <w:spacing w:before="0"/>
              <w:rPr>
                <w:sz w:val="16"/>
              </w:rPr>
            </w:pPr>
          </w:p>
          <w:p w:rsidR="005A5A41" w:rsidRDefault="005A5A41" w:rsidP="004400C2">
            <w:pPr>
              <w:spacing w:before="0"/>
              <w:rPr>
                <w:sz w:val="16"/>
              </w:rPr>
            </w:pPr>
          </w:p>
          <w:p w:rsidR="00075C15" w:rsidRDefault="00075C15" w:rsidP="00075C15">
            <w:pPr>
              <w:pStyle w:val="ListParagraph"/>
              <w:numPr>
                <w:ilvl w:val="0"/>
                <w:numId w:val="31"/>
              </w:numPr>
              <w:spacing w:before="0"/>
              <w:ind w:left="360"/>
              <w:rPr>
                <w:sz w:val="16"/>
              </w:rPr>
            </w:pPr>
            <w:r>
              <w:rPr>
                <w:sz w:val="16"/>
              </w:rPr>
              <w:t>95% of BSP participants diagnosed with cancer are referred to the appropriate consultant for presentation at an MDM within 20 working days from diagnosis (4 weeks).</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075C15" w:rsidRPr="000A5013" w:rsidRDefault="00075C15" w:rsidP="00075C15">
            <w:pPr>
              <w:pStyle w:val="ListParagraph"/>
              <w:numPr>
                <w:ilvl w:val="0"/>
                <w:numId w:val="39"/>
              </w:numPr>
              <w:spacing w:before="0"/>
              <w:ind w:left="360"/>
              <w:rPr>
                <w:sz w:val="16"/>
              </w:rPr>
            </w:pPr>
            <w:r w:rsidRPr="000A5013">
              <w:rPr>
                <w:sz w:val="16"/>
              </w:rPr>
              <w:t>This standard has not been achieved and only 40% of participants requiring clinical follow up have an FSA within 10 days.  In mitigation of this result it should be noted that all of these participants do have what is in effect an FSA at the time of the discovery of cancer at the colonoscopy unit (BSP Coordination Centre communication).</w:t>
            </w:r>
          </w:p>
          <w:p w:rsidR="00075C15" w:rsidRPr="000A5013" w:rsidRDefault="00075C15" w:rsidP="004400C2">
            <w:pPr>
              <w:pStyle w:val="ListParagraph"/>
              <w:spacing w:before="0"/>
              <w:ind w:left="360"/>
              <w:rPr>
                <w:sz w:val="16"/>
              </w:rPr>
            </w:pPr>
          </w:p>
          <w:p w:rsidR="00075C15" w:rsidRPr="000A5013" w:rsidRDefault="00075C15" w:rsidP="00075C15">
            <w:pPr>
              <w:pStyle w:val="ListParagraph"/>
              <w:numPr>
                <w:ilvl w:val="0"/>
                <w:numId w:val="31"/>
              </w:numPr>
              <w:spacing w:before="0"/>
              <w:ind w:left="360"/>
              <w:rPr>
                <w:sz w:val="16"/>
              </w:rPr>
            </w:pPr>
            <w:r w:rsidRPr="000A5013">
              <w:rPr>
                <w:sz w:val="16"/>
              </w:rPr>
              <w:t xml:space="preserve">90% of participants diagnosed with cancer at the BSP </w:t>
            </w:r>
            <w:r w:rsidR="005A5A41">
              <w:rPr>
                <w:sz w:val="16"/>
              </w:rPr>
              <w:t>E</w:t>
            </w:r>
            <w:r w:rsidRPr="000A5013">
              <w:rPr>
                <w:sz w:val="16"/>
              </w:rPr>
              <w:t xml:space="preserve">ndoscopy </w:t>
            </w:r>
            <w:r w:rsidR="005A5A41">
              <w:rPr>
                <w:sz w:val="16"/>
              </w:rPr>
              <w:t>U</w:t>
            </w:r>
            <w:r w:rsidRPr="000A5013">
              <w:rPr>
                <w:sz w:val="16"/>
              </w:rPr>
              <w:t>nit are discussed at an MDM within 20 working days (BSP Coordination Centre communication).</w:t>
            </w:r>
          </w:p>
          <w:p w:rsidR="00075C15" w:rsidRDefault="00075C15" w:rsidP="004400C2">
            <w:pPr>
              <w:pStyle w:val="ListParagraph"/>
              <w:spacing w:before="0"/>
              <w:ind w:left="360"/>
              <w:rPr>
                <w:sz w:val="16"/>
              </w:rPr>
            </w:pPr>
          </w:p>
        </w:tc>
      </w:tr>
    </w:tbl>
    <w:p w:rsidR="00567696" w:rsidRDefault="00567696" w:rsidP="00075C15"/>
    <w:sectPr w:rsidR="00567696" w:rsidSect="00652094">
      <w:headerReference w:type="default" r:id="rId8"/>
      <w:footerReference w:type="default" r:id="rId9"/>
      <w:headerReference w:type="first" r:id="rId10"/>
      <w:footerReference w:type="first" r:id="rId11"/>
      <w:pgSz w:w="11906" w:h="16838"/>
      <w:pgMar w:top="2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94" w:rsidRDefault="00652094">
      <w:r>
        <w:separator/>
      </w:r>
    </w:p>
  </w:endnote>
  <w:endnote w:type="continuationSeparator" w:id="0">
    <w:p w:rsidR="00652094" w:rsidRDefault="0065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tham Rounded Light">
    <w:altName w:val="Cambria"/>
    <w:panose1 w:val="00000000000000000000"/>
    <w:charset w:val="00"/>
    <w:family w:val="swiss"/>
    <w:notTrueType/>
    <w:pitch w:val="default"/>
    <w:sig w:usb0="00000003" w:usb1="00000000" w:usb2="00000000" w:usb3="00000000" w:csb0="00000001" w:csb1="00000000"/>
  </w:font>
  <w:font w:name="Gotham Rounded 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94" w:rsidRDefault="00652094" w:rsidP="00372C38">
    <w:pPr>
      <w:pStyle w:val="Footer"/>
      <w:tabs>
        <w:tab w:val="right" w:pos="8789"/>
        <w:tab w:val="right" w:pos="9639"/>
      </w:tabs>
    </w:pPr>
    <w:r>
      <w:rPr>
        <w:noProof/>
        <w:lang w:eastAsia="en-NZ"/>
      </w:rPr>
      <w:drawing>
        <wp:inline distT="0" distB="0" distL="0" distR="0" wp14:anchorId="11F15396" wp14:editId="72204C33">
          <wp:extent cx="1451360" cy="446252"/>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14:anchorId="5C182EE5" wp14:editId="26CBF676">
          <wp:extent cx="1155700" cy="421005"/>
          <wp:effectExtent l="0" t="0" r="635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81792" behindDoc="1" locked="0" layoutInCell="1" allowOverlap="1" wp14:anchorId="79BADC96" wp14:editId="10AD70E3">
          <wp:simplePos x="0" y="0"/>
          <wp:positionH relativeFrom="column">
            <wp:posOffset>4970145</wp:posOffset>
          </wp:positionH>
          <wp:positionV relativeFrom="paragraph">
            <wp:posOffset>59055</wp:posOffset>
          </wp:positionV>
          <wp:extent cx="999490" cy="304800"/>
          <wp:effectExtent l="0" t="0" r="0" b="0"/>
          <wp:wrapNone/>
          <wp:docPr id="445"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sidR="00742F5A">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94" w:rsidRDefault="00652094" w:rsidP="00372C38">
    <w:pPr>
      <w:pStyle w:val="Footer"/>
      <w:tabs>
        <w:tab w:val="right" w:pos="8789"/>
        <w:tab w:val="right" w:pos="9639"/>
      </w:tabs>
    </w:pPr>
    <w:r>
      <w:rPr>
        <w:noProof/>
        <w:lang w:eastAsia="en-NZ"/>
      </w:rPr>
      <w:drawing>
        <wp:inline distT="0" distB="0" distL="0" distR="0" wp14:anchorId="68D07AD2" wp14:editId="2104B9A2">
          <wp:extent cx="1451360" cy="446252"/>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14:anchorId="4D52528B" wp14:editId="6A357E67">
          <wp:extent cx="1155700" cy="421005"/>
          <wp:effectExtent l="0" t="0" r="635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79744" behindDoc="1" locked="0" layoutInCell="1" allowOverlap="1" wp14:anchorId="213F2271" wp14:editId="0E19078B">
          <wp:simplePos x="0" y="0"/>
          <wp:positionH relativeFrom="column">
            <wp:posOffset>4970145</wp:posOffset>
          </wp:positionH>
          <wp:positionV relativeFrom="paragraph">
            <wp:posOffset>59055</wp:posOffset>
          </wp:positionV>
          <wp:extent cx="999490" cy="304800"/>
          <wp:effectExtent l="0" t="0" r="0" b="0"/>
          <wp:wrapNone/>
          <wp:docPr id="448"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94" w:rsidRDefault="00652094" w:rsidP="005719A8">
      <w:pPr>
        <w:spacing w:before="0"/>
        <w:ind w:left="0"/>
      </w:pPr>
      <w:r>
        <w:separator/>
      </w:r>
    </w:p>
  </w:footnote>
  <w:footnote w:type="continuationSeparator" w:id="0">
    <w:p w:rsidR="00652094" w:rsidRDefault="00652094">
      <w:r>
        <w:continuationSeparator/>
      </w:r>
    </w:p>
  </w:footnote>
  <w:footnote w:id="1">
    <w:p w:rsidR="00652094" w:rsidRDefault="00652094" w:rsidP="00075C15">
      <w:pPr>
        <w:pStyle w:val="FootnoteText"/>
      </w:pPr>
      <w:r>
        <w:rPr>
          <w:rStyle w:val="FootnoteReference"/>
        </w:rPr>
        <w:footnoteRef/>
      </w:r>
      <w:r>
        <w:t xml:space="preserve"> </w:t>
      </w:r>
      <w:r>
        <w:tab/>
        <w:t xml:space="preserve">Source </w:t>
      </w:r>
      <w:hyperlink r:id="rId1" w:history="1">
        <w:r w:rsidRPr="00FE25A5">
          <w:rPr>
            <w:rStyle w:val="Hyperlink"/>
          </w:rPr>
          <w:t>http://www.health.govt.nz/our-work/diseases-and-conditions/cancer-programme/bowel-cancer-programme/bowel-screening-pilot/bowel-screening-pilot-monitoring-indicators</w:t>
        </w:r>
      </w:hyperlink>
      <w:r>
        <w:t xml:space="preserve"> accessed 27 July 2016.</w:t>
      </w:r>
    </w:p>
  </w:footnote>
  <w:footnote w:id="2">
    <w:p w:rsidR="00652094" w:rsidRDefault="00652094" w:rsidP="00075C15">
      <w:pPr>
        <w:pStyle w:val="FootnoteText"/>
      </w:pPr>
      <w:r>
        <w:rPr>
          <w:rStyle w:val="FootnoteReference"/>
        </w:rPr>
        <w:footnoteRef/>
      </w:r>
      <w:r>
        <w:t xml:space="preserve"> </w:t>
      </w:r>
      <w:r>
        <w:tab/>
      </w:r>
      <w:r w:rsidRPr="0026686C">
        <w:t>W</w:t>
      </w:r>
      <w:r>
        <w:t>aitemat</w:t>
      </w:r>
      <w:r>
        <w:rPr>
          <w:rFonts w:cs="Arial"/>
        </w:rPr>
        <w:t>ā</w:t>
      </w:r>
      <w:r>
        <w:t xml:space="preserve"> District Health Board (</w:t>
      </w:r>
      <w:r w:rsidRPr="0026686C">
        <w:t>201</w:t>
      </w:r>
      <w:r>
        <w:t>5).</w:t>
      </w:r>
    </w:p>
  </w:footnote>
  <w:footnote w:id="3">
    <w:p w:rsidR="00652094" w:rsidRDefault="00652094" w:rsidP="00075C15">
      <w:pPr>
        <w:pStyle w:val="FootnoteText"/>
      </w:pPr>
      <w:r>
        <w:rPr>
          <w:rStyle w:val="FootnoteReference"/>
        </w:rPr>
        <w:footnoteRef/>
      </w:r>
      <w:r>
        <w:t xml:space="preserve"> </w:t>
      </w:r>
      <w:r>
        <w:tab/>
        <w:t xml:space="preserve">Source </w:t>
      </w:r>
      <w:hyperlink r:id="rId2" w:history="1">
        <w:r w:rsidRPr="00FE25A5">
          <w:rPr>
            <w:rStyle w:val="Hyperlink"/>
          </w:rPr>
          <w:t>http://www.health.govt.nz/our-work/diseases-and-conditions/cancer-programme/bowel-cancer-programme/bowel-screening-pilot/bowel-screening-pilot-monitoring-indicators</w:t>
        </w:r>
      </w:hyperlink>
      <w:r>
        <w:t xml:space="preserve"> accessed 27 July 2016.</w:t>
      </w:r>
    </w:p>
  </w:footnote>
  <w:footnote w:id="4">
    <w:p w:rsidR="00652094" w:rsidRDefault="00652094" w:rsidP="00075C15">
      <w:pPr>
        <w:pStyle w:val="FootnoteText"/>
      </w:pPr>
      <w:r>
        <w:rPr>
          <w:rStyle w:val="FootnoteReference"/>
        </w:rPr>
        <w:footnoteRef/>
      </w:r>
      <w:r>
        <w:t xml:space="preserve"> </w:t>
      </w:r>
      <w:r>
        <w:tab/>
      </w:r>
      <w:r w:rsidRPr="0026686C">
        <w:t>W</w:t>
      </w:r>
      <w:r>
        <w:t>aitemat</w:t>
      </w:r>
      <w:r>
        <w:rPr>
          <w:rFonts w:cs="Arial"/>
        </w:rPr>
        <w:t>ā</w:t>
      </w:r>
      <w:r>
        <w:t xml:space="preserve"> District Health Board (</w:t>
      </w:r>
      <w:r w:rsidRPr="0026686C">
        <w:t>2013</w:t>
      </w:r>
      <w:r>
        <w:t>, 2015)</w:t>
      </w:r>
      <w:r w:rsidRPr="0026686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94" w:rsidRPr="00815767" w:rsidRDefault="00652094" w:rsidP="00815767">
    <w:pPr>
      <w:pStyle w:val="Header"/>
      <w:rPr>
        <w:b/>
      </w:rPr>
    </w:pPr>
    <w:r>
      <w:rPr>
        <w:b/>
      </w:rPr>
      <w:t>final evaluation report of the bowel screening pilot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94" w:rsidRPr="0073502B" w:rsidRDefault="00652094" w:rsidP="0073502B">
    <w:pPr>
      <w:pStyle w:val="Header"/>
    </w:pPr>
    <w:r>
      <w:rPr>
        <w:b/>
      </w:rPr>
      <w:t>final evaluation report of the bowel screening pilot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22E40D8"/>
    <w:multiLevelType w:val="hybridMultilevel"/>
    <w:tmpl w:val="E0C8F1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ms Rm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ms Rm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ms Rmn" w:hint="default"/>
      </w:rPr>
    </w:lvl>
    <w:lvl w:ilvl="8" w:tplc="14090005">
      <w:start w:val="1"/>
      <w:numFmt w:val="bullet"/>
      <w:lvlText w:val=""/>
      <w:lvlJc w:val="left"/>
      <w:pPr>
        <w:ind w:left="6480" w:hanging="360"/>
      </w:pPr>
      <w:rPr>
        <w:rFonts w:ascii="Wingdings" w:hAnsi="Wingdings" w:hint="default"/>
      </w:rPr>
    </w:lvl>
  </w:abstractNum>
  <w:abstractNum w:abstractNumId="2">
    <w:nsid w:val="0E8B1EEF"/>
    <w:multiLevelType w:val="hybridMultilevel"/>
    <w:tmpl w:val="DD7A2CBC"/>
    <w:lvl w:ilvl="0" w:tplc="E152ACF2">
      <w:start w:val="1"/>
      <w:numFmt w:val="bullet"/>
      <w:lvlText w:val="­"/>
      <w:lvlJc w:val="left"/>
      <w:pPr>
        <w:ind w:left="1800" w:hanging="360"/>
      </w:pPr>
      <w:rPr>
        <w:rFonts w:ascii="Courier New" w:hAnsi="Courier New"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146E01DB"/>
    <w:multiLevelType w:val="hybridMultilevel"/>
    <w:tmpl w:val="BD0022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7751CC1"/>
    <w:multiLevelType w:val="hybridMultilevel"/>
    <w:tmpl w:val="87FE9928"/>
    <w:lvl w:ilvl="0" w:tplc="1AE4135E">
      <w:start w:val="1"/>
      <w:numFmt w:val="bullet"/>
      <w:lvlText w:val="•"/>
      <w:lvlJc w:val="left"/>
      <w:pPr>
        <w:tabs>
          <w:tab w:val="num" w:pos="720"/>
        </w:tabs>
        <w:ind w:left="720" w:hanging="360"/>
      </w:pPr>
      <w:rPr>
        <w:rFonts w:ascii="Arial" w:hAnsi="Arial" w:hint="default"/>
      </w:rPr>
    </w:lvl>
    <w:lvl w:ilvl="1" w:tplc="43707B52" w:tentative="1">
      <w:start w:val="1"/>
      <w:numFmt w:val="bullet"/>
      <w:lvlText w:val="•"/>
      <w:lvlJc w:val="left"/>
      <w:pPr>
        <w:tabs>
          <w:tab w:val="num" w:pos="1440"/>
        </w:tabs>
        <w:ind w:left="1440" w:hanging="360"/>
      </w:pPr>
      <w:rPr>
        <w:rFonts w:ascii="Arial" w:hAnsi="Arial" w:hint="default"/>
      </w:rPr>
    </w:lvl>
    <w:lvl w:ilvl="2" w:tplc="98D84350">
      <w:start w:val="1319"/>
      <w:numFmt w:val="bullet"/>
      <w:lvlText w:val="–"/>
      <w:lvlJc w:val="left"/>
      <w:pPr>
        <w:tabs>
          <w:tab w:val="num" w:pos="2160"/>
        </w:tabs>
        <w:ind w:left="2160" w:hanging="360"/>
      </w:pPr>
      <w:rPr>
        <w:rFonts w:ascii="Calibri" w:hAnsi="Calibri" w:hint="default"/>
      </w:rPr>
    </w:lvl>
    <w:lvl w:ilvl="3" w:tplc="B9962A1E" w:tentative="1">
      <w:start w:val="1"/>
      <w:numFmt w:val="bullet"/>
      <w:lvlText w:val="•"/>
      <w:lvlJc w:val="left"/>
      <w:pPr>
        <w:tabs>
          <w:tab w:val="num" w:pos="2880"/>
        </w:tabs>
        <w:ind w:left="2880" w:hanging="360"/>
      </w:pPr>
      <w:rPr>
        <w:rFonts w:ascii="Arial" w:hAnsi="Arial" w:hint="default"/>
      </w:rPr>
    </w:lvl>
    <w:lvl w:ilvl="4" w:tplc="293C2E36" w:tentative="1">
      <w:start w:val="1"/>
      <w:numFmt w:val="bullet"/>
      <w:lvlText w:val="•"/>
      <w:lvlJc w:val="left"/>
      <w:pPr>
        <w:tabs>
          <w:tab w:val="num" w:pos="3600"/>
        </w:tabs>
        <w:ind w:left="3600" w:hanging="360"/>
      </w:pPr>
      <w:rPr>
        <w:rFonts w:ascii="Arial" w:hAnsi="Arial" w:hint="default"/>
      </w:rPr>
    </w:lvl>
    <w:lvl w:ilvl="5" w:tplc="58C261EA" w:tentative="1">
      <w:start w:val="1"/>
      <w:numFmt w:val="bullet"/>
      <w:lvlText w:val="•"/>
      <w:lvlJc w:val="left"/>
      <w:pPr>
        <w:tabs>
          <w:tab w:val="num" w:pos="4320"/>
        </w:tabs>
        <w:ind w:left="4320" w:hanging="360"/>
      </w:pPr>
      <w:rPr>
        <w:rFonts w:ascii="Arial" w:hAnsi="Arial" w:hint="default"/>
      </w:rPr>
    </w:lvl>
    <w:lvl w:ilvl="6" w:tplc="E636553A" w:tentative="1">
      <w:start w:val="1"/>
      <w:numFmt w:val="bullet"/>
      <w:lvlText w:val="•"/>
      <w:lvlJc w:val="left"/>
      <w:pPr>
        <w:tabs>
          <w:tab w:val="num" w:pos="5040"/>
        </w:tabs>
        <w:ind w:left="5040" w:hanging="360"/>
      </w:pPr>
      <w:rPr>
        <w:rFonts w:ascii="Arial" w:hAnsi="Arial" w:hint="default"/>
      </w:rPr>
    </w:lvl>
    <w:lvl w:ilvl="7" w:tplc="22CA1C06" w:tentative="1">
      <w:start w:val="1"/>
      <w:numFmt w:val="bullet"/>
      <w:lvlText w:val="•"/>
      <w:lvlJc w:val="left"/>
      <w:pPr>
        <w:tabs>
          <w:tab w:val="num" w:pos="5760"/>
        </w:tabs>
        <w:ind w:left="5760" w:hanging="360"/>
      </w:pPr>
      <w:rPr>
        <w:rFonts w:ascii="Arial" w:hAnsi="Arial" w:hint="default"/>
      </w:rPr>
    </w:lvl>
    <w:lvl w:ilvl="8" w:tplc="6B4A60CE" w:tentative="1">
      <w:start w:val="1"/>
      <w:numFmt w:val="bullet"/>
      <w:lvlText w:val="•"/>
      <w:lvlJc w:val="left"/>
      <w:pPr>
        <w:tabs>
          <w:tab w:val="num" w:pos="6480"/>
        </w:tabs>
        <w:ind w:left="6480" w:hanging="360"/>
      </w:pPr>
      <w:rPr>
        <w:rFonts w:ascii="Arial" w:hAnsi="Arial" w:hint="default"/>
      </w:rPr>
    </w:lvl>
  </w:abstractNum>
  <w:abstractNum w:abstractNumId="5">
    <w:nsid w:val="18F51FF4"/>
    <w:multiLevelType w:val="singleLevel"/>
    <w:tmpl w:val="32487A30"/>
    <w:lvl w:ilvl="0">
      <w:start w:val="1"/>
      <w:numFmt w:val="bullet"/>
      <w:pStyle w:val="Bullet"/>
      <w:lvlText w:val=""/>
      <w:lvlJc w:val="left"/>
      <w:pPr>
        <w:tabs>
          <w:tab w:val="num" w:pos="1134"/>
        </w:tabs>
        <w:ind w:left="1134" w:hanging="567"/>
      </w:pPr>
      <w:rPr>
        <w:rFonts w:ascii="Wingdings" w:hAnsi="Wingdings" w:hint="default"/>
        <w:sz w:val="12"/>
      </w:rPr>
    </w:lvl>
  </w:abstractNum>
  <w:abstractNum w:abstractNumId="6">
    <w:nsid w:val="20366885"/>
    <w:multiLevelType w:val="multilevel"/>
    <w:tmpl w:val="F1420996"/>
    <w:lvl w:ilvl="0">
      <w:start w:val="1"/>
      <w:numFmt w:val="none"/>
      <w:pStyle w:val="Numtext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7">
    <w:nsid w:val="2601264E"/>
    <w:multiLevelType w:val="multilevel"/>
    <w:tmpl w:val="824E8FC4"/>
    <w:lvl w:ilvl="0">
      <w:start w:val="1"/>
      <w:numFmt w:val="decimal"/>
      <w:lvlText w:val="%1."/>
      <w:lvlJc w:val="left"/>
      <w:pPr>
        <w:tabs>
          <w:tab w:val="num" w:pos="927"/>
        </w:tabs>
        <w:ind w:left="927" w:hanging="360"/>
      </w:pPr>
      <w:rPr>
        <w:rFonts w:cs="Times New Roman"/>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287"/>
        </w:tabs>
        <w:ind w:left="1287" w:hanging="72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8">
    <w:nsid w:val="27F928BD"/>
    <w:multiLevelType w:val="hybridMultilevel"/>
    <w:tmpl w:val="8DF80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497351"/>
    <w:multiLevelType w:val="hybridMultilevel"/>
    <w:tmpl w:val="79227A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AC73E3C"/>
    <w:multiLevelType w:val="hybridMultilevel"/>
    <w:tmpl w:val="78BEB6A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nsid w:val="2DA662A1"/>
    <w:multiLevelType w:val="hybridMultilevel"/>
    <w:tmpl w:val="35A2D9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31276587"/>
    <w:multiLevelType w:val="hybridMultilevel"/>
    <w:tmpl w:val="ED7667E6"/>
    <w:lvl w:ilvl="0" w:tplc="1409000F">
      <w:start w:val="1"/>
      <w:numFmt w:val="decimal"/>
      <w:lvlText w:val="%1."/>
      <w:lvlJc w:val="left"/>
      <w:pPr>
        <w:ind w:left="1069" w:hanging="360"/>
      </w:pPr>
      <w:rPr>
        <w:rFonts w:cs="Times New Roman"/>
      </w:rPr>
    </w:lvl>
    <w:lvl w:ilvl="1" w:tplc="14090003">
      <w:start w:val="1"/>
      <w:numFmt w:val="bullet"/>
      <w:lvlText w:val="o"/>
      <w:lvlJc w:val="left"/>
      <w:pPr>
        <w:ind w:left="1789" w:hanging="360"/>
      </w:pPr>
      <w:rPr>
        <w:rFonts w:ascii="Courier New" w:hAnsi="Courier New" w:cs="Times New Roman"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Times New Roman"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Times New Roman" w:hint="default"/>
      </w:rPr>
    </w:lvl>
    <w:lvl w:ilvl="8" w:tplc="14090005">
      <w:start w:val="1"/>
      <w:numFmt w:val="bullet"/>
      <w:lvlText w:val=""/>
      <w:lvlJc w:val="left"/>
      <w:pPr>
        <w:ind w:left="6829" w:hanging="360"/>
      </w:pPr>
      <w:rPr>
        <w:rFonts w:ascii="Wingdings" w:hAnsi="Wingdings" w:hint="default"/>
      </w:rPr>
    </w:lvl>
  </w:abstractNum>
  <w:abstractNum w:abstractNumId="13">
    <w:nsid w:val="35F538C8"/>
    <w:multiLevelType w:val="singleLevel"/>
    <w:tmpl w:val="04FC9F52"/>
    <w:lvl w:ilvl="0">
      <w:start w:val="1"/>
      <w:numFmt w:val="bullet"/>
      <w:pStyle w:val="TableBullet"/>
      <w:lvlText w:val=""/>
      <w:lvlJc w:val="left"/>
      <w:pPr>
        <w:tabs>
          <w:tab w:val="num" w:pos="284"/>
        </w:tabs>
        <w:ind w:left="284" w:hanging="284"/>
      </w:pPr>
      <w:rPr>
        <w:rFonts w:ascii="Wingdings" w:hAnsi="Wingdings" w:hint="default"/>
        <w:sz w:val="12"/>
        <w:szCs w:val="12"/>
      </w:rPr>
    </w:lvl>
  </w:abstractNum>
  <w:abstractNum w:abstractNumId="14">
    <w:nsid w:val="3FB365F1"/>
    <w:multiLevelType w:val="singleLevel"/>
    <w:tmpl w:val="64825B68"/>
    <w:lvl w:ilvl="0">
      <w:start w:val="1"/>
      <w:numFmt w:val="bullet"/>
      <w:pStyle w:val="BoxBullet"/>
      <w:lvlText w:val=""/>
      <w:lvlJc w:val="left"/>
      <w:pPr>
        <w:tabs>
          <w:tab w:val="num" w:pos="1134"/>
        </w:tabs>
        <w:ind w:left="1134" w:hanging="283"/>
      </w:pPr>
      <w:rPr>
        <w:rFonts w:ascii="Wingdings" w:hAnsi="Wingdings" w:hint="default"/>
        <w:sz w:val="12"/>
        <w:szCs w:val="12"/>
      </w:rPr>
    </w:lvl>
  </w:abstractNum>
  <w:abstractNum w:abstractNumId="15">
    <w:nsid w:val="45411F9D"/>
    <w:multiLevelType w:val="hybridMultilevel"/>
    <w:tmpl w:val="1D709F22"/>
    <w:lvl w:ilvl="0" w:tplc="14090005">
      <w:start w:val="1"/>
      <w:numFmt w:val="bullet"/>
      <w:lvlText w:val=""/>
      <w:lvlJc w:val="left"/>
      <w:pPr>
        <w:ind w:left="720" w:hanging="360"/>
      </w:pPr>
      <w:rPr>
        <w:rFonts w:ascii="Wingdings" w:hAnsi="Wingdings" w:hint="default"/>
      </w:rPr>
    </w:lvl>
    <w:lvl w:ilvl="1" w:tplc="E152ACF2">
      <w:start w:val="1"/>
      <w:numFmt w:val="bullet"/>
      <w:lvlText w:val="­"/>
      <w:lvlJc w:val="left"/>
      <w:pPr>
        <w:ind w:left="5322"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E152ACF2">
      <w:start w:val="1"/>
      <w:numFmt w:val="bullet"/>
      <w:lvlText w:val="­"/>
      <w:lvlJc w:val="left"/>
      <w:pPr>
        <w:ind w:left="2880" w:hanging="360"/>
      </w:pPr>
      <w:rPr>
        <w:rFonts w:ascii="Courier New" w:hAnsi="Courier New" w:hint="default"/>
      </w:rPr>
    </w:lvl>
    <w:lvl w:ilvl="4" w:tplc="14090003">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4647EA"/>
    <w:multiLevelType w:val="hybridMultilevel"/>
    <w:tmpl w:val="9DBCA3BC"/>
    <w:lvl w:ilvl="0" w:tplc="14090005">
      <w:start w:val="1"/>
      <w:numFmt w:val="bullet"/>
      <w:pStyle w:val="List8"/>
      <w:lvlText w:val=""/>
      <w:lvlJc w:val="left"/>
      <w:pPr>
        <w:ind w:left="360" w:hanging="360"/>
      </w:pPr>
      <w:rPr>
        <w:rFonts w:ascii="Wingdings" w:hAnsi="Wingdings" w:hint="default"/>
      </w:rPr>
    </w:lvl>
    <w:lvl w:ilvl="1" w:tplc="E152ACF2">
      <w:start w:val="1"/>
      <w:numFmt w:val="bullet"/>
      <w:lvlText w:val="­"/>
      <w:lvlJc w:val="left"/>
      <w:pPr>
        <w:ind w:left="1080" w:hanging="360"/>
      </w:pPr>
      <w:rPr>
        <w:rFonts w:ascii="Courier New" w:hAnsi="Courier New" w:hint="default"/>
      </w:rPr>
    </w:lvl>
    <w:lvl w:ilvl="2" w:tplc="E152ACF2">
      <w:start w:val="1"/>
      <w:numFmt w:val="bullet"/>
      <w:lvlText w:val="­"/>
      <w:lvlJc w:val="left"/>
      <w:pPr>
        <w:ind w:left="1800" w:hanging="360"/>
      </w:pPr>
      <w:rPr>
        <w:rFonts w:ascii="Courier New" w:hAnsi="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FC323FE"/>
    <w:multiLevelType w:val="hybridMultilevel"/>
    <w:tmpl w:val="FFF2A2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4FE54E2F"/>
    <w:multiLevelType w:val="hybridMultilevel"/>
    <w:tmpl w:val="6D468B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51711FCF"/>
    <w:multiLevelType w:val="hybridMultilevel"/>
    <w:tmpl w:val="4AF61C50"/>
    <w:lvl w:ilvl="0" w:tplc="994A2B2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232121C"/>
    <w:multiLevelType w:val="hybridMultilevel"/>
    <w:tmpl w:val="F038554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Tms Rm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Tms Rmn"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Tms Rmn"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77E4B3B"/>
    <w:multiLevelType w:val="hybridMultilevel"/>
    <w:tmpl w:val="7AB843B8"/>
    <w:lvl w:ilvl="0" w:tplc="14090005">
      <w:start w:val="1"/>
      <w:numFmt w:val="bullet"/>
      <w:lvlText w:val=""/>
      <w:lvlJc w:val="left"/>
      <w:pPr>
        <w:ind w:left="2771" w:hanging="360"/>
      </w:pPr>
      <w:rPr>
        <w:rFonts w:ascii="Wingdings" w:hAnsi="Wingdings" w:hint="default"/>
      </w:rPr>
    </w:lvl>
    <w:lvl w:ilvl="1" w:tplc="E152ACF2">
      <w:start w:val="1"/>
      <w:numFmt w:val="bullet"/>
      <w:lvlText w:val="­"/>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Tms Rmn"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Tms Rmn" w:hint="default"/>
      </w:rPr>
    </w:lvl>
    <w:lvl w:ilvl="8" w:tplc="14090005" w:tentative="1">
      <w:start w:val="1"/>
      <w:numFmt w:val="bullet"/>
      <w:lvlText w:val=""/>
      <w:lvlJc w:val="left"/>
      <w:pPr>
        <w:ind w:left="7189" w:hanging="360"/>
      </w:pPr>
      <w:rPr>
        <w:rFonts w:ascii="Wingdings" w:hAnsi="Wingdings" w:hint="default"/>
      </w:rPr>
    </w:lvl>
  </w:abstractNum>
  <w:abstractNum w:abstractNumId="22">
    <w:nsid w:val="5892271C"/>
    <w:multiLevelType w:val="hybridMultilevel"/>
    <w:tmpl w:val="577453B0"/>
    <w:lvl w:ilvl="0" w:tplc="99049B0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625119D4"/>
    <w:multiLevelType w:val="hybridMultilevel"/>
    <w:tmpl w:val="08761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63575E80"/>
    <w:multiLevelType w:val="hybridMultilevel"/>
    <w:tmpl w:val="2A849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5E3AB9"/>
    <w:multiLevelType w:val="singleLevel"/>
    <w:tmpl w:val="695C6584"/>
    <w:lvl w:ilvl="0">
      <w:start w:val="1"/>
      <w:numFmt w:val="bullet"/>
      <w:pStyle w:val="Dash"/>
      <w:lvlText w:val="–"/>
      <w:lvlJc w:val="left"/>
      <w:pPr>
        <w:tabs>
          <w:tab w:val="num" w:pos="567"/>
        </w:tabs>
        <w:ind w:left="567" w:hanging="567"/>
      </w:pPr>
      <w:rPr>
        <w:rFonts w:ascii="Times New Roman" w:hAnsi="Times New Roman" w:hint="default"/>
        <w:sz w:val="24"/>
      </w:rPr>
    </w:lvl>
  </w:abstractNum>
  <w:abstractNum w:abstractNumId="26">
    <w:nsid w:val="6A9E7A90"/>
    <w:multiLevelType w:val="hybridMultilevel"/>
    <w:tmpl w:val="824E495E"/>
    <w:lvl w:ilvl="0" w:tplc="0409000F">
      <w:start w:val="1"/>
      <w:numFmt w:val="decimal"/>
      <w:lvlText w:val="%1."/>
      <w:lvlJc w:val="left"/>
      <w:pPr>
        <w:tabs>
          <w:tab w:val="num" w:pos="5040"/>
        </w:tabs>
        <w:ind w:left="5040" w:hanging="360"/>
      </w:p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7">
    <w:nsid w:val="6BB975EE"/>
    <w:multiLevelType w:val="hybridMultilevel"/>
    <w:tmpl w:val="D0EEC020"/>
    <w:lvl w:ilvl="0" w:tplc="1FB6CD9E">
      <w:start w:val="1"/>
      <w:numFmt w:val="bullet"/>
      <w:lvlText w:val=""/>
      <w:lvlJc w:val="left"/>
      <w:pPr>
        <w:ind w:left="1800" w:hanging="360"/>
      </w:pPr>
      <w:rPr>
        <w:rFonts w:ascii="Wingdings" w:hAnsi="Wingdings"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28">
    <w:nsid w:val="74122D00"/>
    <w:multiLevelType w:val="hybridMultilevel"/>
    <w:tmpl w:val="0A2A4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CD3529"/>
    <w:multiLevelType w:val="hybridMultilevel"/>
    <w:tmpl w:val="46B620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nsid w:val="7D9B0031"/>
    <w:multiLevelType w:val="hybridMultilevel"/>
    <w:tmpl w:val="319A56D4"/>
    <w:lvl w:ilvl="0" w:tplc="E152ACF2">
      <w:start w:val="1"/>
      <w:numFmt w:val="bullet"/>
      <w:lvlText w:val="­"/>
      <w:lvlJc w:val="left"/>
      <w:pPr>
        <w:ind w:left="1494" w:hanging="360"/>
      </w:pPr>
      <w:rPr>
        <w:rFonts w:ascii="Courier New" w:hAnsi="Courier New" w:hint="default"/>
      </w:rPr>
    </w:lvl>
    <w:lvl w:ilvl="1" w:tplc="E152ACF2">
      <w:start w:val="1"/>
      <w:numFmt w:val="bullet"/>
      <w:lvlText w:val="­"/>
      <w:lvlJc w:val="left"/>
      <w:pPr>
        <w:ind w:left="6096" w:hanging="360"/>
      </w:pPr>
      <w:rPr>
        <w:rFonts w:ascii="Courier New" w:hAnsi="Courier New" w:hint="default"/>
      </w:rPr>
    </w:lvl>
    <w:lvl w:ilvl="2" w:tplc="14090005">
      <w:start w:val="1"/>
      <w:numFmt w:val="bullet"/>
      <w:lvlText w:val=""/>
      <w:lvlJc w:val="left"/>
      <w:pPr>
        <w:ind w:left="2934" w:hanging="360"/>
      </w:pPr>
      <w:rPr>
        <w:rFonts w:ascii="Wingdings" w:hAnsi="Wingdings" w:hint="default"/>
      </w:rPr>
    </w:lvl>
    <w:lvl w:ilvl="3" w:tplc="E152ACF2">
      <w:start w:val="1"/>
      <w:numFmt w:val="bullet"/>
      <w:lvlText w:val="­"/>
      <w:lvlJc w:val="left"/>
      <w:pPr>
        <w:ind w:left="3654" w:hanging="360"/>
      </w:pPr>
      <w:rPr>
        <w:rFonts w:ascii="Courier New" w:hAnsi="Courier New" w:hint="default"/>
      </w:rPr>
    </w:lvl>
    <w:lvl w:ilvl="4" w:tplc="14090003">
      <w:start w:val="1"/>
      <w:numFmt w:val="bullet"/>
      <w:lvlText w:val="o"/>
      <w:lvlJc w:val="left"/>
      <w:pPr>
        <w:ind w:left="4374" w:hanging="360"/>
      </w:pPr>
      <w:rPr>
        <w:rFonts w:ascii="Courier New" w:hAnsi="Courier New" w:cs="Tms Rmn"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Tms Rmn" w:hint="default"/>
      </w:rPr>
    </w:lvl>
    <w:lvl w:ilvl="8" w:tplc="14090005" w:tentative="1">
      <w:start w:val="1"/>
      <w:numFmt w:val="bullet"/>
      <w:lvlText w:val=""/>
      <w:lvlJc w:val="left"/>
      <w:pPr>
        <w:ind w:left="7254" w:hanging="360"/>
      </w:pPr>
      <w:rPr>
        <w:rFonts w:ascii="Wingdings" w:hAnsi="Wingdings" w:hint="default"/>
      </w:rPr>
    </w:lvl>
  </w:abstractNum>
  <w:abstractNum w:abstractNumId="31">
    <w:nsid w:val="7F203C25"/>
    <w:multiLevelType w:val="hybridMultilevel"/>
    <w:tmpl w:val="9D44AA9E"/>
    <w:lvl w:ilvl="0" w:tplc="14090013">
      <w:start w:val="1"/>
      <w:numFmt w:val="upperRoman"/>
      <w:lvlText w:val="%1."/>
      <w:lvlJc w:val="right"/>
      <w:pPr>
        <w:ind w:left="720" w:hanging="360"/>
      </w:pPr>
    </w:lvl>
    <w:lvl w:ilvl="1" w:tplc="14090013">
      <w:start w:val="1"/>
      <w:numFmt w:val="upperRoman"/>
      <w:lvlText w:val="%2."/>
      <w:lvlJc w:val="righ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25"/>
  </w:num>
  <w:num w:numId="5">
    <w:abstractNumId w:val="5"/>
  </w:num>
  <w:num w:numId="6">
    <w:abstractNumId w:val="21"/>
  </w:num>
  <w:num w:numId="7">
    <w:abstractNumId w:val="15"/>
  </w:num>
  <w:num w:numId="8">
    <w:abstractNumId w:val="7"/>
  </w:num>
  <w:num w:numId="9">
    <w:abstractNumId w:val="26"/>
  </w:num>
  <w:num w:numId="10">
    <w:abstractNumId w:val="16"/>
  </w:num>
  <w:num w:numId="11">
    <w:abstractNumId w:val="20"/>
  </w:num>
  <w:num w:numId="12">
    <w:abstractNumId w:val="9"/>
  </w:num>
  <w:num w:numId="13">
    <w:abstractNumId w:val="27"/>
  </w:num>
  <w:num w:numId="14">
    <w:abstractNumId w:val="2"/>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31"/>
  </w:num>
  <w:num w:numId="18">
    <w:abstractNumId w:val="4"/>
  </w:num>
  <w:num w:numId="19">
    <w:abstractNumId w:val="6"/>
  </w:num>
  <w:num w:numId="20">
    <w:abstractNumId w:val="16"/>
  </w:num>
  <w:num w:numId="21">
    <w:abstractNumId w:val="30"/>
  </w:num>
  <w:num w:numId="22">
    <w:abstractNumId w:val="28"/>
  </w:num>
  <w:num w:numId="23">
    <w:abstractNumId w:val="24"/>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6"/>
  </w:num>
  <w:num w:numId="31">
    <w:abstractNumId w:val="1"/>
  </w:num>
  <w:num w:numId="32">
    <w:abstractNumId w:val="8"/>
  </w:num>
  <w:num w:numId="33">
    <w:abstractNumId w:val="22"/>
  </w:num>
  <w:num w:numId="34">
    <w:abstractNumId w:val="19"/>
  </w:num>
  <w:num w:numId="35">
    <w:abstractNumId w:val="11"/>
  </w:num>
  <w:num w:numId="36">
    <w:abstractNumId w:val="3"/>
  </w:num>
  <w:num w:numId="37">
    <w:abstractNumId w:val="23"/>
  </w:num>
  <w:num w:numId="38">
    <w:abstractNumId w:val="10"/>
  </w:num>
  <w:num w:numId="39">
    <w:abstractNumId w:val="17"/>
  </w:num>
  <w:num w:numId="40">
    <w:abstractNumId w:val="29"/>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9"/>
    <w:rsid w:val="00000B51"/>
    <w:rsid w:val="00000DF9"/>
    <w:rsid w:val="0000354C"/>
    <w:rsid w:val="000061EE"/>
    <w:rsid w:val="00010154"/>
    <w:rsid w:val="000104FD"/>
    <w:rsid w:val="00015152"/>
    <w:rsid w:val="000201AA"/>
    <w:rsid w:val="00020A02"/>
    <w:rsid w:val="0002437F"/>
    <w:rsid w:val="00026D7C"/>
    <w:rsid w:val="00027442"/>
    <w:rsid w:val="0003082A"/>
    <w:rsid w:val="0004037C"/>
    <w:rsid w:val="00045FD3"/>
    <w:rsid w:val="000477B3"/>
    <w:rsid w:val="000500B8"/>
    <w:rsid w:val="00052376"/>
    <w:rsid w:val="00055491"/>
    <w:rsid w:val="0005735F"/>
    <w:rsid w:val="0006194C"/>
    <w:rsid w:val="00061FCE"/>
    <w:rsid w:val="00065B33"/>
    <w:rsid w:val="00066B3E"/>
    <w:rsid w:val="00066E0B"/>
    <w:rsid w:val="0006735F"/>
    <w:rsid w:val="00067468"/>
    <w:rsid w:val="000707EE"/>
    <w:rsid w:val="00072E49"/>
    <w:rsid w:val="0007332E"/>
    <w:rsid w:val="00073559"/>
    <w:rsid w:val="00075C15"/>
    <w:rsid w:val="00077C56"/>
    <w:rsid w:val="000802AF"/>
    <w:rsid w:val="00083BDD"/>
    <w:rsid w:val="00086547"/>
    <w:rsid w:val="000873B6"/>
    <w:rsid w:val="0009325B"/>
    <w:rsid w:val="00097EB6"/>
    <w:rsid w:val="000A00B8"/>
    <w:rsid w:val="000A173E"/>
    <w:rsid w:val="000A246E"/>
    <w:rsid w:val="000A27FF"/>
    <w:rsid w:val="000B6A0F"/>
    <w:rsid w:val="000B6C46"/>
    <w:rsid w:val="000C25E9"/>
    <w:rsid w:val="000C596F"/>
    <w:rsid w:val="000C7FCF"/>
    <w:rsid w:val="000D0353"/>
    <w:rsid w:val="000D0491"/>
    <w:rsid w:val="000D11C6"/>
    <w:rsid w:val="000D2864"/>
    <w:rsid w:val="000D5A64"/>
    <w:rsid w:val="000D5D2A"/>
    <w:rsid w:val="000D6104"/>
    <w:rsid w:val="000D67FA"/>
    <w:rsid w:val="000D6F6F"/>
    <w:rsid w:val="000D7DB1"/>
    <w:rsid w:val="000D7F64"/>
    <w:rsid w:val="000E0E57"/>
    <w:rsid w:val="000E11AD"/>
    <w:rsid w:val="000E59D8"/>
    <w:rsid w:val="000E7234"/>
    <w:rsid w:val="000E763C"/>
    <w:rsid w:val="000F11E3"/>
    <w:rsid w:val="000F11FA"/>
    <w:rsid w:val="000F21AD"/>
    <w:rsid w:val="000F2C25"/>
    <w:rsid w:val="000F2E64"/>
    <w:rsid w:val="000F4435"/>
    <w:rsid w:val="0010093B"/>
    <w:rsid w:val="00100EE3"/>
    <w:rsid w:val="0010150B"/>
    <w:rsid w:val="001029B0"/>
    <w:rsid w:val="00113547"/>
    <w:rsid w:val="00114392"/>
    <w:rsid w:val="00117DFB"/>
    <w:rsid w:val="00125223"/>
    <w:rsid w:val="00125448"/>
    <w:rsid w:val="00127BDC"/>
    <w:rsid w:val="00127DF9"/>
    <w:rsid w:val="00130B45"/>
    <w:rsid w:val="0013173C"/>
    <w:rsid w:val="00137702"/>
    <w:rsid w:val="001423A0"/>
    <w:rsid w:val="0014248D"/>
    <w:rsid w:val="00142B38"/>
    <w:rsid w:val="00147013"/>
    <w:rsid w:val="00147DCD"/>
    <w:rsid w:val="00156BE7"/>
    <w:rsid w:val="00160648"/>
    <w:rsid w:val="00162140"/>
    <w:rsid w:val="00164FE6"/>
    <w:rsid w:val="00165169"/>
    <w:rsid w:val="00166DB0"/>
    <w:rsid w:val="00171560"/>
    <w:rsid w:val="001724FF"/>
    <w:rsid w:val="00172E76"/>
    <w:rsid w:val="00174EA9"/>
    <w:rsid w:val="00176F34"/>
    <w:rsid w:val="00195CB7"/>
    <w:rsid w:val="00196658"/>
    <w:rsid w:val="001A3EA3"/>
    <w:rsid w:val="001A4BF2"/>
    <w:rsid w:val="001A5441"/>
    <w:rsid w:val="001A7F54"/>
    <w:rsid w:val="001B017C"/>
    <w:rsid w:val="001B33C8"/>
    <w:rsid w:val="001B414F"/>
    <w:rsid w:val="001C12A1"/>
    <w:rsid w:val="001C21B8"/>
    <w:rsid w:val="001C3B89"/>
    <w:rsid w:val="001C547D"/>
    <w:rsid w:val="001C751C"/>
    <w:rsid w:val="001D3E08"/>
    <w:rsid w:val="001D669B"/>
    <w:rsid w:val="001D6D78"/>
    <w:rsid w:val="001F0FA9"/>
    <w:rsid w:val="001F107F"/>
    <w:rsid w:val="001F22DA"/>
    <w:rsid w:val="001F2C1F"/>
    <w:rsid w:val="001F3B45"/>
    <w:rsid w:val="001F7099"/>
    <w:rsid w:val="001F7B48"/>
    <w:rsid w:val="0020060C"/>
    <w:rsid w:val="002028E8"/>
    <w:rsid w:val="00206B9C"/>
    <w:rsid w:val="00206E72"/>
    <w:rsid w:val="0021090D"/>
    <w:rsid w:val="00210D43"/>
    <w:rsid w:val="00211576"/>
    <w:rsid w:val="00211FAD"/>
    <w:rsid w:val="00211FEA"/>
    <w:rsid w:val="00213444"/>
    <w:rsid w:val="002152FB"/>
    <w:rsid w:val="00215BEB"/>
    <w:rsid w:val="00217B0E"/>
    <w:rsid w:val="00223B96"/>
    <w:rsid w:val="00226E0E"/>
    <w:rsid w:val="0022715A"/>
    <w:rsid w:val="00230B26"/>
    <w:rsid w:val="002378AB"/>
    <w:rsid w:val="00241F15"/>
    <w:rsid w:val="00243566"/>
    <w:rsid w:val="00246F71"/>
    <w:rsid w:val="002503A0"/>
    <w:rsid w:val="00267F44"/>
    <w:rsid w:val="00272D16"/>
    <w:rsid w:val="00273175"/>
    <w:rsid w:val="00275322"/>
    <w:rsid w:val="0028045B"/>
    <w:rsid w:val="0028051D"/>
    <w:rsid w:val="00280E09"/>
    <w:rsid w:val="00281170"/>
    <w:rsid w:val="002834B6"/>
    <w:rsid w:val="00283ABD"/>
    <w:rsid w:val="0028403F"/>
    <w:rsid w:val="002846D6"/>
    <w:rsid w:val="002855B9"/>
    <w:rsid w:val="00285BB1"/>
    <w:rsid w:val="00286D32"/>
    <w:rsid w:val="00291697"/>
    <w:rsid w:val="00292827"/>
    <w:rsid w:val="00292CC3"/>
    <w:rsid w:val="00293577"/>
    <w:rsid w:val="00297554"/>
    <w:rsid w:val="00297D75"/>
    <w:rsid w:val="002A0B2F"/>
    <w:rsid w:val="002A21F1"/>
    <w:rsid w:val="002A24F9"/>
    <w:rsid w:val="002A4684"/>
    <w:rsid w:val="002A6792"/>
    <w:rsid w:val="002B2E83"/>
    <w:rsid w:val="002B3F34"/>
    <w:rsid w:val="002B79DC"/>
    <w:rsid w:val="002D50F7"/>
    <w:rsid w:val="002E0992"/>
    <w:rsid w:val="002E0A4E"/>
    <w:rsid w:val="002E1083"/>
    <w:rsid w:val="002E5156"/>
    <w:rsid w:val="002F189A"/>
    <w:rsid w:val="002F25FF"/>
    <w:rsid w:val="002F6579"/>
    <w:rsid w:val="002F6D61"/>
    <w:rsid w:val="003001A1"/>
    <w:rsid w:val="00300220"/>
    <w:rsid w:val="0030104E"/>
    <w:rsid w:val="00304676"/>
    <w:rsid w:val="003069F9"/>
    <w:rsid w:val="00306F07"/>
    <w:rsid w:val="003100A3"/>
    <w:rsid w:val="00313B7B"/>
    <w:rsid w:val="003160E0"/>
    <w:rsid w:val="00317895"/>
    <w:rsid w:val="00321ADE"/>
    <w:rsid w:val="00324BC3"/>
    <w:rsid w:val="0032656F"/>
    <w:rsid w:val="0032747B"/>
    <w:rsid w:val="00332377"/>
    <w:rsid w:val="0033296A"/>
    <w:rsid w:val="0033684E"/>
    <w:rsid w:val="00340A07"/>
    <w:rsid w:val="00341A89"/>
    <w:rsid w:val="00346925"/>
    <w:rsid w:val="00350D0D"/>
    <w:rsid w:val="00353BFA"/>
    <w:rsid w:val="003568BE"/>
    <w:rsid w:val="003574AC"/>
    <w:rsid w:val="00362164"/>
    <w:rsid w:val="003635A0"/>
    <w:rsid w:val="003645A2"/>
    <w:rsid w:val="0036476F"/>
    <w:rsid w:val="00367B24"/>
    <w:rsid w:val="0037087B"/>
    <w:rsid w:val="003719D5"/>
    <w:rsid w:val="00372243"/>
    <w:rsid w:val="00372C38"/>
    <w:rsid w:val="003761E7"/>
    <w:rsid w:val="0038014A"/>
    <w:rsid w:val="00381C3F"/>
    <w:rsid w:val="00390442"/>
    <w:rsid w:val="00390B51"/>
    <w:rsid w:val="0039411E"/>
    <w:rsid w:val="003A4196"/>
    <w:rsid w:val="003A48DD"/>
    <w:rsid w:val="003A7593"/>
    <w:rsid w:val="003B3AF9"/>
    <w:rsid w:val="003B590E"/>
    <w:rsid w:val="003B7805"/>
    <w:rsid w:val="003C1CEE"/>
    <w:rsid w:val="003C4E8F"/>
    <w:rsid w:val="003C781A"/>
    <w:rsid w:val="003C7BC1"/>
    <w:rsid w:val="003D2DDA"/>
    <w:rsid w:val="003D76D1"/>
    <w:rsid w:val="003D794C"/>
    <w:rsid w:val="003E00FC"/>
    <w:rsid w:val="003E0365"/>
    <w:rsid w:val="003E1592"/>
    <w:rsid w:val="003E7AA9"/>
    <w:rsid w:val="003F3C88"/>
    <w:rsid w:val="003F7B1E"/>
    <w:rsid w:val="00400F7F"/>
    <w:rsid w:val="00403650"/>
    <w:rsid w:val="00404D58"/>
    <w:rsid w:val="0040540C"/>
    <w:rsid w:val="004056B2"/>
    <w:rsid w:val="00406B74"/>
    <w:rsid w:val="00407989"/>
    <w:rsid w:val="004101F8"/>
    <w:rsid w:val="00412364"/>
    <w:rsid w:val="0042205B"/>
    <w:rsid w:val="00423809"/>
    <w:rsid w:val="0042549B"/>
    <w:rsid w:val="0042791B"/>
    <w:rsid w:val="00427F4A"/>
    <w:rsid w:val="004317A1"/>
    <w:rsid w:val="0043382C"/>
    <w:rsid w:val="00434B51"/>
    <w:rsid w:val="00437186"/>
    <w:rsid w:val="004373DA"/>
    <w:rsid w:val="00437A1F"/>
    <w:rsid w:val="004400C2"/>
    <w:rsid w:val="00441D54"/>
    <w:rsid w:val="00444DB8"/>
    <w:rsid w:val="00450A90"/>
    <w:rsid w:val="00451E42"/>
    <w:rsid w:val="00453F78"/>
    <w:rsid w:val="00454145"/>
    <w:rsid w:val="00456366"/>
    <w:rsid w:val="0045637C"/>
    <w:rsid w:val="0045751D"/>
    <w:rsid w:val="00463727"/>
    <w:rsid w:val="00465C49"/>
    <w:rsid w:val="00466972"/>
    <w:rsid w:val="00472D5D"/>
    <w:rsid w:val="00472FB1"/>
    <w:rsid w:val="00474C09"/>
    <w:rsid w:val="004811AA"/>
    <w:rsid w:val="0048315B"/>
    <w:rsid w:val="004868C7"/>
    <w:rsid w:val="00492829"/>
    <w:rsid w:val="00495917"/>
    <w:rsid w:val="004A10CD"/>
    <w:rsid w:val="004A48F2"/>
    <w:rsid w:val="004A592A"/>
    <w:rsid w:val="004B6A19"/>
    <w:rsid w:val="004C0324"/>
    <w:rsid w:val="004C614F"/>
    <w:rsid w:val="004D22CD"/>
    <w:rsid w:val="004E1278"/>
    <w:rsid w:val="004E2A25"/>
    <w:rsid w:val="004E644D"/>
    <w:rsid w:val="004E78DE"/>
    <w:rsid w:val="004E7E3F"/>
    <w:rsid w:val="004F0A89"/>
    <w:rsid w:val="004F2E22"/>
    <w:rsid w:val="004F4FDE"/>
    <w:rsid w:val="004F5859"/>
    <w:rsid w:val="00505053"/>
    <w:rsid w:val="0050631E"/>
    <w:rsid w:val="00506FC1"/>
    <w:rsid w:val="0050734D"/>
    <w:rsid w:val="00512601"/>
    <w:rsid w:val="005153FF"/>
    <w:rsid w:val="00520228"/>
    <w:rsid w:val="00523DFB"/>
    <w:rsid w:val="00525152"/>
    <w:rsid w:val="0053001A"/>
    <w:rsid w:val="00530903"/>
    <w:rsid w:val="00530A62"/>
    <w:rsid w:val="005310B0"/>
    <w:rsid w:val="0053222F"/>
    <w:rsid w:val="00534409"/>
    <w:rsid w:val="00535B54"/>
    <w:rsid w:val="005402D6"/>
    <w:rsid w:val="00541E02"/>
    <w:rsid w:val="00541E7F"/>
    <w:rsid w:val="00543ED6"/>
    <w:rsid w:val="00544057"/>
    <w:rsid w:val="00544745"/>
    <w:rsid w:val="0055069D"/>
    <w:rsid w:val="00554382"/>
    <w:rsid w:val="00555A5D"/>
    <w:rsid w:val="0056338A"/>
    <w:rsid w:val="00563C63"/>
    <w:rsid w:val="00565301"/>
    <w:rsid w:val="005653E4"/>
    <w:rsid w:val="005656D3"/>
    <w:rsid w:val="00567696"/>
    <w:rsid w:val="00567782"/>
    <w:rsid w:val="005719A8"/>
    <w:rsid w:val="005740D9"/>
    <w:rsid w:val="00581CB2"/>
    <w:rsid w:val="00584A70"/>
    <w:rsid w:val="0059179A"/>
    <w:rsid w:val="0059193C"/>
    <w:rsid w:val="005920E1"/>
    <w:rsid w:val="00594053"/>
    <w:rsid w:val="0059726C"/>
    <w:rsid w:val="005A2A51"/>
    <w:rsid w:val="005A5A41"/>
    <w:rsid w:val="005B0A5C"/>
    <w:rsid w:val="005B0E9F"/>
    <w:rsid w:val="005B103A"/>
    <w:rsid w:val="005B3839"/>
    <w:rsid w:val="005B5069"/>
    <w:rsid w:val="005B5F89"/>
    <w:rsid w:val="005B77C4"/>
    <w:rsid w:val="005C5138"/>
    <w:rsid w:val="005C5194"/>
    <w:rsid w:val="005C793E"/>
    <w:rsid w:val="005D10D6"/>
    <w:rsid w:val="005D3CA9"/>
    <w:rsid w:val="005D605E"/>
    <w:rsid w:val="005D6E3A"/>
    <w:rsid w:val="005D78C1"/>
    <w:rsid w:val="005E3391"/>
    <w:rsid w:val="005E5F14"/>
    <w:rsid w:val="005E65A2"/>
    <w:rsid w:val="005E7E61"/>
    <w:rsid w:val="005F513A"/>
    <w:rsid w:val="00602536"/>
    <w:rsid w:val="0060269B"/>
    <w:rsid w:val="0060370C"/>
    <w:rsid w:val="00610753"/>
    <w:rsid w:val="00617583"/>
    <w:rsid w:val="006176A5"/>
    <w:rsid w:val="006179C7"/>
    <w:rsid w:val="00622AEB"/>
    <w:rsid w:val="006260F8"/>
    <w:rsid w:val="00630574"/>
    <w:rsid w:val="00632A5D"/>
    <w:rsid w:val="00632BE0"/>
    <w:rsid w:val="006336D9"/>
    <w:rsid w:val="006407A6"/>
    <w:rsid w:val="006407CE"/>
    <w:rsid w:val="00642069"/>
    <w:rsid w:val="00644018"/>
    <w:rsid w:val="00645615"/>
    <w:rsid w:val="006501AF"/>
    <w:rsid w:val="006518FE"/>
    <w:rsid w:val="00652094"/>
    <w:rsid w:val="00653FCD"/>
    <w:rsid w:val="0066457B"/>
    <w:rsid w:val="00666B20"/>
    <w:rsid w:val="00672810"/>
    <w:rsid w:val="0067284A"/>
    <w:rsid w:val="00672BF4"/>
    <w:rsid w:val="00674C10"/>
    <w:rsid w:val="00675E78"/>
    <w:rsid w:val="0067627E"/>
    <w:rsid w:val="00680C42"/>
    <w:rsid w:val="00686E90"/>
    <w:rsid w:val="006910AA"/>
    <w:rsid w:val="0069220B"/>
    <w:rsid w:val="00693CD2"/>
    <w:rsid w:val="00697932"/>
    <w:rsid w:val="006A3E16"/>
    <w:rsid w:val="006A3E90"/>
    <w:rsid w:val="006A7C49"/>
    <w:rsid w:val="006B18A6"/>
    <w:rsid w:val="006B1E87"/>
    <w:rsid w:val="006B3B2A"/>
    <w:rsid w:val="006B489D"/>
    <w:rsid w:val="006C314B"/>
    <w:rsid w:val="006C5E20"/>
    <w:rsid w:val="006D02BB"/>
    <w:rsid w:val="006D3A62"/>
    <w:rsid w:val="006D4877"/>
    <w:rsid w:val="006E56A8"/>
    <w:rsid w:val="006E7917"/>
    <w:rsid w:val="006F0FA9"/>
    <w:rsid w:val="006F14E9"/>
    <w:rsid w:val="006F7EA3"/>
    <w:rsid w:val="0070006A"/>
    <w:rsid w:val="0070229E"/>
    <w:rsid w:val="0070405E"/>
    <w:rsid w:val="0070566E"/>
    <w:rsid w:val="00714C26"/>
    <w:rsid w:val="00716C08"/>
    <w:rsid w:val="007175CB"/>
    <w:rsid w:val="007241A0"/>
    <w:rsid w:val="00724F7C"/>
    <w:rsid w:val="00733109"/>
    <w:rsid w:val="0073502B"/>
    <w:rsid w:val="00737E4B"/>
    <w:rsid w:val="00741A56"/>
    <w:rsid w:val="00742F5A"/>
    <w:rsid w:val="00753EE1"/>
    <w:rsid w:val="0076344F"/>
    <w:rsid w:val="00766CA8"/>
    <w:rsid w:val="00771376"/>
    <w:rsid w:val="007715BA"/>
    <w:rsid w:val="0077393F"/>
    <w:rsid w:val="00775BEB"/>
    <w:rsid w:val="00776F16"/>
    <w:rsid w:val="0077714C"/>
    <w:rsid w:val="00782097"/>
    <w:rsid w:val="00787557"/>
    <w:rsid w:val="00790B62"/>
    <w:rsid w:val="00792643"/>
    <w:rsid w:val="007A269F"/>
    <w:rsid w:val="007A51D0"/>
    <w:rsid w:val="007A6FFF"/>
    <w:rsid w:val="007A7896"/>
    <w:rsid w:val="007B393C"/>
    <w:rsid w:val="007B44DA"/>
    <w:rsid w:val="007B5BC4"/>
    <w:rsid w:val="007B75E7"/>
    <w:rsid w:val="007B7FB7"/>
    <w:rsid w:val="007C6597"/>
    <w:rsid w:val="007C7317"/>
    <w:rsid w:val="007D17C5"/>
    <w:rsid w:val="007D53F3"/>
    <w:rsid w:val="007E0DA0"/>
    <w:rsid w:val="007E2CC3"/>
    <w:rsid w:val="007E440D"/>
    <w:rsid w:val="007E6E06"/>
    <w:rsid w:val="007E7253"/>
    <w:rsid w:val="007F1717"/>
    <w:rsid w:val="007F4B74"/>
    <w:rsid w:val="007F5611"/>
    <w:rsid w:val="007F5994"/>
    <w:rsid w:val="007F6CC2"/>
    <w:rsid w:val="00804EDA"/>
    <w:rsid w:val="00805029"/>
    <w:rsid w:val="00805A6B"/>
    <w:rsid w:val="00806BBA"/>
    <w:rsid w:val="008112F1"/>
    <w:rsid w:val="0081375A"/>
    <w:rsid w:val="00813D90"/>
    <w:rsid w:val="00815767"/>
    <w:rsid w:val="00821E4D"/>
    <w:rsid w:val="00825EA0"/>
    <w:rsid w:val="008263C3"/>
    <w:rsid w:val="00827AFA"/>
    <w:rsid w:val="00830E42"/>
    <w:rsid w:val="008328A3"/>
    <w:rsid w:val="0083306F"/>
    <w:rsid w:val="008346DB"/>
    <w:rsid w:val="00835A8B"/>
    <w:rsid w:val="008369FB"/>
    <w:rsid w:val="00841350"/>
    <w:rsid w:val="00842CF1"/>
    <w:rsid w:val="00846377"/>
    <w:rsid w:val="00847FDF"/>
    <w:rsid w:val="0085116F"/>
    <w:rsid w:val="00851828"/>
    <w:rsid w:val="008522D2"/>
    <w:rsid w:val="008523A8"/>
    <w:rsid w:val="00856B3D"/>
    <w:rsid w:val="008570F7"/>
    <w:rsid w:val="0086229B"/>
    <w:rsid w:val="00862DDB"/>
    <w:rsid w:val="00863F42"/>
    <w:rsid w:val="008642D3"/>
    <w:rsid w:val="0087195C"/>
    <w:rsid w:val="0087212F"/>
    <w:rsid w:val="00872A73"/>
    <w:rsid w:val="00872F48"/>
    <w:rsid w:val="0087509F"/>
    <w:rsid w:val="008758A7"/>
    <w:rsid w:val="00876FF3"/>
    <w:rsid w:val="008807F1"/>
    <w:rsid w:val="00880DBB"/>
    <w:rsid w:val="00886D56"/>
    <w:rsid w:val="00890344"/>
    <w:rsid w:val="00891599"/>
    <w:rsid w:val="00891E5A"/>
    <w:rsid w:val="00892168"/>
    <w:rsid w:val="00892A47"/>
    <w:rsid w:val="00894943"/>
    <w:rsid w:val="00897A78"/>
    <w:rsid w:val="008A017D"/>
    <w:rsid w:val="008A548A"/>
    <w:rsid w:val="008B1034"/>
    <w:rsid w:val="008B38B8"/>
    <w:rsid w:val="008B5237"/>
    <w:rsid w:val="008B61E5"/>
    <w:rsid w:val="008B66EC"/>
    <w:rsid w:val="008C039F"/>
    <w:rsid w:val="008C283B"/>
    <w:rsid w:val="008C3DAD"/>
    <w:rsid w:val="008C5511"/>
    <w:rsid w:val="008D193A"/>
    <w:rsid w:val="008D1B4E"/>
    <w:rsid w:val="008D3FE2"/>
    <w:rsid w:val="008D431F"/>
    <w:rsid w:val="008D71D9"/>
    <w:rsid w:val="008D7AF1"/>
    <w:rsid w:val="008E2EEA"/>
    <w:rsid w:val="008E461F"/>
    <w:rsid w:val="008E4A3C"/>
    <w:rsid w:val="008F12AE"/>
    <w:rsid w:val="008F76FB"/>
    <w:rsid w:val="008F7FB2"/>
    <w:rsid w:val="00900F98"/>
    <w:rsid w:val="0090523C"/>
    <w:rsid w:val="0090586E"/>
    <w:rsid w:val="00906498"/>
    <w:rsid w:val="00914A77"/>
    <w:rsid w:val="00920958"/>
    <w:rsid w:val="00920B8F"/>
    <w:rsid w:val="009231F5"/>
    <w:rsid w:val="009236A0"/>
    <w:rsid w:val="00924061"/>
    <w:rsid w:val="009243C1"/>
    <w:rsid w:val="0092458F"/>
    <w:rsid w:val="009253BA"/>
    <w:rsid w:val="009303AE"/>
    <w:rsid w:val="00932EDC"/>
    <w:rsid w:val="009358D4"/>
    <w:rsid w:val="009365CC"/>
    <w:rsid w:val="00941810"/>
    <w:rsid w:val="00946057"/>
    <w:rsid w:val="0095104E"/>
    <w:rsid w:val="009520F0"/>
    <w:rsid w:val="00953DE3"/>
    <w:rsid w:val="009613BD"/>
    <w:rsid w:val="00962C7E"/>
    <w:rsid w:val="00962D48"/>
    <w:rsid w:val="00965FA9"/>
    <w:rsid w:val="009664E7"/>
    <w:rsid w:val="00974B8C"/>
    <w:rsid w:val="00976FB8"/>
    <w:rsid w:val="0098332A"/>
    <w:rsid w:val="00984E16"/>
    <w:rsid w:val="00985C93"/>
    <w:rsid w:val="00986BAF"/>
    <w:rsid w:val="00987BE1"/>
    <w:rsid w:val="0099063C"/>
    <w:rsid w:val="009924DB"/>
    <w:rsid w:val="0099310D"/>
    <w:rsid w:val="0099488E"/>
    <w:rsid w:val="009A173A"/>
    <w:rsid w:val="009A5DCC"/>
    <w:rsid w:val="009B1472"/>
    <w:rsid w:val="009B37A2"/>
    <w:rsid w:val="009B39CD"/>
    <w:rsid w:val="009B3CC1"/>
    <w:rsid w:val="009C0743"/>
    <w:rsid w:val="009C2D12"/>
    <w:rsid w:val="009C3127"/>
    <w:rsid w:val="009C3D1F"/>
    <w:rsid w:val="009C6E79"/>
    <w:rsid w:val="009C71ED"/>
    <w:rsid w:val="009C7306"/>
    <w:rsid w:val="009D44E9"/>
    <w:rsid w:val="009D6A6F"/>
    <w:rsid w:val="009D7343"/>
    <w:rsid w:val="009D76B7"/>
    <w:rsid w:val="009E1906"/>
    <w:rsid w:val="009E50B9"/>
    <w:rsid w:val="009E5CCE"/>
    <w:rsid w:val="009F070D"/>
    <w:rsid w:val="009F4E3E"/>
    <w:rsid w:val="009F5B00"/>
    <w:rsid w:val="00A00510"/>
    <w:rsid w:val="00A013F2"/>
    <w:rsid w:val="00A0547D"/>
    <w:rsid w:val="00A06C9F"/>
    <w:rsid w:val="00A104CA"/>
    <w:rsid w:val="00A10CAF"/>
    <w:rsid w:val="00A13880"/>
    <w:rsid w:val="00A16DCF"/>
    <w:rsid w:val="00A228C4"/>
    <w:rsid w:val="00A22D98"/>
    <w:rsid w:val="00A232F4"/>
    <w:rsid w:val="00A27373"/>
    <w:rsid w:val="00A3302D"/>
    <w:rsid w:val="00A35571"/>
    <w:rsid w:val="00A3626E"/>
    <w:rsid w:val="00A37C66"/>
    <w:rsid w:val="00A41957"/>
    <w:rsid w:val="00A46630"/>
    <w:rsid w:val="00A479AE"/>
    <w:rsid w:val="00A51DE2"/>
    <w:rsid w:val="00A52D1B"/>
    <w:rsid w:val="00A55315"/>
    <w:rsid w:val="00A56D8D"/>
    <w:rsid w:val="00A57621"/>
    <w:rsid w:val="00A60C4F"/>
    <w:rsid w:val="00A61AEC"/>
    <w:rsid w:val="00A63FEA"/>
    <w:rsid w:val="00A65289"/>
    <w:rsid w:val="00A65679"/>
    <w:rsid w:val="00A66885"/>
    <w:rsid w:val="00A73993"/>
    <w:rsid w:val="00A7582F"/>
    <w:rsid w:val="00A769EB"/>
    <w:rsid w:val="00A82F65"/>
    <w:rsid w:val="00A8377F"/>
    <w:rsid w:val="00A848A4"/>
    <w:rsid w:val="00A873F7"/>
    <w:rsid w:val="00A8775D"/>
    <w:rsid w:val="00A91EE1"/>
    <w:rsid w:val="00A926B9"/>
    <w:rsid w:val="00A939EB"/>
    <w:rsid w:val="00A95C01"/>
    <w:rsid w:val="00A973F0"/>
    <w:rsid w:val="00AA0187"/>
    <w:rsid w:val="00AA1807"/>
    <w:rsid w:val="00AA2461"/>
    <w:rsid w:val="00AA3CA0"/>
    <w:rsid w:val="00AA57E6"/>
    <w:rsid w:val="00AA68D1"/>
    <w:rsid w:val="00AB1EBD"/>
    <w:rsid w:val="00AB36E1"/>
    <w:rsid w:val="00AB5107"/>
    <w:rsid w:val="00AC18A3"/>
    <w:rsid w:val="00AD253E"/>
    <w:rsid w:val="00AE145E"/>
    <w:rsid w:val="00AE1646"/>
    <w:rsid w:val="00AE2F54"/>
    <w:rsid w:val="00AE7234"/>
    <w:rsid w:val="00AE7500"/>
    <w:rsid w:val="00AF0A52"/>
    <w:rsid w:val="00AF3F3D"/>
    <w:rsid w:val="00B04059"/>
    <w:rsid w:val="00B0444E"/>
    <w:rsid w:val="00B05065"/>
    <w:rsid w:val="00B059C1"/>
    <w:rsid w:val="00B05B3B"/>
    <w:rsid w:val="00B062E6"/>
    <w:rsid w:val="00B12E07"/>
    <w:rsid w:val="00B15222"/>
    <w:rsid w:val="00B2681A"/>
    <w:rsid w:val="00B27A5B"/>
    <w:rsid w:val="00B302C4"/>
    <w:rsid w:val="00B30D2D"/>
    <w:rsid w:val="00B3250B"/>
    <w:rsid w:val="00B360F8"/>
    <w:rsid w:val="00B40D13"/>
    <w:rsid w:val="00B4255E"/>
    <w:rsid w:val="00B503AA"/>
    <w:rsid w:val="00B5137C"/>
    <w:rsid w:val="00B55914"/>
    <w:rsid w:val="00B61F32"/>
    <w:rsid w:val="00B64372"/>
    <w:rsid w:val="00B70696"/>
    <w:rsid w:val="00B718F0"/>
    <w:rsid w:val="00B72123"/>
    <w:rsid w:val="00B72B8E"/>
    <w:rsid w:val="00B75465"/>
    <w:rsid w:val="00B7550C"/>
    <w:rsid w:val="00B7638C"/>
    <w:rsid w:val="00B77ED8"/>
    <w:rsid w:val="00B81A8B"/>
    <w:rsid w:val="00B83300"/>
    <w:rsid w:val="00B86A5C"/>
    <w:rsid w:val="00B9065B"/>
    <w:rsid w:val="00B90AA6"/>
    <w:rsid w:val="00B90DF7"/>
    <w:rsid w:val="00B9236E"/>
    <w:rsid w:val="00B94199"/>
    <w:rsid w:val="00B95431"/>
    <w:rsid w:val="00BA087D"/>
    <w:rsid w:val="00BA1040"/>
    <w:rsid w:val="00BA20BE"/>
    <w:rsid w:val="00BA6D98"/>
    <w:rsid w:val="00BA6E90"/>
    <w:rsid w:val="00BB0DA6"/>
    <w:rsid w:val="00BB40FC"/>
    <w:rsid w:val="00BB4E9A"/>
    <w:rsid w:val="00BB6F46"/>
    <w:rsid w:val="00BC5C8D"/>
    <w:rsid w:val="00BC7386"/>
    <w:rsid w:val="00BD142E"/>
    <w:rsid w:val="00BD2653"/>
    <w:rsid w:val="00BD2935"/>
    <w:rsid w:val="00BD3BC3"/>
    <w:rsid w:val="00BD6343"/>
    <w:rsid w:val="00BE398D"/>
    <w:rsid w:val="00BE5CB3"/>
    <w:rsid w:val="00BF1088"/>
    <w:rsid w:val="00BF626E"/>
    <w:rsid w:val="00BF78D7"/>
    <w:rsid w:val="00C02479"/>
    <w:rsid w:val="00C06229"/>
    <w:rsid w:val="00C06B52"/>
    <w:rsid w:val="00C12ABE"/>
    <w:rsid w:val="00C20368"/>
    <w:rsid w:val="00C21696"/>
    <w:rsid w:val="00C22169"/>
    <w:rsid w:val="00C22FC7"/>
    <w:rsid w:val="00C26371"/>
    <w:rsid w:val="00C31D9D"/>
    <w:rsid w:val="00C33ADF"/>
    <w:rsid w:val="00C37C0C"/>
    <w:rsid w:val="00C41330"/>
    <w:rsid w:val="00C45F11"/>
    <w:rsid w:val="00C5209F"/>
    <w:rsid w:val="00C57CB9"/>
    <w:rsid w:val="00C6237C"/>
    <w:rsid w:val="00C62A93"/>
    <w:rsid w:val="00C631E8"/>
    <w:rsid w:val="00C65B0F"/>
    <w:rsid w:val="00C71808"/>
    <w:rsid w:val="00C726EC"/>
    <w:rsid w:val="00C72E12"/>
    <w:rsid w:val="00C72EA2"/>
    <w:rsid w:val="00C73B3F"/>
    <w:rsid w:val="00C74B0C"/>
    <w:rsid w:val="00C7513C"/>
    <w:rsid w:val="00C75F69"/>
    <w:rsid w:val="00C80E97"/>
    <w:rsid w:val="00C81B85"/>
    <w:rsid w:val="00C81E96"/>
    <w:rsid w:val="00C83A9C"/>
    <w:rsid w:val="00C8404E"/>
    <w:rsid w:val="00C92B14"/>
    <w:rsid w:val="00CA0D4C"/>
    <w:rsid w:val="00CA134E"/>
    <w:rsid w:val="00CA255F"/>
    <w:rsid w:val="00CA5F76"/>
    <w:rsid w:val="00CA77D8"/>
    <w:rsid w:val="00CA7B1F"/>
    <w:rsid w:val="00CB3450"/>
    <w:rsid w:val="00CB56CB"/>
    <w:rsid w:val="00CB5725"/>
    <w:rsid w:val="00CB6CC3"/>
    <w:rsid w:val="00CB73A6"/>
    <w:rsid w:val="00CB75FB"/>
    <w:rsid w:val="00CB7B8A"/>
    <w:rsid w:val="00CC20D2"/>
    <w:rsid w:val="00CD0ACE"/>
    <w:rsid w:val="00CD4705"/>
    <w:rsid w:val="00CD5232"/>
    <w:rsid w:val="00CD62BB"/>
    <w:rsid w:val="00CE4FB5"/>
    <w:rsid w:val="00CE5CEF"/>
    <w:rsid w:val="00CF0E83"/>
    <w:rsid w:val="00CF2FEA"/>
    <w:rsid w:val="00CF326D"/>
    <w:rsid w:val="00CF512E"/>
    <w:rsid w:val="00CF6349"/>
    <w:rsid w:val="00D01DA2"/>
    <w:rsid w:val="00D02188"/>
    <w:rsid w:val="00D02854"/>
    <w:rsid w:val="00D04CAC"/>
    <w:rsid w:val="00D07886"/>
    <w:rsid w:val="00D07F0D"/>
    <w:rsid w:val="00D111CC"/>
    <w:rsid w:val="00D1688D"/>
    <w:rsid w:val="00D16A17"/>
    <w:rsid w:val="00D22599"/>
    <w:rsid w:val="00D262B7"/>
    <w:rsid w:val="00D31409"/>
    <w:rsid w:val="00D362BF"/>
    <w:rsid w:val="00D37459"/>
    <w:rsid w:val="00D41376"/>
    <w:rsid w:val="00D43679"/>
    <w:rsid w:val="00D44A9B"/>
    <w:rsid w:val="00D44EF7"/>
    <w:rsid w:val="00D47F5E"/>
    <w:rsid w:val="00D5592F"/>
    <w:rsid w:val="00D55B70"/>
    <w:rsid w:val="00D62C0E"/>
    <w:rsid w:val="00D62CE4"/>
    <w:rsid w:val="00D63696"/>
    <w:rsid w:val="00D65E1F"/>
    <w:rsid w:val="00D7018D"/>
    <w:rsid w:val="00D710BC"/>
    <w:rsid w:val="00D721EE"/>
    <w:rsid w:val="00D818B7"/>
    <w:rsid w:val="00D81989"/>
    <w:rsid w:val="00D84602"/>
    <w:rsid w:val="00D853EF"/>
    <w:rsid w:val="00D85A9A"/>
    <w:rsid w:val="00D8760F"/>
    <w:rsid w:val="00D87AB7"/>
    <w:rsid w:val="00D91E4A"/>
    <w:rsid w:val="00D95D1D"/>
    <w:rsid w:val="00DA283B"/>
    <w:rsid w:val="00DA4C96"/>
    <w:rsid w:val="00DA4D53"/>
    <w:rsid w:val="00DA5123"/>
    <w:rsid w:val="00DB0144"/>
    <w:rsid w:val="00DB023F"/>
    <w:rsid w:val="00DB032B"/>
    <w:rsid w:val="00DB0AD4"/>
    <w:rsid w:val="00DD0202"/>
    <w:rsid w:val="00DD34EC"/>
    <w:rsid w:val="00DD4D22"/>
    <w:rsid w:val="00DD5FC1"/>
    <w:rsid w:val="00DD6C09"/>
    <w:rsid w:val="00DD7368"/>
    <w:rsid w:val="00DE0BAA"/>
    <w:rsid w:val="00DE0EF3"/>
    <w:rsid w:val="00DE3584"/>
    <w:rsid w:val="00DE42D8"/>
    <w:rsid w:val="00DE639A"/>
    <w:rsid w:val="00DE76E8"/>
    <w:rsid w:val="00DF0463"/>
    <w:rsid w:val="00DF056D"/>
    <w:rsid w:val="00DF0EC0"/>
    <w:rsid w:val="00DF27FE"/>
    <w:rsid w:val="00DF389C"/>
    <w:rsid w:val="00DF4AFF"/>
    <w:rsid w:val="00DF4C27"/>
    <w:rsid w:val="00DF621E"/>
    <w:rsid w:val="00DF660A"/>
    <w:rsid w:val="00DF7389"/>
    <w:rsid w:val="00E01A7E"/>
    <w:rsid w:val="00E02E6A"/>
    <w:rsid w:val="00E035B7"/>
    <w:rsid w:val="00E118BD"/>
    <w:rsid w:val="00E22B83"/>
    <w:rsid w:val="00E25EE6"/>
    <w:rsid w:val="00E30B88"/>
    <w:rsid w:val="00E30EA5"/>
    <w:rsid w:val="00E31CBE"/>
    <w:rsid w:val="00E335B4"/>
    <w:rsid w:val="00E336DA"/>
    <w:rsid w:val="00E33CE7"/>
    <w:rsid w:val="00E36046"/>
    <w:rsid w:val="00E40F02"/>
    <w:rsid w:val="00E42884"/>
    <w:rsid w:val="00E4457D"/>
    <w:rsid w:val="00E4695E"/>
    <w:rsid w:val="00E47949"/>
    <w:rsid w:val="00E55F75"/>
    <w:rsid w:val="00E603B1"/>
    <w:rsid w:val="00E632E0"/>
    <w:rsid w:val="00E81AE0"/>
    <w:rsid w:val="00E83E33"/>
    <w:rsid w:val="00E85F5B"/>
    <w:rsid w:val="00E87D34"/>
    <w:rsid w:val="00E916BF"/>
    <w:rsid w:val="00E939B2"/>
    <w:rsid w:val="00E94D89"/>
    <w:rsid w:val="00E96127"/>
    <w:rsid w:val="00E9677B"/>
    <w:rsid w:val="00EA337F"/>
    <w:rsid w:val="00EA3BEB"/>
    <w:rsid w:val="00EA6F39"/>
    <w:rsid w:val="00EB2875"/>
    <w:rsid w:val="00EB3393"/>
    <w:rsid w:val="00EB769B"/>
    <w:rsid w:val="00EC06B8"/>
    <w:rsid w:val="00EC0A0F"/>
    <w:rsid w:val="00EE0FD1"/>
    <w:rsid w:val="00EE1401"/>
    <w:rsid w:val="00EE1BDB"/>
    <w:rsid w:val="00EE308B"/>
    <w:rsid w:val="00EE465A"/>
    <w:rsid w:val="00EF00AB"/>
    <w:rsid w:val="00EF43FF"/>
    <w:rsid w:val="00EF53CD"/>
    <w:rsid w:val="00EF54F2"/>
    <w:rsid w:val="00EF5864"/>
    <w:rsid w:val="00EF5CFC"/>
    <w:rsid w:val="00F03E59"/>
    <w:rsid w:val="00F054C0"/>
    <w:rsid w:val="00F0707A"/>
    <w:rsid w:val="00F103D6"/>
    <w:rsid w:val="00F10C65"/>
    <w:rsid w:val="00F126BC"/>
    <w:rsid w:val="00F17B30"/>
    <w:rsid w:val="00F2138E"/>
    <w:rsid w:val="00F217DF"/>
    <w:rsid w:val="00F22616"/>
    <w:rsid w:val="00F2390A"/>
    <w:rsid w:val="00F24245"/>
    <w:rsid w:val="00F2473C"/>
    <w:rsid w:val="00F2527F"/>
    <w:rsid w:val="00F3091D"/>
    <w:rsid w:val="00F34D70"/>
    <w:rsid w:val="00F35570"/>
    <w:rsid w:val="00F36573"/>
    <w:rsid w:val="00F373E0"/>
    <w:rsid w:val="00F413EB"/>
    <w:rsid w:val="00F4263B"/>
    <w:rsid w:val="00F54ACF"/>
    <w:rsid w:val="00F556D1"/>
    <w:rsid w:val="00F569F8"/>
    <w:rsid w:val="00F57DA7"/>
    <w:rsid w:val="00F619E7"/>
    <w:rsid w:val="00F70465"/>
    <w:rsid w:val="00F70DF9"/>
    <w:rsid w:val="00F70E30"/>
    <w:rsid w:val="00F71ECA"/>
    <w:rsid w:val="00F72880"/>
    <w:rsid w:val="00F72955"/>
    <w:rsid w:val="00F74AC8"/>
    <w:rsid w:val="00F75270"/>
    <w:rsid w:val="00F80C86"/>
    <w:rsid w:val="00F80ECF"/>
    <w:rsid w:val="00F840EE"/>
    <w:rsid w:val="00F873CE"/>
    <w:rsid w:val="00F9512E"/>
    <w:rsid w:val="00F96E44"/>
    <w:rsid w:val="00FA5AE2"/>
    <w:rsid w:val="00FA697C"/>
    <w:rsid w:val="00FA7BE6"/>
    <w:rsid w:val="00FA7F4B"/>
    <w:rsid w:val="00FB0B56"/>
    <w:rsid w:val="00FB25E9"/>
    <w:rsid w:val="00FB2674"/>
    <w:rsid w:val="00FB58AA"/>
    <w:rsid w:val="00FB657C"/>
    <w:rsid w:val="00FC3004"/>
    <w:rsid w:val="00FC3C91"/>
    <w:rsid w:val="00FC4759"/>
    <w:rsid w:val="00FD08B3"/>
    <w:rsid w:val="00FD216B"/>
    <w:rsid w:val="00FD6899"/>
    <w:rsid w:val="00FE0079"/>
    <w:rsid w:val="00FE03F8"/>
    <w:rsid w:val="00FE2F05"/>
    <w:rsid w:val="00FF0997"/>
    <w:rsid w:val="00FF11A1"/>
    <w:rsid w:val="00FF17CD"/>
    <w:rsid w:val="00FF24B8"/>
    <w:rsid w:val="00FF2868"/>
    <w:rsid w:val="00FF2CF0"/>
    <w:rsid w:val="00FF52F8"/>
    <w:rsid w:val="00FF728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9C175F-74E1-41C2-B6DF-84AAC85D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B2"/>
    <w:pPr>
      <w:spacing w:before="240"/>
      <w:ind w:left="709"/>
    </w:pPr>
    <w:rPr>
      <w:rFonts w:ascii="Arial" w:hAnsi="Arial"/>
      <w:sz w:val="22"/>
      <w:szCs w:val="22"/>
      <w:lang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qFormat/>
    <w:rsid w:val="000032F0"/>
    <w:pPr>
      <w:spacing w:before="0" w:after="360"/>
      <w:ind w:left="0"/>
      <w:jc w:val="center"/>
      <w:outlineLvl w:val="0"/>
    </w:pPr>
    <w:rPr>
      <w:b/>
      <w:sz w:val="36"/>
      <w:szCs w:val="36"/>
    </w:rPr>
  </w:style>
  <w:style w:type="paragraph" w:styleId="Heading2">
    <w:name w:val="heading 2"/>
    <w:basedOn w:val="Normal"/>
    <w:next w:val="Normal"/>
    <w:link w:val="Heading2Char"/>
    <w:qFormat/>
    <w:rsid w:val="002F237A"/>
    <w:pPr>
      <w:keepNext/>
      <w:spacing w:before="720" w:after="120"/>
      <w:ind w:hanging="709"/>
      <w:outlineLvl w:val="1"/>
    </w:pPr>
    <w:rPr>
      <w:b/>
      <w:sz w:val="28"/>
      <w:szCs w:val="28"/>
    </w:rPr>
  </w:style>
  <w:style w:type="paragraph" w:styleId="Heading3">
    <w:name w:val="heading 3"/>
    <w:basedOn w:val="Normal"/>
    <w:next w:val="Normal"/>
    <w:link w:val="Heading3Char"/>
    <w:uiPriority w:val="99"/>
    <w:qFormat/>
    <w:rsid w:val="00B25787"/>
    <w:pPr>
      <w:keepNext/>
      <w:spacing w:before="360" w:after="240"/>
      <w:ind w:left="567" w:hanging="567"/>
      <w:outlineLvl w:val="2"/>
    </w:pPr>
    <w:rPr>
      <w:b/>
      <w:i/>
      <w:sz w:val="24"/>
      <w:szCs w:val="24"/>
    </w:rPr>
  </w:style>
  <w:style w:type="paragraph" w:styleId="Heading4">
    <w:name w:val="heading 4"/>
    <w:aliases w:val="List of figures"/>
    <w:basedOn w:val="Normal"/>
    <w:next w:val="Normal"/>
    <w:link w:val="Heading4Char"/>
    <w:qFormat/>
    <w:rsid w:val="00BD142E"/>
    <w:pPr>
      <w:keepNext/>
      <w:spacing w:after="240"/>
      <w:outlineLvl w:val="3"/>
    </w:pPr>
    <w:rPr>
      <w:b/>
    </w:rPr>
  </w:style>
  <w:style w:type="paragraph" w:styleId="Heading5">
    <w:name w:val="heading 5"/>
    <w:basedOn w:val="Normal"/>
    <w:next w:val="Normal"/>
    <w:link w:val="Heading5Char"/>
    <w:qFormat/>
    <w:rsid w:val="00BD142E"/>
    <w:pPr>
      <w:keepNext/>
      <w:spacing w:before="120" w:after="120"/>
      <w:outlineLvl w:val="4"/>
    </w:pPr>
    <w:rPr>
      <w:b/>
      <w:i/>
    </w:rPr>
  </w:style>
  <w:style w:type="paragraph" w:styleId="Heading6">
    <w:name w:val="heading 6"/>
    <w:basedOn w:val="Normal"/>
    <w:next w:val="Normal"/>
    <w:qFormat/>
    <w:rsid w:val="00BD142E"/>
    <w:pPr>
      <w:spacing w:before="120" w:after="120"/>
      <w:outlineLvl w:val="5"/>
    </w:pPr>
  </w:style>
  <w:style w:type="paragraph" w:styleId="Heading7">
    <w:name w:val="heading 7"/>
    <w:basedOn w:val="Normal"/>
    <w:next w:val="Normal"/>
    <w:qFormat/>
    <w:rsid w:val="00BD142E"/>
    <w:pPr>
      <w:numPr>
        <w:ilvl w:val="6"/>
        <w:numId w:val="1"/>
      </w:numPr>
      <w:spacing w:after="60"/>
      <w:outlineLvl w:val="6"/>
    </w:pPr>
    <w:rPr>
      <w:sz w:val="20"/>
      <w:lang w:val="en-AU"/>
    </w:rPr>
  </w:style>
  <w:style w:type="paragraph" w:styleId="Heading8">
    <w:name w:val="heading 8"/>
    <w:basedOn w:val="Normal"/>
    <w:next w:val="Normal"/>
    <w:qFormat/>
    <w:rsid w:val="00BD142E"/>
    <w:pPr>
      <w:numPr>
        <w:ilvl w:val="7"/>
        <w:numId w:val="1"/>
      </w:numPr>
      <w:spacing w:after="60"/>
      <w:outlineLvl w:val="7"/>
    </w:pPr>
    <w:rPr>
      <w:i/>
      <w:sz w:val="20"/>
      <w:lang w:val="en-AU"/>
    </w:rPr>
  </w:style>
  <w:style w:type="paragraph" w:styleId="Heading9">
    <w:name w:val="heading 9"/>
    <w:basedOn w:val="Normal"/>
    <w:next w:val="Normal"/>
    <w:qFormat/>
    <w:rsid w:val="00BD142E"/>
    <w:pPr>
      <w:numPr>
        <w:ilvl w:val="8"/>
        <w:numId w:val="1"/>
      </w:numPr>
      <w:spacing w:after="60"/>
      <w:outlineLvl w:val="8"/>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sid w:val="00DC7B0F"/>
    <w:pPr>
      <w:numPr>
        <w:numId w:val="4"/>
      </w:numPr>
      <w:tabs>
        <w:tab w:val="clear" w:pos="567"/>
        <w:tab w:val="num" w:pos="360"/>
        <w:tab w:val="left" w:pos="1843"/>
      </w:tabs>
      <w:spacing w:before="60"/>
      <w:ind w:left="709" w:firstLine="0"/>
    </w:pPr>
  </w:style>
  <w:style w:type="paragraph" w:customStyle="1" w:styleId="Bullet">
    <w:name w:val="Bullet"/>
    <w:basedOn w:val="Normal"/>
    <w:link w:val="BulletChar"/>
    <w:uiPriority w:val="99"/>
    <w:rsid w:val="00BB40FC"/>
    <w:pPr>
      <w:numPr>
        <w:numId w:val="5"/>
      </w:numPr>
      <w:tabs>
        <w:tab w:val="left" w:pos="1276"/>
      </w:tabs>
      <w:spacing w:before="120"/>
    </w:pPr>
  </w:style>
  <w:style w:type="paragraph" w:styleId="Quote">
    <w:name w:val="Quote"/>
    <w:basedOn w:val="Normal"/>
    <w:next w:val="Normal"/>
    <w:link w:val="QuoteChar"/>
    <w:qFormat/>
    <w:rsid w:val="00B671AB"/>
    <w:pPr>
      <w:spacing w:before="120"/>
      <w:ind w:left="1134" w:right="567"/>
    </w:pPr>
    <w:rPr>
      <w:i/>
    </w:rPr>
  </w:style>
  <w:style w:type="paragraph" w:styleId="TOC1">
    <w:name w:val="toc 1"/>
    <w:basedOn w:val="Normal"/>
    <w:next w:val="Normal"/>
    <w:uiPriority w:val="39"/>
    <w:rsid w:val="00C75AE2"/>
    <w:pPr>
      <w:tabs>
        <w:tab w:val="right" w:pos="5103"/>
      </w:tabs>
      <w:spacing w:before="300"/>
      <w:ind w:left="0" w:right="5103"/>
    </w:pPr>
  </w:style>
  <w:style w:type="paragraph" w:styleId="TOC2">
    <w:name w:val="toc 2"/>
    <w:basedOn w:val="Normal"/>
    <w:next w:val="Normal"/>
    <w:uiPriority w:val="39"/>
    <w:rsid w:val="00A44D12"/>
    <w:pPr>
      <w:tabs>
        <w:tab w:val="right" w:pos="5103"/>
      </w:tabs>
      <w:spacing w:before="60"/>
      <w:ind w:right="5103"/>
    </w:pPr>
    <w:rPr>
      <w:sz w:val="20"/>
    </w:rPr>
  </w:style>
  <w:style w:type="paragraph" w:styleId="FootnoteText">
    <w:name w:val="footnote text"/>
    <w:aliases w:val="Footnote Text Char Char"/>
    <w:basedOn w:val="Normal"/>
    <w:link w:val="FootnoteTextChar"/>
    <w:rsid w:val="00BD142E"/>
    <w:pPr>
      <w:spacing w:before="120"/>
      <w:ind w:left="284" w:hanging="284"/>
    </w:pPr>
    <w:rPr>
      <w:sz w:val="16"/>
    </w:rPr>
  </w:style>
  <w:style w:type="character" w:styleId="PageNumber">
    <w:name w:val="page number"/>
    <w:basedOn w:val="DefaultParagraphFont"/>
    <w:rsid w:val="00C11C5B"/>
    <w:rPr>
      <w:rFonts w:ascii="Arial" w:hAnsi="Arial"/>
      <w:b/>
      <w:spacing w:val="0"/>
      <w:kern w:val="0"/>
      <w:position w:val="0"/>
      <w:sz w:val="24"/>
      <w:szCs w:val="24"/>
    </w:rPr>
  </w:style>
  <w:style w:type="paragraph" w:customStyle="1" w:styleId="Table">
    <w:name w:val="Table"/>
    <w:basedOn w:val="Figure"/>
    <w:next w:val="Normal"/>
    <w:rsid w:val="00456366"/>
    <w:pPr>
      <w:spacing w:before="120" w:after="80"/>
      <w:ind w:left="0" w:firstLine="0"/>
      <w:jc w:val="center"/>
    </w:pPr>
  </w:style>
  <w:style w:type="paragraph" w:styleId="Footer">
    <w:name w:val="footer"/>
    <w:basedOn w:val="Normal"/>
    <w:link w:val="FooterChar"/>
    <w:uiPriority w:val="99"/>
    <w:rsid w:val="000032F0"/>
    <w:pPr>
      <w:spacing w:before="0"/>
      <w:ind w:left="0"/>
    </w:pPr>
    <w:rPr>
      <w:spacing w:val="40"/>
      <w:sz w:val="16"/>
      <w:szCs w:val="16"/>
    </w:rPr>
  </w:style>
  <w:style w:type="paragraph" w:styleId="Header">
    <w:name w:val="header"/>
    <w:basedOn w:val="Normal"/>
    <w:link w:val="HeaderChar"/>
    <w:uiPriority w:val="99"/>
    <w:rsid w:val="000032F0"/>
    <w:pPr>
      <w:spacing w:before="0"/>
      <w:ind w:left="0"/>
      <w:jc w:val="center"/>
    </w:pPr>
    <w:rPr>
      <w:smallCaps/>
      <w:spacing w:val="40"/>
      <w:sz w:val="16"/>
      <w:szCs w:val="16"/>
    </w:rPr>
  </w:style>
  <w:style w:type="paragraph" w:customStyle="1" w:styleId="Heading">
    <w:name w:val="Heading"/>
    <w:basedOn w:val="Heading1"/>
    <w:next w:val="Normal"/>
    <w:rsid w:val="00B25787"/>
    <w:pPr>
      <w:jc w:val="left"/>
    </w:pPr>
    <w:rPr>
      <w:sz w:val="28"/>
      <w:szCs w:val="28"/>
    </w:rPr>
  </w:style>
  <w:style w:type="character" w:styleId="Hyperlink">
    <w:name w:val="Hyperlink"/>
    <w:basedOn w:val="DefaultParagraphFont"/>
    <w:uiPriority w:val="99"/>
    <w:rsid w:val="00BD142E"/>
    <w:rPr>
      <w:color w:val="0000FF"/>
      <w:u w:val="single"/>
    </w:rPr>
  </w:style>
  <w:style w:type="paragraph" w:styleId="TOC3">
    <w:name w:val="toc 3"/>
    <w:basedOn w:val="Normal"/>
    <w:next w:val="Normal"/>
    <w:autoRedefine/>
    <w:semiHidden/>
    <w:rsid w:val="00BD142E"/>
    <w:pPr>
      <w:tabs>
        <w:tab w:val="right" w:pos="8222"/>
      </w:tabs>
      <w:spacing w:before="120"/>
      <w:ind w:left="567" w:right="851" w:hanging="567"/>
    </w:pPr>
    <w:rPr>
      <w:sz w:val="18"/>
    </w:rPr>
  </w:style>
  <w:style w:type="character" w:styleId="FootnoteReference">
    <w:name w:val="footnote reference"/>
    <w:basedOn w:val="DefaultParagraphFont"/>
    <w:rsid w:val="00BD142E"/>
    <w:rPr>
      <w:vertAlign w:val="superscript"/>
    </w:rPr>
  </w:style>
  <w:style w:type="paragraph" w:customStyle="1" w:styleId="TableText">
    <w:name w:val="TableText"/>
    <w:basedOn w:val="Normal"/>
    <w:rsid w:val="0021521A"/>
    <w:pPr>
      <w:spacing w:before="80" w:after="80"/>
      <w:ind w:left="0"/>
    </w:pPr>
    <w:rPr>
      <w:sz w:val="20"/>
      <w:szCs w:val="20"/>
    </w:rPr>
  </w:style>
  <w:style w:type="paragraph" w:customStyle="1" w:styleId="ClientName">
    <w:name w:val="Client Name"/>
    <w:basedOn w:val="Normal"/>
    <w:rsid w:val="00A92022"/>
    <w:pPr>
      <w:spacing w:before="0" w:after="3000"/>
      <w:ind w:left="0"/>
      <w:jc w:val="center"/>
    </w:pPr>
    <w:rPr>
      <w:sz w:val="36"/>
      <w:szCs w:val="36"/>
    </w:rPr>
  </w:style>
  <w:style w:type="paragraph" w:styleId="Title">
    <w:name w:val="Title"/>
    <w:basedOn w:val="Normal"/>
    <w:qFormat/>
    <w:rsid w:val="00C75AE2"/>
    <w:pPr>
      <w:pBdr>
        <w:top w:val="single" w:sz="4" w:space="31" w:color="C0C0C0"/>
        <w:left w:val="single" w:sz="4" w:space="12" w:color="C0C0C0"/>
        <w:bottom w:val="single" w:sz="4" w:space="31" w:color="C0C0C0"/>
        <w:right w:val="single" w:sz="4" w:space="12" w:color="C0C0C0"/>
      </w:pBdr>
      <w:shd w:val="clear" w:color="auto" w:fill="FFFFFF"/>
      <w:spacing w:before="0" w:after="2000"/>
      <w:ind w:left="1985" w:right="1985"/>
      <w:jc w:val="center"/>
    </w:pPr>
    <w:rPr>
      <w:b/>
      <w:sz w:val="36"/>
      <w:szCs w:val="36"/>
    </w:rPr>
  </w:style>
  <w:style w:type="paragraph" w:customStyle="1" w:styleId="TableBullet">
    <w:name w:val="TableBullet"/>
    <w:basedOn w:val="TableText"/>
    <w:next w:val="Subtitle"/>
    <w:rsid w:val="00CF2680"/>
    <w:pPr>
      <w:numPr>
        <w:numId w:val="3"/>
      </w:numPr>
      <w:spacing w:before="0"/>
    </w:pPr>
  </w:style>
  <w:style w:type="paragraph" w:styleId="Subtitle">
    <w:name w:val="Subtitle"/>
    <w:basedOn w:val="Normal"/>
    <w:qFormat/>
    <w:rsid w:val="00B25787"/>
    <w:pPr>
      <w:spacing w:before="0" w:after="2000"/>
      <w:ind w:left="0"/>
      <w:outlineLvl w:val="1"/>
    </w:pPr>
    <w:rPr>
      <w:b/>
      <w:sz w:val="36"/>
      <w:szCs w:val="36"/>
    </w:rPr>
  </w:style>
  <w:style w:type="character" w:styleId="FollowedHyperlink">
    <w:name w:val="FollowedHyperlink"/>
    <w:basedOn w:val="DefaultParagraphFont"/>
    <w:rsid w:val="00A848A4"/>
    <w:rPr>
      <w:color w:val="800080"/>
      <w:u w:val="single"/>
    </w:rPr>
  </w:style>
  <w:style w:type="paragraph" w:customStyle="1" w:styleId="Box">
    <w:name w:val="Box"/>
    <w:basedOn w:val="Normal"/>
    <w:rsid w:val="00B671AB"/>
    <w:pPr>
      <w:pBdr>
        <w:top w:val="single" w:sz="4" w:space="12" w:color="auto"/>
        <w:left w:val="single" w:sz="4" w:space="12" w:color="auto"/>
        <w:bottom w:val="single" w:sz="4" w:space="12" w:color="auto"/>
        <w:right w:val="single" w:sz="4" w:space="12" w:color="auto"/>
      </w:pBdr>
      <w:spacing w:before="120"/>
      <w:ind w:left="851" w:right="284"/>
    </w:pPr>
    <w:rPr>
      <w:sz w:val="20"/>
    </w:rPr>
  </w:style>
  <w:style w:type="paragraph" w:customStyle="1" w:styleId="BoxHeading">
    <w:name w:val="BoxHeading"/>
    <w:basedOn w:val="Box"/>
    <w:next w:val="Box"/>
    <w:rsid w:val="00BD142E"/>
    <w:pPr>
      <w:keepNext/>
    </w:pPr>
    <w:rPr>
      <w:b/>
    </w:rPr>
  </w:style>
  <w:style w:type="paragraph" w:customStyle="1" w:styleId="BoxBullet">
    <w:name w:val="BoxBullet"/>
    <w:basedOn w:val="Box"/>
    <w:rsid w:val="00EA434F"/>
    <w:pPr>
      <w:numPr>
        <w:numId w:val="2"/>
      </w:numPr>
    </w:pPr>
  </w:style>
  <w:style w:type="paragraph" w:customStyle="1" w:styleId="Figure">
    <w:name w:val="Figure"/>
    <w:basedOn w:val="Normal"/>
    <w:next w:val="Normal"/>
    <w:rsid w:val="002F237A"/>
    <w:pPr>
      <w:keepNext/>
      <w:spacing w:after="120"/>
      <w:ind w:left="1701" w:hanging="992"/>
    </w:pPr>
    <w:rPr>
      <w:b/>
      <w:sz w:val="20"/>
    </w:rPr>
  </w:style>
  <w:style w:type="character" w:customStyle="1" w:styleId="HeaderChar">
    <w:name w:val="Header Char"/>
    <w:basedOn w:val="DefaultParagraphFont"/>
    <w:link w:val="Header"/>
    <w:uiPriority w:val="99"/>
    <w:rsid w:val="00D31409"/>
    <w:rPr>
      <w:rFonts w:ascii="Arial" w:hAnsi="Arial"/>
      <w:smallCaps/>
      <w:spacing w:val="40"/>
      <w:sz w:val="16"/>
      <w:szCs w:val="16"/>
      <w:lang w:eastAsia="en-GB"/>
    </w:rPr>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basedOn w:val="DefaultParagraphFont"/>
    <w:link w:val="Heading1"/>
    <w:rsid w:val="00D31409"/>
    <w:rPr>
      <w:rFonts w:ascii="Arial" w:hAnsi="Arial"/>
      <w:b/>
      <w:sz w:val="36"/>
      <w:szCs w:val="36"/>
      <w:lang w:eastAsia="en-GB"/>
    </w:rPr>
  </w:style>
  <w:style w:type="character" w:customStyle="1" w:styleId="Heading2Char">
    <w:name w:val="Heading 2 Char"/>
    <w:link w:val="Heading2"/>
    <w:rsid w:val="00D31409"/>
    <w:rPr>
      <w:rFonts w:ascii="Arial" w:hAnsi="Arial"/>
      <w:b/>
      <w:sz w:val="28"/>
      <w:szCs w:val="28"/>
      <w:lang w:eastAsia="en-GB"/>
    </w:rPr>
  </w:style>
  <w:style w:type="character" w:customStyle="1" w:styleId="FootnoteTextChar">
    <w:name w:val="Footnote Text Char"/>
    <w:aliases w:val="Footnote Text Char Char Char"/>
    <w:basedOn w:val="DefaultParagraphFont"/>
    <w:link w:val="FootnoteText"/>
    <w:rsid w:val="00D31409"/>
    <w:rPr>
      <w:rFonts w:ascii="Arial" w:hAnsi="Arial"/>
      <w:sz w:val="16"/>
      <w:szCs w:val="22"/>
      <w:lang w:eastAsia="en-GB"/>
    </w:rPr>
  </w:style>
  <w:style w:type="paragraph" w:customStyle="1" w:styleId="List8">
    <w:name w:val="List 8"/>
    <w:basedOn w:val="Normal"/>
    <w:uiPriority w:val="99"/>
    <w:rsid w:val="00D31409"/>
    <w:pPr>
      <w:numPr>
        <w:numId w:val="10"/>
      </w:numPr>
      <w:spacing w:before="0"/>
    </w:pPr>
    <w:rPr>
      <w:rFonts w:ascii="Times New Roman" w:hAnsi="Times New Roman"/>
      <w:sz w:val="20"/>
      <w:szCs w:val="20"/>
      <w:lang w:val="en-AU" w:eastAsia="en-US"/>
    </w:rPr>
  </w:style>
  <w:style w:type="character" w:customStyle="1" w:styleId="BulletChar">
    <w:name w:val="Bullet Char"/>
    <w:link w:val="Bullet"/>
    <w:uiPriority w:val="99"/>
    <w:locked/>
    <w:rsid w:val="00D31409"/>
    <w:rPr>
      <w:rFonts w:ascii="Arial" w:hAnsi="Arial"/>
      <w:sz w:val="22"/>
      <w:szCs w:val="22"/>
      <w:lang w:eastAsia="en-GB"/>
    </w:rPr>
  </w:style>
  <w:style w:type="character" w:customStyle="1" w:styleId="Heading3Char">
    <w:name w:val="Heading 3 Char"/>
    <w:basedOn w:val="DefaultParagraphFont"/>
    <w:link w:val="Heading3"/>
    <w:uiPriority w:val="99"/>
    <w:rsid w:val="00D31409"/>
    <w:rPr>
      <w:rFonts w:ascii="Arial" w:hAnsi="Arial"/>
      <w:b/>
      <w:i/>
      <w:sz w:val="24"/>
      <w:szCs w:val="24"/>
      <w:lang w:eastAsia="en-GB"/>
    </w:rPr>
  </w:style>
  <w:style w:type="paragraph" w:styleId="ListParagraph">
    <w:name w:val="List Paragraph"/>
    <w:basedOn w:val="Normal"/>
    <w:uiPriority w:val="34"/>
    <w:qFormat/>
    <w:rsid w:val="00390442"/>
    <w:pPr>
      <w:ind w:left="720"/>
      <w:contextualSpacing/>
    </w:pPr>
  </w:style>
  <w:style w:type="table" w:styleId="MediumShading1-Accent3">
    <w:name w:val="Medium Shading 1 Accent 3"/>
    <w:basedOn w:val="TableNormal"/>
    <w:uiPriority w:val="63"/>
    <w:rsid w:val="00390442"/>
    <w:rPr>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unhideWhenUsed/>
    <w:rsid w:val="00F2473C"/>
    <w:pPr>
      <w:spacing w:before="0"/>
      <w:ind w:left="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F2473C"/>
    <w:rPr>
      <w:rFonts w:ascii="Tahoma" w:eastAsiaTheme="minorHAnsi" w:hAnsi="Tahoma" w:cs="Tahoma"/>
      <w:sz w:val="16"/>
      <w:szCs w:val="16"/>
      <w:lang w:eastAsia="en-US"/>
    </w:rPr>
  </w:style>
  <w:style w:type="character" w:customStyle="1" w:styleId="Heading2Char1">
    <w:name w:val="Heading 2 Char1"/>
    <w:rsid w:val="00F2473C"/>
    <w:rPr>
      <w:rFonts w:ascii="Arial" w:hAnsi="Arial"/>
      <w:b/>
      <w:sz w:val="28"/>
      <w:szCs w:val="28"/>
      <w:lang w:eastAsia="en-GB"/>
    </w:rPr>
  </w:style>
  <w:style w:type="paragraph" w:customStyle="1" w:styleId="Default">
    <w:name w:val="Default"/>
    <w:rsid w:val="008B5237"/>
    <w:pPr>
      <w:autoSpaceDE w:val="0"/>
      <w:autoSpaceDN w:val="0"/>
      <w:adjustRightInd w:val="0"/>
    </w:pPr>
    <w:rPr>
      <w:rFonts w:ascii="Arial" w:eastAsiaTheme="minorHAnsi" w:hAnsi="Arial" w:cs="Arial"/>
      <w:color w:val="000000"/>
      <w:lang w:eastAsia="en-US"/>
    </w:rPr>
  </w:style>
  <w:style w:type="character" w:customStyle="1" w:styleId="Heading4Char">
    <w:name w:val="Heading 4 Char"/>
    <w:aliases w:val="List of figures Char"/>
    <w:basedOn w:val="DefaultParagraphFont"/>
    <w:link w:val="Heading4"/>
    <w:rsid w:val="00B81A8B"/>
    <w:rPr>
      <w:rFonts w:ascii="Arial" w:hAnsi="Arial"/>
      <w:b/>
      <w:sz w:val="22"/>
      <w:szCs w:val="22"/>
      <w:lang w:eastAsia="en-GB"/>
    </w:rPr>
  </w:style>
  <w:style w:type="table" w:styleId="TableGrid">
    <w:name w:val="Table Grid"/>
    <w:basedOn w:val="TableNormal"/>
    <w:uiPriority w:val="59"/>
    <w:rsid w:val="004123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412364"/>
    <w:pPr>
      <w:spacing w:before="120" w:after="120"/>
    </w:pPr>
    <w:rPr>
      <w:rFonts w:cs="Arial"/>
      <w:b/>
      <w:sz w:val="20"/>
    </w:rPr>
  </w:style>
  <w:style w:type="character" w:customStyle="1" w:styleId="QuoteChar">
    <w:name w:val="Quote Char"/>
    <w:basedOn w:val="DefaultParagraphFont"/>
    <w:link w:val="Quote"/>
    <w:rsid w:val="00830E42"/>
    <w:rPr>
      <w:rFonts w:ascii="Arial" w:hAnsi="Arial"/>
      <w:i/>
      <w:sz w:val="22"/>
      <w:szCs w:val="22"/>
      <w:lang w:eastAsia="en-GB"/>
    </w:rPr>
  </w:style>
  <w:style w:type="paragraph" w:customStyle="1" w:styleId="Pa40">
    <w:name w:val="Pa40"/>
    <w:basedOn w:val="Default"/>
    <w:next w:val="Default"/>
    <w:uiPriority w:val="99"/>
    <w:rsid w:val="009B1472"/>
    <w:pPr>
      <w:spacing w:line="221" w:lineRule="atLeast"/>
    </w:pPr>
    <w:rPr>
      <w:rFonts w:eastAsia="Times New Roman"/>
      <w:color w:val="auto"/>
      <w:lang w:eastAsia="en-NZ"/>
    </w:rPr>
  </w:style>
  <w:style w:type="character" w:customStyle="1" w:styleId="A20">
    <w:name w:val="A20"/>
    <w:uiPriority w:val="99"/>
    <w:rsid w:val="009B1472"/>
    <w:rPr>
      <w:color w:val="000000"/>
      <w:sz w:val="16"/>
      <w:szCs w:val="16"/>
    </w:rPr>
  </w:style>
  <w:style w:type="character" w:customStyle="1" w:styleId="st">
    <w:name w:val="st"/>
    <w:basedOn w:val="DefaultParagraphFont"/>
    <w:rsid w:val="00941810"/>
  </w:style>
  <w:style w:type="character" w:styleId="CommentReference">
    <w:name w:val="annotation reference"/>
    <w:basedOn w:val="DefaultParagraphFont"/>
    <w:uiPriority w:val="99"/>
    <w:semiHidden/>
    <w:unhideWhenUsed/>
    <w:rsid w:val="00127BDC"/>
    <w:rPr>
      <w:sz w:val="18"/>
      <w:szCs w:val="18"/>
    </w:rPr>
  </w:style>
  <w:style w:type="paragraph" w:styleId="CommentText">
    <w:name w:val="annotation text"/>
    <w:basedOn w:val="Normal"/>
    <w:link w:val="CommentTextChar"/>
    <w:uiPriority w:val="99"/>
    <w:semiHidden/>
    <w:unhideWhenUsed/>
    <w:rsid w:val="00127BDC"/>
    <w:rPr>
      <w:sz w:val="24"/>
      <w:szCs w:val="24"/>
    </w:rPr>
  </w:style>
  <w:style w:type="character" w:customStyle="1" w:styleId="CommentTextChar">
    <w:name w:val="Comment Text Char"/>
    <w:basedOn w:val="DefaultParagraphFont"/>
    <w:link w:val="CommentText"/>
    <w:uiPriority w:val="99"/>
    <w:semiHidden/>
    <w:rsid w:val="00127BDC"/>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127BDC"/>
    <w:rPr>
      <w:b/>
      <w:bCs/>
      <w:sz w:val="20"/>
      <w:szCs w:val="20"/>
    </w:rPr>
  </w:style>
  <w:style w:type="character" w:customStyle="1" w:styleId="CommentSubjectChar">
    <w:name w:val="Comment Subject Char"/>
    <w:basedOn w:val="CommentTextChar"/>
    <w:link w:val="CommentSubject"/>
    <w:uiPriority w:val="99"/>
    <w:semiHidden/>
    <w:rsid w:val="00127BDC"/>
    <w:rPr>
      <w:rFonts w:ascii="Arial" w:hAnsi="Arial"/>
      <w:b/>
      <w:bCs/>
      <w:sz w:val="24"/>
      <w:szCs w:val="24"/>
      <w:lang w:eastAsia="en-GB"/>
    </w:rPr>
  </w:style>
  <w:style w:type="paragraph" w:styleId="DocumentMap">
    <w:name w:val="Document Map"/>
    <w:basedOn w:val="Normal"/>
    <w:link w:val="DocumentMapChar"/>
    <w:uiPriority w:val="99"/>
    <w:semiHidden/>
    <w:unhideWhenUsed/>
    <w:rsid w:val="00D362BF"/>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62BF"/>
    <w:rPr>
      <w:rFonts w:ascii="Lucida Grande" w:hAnsi="Lucida Grande" w:cs="Lucida Grande"/>
      <w:sz w:val="24"/>
      <w:szCs w:val="24"/>
      <w:lang w:eastAsia="en-GB"/>
    </w:rPr>
  </w:style>
  <w:style w:type="paragraph" w:styleId="Revision">
    <w:name w:val="Revision"/>
    <w:hidden/>
    <w:uiPriority w:val="99"/>
    <w:semiHidden/>
    <w:rsid w:val="00A3302D"/>
    <w:rPr>
      <w:rFonts w:ascii="Arial" w:hAnsi="Arial"/>
      <w:sz w:val="22"/>
      <w:szCs w:val="22"/>
      <w:lang w:eastAsia="en-GB"/>
    </w:rPr>
  </w:style>
  <w:style w:type="character" w:customStyle="1" w:styleId="Heading5Char">
    <w:name w:val="Heading 5 Char"/>
    <w:basedOn w:val="DefaultParagraphFont"/>
    <w:link w:val="Heading5"/>
    <w:rsid w:val="00C37C0C"/>
    <w:rPr>
      <w:rFonts w:ascii="Arial" w:hAnsi="Arial"/>
      <w:b/>
      <w:i/>
      <w:sz w:val="22"/>
      <w:szCs w:val="22"/>
      <w:lang w:eastAsia="en-GB"/>
    </w:rPr>
  </w:style>
  <w:style w:type="paragraph" w:customStyle="1" w:styleId="UnnumtextBodytext">
    <w:name w:val="Unnum text: Body text"/>
    <w:basedOn w:val="Normal"/>
    <w:qFormat/>
    <w:rsid w:val="00EA3BEB"/>
    <w:pPr>
      <w:spacing w:before="0" w:after="170" w:line="260" w:lineRule="atLeast"/>
      <w:ind w:left="0"/>
    </w:pPr>
    <w:rPr>
      <w:rFonts w:ascii="Garamond" w:hAnsi="Garamond"/>
      <w:szCs w:val="20"/>
      <w:lang w:eastAsia="en-US"/>
    </w:rPr>
  </w:style>
  <w:style w:type="paragraph" w:customStyle="1" w:styleId="NumtextIndent1">
    <w:name w:val="Num text:  Indent 1"/>
    <w:basedOn w:val="Normal"/>
    <w:rsid w:val="00EA3BEB"/>
    <w:pPr>
      <w:numPr>
        <w:numId w:val="19"/>
      </w:numPr>
      <w:spacing w:before="0" w:after="170" w:line="260" w:lineRule="atLeast"/>
    </w:pPr>
    <w:rPr>
      <w:rFonts w:ascii="Garamond" w:hAnsi="Garamond"/>
      <w:szCs w:val="20"/>
      <w:lang w:eastAsia="en-US"/>
    </w:rPr>
  </w:style>
  <w:style w:type="table" w:customStyle="1" w:styleId="TableSapereGrid">
    <w:name w:val="Table Sapere Grid"/>
    <w:basedOn w:val="TableGrid"/>
    <w:rsid w:val="00381C3F"/>
    <w:rPr>
      <w:rFonts w:ascii="Garamond" w:eastAsia="Times New Roman" w:hAnsi="Garamond" w:cs="Times New Roman"/>
      <w:szCs w:val="20"/>
      <w:lang w:val="en-US"/>
    </w:rPr>
    <w:tblPr>
      <w:tblInd w:w="0" w:type="dxa"/>
      <w:tblBorders>
        <w:top w:val="single" w:sz="4" w:space="0" w:color="7B5E05"/>
        <w:bottom w:val="single" w:sz="4" w:space="0" w:color="7B5E05"/>
        <w:insideH w:val="single" w:sz="4" w:space="0" w:color="7B5E05"/>
        <w:insideV w:val="single" w:sz="4" w:space="0" w:color="7B5E05"/>
      </w:tblBorders>
      <w:tblCellMar>
        <w:top w:w="113" w:type="dxa"/>
        <w:left w:w="108" w:type="dxa"/>
        <w:bottom w:w="113" w:type="dxa"/>
        <w:right w:w="108"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Table-bodytext">
    <w:name w:val="Table - body text"/>
    <w:basedOn w:val="Normal"/>
    <w:rsid w:val="00EA3BEB"/>
    <w:pPr>
      <w:spacing w:before="0" w:after="120" w:line="190" w:lineRule="atLeast"/>
      <w:ind w:left="0"/>
    </w:pPr>
    <w:rPr>
      <w:rFonts w:ascii="Garamond" w:hAnsi="Garamond"/>
      <w:szCs w:val="20"/>
      <w:lang w:eastAsia="en-US"/>
    </w:rPr>
  </w:style>
  <w:style w:type="character" w:customStyle="1" w:styleId="FooterChar">
    <w:name w:val="Footer Char"/>
    <w:basedOn w:val="DefaultParagraphFont"/>
    <w:link w:val="Footer"/>
    <w:uiPriority w:val="99"/>
    <w:rsid w:val="00147DCD"/>
    <w:rPr>
      <w:rFonts w:ascii="Arial" w:hAnsi="Arial"/>
      <w:spacing w:val="40"/>
      <w:sz w:val="16"/>
      <w:szCs w:val="16"/>
      <w:lang w:eastAsia="en-GB"/>
    </w:rPr>
  </w:style>
  <w:style w:type="paragraph" w:styleId="Caption">
    <w:name w:val="caption"/>
    <w:basedOn w:val="Normal"/>
    <w:next w:val="Normal"/>
    <w:uiPriority w:val="35"/>
    <w:unhideWhenUsed/>
    <w:qFormat/>
    <w:rsid w:val="00147DCD"/>
    <w:pPr>
      <w:spacing w:before="0" w:after="200"/>
      <w:ind w:left="0"/>
    </w:pPr>
    <w:rPr>
      <w:rFonts w:asciiTheme="minorHAnsi" w:eastAsiaTheme="minorHAnsi" w:hAnsiTheme="minorHAnsi" w:cstheme="minorBidi"/>
      <w:i/>
      <w:iCs/>
      <w:color w:val="1F497D" w:themeColor="text2"/>
      <w:sz w:val="18"/>
      <w:szCs w:val="18"/>
      <w:lang w:eastAsia="en-US"/>
    </w:rPr>
  </w:style>
  <w:style w:type="paragraph" w:customStyle="1" w:styleId="Table-headingrow1">
    <w:name w:val="Table - heading (row 1)"/>
    <w:basedOn w:val="Normal"/>
    <w:rsid w:val="00962C7E"/>
    <w:pPr>
      <w:spacing w:before="0" w:line="260" w:lineRule="atLeast"/>
      <w:ind w:left="0"/>
    </w:pPr>
    <w:rPr>
      <w:rFonts w:ascii="Garamond" w:hAnsi="Garamond"/>
      <w:b/>
      <w:color w:val="FFFFFF"/>
      <w:szCs w:val="20"/>
      <w:lang w:eastAsia="en-US"/>
    </w:rPr>
  </w:style>
  <w:style w:type="paragraph" w:styleId="NormalWeb">
    <w:name w:val="Normal (Web)"/>
    <w:basedOn w:val="Normal"/>
    <w:uiPriority w:val="99"/>
    <w:unhideWhenUsed/>
    <w:rsid w:val="00F0707A"/>
    <w:pPr>
      <w:spacing w:before="0"/>
      <w:ind w:left="0"/>
    </w:pPr>
    <w:rPr>
      <w:rFonts w:ascii="Times New Roman" w:eastAsiaTheme="minorHAnsi" w:hAnsi="Times New Roman"/>
      <w:sz w:val="24"/>
      <w:szCs w:val="24"/>
      <w:lang w:eastAsia="en-NZ"/>
    </w:rPr>
  </w:style>
  <w:style w:type="character" w:styleId="Emphasis">
    <w:name w:val="Emphasis"/>
    <w:basedOn w:val="DefaultParagraphFont"/>
    <w:uiPriority w:val="20"/>
    <w:qFormat/>
    <w:rsid w:val="000E11AD"/>
    <w:rPr>
      <w:b/>
      <w:bCs/>
      <w:i w:val="0"/>
      <w:iCs w:val="0"/>
    </w:rPr>
  </w:style>
  <w:style w:type="character" w:customStyle="1" w:styleId="st1">
    <w:name w:val="st1"/>
    <w:basedOn w:val="DefaultParagraphFont"/>
    <w:rsid w:val="000E11AD"/>
  </w:style>
  <w:style w:type="character" w:customStyle="1" w:styleId="A3">
    <w:name w:val="A3"/>
    <w:uiPriority w:val="99"/>
    <w:rsid w:val="006C314B"/>
    <w:rPr>
      <w:rFonts w:cs="Gotham Rounded Light"/>
      <w:color w:val="000000"/>
      <w:sz w:val="20"/>
      <w:szCs w:val="20"/>
    </w:rPr>
  </w:style>
  <w:style w:type="character" w:customStyle="1" w:styleId="A2">
    <w:name w:val="A2"/>
    <w:uiPriority w:val="99"/>
    <w:rsid w:val="006C314B"/>
    <w:rPr>
      <w:rFonts w:cs="Gotham Rounded Light"/>
      <w:color w:val="000000"/>
      <w:sz w:val="20"/>
      <w:szCs w:val="20"/>
    </w:rPr>
  </w:style>
  <w:style w:type="paragraph" w:customStyle="1" w:styleId="Pa7">
    <w:name w:val="Pa7"/>
    <w:basedOn w:val="Default"/>
    <w:next w:val="Default"/>
    <w:uiPriority w:val="99"/>
    <w:rsid w:val="006C314B"/>
    <w:pPr>
      <w:spacing w:line="241" w:lineRule="atLeast"/>
    </w:pPr>
    <w:rPr>
      <w:rFonts w:ascii="Gotham Rounded Light" w:eastAsia="Times New Roman" w:hAnsi="Gotham Rounded Light" w:cs="Times New Roman"/>
      <w:color w:val="auto"/>
      <w:lang w:eastAsia="en-NZ"/>
    </w:rPr>
  </w:style>
  <w:style w:type="character" w:customStyle="1" w:styleId="A7">
    <w:name w:val="A7"/>
    <w:uiPriority w:val="99"/>
    <w:rsid w:val="006C314B"/>
    <w:rPr>
      <w:rFonts w:ascii="Gotham Rounded Bold" w:hAnsi="Gotham Rounded Bold" w:cs="Gotham Rounded Bold"/>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041">
      <w:bodyDiv w:val="1"/>
      <w:marLeft w:val="0"/>
      <w:marRight w:val="0"/>
      <w:marTop w:val="0"/>
      <w:marBottom w:val="0"/>
      <w:divBdr>
        <w:top w:val="none" w:sz="0" w:space="0" w:color="auto"/>
        <w:left w:val="none" w:sz="0" w:space="0" w:color="auto"/>
        <w:bottom w:val="none" w:sz="0" w:space="0" w:color="auto"/>
        <w:right w:val="none" w:sz="0" w:space="0" w:color="auto"/>
      </w:divBdr>
    </w:div>
    <w:div w:id="22823570">
      <w:bodyDiv w:val="1"/>
      <w:marLeft w:val="0"/>
      <w:marRight w:val="0"/>
      <w:marTop w:val="0"/>
      <w:marBottom w:val="0"/>
      <w:divBdr>
        <w:top w:val="none" w:sz="0" w:space="0" w:color="auto"/>
        <w:left w:val="none" w:sz="0" w:space="0" w:color="auto"/>
        <w:bottom w:val="none" w:sz="0" w:space="0" w:color="auto"/>
        <w:right w:val="none" w:sz="0" w:space="0" w:color="auto"/>
      </w:divBdr>
    </w:div>
    <w:div w:id="39911495">
      <w:bodyDiv w:val="1"/>
      <w:marLeft w:val="0"/>
      <w:marRight w:val="0"/>
      <w:marTop w:val="0"/>
      <w:marBottom w:val="0"/>
      <w:divBdr>
        <w:top w:val="none" w:sz="0" w:space="0" w:color="auto"/>
        <w:left w:val="none" w:sz="0" w:space="0" w:color="auto"/>
        <w:bottom w:val="none" w:sz="0" w:space="0" w:color="auto"/>
        <w:right w:val="none" w:sz="0" w:space="0" w:color="auto"/>
      </w:divBdr>
    </w:div>
    <w:div w:id="48237015">
      <w:bodyDiv w:val="1"/>
      <w:marLeft w:val="0"/>
      <w:marRight w:val="0"/>
      <w:marTop w:val="0"/>
      <w:marBottom w:val="0"/>
      <w:divBdr>
        <w:top w:val="none" w:sz="0" w:space="0" w:color="auto"/>
        <w:left w:val="none" w:sz="0" w:space="0" w:color="auto"/>
        <w:bottom w:val="none" w:sz="0" w:space="0" w:color="auto"/>
        <w:right w:val="none" w:sz="0" w:space="0" w:color="auto"/>
      </w:divBdr>
    </w:div>
    <w:div w:id="108739502">
      <w:bodyDiv w:val="1"/>
      <w:marLeft w:val="0"/>
      <w:marRight w:val="0"/>
      <w:marTop w:val="0"/>
      <w:marBottom w:val="0"/>
      <w:divBdr>
        <w:top w:val="none" w:sz="0" w:space="0" w:color="auto"/>
        <w:left w:val="none" w:sz="0" w:space="0" w:color="auto"/>
        <w:bottom w:val="none" w:sz="0" w:space="0" w:color="auto"/>
        <w:right w:val="none" w:sz="0" w:space="0" w:color="auto"/>
      </w:divBdr>
    </w:div>
    <w:div w:id="171604813">
      <w:bodyDiv w:val="1"/>
      <w:marLeft w:val="0"/>
      <w:marRight w:val="0"/>
      <w:marTop w:val="0"/>
      <w:marBottom w:val="0"/>
      <w:divBdr>
        <w:top w:val="none" w:sz="0" w:space="0" w:color="auto"/>
        <w:left w:val="none" w:sz="0" w:space="0" w:color="auto"/>
        <w:bottom w:val="none" w:sz="0" w:space="0" w:color="auto"/>
        <w:right w:val="none" w:sz="0" w:space="0" w:color="auto"/>
      </w:divBdr>
    </w:div>
    <w:div w:id="185412099">
      <w:bodyDiv w:val="1"/>
      <w:marLeft w:val="0"/>
      <w:marRight w:val="0"/>
      <w:marTop w:val="0"/>
      <w:marBottom w:val="0"/>
      <w:divBdr>
        <w:top w:val="none" w:sz="0" w:space="0" w:color="auto"/>
        <w:left w:val="none" w:sz="0" w:space="0" w:color="auto"/>
        <w:bottom w:val="none" w:sz="0" w:space="0" w:color="auto"/>
        <w:right w:val="none" w:sz="0" w:space="0" w:color="auto"/>
      </w:divBdr>
    </w:div>
    <w:div w:id="199170799">
      <w:bodyDiv w:val="1"/>
      <w:marLeft w:val="0"/>
      <w:marRight w:val="0"/>
      <w:marTop w:val="0"/>
      <w:marBottom w:val="0"/>
      <w:divBdr>
        <w:top w:val="none" w:sz="0" w:space="0" w:color="auto"/>
        <w:left w:val="none" w:sz="0" w:space="0" w:color="auto"/>
        <w:bottom w:val="none" w:sz="0" w:space="0" w:color="auto"/>
        <w:right w:val="none" w:sz="0" w:space="0" w:color="auto"/>
      </w:divBdr>
    </w:div>
    <w:div w:id="238103588">
      <w:bodyDiv w:val="1"/>
      <w:marLeft w:val="0"/>
      <w:marRight w:val="0"/>
      <w:marTop w:val="0"/>
      <w:marBottom w:val="0"/>
      <w:divBdr>
        <w:top w:val="none" w:sz="0" w:space="0" w:color="auto"/>
        <w:left w:val="none" w:sz="0" w:space="0" w:color="auto"/>
        <w:bottom w:val="none" w:sz="0" w:space="0" w:color="auto"/>
        <w:right w:val="none" w:sz="0" w:space="0" w:color="auto"/>
      </w:divBdr>
    </w:div>
    <w:div w:id="391120035">
      <w:bodyDiv w:val="1"/>
      <w:marLeft w:val="0"/>
      <w:marRight w:val="0"/>
      <w:marTop w:val="0"/>
      <w:marBottom w:val="0"/>
      <w:divBdr>
        <w:top w:val="none" w:sz="0" w:space="0" w:color="auto"/>
        <w:left w:val="none" w:sz="0" w:space="0" w:color="auto"/>
        <w:bottom w:val="none" w:sz="0" w:space="0" w:color="auto"/>
        <w:right w:val="none" w:sz="0" w:space="0" w:color="auto"/>
      </w:divBdr>
    </w:div>
    <w:div w:id="395008604">
      <w:bodyDiv w:val="1"/>
      <w:marLeft w:val="0"/>
      <w:marRight w:val="0"/>
      <w:marTop w:val="0"/>
      <w:marBottom w:val="0"/>
      <w:divBdr>
        <w:top w:val="none" w:sz="0" w:space="0" w:color="auto"/>
        <w:left w:val="none" w:sz="0" w:space="0" w:color="auto"/>
        <w:bottom w:val="none" w:sz="0" w:space="0" w:color="auto"/>
        <w:right w:val="none" w:sz="0" w:space="0" w:color="auto"/>
      </w:divBdr>
    </w:div>
    <w:div w:id="401753403">
      <w:bodyDiv w:val="1"/>
      <w:marLeft w:val="0"/>
      <w:marRight w:val="0"/>
      <w:marTop w:val="0"/>
      <w:marBottom w:val="0"/>
      <w:divBdr>
        <w:top w:val="none" w:sz="0" w:space="0" w:color="auto"/>
        <w:left w:val="none" w:sz="0" w:space="0" w:color="auto"/>
        <w:bottom w:val="none" w:sz="0" w:space="0" w:color="auto"/>
        <w:right w:val="none" w:sz="0" w:space="0" w:color="auto"/>
      </w:divBdr>
    </w:div>
    <w:div w:id="409087677">
      <w:bodyDiv w:val="1"/>
      <w:marLeft w:val="0"/>
      <w:marRight w:val="0"/>
      <w:marTop w:val="0"/>
      <w:marBottom w:val="0"/>
      <w:divBdr>
        <w:top w:val="none" w:sz="0" w:space="0" w:color="auto"/>
        <w:left w:val="none" w:sz="0" w:space="0" w:color="auto"/>
        <w:bottom w:val="none" w:sz="0" w:space="0" w:color="auto"/>
        <w:right w:val="none" w:sz="0" w:space="0" w:color="auto"/>
      </w:divBdr>
    </w:div>
    <w:div w:id="427314096">
      <w:bodyDiv w:val="1"/>
      <w:marLeft w:val="0"/>
      <w:marRight w:val="0"/>
      <w:marTop w:val="0"/>
      <w:marBottom w:val="0"/>
      <w:divBdr>
        <w:top w:val="none" w:sz="0" w:space="0" w:color="auto"/>
        <w:left w:val="none" w:sz="0" w:space="0" w:color="auto"/>
        <w:bottom w:val="none" w:sz="0" w:space="0" w:color="auto"/>
        <w:right w:val="none" w:sz="0" w:space="0" w:color="auto"/>
      </w:divBdr>
    </w:div>
    <w:div w:id="464204461">
      <w:bodyDiv w:val="1"/>
      <w:marLeft w:val="0"/>
      <w:marRight w:val="0"/>
      <w:marTop w:val="0"/>
      <w:marBottom w:val="0"/>
      <w:divBdr>
        <w:top w:val="none" w:sz="0" w:space="0" w:color="auto"/>
        <w:left w:val="none" w:sz="0" w:space="0" w:color="auto"/>
        <w:bottom w:val="none" w:sz="0" w:space="0" w:color="auto"/>
        <w:right w:val="none" w:sz="0" w:space="0" w:color="auto"/>
      </w:divBdr>
    </w:div>
    <w:div w:id="477919483">
      <w:bodyDiv w:val="1"/>
      <w:marLeft w:val="0"/>
      <w:marRight w:val="0"/>
      <w:marTop w:val="0"/>
      <w:marBottom w:val="0"/>
      <w:divBdr>
        <w:top w:val="none" w:sz="0" w:space="0" w:color="auto"/>
        <w:left w:val="none" w:sz="0" w:space="0" w:color="auto"/>
        <w:bottom w:val="none" w:sz="0" w:space="0" w:color="auto"/>
        <w:right w:val="none" w:sz="0" w:space="0" w:color="auto"/>
      </w:divBdr>
    </w:div>
    <w:div w:id="492843893">
      <w:bodyDiv w:val="1"/>
      <w:marLeft w:val="0"/>
      <w:marRight w:val="0"/>
      <w:marTop w:val="0"/>
      <w:marBottom w:val="0"/>
      <w:divBdr>
        <w:top w:val="none" w:sz="0" w:space="0" w:color="auto"/>
        <w:left w:val="none" w:sz="0" w:space="0" w:color="auto"/>
        <w:bottom w:val="none" w:sz="0" w:space="0" w:color="auto"/>
        <w:right w:val="none" w:sz="0" w:space="0" w:color="auto"/>
      </w:divBdr>
    </w:div>
    <w:div w:id="548952239">
      <w:bodyDiv w:val="1"/>
      <w:marLeft w:val="0"/>
      <w:marRight w:val="0"/>
      <w:marTop w:val="0"/>
      <w:marBottom w:val="0"/>
      <w:divBdr>
        <w:top w:val="none" w:sz="0" w:space="0" w:color="auto"/>
        <w:left w:val="none" w:sz="0" w:space="0" w:color="auto"/>
        <w:bottom w:val="none" w:sz="0" w:space="0" w:color="auto"/>
        <w:right w:val="none" w:sz="0" w:space="0" w:color="auto"/>
      </w:divBdr>
    </w:div>
    <w:div w:id="614674862">
      <w:bodyDiv w:val="1"/>
      <w:marLeft w:val="0"/>
      <w:marRight w:val="0"/>
      <w:marTop w:val="0"/>
      <w:marBottom w:val="0"/>
      <w:divBdr>
        <w:top w:val="none" w:sz="0" w:space="0" w:color="auto"/>
        <w:left w:val="none" w:sz="0" w:space="0" w:color="auto"/>
        <w:bottom w:val="none" w:sz="0" w:space="0" w:color="auto"/>
        <w:right w:val="none" w:sz="0" w:space="0" w:color="auto"/>
      </w:divBdr>
    </w:div>
    <w:div w:id="651448602">
      <w:bodyDiv w:val="1"/>
      <w:marLeft w:val="0"/>
      <w:marRight w:val="0"/>
      <w:marTop w:val="0"/>
      <w:marBottom w:val="0"/>
      <w:divBdr>
        <w:top w:val="none" w:sz="0" w:space="0" w:color="auto"/>
        <w:left w:val="none" w:sz="0" w:space="0" w:color="auto"/>
        <w:bottom w:val="none" w:sz="0" w:space="0" w:color="auto"/>
        <w:right w:val="none" w:sz="0" w:space="0" w:color="auto"/>
      </w:divBdr>
    </w:div>
    <w:div w:id="666832611">
      <w:bodyDiv w:val="1"/>
      <w:marLeft w:val="0"/>
      <w:marRight w:val="0"/>
      <w:marTop w:val="0"/>
      <w:marBottom w:val="0"/>
      <w:divBdr>
        <w:top w:val="none" w:sz="0" w:space="0" w:color="auto"/>
        <w:left w:val="none" w:sz="0" w:space="0" w:color="auto"/>
        <w:bottom w:val="none" w:sz="0" w:space="0" w:color="auto"/>
        <w:right w:val="none" w:sz="0" w:space="0" w:color="auto"/>
      </w:divBdr>
    </w:div>
    <w:div w:id="715931244">
      <w:bodyDiv w:val="1"/>
      <w:marLeft w:val="0"/>
      <w:marRight w:val="0"/>
      <w:marTop w:val="0"/>
      <w:marBottom w:val="0"/>
      <w:divBdr>
        <w:top w:val="none" w:sz="0" w:space="0" w:color="auto"/>
        <w:left w:val="none" w:sz="0" w:space="0" w:color="auto"/>
        <w:bottom w:val="none" w:sz="0" w:space="0" w:color="auto"/>
        <w:right w:val="none" w:sz="0" w:space="0" w:color="auto"/>
      </w:divBdr>
    </w:div>
    <w:div w:id="824129797">
      <w:bodyDiv w:val="1"/>
      <w:marLeft w:val="0"/>
      <w:marRight w:val="0"/>
      <w:marTop w:val="0"/>
      <w:marBottom w:val="0"/>
      <w:divBdr>
        <w:top w:val="none" w:sz="0" w:space="0" w:color="auto"/>
        <w:left w:val="none" w:sz="0" w:space="0" w:color="auto"/>
        <w:bottom w:val="none" w:sz="0" w:space="0" w:color="auto"/>
        <w:right w:val="none" w:sz="0" w:space="0" w:color="auto"/>
      </w:divBdr>
    </w:div>
    <w:div w:id="949161578">
      <w:bodyDiv w:val="1"/>
      <w:marLeft w:val="0"/>
      <w:marRight w:val="0"/>
      <w:marTop w:val="0"/>
      <w:marBottom w:val="0"/>
      <w:divBdr>
        <w:top w:val="none" w:sz="0" w:space="0" w:color="auto"/>
        <w:left w:val="none" w:sz="0" w:space="0" w:color="auto"/>
        <w:bottom w:val="none" w:sz="0" w:space="0" w:color="auto"/>
        <w:right w:val="none" w:sz="0" w:space="0" w:color="auto"/>
      </w:divBdr>
    </w:div>
    <w:div w:id="989165417">
      <w:bodyDiv w:val="1"/>
      <w:marLeft w:val="0"/>
      <w:marRight w:val="0"/>
      <w:marTop w:val="0"/>
      <w:marBottom w:val="0"/>
      <w:divBdr>
        <w:top w:val="none" w:sz="0" w:space="0" w:color="auto"/>
        <w:left w:val="none" w:sz="0" w:space="0" w:color="auto"/>
        <w:bottom w:val="none" w:sz="0" w:space="0" w:color="auto"/>
        <w:right w:val="none" w:sz="0" w:space="0" w:color="auto"/>
      </w:divBdr>
    </w:div>
    <w:div w:id="1000699356">
      <w:bodyDiv w:val="1"/>
      <w:marLeft w:val="0"/>
      <w:marRight w:val="0"/>
      <w:marTop w:val="0"/>
      <w:marBottom w:val="0"/>
      <w:divBdr>
        <w:top w:val="none" w:sz="0" w:space="0" w:color="auto"/>
        <w:left w:val="none" w:sz="0" w:space="0" w:color="auto"/>
        <w:bottom w:val="none" w:sz="0" w:space="0" w:color="auto"/>
        <w:right w:val="none" w:sz="0" w:space="0" w:color="auto"/>
      </w:divBdr>
    </w:div>
    <w:div w:id="1025711820">
      <w:bodyDiv w:val="1"/>
      <w:marLeft w:val="0"/>
      <w:marRight w:val="0"/>
      <w:marTop w:val="0"/>
      <w:marBottom w:val="0"/>
      <w:divBdr>
        <w:top w:val="none" w:sz="0" w:space="0" w:color="auto"/>
        <w:left w:val="none" w:sz="0" w:space="0" w:color="auto"/>
        <w:bottom w:val="none" w:sz="0" w:space="0" w:color="auto"/>
        <w:right w:val="none" w:sz="0" w:space="0" w:color="auto"/>
      </w:divBdr>
    </w:div>
    <w:div w:id="1065837208">
      <w:bodyDiv w:val="1"/>
      <w:marLeft w:val="0"/>
      <w:marRight w:val="0"/>
      <w:marTop w:val="0"/>
      <w:marBottom w:val="0"/>
      <w:divBdr>
        <w:top w:val="none" w:sz="0" w:space="0" w:color="auto"/>
        <w:left w:val="none" w:sz="0" w:space="0" w:color="auto"/>
        <w:bottom w:val="none" w:sz="0" w:space="0" w:color="auto"/>
        <w:right w:val="none" w:sz="0" w:space="0" w:color="auto"/>
      </w:divBdr>
    </w:div>
    <w:div w:id="1087337811">
      <w:bodyDiv w:val="1"/>
      <w:marLeft w:val="0"/>
      <w:marRight w:val="0"/>
      <w:marTop w:val="0"/>
      <w:marBottom w:val="0"/>
      <w:divBdr>
        <w:top w:val="none" w:sz="0" w:space="0" w:color="auto"/>
        <w:left w:val="none" w:sz="0" w:space="0" w:color="auto"/>
        <w:bottom w:val="none" w:sz="0" w:space="0" w:color="auto"/>
        <w:right w:val="none" w:sz="0" w:space="0" w:color="auto"/>
      </w:divBdr>
    </w:div>
    <w:div w:id="1152912187">
      <w:bodyDiv w:val="1"/>
      <w:marLeft w:val="0"/>
      <w:marRight w:val="0"/>
      <w:marTop w:val="0"/>
      <w:marBottom w:val="0"/>
      <w:divBdr>
        <w:top w:val="none" w:sz="0" w:space="0" w:color="auto"/>
        <w:left w:val="none" w:sz="0" w:space="0" w:color="auto"/>
        <w:bottom w:val="none" w:sz="0" w:space="0" w:color="auto"/>
        <w:right w:val="none" w:sz="0" w:space="0" w:color="auto"/>
      </w:divBdr>
    </w:div>
    <w:div w:id="1170173669">
      <w:bodyDiv w:val="1"/>
      <w:marLeft w:val="0"/>
      <w:marRight w:val="0"/>
      <w:marTop w:val="0"/>
      <w:marBottom w:val="0"/>
      <w:divBdr>
        <w:top w:val="none" w:sz="0" w:space="0" w:color="auto"/>
        <w:left w:val="none" w:sz="0" w:space="0" w:color="auto"/>
        <w:bottom w:val="none" w:sz="0" w:space="0" w:color="auto"/>
        <w:right w:val="none" w:sz="0" w:space="0" w:color="auto"/>
      </w:divBdr>
      <w:divsChild>
        <w:div w:id="158885437">
          <w:marLeft w:val="0"/>
          <w:marRight w:val="1"/>
          <w:marTop w:val="0"/>
          <w:marBottom w:val="0"/>
          <w:divBdr>
            <w:top w:val="none" w:sz="0" w:space="0" w:color="auto"/>
            <w:left w:val="none" w:sz="0" w:space="0" w:color="auto"/>
            <w:bottom w:val="none" w:sz="0" w:space="0" w:color="auto"/>
            <w:right w:val="none" w:sz="0" w:space="0" w:color="auto"/>
          </w:divBdr>
          <w:divsChild>
            <w:div w:id="177430375">
              <w:marLeft w:val="0"/>
              <w:marRight w:val="0"/>
              <w:marTop w:val="0"/>
              <w:marBottom w:val="0"/>
              <w:divBdr>
                <w:top w:val="none" w:sz="0" w:space="0" w:color="auto"/>
                <w:left w:val="none" w:sz="0" w:space="0" w:color="auto"/>
                <w:bottom w:val="none" w:sz="0" w:space="0" w:color="auto"/>
                <w:right w:val="none" w:sz="0" w:space="0" w:color="auto"/>
              </w:divBdr>
              <w:divsChild>
                <w:div w:id="1018238267">
                  <w:marLeft w:val="0"/>
                  <w:marRight w:val="1"/>
                  <w:marTop w:val="0"/>
                  <w:marBottom w:val="0"/>
                  <w:divBdr>
                    <w:top w:val="none" w:sz="0" w:space="0" w:color="auto"/>
                    <w:left w:val="none" w:sz="0" w:space="0" w:color="auto"/>
                    <w:bottom w:val="none" w:sz="0" w:space="0" w:color="auto"/>
                    <w:right w:val="none" w:sz="0" w:space="0" w:color="auto"/>
                  </w:divBdr>
                  <w:divsChild>
                    <w:div w:id="2019846803">
                      <w:marLeft w:val="0"/>
                      <w:marRight w:val="0"/>
                      <w:marTop w:val="0"/>
                      <w:marBottom w:val="0"/>
                      <w:divBdr>
                        <w:top w:val="none" w:sz="0" w:space="0" w:color="auto"/>
                        <w:left w:val="none" w:sz="0" w:space="0" w:color="auto"/>
                        <w:bottom w:val="none" w:sz="0" w:space="0" w:color="auto"/>
                        <w:right w:val="none" w:sz="0" w:space="0" w:color="auto"/>
                      </w:divBdr>
                      <w:divsChild>
                        <w:div w:id="796877040">
                          <w:marLeft w:val="0"/>
                          <w:marRight w:val="0"/>
                          <w:marTop w:val="0"/>
                          <w:marBottom w:val="0"/>
                          <w:divBdr>
                            <w:top w:val="none" w:sz="0" w:space="0" w:color="auto"/>
                            <w:left w:val="none" w:sz="0" w:space="0" w:color="auto"/>
                            <w:bottom w:val="none" w:sz="0" w:space="0" w:color="auto"/>
                            <w:right w:val="none" w:sz="0" w:space="0" w:color="auto"/>
                          </w:divBdr>
                          <w:divsChild>
                            <w:div w:id="1574195504">
                              <w:marLeft w:val="0"/>
                              <w:marRight w:val="0"/>
                              <w:marTop w:val="120"/>
                              <w:marBottom w:val="360"/>
                              <w:divBdr>
                                <w:top w:val="none" w:sz="0" w:space="0" w:color="auto"/>
                                <w:left w:val="none" w:sz="0" w:space="0" w:color="auto"/>
                                <w:bottom w:val="none" w:sz="0" w:space="0" w:color="auto"/>
                                <w:right w:val="none" w:sz="0" w:space="0" w:color="auto"/>
                              </w:divBdr>
                              <w:divsChild>
                                <w:div w:id="5914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4718">
      <w:bodyDiv w:val="1"/>
      <w:marLeft w:val="0"/>
      <w:marRight w:val="0"/>
      <w:marTop w:val="0"/>
      <w:marBottom w:val="0"/>
      <w:divBdr>
        <w:top w:val="none" w:sz="0" w:space="0" w:color="auto"/>
        <w:left w:val="none" w:sz="0" w:space="0" w:color="auto"/>
        <w:bottom w:val="none" w:sz="0" w:space="0" w:color="auto"/>
        <w:right w:val="none" w:sz="0" w:space="0" w:color="auto"/>
      </w:divBdr>
    </w:div>
    <w:div w:id="1280068276">
      <w:bodyDiv w:val="1"/>
      <w:marLeft w:val="0"/>
      <w:marRight w:val="0"/>
      <w:marTop w:val="0"/>
      <w:marBottom w:val="0"/>
      <w:divBdr>
        <w:top w:val="none" w:sz="0" w:space="0" w:color="auto"/>
        <w:left w:val="none" w:sz="0" w:space="0" w:color="auto"/>
        <w:bottom w:val="none" w:sz="0" w:space="0" w:color="auto"/>
        <w:right w:val="none" w:sz="0" w:space="0" w:color="auto"/>
      </w:divBdr>
    </w:div>
    <w:div w:id="1311639607">
      <w:bodyDiv w:val="1"/>
      <w:marLeft w:val="0"/>
      <w:marRight w:val="0"/>
      <w:marTop w:val="0"/>
      <w:marBottom w:val="0"/>
      <w:divBdr>
        <w:top w:val="none" w:sz="0" w:space="0" w:color="auto"/>
        <w:left w:val="none" w:sz="0" w:space="0" w:color="auto"/>
        <w:bottom w:val="none" w:sz="0" w:space="0" w:color="auto"/>
        <w:right w:val="none" w:sz="0" w:space="0" w:color="auto"/>
      </w:divBdr>
    </w:div>
    <w:div w:id="1317764108">
      <w:bodyDiv w:val="1"/>
      <w:marLeft w:val="0"/>
      <w:marRight w:val="0"/>
      <w:marTop w:val="0"/>
      <w:marBottom w:val="0"/>
      <w:divBdr>
        <w:top w:val="none" w:sz="0" w:space="0" w:color="auto"/>
        <w:left w:val="none" w:sz="0" w:space="0" w:color="auto"/>
        <w:bottom w:val="none" w:sz="0" w:space="0" w:color="auto"/>
        <w:right w:val="none" w:sz="0" w:space="0" w:color="auto"/>
      </w:divBdr>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
    <w:div w:id="1351759766">
      <w:bodyDiv w:val="1"/>
      <w:marLeft w:val="0"/>
      <w:marRight w:val="0"/>
      <w:marTop w:val="0"/>
      <w:marBottom w:val="0"/>
      <w:divBdr>
        <w:top w:val="none" w:sz="0" w:space="0" w:color="auto"/>
        <w:left w:val="none" w:sz="0" w:space="0" w:color="auto"/>
        <w:bottom w:val="none" w:sz="0" w:space="0" w:color="auto"/>
        <w:right w:val="none" w:sz="0" w:space="0" w:color="auto"/>
      </w:divBdr>
    </w:div>
    <w:div w:id="1392194129">
      <w:bodyDiv w:val="1"/>
      <w:marLeft w:val="0"/>
      <w:marRight w:val="0"/>
      <w:marTop w:val="0"/>
      <w:marBottom w:val="0"/>
      <w:divBdr>
        <w:top w:val="none" w:sz="0" w:space="0" w:color="auto"/>
        <w:left w:val="none" w:sz="0" w:space="0" w:color="auto"/>
        <w:bottom w:val="none" w:sz="0" w:space="0" w:color="auto"/>
        <w:right w:val="none" w:sz="0" w:space="0" w:color="auto"/>
      </w:divBdr>
    </w:div>
    <w:div w:id="1438792025">
      <w:bodyDiv w:val="1"/>
      <w:marLeft w:val="0"/>
      <w:marRight w:val="0"/>
      <w:marTop w:val="0"/>
      <w:marBottom w:val="0"/>
      <w:divBdr>
        <w:top w:val="none" w:sz="0" w:space="0" w:color="auto"/>
        <w:left w:val="none" w:sz="0" w:space="0" w:color="auto"/>
        <w:bottom w:val="none" w:sz="0" w:space="0" w:color="auto"/>
        <w:right w:val="none" w:sz="0" w:space="0" w:color="auto"/>
      </w:divBdr>
    </w:div>
    <w:div w:id="1463419519">
      <w:bodyDiv w:val="1"/>
      <w:marLeft w:val="0"/>
      <w:marRight w:val="0"/>
      <w:marTop w:val="0"/>
      <w:marBottom w:val="0"/>
      <w:divBdr>
        <w:top w:val="none" w:sz="0" w:space="0" w:color="auto"/>
        <w:left w:val="none" w:sz="0" w:space="0" w:color="auto"/>
        <w:bottom w:val="none" w:sz="0" w:space="0" w:color="auto"/>
        <w:right w:val="none" w:sz="0" w:space="0" w:color="auto"/>
      </w:divBdr>
    </w:div>
    <w:div w:id="1475828197">
      <w:bodyDiv w:val="1"/>
      <w:marLeft w:val="0"/>
      <w:marRight w:val="0"/>
      <w:marTop w:val="0"/>
      <w:marBottom w:val="0"/>
      <w:divBdr>
        <w:top w:val="none" w:sz="0" w:space="0" w:color="auto"/>
        <w:left w:val="none" w:sz="0" w:space="0" w:color="auto"/>
        <w:bottom w:val="none" w:sz="0" w:space="0" w:color="auto"/>
        <w:right w:val="none" w:sz="0" w:space="0" w:color="auto"/>
      </w:divBdr>
    </w:div>
    <w:div w:id="1483741529">
      <w:bodyDiv w:val="1"/>
      <w:marLeft w:val="0"/>
      <w:marRight w:val="0"/>
      <w:marTop w:val="0"/>
      <w:marBottom w:val="0"/>
      <w:divBdr>
        <w:top w:val="none" w:sz="0" w:space="0" w:color="auto"/>
        <w:left w:val="none" w:sz="0" w:space="0" w:color="auto"/>
        <w:bottom w:val="none" w:sz="0" w:space="0" w:color="auto"/>
        <w:right w:val="none" w:sz="0" w:space="0" w:color="auto"/>
      </w:divBdr>
    </w:div>
    <w:div w:id="1487551740">
      <w:bodyDiv w:val="1"/>
      <w:marLeft w:val="0"/>
      <w:marRight w:val="0"/>
      <w:marTop w:val="0"/>
      <w:marBottom w:val="0"/>
      <w:divBdr>
        <w:top w:val="none" w:sz="0" w:space="0" w:color="auto"/>
        <w:left w:val="none" w:sz="0" w:space="0" w:color="auto"/>
        <w:bottom w:val="none" w:sz="0" w:space="0" w:color="auto"/>
        <w:right w:val="none" w:sz="0" w:space="0" w:color="auto"/>
      </w:divBdr>
    </w:div>
    <w:div w:id="1497454425">
      <w:bodyDiv w:val="1"/>
      <w:marLeft w:val="0"/>
      <w:marRight w:val="0"/>
      <w:marTop w:val="0"/>
      <w:marBottom w:val="0"/>
      <w:divBdr>
        <w:top w:val="none" w:sz="0" w:space="0" w:color="auto"/>
        <w:left w:val="none" w:sz="0" w:space="0" w:color="auto"/>
        <w:bottom w:val="none" w:sz="0" w:space="0" w:color="auto"/>
        <w:right w:val="none" w:sz="0" w:space="0" w:color="auto"/>
      </w:divBdr>
    </w:div>
    <w:div w:id="1498229573">
      <w:bodyDiv w:val="1"/>
      <w:marLeft w:val="0"/>
      <w:marRight w:val="0"/>
      <w:marTop w:val="0"/>
      <w:marBottom w:val="0"/>
      <w:divBdr>
        <w:top w:val="none" w:sz="0" w:space="0" w:color="auto"/>
        <w:left w:val="none" w:sz="0" w:space="0" w:color="auto"/>
        <w:bottom w:val="none" w:sz="0" w:space="0" w:color="auto"/>
        <w:right w:val="none" w:sz="0" w:space="0" w:color="auto"/>
      </w:divBdr>
    </w:div>
    <w:div w:id="1543319753">
      <w:bodyDiv w:val="1"/>
      <w:marLeft w:val="0"/>
      <w:marRight w:val="0"/>
      <w:marTop w:val="0"/>
      <w:marBottom w:val="0"/>
      <w:divBdr>
        <w:top w:val="none" w:sz="0" w:space="0" w:color="auto"/>
        <w:left w:val="none" w:sz="0" w:space="0" w:color="auto"/>
        <w:bottom w:val="none" w:sz="0" w:space="0" w:color="auto"/>
        <w:right w:val="none" w:sz="0" w:space="0" w:color="auto"/>
      </w:divBdr>
    </w:div>
    <w:div w:id="1547403013">
      <w:bodyDiv w:val="1"/>
      <w:marLeft w:val="0"/>
      <w:marRight w:val="0"/>
      <w:marTop w:val="0"/>
      <w:marBottom w:val="0"/>
      <w:divBdr>
        <w:top w:val="none" w:sz="0" w:space="0" w:color="auto"/>
        <w:left w:val="none" w:sz="0" w:space="0" w:color="auto"/>
        <w:bottom w:val="none" w:sz="0" w:space="0" w:color="auto"/>
        <w:right w:val="none" w:sz="0" w:space="0" w:color="auto"/>
      </w:divBdr>
    </w:div>
    <w:div w:id="1576163242">
      <w:bodyDiv w:val="1"/>
      <w:marLeft w:val="0"/>
      <w:marRight w:val="0"/>
      <w:marTop w:val="0"/>
      <w:marBottom w:val="0"/>
      <w:divBdr>
        <w:top w:val="none" w:sz="0" w:space="0" w:color="auto"/>
        <w:left w:val="none" w:sz="0" w:space="0" w:color="auto"/>
        <w:bottom w:val="none" w:sz="0" w:space="0" w:color="auto"/>
        <w:right w:val="none" w:sz="0" w:space="0" w:color="auto"/>
      </w:divBdr>
    </w:div>
    <w:div w:id="1579097597">
      <w:bodyDiv w:val="1"/>
      <w:marLeft w:val="0"/>
      <w:marRight w:val="0"/>
      <w:marTop w:val="0"/>
      <w:marBottom w:val="0"/>
      <w:divBdr>
        <w:top w:val="none" w:sz="0" w:space="0" w:color="auto"/>
        <w:left w:val="none" w:sz="0" w:space="0" w:color="auto"/>
        <w:bottom w:val="none" w:sz="0" w:space="0" w:color="auto"/>
        <w:right w:val="none" w:sz="0" w:space="0" w:color="auto"/>
      </w:divBdr>
    </w:div>
    <w:div w:id="1579562231">
      <w:bodyDiv w:val="1"/>
      <w:marLeft w:val="0"/>
      <w:marRight w:val="0"/>
      <w:marTop w:val="0"/>
      <w:marBottom w:val="0"/>
      <w:divBdr>
        <w:top w:val="none" w:sz="0" w:space="0" w:color="auto"/>
        <w:left w:val="none" w:sz="0" w:space="0" w:color="auto"/>
        <w:bottom w:val="none" w:sz="0" w:space="0" w:color="auto"/>
        <w:right w:val="none" w:sz="0" w:space="0" w:color="auto"/>
      </w:divBdr>
    </w:div>
    <w:div w:id="1583950862">
      <w:bodyDiv w:val="1"/>
      <w:marLeft w:val="0"/>
      <w:marRight w:val="0"/>
      <w:marTop w:val="0"/>
      <w:marBottom w:val="0"/>
      <w:divBdr>
        <w:top w:val="none" w:sz="0" w:space="0" w:color="auto"/>
        <w:left w:val="none" w:sz="0" w:space="0" w:color="auto"/>
        <w:bottom w:val="none" w:sz="0" w:space="0" w:color="auto"/>
        <w:right w:val="none" w:sz="0" w:space="0" w:color="auto"/>
      </w:divBdr>
    </w:div>
    <w:div w:id="1596933630">
      <w:bodyDiv w:val="1"/>
      <w:marLeft w:val="0"/>
      <w:marRight w:val="0"/>
      <w:marTop w:val="0"/>
      <w:marBottom w:val="0"/>
      <w:divBdr>
        <w:top w:val="none" w:sz="0" w:space="0" w:color="auto"/>
        <w:left w:val="none" w:sz="0" w:space="0" w:color="auto"/>
        <w:bottom w:val="none" w:sz="0" w:space="0" w:color="auto"/>
        <w:right w:val="none" w:sz="0" w:space="0" w:color="auto"/>
      </w:divBdr>
    </w:div>
    <w:div w:id="1598296485">
      <w:bodyDiv w:val="1"/>
      <w:marLeft w:val="0"/>
      <w:marRight w:val="0"/>
      <w:marTop w:val="0"/>
      <w:marBottom w:val="0"/>
      <w:divBdr>
        <w:top w:val="none" w:sz="0" w:space="0" w:color="auto"/>
        <w:left w:val="none" w:sz="0" w:space="0" w:color="auto"/>
        <w:bottom w:val="none" w:sz="0" w:space="0" w:color="auto"/>
        <w:right w:val="none" w:sz="0" w:space="0" w:color="auto"/>
      </w:divBdr>
    </w:div>
    <w:div w:id="1627390736">
      <w:bodyDiv w:val="1"/>
      <w:marLeft w:val="0"/>
      <w:marRight w:val="0"/>
      <w:marTop w:val="0"/>
      <w:marBottom w:val="0"/>
      <w:divBdr>
        <w:top w:val="none" w:sz="0" w:space="0" w:color="auto"/>
        <w:left w:val="none" w:sz="0" w:space="0" w:color="auto"/>
        <w:bottom w:val="none" w:sz="0" w:space="0" w:color="auto"/>
        <w:right w:val="none" w:sz="0" w:space="0" w:color="auto"/>
      </w:divBdr>
    </w:div>
    <w:div w:id="1632783797">
      <w:bodyDiv w:val="1"/>
      <w:marLeft w:val="0"/>
      <w:marRight w:val="0"/>
      <w:marTop w:val="0"/>
      <w:marBottom w:val="0"/>
      <w:divBdr>
        <w:top w:val="none" w:sz="0" w:space="0" w:color="auto"/>
        <w:left w:val="none" w:sz="0" w:space="0" w:color="auto"/>
        <w:bottom w:val="none" w:sz="0" w:space="0" w:color="auto"/>
        <w:right w:val="none" w:sz="0" w:space="0" w:color="auto"/>
      </w:divBdr>
    </w:div>
    <w:div w:id="1690839642">
      <w:bodyDiv w:val="1"/>
      <w:marLeft w:val="0"/>
      <w:marRight w:val="0"/>
      <w:marTop w:val="0"/>
      <w:marBottom w:val="0"/>
      <w:divBdr>
        <w:top w:val="none" w:sz="0" w:space="0" w:color="auto"/>
        <w:left w:val="none" w:sz="0" w:space="0" w:color="auto"/>
        <w:bottom w:val="none" w:sz="0" w:space="0" w:color="auto"/>
        <w:right w:val="none" w:sz="0" w:space="0" w:color="auto"/>
      </w:divBdr>
    </w:div>
    <w:div w:id="1724330261">
      <w:bodyDiv w:val="1"/>
      <w:marLeft w:val="0"/>
      <w:marRight w:val="0"/>
      <w:marTop w:val="0"/>
      <w:marBottom w:val="0"/>
      <w:divBdr>
        <w:top w:val="none" w:sz="0" w:space="0" w:color="auto"/>
        <w:left w:val="none" w:sz="0" w:space="0" w:color="auto"/>
        <w:bottom w:val="none" w:sz="0" w:space="0" w:color="auto"/>
        <w:right w:val="none" w:sz="0" w:space="0" w:color="auto"/>
      </w:divBdr>
    </w:div>
    <w:div w:id="1755856400">
      <w:bodyDiv w:val="1"/>
      <w:marLeft w:val="0"/>
      <w:marRight w:val="0"/>
      <w:marTop w:val="0"/>
      <w:marBottom w:val="0"/>
      <w:divBdr>
        <w:top w:val="none" w:sz="0" w:space="0" w:color="auto"/>
        <w:left w:val="none" w:sz="0" w:space="0" w:color="auto"/>
        <w:bottom w:val="none" w:sz="0" w:space="0" w:color="auto"/>
        <w:right w:val="none" w:sz="0" w:space="0" w:color="auto"/>
      </w:divBdr>
    </w:div>
    <w:div w:id="1758625076">
      <w:bodyDiv w:val="1"/>
      <w:marLeft w:val="0"/>
      <w:marRight w:val="0"/>
      <w:marTop w:val="0"/>
      <w:marBottom w:val="0"/>
      <w:divBdr>
        <w:top w:val="none" w:sz="0" w:space="0" w:color="auto"/>
        <w:left w:val="none" w:sz="0" w:space="0" w:color="auto"/>
        <w:bottom w:val="none" w:sz="0" w:space="0" w:color="auto"/>
        <w:right w:val="none" w:sz="0" w:space="0" w:color="auto"/>
      </w:divBdr>
    </w:div>
    <w:div w:id="1807238108">
      <w:bodyDiv w:val="1"/>
      <w:marLeft w:val="0"/>
      <w:marRight w:val="0"/>
      <w:marTop w:val="0"/>
      <w:marBottom w:val="0"/>
      <w:divBdr>
        <w:top w:val="none" w:sz="0" w:space="0" w:color="auto"/>
        <w:left w:val="none" w:sz="0" w:space="0" w:color="auto"/>
        <w:bottom w:val="none" w:sz="0" w:space="0" w:color="auto"/>
        <w:right w:val="none" w:sz="0" w:space="0" w:color="auto"/>
      </w:divBdr>
    </w:div>
    <w:div w:id="1839227837">
      <w:bodyDiv w:val="1"/>
      <w:marLeft w:val="0"/>
      <w:marRight w:val="0"/>
      <w:marTop w:val="0"/>
      <w:marBottom w:val="0"/>
      <w:divBdr>
        <w:top w:val="none" w:sz="0" w:space="0" w:color="auto"/>
        <w:left w:val="none" w:sz="0" w:space="0" w:color="auto"/>
        <w:bottom w:val="none" w:sz="0" w:space="0" w:color="auto"/>
        <w:right w:val="none" w:sz="0" w:space="0" w:color="auto"/>
      </w:divBdr>
    </w:div>
    <w:div w:id="1885828005">
      <w:bodyDiv w:val="1"/>
      <w:marLeft w:val="0"/>
      <w:marRight w:val="0"/>
      <w:marTop w:val="0"/>
      <w:marBottom w:val="0"/>
      <w:divBdr>
        <w:top w:val="none" w:sz="0" w:space="0" w:color="auto"/>
        <w:left w:val="none" w:sz="0" w:space="0" w:color="auto"/>
        <w:bottom w:val="none" w:sz="0" w:space="0" w:color="auto"/>
        <w:right w:val="none" w:sz="0" w:space="0" w:color="auto"/>
      </w:divBdr>
    </w:div>
    <w:div w:id="1889997543">
      <w:bodyDiv w:val="1"/>
      <w:marLeft w:val="0"/>
      <w:marRight w:val="0"/>
      <w:marTop w:val="0"/>
      <w:marBottom w:val="0"/>
      <w:divBdr>
        <w:top w:val="none" w:sz="0" w:space="0" w:color="auto"/>
        <w:left w:val="none" w:sz="0" w:space="0" w:color="auto"/>
        <w:bottom w:val="none" w:sz="0" w:space="0" w:color="auto"/>
        <w:right w:val="none" w:sz="0" w:space="0" w:color="auto"/>
      </w:divBdr>
    </w:div>
    <w:div w:id="1984843847">
      <w:bodyDiv w:val="1"/>
      <w:marLeft w:val="0"/>
      <w:marRight w:val="0"/>
      <w:marTop w:val="0"/>
      <w:marBottom w:val="0"/>
      <w:divBdr>
        <w:top w:val="none" w:sz="0" w:space="0" w:color="auto"/>
        <w:left w:val="none" w:sz="0" w:space="0" w:color="auto"/>
        <w:bottom w:val="none" w:sz="0" w:space="0" w:color="auto"/>
        <w:right w:val="none" w:sz="0" w:space="0" w:color="auto"/>
      </w:divBdr>
    </w:div>
    <w:div w:id="2016955150">
      <w:bodyDiv w:val="1"/>
      <w:marLeft w:val="0"/>
      <w:marRight w:val="0"/>
      <w:marTop w:val="0"/>
      <w:marBottom w:val="0"/>
      <w:divBdr>
        <w:top w:val="none" w:sz="0" w:space="0" w:color="auto"/>
        <w:left w:val="none" w:sz="0" w:space="0" w:color="auto"/>
        <w:bottom w:val="none" w:sz="0" w:space="0" w:color="auto"/>
        <w:right w:val="none" w:sz="0" w:space="0" w:color="auto"/>
      </w:divBdr>
    </w:div>
    <w:div w:id="2122409114">
      <w:bodyDiv w:val="1"/>
      <w:marLeft w:val="0"/>
      <w:marRight w:val="0"/>
      <w:marTop w:val="0"/>
      <w:marBottom w:val="0"/>
      <w:divBdr>
        <w:top w:val="none" w:sz="0" w:space="0" w:color="auto"/>
        <w:left w:val="none" w:sz="0" w:space="0" w:color="auto"/>
        <w:bottom w:val="none" w:sz="0" w:space="0" w:color="auto"/>
        <w:right w:val="none" w:sz="0" w:space="0" w:color="auto"/>
      </w:divBdr>
    </w:div>
    <w:div w:id="21266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diseases-and-conditions/cancer-programme/bowel-cancer-programme/bowel-screening-pilot/bowel-screening-pilot-monitoring-indicators" TargetMode="External"/><Relationship Id="rId1" Type="http://schemas.openxmlformats.org/officeDocument/2006/relationships/hyperlink" Target="http://www.health.govt.nz/our-work/diseases-and-conditions/cancer-programme/bowel-cancer-programme/bowel-screening-pilot/bowel-screening-pilot-monitoring-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E1A4-939B-4CFB-847E-9BBF74F2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81B5589A</Template>
  <TotalTime>0</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Adherence to BSP quality standards</dc:title>
  <dc:creator>LITMUS</dc:creator>
  <cp:lastModifiedBy>Allan Potter</cp:lastModifiedBy>
  <cp:revision>2</cp:revision>
  <cp:lastPrinted>2017-01-30T00:03:00Z</cp:lastPrinted>
  <dcterms:created xsi:type="dcterms:W3CDTF">2017-01-30T00:12:00Z</dcterms:created>
  <dcterms:modified xsi:type="dcterms:W3CDTF">2017-01-30T00:12:00Z</dcterms:modified>
</cp:coreProperties>
</file>