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696" w:rsidRPr="00957976" w:rsidRDefault="00567696" w:rsidP="00567696">
      <w:pPr>
        <w:pStyle w:val="Heading2"/>
      </w:pPr>
      <w:bookmarkStart w:id="0" w:name="_Toc356566367"/>
      <w:bookmarkStart w:id="1" w:name="_Toc376617541"/>
      <w:bookmarkStart w:id="2" w:name="_Toc390872230"/>
      <w:bookmarkStart w:id="3" w:name="_Toc412540050"/>
      <w:bookmarkStart w:id="4" w:name="_Toc457842159"/>
      <w:bookmarkStart w:id="5" w:name="_GoBack"/>
      <w:r w:rsidRPr="00957976">
        <w:t xml:space="preserve">Appendix </w:t>
      </w:r>
      <w:r>
        <w:t>5</w:t>
      </w:r>
      <w:r w:rsidRPr="00957976">
        <w:t>:</w:t>
      </w:r>
      <w:r>
        <w:t xml:space="preserve">  </w:t>
      </w:r>
      <w:r w:rsidRPr="00957976">
        <w:t>BSP monitoring indicators</w:t>
      </w:r>
      <w:bookmarkEnd w:id="0"/>
      <w:bookmarkEnd w:id="1"/>
      <w:bookmarkEnd w:id="2"/>
      <w:bookmarkEnd w:id="3"/>
      <w:bookmarkEnd w:id="4"/>
      <w:r w:rsidRPr="00957976">
        <w:t xml:space="preserve"> </w:t>
      </w:r>
    </w:p>
    <w:bookmarkEnd w:id="5"/>
    <w:p w:rsidR="00E33CE7" w:rsidRDefault="00567696" w:rsidP="0087748F">
      <w:pPr>
        <w:ind w:left="0"/>
      </w:pPr>
      <w:r>
        <w:t xml:space="preserve">The Ministry of Health developed a detailed set of monitoring indicators which </w:t>
      </w:r>
      <w:r w:rsidR="00055491">
        <w:t>were</w:t>
      </w:r>
      <w:r>
        <w:t xml:space="preserve"> drawn up to monitor and evaluate the progress of the BSP.  </w:t>
      </w:r>
      <w:r w:rsidR="00E33CE7">
        <w:t xml:space="preserve">BSP monitoring indicators can be sourced </w:t>
      </w:r>
      <w:r w:rsidR="00055491">
        <w:t>at</w:t>
      </w:r>
      <w:r w:rsidR="00E33CE7">
        <w:t xml:space="preserve"> </w:t>
      </w:r>
      <w:hyperlink r:id="rId8" w:anchor="bspindicators" w:history="1">
        <w:r w:rsidR="00E33CE7" w:rsidRPr="00717ACF">
          <w:rPr>
            <w:rStyle w:val="Hyperlink"/>
          </w:rPr>
          <w:t>http://www.health.govt.nz/our-work/diseases-and-conditions/cancer-programme/bowel-cancer-programme/bowel-screening-pilot/bowel-screening-pilot-results#bspindicators</w:t>
        </w:r>
      </w:hyperlink>
      <w:r w:rsidR="00E33CE7">
        <w:t>. Table 13 is a summary of the</w:t>
      </w:r>
      <w:r w:rsidR="00B27A5B" w:rsidRPr="00B27A5B">
        <w:t xml:space="preserve"> </w:t>
      </w:r>
      <w:r w:rsidR="00B27A5B">
        <w:t>Ministry of Health’s</w:t>
      </w:r>
      <w:r w:rsidR="00E33CE7">
        <w:t xml:space="preserve"> BSP monitoring indicators as sourced on 29 July 2016. </w:t>
      </w:r>
    </w:p>
    <w:p w:rsidR="0087748F" w:rsidRDefault="0087748F" w:rsidP="0087748F">
      <w:pPr>
        <w:ind w:left="0"/>
      </w:pPr>
    </w:p>
    <w:p w:rsidR="00027442" w:rsidRPr="00075C15" w:rsidRDefault="00567696" w:rsidP="0087748F">
      <w:pPr>
        <w:pStyle w:val="Tableheading"/>
        <w:ind w:left="0"/>
      </w:pPr>
      <w:bookmarkStart w:id="6" w:name="_Toc412540175"/>
      <w:r w:rsidRPr="00075C15">
        <w:t xml:space="preserve">Table 13: </w:t>
      </w:r>
      <w:bookmarkEnd w:id="6"/>
      <w:r w:rsidR="00027442" w:rsidRPr="00075C15">
        <w:t>New Zealand BSP Monitoring Indicators for Round 1: 1 January 2012 to 31 December 2014 and for Round 2: 1 January 2014 to 30 September 2015</w:t>
      </w:r>
    </w:p>
    <w:tbl>
      <w:tblPr>
        <w:tblW w:w="4585" w:type="pct"/>
        <w:tblCellSpacing w:w="0" w:type="dxa"/>
        <w:tblInd w:w="511" w:type="dxa"/>
        <w:tblBorders>
          <w:top w:val="single" w:sz="4" w:space="0" w:color="auto"/>
          <w:left w:val="single" w:sz="4" w:space="0" w:color="auto"/>
          <w:bottom w:val="single" w:sz="4" w:space="0" w:color="auto"/>
          <w:right w:val="single" w:sz="4" w:space="0" w:color="auto"/>
          <w:insideH w:val="dotted" w:sz="4" w:space="0" w:color="auto"/>
        </w:tblBorders>
        <w:tblLayout w:type="fixed"/>
        <w:tblCellMar>
          <w:left w:w="0" w:type="dxa"/>
          <w:right w:w="0" w:type="dxa"/>
        </w:tblCellMar>
        <w:tblLook w:val="04A0" w:firstRow="1" w:lastRow="0" w:firstColumn="1" w:lastColumn="0" w:noHBand="0" w:noVBand="1"/>
      </w:tblPr>
      <w:tblGrid>
        <w:gridCol w:w="533"/>
        <w:gridCol w:w="1647"/>
        <w:gridCol w:w="2138"/>
        <w:gridCol w:w="1781"/>
        <w:gridCol w:w="2169"/>
      </w:tblGrid>
      <w:tr w:rsidR="00027442" w:rsidRPr="00E33CE7" w:rsidTr="00027442">
        <w:trPr>
          <w:tblHeader/>
          <w:tblCellSpacing w:w="0" w:type="dxa"/>
        </w:trPr>
        <w:tc>
          <w:tcPr>
            <w:tcW w:w="567" w:type="dxa"/>
            <w:tcBorders>
              <w:top w:val="single" w:sz="4" w:space="0" w:color="auto"/>
              <w:bottom w:val="single" w:sz="4" w:space="0" w:color="auto"/>
            </w:tcBorders>
            <w:shd w:val="clear" w:color="auto" w:fill="C2D69B" w:themeFill="accent3" w:themeFillTint="99"/>
            <w:tcMar>
              <w:top w:w="30" w:type="dxa"/>
              <w:left w:w="75" w:type="dxa"/>
              <w:bottom w:w="30" w:type="dxa"/>
              <w:right w:w="75" w:type="dxa"/>
            </w:tcMar>
            <w:vAlign w:val="bottom"/>
            <w:hideMark/>
          </w:tcPr>
          <w:p w:rsidR="00567696" w:rsidRPr="00E33CE7" w:rsidRDefault="00027442" w:rsidP="00567696">
            <w:pPr>
              <w:spacing w:before="0"/>
              <w:ind w:left="0"/>
              <w:rPr>
                <w:rFonts w:cs="Arial"/>
                <w:b/>
                <w:bCs/>
                <w:color w:val="FFFFFF" w:themeColor="background1"/>
                <w:sz w:val="16"/>
                <w:szCs w:val="16"/>
                <w:lang w:eastAsia="en-NZ"/>
              </w:rPr>
            </w:pPr>
            <w:r>
              <w:rPr>
                <w:rFonts w:cs="Arial"/>
                <w:b/>
                <w:bCs/>
                <w:color w:val="FFFFFF" w:themeColor="background1"/>
                <w:sz w:val="16"/>
                <w:szCs w:val="16"/>
                <w:lang w:eastAsia="en-NZ"/>
              </w:rPr>
              <w:t>No</w:t>
            </w:r>
          </w:p>
        </w:tc>
        <w:tc>
          <w:tcPr>
            <w:tcW w:w="1793" w:type="dxa"/>
            <w:tcBorders>
              <w:top w:val="single" w:sz="4" w:space="0" w:color="auto"/>
              <w:bottom w:val="single" w:sz="4" w:space="0" w:color="auto"/>
            </w:tcBorders>
            <w:shd w:val="clear" w:color="auto" w:fill="C2D69B" w:themeFill="accent3" w:themeFillTint="99"/>
            <w:tcMar>
              <w:top w:w="30" w:type="dxa"/>
              <w:left w:w="75" w:type="dxa"/>
              <w:bottom w:w="30" w:type="dxa"/>
              <w:right w:w="75" w:type="dxa"/>
            </w:tcMar>
            <w:vAlign w:val="bottom"/>
            <w:hideMark/>
          </w:tcPr>
          <w:p w:rsidR="00567696" w:rsidRPr="00E33CE7" w:rsidRDefault="00567696" w:rsidP="00567696">
            <w:pPr>
              <w:spacing w:before="0"/>
              <w:ind w:left="0"/>
              <w:rPr>
                <w:rFonts w:cs="Arial"/>
                <w:b/>
                <w:bCs/>
                <w:color w:val="FFFFFF" w:themeColor="background1"/>
                <w:sz w:val="16"/>
                <w:szCs w:val="16"/>
                <w:lang w:eastAsia="en-NZ"/>
              </w:rPr>
            </w:pPr>
            <w:r w:rsidRPr="00E33CE7">
              <w:rPr>
                <w:rFonts w:cs="Arial"/>
                <w:b/>
                <w:bCs/>
                <w:color w:val="FFFFFF" w:themeColor="background1"/>
                <w:sz w:val="16"/>
                <w:szCs w:val="16"/>
                <w:lang w:eastAsia="en-NZ"/>
              </w:rPr>
              <w:t>Indicator description</w:t>
            </w:r>
          </w:p>
        </w:tc>
        <w:tc>
          <w:tcPr>
            <w:tcW w:w="2332" w:type="dxa"/>
            <w:tcBorders>
              <w:top w:val="single" w:sz="4" w:space="0" w:color="auto"/>
              <w:bottom w:val="single" w:sz="4" w:space="0" w:color="auto"/>
            </w:tcBorders>
            <w:shd w:val="clear" w:color="auto" w:fill="C2D69B" w:themeFill="accent3" w:themeFillTint="99"/>
            <w:tcMar>
              <w:top w:w="30" w:type="dxa"/>
              <w:left w:w="75" w:type="dxa"/>
              <w:bottom w:w="30" w:type="dxa"/>
              <w:right w:w="75" w:type="dxa"/>
            </w:tcMar>
            <w:vAlign w:val="bottom"/>
            <w:hideMark/>
          </w:tcPr>
          <w:p w:rsidR="00567696" w:rsidRPr="00E33CE7" w:rsidRDefault="00567696" w:rsidP="00567696">
            <w:pPr>
              <w:spacing w:before="0"/>
              <w:ind w:left="0"/>
              <w:rPr>
                <w:rFonts w:cs="Arial"/>
                <w:b/>
                <w:bCs/>
                <w:color w:val="FFFFFF" w:themeColor="background1"/>
                <w:sz w:val="16"/>
                <w:szCs w:val="16"/>
                <w:lang w:eastAsia="en-NZ"/>
              </w:rPr>
            </w:pPr>
            <w:r w:rsidRPr="00E33CE7">
              <w:rPr>
                <w:rFonts w:cs="Arial"/>
                <w:b/>
                <w:bCs/>
                <w:color w:val="FFFFFF" w:themeColor="background1"/>
                <w:sz w:val="16"/>
                <w:szCs w:val="16"/>
                <w:lang w:eastAsia="en-NZ"/>
              </w:rPr>
              <w:t>Evidence</w:t>
            </w:r>
          </w:p>
        </w:tc>
        <w:tc>
          <w:tcPr>
            <w:tcW w:w="1940" w:type="dxa"/>
            <w:tcBorders>
              <w:top w:val="single" w:sz="4" w:space="0" w:color="auto"/>
              <w:bottom w:val="single" w:sz="4" w:space="0" w:color="auto"/>
            </w:tcBorders>
            <w:shd w:val="clear" w:color="auto" w:fill="C2D69B" w:themeFill="accent3" w:themeFillTint="99"/>
            <w:tcMar>
              <w:top w:w="30" w:type="dxa"/>
              <w:left w:w="75" w:type="dxa"/>
              <w:bottom w:w="30" w:type="dxa"/>
              <w:right w:w="75" w:type="dxa"/>
            </w:tcMar>
            <w:vAlign w:val="bottom"/>
            <w:hideMark/>
          </w:tcPr>
          <w:p w:rsidR="00567696" w:rsidRPr="00E33CE7" w:rsidRDefault="00567696" w:rsidP="00567696">
            <w:pPr>
              <w:spacing w:before="0"/>
              <w:ind w:left="0"/>
              <w:rPr>
                <w:rFonts w:cs="Arial"/>
                <w:b/>
                <w:bCs/>
                <w:color w:val="FFFFFF" w:themeColor="background1"/>
                <w:sz w:val="16"/>
                <w:szCs w:val="16"/>
                <w:lang w:eastAsia="en-NZ"/>
              </w:rPr>
            </w:pPr>
            <w:r w:rsidRPr="00E33CE7">
              <w:rPr>
                <w:rFonts w:cs="Arial"/>
                <w:b/>
                <w:bCs/>
                <w:color w:val="FFFFFF" w:themeColor="background1"/>
                <w:sz w:val="16"/>
                <w:szCs w:val="16"/>
                <w:lang w:eastAsia="en-NZ"/>
              </w:rPr>
              <w:t>Target</w:t>
            </w:r>
          </w:p>
        </w:tc>
        <w:tc>
          <w:tcPr>
            <w:tcW w:w="2365" w:type="dxa"/>
            <w:tcBorders>
              <w:top w:val="single" w:sz="4" w:space="0" w:color="auto"/>
              <w:bottom w:val="single" w:sz="4" w:space="0" w:color="auto"/>
            </w:tcBorders>
            <w:shd w:val="clear" w:color="auto" w:fill="C2D69B" w:themeFill="accent3" w:themeFillTint="99"/>
            <w:tcMar>
              <w:top w:w="30" w:type="dxa"/>
              <w:left w:w="75" w:type="dxa"/>
              <w:bottom w:w="30" w:type="dxa"/>
              <w:right w:w="75" w:type="dxa"/>
            </w:tcMar>
            <w:vAlign w:val="bottom"/>
            <w:hideMark/>
          </w:tcPr>
          <w:p w:rsidR="00567696" w:rsidRPr="00E33CE7" w:rsidRDefault="00027442" w:rsidP="00027442">
            <w:pPr>
              <w:spacing w:before="0"/>
              <w:ind w:left="0"/>
              <w:rPr>
                <w:rFonts w:cs="Arial"/>
                <w:b/>
                <w:bCs/>
                <w:color w:val="FFFFFF" w:themeColor="background1"/>
                <w:sz w:val="16"/>
                <w:szCs w:val="16"/>
                <w:lang w:eastAsia="en-NZ"/>
              </w:rPr>
            </w:pPr>
            <w:r>
              <w:rPr>
                <w:rFonts w:cs="Arial"/>
                <w:b/>
                <w:bCs/>
                <w:color w:val="FFFFFF" w:themeColor="background1"/>
                <w:sz w:val="16"/>
                <w:szCs w:val="16"/>
                <w:lang w:eastAsia="en-NZ"/>
              </w:rPr>
              <w:t>Value</w:t>
            </w:r>
          </w:p>
        </w:tc>
      </w:tr>
      <w:tr w:rsidR="00567696" w:rsidRPr="00CA4E12" w:rsidTr="00027442">
        <w:trPr>
          <w:trHeight w:val="425"/>
          <w:tblCellSpacing w:w="0" w:type="dxa"/>
        </w:trPr>
        <w:tc>
          <w:tcPr>
            <w:tcW w:w="567" w:type="dxa"/>
            <w:vMerge w:val="restart"/>
            <w:tcBorders>
              <w:top w:val="single" w:sz="4" w:space="0" w:color="auto"/>
              <w:bottom w:val="dotted" w:sz="4" w:space="0" w:color="auto"/>
            </w:tcBorders>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t>1</w:t>
            </w:r>
          </w:p>
        </w:tc>
        <w:tc>
          <w:tcPr>
            <w:tcW w:w="1793" w:type="dxa"/>
            <w:vMerge w:val="restart"/>
            <w:tcBorders>
              <w:top w:val="single" w:sz="4" w:space="0" w:color="auto"/>
              <w:bottom w:val="nil"/>
            </w:tcBorders>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t>Overall participation</w:t>
            </w:r>
          </w:p>
        </w:tc>
        <w:tc>
          <w:tcPr>
            <w:tcW w:w="2332" w:type="dxa"/>
            <w:vMerge w:val="restart"/>
            <w:tcBorders>
              <w:top w:val="single" w:sz="4" w:space="0" w:color="auto"/>
              <w:bottom w:val="nil"/>
            </w:tcBorders>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t>This is the % of people with a final iFOBT result (</w:t>
            </w:r>
            <w:r>
              <w:rPr>
                <w:rFonts w:cs="Arial"/>
                <w:sz w:val="16"/>
                <w:szCs w:val="16"/>
                <w:lang w:eastAsia="en-NZ"/>
              </w:rPr>
              <w:t>positive</w:t>
            </w:r>
            <w:r w:rsidRPr="00CA4E12">
              <w:rPr>
                <w:rFonts w:cs="Arial"/>
                <w:sz w:val="16"/>
                <w:szCs w:val="16"/>
                <w:lang w:eastAsia="en-NZ"/>
              </w:rPr>
              <w:t xml:space="preserve"> or </w:t>
            </w:r>
            <w:r>
              <w:rPr>
                <w:rFonts w:cs="Arial"/>
                <w:sz w:val="16"/>
                <w:szCs w:val="16"/>
                <w:lang w:eastAsia="en-NZ"/>
              </w:rPr>
              <w:t>negati</w:t>
            </w:r>
            <w:r w:rsidRPr="00CA4E12">
              <w:rPr>
                <w:rFonts w:cs="Arial"/>
                <w:sz w:val="16"/>
                <w:szCs w:val="16"/>
                <w:lang w:eastAsia="en-NZ"/>
              </w:rPr>
              <w:t xml:space="preserve">ve) out of all those </w:t>
            </w:r>
            <w:r>
              <w:rPr>
                <w:rFonts w:cs="Arial"/>
                <w:sz w:val="16"/>
                <w:szCs w:val="16"/>
                <w:lang w:eastAsia="en-NZ"/>
              </w:rPr>
              <w:t xml:space="preserve">eligible </w:t>
            </w:r>
            <w:r w:rsidRPr="00CA4E12">
              <w:rPr>
                <w:rFonts w:cs="Arial"/>
                <w:sz w:val="16"/>
                <w:szCs w:val="16"/>
                <w:lang w:eastAsia="en-NZ"/>
              </w:rPr>
              <w:t>invited by the programme</w:t>
            </w:r>
            <w:r>
              <w:rPr>
                <w:rFonts w:cs="Arial"/>
                <w:sz w:val="16"/>
                <w:szCs w:val="16"/>
                <w:lang w:eastAsia="en-NZ"/>
              </w:rPr>
              <w:t xml:space="preserve">, </w:t>
            </w:r>
            <w:r w:rsidRPr="00CA4E12">
              <w:rPr>
                <w:rFonts w:cs="Arial"/>
                <w:sz w:val="16"/>
                <w:szCs w:val="16"/>
                <w:lang w:eastAsia="en-NZ"/>
              </w:rPr>
              <w:t>for the first and subsequent screening round.</w:t>
            </w:r>
          </w:p>
        </w:tc>
        <w:tc>
          <w:tcPr>
            <w:tcW w:w="1940" w:type="dxa"/>
            <w:vMerge w:val="restart"/>
            <w:tcBorders>
              <w:top w:val="single" w:sz="4" w:space="0" w:color="auto"/>
              <w:bottom w:val="nil"/>
            </w:tcBorders>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t>60%</w:t>
            </w:r>
            <w:r>
              <w:rPr>
                <w:rFonts w:cs="Arial"/>
                <w:sz w:val="16"/>
                <w:szCs w:val="16"/>
                <w:lang w:eastAsia="en-NZ"/>
              </w:rPr>
              <w:t xml:space="preserve"> for</w:t>
            </w:r>
            <w:r w:rsidRPr="00CA4E12">
              <w:rPr>
                <w:rFonts w:cs="Arial"/>
                <w:sz w:val="16"/>
                <w:szCs w:val="16"/>
                <w:lang w:eastAsia="en-NZ"/>
              </w:rPr>
              <w:t xml:space="preserve"> first screen</w:t>
            </w:r>
            <w:r>
              <w:rPr>
                <w:rFonts w:cs="Arial"/>
                <w:sz w:val="16"/>
                <w:szCs w:val="16"/>
                <w:lang w:eastAsia="en-NZ"/>
              </w:rPr>
              <w:t xml:space="preserve"> (Round 1)</w:t>
            </w:r>
          </w:p>
        </w:tc>
        <w:tc>
          <w:tcPr>
            <w:tcW w:w="2365" w:type="dxa"/>
            <w:vMerge w:val="restart"/>
            <w:tcBorders>
              <w:top w:val="single" w:sz="4" w:space="0" w:color="auto"/>
              <w:bottom w:val="nil"/>
            </w:tcBorders>
            <w:tcMar>
              <w:top w:w="30" w:type="dxa"/>
              <w:left w:w="75" w:type="dxa"/>
              <w:bottom w:w="30" w:type="dxa"/>
              <w:right w:w="75" w:type="dxa"/>
            </w:tcMar>
            <w:hideMark/>
          </w:tcPr>
          <w:p w:rsidR="00E33CE7" w:rsidRDefault="00E33CE7" w:rsidP="00567696">
            <w:pPr>
              <w:spacing w:before="0"/>
              <w:ind w:left="0"/>
              <w:rPr>
                <w:rFonts w:cs="Arial"/>
                <w:sz w:val="16"/>
                <w:szCs w:val="16"/>
                <w:lang w:eastAsia="en-NZ"/>
              </w:rPr>
            </w:pPr>
            <w:r>
              <w:rPr>
                <w:rFonts w:cs="Arial"/>
                <w:sz w:val="16"/>
                <w:szCs w:val="16"/>
                <w:lang w:eastAsia="en-NZ"/>
              </w:rPr>
              <w:t xml:space="preserve">Round 1: 56.8% </w:t>
            </w:r>
          </w:p>
          <w:p w:rsidR="00E33CE7" w:rsidRDefault="00E33CE7" w:rsidP="00567696">
            <w:pPr>
              <w:spacing w:before="0"/>
              <w:ind w:left="0"/>
              <w:rPr>
                <w:rFonts w:cs="Arial"/>
                <w:sz w:val="16"/>
                <w:szCs w:val="16"/>
                <w:lang w:eastAsia="en-NZ"/>
              </w:rPr>
            </w:pPr>
          </w:p>
          <w:p w:rsidR="00567696" w:rsidRDefault="00567696" w:rsidP="00567696">
            <w:pPr>
              <w:spacing w:before="0"/>
              <w:ind w:left="0"/>
              <w:rPr>
                <w:rFonts w:cs="Arial"/>
                <w:sz w:val="16"/>
                <w:szCs w:val="16"/>
                <w:lang w:eastAsia="en-NZ"/>
              </w:rPr>
            </w:pPr>
            <w:r>
              <w:rPr>
                <w:rFonts w:cs="Arial"/>
                <w:sz w:val="16"/>
                <w:szCs w:val="16"/>
                <w:lang w:eastAsia="en-NZ"/>
              </w:rPr>
              <w:t xml:space="preserve">Average for </w:t>
            </w:r>
            <w:r w:rsidR="00555A5D">
              <w:rPr>
                <w:rFonts w:cs="Arial"/>
                <w:sz w:val="16"/>
                <w:szCs w:val="16"/>
                <w:lang w:eastAsia="en-NZ"/>
              </w:rPr>
              <w:t>R</w:t>
            </w:r>
            <w:r>
              <w:rPr>
                <w:rFonts w:cs="Arial"/>
                <w:sz w:val="16"/>
                <w:szCs w:val="16"/>
                <w:lang w:eastAsia="en-NZ"/>
              </w:rPr>
              <w:t>ound 2: 53.4%</w:t>
            </w:r>
          </w:p>
          <w:p w:rsidR="00567696" w:rsidRDefault="00075C15" w:rsidP="00567696">
            <w:pPr>
              <w:spacing w:before="0"/>
              <w:ind w:left="0"/>
              <w:rPr>
                <w:rFonts w:cs="Arial"/>
                <w:sz w:val="16"/>
                <w:szCs w:val="16"/>
                <w:lang w:eastAsia="en-NZ"/>
              </w:rPr>
            </w:pPr>
            <w:r>
              <w:rPr>
                <w:rFonts w:cs="Arial"/>
                <w:sz w:val="16"/>
                <w:szCs w:val="16"/>
                <w:lang w:eastAsia="en-NZ"/>
              </w:rPr>
              <w:t>Where R</w:t>
            </w:r>
            <w:r w:rsidR="00567696">
              <w:rPr>
                <w:rFonts w:cs="Arial"/>
                <w:sz w:val="16"/>
                <w:szCs w:val="16"/>
                <w:lang w:eastAsia="en-NZ"/>
              </w:rPr>
              <w:t>ound 2 was first screen</w:t>
            </w:r>
          </w:p>
          <w:p w:rsidR="00567696" w:rsidRPr="003A1909" w:rsidRDefault="00567696" w:rsidP="00567696">
            <w:pPr>
              <w:pStyle w:val="ListParagraph"/>
              <w:numPr>
                <w:ilvl w:val="0"/>
                <w:numId w:val="34"/>
              </w:numPr>
              <w:spacing w:before="0"/>
              <w:rPr>
                <w:rFonts w:cs="Arial"/>
                <w:sz w:val="16"/>
                <w:szCs w:val="16"/>
                <w:lang w:eastAsia="en-NZ"/>
              </w:rPr>
            </w:pPr>
            <w:r w:rsidRPr="003A1909">
              <w:rPr>
                <w:rFonts w:cs="Arial"/>
                <w:sz w:val="16"/>
                <w:szCs w:val="16"/>
                <w:lang w:eastAsia="en-NZ"/>
              </w:rPr>
              <w:t>Aged in or moved in:</w:t>
            </w:r>
            <w:r w:rsidR="00555A5D">
              <w:rPr>
                <w:rFonts w:cs="Arial"/>
                <w:sz w:val="16"/>
                <w:szCs w:val="16"/>
                <w:lang w:eastAsia="en-NZ"/>
              </w:rPr>
              <w:t xml:space="preserve"> </w:t>
            </w:r>
            <w:r w:rsidRPr="003A1909">
              <w:rPr>
                <w:rFonts w:cs="Arial"/>
                <w:sz w:val="16"/>
                <w:szCs w:val="16"/>
                <w:lang w:eastAsia="en-NZ"/>
              </w:rPr>
              <w:t>44.4%</w:t>
            </w:r>
          </w:p>
          <w:p w:rsidR="00567696" w:rsidRPr="003A1909" w:rsidRDefault="00567696" w:rsidP="00567696">
            <w:pPr>
              <w:pStyle w:val="ListParagraph"/>
              <w:numPr>
                <w:ilvl w:val="0"/>
                <w:numId w:val="34"/>
              </w:numPr>
              <w:spacing w:before="0"/>
              <w:rPr>
                <w:rFonts w:cs="Arial"/>
                <w:sz w:val="16"/>
                <w:szCs w:val="16"/>
                <w:lang w:eastAsia="en-NZ"/>
              </w:rPr>
            </w:pPr>
            <w:r w:rsidRPr="003A1909">
              <w:rPr>
                <w:rFonts w:cs="Arial"/>
                <w:sz w:val="16"/>
                <w:szCs w:val="16"/>
                <w:lang w:eastAsia="en-NZ"/>
              </w:rPr>
              <w:t>Did not respond or unsuccessful in Round 1:</w:t>
            </w:r>
            <w:r w:rsidR="00555A5D">
              <w:rPr>
                <w:rFonts w:cs="Arial"/>
                <w:sz w:val="16"/>
                <w:szCs w:val="16"/>
                <w:lang w:eastAsia="en-NZ"/>
              </w:rPr>
              <w:t xml:space="preserve"> </w:t>
            </w:r>
            <w:r w:rsidRPr="003A1909">
              <w:rPr>
                <w:rFonts w:cs="Arial"/>
                <w:sz w:val="16"/>
                <w:szCs w:val="16"/>
                <w:lang w:eastAsia="en-NZ"/>
              </w:rPr>
              <w:t>23.5%</w:t>
            </w:r>
          </w:p>
          <w:p w:rsidR="00567696" w:rsidRPr="00A14DB7" w:rsidRDefault="00567696" w:rsidP="00567696">
            <w:pPr>
              <w:spacing w:before="0"/>
              <w:ind w:left="0"/>
              <w:rPr>
                <w:rFonts w:cs="Arial"/>
                <w:sz w:val="16"/>
                <w:szCs w:val="16"/>
                <w:lang w:eastAsia="en-NZ"/>
              </w:rPr>
            </w:pPr>
            <w:r>
              <w:rPr>
                <w:rFonts w:cs="Arial"/>
                <w:sz w:val="16"/>
                <w:szCs w:val="16"/>
                <w:lang w:eastAsia="en-NZ"/>
              </w:rPr>
              <w:t>Where Round 2 was second screen: 83.2%</w:t>
            </w:r>
          </w:p>
        </w:tc>
      </w:tr>
      <w:tr w:rsidR="00567696" w:rsidRPr="00CA4E12" w:rsidTr="00027442">
        <w:trPr>
          <w:trHeight w:val="516"/>
          <w:tblCellSpacing w:w="0" w:type="dxa"/>
        </w:trPr>
        <w:tc>
          <w:tcPr>
            <w:tcW w:w="567" w:type="dxa"/>
            <w:vMerge/>
            <w:tcBorders>
              <w:top w:val="single" w:sz="4" w:space="0" w:color="auto"/>
              <w:bottom w:val="dotted" w:sz="4" w:space="0" w:color="auto"/>
            </w:tcBorders>
            <w:vAlign w:val="center"/>
            <w:hideMark/>
          </w:tcPr>
          <w:p w:rsidR="00567696" w:rsidRPr="00CA4E12" w:rsidRDefault="00567696" w:rsidP="00567696">
            <w:pPr>
              <w:spacing w:before="0"/>
              <w:ind w:left="0"/>
              <w:rPr>
                <w:rFonts w:cs="Arial"/>
                <w:sz w:val="16"/>
                <w:szCs w:val="16"/>
                <w:lang w:eastAsia="en-NZ"/>
              </w:rPr>
            </w:pPr>
          </w:p>
        </w:tc>
        <w:tc>
          <w:tcPr>
            <w:tcW w:w="1793" w:type="dxa"/>
            <w:vMerge/>
            <w:tcBorders>
              <w:top w:val="nil"/>
              <w:bottom w:val="nil"/>
            </w:tcBorders>
            <w:vAlign w:val="center"/>
            <w:hideMark/>
          </w:tcPr>
          <w:p w:rsidR="00567696" w:rsidRPr="00CA4E12" w:rsidRDefault="00567696" w:rsidP="00567696">
            <w:pPr>
              <w:spacing w:before="0"/>
              <w:ind w:left="0"/>
              <w:rPr>
                <w:rFonts w:cs="Arial"/>
                <w:sz w:val="16"/>
                <w:szCs w:val="16"/>
                <w:lang w:eastAsia="en-NZ"/>
              </w:rPr>
            </w:pPr>
          </w:p>
        </w:tc>
        <w:tc>
          <w:tcPr>
            <w:tcW w:w="2332" w:type="dxa"/>
            <w:vMerge/>
            <w:tcBorders>
              <w:top w:val="nil"/>
              <w:bottom w:val="nil"/>
            </w:tcBorders>
            <w:vAlign w:val="center"/>
            <w:hideMark/>
          </w:tcPr>
          <w:p w:rsidR="00567696" w:rsidRPr="00CA4E12" w:rsidRDefault="00567696" w:rsidP="00567696">
            <w:pPr>
              <w:spacing w:before="0"/>
              <w:ind w:left="0"/>
              <w:rPr>
                <w:rFonts w:cs="Arial"/>
                <w:sz w:val="16"/>
                <w:szCs w:val="16"/>
                <w:lang w:eastAsia="en-NZ"/>
              </w:rPr>
            </w:pPr>
          </w:p>
        </w:tc>
        <w:tc>
          <w:tcPr>
            <w:tcW w:w="1940" w:type="dxa"/>
            <w:vMerge/>
            <w:tcBorders>
              <w:top w:val="nil"/>
              <w:bottom w:val="nil"/>
            </w:tcBorders>
            <w:vAlign w:val="center"/>
            <w:hideMark/>
          </w:tcPr>
          <w:p w:rsidR="00567696" w:rsidRPr="00CA4E12" w:rsidRDefault="00567696" w:rsidP="00567696">
            <w:pPr>
              <w:spacing w:before="0"/>
              <w:ind w:left="0"/>
              <w:rPr>
                <w:rFonts w:cs="Arial"/>
                <w:sz w:val="16"/>
                <w:szCs w:val="16"/>
                <w:lang w:eastAsia="en-NZ"/>
              </w:rPr>
            </w:pPr>
          </w:p>
        </w:tc>
        <w:tc>
          <w:tcPr>
            <w:tcW w:w="2365" w:type="dxa"/>
            <w:vMerge/>
            <w:tcBorders>
              <w:top w:val="nil"/>
              <w:bottom w:val="nil"/>
            </w:tcBorders>
            <w:vAlign w:val="center"/>
            <w:hideMark/>
          </w:tcPr>
          <w:p w:rsidR="00567696" w:rsidRPr="00CA4E12" w:rsidRDefault="00567696" w:rsidP="00567696">
            <w:pPr>
              <w:spacing w:before="0"/>
              <w:ind w:left="0"/>
              <w:rPr>
                <w:rFonts w:cs="Arial"/>
                <w:sz w:val="16"/>
                <w:szCs w:val="16"/>
                <w:lang w:eastAsia="en-NZ"/>
              </w:rPr>
            </w:pPr>
          </w:p>
        </w:tc>
      </w:tr>
      <w:tr w:rsidR="00567696" w:rsidRPr="00CA4E12" w:rsidTr="00027442">
        <w:trPr>
          <w:tblCellSpacing w:w="0" w:type="dxa"/>
        </w:trPr>
        <w:tc>
          <w:tcPr>
            <w:tcW w:w="567" w:type="dxa"/>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t>2</w:t>
            </w:r>
          </w:p>
        </w:tc>
        <w:tc>
          <w:tcPr>
            <w:tcW w:w="1793" w:type="dxa"/>
            <w:tcBorders>
              <w:top w:val="dotted" w:sz="4" w:space="0" w:color="auto"/>
              <w:bottom w:val="dotted" w:sz="4" w:space="0" w:color="auto"/>
            </w:tcBorders>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t>Coverage</w:t>
            </w:r>
          </w:p>
        </w:tc>
        <w:tc>
          <w:tcPr>
            <w:tcW w:w="2332" w:type="dxa"/>
            <w:tcBorders>
              <w:top w:val="dotted" w:sz="4" w:space="0" w:color="auto"/>
              <w:bottom w:val="dotted" w:sz="4" w:space="0" w:color="auto"/>
            </w:tcBorders>
            <w:tcMar>
              <w:top w:w="30" w:type="dxa"/>
              <w:left w:w="75" w:type="dxa"/>
              <w:bottom w:w="30" w:type="dxa"/>
              <w:right w:w="75" w:type="dxa"/>
            </w:tcMar>
            <w:hideMark/>
          </w:tcPr>
          <w:p w:rsidR="00567696" w:rsidRPr="00CA4E12" w:rsidRDefault="00567696" w:rsidP="00555A5D">
            <w:pPr>
              <w:spacing w:before="0"/>
              <w:ind w:left="0"/>
              <w:rPr>
                <w:rFonts w:cs="Arial"/>
                <w:sz w:val="16"/>
                <w:szCs w:val="16"/>
                <w:lang w:eastAsia="en-NZ"/>
              </w:rPr>
            </w:pPr>
            <w:r w:rsidRPr="00CA4E12">
              <w:rPr>
                <w:rFonts w:cs="Arial"/>
                <w:sz w:val="16"/>
                <w:szCs w:val="16"/>
                <w:lang w:eastAsia="en-NZ"/>
              </w:rPr>
              <w:t>This is the % of eligible people in W</w:t>
            </w:r>
            <w:r>
              <w:rPr>
                <w:rFonts w:cs="Arial"/>
                <w:sz w:val="16"/>
                <w:szCs w:val="16"/>
                <w:lang w:eastAsia="en-NZ"/>
              </w:rPr>
              <w:t>aitemat</w:t>
            </w:r>
            <w:r w:rsidR="00555A5D">
              <w:rPr>
                <w:rFonts w:cs="Arial"/>
                <w:sz w:val="16"/>
                <w:szCs w:val="16"/>
                <w:lang w:eastAsia="en-NZ"/>
              </w:rPr>
              <w:t>ā</w:t>
            </w:r>
            <w:r>
              <w:rPr>
                <w:rFonts w:cs="Arial"/>
                <w:sz w:val="16"/>
                <w:szCs w:val="16"/>
                <w:lang w:eastAsia="en-NZ"/>
              </w:rPr>
              <w:t xml:space="preserve"> </w:t>
            </w:r>
            <w:r w:rsidRPr="00CA4E12">
              <w:rPr>
                <w:rFonts w:cs="Arial"/>
                <w:sz w:val="16"/>
                <w:szCs w:val="16"/>
                <w:lang w:eastAsia="en-NZ"/>
              </w:rPr>
              <w:t>DHB</w:t>
            </w:r>
            <w:r>
              <w:rPr>
                <w:rFonts w:cs="Arial"/>
                <w:sz w:val="16"/>
                <w:szCs w:val="16"/>
                <w:lang w:eastAsia="en-NZ"/>
              </w:rPr>
              <w:t xml:space="preserve"> region*</w:t>
            </w:r>
            <w:r w:rsidRPr="00CA4E12">
              <w:rPr>
                <w:rFonts w:cs="Arial"/>
                <w:sz w:val="16"/>
                <w:szCs w:val="16"/>
                <w:lang w:eastAsia="en-NZ"/>
              </w:rPr>
              <w:t xml:space="preserve"> who were invited to participate during the first screening round.</w:t>
            </w:r>
          </w:p>
        </w:tc>
        <w:tc>
          <w:tcPr>
            <w:tcW w:w="1940" w:type="dxa"/>
            <w:tcBorders>
              <w:top w:val="dotted" w:sz="4" w:space="0" w:color="auto"/>
              <w:bottom w:val="dotted" w:sz="4" w:space="0" w:color="auto"/>
            </w:tcBorders>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t>&gt;95%</w:t>
            </w:r>
          </w:p>
        </w:tc>
        <w:tc>
          <w:tcPr>
            <w:tcW w:w="2365" w:type="dxa"/>
            <w:tcBorders>
              <w:top w:val="dotted" w:sz="4" w:space="0" w:color="auto"/>
              <w:bottom w:val="dotted" w:sz="4" w:space="0" w:color="auto"/>
            </w:tcBorders>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Pr>
                <w:rFonts w:cs="Arial"/>
                <w:sz w:val="16"/>
                <w:szCs w:val="16"/>
                <w:lang w:eastAsia="en-NZ"/>
              </w:rPr>
              <w:t>97.50%</w:t>
            </w:r>
          </w:p>
        </w:tc>
      </w:tr>
      <w:tr w:rsidR="00567696" w:rsidRPr="00CA4E12" w:rsidTr="00027442">
        <w:trPr>
          <w:tblCellSpacing w:w="0" w:type="dxa"/>
        </w:trPr>
        <w:tc>
          <w:tcPr>
            <w:tcW w:w="567" w:type="dxa"/>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t>3</w:t>
            </w:r>
          </w:p>
        </w:tc>
        <w:tc>
          <w:tcPr>
            <w:tcW w:w="1793" w:type="dxa"/>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Pr>
                <w:rFonts w:cs="Arial"/>
                <w:sz w:val="16"/>
                <w:szCs w:val="16"/>
                <w:lang w:eastAsia="en-NZ"/>
              </w:rPr>
              <w:t>Time to colonoscopy as at December 2015</w:t>
            </w:r>
          </w:p>
        </w:tc>
        <w:tc>
          <w:tcPr>
            <w:tcW w:w="2332" w:type="dxa"/>
            <w:tcMar>
              <w:top w:w="30" w:type="dxa"/>
              <w:left w:w="75" w:type="dxa"/>
              <w:bottom w:w="30" w:type="dxa"/>
              <w:right w:w="75" w:type="dxa"/>
            </w:tcMar>
            <w:hideMark/>
          </w:tcPr>
          <w:p w:rsidR="00567696" w:rsidRDefault="00567696" w:rsidP="00567696">
            <w:pPr>
              <w:spacing w:before="0"/>
              <w:ind w:left="0"/>
              <w:rPr>
                <w:rFonts w:cs="Arial"/>
                <w:sz w:val="16"/>
                <w:szCs w:val="16"/>
                <w:lang w:eastAsia="en-NZ"/>
              </w:rPr>
            </w:pPr>
            <w:r w:rsidRPr="00CA4E12">
              <w:rPr>
                <w:rFonts w:cs="Arial"/>
                <w:sz w:val="16"/>
                <w:szCs w:val="16"/>
                <w:lang w:eastAsia="en-NZ"/>
              </w:rPr>
              <w:t>This is the % of people whose time between the laboratory receiving a positive iFOBT to having a colonoscopy carried out was within a specified target (excludes persons who decline colonoscopy</w:t>
            </w:r>
            <w:r>
              <w:rPr>
                <w:rFonts w:cs="Arial"/>
                <w:sz w:val="16"/>
                <w:szCs w:val="16"/>
                <w:lang w:eastAsia="en-NZ"/>
              </w:rPr>
              <w:t xml:space="preserve"> preformed privately</w:t>
            </w:r>
            <w:r w:rsidRPr="00CA4E12">
              <w:rPr>
                <w:rFonts w:cs="Arial"/>
                <w:sz w:val="16"/>
                <w:szCs w:val="16"/>
                <w:lang w:eastAsia="en-NZ"/>
              </w:rPr>
              <w:t>).</w:t>
            </w:r>
          </w:p>
          <w:p w:rsidR="00027442" w:rsidRPr="00CA4E12" w:rsidRDefault="00027442" w:rsidP="00567696">
            <w:pPr>
              <w:spacing w:before="0"/>
              <w:ind w:left="0"/>
              <w:rPr>
                <w:rFonts w:cs="Arial"/>
                <w:sz w:val="16"/>
                <w:szCs w:val="16"/>
                <w:lang w:eastAsia="en-NZ"/>
              </w:rPr>
            </w:pPr>
          </w:p>
        </w:tc>
        <w:tc>
          <w:tcPr>
            <w:tcW w:w="1940" w:type="dxa"/>
            <w:tcBorders>
              <w:top w:val="dotted" w:sz="4" w:space="0" w:color="auto"/>
              <w:bottom w:val="dotted" w:sz="4" w:space="0" w:color="auto"/>
            </w:tcBorders>
            <w:tcMar>
              <w:top w:w="30" w:type="dxa"/>
              <w:left w:w="75" w:type="dxa"/>
              <w:bottom w:w="30" w:type="dxa"/>
              <w:right w:w="75" w:type="dxa"/>
            </w:tcMar>
            <w:hideMark/>
          </w:tcPr>
          <w:p w:rsidR="00567696" w:rsidRPr="00CA4E12" w:rsidRDefault="00555A5D" w:rsidP="00567696">
            <w:pPr>
              <w:spacing w:before="0"/>
              <w:ind w:left="0"/>
              <w:rPr>
                <w:rFonts w:cs="Arial"/>
                <w:sz w:val="16"/>
                <w:szCs w:val="16"/>
                <w:lang w:eastAsia="en-NZ"/>
              </w:rPr>
            </w:pPr>
            <w:r>
              <w:rPr>
                <w:rFonts w:cs="Arial"/>
                <w:sz w:val="16"/>
                <w:szCs w:val="16"/>
                <w:lang w:eastAsia="en-NZ"/>
              </w:rPr>
              <w:t>95% &lt;11 weeks</w:t>
            </w:r>
          </w:p>
        </w:tc>
        <w:tc>
          <w:tcPr>
            <w:tcW w:w="2365" w:type="dxa"/>
            <w:tcBorders>
              <w:top w:val="dotted" w:sz="4" w:space="0" w:color="auto"/>
              <w:bottom w:val="dotted" w:sz="4" w:space="0" w:color="auto"/>
            </w:tcBorders>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Pr>
                <w:rFonts w:cs="Arial"/>
                <w:sz w:val="16"/>
                <w:szCs w:val="16"/>
                <w:lang w:eastAsia="en-NZ"/>
              </w:rPr>
              <w:t>95%</w:t>
            </w:r>
          </w:p>
        </w:tc>
      </w:tr>
      <w:tr w:rsidR="00567696" w:rsidRPr="00CA4E12" w:rsidTr="00027442">
        <w:trPr>
          <w:trHeight w:val="425"/>
          <w:tblCellSpacing w:w="0" w:type="dxa"/>
        </w:trPr>
        <w:tc>
          <w:tcPr>
            <w:tcW w:w="567" w:type="dxa"/>
            <w:vMerge w:val="restart"/>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t>4</w:t>
            </w:r>
          </w:p>
        </w:tc>
        <w:tc>
          <w:tcPr>
            <w:tcW w:w="1793" w:type="dxa"/>
            <w:vMerge w:val="restart"/>
            <w:tcBorders>
              <w:top w:val="dotted" w:sz="4" w:space="0" w:color="auto"/>
              <w:bottom w:val="dotted" w:sz="4" w:space="0" w:color="auto"/>
            </w:tcBorders>
            <w:tcMar>
              <w:top w:w="30" w:type="dxa"/>
              <w:left w:w="75" w:type="dxa"/>
              <w:bottom w:w="30" w:type="dxa"/>
              <w:right w:w="75" w:type="dxa"/>
            </w:tcMar>
            <w:hideMark/>
          </w:tcPr>
          <w:p w:rsidR="00E33CE7" w:rsidRDefault="00567696" w:rsidP="00567696">
            <w:pPr>
              <w:spacing w:before="0"/>
              <w:ind w:left="0"/>
              <w:rPr>
                <w:rFonts w:cs="Arial"/>
                <w:sz w:val="16"/>
                <w:szCs w:val="16"/>
                <w:lang w:eastAsia="en-NZ"/>
              </w:rPr>
            </w:pPr>
            <w:r w:rsidRPr="00CA4E12">
              <w:rPr>
                <w:rFonts w:cs="Arial"/>
                <w:sz w:val="16"/>
                <w:szCs w:val="16"/>
                <w:lang w:eastAsia="en-NZ"/>
              </w:rPr>
              <w:t>Proportion of individuals with a positive screening test undergoing colonoscopy</w:t>
            </w:r>
            <w:r>
              <w:rPr>
                <w:rFonts w:cs="Arial"/>
                <w:sz w:val="16"/>
                <w:szCs w:val="16"/>
                <w:lang w:eastAsia="en-NZ"/>
              </w:rPr>
              <w:t xml:space="preserve"> or CT colonography</w:t>
            </w:r>
          </w:p>
          <w:p w:rsidR="00567696" w:rsidRPr="00CA4E12" w:rsidRDefault="00567696" w:rsidP="00567696">
            <w:pPr>
              <w:spacing w:before="0"/>
              <w:ind w:left="0"/>
              <w:rPr>
                <w:rFonts w:cs="Arial"/>
                <w:sz w:val="16"/>
                <w:szCs w:val="16"/>
                <w:lang w:eastAsia="en-NZ"/>
              </w:rPr>
            </w:pPr>
            <w:r>
              <w:rPr>
                <w:rFonts w:cs="Arial"/>
                <w:sz w:val="16"/>
                <w:szCs w:val="16"/>
                <w:lang w:eastAsia="en-NZ"/>
              </w:rPr>
              <w:t xml:space="preserve"> </w:t>
            </w:r>
          </w:p>
        </w:tc>
        <w:tc>
          <w:tcPr>
            <w:tcW w:w="2332" w:type="dxa"/>
            <w:vMerge w:val="restart"/>
            <w:tcBorders>
              <w:top w:val="dotted" w:sz="4" w:space="0" w:color="auto"/>
              <w:bottom w:val="dotted" w:sz="4" w:space="0" w:color="auto"/>
            </w:tcBorders>
            <w:tcMar>
              <w:top w:w="30" w:type="dxa"/>
              <w:left w:w="75" w:type="dxa"/>
              <w:bottom w:w="30" w:type="dxa"/>
              <w:right w:w="75" w:type="dxa"/>
            </w:tcMar>
            <w:hideMark/>
          </w:tcPr>
          <w:p w:rsidR="00567696" w:rsidRPr="00CA4E12" w:rsidRDefault="00567696" w:rsidP="00555A5D">
            <w:pPr>
              <w:spacing w:before="0"/>
              <w:ind w:left="0"/>
              <w:rPr>
                <w:rFonts w:cs="Arial"/>
                <w:sz w:val="16"/>
                <w:szCs w:val="16"/>
                <w:lang w:eastAsia="en-NZ"/>
              </w:rPr>
            </w:pPr>
            <w:r w:rsidRPr="00CA4E12">
              <w:rPr>
                <w:rFonts w:cs="Arial"/>
                <w:sz w:val="16"/>
                <w:szCs w:val="16"/>
                <w:lang w:eastAsia="en-NZ"/>
              </w:rPr>
              <w:t xml:space="preserve">This is the % of screened people with a positive iFOBT result who </w:t>
            </w:r>
            <w:r w:rsidR="00555A5D">
              <w:rPr>
                <w:rFonts w:cs="Arial"/>
                <w:sz w:val="16"/>
                <w:szCs w:val="16"/>
                <w:lang w:eastAsia="en-NZ"/>
              </w:rPr>
              <w:t>have had</w:t>
            </w:r>
            <w:r w:rsidRPr="00CA4E12">
              <w:rPr>
                <w:rFonts w:cs="Arial"/>
                <w:sz w:val="16"/>
                <w:szCs w:val="16"/>
                <w:lang w:eastAsia="en-NZ"/>
              </w:rPr>
              <w:t xml:space="preserve"> a colonoscopy or CT</w:t>
            </w:r>
            <w:r w:rsidR="00555A5D">
              <w:rPr>
                <w:rFonts w:cs="Arial"/>
                <w:sz w:val="16"/>
                <w:szCs w:val="16"/>
                <w:lang w:eastAsia="en-NZ"/>
              </w:rPr>
              <w:t xml:space="preserve"> colonograpy </w:t>
            </w:r>
            <w:r>
              <w:rPr>
                <w:rFonts w:cs="Arial"/>
                <w:sz w:val="16"/>
                <w:szCs w:val="16"/>
                <w:lang w:eastAsia="en-NZ"/>
              </w:rPr>
              <w:t>through the programme, or have a date booked f</w:t>
            </w:r>
            <w:r w:rsidR="00027442">
              <w:rPr>
                <w:rFonts w:cs="Arial"/>
                <w:sz w:val="16"/>
                <w:szCs w:val="16"/>
                <w:lang w:eastAsia="en-NZ"/>
              </w:rPr>
              <w:t>o</w:t>
            </w:r>
            <w:r>
              <w:rPr>
                <w:rFonts w:cs="Arial"/>
                <w:sz w:val="16"/>
                <w:szCs w:val="16"/>
                <w:lang w:eastAsia="en-NZ"/>
              </w:rPr>
              <w:t>r a colonoscopy</w:t>
            </w:r>
          </w:p>
        </w:tc>
        <w:tc>
          <w:tcPr>
            <w:tcW w:w="1940" w:type="dxa"/>
            <w:vMerge w:val="restart"/>
            <w:tcBorders>
              <w:top w:val="dotted" w:sz="4" w:space="0" w:color="auto"/>
              <w:bottom w:val="dotted" w:sz="4" w:space="0" w:color="auto"/>
            </w:tcBorders>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t>&gt;90% undergo colonoscopy</w:t>
            </w:r>
            <w:r>
              <w:rPr>
                <w:rFonts w:cs="Arial"/>
                <w:sz w:val="16"/>
                <w:szCs w:val="16"/>
                <w:lang w:eastAsia="en-NZ"/>
              </w:rPr>
              <w:t xml:space="preserve"> or CT colonography</w:t>
            </w:r>
          </w:p>
        </w:tc>
        <w:tc>
          <w:tcPr>
            <w:tcW w:w="2365" w:type="dxa"/>
            <w:vMerge w:val="restart"/>
            <w:tcBorders>
              <w:top w:val="dotted" w:sz="4" w:space="0" w:color="auto"/>
              <w:bottom w:val="dotted" w:sz="4" w:space="0" w:color="auto"/>
            </w:tcBorders>
            <w:tcMar>
              <w:top w:w="30" w:type="dxa"/>
              <w:left w:w="75" w:type="dxa"/>
              <w:bottom w:w="30" w:type="dxa"/>
              <w:right w:w="75" w:type="dxa"/>
            </w:tcMar>
            <w:hideMark/>
          </w:tcPr>
          <w:p w:rsidR="00027442" w:rsidRDefault="00027442" w:rsidP="00567696">
            <w:pPr>
              <w:spacing w:before="0"/>
              <w:ind w:left="0"/>
              <w:rPr>
                <w:rFonts w:cs="Arial"/>
                <w:sz w:val="16"/>
                <w:szCs w:val="16"/>
                <w:lang w:eastAsia="en-NZ"/>
              </w:rPr>
            </w:pPr>
            <w:r>
              <w:rPr>
                <w:rFonts w:cs="Arial"/>
                <w:sz w:val="16"/>
                <w:szCs w:val="16"/>
                <w:lang w:eastAsia="en-NZ"/>
              </w:rPr>
              <w:t>Round 1: 88.1% (95.1%)</w:t>
            </w:r>
            <w:r w:rsidRPr="005E6B3C">
              <w:rPr>
                <w:rFonts w:cs="Arial"/>
                <w:sz w:val="16"/>
                <w:szCs w:val="16"/>
                <w:lang w:eastAsia="en-NZ"/>
              </w:rPr>
              <w:t>**</w:t>
            </w:r>
          </w:p>
          <w:p w:rsidR="00027442" w:rsidRDefault="00027442" w:rsidP="00567696">
            <w:pPr>
              <w:spacing w:before="0"/>
              <w:ind w:left="0"/>
              <w:rPr>
                <w:rFonts w:cs="Arial"/>
                <w:sz w:val="16"/>
                <w:szCs w:val="16"/>
                <w:lang w:eastAsia="en-NZ"/>
              </w:rPr>
            </w:pPr>
          </w:p>
          <w:p w:rsidR="00567696" w:rsidRPr="005E6B3C" w:rsidRDefault="00027442" w:rsidP="00567696">
            <w:pPr>
              <w:spacing w:before="0"/>
              <w:ind w:left="0"/>
              <w:rPr>
                <w:rFonts w:cs="Arial"/>
                <w:sz w:val="16"/>
                <w:szCs w:val="16"/>
                <w:lang w:eastAsia="en-NZ"/>
              </w:rPr>
            </w:pPr>
            <w:r>
              <w:rPr>
                <w:rFonts w:cs="Arial"/>
                <w:sz w:val="16"/>
                <w:szCs w:val="16"/>
                <w:lang w:eastAsia="en-NZ"/>
              </w:rPr>
              <w:t xml:space="preserve">Round 2: </w:t>
            </w:r>
            <w:r w:rsidR="00567696" w:rsidRPr="005E6B3C">
              <w:rPr>
                <w:rFonts w:cs="Arial"/>
                <w:sz w:val="16"/>
                <w:szCs w:val="16"/>
                <w:lang w:eastAsia="en-NZ"/>
              </w:rPr>
              <w:t>85.6% (93.3%) **</w:t>
            </w:r>
          </w:p>
        </w:tc>
      </w:tr>
      <w:tr w:rsidR="00567696" w:rsidRPr="00CA4E12" w:rsidTr="00027442">
        <w:trPr>
          <w:trHeight w:val="516"/>
          <w:tblCellSpacing w:w="0" w:type="dxa"/>
        </w:trPr>
        <w:tc>
          <w:tcPr>
            <w:tcW w:w="567" w:type="dxa"/>
            <w:vMerge/>
            <w:vAlign w:val="center"/>
            <w:hideMark/>
          </w:tcPr>
          <w:p w:rsidR="00567696" w:rsidRPr="00CA4E12" w:rsidRDefault="00567696" w:rsidP="00567696">
            <w:pPr>
              <w:spacing w:before="0"/>
              <w:ind w:left="0"/>
              <w:rPr>
                <w:rFonts w:cs="Arial"/>
                <w:sz w:val="16"/>
                <w:szCs w:val="16"/>
                <w:lang w:eastAsia="en-NZ"/>
              </w:rPr>
            </w:pPr>
          </w:p>
        </w:tc>
        <w:tc>
          <w:tcPr>
            <w:tcW w:w="1793" w:type="dxa"/>
            <w:vMerge/>
            <w:tcBorders>
              <w:top w:val="nil"/>
              <w:bottom w:val="dotted" w:sz="4" w:space="0" w:color="auto"/>
            </w:tcBorders>
            <w:vAlign w:val="center"/>
            <w:hideMark/>
          </w:tcPr>
          <w:p w:rsidR="00567696" w:rsidRPr="00CA4E12" w:rsidRDefault="00567696" w:rsidP="00567696">
            <w:pPr>
              <w:spacing w:before="0"/>
              <w:ind w:left="0"/>
              <w:rPr>
                <w:rFonts w:cs="Arial"/>
                <w:sz w:val="16"/>
                <w:szCs w:val="16"/>
                <w:lang w:eastAsia="en-NZ"/>
              </w:rPr>
            </w:pPr>
          </w:p>
        </w:tc>
        <w:tc>
          <w:tcPr>
            <w:tcW w:w="2332" w:type="dxa"/>
            <w:vMerge/>
            <w:tcBorders>
              <w:top w:val="nil"/>
              <w:bottom w:val="dotted" w:sz="4" w:space="0" w:color="auto"/>
            </w:tcBorders>
            <w:vAlign w:val="center"/>
            <w:hideMark/>
          </w:tcPr>
          <w:p w:rsidR="00567696" w:rsidRPr="00CA4E12" w:rsidRDefault="00567696" w:rsidP="00567696">
            <w:pPr>
              <w:spacing w:before="0"/>
              <w:ind w:left="0"/>
              <w:rPr>
                <w:rFonts w:cs="Arial"/>
                <w:sz w:val="16"/>
                <w:szCs w:val="16"/>
                <w:lang w:eastAsia="en-NZ"/>
              </w:rPr>
            </w:pPr>
          </w:p>
        </w:tc>
        <w:tc>
          <w:tcPr>
            <w:tcW w:w="1940" w:type="dxa"/>
            <w:vMerge/>
            <w:tcBorders>
              <w:top w:val="nil"/>
              <w:bottom w:val="dotted" w:sz="4" w:space="0" w:color="auto"/>
            </w:tcBorders>
            <w:vAlign w:val="center"/>
            <w:hideMark/>
          </w:tcPr>
          <w:p w:rsidR="00567696" w:rsidRPr="00CA4E12" w:rsidRDefault="00567696" w:rsidP="00567696">
            <w:pPr>
              <w:spacing w:before="0"/>
              <w:ind w:left="0"/>
              <w:rPr>
                <w:rFonts w:cs="Arial"/>
                <w:sz w:val="16"/>
                <w:szCs w:val="16"/>
                <w:lang w:eastAsia="en-NZ"/>
              </w:rPr>
            </w:pPr>
          </w:p>
        </w:tc>
        <w:tc>
          <w:tcPr>
            <w:tcW w:w="2365" w:type="dxa"/>
            <w:vMerge/>
            <w:tcBorders>
              <w:top w:val="nil"/>
              <w:bottom w:val="dotted" w:sz="4" w:space="0" w:color="auto"/>
            </w:tcBorders>
            <w:vAlign w:val="center"/>
            <w:hideMark/>
          </w:tcPr>
          <w:p w:rsidR="00567696" w:rsidRPr="00CA4E12" w:rsidRDefault="00567696" w:rsidP="00567696">
            <w:pPr>
              <w:spacing w:before="0"/>
              <w:ind w:left="0"/>
              <w:rPr>
                <w:rFonts w:cs="Arial"/>
                <w:sz w:val="16"/>
                <w:szCs w:val="16"/>
                <w:lang w:eastAsia="en-NZ"/>
              </w:rPr>
            </w:pPr>
          </w:p>
        </w:tc>
      </w:tr>
      <w:tr w:rsidR="00567696" w:rsidRPr="00CA4E12" w:rsidTr="00027442">
        <w:trPr>
          <w:tblCellSpacing w:w="0" w:type="dxa"/>
        </w:trPr>
        <w:tc>
          <w:tcPr>
            <w:tcW w:w="567" w:type="dxa"/>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t>5</w:t>
            </w:r>
          </w:p>
        </w:tc>
        <w:tc>
          <w:tcPr>
            <w:tcW w:w="1793" w:type="dxa"/>
            <w:tcMar>
              <w:top w:w="30" w:type="dxa"/>
              <w:left w:w="75" w:type="dxa"/>
              <w:bottom w:w="30" w:type="dxa"/>
              <w:right w:w="75" w:type="dxa"/>
            </w:tcMar>
            <w:hideMark/>
          </w:tcPr>
          <w:p w:rsidR="00567696" w:rsidRDefault="00567696" w:rsidP="00567696">
            <w:pPr>
              <w:spacing w:before="0"/>
              <w:ind w:left="0"/>
              <w:rPr>
                <w:rFonts w:cs="Arial"/>
                <w:sz w:val="16"/>
                <w:szCs w:val="16"/>
                <w:lang w:eastAsia="en-NZ"/>
              </w:rPr>
            </w:pPr>
            <w:r w:rsidRPr="00CA4E12">
              <w:rPr>
                <w:rFonts w:cs="Arial"/>
                <w:sz w:val="16"/>
                <w:szCs w:val="16"/>
                <w:lang w:eastAsia="en-NZ"/>
              </w:rPr>
              <w:t>Colonoscopy completion rate</w:t>
            </w:r>
            <w:r>
              <w:rPr>
                <w:rFonts w:cs="Arial"/>
                <w:sz w:val="16"/>
                <w:szCs w:val="16"/>
                <w:lang w:eastAsia="en-NZ"/>
              </w:rPr>
              <w:t xml:space="preserve"> as at September 2015</w:t>
            </w:r>
          </w:p>
          <w:p w:rsidR="00027442" w:rsidRPr="00CA4E12" w:rsidRDefault="00027442" w:rsidP="00567696">
            <w:pPr>
              <w:spacing w:before="0"/>
              <w:ind w:left="0"/>
              <w:rPr>
                <w:rFonts w:cs="Arial"/>
                <w:sz w:val="16"/>
                <w:szCs w:val="16"/>
                <w:lang w:eastAsia="en-NZ"/>
              </w:rPr>
            </w:pPr>
          </w:p>
        </w:tc>
        <w:tc>
          <w:tcPr>
            <w:tcW w:w="2332" w:type="dxa"/>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t>This is the % of completed colonoscopies (reaching the caecum).</w:t>
            </w:r>
          </w:p>
        </w:tc>
        <w:tc>
          <w:tcPr>
            <w:tcW w:w="1940" w:type="dxa"/>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t xml:space="preserve">Acceptable &gt;90% Desirable &gt; 95% </w:t>
            </w:r>
          </w:p>
        </w:tc>
        <w:tc>
          <w:tcPr>
            <w:tcW w:w="2365" w:type="dxa"/>
            <w:tcMar>
              <w:top w:w="30" w:type="dxa"/>
              <w:left w:w="75" w:type="dxa"/>
              <w:bottom w:w="30" w:type="dxa"/>
              <w:right w:w="75" w:type="dxa"/>
            </w:tcMar>
            <w:hideMark/>
          </w:tcPr>
          <w:p w:rsidR="00027442" w:rsidRDefault="00027442" w:rsidP="00567696">
            <w:pPr>
              <w:spacing w:before="0"/>
              <w:ind w:left="0"/>
              <w:rPr>
                <w:rFonts w:cs="Arial"/>
                <w:sz w:val="16"/>
                <w:szCs w:val="16"/>
                <w:lang w:eastAsia="en-NZ"/>
              </w:rPr>
            </w:pPr>
            <w:r>
              <w:rPr>
                <w:rFonts w:cs="Arial"/>
                <w:sz w:val="16"/>
                <w:szCs w:val="16"/>
                <w:lang w:eastAsia="en-NZ"/>
              </w:rPr>
              <w:t xml:space="preserve">Round 1: </w:t>
            </w:r>
            <w:r w:rsidRPr="005E6B3C">
              <w:rPr>
                <w:rFonts w:cs="Arial"/>
                <w:sz w:val="16"/>
                <w:szCs w:val="16"/>
                <w:lang w:eastAsia="en-NZ"/>
              </w:rPr>
              <w:t>Approximately 97%</w:t>
            </w:r>
          </w:p>
          <w:p w:rsidR="00567696" w:rsidRPr="005E6B3C" w:rsidRDefault="00027442" w:rsidP="00567696">
            <w:pPr>
              <w:spacing w:before="0"/>
              <w:ind w:left="0"/>
              <w:rPr>
                <w:rFonts w:cs="Arial"/>
                <w:sz w:val="16"/>
                <w:szCs w:val="16"/>
                <w:lang w:eastAsia="en-NZ"/>
              </w:rPr>
            </w:pPr>
            <w:r>
              <w:rPr>
                <w:rFonts w:cs="Arial"/>
                <w:sz w:val="16"/>
                <w:szCs w:val="16"/>
                <w:lang w:eastAsia="en-NZ"/>
              </w:rPr>
              <w:t xml:space="preserve">Round 2: </w:t>
            </w:r>
            <w:r w:rsidR="00567696" w:rsidRPr="005E6B3C">
              <w:rPr>
                <w:rFonts w:cs="Arial"/>
                <w:sz w:val="16"/>
                <w:szCs w:val="16"/>
                <w:lang w:eastAsia="en-NZ"/>
              </w:rPr>
              <w:t>Approximately 97%</w:t>
            </w:r>
          </w:p>
        </w:tc>
      </w:tr>
      <w:tr w:rsidR="00567696" w:rsidRPr="00CA4E12" w:rsidTr="00027442">
        <w:trPr>
          <w:tblCellSpacing w:w="0" w:type="dxa"/>
        </w:trPr>
        <w:tc>
          <w:tcPr>
            <w:tcW w:w="567" w:type="dxa"/>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t>6</w:t>
            </w:r>
          </w:p>
        </w:tc>
        <w:tc>
          <w:tcPr>
            <w:tcW w:w="1793" w:type="dxa"/>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t>Colonoscopy complication rate for perforation or bleeding</w:t>
            </w:r>
          </w:p>
        </w:tc>
        <w:tc>
          <w:tcPr>
            <w:tcW w:w="2332" w:type="dxa"/>
            <w:tcMar>
              <w:top w:w="30" w:type="dxa"/>
              <w:left w:w="75" w:type="dxa"/>
              <w:bottom w:w="30" w:type="dxa"/>
              <w:right w:w="75" w:type="dxa"/>
            </w:tcMar>
            <w:hideMark/>
          </w:tcPr>
          <w:p w:rsidR="00567696" w:rsidRDefault="00567696" w:rsidP="00567696">
            <w:pPr>
              <w:spacing w:before="0"/>
              <w:ind w:left="0"/>
              <w:rPr>
                <w:rFonts w:cs="Arial"/>
                <w:sz w:val="16"/>
                <w:szCs w:val="16"/>
                <w:lang w:eastAsia="en-NZ"/>
              </w:rPr>
            </w:pPr>
            <w:r w:rsidRPr="00CA4E12">
              <w:rPr>
                <w:rFonts w:cs="Arial"/>
                <w:sz w:val="16"/>
                <w:szCs w:val="16"/>
                <w:lang w:eastAsia="en-NZ"/>
              </w:rPr>
              <w:t>This is the number of people requiring admission to hospital for an intermediate or serious adverse event related to perforation or bleeding occurring within 30 days of colonoscopy, per 1000 of those who had a colonoscopy during the first and subsequent screening round.</w:t>
            </w:r>
          </w:p>
          <w:p w:rsidR="00E33CE7" w:rsidRPr="00CA4E12" w:rsidRDefault="00E33CE7" w:rsidP="00567696">
            <w:pPr>
              <w:spacing w:before="0"/>
              <w:ind w:left="0"/>
              <w:rPr>
                <w:rFonts w:cs="Arial"/>
                <w:sz w:val="16"/>
                <w:szCs w:val="16"/>
                <w:lang w:eastAsia="en-NZ"/>
              </w:rPr>
            </w:pPr>
          </w:p>
        </w:tc>
        <w:tc>
          <w:tcPr>
            <w:tcW w:w="1940" w:type="dxa"/>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Pr>
                <w:rFonts w:cs="Arial"/>
                <w:sz w:val="16"/>
                <w:szCs w:val="16"/>
                <w:lang w:eastAsia="en-NZ"/>
              </w:rPr>
              <w:t xml:space="preserve">&lt;10 per 1000 colonoscopies </w:t>
            </w:r>
          </w:p>
        </w:tc>
        <w:tc>
          <w:tcPr>
            <w:tcW w:w="2365" w:type="dxa"/>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Pr>
                <w:rFonts w:cs="Arial"/>
                <w:sz w:val="16"/>
                <w:szCs w:val="16"/>
                <w:lang w:eastAsia="en-NZ"/>
              </w:rPr>
              <w:t>3</w:t>
            </w:r>
            <w:r w:rsidRPr="00CA4E12">
              <w:rPr>
                <w:rFonts w:cs="Arial"/>
                <w:sz w:val="16"/>
                <w:szCs w:val="16"/>
                <w:lang w:eastAsia="en-NZ"/>
              </w:rPr>
              <w:t>.</w:t>
            </w:r>
            <w:r>
              <w:rPr>
                <w:rFonts w:cs="Arial"/>
                <w:sz w:val="16"/>
                <w:szCs w:val="16"/>
                <w:lang w:eastAsia="en-NZ"/>
              </w:rPr>
              <w:t>3</w:t>
            </w:r>
            <w:r w:rsidRPr="00CA4E12">
              <w:rPr>
                <w:rFonts w:cs="Arial"/>
                <w:sz w:val="16"/>
                <w:szCs w:val="16"/>
                <w:lang w:eastAsia="en-NZ"/>
              </w:rPr>
              <w:t xml:space="preserve"> per 1000</w:t>
            </w:r>
            <w:r>
              <w:rPr>
                <w:rFonts w:cs="Arial"/>
                <w:sz w:val="16"/>
                <w:szCs w:val="16"/>
                <w:lang w:eastAsia="en-NZ"/>
              </w:rPr>
              <w:t>***</w:t>
            </w:r>
          </w:p>
        </w:tc>
      </w:tr>
      <w:tr w:rsidR="00567696" w:rsidRPr="00CA4E12" w:rsidTr="00027442">
        <w:trPr>
          <w:trHeight w:val="491"/>
          <w:tblCellSpacing w:w="0" w:type="dxa"/>
        </w:trPr>
        <w:tc>
          <w:tcPr>
            <w:tcW w:w="567" w:type="dxa"/>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lastRenderedPageBreak/>
              <w:t>7</w:t>
            </w:r>
          </w:p>
        </w:tc>
        <w:tc>
          <w:tcPr>
            <w:tcW w:w="1793" w:type="dxa"/>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t>Colonoscopy complication rate for events other than perforation or bleeding</w:t>
            </w:r>
          </w:p>
        </w:tc>
        <w:tc>
          <w:tcPr>
            <w:tcW w:w="2332" w:type="dxa"/>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t>This is the number of people requiring admission to hospital for other intermediate or serious adverse events not related to perforation or bleeding occurring within 30 days of colonoscopy, per 1000 of those who had a colonoscopy during the first and subsequent screening round.</w:t>
            </w:r>
          </w:p>
        </w:tc>
        <w:tc>
          <w:tcPr>
            <w:tcW w:w="1940" w:type="dxa"/>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t>No agreed international standard</w:t>
            </w:r>
          </w:p>
        </w:tc>
        <w:tc>
          <w:tcPr>
            <w:tcW w:w="2365" w:type="dxa"/>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Pr>
                <w:rFonts w:cs="Arial"/>
                <w:sz w:val="16"/>
                <w:szCs w:val="16"/>
                <w:lang w:eastAsia="en-NZ"/>
              </w:rPr>
              <w:t>0.3</w:t>
            </w:r>
            <w:r w:rsidRPr="00CA4E12">
              <w:rPr>
                <w:rFonts w:cs="Arial"/>
                <w:sz w:val="16"/>
                <w:szCs w:val="16"/>
                <w:lang w:eastAsia="en-NZ"/>
              </w:rPr>
              <w:t xml:space="preserve"> per 1000</w:t>
            </w:r>
          </w:p>
        </w:tc>
      </w:tr>
      <w:tr w:rsidR="00567696" w:rsidRPr="00CA4E12" w:rsidTr="00027442">
        <w:trPr>
          <w:trHeight w:val="425"/>
          <w:tblCellSpacing w:w="0" w:type="dxa"/>
        </w:trPr>
        <w:tc>
          <w:tcPr>
            <w:tcW w:w="567" w:type="dxa"/>
            <w:vMerge w:val="restart"/>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t>8</w:t>
            </w:r>
          </w:p>
        </w:tc>
        <w:tc>
          <w:tcPr>
            <w:tcW w:w="1793" w:type="dxa"/>
            <w:vMerge w:val="restart"/>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t>Positivity rate</w:t>
            </w:r>
          </w:p>
        </w:tc>
        <w:tc>
          <w:tcPr>
            <w:tcW w:w="2332" w:type="dxa"/>
            <w:vMerge w:val="restart"/>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t>This is the % of people with a positive iFOBT during the first and subsequent screening round.</w:t>
            </w:r>
          </w:p>
        </w:tc>
        <w:tc>
          <w:tcPr>
            <w:tcW w:w="1940" w:type="dxa"/>
            <w:vMerge w:val="restart"/>
            <w:tcMar>
              <w:top w:w="30" w:type="dxa"/>
              <w:left w:w="75" w:type="dxa"/>
              <w:bottom w:w="30" w:type="dxa"/>
              <w:right w:w="75" w:type="dxa"/>
            </w:tcMar>
            <w:hideMark/>
          </w:tcPr>
          <w:p w:rsidR="00782097" w:rsidRDefault="00782097" w:rsidP="00782097">
            <w:pPr>
              <w:spacing w:before="0"/>
              <w:ind w:left="0"/>
              <w:rPr>
                <w:rFonts w:cs="Arial"/>
                <w:sz w:val="16"/>
                <w:szCs w:val="16"/>
                <w:lang w:eastAsia="en-NZ"/>
              </w:rPr>
            </w:pPr>
            <w:r>
              <w:rPr>
                <w:rFonts w:cs="Arial"/>
                <w:sz w:val="16"/>
                <w:szCs w:val="16"/>
                <w:lang w:eastAsia="en-NZ"/>
              </w:rPr>
              <w:t xml:space="preserve">6–8% for first screen (Round 1) </w:t>
            </w:r>
          </w:p>
          <w:p w:rsidR="00782097" w:rsidRDefault="00782097" w:rsidP="00782097">
            <w:pPr>
              <w:spacing w:before="0"/>
              <w:ind w:left="0"/>
              <w:rPr>
                <w:rFonts w:cs="Arial"/>
                <w:sz w:val="16"/>
                <w:szCs w:val="16"/>
                <w:lang w:eastAsia="en-NZ"/>
              </w:rPr>
            </w:pPr>
          </w:p>
          <w:p w:rsidR="00567696" w:rsidRPr="00A12C0C" w:rsidRDefault="00567696" w:rsidP="00782097">
            <w:pPr>
              <w:spacing w:before="0"/>
              <w:ind w:left="0"/>
              <w:rPr>
                <w:rFonts w:cs="Arial"/>
                <w:sz w:val="16"/>
                <w:szCs w:val="16"/>
                <w:lang w:eastAsia="en-NZ"/>
              </w:rPr>
            </w:pPr>
            <w:r>
              <w:rPr>
                <w:rFonts w:cs="Arial"/>
                <w:sz w:val="16"/>
                <w:szCs w:val="16"/>
                <w:lang w:eastAsia="en-NZ"/>
              </w:rPr>
              <w:t xml:space="preserve">No agreed target for </w:t>
            </w:r>
            <w:r w:rsidR="00782097">
              <w:rPr>
                <w:rFonts w:cs="Arial"/>
                <w:sz w:val="16"/>
                <w:szCs w:val="16"/>
                <w:lang w:eastAsia="en-NZ"/>
              </w:rPr>
              <w:t>R</w:t>
            </w:r>
            <w:r>
              <w:rPr>
                <w:rFonts w:cs="Arial"/>
                <w:sz w:val="16"/>
                <w:szCs w:val="16"/>
                <w:lang w:eastAsia="en-NZ"/>
              </w:rPr>
              <w:t>ound 2</w:t>
            </w:r>
          </w:p>
        </w:tc>
        <w:tc>
          <w:tcPr>
            <w:tcW w:w="2365" w:type="dxa"/>
            <w:vMerge w:val="restart"/>
            <w:tcMar>
              <w:top w:w="30" w:type="dxa"/>
              <w:left w:w="75" w:type="dxa"/>
              <w:bottom w:w="30" w:type="dxa"/>
              <w:right w:w="75" w:type="dxa"/>
            </w:tcMar>
            <w:hideMark/>
          </w:tcPr>
          <w:p w:rsidR="00782097" w:rsidRDefault="00782097" w:rsidP="00567696">
            <w:pPr>
              <w:spacing w:before="0"/>
              <w:ind w:left="0"/>
              <w:rPr>
                <w:rFonts w:cs="Arial"/>
                <w:sz w:val="16"/>
                <w:szCs w:val="16"/>
                <w:lang w:eastAsia="en-NZ"/>
              </w:rPr>
            </w:pPr>
            <w:r>
              <w:rPr>
                <w:rFonts w:cs="Arial"/>
                <w:sz w:val="16"/>
                <w:szCs w:val="16"/>
                <w:lang w:eastAsia="en-NZ"/>
              </w:rPr>
              <w:t xml:space="preserve">Round 1: 7.5% </w:t>
            </w:r>
          </w:p>
          <w:p w:rsidR="00782097" w:rsidRDefault="00782097" w:rsidP="00567696">
            <w:pPr>
              <w:spacing w:before="0"/>
              <w:ind w:left="0"/>
              <w:rPr>
                <w:rFonts w:cs="Arial"/>
                <w:sz w:val="16"/>
                <w:szCs w:val="16"/>
                <w:lang w:eastAsia="en-NZ"/>
              </w:rPr>
            </w:pPr>
          </w:p>
          <w:p w:rsidR="00782097" w:rsidRDefault="00782097" w:rsidP="00567696">
            <w:pPr>
              <w:spacing w:before="0"/>
              <w:ind w:left="0"/>
              <w:rPr>
                <w:rFonts w:cs="Arial"/>
                <w:sz w:val="16"/>
                <w:szCs w:val="16"/>
                <w:lang w:eastAsia="en-NZ"/>
              </w:rPr>
            </w:pPr>
          </w:p>
          <w:p w:rsidR="00567696" w:rsidRPr="003A6CDC" w:rsidRDefault="00567696" w:rsidP="00567696">
            <w:pPr>
              <w:spacing w:before="0"/>
              <w:ind w:left="0"/>
              <w:rPr>
                <w:rFonts w:cs="Arial"/>
                <w:sz w:val="16"/>
                <w:szCs w:val="16"/>
                <w:lang w:eastAsia="en-NZ"/>
              </w:rPr>
            </w:pPr>
            <w:r w:rsidRPr="003A6CDC">
              <w:rPr>
                <w:rFonts w:cs="Arial"/>
                <w:sz w:val="16"/>
                <w:szCs w:val="16"/>
                <w:lang w:eastAsia="en-NZ"/>
              </w:rPr>
              <w:t xml:space="preserve">Average </w:t>
            </w:r>
            <w:r w:rsidR="00782097">
              <w:rPr>
                <w:rFonts w:cs="Arial"/>
                <w:sz w:val="16"/>
                <w:szCs w:val="16"/>
                <w:lang w:eastAsia="en-NZ"/>
              </w:rPr>
              <w:t xml:space="preserve">for Round 2: </w:t>
            </w:r>
            <w:r w:rsidRPr="003A6CDC">
              <w:rPr>
                <w:rFonts w:cs="Arial"/>
                <w:sz w:val="16"/>
                <w:szCs w:val="16"/>
                <w:lang w:eastAsia="en-NZ"/>
              </w:rPr>
              <w:t>5.9%</w:t>
            </w:r>
          </w:p>
          <w:p w:rsidR="00567696" w:rsidRPr="003A6CDC" w:rsidRDefault="00567696" w:rsidP="00567696">
            <w:pPr>
              <w:spacing w:before="0"/>
              <w:ind w:left="0"/>
              <w:rPr>
                <w:rFonts w:cs="Arial"/>
                <w:sz w:val="16"/>
                <w:szCs w:val="16"/>
                <w:lang w:eastAsia="en-NZ"/>
              </w:rPr>
            </w:pPr>
            <w:r w:rsidRPr="003A6CDC">
              <w:rPr>
                <w:rFonts w:cs="Arial"/>
                <w:sz w:val="16"/>
                <w:szCs w:val="16"/>
                <w:lang w:eastAsia="en-NZ"/>
              </w:rPr>
              <w:t xml:space="preserve">Where </w:t>
            </w:r>
            <w:r w:rsidR="00782097">
              <w:rPr>
                <w:rFonts w:cs="Arial"/>
                <w:sz w:val="16"/>
                <w:szCs w:val="16"/>
                <w:lang w:eastAsia="en-NZ"/>
              </w:rPr>
              <w:t>R</w:t>
            </w:r>
            <w:r w:rsidRPr="003A6CDC">
              <w:rPr>
                <w:rFonts w:cs="Arial"/>
                <w:sz w:val="16"/>
                <w:szCs w:val="16"/>
                <w:lang w:eastAsia="en-NZ"/>
              </w:rPr>
              <w:t>ound 2 was first screen:</w:t>
            </w:r>
          </w:p>
          <w:p w:rsidR="00567696" w:rsidRDefault="00567696" w:rsidP="00782097">
            <w:pPr>
              <w:pStyle w:val="ListParagraph"/>
              <w:numPr>
                <w:ilvl w:val="0"/>
                <w:numId w:val="34"/>
              </w:numPr>
              <w:spacing w:before="0"/>
              <w:rPr>
                <w:rFonts w:cs="Arial"/>
                <w:sz w:val="16"/>
                <w:szCs w:val="16"/>
                <w:lang w:eastAsia="en-NZ"/>
              </w:rPr>
            </w:pPr>
            <w:r>
              <w:rPr>
                <w:rFonts w:cs="Arial"/>
                <w:sz w:val="16"/>
                <w:szCs w:val="16"/>
                <w:lang w:eastAsia="en-NZ"/>
              </w:rPr>
              <w:t>Aged or moved in: 5.2%</w:t>
            </w:r>
          </w:p>
          <w:p w:rsidR="00567696" w:rsidRDefault="00567696" w:rsidP="00782097">
            <w:pPr>
              <w:pStyle w:val="ListParagraph"/>
              <w:numPr>
                <w:ilvl w:val="0"/>
                <w:numId w:val="34"/>
              </w:numPr>
              <w:spacing w:before="0"/>
              <w:rPr>
                <w:rFonts w:cs="Arial"/>
                <w:sz w:val="16"/>
                <w:szCs w:val="16"/>
                <w:lang w:eastAsia="en-NZ"/>
              </w:rPr>
            </w:pPr>
            <w:r>
              <w:rPr>
                <w:rFonts w:cs="Arial"/>
                <w:sz w:val="16"/>
                <w:szCs w:val="16"/>
                <w:lang w:eastAsia="en-NZ"/>
              </w:rPr>
              <w:t xml:space="preserve">Did </w:t>
            </w:r>
            <w:r w:rsidR="00782097">
              <w:rPr>
                <w:rFonts w:cs="Arial"/>
                <w:sz w:val="16"/>
                <w:szCs w:val="16"/>
                <w:lang w:eastAsia="en-NZ"/>
              </w:rPr>
              <w:t>not respond or unsuccessful in R</w:t>
            </w:r>
            <w:r>
              <w:rPr>
                <w:rFonts w:cs="Arial"/>
                <w:sz w:val="16"/>
                <w:szCs w:val="16"/>
                <w:lang w:eastAsia="en-NZ"/>
              </w:rPr>
              <w:t xml:space="preserve">ound 1: </w:t>
            </w:r>
            <w:r w:rsidRPr="00D45E80">
              <w:rPr>
                <w:rFonts w:cs="Arial"/>
                <w:sz w:val="16"/>
                <w:szCs w:val="16"/>
                <w:lang w:eastAsia="en-NZ"/>
              </w:rPr>
              <w:t>8.5%</w:t>
            </w:r>
          </w:p>
          <w:p w:rsidR="00567696" w:rsidRPr="003A6CDC" w:rsidRDefault="00567696" w:rsidP="00782097">
            <w:pPr>
              <w:spacing w:before="0"/>
              <w:ind w:left="0"/>
              <w:rPr>
                <w:rFonts w:cs="Arial"/>
                <w:sz w:val="16"/>
                <w:szCs w:val="16"/>
                <w:lang w:eastAsia="en-NZ"/>
              </w:rPr>
            </w:pPr>
            <w:r w:rsidRPr="003A6CDC">
              <w:rPr>
                <w:rFonts w:cs="Arial"/>
                <w:sz w:val="16"/>
                <w:szCs w:val="16"/>
                <w:lang w:eastAsia="en-NZ"/>
              </w:rPr>
              <w:t xml:space="preserve">Where </w:t>
            </w:r>
            <w:r w:rsidR="00782097">
              <w:rPr>
                <w:rFonts w:cs="Arial"/>
                <w:sz w:val="16"/>
                <w:szCs w:val="16"/>
                <w:lang w:eastAsia="en-NZ"/>
              </w:rPr>
              <w:t>r</w:t>
            </w:r>
            <w:r w:rsidRPr="003A6CDC">
              <w:rPr>
                <w:rFonts w:cs="Arial"/>
                <w:sz w:val="16"/>
                <w:szCs w:val="16"/>
                <w:lang w:eastAsia="en-NZ"/>
              </w:rPr>
              <w:t>ound 2 was second screen: 5.5%</w:t>
            </w:r>
          </w:p>
        </w:tc>
      </w:tr>
      <w:tr w:rsidR="00567696" w:rsidRPr="00CA4E12" w:rsidTr="00027442">
        <w:trPr>
          <w:trHeight w:val="425"/>
          <w:tblCellSpacing w:w="0" w:type="dxa"/>
        </w:trPr>
        <w:tc>
          <w:tcPr>
            <w:tcW w:w="567" w:type="dxa"/>
            <w:vMerge/>
            <w:vAlign w:val="center"/>
            <w:hideMark/>
          </w:tcPr>
          <w:p w:rsidR="00567696" w:rsidRPr="00CA4E12" w:rsidRDefault="00567696" w:rsidP="00567696">
            <w:pPr>
              <w:spacing w:before="0"/>
              <w:ind w:left="0"/>
              <w:rPr>
                <w:rFonts w:cs="Arial"/>
                <w:sz w:val="16"/>
                <w:szCs w:val="16"/>
                <w:lang w:eastAsia="en-NZ"/>
              </w:rPr>
            </w:pPr>
          </w:p>
        </w:tc>
        <w:tc>
          <w:tcPr>
            <w:tcW w:w="1793" w:type="dxa"/>
            <w:vMerge/>
            <w:vAlign w:val="center"/>
            <w:hideMark/>
          </w:tcPr>
          <w:p w:rsidR="00567696" w:rsidRPr="00CA4E12" w:rsidRDefault="00567696" w:rsidP="00567696">
            <w:pPr>
              <w:spacing w:before="0"/>
              <w:ind w:left="0"/>
              <w:rPr>
                <w:rFonts w:cs="Arial"/>
                <w:sz w:val="16"/>
                <w:szCs w:val="16"/>
                <w:lang w:eastAsia="en-NZ"/>
              </w:rPr>
            </w:pPr>
          </w:p>
        </w:tc>
        <w:tc>
          <w:tcPr>
            <w:tcW w:w="2332" w:type="dxa"/>
            <w:vMerge/>
            <w:vAlign w:val="center"/>
            <w:hideMark/>
          </w:tcPr>
          <w:p w:rsidR="00567696" w:rsidRPr="00CA4E12" w:rsidRDefault="00567696" w:rsidP="00567696">
            <w:pPr>
              <w:spacing w:before="0"/>
              <w:ind w:left="0"/>
              <w:rPr>
                <w:rFonts w:cs="Arial"/>
                <w:sz w:val="16"/>
                <w:szCs w:val="16"/>
                <w:lang w:eastAsia="en-NZ"/>
              </w:rPr>
            </w:pPr>
          </w:p>
        </w:tc>
        <w:tc>
          <w:tcPr>
            <w:tcW w:w="1940" w:type="dxa"/>
            <w:vMerge/>
            <w:vAlign w:val="center"/>
            <w:hideMark/>
          </w:tcPr>
          <w:p w:rsidR="00567696" w:rsidRPr="00CA4E12" w:rsidRDefault="00567696" w:rsidP="00567696">
            <w:pPr>
              <w:spacing w:before="0"/>
              <w:ind w:left="0"/>
              <w:rPr>
                <w:rFonts w:cs="Arial"/>
                <w:sz w:val="16"/>
                <w:szCs w:val="16"/>
                <w:lang w:eastAsia="en-NZ"/>
              </w:rPr>
            </w:pPr>
          </w:p>
        </w:tc>
        <w:tc>
          <w:tcPr>
            <w:tcW w:w="2365" w:type="dxa"/>
            <w:vMerge/>
            <w:vAlign w:val="center"/>
            <w:hideMark/>
          </w:tcPr>
          <w:p w:rsidR="00567696" w:rsidRPr="00CA4E12" w:rsidRDefault="00567696" w:rsidP="00567696">
            <w:pPr>
              <w:spacing w:before="0"/>
              <w:ind w:left="0"/>
              <w:rPr>
                <w:rFonts w:cs="Arial"/>
                <w:sz w:val="16"/>
                <w:szCs w:val="16"/>
                <w:lang w:eastAsia="en-NZ"/>
              </w:rPr>
            </w:pPr>
          </w:p>
        </w:tc>
      </w:tr>
      <w:tr w:rsidR="00567696" w:rsidRPr="00CA4E12" w:rsidTr="00027442">
        <w:trPr>
          <w:trHeight w:val="1049"/>
          <w:tblCellSpacing w:w="0" w:type="dxa"/>
        </w:trPr>
        <w:tc>
          <w:tcPr>
            <w:tcW w:w="567" w:type="dxa"/>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t>9</w:t>
            </w:r>
          </w:p>
        </w:tc>
        <w:tc>
          <w:tcPr>
            <w:tcW w:w="1793" w:type="dxa"/>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t>Colorectal Cancer (CRC) detection rate</w:t>
            </w:r>
          </w:p>
        </w:tc>
        <w:tc>
          <w:tcPr>
            <w:tcW w:w="2332" w:type="dxa"/>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t>This is the number of people diagnosed with any CRC per 1000 screened with an iFOBT result available for the first and subsequent screening round.</w:t>
            </w:r>
          </w:p>
        </w:tc>
        <w:tc>
          <w:tcPr>
            <w:tcW w:w="1940" w:type="dxa"/>
            <w:tcMar>
              <w:top w:w="30" w:type="dxa"/>
              <w:left w:w="75" w:type="dxa"/>
              <w:bottom w:w="30" w:type="dxa"/>
              <w:right w:w="75" w:type="dxa"/>
            </w:tcMar>
            <w:hideMark/>
          </w:tcPr>
          <w:p w:rsidR="00782097" w:rsidRDefault="00055491" w:rsidP="00567696">
            <w:pPr>
              <w:spacing w:before="0"/>
              <w:ind w:left="0"/>
              <w:rPr>
                <w:rFonts w:cs="Arial"/>
                <w:sz w:val="16"/>
                <w:szCs w:val="16"/>
                <w:lang w:eastAsia="en-NZ"/>
              </w:rPr>
            </w:pPr>
            <w:r>
              <w:rPr>
                <w:rFonts w:cs="Arial"/>
                <w:sz w:val="16"/>
                <w:szCs w:val="16"/>
                <w:lang w:eastAsia="en-NZ"/>
              </w:rPr>
              <w:t>1.8–</w:t>
            </w:r>
            <w:r w:rsidR="00567696" w:rsidRPr="00CA4E12">
              <w:rPr>
                <w:rFonts w:cs="Arial"/>
                <w:sz w:val="16"/>
                <w:szCs w:val="16"/>
                <w:lang w:eastAsia="en-NZ"/>
              </w:rPr>
              <w:t>9.5</w:t>
            </w:r>
            <w:r w:rsidR="00555A5D">
              <w:rPr>
                <w:rFonts w:cs="Arial"/>
                <w:sz w:val="16"/>
                <w:szCs w:val="16"/>
                <w:lang w:eastAsia="en-NZ"/>
              </w:rPr>
              <w:t xml:space="preserve"> First screen (R</w:t>
            </w:r>
            <w:r w:rsidR="00567696">
              <w:rPr>
                <w:rFonts w:cs="Arial"/>
                <w:sz w:val="16"/>
                <w:szCs w:val="16"/>
                <w:lang w:eastAsia="en-NZ"/>
              </w:rPr>
              <w:t>ound 1)</w:t>
            </w:r>
            <w:r w:rsidR="00567696" w:rsidRPr="00CA4E12">
              <w:rPr>
                <w:rFonts w:cs="Arial"/>
                <w:sz w:val="16"/>
                <w:szCs w:val="16"/>
                <w:lang w:eastAsia="en-NZ"/>
              </w:rPr>
              <w:t xml:space="preserve"> per 1000</w:t>
            </w:r>
          </w:p>
          <w:p w:rsidR="00567696" w:rsidRPr="00CA4E12" w:rsidRDefault="00567696" w:rsidP="00567696">
            <w:pPr>
              <w:spacing w:before="0"/>
              <w:ind w:left="0"/>
              <w:rPr>
                <w:rFonts w:cs="Arial"/>
                <w:sz w:val="16"/>
                <w:szCs w:val="16"/>
                <w:lang w:eastAsia="en-NZ"/>
              </w:rPr>
            </w:pPr>
            <w:r w:rsidRPr="00CA4E12">
              <w:rPr>
                <w:rFonts w:cs="Arial"/>
                <w:sz w:val="16"/>
                <w:szCs w:val="16"/>
                <w:lang w:eastAsia="en-NZ"/>
              </w:rPr>
              <w:t>(Range from population screening programmes with iFOBT)</w:t>
            </w:r>
          </w:p>
        </w:tc>
        <w:tc>
          <w:tcPr>
            <w:tcW w:w="2365" w:type="dxa"/>
            <w:tcMar>
              <w:top w:w="30" w:type="dxa"/>
              <w:left w:w="75" w:type="dxa"/>
              <w:bottom w:w="30" w:type="dxa"/>
              <w:right w:w="75" w:type="dxa"/>
            </w:tcMar>
            <w:hideMark/>
          </w:tcPr>
          <w:p w:rsidR="00782097" w:rsidRDefault="00782097" w:rsidP="00567696">
            <w:pPr>
              <w:spacing w:before="0"/>
              <w:ind w:left="0"/>
              <w:rPr>
                <w:rFonts w:cs="Arial"/>
                <w:sz w:val="16"/>
                <w:szCs w:val="16"/>
                <w:lang w:eastAsia="en-NZ"/>
              </w:rPr>
            </w:pPr>
            <w:r>
              <w:rPr>
                <w:rFonts w:cs="Arial"/>
                <w:sz w:val="16"/>
                <w:szCs w:val="16"/>
                <w:lang w:eastAsia="en-NZ"/>
              </w:rPr>
              <w:t>Round 1: 2.8 per 1000 (3.1 per 1000)</w:t>
            </w:r>
            <w:r w:rsidRPr="005E6B3C">
              <w:rPr>
                <w:rFonts w:cs="Arial"/>
                <w:sz w:val="16"/>
                <w:szCs w:val="16"/>
                <w:lang w:eastAsia="en-NZ"/>
              </w:rPr>
              <w:t xml:space="preserve"> ****</w:t>
            </w:r>
          </w:p>
          <w:p w:rsidR="00782097" w:rsidRDefault="00782097" w:rsidP="00567696">
            <w:pPr>
              <w:spacing w:before="0"/>
              <w:ind w:left="0"/>
              <w:rPr>
                <w:rFonts w:cs="Arial"/>
                <w:sz w:val="16"/>
                <w:szCs w:val="16"/>
                <w:lang w:eastAsia="en-NZ"/>
              </w:rPr>
            </w:pPr>
          </w:p>
          <w:p w:rsidR="00567696" w:rsidRPr="005E6B3C" w:rsidRDefault="00782097" w:rsidP="00567696">
            <w:pPr>
              <w:spacing w:before="0"/>
              <w:ind w:left="0"/>
              <w:rPr>
                <w:rFonts w:cs="Arial"/>
                <w:sz w:val="16"/>
                <w:szCs w:val="16"/>
                <w:lang w:eastAsia="en-NZ"/>
              </w:rPr>
            </w:pPr>
            <w:r>
              <w:rPr>
                <w:rFonts w:cs="Arial"/>
                <w:sz w:val="16"/>
                <w:szCs w:val="16"/>
                <w:lang w:eastAsia="en-NZ"/>
              </w:rPr>
              <w:t xml:space="preserve">Round 2: </w:t>
            </w:r>
            <w:r w:rsidR="00567696" w:rsidRPr="005E6B3C">
              <w:rPr>
                <w:rFonts w:cs="Arial"/>
                <w:sz w:val="16"/>
                <w:szCs w:val="16"/>
                <w:lang w:eastAsia="en-NZ"/>
              </w:rPr>
              <w:t>1.4 per 1000 (1.6 per 1000)****</w:t>
            </w:r>
            <w:r w:rsidR="00555A5D">
              <w:rPr>
                <w:rFonts w:cs="Arial"/>
                <w:sz w:val="16"/>
                <w:szCs w:val="16"/>
                <w:lang w:eastAsia="en-NZ"/>
              </w:rPr>
              <w:t xml:space="preserve"> </w:t>
            </w:r>
          </w:p>
        </w:tc>
      </w:tr>
      <w:tr w:rsidR="00567696" w:rsidRPr="00CA4E12" w:rsidTr="00782097">
        <w:trPr>
          <w:tblCellSpacing w:w="0" w:type="dxa"/>
        </w:trPr>
        <w:tc>
          <w:tcPr>
            <w:tcW w:w="567" w:type="dxa"/>
            <w:vMerge w:val="restart"/>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t>10</w:t>
            </w:r>
          </w:p>
        </w:tc>
        <w:tc>
          <w:tcPr>
            <w:tcW w:w="1793" w:type="dxa"/>
            <w:vMerge w:val="restart"/>
            <w:tcBorders>
              <w:top w:val="dotted" w:sz="4" w:space="0" w:color="auto"/>
              <w:bottom w:val="dotted" w:sz="4" w:space="0" w:color="auto"/>
            </w:tcBorders>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t>Colorectal Cancer (CRC) Stage at diagnosis (including polyp cancers)</w:t>
            </w:r>
          </w:p>
        </w:tc>
        <w:tc>
          <w:tcPr>
            <w:tcW w:w="2332" w:type="dxa"/>
            <w:vMerge w:val="restart"/>
            <w:tcBorders>
              <w:top w:val="dotted" w:sz="4" w:space="0" w:color="auto"/>
              <w:bottom w:val="dotted" w:sz="4" w:space="0" w:color="auto"/>
            </w:tcBorders>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t>This is the TNM staging for CRC detected at the first and subsequent screening round. In cases where more than one staging was given for an individual only the most serious staging result is included.</w:t>
            </w:r>
            <w:r>
              <w:rPr>
                <w:rFonts w:cs="Arial"/>
                <w:sz w:val="16"/>
                <w:szCs w:val="16"/>
                <w:lang w:eastAsia="en-NZ"/>
              </w:rPr>
              <w:t xml:space="preserve"> For cancers found through public colonoscopy.</w:t>
            </w:r>
          </w:p>
        </w:tc>
        <w:tc>
          <w:tcPr>
            <w:tcW w:w="1940" w:type="dxa"/>
            <w:vMerge w:val="restart"/>
            <w:tcBorders>
              <w:top w:val="dotted" w:sz="4" w:space="0" w:color="auto"/>
              <w:bottom w:val="dotted" w:sz="4" w:space="0" w:color="auto"/>
            </w:tcBorders>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t> </w:t>
            </w:r>
            <w:r>
              <w:rPr>
                <w:rFonts w:cs="Arial"/>
                <w:sz w:val="16"/>
                <w:szCs w:val="16"/>
                <w:lang w:eastAsia="en-NZ"/>
              </w:rPr>
              <w:t>No agreed international standard</w:t>
            </w:r>
          </w:p>
        </w:tc>
        <w:tc>
          <w:tcPr>
            <w:tcW w:w="2365" w:type="dxa"/>
            <w:tcBorders>
              <w:top w:val="dotted" w:sz="4" w:space="0" w:color="auto"/>
              <w:bottom w:val="dotted" w:sz="4" w:space="0" w:color="auto"/>
            </w:tcBorders>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t>Stage 1: 4</w:t>
            </w:r>
            <w:r>
              <w:rPr>
                <w:rFonts w:cs="Arial"/>
                <w:sz w:val="16"/>
                <w:szCs w:val="16"/>
                <w:lang w:eastAsia="en-NZ"/>
              </w:rPr>
              <w:t>7.6%</w:t>
            </w:r>
          </w:p>
        </w:tc>
      </w:tr>
      <w:tr w:rsidR="00567696" w:rsidRPr="00CA4E12" w:rsidTr="00782097">
        <w:trPr>
          <w:tblCellSpacing w:w="0" w:type="dxa"/>
        </w:trPr>
        <w:tc>
          <w:tcPr>
            <w:tcW w:w="567" w:type="dxa"/>
            <w:vMerge/>
            <w:vAlign w:val="center"/>
            <w:hideMark/>
          </w:tcPr>
          <w:p w:rsidR="00567696" w:rsidRPr="00CA4E12" w:rsidRDefault="00567696" w:rsidP="00567696">
            <w:pPr>
              <w:spacing w:before="0"/>
              <w:ind w:left="0"/>
              <w:rPr>
                <w:rFonts w:cs="Arial"/>
                <w:sz w:val="16"/>
                <w:szCs w:val="16"/>
                <w:lang w:eastAsia="en-NZ"/>
              </w:rPr>
            </w:pPr>
          </w:p>
        </w:tc>
        <w:tc>
          <w:tcPr>
            <w:tcW w:w="1793" w:type="dxa"/>
            <w:vMerge/>
            <w:tcBorders>
              <w:top w:val="dotted" w:sz="4" w:space="0" w:color="auto"/>
              <w:bottom w:val="dotted" w:sz="4" w:space="0" w:color="auto"/>
            </w:tcBorders>
            <w:vAlign w:val="center"/>
            <w:hideMark/>
          </w:tcPr>
          <w:p w:rsidR="00567696" w:rsidRPr="00CA4E12" w:rsidRDefault="00567696" w:rsidP="00567696">
            <w:pPr>
              <w:spacing w:before="0"/>
              <w:ind w:left="0"/>
              <w:rPr>
                <w:rFonts w:cs="Arial"/>
                <w:sz w:val="16"/>
                <w:szCs w:val="16"/>
                <w:lang w:eastAsia="en-NZ"/>
              </w:rPr>
            </w:pPr>
          </w:p>
        </w:tc>
        <w:tc>
          <w:tcPr>
            <w:tcW w:w="2332" w:type="dxa"/>
            <w:vMerge/>
            <w:tcBorders>
              <w:top w:val="dotted" w:sz="4" w:space="0" w:color="auto"/>
              <w:bottom w:val="dotted" w:sz="4" w:space="0" w:color="auto"/>
            </w:tcBorders>
            <w:vAlign w:val="center"/>
            <w:hideMark/>
          </w:tcPr>
          <w:p w:rsidR="00567696" w:rsidRPr="00CA4E12" w:rsidRDefault="00567696" w:rsidP="00567696">
            <w:pPr>
              <w:spacing w:before="0"/>
              <w:ind w:left="0"/>
              <w:rPr>
                <w:rFonts w:cs="Arial"/>
                <w:sz w:val="16"/>
                <w:szCs w:val="16"/>
                <w:lang w:eastAsia="en-NZ"/>
              </w:rPr>
            </w:pPr>
          </w:p>
        </w:tc>
        <w:tc>
          <w:tcPr>
            <w:tcW w:w="1940" w:type="dxa"/>
            <w:vMerge/>
            <w:tcBorders>
              <w:top w:val="dotted" w:sz="4" w:space="0" w:color="auto"/>
              <w:bottom w:val="dotted" w:sz="4" w:space="0" w:color="auto"/>
            </w:tcBorders>
            <w:vAlign w:val="center"/>
            <w:hideMark/>
          </w:tcPr>
          <w:p w:rsidR="00567696" w:rsidRPr="00CA4E12" w:rsidRDefault="00567696" w:rsidP="00567696">
            <w:pPr>
              <w:rPr>
                <w:rFonts w:cs="Arial"/>
                <w:sz w:val="16"/>
                <w:szCs w:val="16"/>
                <w:lang w:eastAsia="en-NZ"/>
              </w:rPr>
            </w:pPr>
          </w:p>
        </w:tc>
        <w:tc>
          <w:tcPr>
            <w:tcW w:w="2365" w:type="dxa"/>
            <w:tcBorders>
              <w:top w:val="dotted" w:sz="4" w:space="0" w:color="auto"/>
              <w:bottom w:val="dotted" w:sz="4" w:space="0" w:color="auto"/>
            </w:tcBorders>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t>Stage 2: 2</w:t>
            </w:r>
            <w:r>
              <w:rPr>
                <w:rFonts w:cs="Arial"/>
                <w:sz w:val="16"/>
                <w:szCs w:val="16"/>
                <w:lang w:eastAsia="en-NZ"/>
              </w:rPr>
              <w:t>1.6</w:t>
            </w:r>
            <w:r w:rsidRPr="00CA4E12">
              <w:rPr>
                <w:rFonts w:cs="Arial"/>
                <w:sz w:val="16"/>
                <w:szCs w:val="16"/>
                <w:lang w:eastAsia="en-NZ"/>
              </w:rPr>
              <w:t>%</w:t>
            </w:r>
          </w:p>
        </w:tc>
      </w:tr>
      <w:tr w:rsidR="00567696" w:rsidRPr="00CA4E12" w:rsidTr="00782097">
        <w:trPr>
          <w:tblCellSpacing w:w="0" w:type="dxa"/>
        </w:trPr>
        <w:tc>
          <w:tcPr>
            <w:tcW w:w="567" w:type="dxa"/>
            <w:vMerge/>
            <w:vAlign w:val="center"/>
            <w:hideMark/>
          </w:tcPr>
          <w:p w:rsidR="00567696" w:rsidRPr="00CA4E12" w:rsidRDefault="00567696" w:rsidP="00567696">
            <w:pPr>
              <w:spacing w:before="0"/>
              <w:ind w:left="0"/>
              <w:rPr>
                <w:rFonts w:cs="Arial"/>
                <w:sz w:val="16"/>
                <w:szCs w:val="16"/>
                <w:lang w:eastAsia="en-NZ"/>
              </w:rPr>
            </w:pPr>
          </w:p>
        </w:tc>
        <w:tc>
          <w:tcPr>
            <w:tcW w:w="1793" w:type="dxa"/>
            <w:vMerge/>
            <w:tcBorders>
              <w:top w:val="dotted" w:sz="4" w:space="0" w:color="auto"/>
              <w:bottom w:val="dotted" w:sz="4" w:space="0" w:color="auto"/>
            </w:tcBorders>
            <w:vAlign w:val="center"/>
            <w:hideMark/>
          </w:tcPr>
          <w:p w:rsidR="00567696" w:rsidRPr="00CA4E12" w:rsidRDefault="00567696" w:rsidP="00567696">
            <w:pPr>
              <w:spacing w:before="0"/>
              <w:ind w:left="0"/>
              <w:rPr>
                <w:rFonts w:cs="Arial"/>
                <w:sz w:val="16"/>
                <w:szCs w:val="16"/>
                <w:lang w:eastAsia="en-NZ"/>
              </w:rPr>
            </w:pPr>
          </w:p>
        </w:tc>
        <w:tc>
          <w:tcPr>
            <w:tcW w:w="2332" w:type="dxa"/>
            <w:vMerge/>
            <w:tcBorders>
              <w:top w:val="dotted" w:sz="4" w:space="0" w:color="auto"/>
              <w:bottom w:val="dotted" w:sz="4" w:space="0" w:color="auto"/>
            </w:tcBorders>
            <w:vAlign w:val="center"/>
            <w:hideMark/>
          </w:tcPr>
          <w:p w:rsidR="00567696" w:rsidRPr="00CA4E12" w:rsidRDefault="00567696" w:rsidP="00567696">
            <w:pPr>
              <w:spacing w:before="0"/>
              <w:ind w:left="0"/>
              <w:rPr>
                <w:rFonts w:cs="Arial"/>
                <w:sz w:val="16"/>
                <w:szCs w:val="16"/>
                <w:lang w:eastAsia="en-NZ"/>
              </w:rPr>
            </w:pPr>
          </w:p>
        </w:tc>
        <w:tc>
          <w:tcPr>
            <w:tcW w:w="1940" w:type="dxa"/>
            <w:vMerge/>
            <w:tcBorders>
              <w:top w:val="dotted" w:sz="4" w:space="0" w:color="auto"/>
              <w:bottom w:val="dotted" w:sz="4" w:space="0" w:color="auto"/>
            </w:tcBorders>
            <w:vAlign w:val="center"/>
            <w:hideMark/>
          </w:tcPr>
          <w:p w:rsidR="00567696" w:rsidRPr="00CA4E12" w:rsidRDefault="00567696" w:rsidP="00567696">
            <w:pPr>
              <w:rPr>
                <w:rFonts w:cs="Arial"/>
                <w:sz w:val="16"/>
                <w:szCs w:val="16"/>
                <w:lang w:eastAsia="en-NZ"/>
              </w:rPr>
            </w:pPr>
          </w:p>
        </w:tc>
        <w:tc>
          <w:tcPr>
            <w:tcW w:w="2365" w:type="dxa"/>
            <w:tcBorders>
              <w:top w:val="dotted" w:sz="4" w:space="0" w:color="auto"/>
              <w:bottom w:val="dotted" w:sz="4" w:space="0" w:color="auto"/>
            </w:tcBorders>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t xml:space="preserve">Stage 3: </w:t>
            </w:r>
            <w:r>
              <w:rPr>
                <w:rFonts w:cs="Arial"/>
                <w:sz w:val="16"/>
                <w:szCs w:val="16"/>
                <w:lang w:eastAsia="en-NZ"/>
              </w:rPr>
              <w:t>22</w:t>
            </w:r>
            <w:r w:rsidRPr="00CA4E12">
              <w:rPr>
                <w:rFonts w:cs="Arial"/>
                <w:sz w:val="16"/>
                <w:szCs w:val="16"/>
                <w:lang w:eastAsia="en-NZ"/>
              </w:rPr>
              <w:t>.</w:t>
            </w:r>
            <w:r>
              <w:rPr>
                <w:rFonts w:cs="Arial"/>
                <w:sz w:val="16"/>
                <w:szCs w:val="16"/>
                <w:lang w:eastAsia="en-NZ"/>
              </w:rPr>
              <w:t>9</w:t>
            </w:r>
            <w:r w:rsidRPr="00CA4E12">
              <w:rPr>
                <w:rFonts w:cs="Arial"/>
                <w:sz w:val="16"/>
                <w:szCs w:val="16"/>
                <w:lang w:eastAsia="en-NZ"/>
              </w:rPr>
              <w:t>%</w:t>
            </w:r>
          </w:p>
        </w:tc>
      </w:tr>
      <w:tr w:rsidR="00567696" w:rsidRPr="00CA4E12" w:rsidTr="00782097">
        <w:trPr>
          <w:tblCellSpacing w:w="0" w:type="dxa"/>
        </w:trPr>
        <w:tc>
          <w:tcPr>
            <w:tcW w:w="567" w:type="dxa"/>
            <w:vMerge/>
            <w:vAlign w:val="center"/>
            <w:hideMark/>
          </w:tcPr>
          <w:p w:rsidR="00567696" w:rsidRPr="00CA4E12" w:rsidRDefault="00567696" w:rsidP="00567696">
            <w:pPr>
              <w:spacing w:before="0"/>
              <w:ind w:left="0"/>
              <w:rPr>
                <w:rFonts w:cs="Arial"/>
                <w:sz w:val="16"/>
                <w:szCs w:val="16"/>
                <w:lang w:eastAsia="en-NZ"/>
              </w:rPr>
            </w:pPr>
          </w:p>
        </w:tc>
        <w:tc>
          <w:tcPr>
            <w:tcW w:w="1793" w:type="dxa"/>
            <w:vMerge/>
            <w:tcBorders>
              <w:top w:val="dotted" w:sz="4" w:space="0" w:color="auto"/>
              <w:bottom w:val="dotted" w:sz="4" w:space="0" w:color="auto"/>
            </w:tcBorders>
            <w:vAlign w:val="center"/>
            <w:hideMark/>
          </w:tcPr>
          <w:p w:rsidR="00567696" w:rsidRPr="00CA4E12" w:rsidRDefault="00567696" w:rsidP="00567696">
            <w:pPr>
              <w:spacing w:before="0"/>
              <w:ind w:left="0"/>
              <w:rPr>
                <w:rFonts w:cs="Arial"/>
                <w:sz w:val="16"/>
                <w:szCs w:val="16"/>
                <w:lang w:eastAsia="en-NZ"/>
              </w:rPr>
            </w:pPr>
          </w:p>
        </w:tc>
        <w:tc>
          <w:tcPr>
            <w:tcW w:w="2332" w:type="dxa"/>
            <w:vMerge/>
            <w:tcBorders>
              <w:top w:val="dotted" w:sz="4" w:space="0" w:color="auto"/>
              <w:bottom w:val="dotted" w:sz="4" w:space="0" w:color="auto"/>
            </w:tcBorders>
            <w:vAlign w:val="center"/>
            <w:hideMark/>
          </w:tcPr>
          <w:p w:rsidR="00567696" w:rsidRPr="00CA4E12" w:rsidRDefault="00567696" w:rsidP="00567696">
            <w:pPr>
              <w:spacing w:before="0"/>
              <w:ind w:left="0"/>
              <w:rPr>
                <w:rFonts w:cs="Arial"/>
                <w:sz w:val="16"/>
                <w:szCs w:val="16"/>
                <w:lang w:eastAsia="en-NZ"/>
              </w:rPr>
            </w:pPr>
          </w:p>
        </w:tc>
        <w:tc>
          <w:tcPr>
            <w:tcW w:w="1940" w:type="dxa"/>
            <w:vMerge/>
            <w:tcBorders>
              <w:top w:val="dotted" w:sz="4" w:space="0" w:color="auto"/>
              <w:bottom w:val="dotted" w:sz="4" w:space="0" w:color="auto"/>
            </w:tcBorders>
            <w:vAlign w:val="center"/>
            <w:hideMark/>
          </w:tcPr>
          <w:p w:rsidR="00567696" w:rsidRPr="00CA4E12" w:rsidRDefault="00567696" w:rsidP="00567696">
            <w:pPr>
              <w:rPr>
                <w:rFonts w:cs="Arial"/>
                <w:sz w:val="16"/>
                <w:szCs w:val="16"/>
                <w:lang w:eastAsia="en-NZ"/>
              </w:rPr>
            </w:pPr>
          </w:p>
        </w:tc>
        <w:tc>
          <w:tcPr>
            <w:tcW w:w="2365" w:type="dxa"/>
            <w:tcBorders>
              <w:top w:val="dotted" w:sz="4" w:space="0" w:color="auto"/>
              <w:bottom w:val="dotted" w:sz="4" w:space="0" w:color="auto"/>
            </w:tcBorders>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sidRPr="008A33D3">
              <w:rPr>
                <w:rFonts w:cs="Arial"/>
                <w:sz w:val="16"/>
                <w:szCs w:val="16"/>
                <w:lang w:eastAsia="en-NZ"/>
              </w:rPr>
              <w:t xml:space="preserve">Stage 4: </w:t>
            </w:r>
            <w:r>
              <w:rPr>
                <w:rFonts w:cs="Arial"/>
                <w:sz w:val="16"/>
                <w:szCs w:val="16"/>
                <w:lang w:eastAsia="en-NZ"/>
              </w:rPr>
              <w:t>7.9</w:t>
            </w:r>
            <w:r w:rsidRPr="008A33D3">
              <w:rPr>
                <w:rFonts w:cs="Arial"/>
                <w:sz w:val="16"/>
                <w:szCs w:val="16"/>
                <w:lang w:eastAsia="en-NZ"/>
              </w:rPr>
              <w:t>%</w:t>
            </w:r>
          </w:p>
        </w:tc>
      </w:tr>
      <w:tr w:rsidR="00567696" w:rsidRPr="00CA4E12" w:rsidTr="00782097">
        <w:trPr>
          <w:trHeight w:val="184"/>
          <w:tblCellSpacing w:w="0" w:type="dxa"/>
        </w:trPr>
        <w:tc>
          <w:tcPr>
            <w:tcW w:w="567" w:type="dxa"/>
            <w:vMerge w:val="restart"/>
            <w:tcMar>
              <w:top w:w="30" w:type="dxa"/>
              <w:left w:w="75" w:type="dxa"/>
              <w:bottom w:w="30" w:type="dxa"/>
              <w:right w:w="75" w:type="dxa"/>
            </w:tcMar>
            <w:hideMark/>
          </w:tcPr>
          <w:p w:rsidR="00567696" w:rsidRPr="00CA4E12" w:rsidRDefault="00567696" w:rsidP="00782097">
            <w:pPr>
              <w:spacing w:before="0"/>
              <w:ind w:left="0"/>
              <w:rPr>
                <w:rFonts w:cs="Arial"/>
                <w:sz w:val="16"/>
                <w:szCs w:val="16"/>
                <w:lang w:eastAsia="en-NZ"/>
              </w:rPr>
            </w:pPr>
            <w:r w:rsidRPr="00CA4E12">
              <w:rPr>
                <w:rFonts w:cs="Arial"/>
                <w:sz w:val="16"/>
                <w:szCs w:val="16"/>
                <w:lang w:eastAsia="en-NZ"/>
              </w:rPr>
              <w:t>11</w:t>
            </w:r>
          </w:p>
        </w:tc>
        <w:tc>
          <w:tcPr>
            <w:tcW w:w="1793" w:type="dxa"/>
            <w:vMerge w:val="restart"/>
            <w:tcMar>
              <w:top w:w="30" w:type="dxa"/>
              <w:left w:w="75" w:type="dxa"/>
              <w:bottom w:w="30" w:type="dxa"/>
              <w:right w:w="75" w:type="dxa"/>
            </w:tcMar>
            <w:hideMark/>
          </w:tcPr>
          <w:p w:rsidR="00567696" w:rsidRPr="00CA4E12" w:rsidRDefault="00567696" w:rsidP="00782097">
            <w:pPr>
              <w:spacing w:before="0"/>
              <w:ind w:left="0"/>
              <w:rPr>
                <w:rFonts w:cs="Arial"/>
                <w:sz w:val="16"/>
                <w:szCs w:val="16"/>
                <w:lang w:eastAsia="en-NZ"/>
              </w:rPr>
            </w:pPr>
            <w:r w:rsidRPr="00CA4E12">
              <w:rPr>
                <w:rFonts w:cs="Arial"/>
                <w:sz w:val="16"/>
                <w:szCs w:val="16"/>
                <w:lang w:eastAsia="en-NZ"/>
              </w:rPr>
              <w:t>Advanced Adenoma detection rate</w:t>
            </w:r>
          </w:p>
        </w:tc>
        <w:tc>
          <w:tcPr>
            <w:tcW w:w="2332" w:type="dxa"/>
            <w:vMerge w:val="restart"/>
            <w:tcMar>
              <w:top w:w="30" w:type="dxa"/>
              <w:left w:w="75" w:type="dxa"/>
              <w:bottom w:w="30" w:type="dxa"/>
              <w:right w:w="75" w:type="dxa"/>
            </w:tcMar>
            <w:hideMark/>
          </w:tcPr>
          <w:p w:rsidR="00567696" w:rsidRPr="00CA4E12" w:rsidRDefault="00567696" w:rsidP="00782097">
            <w:pPr>
              <w:spacing w:before="0"/>
              <w:ind w:left="0"/>
              <w:rPr>
                <w:rFonts w:cs="Arial"/>
                <w:sz w:val="16"/>
                <w:szCs w:val="16"/>
                <w:lang w:eastAsia="en-NZ"/>
              </w:rPr>
            </w:pPr>
            <w:r w:rsidRPr="00CA4E12">
              <w:rPr>
                <w:rFonts w:cs="Arial"/>
                <w:sz w:val="16"/>
                <w:szCs w:val="16"/>
                <w:lang w:eastAsia="en-NZ"/>
              </w:rPr>
              <w:t>This is the number of people diagnosed with any advanced adenoma (villous or tubulovillous or, high grade dysplasia or, greater than or equal to 10 mm in size) per 1000 screened with an iFOBT result available for the first and subsequent screening round.</w:t>
            </w:r>
          </w:p>
        </w:tc>
        <w:tc>
          <w:tcPr>
            <w:tcW w:w="1940" w:type="dxa"/>
            <w:vMerge w:val="restart"/>
            <w:tcMar>
              <w:top w:w="30" w:type="dxa"/>
              <w:left w:w="75" w:type="dxa"/>
              <w:bottom w:w="30" w:type="dxa"/>
              <w:right w:w="75" w:type="dxa"/>
            </w:tcMar>
            <w:hideMark/>
          </w:tcPr>
          <w:p w:rsidR="00567696" w:rsidRPr="00CA4E12" w:rsidRDefault="00567696" w:rsidP="00782097">
            <w:pPr>
              <w:spacing w:before="0"/>
              <w:ind w:left="0"/>
              <w:rPr>
                <w:rFonts w:cs="Arial"/>
                <w:sz w:val="16"/>
                <w:szCs w:val="16"/>
                <w:lang w:eastAsia="en-NZ"/>
              </w:rPr>
            </w:pPr>
            <w:r w:rsidRPr="00CA4E12">
              <w:rPr>
                <w:rFonts w:cs="Arial"/>
                <w:sz w:val="16"/>
                <w:szCs w:val="16"/>
                <w:lang w:eastAsia="en-NZ"/>
              </w:rPr>
              <w:t>No agreed international standard</w:t>
            </w:r>
          </w:p>
        </w:tc>
        <w:tc>
          <w:tcPr>
            <w:tcW w:w="2365" w:type="dxa"/>
            <w:vMerge w:val="restart"/>
            <w:tcMar>
              <w:top w:w="30" w:type="dxa"/>
              <w:left w:w="75" w:type="dxa"/>
              <w:bottom w:w="30" w:type="dxa"/>
              <w:right w:w="75" w:type="dxa"/>
            </w:tcMar>
            <w:hideMark/>
          </w:tcPr>
          <w:p w:rsidR="00782097" w:rsidRDefault="00555A5D" w:rsidP="00782097">
            <w:pPr>
              <w:spacing w:before="0"/>
              <w:ind w:left="0"/>
              <w:rPr>
                <w:rFonts w:cs="Arial"/>
                <w:sz w:val="16"/>
                <w:szCs w:val="16"/>
                <w:lang w:eastAsia="en-NZ"/>
              </w:rPr>
            </w:pPr>
            <w:r>
              <w:rPr>
                <w:rFonts w:cs="Arial"/>
                <w:sz w:val="16"/>
                <w:szCs w:val="16"/>
                <w:lang w:eastAsia="en-NZ"/>
              </w:rPr>
              <w:t>Round 1: 15.5 p</w:t>
            </w:r>
            <w:r w:rsidR="00782097">
              <w:rPr>
                <w:rFonts w:cs="Arial"/>
                <w:sz w:val="16"/>
                <w:szCs w:val="16"/>
                <w:lang w:eastAsia="en-NZ"/>
              </w:rPr>
              <w:t>e</w:t>
            </w:r>
            <w:r>
              <w:rPr>
                <w:rFonts w:cs="Arial"/>
                <w:sz w:val="16"/>
                <w:szCs w:val="16"/>
                <w:lang w:eastAsia="en-NZ"/>
              </w:rPr>
              <w:t>r</w:t>
            </w:r>
            <w:r w:rsidR="00782097">
              <w:rPr>
                <w:rFonts w:cs="Arial"/>
                <w:sz w:val="16"/>
                <w:szCs w:val="16"/>
                <w:lang w:eastAsia="en-NZ"/>
              </w:rPr>
              <w:t xml:space="preserve"> 1000</w:t>
            </w:r>
          </w:p>
          <w:p w:rsidR="00782097" w:rsidRDefault="00782097" w:rsidP="00782097">
            <w:pPr>
              <w:spacing w:before="0"/>
              <w:ind w:left="0"/>
              <w:rPr>
                <w:rFonts w:cs="Arial"/>
                <w:sz w:val="16"/>
                <w:szCs w:val="16"/>
                <w:lang w:eastAsia="en-NZ"/>
              </w:rPr>
            </w:pPr>
          </w:p>
          <w:p w:rsidR="00567696" w:rsidRPr="005E6B3C" w:rsidRDefault="00782097" w:rsidP="00782097">
            <w:pPr>
              <w:spacing w:before="0"/>
              <w:ind w:left="0"/>
              <w:rPr>
                <w:rFonts w:cs="Arial"/>
                <w:sz w:val="16"/>
                <w:szCs w:val="16"/>
                <w:lang w:eastAsia="en-NZ"/>
              </w:rPr>
            </w:pPr>
            <w:r>
              <w:rPr>
                <w:rFonts w:cs="Arial"/>
                <w:sz w:val="16"/>
                <w:szCs w:val="16"/>
                <w:lang w:eastAsia="en-NZ"/>
              </w:rPr>
              <w:t xml:space="preserve">Round 2: </w:t>
            </w:r>
            <w:r w:rsidR="00567696" w:rsidRPr="005E6B3C">
              <w:rPr>
                <w:rFonts w:cs="Arial"/>
                <w:sz w:val="16"/>
                <w:szCs w:val="16"/>
                <w:lang w:eastAsia="en-NZ"/>
              </w:rPr>
              <w:t>7.5 per 1000</w:t>
            </w:r>
          </w:p>
        </w:tc>
      </w:tr>
      <w:tr w:rsidR="00567696" w:rsidRPr="00CA4E12" w:rsidTr="00027442">
        <w:trPr>
          <w:trHeight w:val="516"/>
          <w:tblCellSpacing w:w="0" w:type="dxa"/>
        </w:trPr>
        <w:tc>
          <w:tcPr>
            <w:tcW w:w="567" w:type="dxa"/>
            <w:vMerge/>
            <w:vAlign w:val="center"/>
            <w:hideMark/>
          </w:tcPr>
          <w:p w:rsidR="00567696" w:rsidRPr="00CA4E12" w:rsidRDefault="00567696" w:rsidP="00567696">
            <w:pPr>
              <w:spacing w:before="0"/>
              <w:ind w:left="0"/>
              <w:rPr>
                <w:rFonts w:cs="Arial"/>
                <w:sz w:val="16"/>
                <w:szCs w:val="16"/>
                <w:lang w:eastAsia="en-NZ"/>
              </w:rPr>
            </w:pPr>
          </w:p>
        </w:tc>
        <w:tc>
          <w:tcPr>
            <w:tcW w:w="1793" w:type="dxa"/>
            <w:vMerge/>
            <w:vAlign w:val="center"/>
            <w:hideMark/>
          </w:tcPr>
          <w:p w:rsidR="00567696" w:rsidRPr="00CA4E12" w:rsidRDefault="00567696" w:rsidP="00567696">
            <w:pPr>
              <w:spacing w:before="0"/>
              <w:ind w:left="0"/>
              <w:rPr>
                <w:rFonts w:cs="Arial"/>
                <w:sz w:val="16"/>
                <w:szCs w:val="16"/>
                <w:lang w:eastAsia="en-NZ"/>
              </w:rPr>
            </w:pPr>
          </w:p>
        </w:tc>
        <w:tc>
          <w:tcPr>
            <w:tcW w:w="2332" w:type="dxa"/>
            <w:vMerge/>
            <w:vAlign w:val="center"/>
            <w:hideMark/>
          </w:tcPr>
          <w:p w:rsidR="00567696" w:rsidRPr="00CA4E12" w:rsidRDefault="00567696" w:rsidP="00567696">
            <w:pPr>
              <w:spacing w:before="0"/>
              <w:ind w:left="0"/>
              <w:rPr>
                <w:rFonts w:cs="Arial"/>
                <w:sz w:val="16"/>
                <w:szCs w:val="16"/>
                <w:lang w:eastAsia="en-NZ"/>
              </w:rPr>
            </w:pPr>
          </w:p>
        </w:tc>
        <w:tc>
          <w:tcPr>
            <w:tcW w:w="1940" w:type="dxa"/>
            <w:vMerge/>
            <w:vAlign w:val="center"/>
            <w:hideMark/>
          </w:tcPr>
          <w:p w:rsidR="00567696" w:rsidRPr="00CA4E12" w:rsidRDefault="00567696" w:rsidP="00567696">
            <w:pPr>
              <w:rPr>
                <w:rFonts w:cs="Arial"/>
                <w:sz w:val="16"/>
                <w:szCs w:val="16"/>
                <w:lang w:eastAsia="en-NZ"/>
              </w:rPr>
            </w:pPr>
          </w:p>
        </w:tc>
        <w:tc>
          <w:tcPr>
            <w:tcW w:w="2365" w:type="dxa"/>
            <w:vMerge/>
            <w:vAlign w:val="center"/>
            <w:hideMark/>
          </w:tcPr>
          <w:p w:rsidR="00567696" w:rsidRPr="00CA4E12" w:rsidRDefault="00567696" w:rsidP="00567696">
            <w:pPr>
              <w:rPr>
                <w:rFonts w:cs="Arial"/>
                <w:sz w:val="16"/>
                <w:szCs w:val="16"/>
                <w:lang w:eastAsia="en-NZ"/>
              </w:rPr>
            </w:pPr>
          </w:p>
        </w:tc>
      </w:tr>
      <w:tr w:rsidR="00567696" w:rsidRPr="00CA4E12" w:rsidTr="00027442">
        <w:trPr>
          <w:trHeight w:val="516"/>
          <w:tblCellSpacing w:w="0" w:type="dxa"/>
        </w:trPr>
        <w:tc>
          <w:tcPr>
            <w:tcW w:w="567" w:type="dxa"/>
            <w:vMerge/>
            <w:vAlign w:val="center"/>
            <w:hideMark/>
          </w:tcPr>
          <w:p w:rsidR="00567696" w:rsidRPr="00CA4E12" w:rsidRDefault="00567696" w:rsidP="00567696">
            <w:pPr>
              <w:spacing w:before="0"/>
              <w:ind w:left="0"/>
              <w:rPr>
                <w:rFonts w:cs="Arial"/>
                <w:sz w:val="16"/>
                <w:szCs w:val="16"/>
                <w:lang w:eastAsia="en-NZ"/>
              </w:rPr>
            </w:pPr>
          </w:p>
        </w:tc>
        <w:tc>
          <w:tcPr>
            <w:tcW w:w="1793" w:type="dxa"/>
            <w:vMerge/>
            <w:vAlign w:val="center"/>
            <w:hideMark/>
          </w:tcPr>
          <w:p w:rsidR="00567696" w:rsidRPr="00CA4E12" w:rsidRDefault="00567696" w:rsidP="00567696">
            <w:pPr>
              <w:spacing w:before="0"/>
              <w:ind w:left="0"/>
              <w:rPr>
                <w:rFonts w:cs="Arial"/>
                <w:sz w:val="16"/>
                <w:szCs w:val="16"/>
                <w:lang w:eastAsia="en-NZ"/>
              </w:rPr>
            </w:pPr>
          </w:p>
        </w:tc>
        <w:tc>
          <w:tcPr>
            <w:tcW w:w="2332" w:type="dxa"/>
            <w:vMerge/>
            <w:vAlign w:val="center"/>
            <w:hideMark/>
          </w:tcPr>
          <w:p w:rsidR="00567696" w:rsidRPr="00CA4E12" w:rsidRDefault="00567696" w:rsidP="00567696">
            <w:pPr>
              <w:spacing w:before="0"/>
              <w:ind w:left="0"/>
              <w:rPr>
                <w:rFonts w:cs="Arial"/>
                <w:sz w:val="16"/>
                <w:szCs w:val="16"/>
                <w:lang w:eastAsia="en-NZ"/>
              </w:rPr>
            </w:pPr>
          </w:p>
        </w:tc>
        <w:tc>
          <w:tcPr>
            <w:tcW w:w="1940" w:type="dxa"/>
            <w:vMerge/>
            <w:vAlign w:val="center"/>
            <w:hideMark/>
          </w:tcPr>
          <w:p w:rsidR="00567696" w:rsidRPr="00CA4E12" w:rsidRDefault="00567696" w:rsidP="00567696">
            <w:pPr>
              <w:rPr>
                <w:rFonts w:cs="Arial"/>
                <w:sz w:val="16"/>
                <w:szCs w:val="16"/>
                <w:lang w:eastAsia="en-NZ"/>
              </w:rPr>
            </w:pPr>
          </w:p>
        </w:tc>
        <w:tc>
          <w:tcPr>
            <w:tcW w:w="2365" w:type="dxa"/>
            <w:vMerge/>
            <w:vAlign w:val="center"/>
            <w:hideMark/>
          </w:tcPr>
          <w:p w:rsidR="00567696" w:rsidRPr="00CA4E12" w:rsidRDefault="00567696" w:rsidP="00567696">
            <w:pPr>
              <w:rPr>
                <w:rFonts w:cs="Arial"/>
                <w:sz w:val="16"/>
                <w:szCs w:val="16"/>
                <w:lang w:eastAsia="en-NZ"/>
              </w:rPr>
            </w:pPr>
          </w:p>
        </w:tc>
      </w:tr>
      <w:tr w:rsidR="00567696" w:rsidRPr="00CA4E12" w:rsidTr="00027442">
        <w:trPr>
          <w:trHeight w:val="425"/>
          <w:tblCellSpacing w:w="0" w:type="dxa"/>
        </w:trPr>
        <w:tc>
          <w:tcPr>
            <w:tcW w:w="567" w:type="dxa"/>
            <w:vMerge/>
            <w:vAlign w:val="center"/>
            <w:hideMark/>
          </w:tcPr>
          <w:p w:rsidR="00567696" w:rsidRPr="00CA4E12" w:rsidRDefault="00567696" w:rsidP="00567696">
            <w:pPr>
              <w:spacing w:before="0"/>
              <w:ind w:left="0"/>
              <w:rPr>
                <w:rFonts w:cs="Arial"/>
                <w:sz w:val="16"/>
                <w:szCs w:val="16"/>
                <w:lang w:eastAsia="en-NZ"/>
              </w:rPr>
            </w:pPr>
          </w:p>
        </w:tc>
        <w:tc>
          <w:tcPr>
            <w:tcW w:w="1793" w:type="dxa"/>
            <w:vMerge/>
            <w:vAlign w:val="center"/>
            <w:hideMark/>
          </w:tcPr>
          <w:p w:rsidR="00567696" w:rsidRPr="00CA4E12" w:rsidRDefault="00567696" w:rsidP="00567696">
            <w:pPr>
              <w:spacing w:before="0"/>
              <w:ind w:left="0"/>
              <w:rPr>
                <w:rFonts w:cs="Arial"/>
                <w:sz w:val="16"/>
                <w:szCs w:val="16"/>
                <w:lang w:eastAsia="en-NZ"/>
              </w:rPr>
            </w:pPr>
          </w:p>
        </w:tc>
        <w:tc>
          <w:tcPr>
            <w:tcW w:w="2332" w:type="dxa"/>
            <w:vMerge/>
            <w:vAlign w:val="center"/>
            <w:hideMark/>
          </w:tcPr>
          <w:p w:rsidR="00567696" w:rsidRPr="00CA4E12" w:rsidRDefault="00567696" w:rsidP="00567696">
            <w:pPr>
              <w:spacing w:before="0"/>
              <w:ind w:left="0"/>
              <w:rPr>
                <w:rFonts w:cs="Arial"/>
                <w:sz w:val="16"/>
                <w:szCs w:val="16"/>
                <w:lang w:eastAsia="en-NZ"/>
              </w:rPr>
            </w:pPr>
          </w:p>
        </w:tc>
        <w:tc>
          <w:tcPr>
            <w:tcW w:w="1940" w:type="dxa"/>
            <w:vMerge/>
            <w:vAlign w:val="center"/>
            <w:hideMark/>
          </w:tcPr>
          <w:p w:rsidR="00567696" w:rsidRPr="00CA4E12" w:rsidRDefault="00567696" w:rsidP="00567696">
            <w:pPr>
              <w:rPr>
                <w:rFonts w:cs="Arial"/>
                <w:sz w:val="16"/>
                <w:szCs w:val="16"/>
                <w:lang w:eastAsia="en-NZ"/>
              </w:rPr>
            </w:pPr>
          </w:p>
        </w:tc>
        <w:tc>
          <w:tcPr>
            <w:tcW w:w="2365" w:type="dxa"/>
            <w:vMerge/>
            <w:vAlign w:val="center"/>
            <w:hideMark/>
          </w:tcPr>
          <w:p w:rsidR="00567696" w:rsidRPr="00CA4E12" w:rsidRDefault="00567696" w:rsidP="00567696">
            <w:pPr>
              <w:rPr>
                <w:rFonts w:cs="Arial"/>
                <w:sz w:val="16"/>
                <w:szCs w:val="16"/>
                <w:lang w:eastAsia="en-NZ"/>
              </w:rPr>
            </w:pPr>
          </w:p>
        </w:tc>
      </w:tr>
      <w:tr w:rsidR="00567696" w:rsidRPr="00CA4E12" w:rsidTr="00027442">
        <w:trPr>
          <w:trHeight w:val="425"/>
          <w:tblCellSpacing w:w="0" w:type="dxa"/>
        </w:trPr>
        <w:tc>
          <w:tcPr>
            <w:tcW w:w="567" w:type="dxa"/>
            <w:vMerge/>
            <w:vAlign w:val="center"/>
            <w:hideMark/>
          </w:tcPr>
          <w:p w:rsidR="00567696" w:rsidRPr="00CA4E12" w:rsidRDefault="00567696" w:rsidP="00567696">
            <w:pPr>
              <w:spacing w:before="0"/>
              <w:ind w:left="0"/>
              <w:rPr>
                <w:rFonts w:cs="Arial"/>
                <w:sz w:val="16"/>
                <w:szCs w:val="16"/>
                <w:lang w:eastAsia="en-NZ"/>
              </w:rPr>
            </w:pPr>
          </w:p>
        </w:tc>
        <w:tc>
          <w:tcPr>
            <w:tcW w:w="1793" w:type="dxa"/>
            <w:vMerge/>
            <w:vAlign w:val="center"/>
            <w:hideMark/>
          </w:tcPr>
          <w:p w:rsidR="00567696" w:rsidRPr="00CA4E12" w:rsidRDefault="00567696" w:rsidP="00567696">
            <w:pPr>
              <w:spacing w:before="0"/>
              <w:ind w:left="0"/>
              <w:rPr>
                <w:rFonts w:cs="Arial"/>
                <w:sz w:val="16"/>
                <w:szCs w:val="16"/>
                <w:lang w:eastAsia="en-NZ"/>
              </w:rPr>
            </w:pPr>
          </w:p>
        </w:tc>
        <w:tc>
          <w:tcPr>
            <w:tcW w:w="2332" w:type="dxa"/>
            <w:vMerge/>
            <w:vAlign w:val="center"/>
            <w:hideMark/>
          </w:tcPr>
          <w:p w:rsidR="00567696" w:rsidRPr="00CA4E12" w:rsidRDefault="00567696" w:rsidP="00567696">
            <w:pPr>
              <w:spacing w:before="0"/>
              <w:ind w:left="0"/>
              <w:rPr>
                <w:rFonts w:cs="Arial"/>
                <w:sz w:val="16"/>
                <w:szCs w:val="16"/>
                <w:lang w:eastAsia="en-NZ"/>
              </w:rPr>
            </w:pPr>
          </w:p>
        </w:tc>
        <w:tc>
          <w:tcPr>
            <w:tcW w:w="1940" w:type="dxa"/>
            <w:vMerge/>
            <w:vAlign w:val="center"/>
            <w:hideMark/>
          </w:tcPr>
          <w:p w:rsidR="00567696" w:rsidRPr="00CA4E12" w:rsidRDefault="00567696" w:rsidP="00567696">
            <w:pPr>
              <w:rPr>
                <w:rFonts w:cs="Arial"/>
                <w:sz w:val="16"/>
                <w:szCs w:val="16"/>
                <w:lang w:eastAsia="en-NZ"/>
              </w:rPr>
            </w:pPr>
          </w:p>
        </w:tc>
        <w:tc>
          <w:tcPr>
            <w:tcW w:w="2365" w:type="dxa"/>
            <w:vMerge/>
            <w:vAlign w:val="center"/>
            <w:hideMark/>
          </w:tcPr>
          <w:p w:rsidR="00567696" w:rsidRPr="00CA4E12" w:rsidRDefault="00567696" w:rsidP="00567696">
            <w:pPr>
              <w:rPr>
                <w:rFonts w:cs="Arial"/>
                <w:sz w:val="16"/>
                <w:szCs w:val="16"/>
                <w:lang w:eastAsia="en-NZ"/>
              </w:rPr>
            </w:pPr>
          </w:p>
        </w:tc>
      </w:tr>
      <w:tr w:rsidR="00567696" w:rsidRPr="00CA4E12" w:rsidTr="00555A5D">
        <w:trPr>
          <w:trHeight w:val="184"/>
          <w:tblCellSpacing w:w="0" w:type="dxa"/>
        </w:trPr>
        <w:tc>
          <w:tcPr>
            <w:tcW w:w="567" w:type="dxa"/>
            <w:vMerge/>
            <w:vAlign w:val="center"/>
            <w:hideMark/>
          </w:tcPr>
          <w:p w:rsidR="00567696" w:rsidRPr="00CA4E12" w:rsidRDefault="00567696" w:rsidP="00567696">
            <w:pPr>
              <w:spacing w:before="0"/>
              <w:ind w:left="0"/>
              <w:rPr>
                <w:rFonts w:cs="Arial"/>
                <w:sz w:val="16"/>
                <w:szCs w:val="16"/>
                <w:lang w:eastAsia="en-NZ"/>
              </w:rPr>
            </w:pPr>
          </w:p>
        </w:tc>
        <w:tc>
          <w:tcPr>
            <w:tcW w:w="1793" w:type="dxa"/>
            <w:vMerge/>
            <w:vAlign w:val="center"/>
            <w:hideMark/>
          </w:tcPr>
          <w:p w:rsidR="00567696" w:rsidRPr="00CA4E12" w:rsidRDefault="00567696" w:rsidP="00567696">
            <w:pPr>
              <w:spacing w:before="0"/>
              <w:ind w:left="0"/>
              <w:rPr>
                <w:rFonts w:cs="Arial"/>
                <w:sz w:val="16"/>
                <w:szCs w:val="16"/>
                <w:lang w:eastAsia="en-NZ"/>
              </w:rPr>
            </w:pPr>
          </w:p>
        </w:tc>
        <w:tc>
          <w:tcPr>
            <w:tcW w:w="2332" w:type="dxa"/>
            <w:vMerge/>
            <w:vAlign w:val="center"/>
            <w:hideMark/>
          </w:tcPr>
          <w:p w:rsidR="00567696" w:rsidRPr="00CA4E12" w:rsidRDefault="00567696" w:rsidP="00567696">
            <w:pPr>
              <w:spacing w:before="0"/>
              <w:ind w:left="0"/>
              <w:rPr>
                <w:rFonts w:cs="Arial"/>
                <w:sz w:val="16"/>
                <w:szCs w:val="16"/>
                <w:lang w:eastAsia="en-NZ"/>
              </w:rPr>
            </w:pPr>
          </w:p>
        </w:tc>
        <w:tc>
          <w:tcPr>
            <w:tcW w:w="1940" w:type="dxa"/>
            <w:vMerge/>
            <w:vAlign w:val="center"/>
            <w:hideMark/>
          </w:tcPr>
          <w:p w:rsidR="00567696" w:rsidRPr="00CA4E12" w:rsidRDefault="00567696" w:rsidP="00567696">
            <w:pPr>
              <w:rPr>
                <w:rFonts w:cs="Arial"/>
                <w:sz w:val="16"/>
                <w:szCs w:val="16"/>
                <w:lang w:eastAsia="en-NZ"/>
              </w:rPr>
            </w:pPr>
          </w:p>
        </w:tc>
        <w:tc>
          <w:tcPr>
            <w:tcW w:w="2365" w:type="dxa"/>
            <w:vMerge/>
            <w:vAlign w:val="center"/>
            <w:hideMark/>
          </w:tcPr>
          <w:p w:rsidR="00567696" w:rsidRPr="00CA4E12" w:rsidRDefault="00567696" w:rsidP="00567696">
            <w:pPr>
              <w:rPr>
                <w:rFonts w:cs="Arial"/>
                <w:sz w:val="16"/>
                <w:szCs w:val="16"/>
                <w:lang w:eastAsia="en-NZ"/>
              </w:rPr>
            </w:pPr>
          </w:p>
        </w:tc>
      </w:tr>
      <w:tr w:rsidR="00567696" w:rsidRPr="00CA4E12" w:rsidTr="00782097">
        <w:trPr>
          <w:trHeight w:val="1216"/>
          <w:tblCellSpacing w:w="0" w:type="dxa"/>
        </w:trPr>
        <w:tc>
          <w:tcPr>
            <w:tcW w:w="567" w:type="dxa"/>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t>12</w:t>
            </w:r>
          </w:p>
        </w:tc>
        <w:tc>
          <w:tcPr>
            <w:tcW w:w="1793" w:type="dxa"/>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t>Adenoma detection rate</w:t>
            </w:r>
          </w:p>
        </w:tc>
        <w:tc>
          <w:tcPr>
            <w:tcW w:w="2332" w:type="dxa"/>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t>This is the number of people diagnosed with any adenoma per 1000 screened</w:t>
            </w:r>
            <w:r>
              <w:rPr>
                <w:rFonts w:cs="Arial"/>
                <w:sz w:val="16"/>
                <w:szCs w:val="16"/>
                <w:lang w:eastAsia="en-NZ"/>
              </w:rPr>
              <w:t xml:space="preserve"> with an iFOBT result available </w:t>
            </w:r>
            <w:r w:rsidRPr="00CA4E12">
              <w:rPr>
                <w:rFonts w:cs="Arial"/>
                <w:sz w:val="16"/>
                <w:szCs w:val="16"/>
                <w:lang w:eastAsia="en-NZ"/>
              </w:rPr>
              <w:t>for the first and subsequent screening round.</w:t>
            </w:r>
          </w:p>
        </w:tc>
        <w:tc>
          <w:tcPr>
            <w:tcW w:w="1940" w:type="dxa"/>
            <w:tcMar>
              <w:top w:w="30" w:type="dxa"/>
              <w:left w:w="75" w:type="dxa"/>
              <w:bottom w:w="30" w:type="dxa"/>
              <w:right w:w="75" w:type="dxa"/>
            </w:tcMar>
            <w:hideMark/>
          </w:tcPr>
          <w:p w:rsidR="00567696" w:rsidRPr="00CA4E12" w:rsidRDefault="00567696" w:rsidP="00782097">
            <w:pPr>
              <w:spacing w:before="0"/>
              <w:ind w:left="0"/>
              <w:rPr>
                <w:rFonts w:cs="Arial"/>
                <w:sz w:val="16"/>
                <w:szCs w:val="16"/>
                <w:lang w:eastAsia="en-NZ"/>
              </w:rPr>
            </w:pPr>
            <w:r w:rsidRPr="00CA4E12">
              <w:rPr>
                <w:rFonts w:cs="Arial"/>
                <w:sz w:val="16"/>
                <w:szCs w:val="16"/>
                <w:lang w:eastAsia="en-NZ"/>
              </w:rPr>
              <w:t>13.3</w:t>
            </w:r>
            <w:r w:rsidR="00782097">
              <w:rPr>
                <w:rFonts w:cs="Arial"/>
                <w:sz w:val="16"/>
                <w:szCs w:val="16"/>
                <w:lang w:eastAsia="en-NZ"/>
              </w:rPr>
              <w:t>–</w:t>
            </w:r>
            <w:r w:rsidRPr="00CA4E12">
              <w:rPr>
                <w:rFonts w:cs="Arial"/>
                <w:sz w:val="16"/>
                <w:szCs w:val="16"/>
                <w:lang w:eastAsia="en-NZ"/>
              </w:rPr>
              <w:t>22.3 per 1000 (Range from population screening programmes with iFOBT)</w:t>
            </w:r>
          </w:p>
        </w:tc>
        <w:tc>
          <w:tcPr>
            <w:tcW w:w="2365" w:type="dxa"/>
            <w:tcMar>
              <w:top w:w="30" w:type="dxa"/>
              <w:left w:w="75" w:type="dxa"/>
              <w:bottom w:w="30" w:type="dxa"/>
              <w:right w:w="75" w:type="dxa"/>
            </w:tcMar>
            <w:hideMark/>
          </w:tcPr>
          <w:p w:rsidR="00782097" w:rsidRDefault="00782097" w:rsidP="00567696">
            <w:pPr>
              <w:spacing w:before="0"/>
              <w:ind w:left="0"/>
              <w:rPr>
                <w:rFonts w:cs="Arial"/>
                <w:sz w:val="16"/>
                <w:szCs w:val="16"/>
                <w:lang w:eastAsia="en-NZ"/>
              </w:rPr>
            </w:pPr>
            <w:r>
              <w:rPr>
                <w:rFonts w:cs="Arial"/>
                <w:sz w:val="16"/>
                <w:szCs w:val="16"/>
                <w:lang w:eastAsia="en-NZ"/>
              </w:rPr>
              <w:t>Round 1: 36.2 per 1000</w:t>
            </w:r>
          </w:p>
          <w:p w:rsidR="00782097" w:rsidRDefault="00782097" w:rsidP="00567696">
            <w:pPr>
              <w:spacing w:before="0"/>
              <w:ind w:left="0"/>
              <w:rPr>
                <w:rFonts w:cs="Arial"/>
                <w:sz w:val="16"/>
                <w:szCs w:val="16"/>
                <w:lang w:eastAsia="en-NZ"/>
              </w:rPr>
            </w:pPr>
          </w:p>
          <w:p w:rsidR="00567696" w:rsidRPr="005E6B3C" w:rsidRDefault="00782097" w:rsidP="00567696">
            <w:pPr>
              <w:spacing w:before="0"/>
              <w:ind w:left="0"/>
              <w:rPr>
                <w:rFonts w:cs="Arial"/>
                <w:sz w:val="16"/>
                <w:szCs w:val="16"/>
                <w:lang w:eastAsia="en-NZ"/>
              </w:rPr>
            </w:pPr>
            <w:r>
              <w:rPr>
                <w:rFonts w:cs="Arial"/>
                <w:sz w:val="16"/>
                <w:szCs w:val="16"/>
                <w:lang w:eastAsia="en-NZ"/>
              </w:rPr>
              <w:t xml:space="preserve">Round 2: </w:t>
            </w:r>
            <w:r w:rsidR="00567696" w:rsidRPr="005E6B3C">
              <w:rPr>
                <w:rFonts w:cs="Arial"/>
                <w:sz w:val="16"/>
                <w:szCs w:val="16"/>
                <w:lang w:eastAsia="en-NZ"/>
              </w:rPr>
              <w:t>23.2 per 1000</w:t>
            </w:r>
          </w:p>
        </w:tc>
      </w:tr>
      <w:tr w:rsidR="00567696" w:rsidRPr="00CA4E12" w:rsidTr="00782097">
        <w:trPr>
          <w:trHeight w:val="1020"/>
          <w:tblCellSpacing w:w="0" w:type="dxa"/>
        </w:trPr>
        <w:tc>
          <w:tcPr>
            <w:tcW w:w="567" w:type="dxa"/>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t>13</w:t>
            </w:r>
          </w:p>
        </w:tc>
        <w:tc>
          <w:tcPr>
            <w:tcW w:w="1793" w:type="dxa"/>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t xml:space="preserve">Positive predictive value of </w:t>
            </w:r>
            <w:r>
              <w:rPr>
                <w:rFonts w:cs="Arial"/>
                <w:sz w:val="16"/>
                <w:szCs w:val="16"/>
                <w:lang w:eastAsia="en-NZ"/>
              </w:rPr>
              <w:t>iFOBT</w:t>
            </w:r>
            <w:r w:rsidRPr="00CA4E12">
              <w:rPr>
                <w:rFonts w:cs="Arial"/>
                <w:sz w:val="16"/>
                <w:szCs w:val="16"/>
                <w:lang w:eastAsia="en-NZ"/>
              </w:rPr>
              <w:t xml:space="preserve"> for cancer</w:t>
            </w:r>
          </w:p>
        </w:tc>
        <w:tc>
          <w:tcPr>
            <w:tcW w:w="2332" w:type="dxa"/>
            <w:tcMar>
              <w:top w:w="30" w:type="dxa"/>
              <w:left w:w="75" w:type="dxa"/>
              <w:bottom w:w="30" w:type="dxa"/>
              <w:right w:w="75" w:type="dxa"/>
            </w:tcMar>
            <w:hideMark/>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t>This is the % of people with a malignant outcome in those having a colonoscopy for the first and subsequent screening round.</w:t>
            </w:r>
          </w:p>
        </w:tc>
        <w:tc>
          <w:tcPr>
            <w:tcW w:w="1940" w:type="dxa"/>
            <w:tcMar>
              <w:top w:w="30" w:type="dxa"/>
              <w:left w:w="75" w:type="dxa"/>
              <w:bottom w:w="30" w:type="dxa"/>
              <w:right w:w="75" w:type="dxa"/>
            </w:tcMar>
            <w:hideMark/>
          </w:tcPr>
          <w:p w:rsidR="00567696" w:rsidRPr="00CA4E12" w:rsidRDefault="00567696" w:rsidP="00782097">
            <w:pPr>
              <w:spacing w:before="0"/>
              <w:ind w:left="0"/>
              <w:rPr>
                <w:rFonts w:cs="Arial"/>
                <w:sz w:val="16"/>
                <w:szCs w:val="16"/>
                <w:lang w:eastAsia="en-NZ"/>
              </w:rPr>
            </w:pPr>
            <w:r w:rsidRPr="00CA4E12">
              <w:rPr>
                <w:rFonts w:cs="Arial"/>
                <w:sz w:val="16"/>
                <w:szCs w:val="16"/>
                <w:lang w:eastAsia="en-NZ"/>
              </w:rPr>
              <w:t>PPV Cancer first screen 4.5%</w:t>
            </w:r>
            <w:r w:rsidR="00782097">
              <w:rPr>
                <w:rFonts w:cs="Arial"/>
                <w:sz w:val="16"/>
                <w:szCs w:val="16"/>
                <w:lang w:eastAsia="en-NZ"/>
              </w:rPr>
              <w:t>–</w:t>
            </w:r>
            <w:r w:rsidRPr="00CA4E12">
              <w:rPr>
                <w:rFonts w:cs="Arial"/>
                <w:sz w:val="16"/>
                <w:szCs w:val="16"/>
                <w:lang w:eastAsia="en-NZ"/>
              </w:rPr>
              <w:t>8.6%</w:t>
            </w:r>
          </w:p>
        </w:tc>
        <w:tc>
          <w:tcPr>
            <w:tcW w:w="2365" w:type="dxa"/>
            <w:tcMar>
              <w:top w:w="30" w:type="dxa"/>
              <w:left w:w="75" w:type="dxa"/>
              <w:bottom w:w="30" w:type="dxa"/>
              <w:right w:w="75" w:type="dxa"/>
            </w:tcMar>
            <w:hideMark/>
          </w:tcPr>
          <w:p w:rsidR="00055491" w:rsidRDefault="00055491" w:rsidP="00567696">
            <w:pPr>
              <w:spacing w:before="0"/>
              <w:ind w:left="0"/>
              <w:rPr>
                <w:rFonts w:cs="Arial"/>
                <w:sz w:val="16"/>
                <w:szCs w:val="16"/>
                <w:lang w:eastAsia="en-NZ"/>
              </w:rPr>
            </w:pPr>
            <w:r>
              <w:rPr>
                <w:rFonts w:cs="Arial"/>
                <w:sz w:val="16"/>
                <w:szCs w:val="16"/>
                <w:lang w:eastAsia="en-NZ"/>
              </w:rPr>
              <w:t>Round 1: 4.3% (4.4%)</w:t>
            </w:r>
            <w:r w:rsidRPr="005E6B3C">
              <w:rPr>
                <w:rFonts w:cs="Arial"/>
                <w:sz w:val="16"/>
                <w:szCs w:val="16"/>
                <w:lang w:eastAsia="en-NZ"/>
              </w:rPr>
              <w:t>*****</w:t>
            </w:r>
            <w:r>
              <w:rPr>
                <w:rFonts w:cs="Arial"/>
                <w:sz w:val="16"/>
                <w:szCs w:val="16"/>
                <w:lang w:eastAsia="en-NZ"/>
              </w:rPr>
              <w:t xml:space="preserve"> </w:t>
            </w:r>
          </w:p>
          <w:p w:rsidR="00055491" w:rsidRDefault="00055491" w:rsidP="00567696">
            <w:pPr>
              <w:spacing w:before="0"/>
              <w:ind w:left="0"/>
              <w:rPr>
                <w:rFonts w:cs="Arial"/>
                <w:sz w:val="16"/>
                <w:szCs w:val="16"/>
                <w:lang w:eastAsia="en-NZ"/>
              </w:rPr>
            </w:pPr>
          </w:p>
          <w:p w:rsidR="00567696" w:rsidRPr="005E6B3C" w:rsidRDefault="00055491" w:rsidP="00567696">
            <w:pPr>
              <w:spacing w:before="0"/>
              <w:ind w:left="0"/>
              <w:rPr>
                <w:rFonts w:cs="Arial"/>
                <w:sz w:val="16"/>
                <w:szCs w:val="16"/>
                <w:lang w:eastAsia="en-NZ"/>
              </w:rPr>
            </w:pPr>
            <w:r>
              <w:rPr>
                <w:rFonts w:cs="Arial"/>
                <w:sz w:val="16"/>
                <w:szCs w:val="16"/>
                <w:lang w:eastAsia="en-NZ"/>
              </w:rPr>
              <w:t>Round 2: 2.9% (2.9%)</w:t>
            </w:r>
            <w:r w:rsidR="00567696" w:rsidRPr="005E6B3C">
              <w:rPr>
                <w:rFonts w:cs="Arial"/>
                <w:sz w:val="16"/>
                <w:szCs w:val="16"/>
                <w:lang w:eastAsia="en-NZ"/>
              </w:rPr>
              <w:t>*****</w:t>
            </w:r>
          </w:p>
        </w:tc>
      </w:tr>
      <w:tr w:rsidR="00567696" w:rsidRPr="00CA4E12" w:rsidTr="00027442">
        <w:trPr>
          <w:tblCellSpacing w:w="0" w:type="dxa"/>
        </w:trPr>
        <w:tc>
          <w:tcPr>
            <w:tcW w:w="567" w:type="dxa"/>
            <w:tcMar>
              <w:top w:w="30" w:type="dxa"/>
              <w:left w:w="75" w:type="dxa"/>
              <w:bottom w:w="30" w:type="dxa"/>
              <w:right w:w="75" w:type="dxa"/>
            </w:tcMar>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t>14</w:t>
            </w:r>
          </w:p>
        </w:tc>
        <w:tc>
          <w:tcPr>
            <w:tcW w:w="1793" w:type="dxa"/>
            <w:tcMar>
              <w:top w:w="30" w:type="dxa"/>
              <w:left w:w="75" w:type="dxa"/>
              <w:bottom w:w="30" w:type="dxa"/>
              <w:right w:w="75" w:type="dxa"/>
            </w:tcMar>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t xml:space="preserve">Positive predictive value of </w:t>
            </w:r>
            <w:r>
              <w:rPr>
                <w:rFonts w:cs="Arial"/>
                <w:sz w:val="16"/>
                <w:szCs w:val="16"/>
                <w:lang w:eastAsia="en-NZ"/>
              </w:rPr>
              <w:t>iFOBT</w:t>
            </w:r>
            <w:r w:rsidRPr="00CA4E12">
              <w:rPr>
                <w:rFonts w:cs="Arial"/>
                <w:sz w:val="16"/>
                <w:szCs w:val="16"/>
                <w:lang w:eastAsia="en-NZ"/>
              </w:rPr>
              <w:t xml:space="preserve"> for advanced adenoma</w:t>
            </w:r>
          </w:p>
        </w:tc>
        <w:tc>
          <w:tcPr>
            <w:tcW w:w="2332" w:type="dxa"/>
            <w:tcMar>
              <w:top w:w="30" w:type="dxa"/>
              <w:left w:w="75" w:type="dxa"/>
              <w:bottom w:w="30" w:type="dxa"/>
              <w:right w:w="75" w:type="dxa"/>
            </w:tcMar>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t>This is the % of people with any advanced adenoma in those having a colonoscopy for the first and subsequent screening round.</w:t>
            </w:r>
          </w:p>
        </w:tc>
        <w:tc>
          <w:tcPr>
            <w:tcW w:w="1940" w:type="dxa"/>
            <w:tcMar>
              <w:top w:w="30" w:type="dxa"/>
              <w:left w:w="75" w:type="dxa"/>
              <w:bottom w:w="30" w:type="dxa"/>
              <w:right w:w="75" w:type="dxa"/>
            </w:tcMar>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t>No agreed international standard</w:t>
            </w:r>
          </w:p>
        </w:tc>
        <w:tc>
          <w:tcPr>
            <w:tcW w:w="2365" w:type="dxa"/>
            <w:tcMar>
              <w:top w:w="30" w:type="dxa"/>
              <w:left w:w="75" w:type="dxa"/>
              <w:bottom w:w="30" w:type="dxa"/>
              <w:right w:w="75" w:type="dxa"/>
            </w:tcMar>
          </w:tcPr>
          <w:p w:rsidR="00055491" w:rsidRDefault="004D22CD" w:rsidP="00567696">
            <w:pPr>
              <w:spacing w:before="0"/>
              <w:ind w:left="0"/>
              <w:rPr>
                <w:rFonts w:cs="Arial"/>
                <w:sz w:val="16"/>
                <w:szCs w:val="16"/>
                <w:lang w:eastAsia="en-NZ"/>
              </w:rPr>
            </w:pPr>
            <w:r>
              <w:rPr>
                <w:rFonts w:cs="Arial"/>
                <w:sz w:val="16"/>
                <w:szCs w:val="16"/>
                <w:lang w:eastAsia="en-NZ"/>
              </w:rPr>
              <w:t>Round 1:24.0</w:t>
            </w:r>
            <w:r w:rsidR="00055491">
              <w:rPr>
                <w:rFonts w:cs="Arial"/>
                <w:sz w:val="16"/>
                <w:szCs w:val="16"/>
                <w:lang w:eastAsia="en-NZ"/>
              </w:rPr>
              <w:t xml:space="preserve">% </w:t>
            </w:r>
          </w:p>
          <w:p w:rsidR="00055491" w:rsidRDefault="00055491" w:rsidP="00567696">
            <w:pPr>
              <w:spacing w:before="0"/>
              <w:ind w:left="0"/>
              <w:rPr>
                <w:rFonts w:cs="Arial"/>
                <w:sz w:val="16"/>
                <w:szCs w:val="16"/>
                <w:lang w:eastAsia="en-NZ"/>
              </w:rPr>
            </w:pPr>
          </w:p>
          <w:p w:rsidR="00567696" w:rsidRPr="005E6B3C" w:rsidRDefault="00055491" w:rsidP="00567696">
            <w:pPr>
              <w:spacing w:before="0"/>
              <w:ind w:left="0"/>
              <w:rPr>
                <w:rFonts w:cs="Arial"/>
                <w:sz w:val="16"/>
                <w:szCs w:val="16"/>
                <w:lang w:eastAsia="en-NZ"/>
              </w:rPr>
            </w:pPr>
            <w:r>
              <w:rPr>
                <w:rFonts w:cs="Arial"/>
                <w:sz w:val="16"/>
                <w:szCs w:val="16"/>
                <w:lang w:eastAsia="en-NZ"/>
              </w:rPr>
              <w:t xml:space="preserve">Round 2: </w:t>
            </w:r>
            <w:r w:rsidR="00567696">
              <w:rPr>
                <w:rFonts w:cs="Arial"/>
                <w:sz w:val="16"/>
                <w:szCs w:val="16"/>
                <w:lang w:eastAsia="en-NZ"/>
              </w:rPr>
              <w:t>15.3</w:t>
            </w:r>
            <w:r w:rsidR="00567696" w:rsidRPr="005E6B3C">
              <w:rPr>
                <w:rFonts w:cs="Arial"/>
                <w:sz w:val="16"/>
                <w:szCs w:val="16"/>
                <w:lang w:eastAsia="en-NZ"/>
              </w:rPr>
              <w:t>%</w:t>
            </w:r>
          </w:p>
        </w:tc>
      </w:tr>
      <w:tr w:rsidR="00567696" w:rsidRPr="00CA4E12" w:rsidTr="00027442">
        <w:trPr>
          <w:tblCellSpacing w:w="0" w:type="dxa"/>
        </w:trPr>
        <w:tc>
          <w:tcPr>
            <w:tcW w:w="567" w:type="dxa"/>
            <w:tcMar>
              <w:top w:w="30" w:type="dxa"/>
              <w:left w:w="75" w:type="dxa"/>
              <w:bottom w:w="30" w:type="dxa"/>
              <w:right w:w="75" w:type="dxa"/>
            </w:tcMar>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lastRenderedPageBreak/>
              <w:t>15</w:t>
            </w:r>
          </w:p>
        </w:tc>
        <w:tc>
          <w:tcPr>
            <w:tcW w:w="1793" w:type="dxa"/>
            <w:tcMar>
              <w:top w:w="30" w:type="dxa"/>
              <w:left w:w="75" w:type="dxa"/>
              <w:bottom w:w="30" w:type="dxa"/>
              <w:right w:w="75" w:type="dxa"/>
            </w:tcMar>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t xml:space="preserve">Positive predictive value of </w:t>
            </w:r>
            <w:r>
              <w:rPr>
                <w:rFonts w:cs="Arial"/>
                <w:sz w:val="16"/>
                <w:szCs w:val="16"/>
                <w:lang w:eastAsia="en-NZ"/>
              </w:rPr>
              <w:t>iFOBT</w:t>
            </w:r>
            <w:r w:rsidRPr="00CA4E12">
              <w:rPr>
                <w:rFonts w:cs="Arial"/>
                <w:sz w:val="16"/>
                <w:szCs w:val="16"/>
                <w:lang w:eastAsia="en-NZ"/>
              </w:rPr>
              <w:t xml:space="preserve"> for adenoma</w:t>
            </w:r>
          </w:p>
        </w:tc>
        <w:tc>
          <w:tcPr>
            <w:tcW w:w="2332" w:type="dxa"/>
            <w:tcMar>
              <w:top w:w="30" w:type="dxa"/>
              <w:left w:w="75" w:type="dxa"/>
              <w:bottom w:w="30" w:type="dxa"/>
              <w:right w:w="75" w:type="dxa"/>
            </w:tcMar>
          </w:tcPr>
          <w:p w:rsidR="00567696" w:rsidRPr="00CA4E12" w:rsidRDefault="00567696" w:rsidP="00567696">
            <w:pPr>
              <w:spacing w:before="0"/>
              <w:ind w:left="0"/>
              <w:rPr>
                <w:rFonts w:cs="Arial"/>
                <w:sz w:val="16"/>
                <w:szCs w:val="16"/>
                <w:lang w:eastAsia="en-NZ"/>
              </w:rPr>
            </w:pPr>
            <w:r w:rsidRPr="00CA4E12">
              <w:rPr>
                <w:rFonts w:cs="Arial"/>
                <w:sz w:val="16"/>
                <w:szCs w:val="16"/>
                <w:lang w:eastAsia="en-NZ"/>
              </w:rPr>
              <w:t>This is the % of people with any adenoma in those having a colonoscopy for the first and subsequent screening round.</w:t>
            </w:r>
          </w:p>
        </w:tc>
        <w:tc>
          <w:tcPr>
            <w:tcW w:w="1940" w:type="dxa"/>
            <w:tcMar>
              <w:top w:w="30" w:type="dxa"/>
              <w:left w:w="75" w:type="dxa"/>
              <w:bottom w:w="30" w:type="dxa"/>
              <w:right w:w="75" w:type="dxa"/>
            </w:tcMar>
          </w:tcPr>
          <w:p w:rsidR="00567696" w:rsidRPr="00CA4E12" w:rsidRDefault="00055491" w:rsidP="00055491">
            <w:pPr>
              <w:spacing w:before="0"/>
              <w:ind w:left="0"/>
              <w:rPr>
                <w:rFonts w:cs="Arial"/>
                <w:sz w:val="16"/>
                <w:szCs w:val="16"/>
                <w:lang w:eastAsia="en-NZ"/>
              </w:rPr>
            </w:pPr>
            <w:r>
              <w:rPr>
                <w:rFonts w:cs="Arial"/>
                <w:sz w:val="16"/>
                <w:szCs w:val="16"/>
                <w:lang w:eastAsia="en-NZ"/>
              </w:rPr>
              <w:t>PPV adenoma first screen 9.6–</w:t>
            </w:r>
            <w:r w:rsidR="00567696" w:rsidRPr="00B35C81">
              <w:rPr>
                <w:rFonts w:cs="Arial"/>
                <w:sz w:val="16"/>
                <w:szCs w:val="16"/>
                <w:lang w:eastAsia="en-NZ"/>
              </w:rPr>
              <w:t>40.3%</w:t>
            </w:r>
          </w:p>
        </w:tc>
        <w:tc>
          <w:tcPr>
            <w:tcW w:w="2365" w:type="dxa"/>
            <w:tcMar>
              <w:top w:w="30" w:type="dxa"/>
              <w:left w:w="75" w:type="dxa"/>
              <w:bottom w:w="30" w:type="dxa"/>
              <w:right w:w="75" w:type="dxa"/>
            </w:tcMar>
          </w:tcPr>
          <w:p w:rsidR="00055491" w:rsidRDefault="00055491" w:rsidP="00567696">
            <w:pPr>
              <w:spacing w:before="0"/>
              <w:ind w:left="0"/>
              <w:rPr>
                <w:rFonts w:cs="Arial"/>
                <w:sz w:val="16"/>
                <w:szCs w:val="16"/>
                <w:lang w:eastAsia="en-NZ"/>
              </w:rPr>
            </w:pPr>
            <w:r>
              <w:rPr>
                <w:rFonts w:cs="Arial"/>
                <w:sz w:val="16"/>
                <w:szCs w:val="16"/>
                <w:lang w:eastAsia="en-NZ"/>
              </w:rPr>
              <w:t xml:space="preserve">Round 1: 56.1% </w:t>
            </w:r>
          </w:p>
          <w:p w:rsidR="00055491" w:rsidRDefault="00055491" w:rsidP="00567696">
            <w:pPr>
              <w:spacing w:before="0"/>
              <w:ind w:left="0"/>
              <w:rPr>
                <w:rFonts w:cs="Arial"/>
                <w:sz w:val="16"/>
                <w:szCs w:val="16"/>
                <w:lang w:eastAsia="en-NZ"/>
              </w:rPr>
            </w:pPr>
          </w:p>
          <w:p w:rsidR="00567696" w:rsidRPr="005E6B3C" w:rsidRDefault="00055491" w:rsidP="00567696">
            <w:pPr>
              <w:spacing w:before="0"/>
              <w:ind w:left="0"/>
              <w:rPr>
                <w:rFonts w:cs="Arial"/>
                <w:sz w:val="16"/>
                <w:szCs w:val="16"/>
                <w:lang w:eastAsia="en-NZ"/>
              </w:rPr>
            </w:pPr>
            <w:r>
              <w:rPr>
                <w:rFonts w:cs="Arial"/>
                <w:sz w:val="16"/>
                <w:szCs w:val="16"/>
                <w:lang w:eastAsia="en-NZ"/>
              </w:rPr>
              <w:t xml:space="preserve">Round 2: </w:t>
            </w:r>
            <w:r w:rsidR="00567696" w:rsidRPr="005E6B3C">
              <w:rPr>
                <w:rFonts w:cs="Arial"/>
                <w:sz w:val="16"/>
                <w:szCs w:val="16"/>
                <w:lang w:eastAsia="en-NZ"/>
              </w:rPr>
              <w:t>47.7%</w:t>
            </w:r>
          </w:p>
        </w:tc>
      </w:tr>
    </w:tbl>
    <w:p w:rsidR="00567696" w:rsidRDefault="00567696" w:rsidP="00C74B0C">
      <w:pPr>
        <w:ind w:left="567"/>
      </w:pPr>
      <w:r>
        <w:t>* For this indicator, the number of eligible people in the Waitemat</w:t>
      </w:r>
      <w:r w:rsidR="00555A5D">
        <w:rPr>
          <w:rFonts w:cs="Arial"/>
        </w:rPr>
        <w:t>ā</w:t>
      </w:r>
      <w:r>
        <w:t xml:space="preserve"> is defined as those people residing in the Waitemat</w:t>
      </w:r>
      <w:r w:rsidR="00555A5D">
        <w:rPr>
          <w:rFonts w:cs="Arial"/>
        </w:rPr>
        <w:t>ā</w:t>
      </w:r>
      <w:r>
        <w:t xml:space="preserve"> DHB region, aged 50-74 based on 2013 census data sourced from StatsNZ.</w:t>
      </w:r>
    </w:p>
    <w:p w:rsidR="00567696" w:rsidRDefault="00567696" w:rsidP="00C74B0C">
      <w:pPr>
        <w:ind w:left="567"/>
      </w:pPr>
      <w:r>
        <w:t>**</w:t>
      </w:r>
      <w:r w:rsidR="00075C15">
        <w:t xml:space="preserve"> </w:t>
      </w:r>
      <w:r>
        <w:t>This includes those that have chosen to receive a colonoscopy through a private provider.</w:t>
      </w:r>
    </w:p>
    <w:p w:rsidR="00567696" w:rsidRDefault="00567696" w:rsidP="00C74B0C">
      <w:pPr>
        <w:ind w:left="567"/>
      </w:pPr>
      <w:r>
        <w:t>*** This number was calculated on the expected number of adverse event rates reported in the UK Bowel Cancer Screening Programme Quality Assurance Guideline for Colonoscopy and based on the fact the 7 out of 10 pilot participant proceeding to colonoscopy are identified to have had a lesion.</w:t>
      </w:r>
    </w:p>
    <w:p w:rsidR="00567696" w:rsidRDefault="00567696" w:rsidP="00C74B0C">
      <w:pPr>
        <w:ind w:left="567"/>
      </w:pPr>
      <w:r>
        <w:t>**** This figure includes those who had cancer found through a colonoscopy undertaken privately.</w:t>
      </w:r>
    </w:p>
    <w:p w:rsidR="00567696" w:rsidRDefault="00567696" w:rsidP="00C74B0C">
      <w:pPr>
        <w:ind w:left="567"/>
      </w:pPr>
      <w:r>
        <w:t>***** This figure includes those who have cancer found through a colonoscopy undertaken privately.</w:t>
      </w:r>
    </w:p>
    <w:p w:rsidR="00567696" w:rsidRDefault="00567696" w:rsidP="00C74B0C">
      <w:pPr>
        <w:ind w:left="567"/>
      </w:pPr>
      <w:r>
        <w:t xml:space="preserve">Note: Unless otherwise stated, these figures do not include people who have exited the programme and had private colonoscopies, or adenomas and cancers detected through them. Unless otherwise stated, all indicators are based </w:t>
      </w:r>
      <w:r w:rsidR="00075C15">
        <w:t>o</w:t>
      </w:r>
      <w:r>
        <w:t>n the European Guidelines for Quality Assurance in Colorectal Cancer Screening and Diagnosis.</w:t>
      </w:r>
    </w:p>
    <w:p w:rsidR="00567696" w:rsidRDefault="00567696" w:rsidP="00C74B0C">
      <w:pPr>
        <w:ind w:left="567"/>
      </w:pPr>
      <w:r>
        <w:rPr>
          <w:i/>
        </w:rPr>
        <w:t>The indicators were developed using recommendations and standards set out in the European Guidelines for Quality Assurance in Colorectal Cancer Screening Diagnosis, and the United Kingdom Bowel Screening Programme Quality Assurance Guidelines for Colonoscopy</w:t>
      </w:r>
      <w:r>
        <w:t>.</w:t>
      </w:r>
    </w:p>
    <w:p w:rsidR="00567696" w:rsidRDefault="00567696" w:rsidP="00567696"/>
    <w:p w:rsidR="00567696" w:rsidRDefault="00567696" w:rsidP="00075C15"/>
    <w:sectPr w:rsidR="00567696" w:rsidSect="00C74B0C">
      <w:headerReference w:type="default" r:id="rId9"/>
      <w:footerReference w:type="default" r:id="rId10"/>
      <w:headerReference w:type="first" r:id="rId11"/>
      <w:footerReference w:type="first" r:id="rId12"/>
      <w:pgSz w:w="11906" w:h="16838"/>
      <w:pgMar w:top="2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17D" w:rsidRDefault="008A017D">
      <w:r>
        <w:separator/>
      </w:r>
    </w:p>
  </w:endnote>
  <w:endnote w:type="continuationSeparator" w:id="0">
    <w:p w:rsidR="008A017D" w:rsidRDefault="008A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Gotham Rounded Light">
    <w:altName w:val="Cambria"/>
    <w:panose1 w:val="00000000000000000000"/>
    <w:charset w:val="00"/>
    <w:family w:val="swiss"/>
    <w:notTrueType/>
    <w:pitch w:val="default"/>
    <w:sig w:usb0="00000003" w:usb1="00000000" w:usb2="00000000" w:usb3="00000000" w:csb0="00000001" w:csb1="00000000"/>
  </w:font>
  <w:font w:name="Gotham Rounded Bold">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17D" w:rsidRDefault="008A017D" w:rsidP="00372C38">
    <w:pPr>
      <w:pStyle w:val="Footer"/>
      <w:tabs>
        <w:tab w:val="right" w:pos="8789"/>
        <w:tab w:val="right" w:pos="9639"/>
      </w:tabs>
    </w:pPr>
    <w:r>
      <w:rPr>
        <w:noProof/>
        <w:lang w:eastAsia="en-NZ"/>
      </w:rPr>
      <w:drawing>
        <wp:inline distT="0" distB="0" distL="0" distR="0" wp14:anchorId="322697DE" wp14:editId="0D9CDB4B">
          <wp:extent cx="1451360" cy="446252"/>
          <wp:effectExtent l="0" t="0" r="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64266" cy="450220"/>
                  </a:xfrm>
                  <a:prstGeom prst="rect">
                    <a:avLst/>
                  </a:prstGeom>
                </pic:spPr>
              </pic:pic>
            </a:graphicData>
          </a:graphic>
        </wp:inline>
      </w:drawing>
    </w:r>
    <w:r>
      <w:rPr>
        <w:noProof/>
        <w:lang w:eastAsia="en-NZ"/>
      </w:rPr>
      <w:t xml:space="preserve">                      </w:t>
    </w:r>
    <w:r>
      <w:rPr>
        <w:noProof/>
        <w:lang w:eastAsia="en-NZ"/>
      </w:rPr>
      <w:drawing>
        <wp:inline distT="0" distB="0" distL="0" distR="0" wp14:anchorId="55959633" wp14:editId="66B00714">
          <wp:extent cx="1155700" cy="421005"/>
          <wp:effectExtent l="0" t="0" r="635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5700" cy="421005"/>
                  </a:xfrm>
                  <a:prstGeom prst="rect">
                    <a:avLst/>
                  </a:prstGeom>
                  <a:noFill/>
                </pic:spPr>
              </pic:pic>
            </a:graphicData>
          </a:graphic>
        </wp:inline>
      </w:drawing>
    </w:r>
    <w:r>
      <w:rPr>
        <w:noProof/>
        <w:lang w:eastAsia="en-NZ"/>
      </w:rPr>
      <w:t xml:space="preserve">             </w:t>
    </w:r>
    <w:r>
      <w:rPr>
        <w:noProof/>
        <w:szCs w:val="20"/>
        <w:lang w:eastAsia="en-NZ"/>
      </w:rPr>
      <w:drawing>
        <wp:anchor distT="0" distB="0" distL="114300" distR="114300" simplePos="0" relativeHeight="251681792" behindDoc="1" locked="0" layoutInCell="1" allowOverlap="1" wp14:anchorId="0A0C8155" wp14:editId="1CCA3F0C">
          <wp:simplePos x="0" y="0"/>
          <wp:positionH relativeFrom="column">
            <wp:posOffset>4970145</wp:posOffset>
          </wp:positionH>
          <wp:positionV relativeFrom="paragraph">
            <wp:posOffset>59055</wp:posOffset>
          </wp:positionV>
          <wp:extent cx="999490" cy="304800"/>
          <wp:effectExtent l="0" t="0" r="0" b="0"/>
          <wp:wrapNone/>
          <wp:docPr id="385" name="Picture 2" descr="LIT_Logo 2010_Colo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_Logo 2010_Colour(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9490" cy="304800"/>
                  </a:xfrm>
                  <a:prstGeom prst="rect">
                    <a:avLst/>
                  </a:prstGeom>
                  <a:noFill/>
                </pic:spPr>
              </pic:pic>
            </a:graphicData>
          </a:graphic>
        </wp:anchor>
      </w:drawing>
    </w:r>
    <w:r>
      <w:rPr>
        <w:noProof/>
        <w:lang w:eastAsia="en-NZ"/>
      </w:rPr>
      <w:tab/>
    </w:r>
    <w:r>
      <w:tab/>
    </w:r>
    <w:r>
      <w:rPr>
        <w:rStyle w:val="PageNumber"/>
      </w:rPr>
      <w:fldChar w:fldCharType="begin"/>
    </w:r>
    <w:r>
      <w:rPr>
        <w:rStyle w:val="PageNumber"/>
      </w:rPr>
      <w:instrText xml:space="preserve"> PAGE </w:instrText>
    </w:r>
    <w:r>
      <w:rPr>
        <w:rStyle w:val="PageNumber"/>
      </w:rPr>
      <w:fldChar w:fldCharType="separate"/>
    </w:r>
    <w:r w:rsidR="008C3A7F">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17D" w:rsidRDefault="008A017D" w:rsidP="00372C38">
    <w:pPr>
      <w:pStyle w:val="Footer"/>
      <w:tabs>
        <w:tab w:val="right" w:pos="8789"/>
        <w:tab w:val="right" w:pos="9639"/>
      </w:tabs>
    </w:pPr>
    <w:r>
      <w:rPr>
        <w:noProof/>
        <w:lang w:eastAsia="en-NZ"/>
      </w:rPr>
      <w:drawing>
        <wp:inline distT="0" distB="0" distL="0" distR="0" wp14:anchorId="15E1666F" wp14:editId="03237736">
          <wp:extent cx="1451360" cy="446252"/>
          <wp:effectExtent l="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64266" cy="450220"/>
                  </a:xfrm>
                  <a:prstGeom prst="rect">
                    <a:avLst/>
                  </a:prstGeom>
                </pic:spPr>
              </pic:pic>
            </a:graphicData>
          </a:graphic>
        </wp:inline>
      </w:drawing>
    </w:r>
    <w:r>
      <w:rPr>
        <w:noProof/>
        <w:lang w:eastAsia="en-NZ"/>
      </w:rPr>
      <w:t xml:space="preserve">                      </w:t>
    </w:r>
    <w:r>
      <w:rPr>
        <w:noProof/>
        <w:lang w:eastAsia="en-NZ"/>
      </w:rPr>
      <w:drawing>
        <wp:inline distT="0" distB="0" distL="0" distR="0" wp14:anchorId="02A0FFA7" wp14:editId="757C6383">
          <wp:extent cx="1155700" cy="421005"/>
          <wp:effectExtent l="0" t="0" r="635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5700" cy="421005"/>
                  </a:xfrm>
                  <a:prstGeom prst="rect">
                    <a:avLst/>
                  </a:prstGeom>
                  <a:noFill/>
                </pic:spPr>
              </pic:pic>
            </a:graphicData>
          </a:graphic>
        </wp:inline>
      </w:drawing>
    </w:r>
    <w:r>
      <w:rPr>
        <w:noProof/>
        <w:lang w:eastAsia="en-NZ"/>
      </w:rPr>
      <w:t xml:space="preserve">             </w:t>
    </w:r>
    <w:r>
      <w:rPr>
        <w:noProof/>
        <w:szCs w:val="20"/>
        <w:lang w:eastAsia="en-NZ"/>
      </w:rPr>
      <w:drawing>
        <wp:anchor distT="0" distB="0" distL="114300" distR="114300" simplePos="0" relativeHeight="251679744" behindDoc="1" locked="0" layoutInCell="1" allowOverlap="1" wp14:anchorId="4002921F" wp14:editId="3DAC7313">
          <wp:simplePos x="0" y="0"/>
          <wp:positionH relativeFrom="column">
            <wp:posOffset>4970145</wp:posOffset>
          </wp:positionH>
          <wp:positionV relativeFrom="paragraph">
            <wp:posOffset>59055</wp:posOffset>
          </wp:positionV>
          <wp:extent cx="999490" cy="304800"/>
          <wp:effectExtent l="0" t="0" r="0" b="0"/>
          <wp:wrapNone/>
          <wp:docPr id="388" name="Picture 2" descr="LIT_Logo 2010_Colo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_Logo 2010_Colour(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9490" cy="304800"/>
                  </a:xfrm>
                  <a:prstGeom prst="rect">
                    <a:avLst/>
                  </a:prstGeom>
                  <a:noFill/>
                </pic:spPr>
              </pic:pic>
            </a:graphicData>
          </a:graphic>
        </wp:anchor>
      </w:drawing>
    </w:r>
    <w:r>
      <w:rPr>
        <w:noProof/>
        <w:lang w:eastAsia="en-NZ"/>
      </w:rP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17D" w:rsidRDefault="008A017D" w:rsidP="005719A8">
      <w:pPr>
        <w:spacing w:before="0"/>
        <w:ind w:left="0"/>
      </w:pPr>
      <w:r>
        <w:separator/>
      </w:r>
    </w:p>
  </w:footnote>
  <w:footnote w:type="continuationSeparator" w:id="0">
    <w:p w:rsidR="008A017D" w:rsidRDefault="008A0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17D" w:rsidRPr="00815767" w:rsidRDefault="008A017D" w:rsidP="00815767">
    <w:pPr>
      <w:pStyle w:val="Header"/>
      <w:rPr>
        <w:b/>
      </w:rPr>
    </w:pPr>
    <w:r>
      <w:rPr>
        <w:b/>
      </w:rPr>
      <w:t>final evaluation report of the bowel screening pilot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17D" w:rsidRPr="0073502B" w:rsidRDefault="008A017D" w:rsidP="0073502B">
    <w:pPr>
      <w:pStyle w:val="Header"/>
    </w:pPr>
    <w:r>
      <w:rPr>
        <w:b/>
      </w:rPr>
      <w:t>final evaluation report of the bowel screening pilot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numFmt w:val="none"/>
      <w:lvlText w:val=""/>
      <w:lvlJc w:val="left"/>
    </w:lvl>
    <w:lvl w:ilvl="1">
      <w:numFmt w:val="none"/>
      <w:lvlText w:val=""/>
      <w:lvlJc w:val="left"/>
    </w:lvl>
    <w:lvl w:ilvl="2">
      <w:numFmt w:val="none"/>
      <w:lvlText w:val=""/>
      <w:lvlJc w:val="left"/>
    </w:lvl>
    <w:lvl w:ilvl="3">
      <w:numFmt w:val="decimal"/>
      <w:lvlText w:val="%4"/>
      <w:legacy w:legacy="1" w:legacySpace="0" w:legacyIndent="0"/>
      <w:lvlJc w:val="left"/>
      <w:rPr>
        <w:rFonts w:ascii="Tms Rmn" w:hAnsi="Tms Rmn" w:hint="default"/>
      </w:rPr>
    </w:lvl>
    <w:lvl w:ilvl="4">
      <w:numFmt w:val="decimal"/>
      <w:lvlText w:val="%5"/>
      <w:legacy w:legacy="1" w:legacySpace="0" w:legacyIndent="0"/>
      <w:lvlJc w:val="left"/>
      <w:rPr>
        <w:rFonts w:ascii="Tms Rmn" w:hAnsi="Tms Rmn" w:hint="default"/>
      </w:rPr>
    </w:lvl>
    <w:lvl w:ilvl="5">
      <w:numFmt w:val="decimal"/>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nsid w:val="022E40D8"/>
    <w:multiLevelType w:val="hybridMultilevel"/>
    <w:tmpl w:val="E0C8F1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Tms Rm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ms Rm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ms Rmn" w:hint="default"/>
      </w:rPr>
    </w:lvl>
    <w:lvl w:ilvl="8" w:tplc="14090005">
      <w:start w:val="1"/>
      <w:numFmt w:val="bullet"/>
      <w:lvlText w:val=""/>
      <w:lvlJc w:val="left"/>
      <w:pPr>
        <w:ind w:left="6480" w:hanging="360"/>
      </w:pPr>
      <w:rPr>
        <w:rFonts w:ascii="Wingdings" w:hAnsi="Wingdings" w:hint="default"/>
      </w:rPr>
    </w:lvl>
  </w:abstractNum>
  <w:abstractNum w:abstractNumId="2">
    <w:nsid w:val="0E8B1EEF"/>
    <w:multiLevelType w:val="hybridMultilevel"/>
    <w:tmpl w:val="DD7A2CBC"/>
    <w:lvl w:ilvl="0" w:tplc="E152ACF2">
      <w:start w:val="1"/>
      <w:numFmt w:val="bullet"/>
      <w:lvlText w:val="­"/>
      <w:lvlJc w:val="left"/>
      <w:pPr>
        <w:ind w:left="1800" w:hanging="360"/>
      </w:pPr>
      <w:rPr>
        <w:rFonts w:ascii="Courier New" w:hAnsi="Courier New" w:hint="default"/>
      </w:rPr>
    </w:lvl>
    <w:lvl w:ilvl="1" w:tplc="B5CABCAA">
      <w:start w:val="1"/>
      <w:numFmt w:val="bullet"/>
      <w:lvlText w:val="–"/>
      <w:lvlJc w:val="left"/>
      <w:pPr>
        <w:ind w:left="2520" w:hanging="360"/>
      </w:pPr>
      <w:rPr>
        <w:rFonts w:ascii="Times New Roman" w:hAnsi="Times New Roman" w:cs="Times New Roman" w:hint="default"/>
        <w:sz w:val="24"/>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Tms Rmn"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Tms Rmn" w:hint="default"/>
      </w:rPr>
    </w:lvl>
    <w:lvl w:ilvl="8" w:tplc="14090005" w:tentative="1">
      <w:start w:val="1"/>
      <w:numFmt w:val="bullet"/>
      <w:lvlText w:val=""/>
      <w:lvlJc w:val="left"/>
      <w:pPr>
        <w:ind w:left="7560" w:hanging="360"/>
      </w:pPr>
      <w:rPr>
        <w:rFonts w:ascii="Wingdings" w:hAnsi="Wingdings" w:hint="default"/>
      </w:rPr>
    </w:lvl>
  </w:abstractNum>
  <w:abstractNum w:abstractNumId="3">
    <w:nsid w:val="146E01DB"/>
    <w:multiLevelType w:val="hybridMultilevel"/>
    <w:tmpl w:val="BD0022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nsid w:val="17751CC1"/>
    <w:multiLevelType w:val="hybridMultilevel"/>
    <w:tmpl w:val="87FE9928"/>
    <w:lvl w:ilvl="0" w:tplc="1AE4135E">
      <w:start w:val="1"/>
      <w:numFmt w:val="bullet"/>
      <w:lvlText w:val="•"/>
      <w:lvlJc w:val="left"/>
      <w:pPr>
        <w:tabs>
          <w:tab w:val="num" w:pos="720"/>
        </w:tabs>
        <w:ind w:left="720" w:hanging="360"/>
      </w:pPr>
      <w:rPr>
        <w:rFonts w:ascii="Arial" w:hAnsi="Arial" w:hint="default"/>
      </w:rPr>
    </w:lvl>
    <w:lvl w:ilvl="1" w:tplc="43707B52" w:tentative="1">
      <w:start w:val="1"/>
      <w:numFmt w:val="bullet"/>
      <w:lvlText w:val="•"/>
      <w:lvlJc w:val="left"/>
      <w:pPr>
        <w:tabs>
          <w:tab w:val="num" w:pos="1440"/>
        </w:tabs>
        <w:ind w:left="1440" w:hanging="360"/>
      </w:pPr>
      <w:rPr>
        <w:rFonts w:ascii="Arial" w:hAnsi="Arial" w:hint="default"/>
      </w:rPr>
    </w:lvl>
    <w:lvl w:ilvl="2" w:tplc="98D84350">
      <w:start w:val="1319"/>
      <w:numFmt w:val="bullet"/>
      <w:lvlText w:val="–"/>
      <w:lvlJc w:val="left"/>
      <w:pPr>
        <w:tabs>
          <w:tab w:val="num" w:pos="2160"/>
        </w:tabs>
        <w:ind w:left="2160" w:hanging="360"/>
      </w:pPr>
      <w:rPr>
        <w:rFonts w:ascii="Calibri" w:hAnsi="Calibri" w:hint="default"/>
      </w:rPr>
    </w:lvl>
    <w:lvl w:ilvl="3" w:tplc="B9962A1E" w:tentative="1">
      <w:start w:val="1"/>
      <w:numFmt w:val="bullet"/>
      <w:lvlText w:val="•"/>
      <w:lvlJc w:val="left"/>
      <w:pPr>
        <w:tabs>
          <w:tab w:val="num" w:pos="2880"/>
        </w:tabs>
        <w:ind w:left="2880" w:hanging="360"/>
      </w:pPr>
      <w:rPr>
        <w:rFonts w:ascii="Arial" w:hAnsi="Arial" w:hint="default"/>
      </w:rPr>
    </w:lvl>
    <w:lvl w:ilvl="4" w:tplc="293C2E36" w:tentative="1">
      <w:start w:val="1"/>
      <w:numFmt w:val="bullet"/>
      <w:lvlText w:val="•"/>
      <w:lvlJc w:val="left"/>
      <w:pPr>
        <w:tabs>
          <w:tab w:val="num" w:pos="3600"/>
        </w:tabs>
        <w:ind w:left="3600" w:hanging="360"/>
      </w:pPr>
      <w:rPr>
        <w:rFonts w:ascii="Arial" w:hAnsi="Arial" w:hint="default"/>
      </w:rPr>
    </w:lvl>
    <w:lvl w:ilvl="5" w:tplc="58C261EA" w:tentative="1">
      <w:start w:val="1"/>
      <w:numFmt w:val="bullet"/>
      <w:lvlText w:val="•"/>
      <w:lvlJc w:val="left"/>
      <w:pPr>
        <w:tabs>
          <w:tab w:val="num" w:pos="4320"/>
        </w:tabs>
        <w:ind w:left="4320" w:hanging="360"/>
      </w:pPr>
      <w:rPr>
        <w:rFonts w:ascii="Arial" w:hAnsi="Arial" w:hint="default"/>
      </w:rPr>
    </w:lvl>
    <w:lvl w:ilvl="6" w:tplc="E636553A" w:tentative="1">
      <w:start w:val="1"/>
      <w:numFmt w:val="bullet"/>
      <w:lvlText w:val="•"/>
      <w:lvlJc w:val="left"/>
      <w:pPr>
        <w:tabs>
          <w:tab w:val="num" w:pos="5040"/>
        </w:tabs>
        <w:ind w:left="5040" w:hanging="360"/>
      </w:pPr>
      <w:rPr>
        <w:rFonts w:ascii="Arial" w:hAnsi="Arial" w:hint="default"/>
      </w:rPr>
    </w:lvl>
    <w:lvl w:ilvl="7" w:tplc="22CA1C06" w:tentative="1">
      <w:start w:val="1"/>
      <w:numFmt w:val="bullet"/>
      <w:lvlText w:val="•"/>
      <w:lvlJc w:val="left"/>
      <w:pPr>
        <w:tabs>
          <w:tab w:val="num" w:pos="5760"/>
        </w:tabs>
        <w:ind w:left="5760" w:hanging="360"/>
      </w:pPr>
      <w:rPr>
        <w:rFonts w:ascii="Arial" w:hAnsi="Arial" w:hint="default"/>
      </w:rPr>
    </w:lvl>
    <w:lvl w:ilvl="8" w:tplc="6B4A60CE" w:tentative="1">
      <w:start w:val="1"/>
      <w:numFmt w:val="bullet"/>
      <w:lvlText w:val="•"/>
      <w:lvlJc w:val="left"/>
      <w:pPr>
        <w:tabs>
          <w:tab w:val="num" w:pos="6480"/>
        </w:tabs>
        <w:ind w:left="6480" w:hanging="360"/>
      </w:pPr>
      <w:rPr>
        <w:rFonts w:ascii="Arial" w:hAnsi="Arial" w:hint="default"/>
      </w:rPr>
    </w:lvl>
  </w:abstractNum>
  <w:abstractNum w:abstractNumId="5">
    <w:nsid w:val="18F51FF4"/>
    <w:multiLevelType w:val="singleLevel"/>
    <w:tmpl w:val="32487A30"/>
    <w:lvl w:ilvl="0">
      <w:start w:val="1"/>
      <w:numFmt w:val="bullet"/>
      <w:pStyle w:val="Bullet"/>
      <w:lvlText w:val=""/>
      <w:lvlJc w:val="left"/>
      <w:pPr>
        <w:tabs>
          <w:tab w:val="num" w:pos="1134"/>
        </w:tabs>
        <w:ind w:left="1134" w:hanging="567"/>
      </w:pPr>
      <w:rPr>
        <w:rFonts w:ascii="Wingdings" w:hAnsi="Wingdings" w:hint="default"/>
        <w:sz w:val="12"/>
      </w:rPr>
    </w:lvl>
  </w:abstractNum>
  <w:abstractNum w:abstractNumId="6">
    <w:nsid w:val="20366885"/>
    <w:multiLevelType w:val="multilevel"/>
    <w:tmpl w:val="F1420996"/>
    <w:lvl w:ilvl="0">
      <w:start w:val="1"/>
      <w:numFmt w:val="none"/>
      <w:pStyle w:val="NumtextIndent1"/>
      <w:suff w:val="nothing"/>
      <w:lvlText w:val="%1"/>
      <w:lvlJc w:val="left"/>
      <w:pPr>
        <w:ind w:left="992" w:firstLine="0"/>
      </w:pPr>
      <w:rPr>
        <w:rFonts w:hint="default"/>
      </w:rPr>
    </w:lvl>
    <w:lvl w:ilvl="1">
      <w:start w:val="1"/>
      <w:numFmt w:val="none"/>
      <w:suff w:val="nothing"/>
      <w:lvlText w:val="%2"/>
      <w:lvlJc w:val="left"/>
      <w:pPr>
        <w:ind w:left="1418" w:hanging="1"/>
      </w:pPr>
      <w:rPr>
        <w:rFonts w:hint="default"/>
      </w:rPr>
    </w:lvl>
    <w:lvl w:ilvl="2">
      <w:start w:val="1"/>
      <w:numFmt w:val="none"/>
      <w:suff w:val="nothing"/>
      <w:lvlText w:val=""/>
      <w:lvlJc w:val="left"/>
      <w:pPr>
        <w:ind w:left="1843" w:firstLine="0"/>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1275"/>
        </w:tabs>
        <w:ind w:left="1275" w:firstLine="0"/>
      </w:pPr>
      <w:rPr>
        <w:rFonts w:hint="default"/>
      </w:rPr>
    </w:lvl>
    <w:lvl w:ilvl="6">
      <w:start w:val="1"/>
      <w:numFmt w:val="none"/>
      <w:lvlText w:val=""/>
      <w:lvlJc w:val="left"/>
      <w:pPr>
        <w:tabs>
          <w:tab w:val="num" w:pos="1275"/>
        </w:tabs>
        <w:ind w:left="1275" w:firstLine="0"/>
      </w:pPr>
      <w:rPr>
        <w:rFonts w:hint="default"/>
      </w:rPr>
    </w:lvl>
    <w:lvl w:ilvl="7">
      <w:start w:val="1"/>
      <w:numFmt w:val="none"/>
      <w:lvlText w:val=""/>
      <w:lvlJc w:val="left"/>
      <w:pPr>
        <w:tabs>
          <w:tab w:val="num" w:pos="1275"/>
        </w:tabs>
        <w:ind w:left="1275" w:firstLine="2520"/>
      </w:pPr>
      <w:rPr>
        <w:rFonts w:hint="default"/>
      </w:rPr>
    </w:lvl>
    <w:lvl w:ilvl="8">
      <w:start w:val="1"/>
      <w:numFmt w:val="none"/>
      <w:lvlText w:val=""/>
      <w:lvlJc w:val="left"/>
      <w:pPr>
        <w:tabs>
          <w:tab w:val="num" w:pos="1275"/>
        </w:tabs>
        <w:ind w:left="1275" w:firstLine="0"/>
      </w:pPr>
      <w:rPr>
        <w:rFonts w:hint="default"/>
      </w:rPr>
    </w:lvl>
  </w:abstractNum>
  <w:abstractNum w:abstractNumId="7">
    <w:nsid w:val="2601264E"/>
    <w:multiLevelType w:val="multilevel"/>
    <w:tmpl w:val="824E8FC4"/>
    <w:lvl w:ilvl="0">
      <w:start w:val="1"/>
      <w:numFmt w:val="decimal"/>
      <w:lvlText w:val="%1."/>
      <w:lvlJc w:val="left"/>
      <w:pPr>
        <w:tabs>
          <w:tab w:val="num" w:pos="927"/>
        </w:tabs>
        <w:ind w:left="927" w:hanging="360"/>
      </w:pPr>
      <w:rPr>
        <w:rFonts w:cs="Times New Roman"/>
      </w:rPr>
    </w:lvl>
    <w:lvl w:ilvl="1">
      <w:start w:val="2"/>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287"/>
        </w:tabs>
        <w:ind w:left="1287" w:hanging="72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1647"/>
        </w:tabs>
        <w:ind w:left="1647" w:hanging="108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007"/>
        </w:tabs>
        <w:ind w:left="2007" w:hanging="1440"/>
      </w:pPr>
      <w:rPr>
        <w:rFonts w:hint="default"/>
      </w:rPr>
    </w:lvl>
  </w:abstractNum>
  <w:abstractNum w:abstractNumId="8">
    <w:nsid w:val="27F928BD"/>
    <w:multiLevelType w:val="hybridMultilevel"/>
    <w:tmpl w:val="8DF80E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A497351"/>
    <w:multiLevelType w:val="hybridMultilevel"/>
    <w:tmpl w:val="79227A6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2AC73E3C"/>
    <w:multiLevelType w:val="hybridMultilevel"/>
    <w:tmpl w:val="78BEB6A6"/>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11">
    <w:nsid w:val="2DA662A1"/>
    <w:multiLevelType w:val="hybridMultilevel"/>
    <w:tmpl w:val="35A2D95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nsid w:val="31276587"/>
    <w:multiLevelType w:val="hybridMultilevel"/>
    <w:tmpl w:val="ED7667E6"/>
    <w:lvl w:ilvl="0" w:tplc="1409000F">
      <w:start w:val="1"/>
      <w:numFmt w:val="decimal"/>
      <w:lvlText w:val="%1."/>
      <w:lvlJc w:val="left"/>
      <w:pPr>
        <w:ind w:left="1069" w:hanging="360"/>
      </w:pPr>
      <w:rPr>
        <w:rFonts w:cs="Times New Roman"/>
      </w:rPr>
    </w:lvl>
    <w:lvl w:ilvl="1" w:tplc="14090003">
      <w:start w:val="1"/>
      <w:numFmt w:val="bullet"/>
      <w:lvlText w:val="o"/>
      <w:lvlJc w:val="left"/>
      <w:pPr>
        <w:ind w:left="1789" w:hanging="360"/>
      </w:pPr>
      <w:rPr>
        <w:rFonts w:ascii="Courier New" w:hAnsi="Courier New" w:cs="Times New Roman" w:hint="default"/>
      </w:rPr>
    </w:lvl>
    <w:lvl w:ilvl="2" w:tplc="14090005">
      <w:start w:val="1"/>
      <w:numFmt w:val="bullet"/>
      <w:lvlText w:val=""/>
      <w:lvlJc w:val="left"/>
      <w:pPr>
        <w:ind w:left="2509" w:hanging="360"/>
      </w:pPr>
      <w:rPr>
        <w:rFonts w:ascii="Wingdings" w:hAnsi="Wingdings" w:hint="default"/>
      </w:rPr>
    </w:lvl>
    <w:lvl w:ilvl="3" w:tplc="14090001">
      <w:start w:val="1"/>
      <w:numFmt w:val="bullet"/>
      <w:lvlText w:val=""/>
      <w:lvlJc w:val="left"/>
      <w:pPr>
        <w:ind w:left="3229" w:hanging="360"/>
      </w:pPr>
      <w:rPr>
        <w:rFonts w:ascii="Symbol" w:hAnsi="Symbol" w:hint="default"/>
      </w:rPr>
    </w:lvl>
    <w:lvl w:ilvl="4" w:tplc="14090003">
      <w:start w:val="1"/>
      <w:numFmt w:val="bullet"/>
      <w:lvlText w:val="o"/>
      <w:lvlJc w:val="left"/>
      <w:pPr>
        <w:ind w:left="3949" w:hanging="360"/>
      </w:pPr>
      <w:rPr>
        <w:rFonts w:ascii="Courier New" w:hAnsi="Courier New" w:cs="Times New Roman" w:hint="default"/>
      </w:rPr>
    </w:lvl>
    <w:lvl w:ilvl="5" w:tplc="14090005">
      <w:start w:val="1"/>
      <w:numFmt w:val="bullet"/>
      <w:lvlText w:val=""/>
      <w:lvlJc w:val="left"/>
      <w:pPr>
        <w:ind w:left="4669" w:hanging="360"/>
      </w:pPr>
      <w:rPr>
        <w:rFonts w:ascii="Wingdings" w:hAnsi="Wingdings" w:hint="default"/>
      </w:rPr>
    </w:lvl>
    <w:lvl w:ilvl="6" w:tplc="14090001">
      <w:start w:val="1"/>
      <w:numFmt w:val="bullet"/>
      <w:lvlText w:val=""/>
      <w:lvlJc w:val="left"/>
      <w:pPr>
        <w:ind w:left="5389" w:hanging="360"/>
      </w:pPr>
      <w:rPr>
        <w:rFonts w:ascii="Symbol" w:hAnsi="Symbol" w:hint="default"/>
      </w:rPr>
    </w:lvl>
    <w:lvl w:ilvl="7" w:tplc="14090003">
      <w:start w:val="1"/>
      <w:numFmt w:val="bullet"/>
      <w:lvlText w:val="o"/>
      <w:lvlJc w:val="left"/>
      <w:pPr>
        <w:ind w:left="6109" w:hanging="360"/>
      </w:pPr>
      <w:rPr>
        <w:rFonts w:ascii="Courier New" w:hAnsi="Courier New" w:cs="Times New Roman" w:hint="default"/>
      </w:rPr>
    </w:lvl>
    <w:lvl w:ilvl="8" w:tplc="14090005">
      <w:start w:val="1"/>
      <w:numFmt w:val="bullet"/>
      <w:lvlText w:val=""/>
      <w:lvlJc w:val="left"/>
      <w:pPr>
        <w:ind w:left="6829" w:hanging="360"/>
      </w:pPr>
      <w:rPr>
        <w:rFonts w:ascii="Wingdings" w:hAnsi="Wingdings" w:hint="default"/>
      </w:rPr>
    </w:lvl>
  </w:abstractNum>
  <w:abstractNum w:abstractNumId="13">
    <w:nsid w:val="35F538C8"/>
    <w:multiLevelType w:val="singleLevel"/>
    <w:tmpl w:val="04FC9F52"/>
    <w:lvl w:ilvl="0">
      <w:start w:val="1"/>
      <w:numFmt w:val="bullet"/>
      <w:pStyle w:val="TableBullet"/>
      <w:lvlText w:val=""/>
      <w:lvlJc w:val="left"/>
      <w:pPr>
        <w:tabs>
          <w:tab w:val="num" w:pos="284"/>
        </w:tabs>
        <w:ind w:left="284" w:hanging="284"/>
      </w:pPr>
      <w:rPr>
        <w:rFonts w:ascii="Wingdings" w:hAnsi="Wingdings" w:hint="default"/>
        <w:sz w:val="12"/>
        <w:szCs w:val="12"/>
      </w:rPr>
    </w:lvl>
  </w:abstractNum>
  <w:abstractNum w:abstractNumId="14">
    <w:nsid w:val="3FB365F1"/>
    <w:multiLevelType w:val="singleLevel"/>
    <w:tmpl w:val="64825B68"/>
    <w:lvl w:ilvl="0">
      <w:start w:val="1"/>
      <w:numFmt w:val="bullet"/>
      <w:pStyle w:val="BoxBullet"/>
      <w:lvlText w:val=""/>
      <w:lvlJc w:val="left"/>
      <w:pPr>
        <w:tabs>
          <w:tab w:val="num" w:pos="1134"/>
        </w:tabs>
        <w:ind w:left="1134" w:hanging="283"/>
      </w:pPr>
      <w:rPr>
        <w:rFonts w:ascii="Wingdings" w:hAnsi="Wingdings" w:hint="default"/>
        <w:sz w:val="12"/>
        <w:szCs w:val="12"/>
      </w:rPr>
    </w:lvl>
  </w:abstractNum>
  <w:abstractNum w:abstractNumId="15">
    <w:nsid w:val="45411F9D"/>
    <w:multiLevelType w:val="hybridMultilevel"/>
    <w:tmpl w:val="1D709F22"/>
    <w:lvl w:ilvl="0" w:tplc="14090005">
      <w:start w:val="1"/>
      <w:numFmt w:val="bullet"/>
      <w:lvlText w:val=""/>
      <w:lvlJc w:val="left"/>
      <w:pPr>
        <w:ind w:left="720" w:hanging="360"/>
      </w:pPr>
      <w:rPr>
        <w:rFonts w:ascii="Wingdings" w:hAnsi="Wingdings" w:hint="default"/>
      </w:rPr>
    </w:lvl>
    <w:lvl w:ilvl="1" w:tplc="E152ACF2">
      <w:start w:val="1"/>
      <w:numFmt w:val="bullet"/>
      <w:lvlText w:val="­"/>
      <w:lvlJc w:val="left"/>
      <w:pPr>
        <w:ind w:left="5322"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E152ACF2">
      <w:start w:val="1"/>
      <w:numFmt w:val="bullet"/>
      <w:lvlText w:val="­"/>
      <w:lvlJc w:val="left"/>
      <w:pPr>
        <w:ind w:left="2880" w:hanging="360"/>
      </w:pPr>
      <w:rPr>
        <w:rFonts w:ascii="Courier New" w:hAnsi="Courier New" w:hint="default"/>
      </w:rPr>
    </w:lvl>
    <w:lvl w:ilvl="4" w:tplc="14090003">
      <w:start w:val="1"/>
      <w:numFmt w:val="bullet"/>
      <w:lvlText w:val="o"/>
      <w:lvlJc w:val="left"/>
      <w:pPr>
        <w:ind w:left="3600" w:hanging="360"/>
      </w:pPr>
      <w:rPr>
        <w:rFonts w:ascii="Courier New" w:hAnsi="Courier New" w:cs="Tms Rmn"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Tms Rmn"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54647EA"/>
    <w:multiLevelType w:val="hybridMultilevel"/>
    <w:tmpl w:val="9DBCA3BC"/>
    <w:lvl w:ilvl="0" w:tplc="14090005">
      <w:start w:val="1"/>
      <w:numFmt w:val="bullet"/>
      <w:pStyle w:val="List8"/>
      <w:lvlText w:val=""/>
      <w:lvlJc w:val="left"/>
      <w:pPr>
        <w:ind w:left="360" w:hanging="360"/>
      </w:pPr>
      <w:rPr>
        <w:rFonts w:ascii="Wingdings" w:hAnsi="Wingdings" w:hint="default"/>
      </w:rPr>
    </w:lvl>
    <w:lvl w:ilvl="1" w:tplc="E152ACF2">
      <w:start w:val="1"/>
      <w:numFmt w:val="bullet"/>
      <w:lvlText w:val="­"/>
      <w:lvlJc w:val="left"/>
      <w:pPr>
        <w:ind w:left="1080" w:hanging="360"/>
      </w:pPr>
      <w:rPr>
        <w:rFonts w:ascii="Courier New" w:hAnsi="Courier New" w:hint="default"/>
      </w:rPr>
    </w:lvl>
    <w:lvl w:ilvl="2" w:tplc="E152ACF2">
      <w:start w:val="1"/>
      <w:numFmt w:val="bullet"/>
      <w:lvlText w:val="­"/>
      <w:lvlJc w:val="left"/>
      <w:pPr>
        <w:ind w:left="1800" w:hanging="360"/>
      </w:pPr>
      <w:rPr>
        <w:rFonts w:ascii="Courier New" w:hAnsi="Courier New"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4FC323FE"/>
    <w:multiLevelType w:val="hybridMultilevel"/>
    <w:tmpl w:val="FFF2A2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nsid w:val="4FE54E2F"/>
    <w:multiLevelType w:val="hybridMultilevel"/>
    <w:tmpl w:val="6D468B6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nsid w:val="51711FCF"/>
    <w:multiLevelType w:val="hybridMultilevel"/>
    <w:tmpl w:val="4AF61C50"/>
    <w:lvl w:ilvl="0" w:tplc="994A2B2A">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5232121C"/>
    <w:multiLevelType w:val="hybridMultilevel"/>
    <w:tmpl w:val="F0385540"/>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Tms Rmn"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Tms Rmn"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Tms Rmn"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577E4B3B"/>
    <w:multiLevelType w:val="hybridMultilevel"/>
    <w:tmpl w:val="7AB843B8"/>
    <w:lvl w:ilvl="0" w:tplc="14090005">
      <w:start w:val="1"/>
      <w:numFmt w:val="bullet"/>
      <w:lvlText w:val=""/>
      <w:lvlJc w:val="left"/>
      <w:pPr>
        <w:ind w:left="2771" w:hanging="360"/>
      </w:pPr>
      <w:rPr>
        <w:rFonts w:ascii="Wingdings" w:hAnsi="Wingdings" w:hint="default"/>
      </w:rPr>
    </w:lvl>
    <w:lvl w:ilvl="1" w:tplc="E152ACF2">
      <w:start w:val="1"/>
      <w:numFmt w:val="bullet"/>
      <w:lvlText w:val="­"/>
      <w:lvlJc w:val="left"/>
      <w:pPr>
        <w:ind w:left="2149" w:hanging="360"/>
      </w:pPr>
      <w:rPr>
        <w:rFonts w:ascii="Courier New" w:hAnsi="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Tms Rmn"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Tms Rmn" w:hint="default"/>
      </w:rPr>
    </w:lvl>
    <w:lvl w:ilvl="8" w:tplc="14090005" w:tentative="1">
      <w:start w:val="1"/>
      <w:numFmt w:val="bullet"/>
      <w:lvlText w:val=""/>
      <w:lvlJc w:val="left"/>
      <w:pPr>
        <w:ind w:left="7189" w:hanging="360"/>
      </w:pPr>
      <w:rPr>
        <w:rFonts w:ascii="Wingdings" w:hAnsi="Wingdings" w:hint="default"/>
      </w:rPr>
    </w:lvl>
  </w:abstractNum>
  <w:abstractNum w:abstractNumId="22">
    <w:nsid w:val="5892271C"/>
    <w:multiLevelType w:val="hybridMultilevel"/>
    <w:tmpl w:val="577453B0"/>
    <w:lvl w:ilvl="0" w:tplc="99049B00">
      <w:numFmt w:val="bullet"/>
      <w:lvlText w:val="-"/>
      <w:lvlJc w:val="left"/>
      <w:pPr>
        <w:ind w:left="1080" w:hanging="360"/>
      </w:pPr>
      <w:rPr>
        <w:rFonts w:ascii="Arial" w:eastAsia="Times New Roman"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nsid w:val="625119D4"/>
    <w:multiLevelType w:val="hybridMultilevel"/>
    <w:tmpl w:val="08761B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nsid w:val="63575E80"/>
    <w:multiLevelType w:val="hybridMultilevel"/>
    <w:tmpl w:val="2A8491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Tms Rm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Tms Rmn"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Tms Rmn"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85E3AB9"/>
    <w:multiLevelType w:val="singleLevel"/>
    <w:tmpl w:val="695C6584"/>
    <w:lvl w:ilvl="0">
      <w:start w:val="1"/>
      <w:numFmt w:val="bullet"/>
      <w:pStyle w:val="Dash"/>
      <w:lvlText w:val="–"/>
      <w:lvlJc w:val="left"/>
      <w:pPr>
        <w:tabs>
          <w:tab w:val="num" w:pos="567"/>
        </w:tabs>
        <w:ind w:left="567" w:hanging="567"/>
      </w:pPr>
      <w:rPr>
        <w:rFonts w:ascii="Times New Roman" w:hAnsi="Times New Roman" w:hint="default"/>
        <w:sz w:val="24"/>
      </w:rPr>
    </w:lvl>
  </w:abstractNum>
  <w:abstractNum w:abstractNumId="26">
    <w:nsid w:val="6A9E7A90"/>
    <w:multiLevelType w:val="hybridMultilevel"/>
    <w:tmpl w:val="824E495E"/>
    <w:lvl w:ilvl="0" w:tplc="0409000F">
      <w:start w:val="1"/>
      <w:numFmt w:val="decimal"/>
      <w:lvlText w:val="%1."/>
      <w:lvlJc w:val="left"/>
      <w:pPr>
        <w:tabs>
          <w:tab w:val="num" w:pos="5040"/>
        </w:tabs>
        <w:ind w:left="5040" w:hanging="360"/>
      </w:pPr>
    </w:lvl>
    <w:lvl w:ilvl="1" w:tplc="04090019">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27">
    <w:nsid w:val="6BB975EE"/>
    <w:multiLevelType w:val="hybridMultilevel"/>
    <w:tmpl w:val="D0EEC020"/>
    <w:lvl w:ilvl="0" w:tplc="1FB6CD9E">
      <w:start w:val="1"/>
      <w:numFmt w:val="bullet"/>
      <w:lvlText w:val=""/>
      <w:lvlJc w:val="left"/>
      <w:pPr>
        <w:ind w:left="1800" w:hanging="360"/>
      </w:pPr>
      <w:rPr>
        <w:rFonts w:ascii="Wingdings" w:hAnsi="Wingdings" w:hint="default"/>
      </w:rPr>
    </w:lvl>
    <w:lvl w:ilvl="1" w:tplc="B5CABCAA">
      <w:start w:val="1"/>
      <w:numFmt w:val="bullet"/>
      <w:lvlText w:val="–"/>
      <w:lvlJc w:val="left"/>
      <w:pPr>
        <w:ind w:left="2520" w:hanging="360"/>
      </w:pPr>
      <w:rPr>
        <w:rFonts w:ascii="Times New Roman" w:hAnsi="Times New Roman" w:cs="Times New Roman" w:hint="default"/>
        <w:sz w:val="24"/>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Tms Rmn"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Tms Rmn" w:hint="default"/>
      </w:rPr>
    </w:lvl>
    <w:lvl w:ilvl="8" w:tplc="14090005" w:tentative="1">
      <w:start w:val="1"/>
      <w:numFmt w:val="bullet"/>
      <w:lvlText w:val=""/>
      <w:lvlJc w:val="left"/>
      <w:pPr>
        <w:ind w:left="7560" w:hanging="360"/>
      </w:pPr>
      <w:rPr>
        <w:rFonts w:ascii="Wingdings" w:hAnsi="Wingdings" w:hint="default"/>
      </w:rPr>
    </w:lvl>
  </w:abstractNum>
  <w:abstractNum w:abstractNumId="28">
    <w:nsid w:val="74122D00"/>
    <w:multiLevelType w:val="hybridMultilevel"/>
    <w:tmpl w:val="0A2A4E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Tms Rm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Tms Rmn"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Tms Rmn"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4CD3529"/>
    <w:multiLevelType w:val="hybridMultilevel"/>
    <w:tmpl w:val="46B620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0">
    <w:nsid w:val="7D9B0031"/>
    <w:multiLevelType w:val="hybridMultilevel"/>
    <w:tmpl w:val="319A56D4"/>
    <w:lvl w:ilvl="0" w:tplc="E152ACF2">
      <w:start w:val="1"/>
      <w:numFmt w:val="bullet"/>
      <w:lvlText w:val="­"/>
      <w:lvlJc w:val="left"/>
      <w:pPr>
        <w:ind w:left="1494" w:hanging="360"/>
      </w:pPr>
      <w:rPr>
        <w:rFonts w:ascii="Courier New" w:hAnsi="Courier New" w:hint="default"/>
      </w:rPr>
    </w:lvl>
    <w:lvl w:ilvl="1" w:tplc="E152ACF2">
      <w:start w:val="1"/>
      <w:numFmt w:val="bullet"/>
      <w:lvlText w:val="­"/>
      <w:lvlJc w:val="left"/>
      <w:pPr>
        <w:ind w:left="6096" w:hanging="360"/>
      </w:pPr>
      <w:rPr>
        <w:rFonts w:ascii="Courier New" w:hAnsi="Courier New" w:hint="default"/>
      </w:rPr>
    </w:lvl>
    <w:lvl w:ilvl="2" w:tplc="14090005">
      <w:start w:val="1"/>
      <w:numFmt w:val="bullet"/>
      <w:lvlText w:val=""/>
      <w:lvlJc w:val="left"/>
      <w:pPr>
        <w:ind w:left="2934" w:hanging="360"/>
      </w:pPr>
      <w:rPr>
        <w:rFonts w:ascii="Wingdings" w:hAnsi="Wingdings" w:hint="default"/>
      </w:rPr>
    </w:lvl>
    <w:lvl w:ilvl="3" w:tplc="E152ACF2">
      <w:start w:val="1"/>
      <w:numFmt w:val="bullet"/>
      <w:lvlText w:val="­"/>
      <w:lvlJc w:val="left"/>
      <w:pPr>
        <w:ind w:left="3654" w:hanging="360"/>
      </w:pPr>
      <w:rPr>
        <w:rFonts w:ascii="Courier New" w:hAnsi="Courier New" w:hint="default"/>
      </w:rPr>
    </w:lvl>
    <w:lvl w:ilvl="4" w:tplc="14090003">
      <w:start w:val="1"/>
      <w:numFmt w:val="bullet"/>
      <w:lvlText w:val="o"/>
      <w:lvlJc w:val="left"/>
      <w:pPr>
        <w:ind w:left="4374" w:hanging="360"/>
      </w:pPr>
      <w:rPr>
        <w:rFonts w:ascii="Courier New" w:hAnsi="Courier New" w:cs="Tms Rmn"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Tms Rmn" w:hint="default"/>
      </w:rPr>
    </w:lvl>
    <w:lvl w:ilvl="8" w:tplc="14090005" w:tentative="1">
      <w:start w:val="1"/>
      <w:numFmt w:val="bullet"/>
      <w:lvlText w:val=""/>
      <w:lvlJc w:val="left"/>
      <w:pPr>
        <w:ind w:left="7254" w:hanging="360"/>
      </w:pPr>
      <w:rPr>
        <w:rFonts w:ascii="Wingdings" w:hAnsi="Wingdings" w:hint="default"/>
      </w:rPr>
    </w:lvl>
  </w:abstractNum>
  <w:abstractNum w:abstractNumId="31">
    <w:nsid w:val="7F203C25"/>
    <w:multiLevelType w:val="hybridMultilevel"/>
    <w:tmpl w:val="9D44AA9E"/>
    <w:lvl w:ilvl="0" w:tplc="14090013">
      <w:start w:val="1"/>
      <w:numFmt w:val="upperRoman"/>
      <w:lvlText w:val="%1."/>
      <w:lvlJc w:val="right"/>
      <w:pPr>
        <w:ind w:left="720" w:hanging="360"/>
      </w:pPr>
    </w:lvl>
    <w:lvl w:ilvl="1" w:tplc="14090013">
      <w:start w:val="1"/>
      <w:numFmt w:val="upperRoman"/>
      <w:lvlText w:val="%2."/>
      <w:lvlJc w:val="right"/>
      <w:pPr>
        <w:ind w:left="1440" w:hanging="360"/>
      </w:pPr>
    </w:lvl>
    <w:lvl w:ilvl="2" w:tplc="14090001">
      <w:start w:val="1"/>
      <w:numFmt w:val="bullet"/>
      <w:lvlText w:val=""/>
      <w:lvlJc w:val="left"/>
      <w:pPr>
        <w:ind w:left="2160" w:hanging="180"/>
      </w:pPr>
      <w:rPr>
        <w:rFonts w:ascii="Symbol" w:hAnsi="Symbol"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4"/>
  </w:num>
  <w:num w:numId="3">
    <w:abstractNumId w:val="13"/>
  </w:num>
  <w:num w:numId="4">
    <w:abstractNumId w:val="25"/>
  </w:num>
  <w:num w:numId="5">
    <w:abstractNumId w:val="5"/>
  </w:num>
  <w:num w:numId="6">
    <w:abstractNumId w:val="21"/>
  </w:num>
  <w:num w:numId="7">
    <w:abstractNumId w:val="15"/>
  </w:num>
  <w:num w:numId="8">
    <w:abstractNumId w:val="7"/>
  </w:num>
  <w:num w:numId="9">
    <w:abstractNumId w:val="26"/>
  </w:num>
  <w:num w:numId="10">
    <w:abstractNumId w:val="16"/>
  </w:num>
  <w:num w:numId="11">
    <w:abstractNumId w:val="20"/>
  </w:num>
  <w:num w:numId="12">
    <w:abstractNumId w:val="9"/>
  </w:num>
  <w:num w:numId="13">
    <w:abstractNumId w:val="27"/>
  </w:num>
  <w:num w:numId="14">
    <w:abstractNumId w:val="2"/>
  </w:num>
  <w:num w:numId="15">
    <w:abstractNumId w:val="12"/>
    <w:lvlOverride w:ilvl="0">
      <w:startOverride w:val="1"/>
    </w:lvlOverride>
    <w:lvlOverride w:ilvl="1"/>
    <w:lvlOverride w:ilvl="2"/>
    <w:lvlOverride w:ilvl="3"/>
    <w:lvlOverride w:ilvl="4"/>
    <w:lvlOverride w:ilvl="5"/>
    <w:lvlOverride w:ilvl="6"/>
    <w:lvlOverride w:ilvl="7"/>
    <w:lvlOverride w:ilvl="8"/>
  </w:num>
  <w:num w:numId="16">
    <w:abstractNumId w:val="16"/>
  </w:num>
  <w:num w:numId="17">
    <w:abstractNumId w:val="31"/>
  </w:num>
  <w:num w:numId="18">
    <w:abstractNumId w:val="4"/>
  </w:num>
  <w:num w:numId="19">
    <w:abstractNumId w:val="6"/>
  </w:num>
  <w:num w:numId="20">
    <w:abstractNumId w:val="16"/>
  </w:num>
  <w:num w:numId="21">
    <w:abstractNumId w:val="30"/>
  </w:num>
  <w:num w:numId="22">
    <w:abstractNumId w:val="28"/>
  </w:num>
  <w:num w:numId="23">
    <w:abstractNumId w:val="24"/>
  </w:num>
  <w:num w:numId="24">
    <w:abstractNumId w:val="5"/>
  </w:num>
  <w:num w:numId="25">
    <w:abstractNumId w:val="5"/>
  </w:num>
  <w:num w:numId="26">
    <w:abstractNumId w:val="5"/>
  </w:num>
  <w:num w:numId="27">
    <w:abstractNumId w:val="5"/>
  </w:num>
  <w:num w:numId="28">
    <w:abstractNumId w:val="5"/>
  </w:num>
  <w:num w:numId="29">
    <w:abstractNumId w:val="5"/>
  </w:num>
  <w:num w:numId="30">
    <w:abstractNumId w:val="16"/>
  </w:num>
  <w:num w:numId="31">
    <w:abstractNumId w:val="1"/>
  </w:num>
  <w:num w:numId="32">
    <w:abstractNumId w:val="8"/>
  </w:num>
  <w:num w:numId="33">
    <w:abstractNumId w:val="22"/>
  </w:num>
  <w:num w:numId="34">
    <w:abstractNumId w:val="19"/>
  </w:num>
  <w:num w:numId="35">
    <w:abstractNumId w:val="11"/>
  </w:num>
  <w:num w:numId="36">
    <w:abstractNumId w:val="3"/>
  </w:num>
  <w:num w:numId="37">
    <w:abstractNumId w:val="23"/>
  </w:num>
  <w:num w:numId="38">
    <w:abstractNumId w:val="10"/>
  </w:num>
  <w:num w:numId="39">
    <w:abstractNumId w:val="17"/>
  </w:num>
  <w:num w:numId="40">
    <w:abstractNumId w:val="29"/>
  </w:num>
  <w:num w:numId="4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09"/>
    <w:rsid w:val="00000B51"/>
    <w:rsid w:val="00000DF9"/>
    <w:rsid w:val="0000354C"/>
    <w:rsid w:val="000061EE"/>
    <w:rsid w:val="00010154"/>
    <w:rsid w:val="000104FD"/>
    <w:rsid w:val="00015152"/>
    <w:rsid w:val="000201AA"/>
    <w:rsid w:val="00020A02"/>
    <w:rsid w:val="0002437F"/>
    <w:rsid w:val="00026D7C"/>
    <w:rsid w:val="00027442"/>
    <w:rsid w:val="0003082A"/>
    <w:rsid w:val="0004037C"/>
    <w:rsid w:val="00045FD3"/>
    <w:rsid w:val="000477B3"/>
    <w:rsid w:val="000500B8"/>
    <w:rsid w:val="00052376"/>
    <w:rsid w:val="00055491"/>
    <w:rsid w:val="0005735F"/>
    <w:rsid w:val="0006194C"/>
    <w:rsid w:val="00061FCE"/>
    <w:rsid w:val="00065B33"/>
    <w:rsid w:val="00066B3E"/>
    <w:rsid w:val="00066E0B"/>
    <w:rsid w:val="0006735F"/>
    <w:rsid w:val="00067468"/>
    <w:rsid w:val="000707EE"/>
    <w:rsid w:val="00072E49"/>
    <w:rsid w:val="0007332E"/>
    <w:rsid w:val="00073559"/>
    <w:rsid w:val="00075C15"/>
    <w:rsid w:val="00077C56"/>
    <w:rsid w:val="000802AF"/>
    <w:rsid w:val="00083BDD"/>
    <w:rsid w:val="00086547"/>
    <w:rsid w:val="000873B6"/>
    <w:rsid w:val="0009325B"/>
    <w:rsid w:val="00097EB6"/>
    <w:rsid w:val="000A00B8"/>
    <w:rsid w:val="000A173E"/>
    <w:rsid w:val="000A246E"/>
    <w:rsid w:val="000A27FF"/>
    <w:rsid w:val="000B6A0F"/>
    <w:rsid w:val="000B6C46"/>
    <w:rsid w:val="000C25E9"/>
    <w:rsid w:val="000C596F"/>
    <w:rsid w:val="000C7FCF"/>
    <w:rsid w:val="000D0353"/>
    <w:rsid w:val="000D0491"/>
    <w:rsid w:val="000D11C6"/>
    <w:rsid w:val="000D2864"/>
    <w:rsid w:val="000D5A64"/>
    <w:rsid w:val="000D5D2A"/>
    <w:rsid w:val="000D6104"/>
    <w:rsid w:val="000D67FA"/>
    <w:rsid w:val="000D6F6F"/>
    <w:rsid w:val="000D7DB1"/>
    <w:rsid w:val="000D7F64"/>
    <w:rsid w:val="000E0E57"/>
    <w:rsid w:val="000E11AD"/>
    <w:rsid w:val="000E59D8"/>
    <w:rsid w:val="000E7234"/>
    <w:rsid w:val="000E763C"/>
    <w:rsid w:val="000F11E3"/>
    <w:rsid w:val="000F11FA"/>
    <w:rsid w:val="000F21AD"/>
    <w:rsid w:val="000F2C25"/>
    <w:rsid w:val="000F2E64"/>
    <w:rsid w:val="000F4435"/>
    <w:rsid w:val="0010093B"/>
    <w:rsid w:val="00100EE3"/>
    <w:rsid w:val="0010150B"/>
    <w:rsid w:val="001029B0"/>
    <w:rsid w:val="00113547"/>
    <w:rsid w:val="00114392"/>
    <w:rsid w:val="00117DFB"/>
    <w:rsid w:val="00125223"/>
    <w:rsid w:val="00125448"/>
    <w:rsid w:val="00127BDC"/>
    <w:rsid w:val="00127DF9"/>
    <w:rsid w:val="00130B45"/>
    <w:rsid w:val="0013173C"/>
    <w:rsid w:val="00137702"/>
    <w:rsid w:val="001423A0"/>
    <w:rsid w:val="0014248D"/>
    <w:rsid w:val="00142B38"/>
    <w:rsid w:val="00147013"/>
    <w:rsid w:val="00147DCD"/>
    <w:rsid w:val="00156BE7"/>
    <w:rsid w:val="00160648"/>
    <w:rsid w:val="00162140"/>
    <w:rsid w:val="00164FE6"/>
    <w:rsid w:val="00165169"/>
    <w:rsid w:val="00166DB0"/>
    <w:rsid w:val="00171560"/>
    <w:rsid w:val="001724FF"/>
    <w:rsid w:val="00172E76"/>
    <w:rsid w:val="00174EA9"/>
    <w:rsid w:val="00176F34"/>
    <w:rsid w:val="00195CB7"/>
    <w:rsid w:val="00196658"/>
    <w:rsid w:val="001A3EA3"/>
    <w:rsid w:val="001A4BF2"/>
    <w:rsid w:val="001A5441"/>
    <w:rsid w:val="001A7F54"/>
    <w:rsid w:val="001B017C"/>
    <w:rsid w:val="001B33C8"/>
    <w:rsid w:val="001B414F"/>
    <w:rsid w:val="001C12A1"/>
    <w:rsid w:val="001C21B8"/>
    <w:rsid w:val="001C3B89"/>
    <w:rsid w:val="001C547D"/>
    <w:rsid w:val="001C751C"/>
    <w:rsid w:val="001D3E08"/>
    <w:rsid w:val="001D669B"/>
    <w:rsid w:val="001D6D78"/>
    <w:rsid w:val="001F0FA9"/>
    <w:rsid w:val="001F107F"/>
    <w:rsid w:val="001F22DA"/>
    <w:rsid w:val="001F2C1F"/>
    <w:rsid w:val="001F3B45"/>
    <w:rsid w:val="001F7099"/>
    <w:rsid w:val="001F7B48"/>
    <w:rsid w:val="0020060C"/>
    <w:rsid w:val="002028E8"/>
    <w:rsid w:val="00206B9C"/>
    <w:rsid w:val="00206E72"/>
    <w:rsid w:val="0021090D"/>
    <w:rsid w:val="00210D43"/>
    <w:rsid w:val="00211576"/>
    <w:rsid w:val="00211FAD"/>
    <w:rsid w:val="00211FEA"/>
    <w:rsid w:val="00213444"/>
    <w:rsid w:val="002152FB"/>
    <w:rsid w:val="00215BEB"/>
    <w:rsid w:val="00217B0E"/>
    <w:rsid w:val="00223B96"/>
    <w:rsid w:val="00226E0E"/>
    <w:rsid w:val="0022715A"/>
    <w:rsid w:val="00230B26"/>
    <w:rsid w:val="002378AB"/>
    <w:rsid w:val="00241F15"/>
    <w:rsid w:val="00243566"/>
    <w:rsid w:val="00246F71"/>
    <w:rsid w:val="002503A0"/>
    <w:rsid w:val="00267F44"/>
    <w:rsid w:val="00272D16"/>
    <w:rsid w:val="00273175"/>
    <w:rsid w:val="00275322"/>
    <w:rsid w:val="0028045B"/>
    <w:rsid w:val="0028051D"/>
    <w:rsid w:val="00280E09"/>
    <w:rsid w:val="00281170"/>
    <w:rsid w:val="002834B6"/>
    <w:rsid w:val="00283ABD"/>
    <w:rsid w:val="0028403F"/>
    <w:rsid w:val="002846D6"/>
    <w:rsid w:val="002855B9"/>
    <w:rsid w:val="00285BB1"/>
    <w:rsid w:val="00286D32"/>
    <w:rsid w:val="00291697"/>
    <w:rsid w:val="00292827"/>
    <w:rsid w:val="00292CC3"/>
    <w:rsid w:val="00293577"/>
    <w:rsid w:val="00297554"/>
    <w:rsid w:val="00297D75"/>
    <w:rsid w:val="002A0B2F"/>
    <w:rsid w:val="002A21F1"/>
    <w:rsid w:val="002A24F9"/>
    <w:rsid w:val="002A4684"/>
    <w:rsid w:val="002A6792"/>
    <w:rsid w:val="002B2E83"/>
    <w:rsid w:val="002B3F34"/>
    <w:rsid w:val="002B79DC"/>
    <w:rsid w:val="002D50F7"/>
    <w:rsid w:val="002E0992"/>
    <w:rsid w:val="002E0A4E"/>
    <w:rsid w:val="002E1083"/>
    <w:rsid w:val="002E5156"/>
    <w:rsid w:val="002F189A"/>
    <w:rsid w:val="002F25FF"/>
    <w:rsid w:val="002F6579"/>
    <w:rsid w:val="002F6D61"/>
    <w:rsid w:val="003001A1"/>
    <w:rsid w:val="00300220"/>
    <w:rsid w:val="0030104E"/>
    <w:rsid w:val="00304676"/>
    <w:rsid w:val="003069F9"/>
    <w:rsid w:val="00306F07"/>
    <w:rsid w:val="003100A3"/>
    <w:rsid w:val="00313B7B"/>
    <w:rsid w:val="003160E0"/>
    <w:rsid w:val="00317895"/>
    <w:rsid w:val="00321ADE"/>
    <w:rsid w:val="00324BC3"/>
    <w:rsid w:val="0032656F"/>
    <w:rsid w:val="0032747B"/>
    <w:rsid w:val="00332377"/>
    <w:rsid w:val="0033296A"/>
    <w:rsid w:val="0033684E"/>
    <w:rsid w:val="00340A07"/>
    <w:rsid w:val="00341A89"/>
    <w:rsid w:val="00346925"/>
    <w:rsid w:val="00350D0D"/>
    <w:rsid w:val="00353BFA"/>
    <w:rsid w:val="003568BE"/>
    <w:rsid w:val="003574AC"/>
    <w:rsid w:val="00362164"/>
    <w:rsid w:val="003635A0"/>
    <w:rsid w:val="003645A2"/>
    <w:rsid w:val="0036476F"/>
    <w:rsid w:val="00367B24"/>
    <w:rsid w:val="0037087B"/>
    <w:rsid w:val="003719D5"/>
    <w:rsid w:val="00372243"/>
    <w:rsid w:val="00372C38"/>
    <w:rsid w:val="003761E7"/>
    <w:rsid w:val="0038014A"/>
    <w:rsid w:val="00381C3F"/>
    <w:rsid w:val="00390442"/>
    <w:rsid w:val="00390B51"/>
    <w:rsid w:val="0039411E"/>
    <w:rsid w:val="003A4196"/>
    <w:rsid w:val="003A48DD"/>
    <w:rsid w:val="003A7593"/>
    <w:rsid w:val="003B3AF9"/>
    <w:rsid w:val="003B590E"/>
    <w:rsid w:val="003B7805"/>
    <w:rsid w:val="003C1CEE"/>
    <w:rsid w:val="003C4E8F"/>
    <w:rsid w:val="003C781A"/>
    <w:rsid w:val="003C7BC1"/>
    <w:rsid w:val="003D2DDA"/>
    <w:rsid w:val="003D76D1"/>
    <w:rsid w:val="003D794C"/>
    <w:rsid w:val="003E00FC"/>
    <w:rsid w:val="003E0365"/>
    <w:rsid w:val="003E1592"/>
    <w:rsid w:val="003E7AA9"/>
    <w:rsid w:val="003F3C88"/>
    <w:rsid w:val="003F7B1E"/>
    <w:rsid w:val="00400F7F"/>
    <w:rsid w:val="00403650"/>
    <w:rsid w:val="00404D58"/>
    <w:rsid w:val="0040540C"/>
    <w:rsid w:val="004056B2"/>
    <w:rsid w:val="00406B74"/>
    <w:rsid w:val="00407989"/>
    <w:rsid w:val="004101F8"/>
    <w:rsid w:val="00412364"/>
    <w:rsid w:val="0042205B"/>
    <w:rsid w:val="0042549B"/>
    <w:rsid w:val="0042791B"/>
    <w:rsid w:val="00427F4A"/>
    <w:rsid w:val="004317A1"/>
    <w:rsid w:val="0043382C"/>
    <w:rsid w:val="00434B51"/>
    <w:rsid w:val="00437186"/>
    <w:rsid w:val="004373DA"/>
    <w:rsid w:val="00437A1F"/>
    <w:rsid w:val="004400C2"/>
    <w:rsid w:val="00441D54"/>
    <w:rsid w:val="00444DB8"/>
    <w:rsid w:val="00450A90"/>
    <w:rsid w:val="00451E42"/>
    <w:rsid w:val="00453F78"/>
    <w:rsid w:val="00454145"/>
    <w:rsid w:val="00456366"/>
    <w:rsid w:val="0045637C"/>
    <w:rsid w:val="0045751D"/>
    <w:rsid w:val="00463727"/>
    <w:rsid w:val="00465C49"/>
    <w:rsid w:val="00466972"/>
    <w:rsid w:val="00472D5D"/>
    <w:rsid w:val="00472FB1"/>
    <w:rsid w:val="00474C09"/>
    <w:rsid w:val="004811AA"/>
    <w:rsid w:val="0048315B"/>
    <w:rsid w:val="004868C7"/>
    <w:rsid w:val="00492829"/>
    <w:rsid w:val="00495917"/>
    <w:rsid w:val="004A10CD"/>
    <w:rsid w:val="004A48F2"/>
    <w:rsid w:val="004A592A"/>
    <w:rsid w:val="004B6A19"/>
    <w:rsid w:val="004C0324"/>
    <w:rsid w:val="004C614F"/>
    <w:rsid w:val="004D22CD"/>
    <w:rsid w:val="004E1278"/>
    <w:rsid w:val="004E2A25"/>
    <w:rsid w:val="004E644D"/>
    <w:rsid w:val="004E78DE"/>
    <w:rsid w:val="004E7E3F"/>
    <w:rsid w:val="004F0A89"/>
    <w:rsid w:val="004F2E22"/>
    <w:rsid w:val="004F4FDE"/>
    <w:rsid w:val="004F5859"/>
    <w:rsid w:val="00505053"/>
    <w:rsid w:val="0050631E"/>
    <w:rsid w:val="00506FC1"/>
    <w:rsid w:val="0050734D"/>
    <w:rsid w:val="005153FF"/>
    <w:rsid w:val="00520228"/>
    <w:rsid w:val="00523DFB"/>
    <w:rsid w:val="00525152"/>
    <w:rsid w:val="0053001A"/>
    <w:rsid w:val="00530903"/>
    <w:rsid w:val="00530A62"/>
    <w:rsid w:val="005310B0"/>
    <w:rsid w:val="0053222F"/>
    <w:rsid w:val="00534409"/>
    <w:rsid w:val="00535B54"/>
    <w:rsid w:val="005402D6"/>
    <w:rsid w:val="00541E02"/>
    <w:rsid w:val="00541E7F"/>
    <w:rsid w:val="00543ED6"/>
    <w:rsid w:val="00544057"/>
    <w:rsid w:val="00544745"/>
    <w:rsid w:val="0055069D"/>
    <w:rsid w:val="00554382"/>
    <w:rsid w:val="00555A5D"/>
    <w:rsid w:val="0056338A"/>
    <w:rsid w:val="00563C63"/>
    <w:rsid w:val="00565301"/>
    <w:rsid w:val="005653E4"/>
    <w:rsid w:val="005656D3"/>
    <w:rsid w:val="00567696"/>
    <w:rsid w:val="00567782"/>
    <w:rsid w:val="005719A8"/>
    <w:rsid w:val="005740D9"/>
    <w:rsid w:val="00581CB2"/>
    <w:rsid w:val="00584A70"/>
    <w:rsid w:val="0059179A"/>
    <w:rsid w:val="0059193C"/>
    <w:rsid w:val="005920E1"/>
    <w:rsid w:val="00594053"/>
    <w:rsid w:val="0059726C"/>
    <w:rsid w:val="005A2A51"/>
    <w:rsid w:val="005A5A41"/>
    <w:rsid w:val="005B0A5C"/>
    <w:rsid w:val="005B0E9F"/>
    <w:rsid w:val="005B103A"/>
    <w:rsid w:val="005B3839"/>
    <w:rsid w:val="005B5069"/>
    <w:rsid w:val="005B5F89"/>
    <w:rsid w:val="005B77C4"/>
    <w:rsid w:val="005C5138"/>
    <w:rsid w:val="005C5194"/>
    <w:rsid w:val="005C793E"/>
    <w:rsid w:val="005D10D6"/>
    <w:rsid w:val="005D3CA9"/>
    <w:rsid w:val="005D605E"/>
    <w:rsid w:val="005D6E3A"/>
    <w:rsid w:val="005D78C1"/>
    <w:rsid w:val="005E3391"/>
    <w:rsid w:val="005E5F14"/>
    <w:rsid w:val="005E65A2"/>
    <w:rsid w:val="005E7E61"/>
    <w:rsid w:val="005F513A"/>
    <w:rsid w:val="00602536"/>
    <w:rsid w:val="0060269B"/>
    <w:rsid w:val="0060370C"/>
    <w:rsid w:val="00610753"/>
    <w:rsid w:val="00617583"/>
    <w:rsid w:val="006176A5"/>
    <w:rsid w:val="006179C7"/>
    <w:rsid w:val="00622AEB"/>
    <w:rsid w:val="006260F8"/>
    <w:rsid w:val="00630574"/>
    <w:rsid w:val="00632A5D"/>
    <w:rsid w:val="00632BE0"/>
    <w:rsid w:val="006336D9"/>
    <w:rsid w:val="006407A6"/>
    <w:rsid w:val="006407CE"/>
    <w:rsid w:val="00642069"/>
    <w:rsid w:val="00644018"/>
    <w:rsid w:val="00645615"/>
    <w:rsid w:val="006501AF"/>
    <w:rsid w:val="006518FE"/>
    <w:rsid w:val="00653FCD"/>
    <w:rsid w:val="0066457B"/>
    <w:rsid w:val="00666B20"/>
    <w:rsid w:val="00672810"/>
    <w:rsid w:val="0067284A"/>
    <w:rsid w:val="00672BF4"/>
    <w:rsid w:val="00674C10"/>
    <w:rsid w:val="00675E78"/>
    <w:rsid w:val="0067627E"/>
    <w:rsid w:val="00680C42"/>
    <w:rsid w:val="00686E90"/>
    <w:rsid w:val="006910AA"/>
    <w:rsid w:val="0069220B"/>
    <w:rsid w:val="00693CD2"/>
    <w:rsid w:val="00697932"/>
    <w:rsid w:val="006A3E16"/>
    <w:rsid w:val="006A3E90"/>
    <w:rsid w:val="006A7C49"/>
    <w:rsid w:val="006B18A6"/>
    <w:rsid w:val="006B1E87"/>
    <w:rsid w:val="006B3B2A"/>
    <w:rsid w:val="006B489D"/>
    <w:rsid w:val="006C314B"/>
    <w:rsid w:val="006C5E20"/>
    <w:rsid w:val="006D02BB"/>
    <w:rsid w:val="006D3A62"/>
    <w:rsid w:val="006D4877"/>
    <w:rsid w:val="006E56A8"/>
    <w:rsid w:val="006E7917"/>
    <w:rsid w:val="006F0FA9"/>
    <w:rsid w:val="006F14E9"/>
    <w:rsid w:val="006F7EA3"/>
    <w:rsid w:val="0070006A"/>
    <w:rsid w:val="0070229E"/>
    <w:rsid w:val="0070405E"/>
    <w:rsid w:val="0070566E"/>
    <w:rsid w:val="00714C26"/>
    <w:rsid w:val="00716C08"/>
    <w:rsid w:val="007175CB"/>
    <w:rsid w:val="007241A0"/>
    <w:rsid w:val="00724F7C"/>
    <w:rsid w:val="00733109"/>
    <w:rsid w:val="0073502B"/>
    <w:rsid w:val="00737E4B"/>
    <w:rsid w:val="00741A56"/>
    <w:rsid w:val="00753EE1"/>
    <w:rsid w:val="0076344F"/>
    <w:rsid w:val="00766CA8"/>
    <w:rsid w:val="00771376"/>
    <w:rsid w:val="007715BA"/>
    <w:rsid w:val="0077393F"/>
    <w:rsid w:val="00775BEB"/>
    <w:rsid w:val="00776F16"/>
    <w:rsid w:val="0077714C"/>
    <w:rsid w:val="00782097"/>
    <w:rsid w:val="00787557"/>
    <w:rsid w:val="00790B62"/>
    <w:rsid w:val="00792643"/>
    <w:rsid w:val="007A269F"/>
    <w:rsid w:val="007A51D0"/>
    <w:rsid w:val="007A6FFF"/>
    <w:rsid w:val="007A7896"/>
    <w:rsid w:val="007B393C"/>
    <w:rsid w:val="007B44DA"/>
    <w:rsid w:val="007B5BC4"/>
    <w:rsid w:val="007B75E7"/>
    <w:rsid w:val="007B7FB7"/>
    <w:rsid w:val="007C6597"/>
    <w:rsid w:val="007C7317"/>
    <w:rsid w:val="007D17C5"/>
    <w:rsid w:val="007D53F3"/>
    <w:rsid w:val="007E0DA0"/>
    <w:rsid w:val="007E2CC3"/>
    <w:rsid w:val="007E440D"/>
    <w:rsid w:val="007E6E06"/>
    <w:rsid w:val="007E7253"/>
    <w:rsid w:val="007F1717"/>
    <w:rsid w:val="007F4B74"/>
    <w:rsid w:val="007F5611"/>
    <w:rsid w:val="007F5994"/>
    <w:rsid w:val="007F6CC2"/>
    <w:rsid w:val="00804EDA"/>
    <w:rsid w:val="00805029"/>
    <w:rsid w:val="00805A6B"/>
    <w:rsid w:val="00806BBA"/>
    <w:rsid w:val="008112F1"/>
    <w:rsid w:val="0081375A"/>
    <w:rsid w:val="00813D90"/>
    <w:rsid w:val="00815767"/>
    <w:rsid w:val="00821E4D"/>
    <w:rsid w:val="00825EA0"/>
    <w:rsid w:val="008263C3"/>
    <w:rsid w:val="00827AFA"/>
    <w:rsid w:val="00830E42"/>
    <w:rsid w:val="008328A3"/>
    <w:rsid w:val="0083306F"/>
    <w:rsid w:val="008346DB"/>
    <w:rsid w:val="00835A8B"/>
    <w:rsid w:val="008369FB"/>
    <w:rsid w:val="00841350"/>
    <w:rsid w:val="00842CF1"/>
    <w:rsid w:val="00846377"/>
    <w:rsid w:val="00847FDF"/>
    <w:rsid w:val="0085116F"/>
    <w:rsid w:val="00851828"/>
    <w:rsid w:val="008522D2"/>
    <w:rsid w:val="008523A8"/>
    <w:rsid w:val="00856B3D"/>
    <w:rsid w:val="008570F7"/>
    <w:rsid w:val="0086229B"/>
    <w:rsid w:val="00862DDB"/>
    <w:rsid w:val="00863F42"/>
    <w:rsid w:val="008642D3"/>
    <w:rsid w:val="0087195C"/>
    <w:rsid w:val="0087212F"/>
    <w:rsid w:val="00872A73"/>
    <w:rsid w:val="00872F48"/>
    <w:rsid w:val="0087509F"/>
    <w:rsid w:val="008758A7"/>
    <w:rsid w:val="00876FF3"/>
    <w:rsid w:val="0087748F"/>
    <w:rsid w:val="008807F1"/>
    <w:rsid w:val="00880DBB"/>
    <w:rsid w:val="00886D56"/>
    <w:rsid w:val="00890344"/>
    <w:rsid w:val="00891599"/>
    <w:rsid w:val="00891E5A"/>
    <w:rsid w:val="00892168"/>
    <w:rsid w:val="00892A47"/>
    <w:rsid w:val="00894943"/>
    <w:rsid w:val="00897A78"/>
    <w:rsid w:val="008A017D"/>
    <w:rsid w:val="008A548A"/>
    <w:rsid w:val="008B1034"/>
    <w:rsid w:val="008B38B8"/>
    <w:rsid w:val="008B5237"/>
    <w:rsid w:val="008B61E5"/>
    <w:rsid w:val="008B66EC"/>
    <w:rsid w:val="008C039F"/>
    <w:rsid w:val="008C283B"/>
    <w:rsid w:val="008C3A7F"/>
    <w:rsid w:val="008C3DAD"/>
    <w:rsid w:val="008C5511"/>
    <w:rsid w:val="008D193A"/>
    <w:rsid w:val="008D1B4E"/>
    <w:rsid w:val="008D3FE2"/>
    <w:rsid w:val="008D431F"/>
    <w:rsid w:val="008D71D9"/>
    <w:rsid w:val="008D7AF1"/>
    <w:rsid w:val="008E2EEA"/>
    <w:rsid w:val="008E461F"/>
    <w:rsid w:val="008E4A3C"/>
    <w:rsid w:val="008F12AE"/>
    <w:rsid w:val="008F76FB"/>
    <w:rsid w:val="008F7FB2"/>
    <w:rsid w:val="00900F98"/>
    <w:rsid w:val="0090523C"/>
    <w:rsid w:val="0090586E"/>
    <w:rsid w:val="00906498"/>
    <w:rsid w:val="00914A77"/>
    <w:rsid w:val="00920958"/>
    <w:rsid w:val="00920B8F"/>
    <w:rsid w:val="009231F5"/>
    <w:rsid w:val="009236A0"/>
    <w:rsid w:val="00924061"/>
    <w:rsid w:val="009243C1"/>
    <w:rsid w:val="0092458F"/>
    <w:rsid w:val="009253BA"/>
    <w:rsid w:val="009303AE"/>
    <w:rsid w:val="00932EDC"/>
    <w:rsid w:val="009358D4"/>
    <w:rsid w:val="009365CC"/>
    <w:rsid w:val="00941810"/>
    <w:rsid w:val="00946057"/>
    <w:rsid w:val="0095104E"/>
    <w:rsid w:val="009520F0"/>
    <w:rsid w:val="00953DE3"/>
    <w:rsid w:val="009613BD"/>
    <w:rsid w:val="00962C7E"/>
    <w:rsid w:val="00962D48"/>
    <w:rsid w:val="00965FA9"/>
    <w:rsid w:val="009664E7"/>
    <w:rsid w:val="00974B8C"/>
    <w:rsid w:val="00976FB8"/>
    <w:rsid w:val="0098332A"/>
    <w:rsid w:val="00984E16"/>
    <w:rsid w:val="00985C93"/>
    <w:rsid w:val="00986BAF"/>
    <w:rsid w:val="00987BE1"/>
    <w:rsid w:val="0099063C"/>
    <w:rsid w:val="009924DB"/>
    <w:rsid w:val="0099310D"/>
    <w:rsid w:val="0099488E"/>
    <w:rsid w:val="009A173A"/>
    <w:rsid w:val="009A5DCC"/>
    <w:rsid w:val="009B1472"/>
    <w:rsid w:val="009B37A2"/>
    <w:rsid w:val="009B39CD"/>
    <w:rsid w:val="009B3CC1"/>
    <w:rsid w:val="009C0743"/>
    <w:rsid w:val="009C2D12"/>
    <w:rsid w:val="009C3127"/>
    <w:rsid w:val="009C3D1F"/>
    <w:rsid w:val="009C6E79"/>
    <w:rsid w:val="009C71ED"/>
    <w:rsid w:val="009C7306"/>
    <w:rsid w:val="009D44E9"/>
    <w:rsid w:val="009D6A6F"/>
    <w:rsid w:val="009D7343"/>
    <w:rsid w:val="009D76B7"/>
    <w:rsid w:val="009E1906"/>
    <w:rsid w:val="009E50B9"/>
    <w:rsid w:val="009E5CCE"/>
    <w:rsid w:val="009F070D"/>
    <w:rsid w:val="009F4E3E"/>
    <w:rsid w:val="009F5B00"/>
    <w:rsid w:val="00A00510"/>
    <w:rsid w:val="00A013F2"/>
    <w:rsid w:val="00A0547D"/>
    <w:rsid w:val="00A06C9F"/>
    <w:rsid w:val="00A104CA"/>
    <w:rsid w:val="00A10CAF"/>
    <w:rsid w:val="00A13880"/>
    <w:rsid w:val="00A16DCF"/>
    <w:rsid w:val="00A228C4"/>
    <w:rsid w:val="00A22D98"/>
    <w:rsid w:val="00A232F4"/>
    <w:rsid w:val="00A27373"/>
    <w:rsid w:val="00A3302D"/>
    <w:rsid w:val="00A35571"/>
    <w:rsid w:val="00A3626E"/>
    <w:rsid w:val="00A37C66"/>
    <w:rsid w:val="00A41957"/>
    <w:rsid w:val="00A46630"/>
    <w:rsid w:val="00A479AE"/>
    <w:rsid w:val="00A51DE2"/>
    <w:rsid w:val="00A52D1B"/>
    <w:rsid w:val="00A55315"/>
    <w:rsid w:val="00A56D8D"/>
    <w:rsid w:val="00A57621"/>
    <w:rsid w:val="00A60C4F"/>
    <w:rsid w:val="00A61AEC"/>
    <w:rsid w:val="00A63FEA"/>
    <w:rsid w:val="00A65289"/>
    <w:rsid w:val="00A65679"/>
    <w:rsid w:val="00A66885"/>
    <w:rsid w:val="00A73993"/>
    <w:rsid w:val="00A7582F"/>
    <w:rsid w:val="00A769EB"/>
    <w:rsid w:val="00A82F65"/>
    <w:rsid w:val="00A8377F"/>
    <w:rsid w:val="00A848A4"/>
    <w:rsid w:val="00A873F7"/>
    <w:rsid w:val="00A8775D"/>
    <w:rsid w:val="00A91EE1"/>
    <w:rsid w:val="00A926B9"/>
    <w:rsid w:val="00A939EB"/>
    <w:rsid w:val="00A95C01"/>
    <w:rsid w:val="00A973F0"/>
    <w:rsid w:val="00AA0187"/>
    <w:rsid w:val="00AA1807"/>
    <w:rsid w:val="00AA2461"/>
    <w:rsid w:val="00AA3CA0"/>
    <w:rsid w:val="00AA57E6"/>
    <w:rsid w:val="00AA68D1"/>
    <w:rsid w:val="00AB1EBD"/>
    <w:rsid w:val="00AB36E1"/>
    <w:rsid w:val="00AB5107"/>
    <w:rsid w:val="00AC18A3"/>
    <w:rsid w:val="00AD253E"/>
    <w:rsid w:val="00AE145E"/>
    <w:rsid w:val="00AE1646"/>
    <w:rsid w:val="00AE2F54"/>
    <w:rsid w:val="00AE7234"/>
    <w:rsid w:val="00AE7500"/>
    <w:rsid w:val="00AF0A52"/>
    <w:rsid w:val="00AF3F3D"/>
    <w:rsid w:val="00B04059"/>
    <w:rsid w:val="00B0444E"/>
    <w:rsid w:val="00B05065"/>
    <w:rsid w:val="00B059C1"/>
    <w:rsid w:val="00B05B3B"/>
    <w:rsid w:val="00B062E6"/>
    <w:rsid w:val="00B12E07"/>
    <w:rsid w:val="00B15222"/>
    <w:rsid w:val="00B2681A"/>
    <w:rsid w:val="00B27A5B"/>
    <w:rsid w:val="00B302C4"/>
    <w:rsid w:val="00B30D2D"/>
    <w:rsid w:val="00B3250B"/>
    <w:rsid w:val="00B360F8"/>
    <w:rsid w:val="00B40D13"/>
    <w:rsid w:val="00B4255E"/>
    <w:rsid w:val="00B503AA"/>
    <w:rsid w:val="00B5137C"/>
    <w:rsid w:val="00B55914"/>
    <w:rsid w:val="00B61F32"/>
    <w:rsid w:val="00B64372"/>
    <w:rsid w:val="00B70696"/>
    <w:rsid w:val="00B718F0"/>
    <w:rsid w:val="00B72123"/>
    <w:rsid w:val="00B72B8E"/>
    <w:rsid w:val="00B75465"/>
    <w:rsid w:val="00B7550C"/>
    <w:rsid w:val="00B7638C"/>
    <w:rsid w:val="00B77ED8"/>
    <w:rsid w:val="00B81A8B"/>
    <w:rsid w:val="00B83300"/>
    <w:rsid w:val="00B86A5C"/>
    <w:rsid w:val="00B9065B"/>
    <w:rsid w:val="00B90AA6"/>
    <w:rsid w:val="00B90DF7"/>
    <w:rsid w:val="00B9236E"/>
    <w:rsid w:val="00B94199"/>
    <w:rsid w:val="00B95431"/>
    <w:rsid w:val="00BA087D"/>
    <w:rsid w:val="00BA1040"/>
    <w:rsid w:val="00BA20BE"/>
    <w:rsid w:val="00BA6D98"/>
    <w:rsid w:val="00BA6E90"/>
    <w:rsid w:val="00BB0DA6"/>
    <w:rsid w:val="00BB40FC"/>
    <w:rsid w:val="00BB4E9A"/>
    <w:rsid w:val="00BB6F46"/>
    <w:rsid w:val="00BC5C8D"/>
    <w:rsid w:val="00BC7386"/>
    <w:rsid w:val="00BD142E"/>
    <w:rsid w:val="00BD2653"/>
    <w:rsid w:val="00BD2935"/>
    <w:rsid w:val="00BD3BC3"/>
    <w:rsid w:val="00BD6343"/>
    <w:rsid w:val="00BE398D"/>
    <w:rsid w:val="00BE5CB3"/>
    <w:rsid w:val="00BF1088"/>
    <w:rsid w:val="00BF626E"/>
    <w:rsid w:val="00BF78D7"/>
    <w:rsid w:val="00C02479"/>
    <w:rsid w:val="00C06229"/>
    <w:rsid w:val="00C06B52"/>
    <w:rsid w:val="00C12ABE"/>
    <w:rsid w:val="00C20368"/>
    <w:rsid w:val="00C21696"/>
    <w:rsid w:val="00C22169"/>
    <w:rsid w:val="00C22FC7"/>
    <w:rsid w:val="00C26371"/>
    <w:rsid w:val="00C31D9D"/>
    <w:rsid w:val="00C33ADF"/>
    <w:rsid w:val="00C37C0C"/>
    <w:rsid w:val="00C41330"/>
    <w:rsid w:val="00C45F11"/>
    <w:rsid w:val="00C5209F"/>
    <w:rsid w:val="00C57CB9"/>
    <w:rsid w:val="00C6237C"/>
    <w:rsid w:val="00C62A93"/>
    <w:rsid w:val="00C631E8"/>
    <w:rsid w:val="00C65B0F"/>
    <w:rsid w:val="00C71808"/>
    <w:rsid w:val="00C726EC"/>
    <w:rsid w:val="00C72E12"/>
    <w:rsid w:val="00C72EA2"/>
    <w:rsid w:val="00C73B3F"/>
    <w:rsid w:val="00C74B0C"/>
    <w:rsid w:val="00C7513C"/>
    <w:rsid w:val="00C75F69"/>
    <w:rsid w:val="00C80E97"/>
    <w:rsid w:val="00C81B85"/>
    <w:rsid w:val="00C81E96"/>
    <w:rsid w:val="00C83A9C"/>
    <w:rsid w:val="00C8404E"/>
    <w:rsid w:val="00C92B14"/>
    <w:rsid w:val="00CA0D4C"/>
    <w:rsid w:val="00CA134E"/>
    <w:rsid w:val="00CA255F"/>
    <w:rsid w:val="00CA5F76"/>
    <w:rsid w:val="00CA77D8"/>
    <w:rsid w:val="00CA7B1F"/>
    <w:rsid w:val="00CB3450"/>
    <w:rsid w:val="00CB56CB"/>
    <w:rsid w:val="00CB5725"/>
    <w:rsid w:val="00CB6CC3"/>
    <w:rsid w:val="00CB73A6"/>
    <w:rsid w:val="00CB75FB"/>
    <w:rsid w:val="00CB7B8A"/>
    <w:rsid w:val="00CC20D2"/>
    <w:rsid w:val="00CD0ACE"/>
    <w:rsid w:val="00CD4705"/>
    <w:rsid w:val="00CD5232"/>
    <w:rsid w:val="00CD62BB"/>
    <w:rsid w:val="00CE4FB5"/>
    <w:rsid w:val="00CE5CEF"/>
    <w:rsid w:val="00CF0E83"/>
    <w:rsid w:val="00CF2FEA"/>
    <w:rsid w:val="00CF326D"/>
    <w:rsid w:val="00CF512E"/>
    <w:rsid w:val="00CF6349"/>
    <w:rsid w:val="00D01DA2"/>
    <w:rsid w:val="00D02188"/>
    <w:rsid w:val="00D02854"/>
    <w:rsid w:val="00D04CAC"/>
    <w:rsid w:val="00D07886"/>
    <w:rsid w:val="00D07F0D"/>
    <w:rsid w:val="00D111CC"/>
    <w:rsid w:val="00D1688D"/>
    <w:rsid w:val="00D16A17"/>
    <w:rsid w:val="00D22599"/>
    <w:rsid w:val="00D262B7"/>
    <w:rsid w:val="00D31409"/>
    <w:rsid w:val="00D362BF"/>
    <w:rsid w:val="00D37459"/>
    <w:rsid w:val="00D41376"/>
    <w:rsid w:val="00D43679"/>
    <w:rsid w:val="00D44A9B"/>
    <w:rsid w:val="00D44EF7"/>
    <w:rsid w:val="00D47F5E"/>
    <w:rsid w:val="00D5592F"/>
    <w:rsid w:val="00D55B70"/>
    <w:rsid w:val="00D62C0E"/>
    <w:rsid w:val="00D62CE4"/>
    <w:rsid w:val="00D63696"/>
    <w:rsid w:val="00D65E1F"/>
    <w:rsid w:val="00D7018D"/>
    <w:rsid w:val="00D710BC"/>
    <w:rsid w:val="00D721EE"/>
    <w:rsid w:val="00D818B7"/>
    <w:rsid w:val="00D81989"/>
    <w:rsid w:val="00D84602"/>
    <w:rsid w:val="00D853EF"/>
    <w:rsid w:val="00D85A9A"/>
    <w:rsid w:val="00D8760F"/>
    <w:rsid w:val="00D87AB7"/>
    <w:rsid w:val="00D91E4A"/>
    <w:rsid w:val="00D95D1D"/>
    <w:rsid w:val="00DA283B"/>
    <w:rsid w:val="00DA4C96"/>
    <w:rsid w:val="00DA4D53"/>
    <w:rsid w:val="00DA5123"/>
    <w:rsid w:val="00DB0144"/>
    <w:rsid w:val="00DB023F"/>
    <w:rsid w:val="00DB032B"/>
    <w:rsid w:val="00DB0AD4"/>
    <w:rsid w:val="00DD0202"/>
    <w:rsid w:val="00DD34EC"/>
    <w:rsid w:val="00DD4D22"/>
    <w:rsid w:val="00DD5FC1"/>
    <w:rsid w:val="00DD6C09"/>
    <w:rsid w:val="00DD7368"/>
    <w:rsid w:val="00DE0BAA"/>
    <w:rsid w:val="00DE0EF3"/>
    <w:rsid w:val="00DE3584"/>
    <w:rsid w:val="00DE42D8"/>
    <w:rsid w:val="00DE639A"/>
    <w:rsid w:val="00DE76E8"/>
    <w:rsid w:val="00DF0463"/>
    <w:rsid w:val="00DF056D"/>
    <w:rsid w:val="00DF0EC0"/>
    <w:rsid w:val="00DF27FE"/>
    <w:rsid w:val="00DF389C"/>
    <w:rsid w:val="00DF4AFF"/>
    <w:rsid w:val="00DF4C27"/>
    <w:rsid w:val="00DF621E"/>
    <w:rsid w:val="00DF660A"/>
    <w:rsid w:val="00DF7389"/>
    <w:rsid w:val="00E01A7E"/>
    <w:rsid w:val="00E02E6A"/>
    <w:rsid w:val="00E035B7"/>
    <w:rsid w:val="00E118BD"/>
    <w:rsid w:val="00E22B83"/>
    <w:rsid w:val="00E25EE6"/>
    <w:rsid w:val="00E30B88"/>
    <w:rsid w:val="00E30EA5"/>
    <w:rsid w:val="00E31CBE"/>
    <w:rsid w:val="00E335B4"/>
    <w:rsid w:val="00E336DA"/>
    <w:rsid w:val="00E33CE7"/>
    <w:rsid w:val="00E36046"/>
    <w:rsid w:val="00E40F02"/>
    <w:rsid w:val="00E42884"/>
    <w:rsid w:val="00E4457D"/>
    <w:rsid w:val="00E4695E"/>
    <w:rsid w:val="00E47949"/>
    <w:rsid w:val="00E55F75"/>
    <w:rsid w:val="00E603B1"/>
    <w:rsid w:val="00E632E0"/>
    <w:rsid w:val="00E81AE0"/>
    <w:rsid w:val="00E83E33"/>
    <w:rsid w:val="00E85F5B"/>
    <w:rsid w:val="00E87D34"/>
    <w:rsid w:val="00E916BF"/>
    <w:rsid w:val="00E939B2"/>
    <w:rsid w:val="00E94D89"/>
    <w:rsid w:val="00E96127"/>
    <w:rsid w:val="00E9677B"/>
    <w:rsid w:val="00EA337F"/>
    <w:rsid w:val="00EA3BEB"/>
    <w:rsid w:val="00EA6F39"/>
    <w:rsid w:val="00EB2875"/>
    <w:rsid w:val="00EB3393"/>
    <w:rsid w:val="00EB769B"/>
    <w:rsid w:val="00EC06B8"/>
    <w:rsid w:val="00EC0A0F"/>
    <w:rsid w:val="00EE0FD1"/>
    <w:rsid w:val="00EE1401"/>
    <w:rsid w:val="00EE1BDB"/>
    <w:rsid w:val="00EE308B"/>
    <w:rsid w:val="00EE465A"/>
    <w:rsid w:val="00EF00AB"/>
    <w:rsid w:val="00EF43FF"/>
    <w:rsid w:val="00EF53CD"/>
    <w:rsid w:val="00EF54F2"/>
    <w:rsid w:val="00EF5864"/>
    <w:rsid w:val="00EF5CFC"/>
    <w:rsid w:val="00F03E59"/>
    <w:rsid w:val="00F054C0"/>
    <w:rsid w:val="00F0707A"/>
    <w:rsid w:val="00F103D6"/>
    <w:rsid w:val="00F10C65"/>
    <w:rsid w:val="00F126BC"/>
    <w:rsid w:val="00F17B30"/>
    <w:rsid w:val="00F2138E"/>
    <w:rsid w:val="00F217DF"/>
    <w:rsid w:val="00F22616"/>
    <w:rsid w:val="00F2390A"/>
    <w:rsid w:val="00F24245"/>
    <w:rsid w:val="00F2473C"/>
    <w:rsid w:val="00F2527F"/>
    <w:rsid w:val="00F3091D"/>
    <w:rsid w:val="00F34D70"/>
    <w:rsid w:val="00F35570"/>
    <w:rsid w:val="00F36573"/>
    <w:rsid w:val="00F373E0"/>
    <w:rsid w:val="00F413EB"/>
    <w:rsid w:val="00F4263B"/>
    <w:rsid w:val="00F54ACF"/>
    <w:rsid w:val="00F556D1"/>
    <w:rsid w:val="00F569F8"/>
    <w:rsid w:val="00F57DA7"/>
    <w:rsid w:val="00F619E7"/>
    <w:rsid w:val="00F70465"/>
    <w:rsid w:val="00F70DF9"/>
    <w:rsid w:val="00F70E30"/>
    <w:rsid w:val="00F71ECA"/>
    <w:rsid w:val="00F72880"/>
    <w:rsid w:val="00F72955"/>
    <w:rsid w:val="00F74AC8"/>
    <w:rsid w:val="00F75270"/>
    <w:rsid w:val="00F80C86"/>
    <w:rsid w:val="00F80ECF"/>
    <w:rsid w:val="00F840EE"/>
    <w:rsid w:val="00F873CE"/>
    <w:rsid w:val="00F9512E"/>
    <w:rsid w:val="00F96E44"/>
    <w:rsid w:val="00FA5AE2"/>
    <w:rsid w:val="00FA697C"/>
    <w:rsid w:val="00FA7BE6"/>
    <w:rsid w:val="00FA7F4B"/>
    <w:rsid w:val="00FB0B56"/>
    <w:rsid w:val="00FB25E9"/>
    <w:rsid w:val="00FB2674"/>
    <w:rsid w:val="00FB58AA"/>
    <w:rsid w:val="00FB657C"/>
    <w:rsid w:val="00FC3004"/>
    <w:rsid w:val="00FC3C91"/>
    <w:rsid w:val="00FC4759"/>
    <w:rsid w:val="00FD08B3"/>
    <w:rsid w:val="00FD216B"/>
    <w:rsid w:val="00FD6899"/>
    <w:rsid w:val="00FE0079"/>
    <w:rsid w:val="00FE03F8"/>
    <w:rsid w:val="00FE2F05"/>
    <w:rsid w:val="00FF0997"/>
    <w:rsid w:val="00FF11A1"/>
    <w:rsid w:val="00FF17CD"/>
    <w:rsid w:val="00FF24B8"/>
    <w:rsid w:val="00FF2868"/>
    <w:rsid w:val="00FF2CF0"/>
    <w:rsid w:val="00FF52F8"/>
    <w:rsid w:val="00FF7289"/>
  </w:rsids>
  <m:mathPr>
    <m:mathFont m:val="Cambria Math"/>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C9C175F-74E1-41C2-B6DF-84AAC85D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NZ" w:eastAsia="en-NZ" w:bidi="ar-SA"/>
      </w:rPr>
    </w:rPrDefault>
    <w:pPrDefault/>
  </w:docDefaults>
  <w:latentStyles w:defLockedState="0" w:defUIPriority="0" w:defSemiHidden="0" w:defUnhideWhenUsed="0" w:defQFormat="0" w:count="37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6B2"/>
    <w:pPr>
      <w:spacing w:before="240"/>
      <w:ind w:left="709"/>
    </w:pPr>
    <w:rPr>
      <w:rFonts w:ascii="Arial" w:hAnsi="Arial"/>
      <w:sz w:val="22"/>
      <w:szCs w:val="22"/>
      <w:lang w:eastAsia="en-GB"/>
    </w:rPr>
  </w:style>
  <w:style w:type="paragraph" w:styleId="Heading1">
    <w:name w:val="heading 1"/>
    <w:aliases w:val="H1,Chapter Headline,Chapter Headline1,Chapter Headline2,Chapter Headline3,Chapter Headline4,Chapter Headline5,Chapter Headline6,Chapter Headline7,Chapter Headline8,Chapter Headline9,Chapter Headline10,Chapter Headline11,Chapter Headline12"/>
    <w:basedOn w:val="Normal"/>
    <w:next w:val="Normal"/>
    <w:link w:val="Heading1Char"/>
    <w:qFormat/>
    <w:rsid w:val="000032F0"/>
    <w:pPr>
      <w:spacing w:before="0" w:after="360"/>
      <w:ind w:left="0"/>
      <w:jc w:val="center"/>
      <w:outlineLvl w:val="0"/>
    </w:pPr>
    <w:rPr>
      <w:b/>
      <w:sz w:val="36"/>
      <w:szCs w:val="36"/>
    </w:rPr>
  </w:style>
  <w:style w:type="paragraph" w:styleId="Heading2">
    <w:name w:val="heading 2"/>
    <w:basedOn w:val="Normal"/>
    <w:next w:val="Normal"/>
    <w:link w:val="Heading2Char"/>
    <w:qFormat/>
    <w:rsid w:val="002F237A"/>
    <w:pPr>
      <w:keepNext/>
      <w:spacing w:before="720" w:after="120"/>
      <w:ind w:hanging="709"/>
      <w:outlineLvl w:val="1"/>
    </w:pPr>
    <w:rPr>
      <w:b/>
      <w:sz w:val="28"/>
      <w:szCs w:val="28"/>
    </w:rPr>
  </w:style>
  <w:style w:type="paragraph" w:styleId="Heading3">
    <w:name w:val="heading 3"/>
    <w:basedOn w:val="Normal"/>
    <w:next w:val="Normal"/>
    <w:link w:val="Heading3Char"/>
    <w:uiPriority w:val="99"/>
    <w:qFormat/>
    <w:rsid w:val="00B25787"/>
    <w:pPr>
      <w:keepNext/>
      <w:spacing w:before="360" w:after="240"/>
      <w:ind w:left="567" w:hanging="567"/>
      <w:outlineLvl w:val="2"/>
    </w:pPr>
    <w:rPr>
      <w:b/>
      <w:i/>
      <w:sz w:val="24"/>
      <w:szCs w:val="24"/>
    </w:rPr>
  </w:style>
  <w:style w:type="paragraph" w:styleId="Heading4">
    <w:name w:val="heading 4"/>
    <w:aliases w:val="List of figures"/>
    <w:basedOn w:val="Normal"/>
    <w:next w:val="Normal"/>
    <w:link w:val="Heading4Char"/>
    <w:qFormat/>
    <w:rsid w:val="00BD142E"/>
    <w:pPr>
      <w:keepNext/>
      <w:spacing w:after="240"/>
      <w:outlineLvl w:val="3"/>
    </w:pPr>
    <w:rPr>
      <w:b/>
    </w:rPr>
  </w:style>
  <w:style w:type="paragraph" w:styleId="Heading5">
    <w:name w:val="heading 5"/>
    <w:basedOn w:val="Normal"/>
    <w:next w:val="Normal"/>
    <w:link w:val="Heading5Char"/>
    <w:qFormat/>
    <w:rsid w:val="00BD142E"/>
    <w:pPr>
      <w:keepNext/>
      <w:spacing w:before="120" w:after="120"/>
      <w:outlineLvl w:val="4"/>
    </w:pPr>
    <w:rPr>
      <w:b/>
      <w:i/>
    </w:rPr>
  </w:style>
  <w:style w:type="paragraph" w:styleId="Heading6">
    <w:name w:val="heading 6"/>
    <w:basedOn w:val="Normal"/>
    <w:next w:val="Normal"/>
    <w:qFormat/>
    <w:rsid w:val="00BD142E"/>
    <w:pPr>
      <w:spacing w:before="120" w:after="120"/>
      <w:outlineLvl w:val="5"/>
    </w:pPr>
  </w:style>
  <w:style w:type="paragraph" w:styleId="Heading7">
    <w:name w:val="heading 7"/>
    <w:basedOn w:val="Normal"/>
    <w:next w:val="Normal"/>
    <w:qFormat/>
    <w:rsid w:val="00BD142E"/>
    <w:pPr>
      <w:numPr>
        <w:ilvl w:val="6"/>
        <w:numId w:val="1"/>
      </w:numPr>
      <w:spacing w:after="60"/>
      <w:outlineLvl w:val="6"/>
    </w:pPr>
    <w:rPr>
      <w:sz w:val="20"/>
      <w:lang w:val="en-AU"/>
    </w:rPr>
  </w:style>
  <w:style w:type="paragraph" w:styleId="Heading8">
    <w:name w:val="heading 8"/>
    <w:basedOn w:val="Normal"/>
    <w:next w:val="Normal"/>
    <w:qFormat/>
    <w:rsid w:val="00BD142E"/>
    <w:pPr>
      <w:numPr>
        <w:ilvl w:val="7"/>
        <w:numId w:val="1"/>
      </w:numPr>
      <w:spacing w:after="60"/>
      <w:outlineLvl w:val="7"/>
    </w:pPr>
    <w:rPr>
      <w:i/>
      <w:sz w:val="20"/>
      <w:lang w:val="en-AU"/>
    </w:rPr>
  </w:style>
  <w:style w:type="paragraph" w:styleId="Heading9">
    <w:name w:val="heading 9"/>
    <w:basedOn w:val="Normal"/>
    <w:next w:val="Normal"/>
    <w:qFormat/>
    <w:rsid w:val="00BD142E"/>
    <w:pPr>
      <w:numPr>
        <w:ilvl w:val="8"/>
        <w:numId w:val="1"/>
      </w:numPr>
      <w:spacing w:after="60"/>
      <w:outlineLvl w:val="8"/>
    </w:pPr>
    <w:rPr>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
    <w:name w:val="Dash"/>
    <w:basedOn w:val="Normal"/>
    <w:rsid w:val="00DC7B0F"/>
    <w:pPr>
      <w:numPr>
        <w:numId w:val="4"/>
      </w:numPr>
      <w:tabs>
        <w:tab w:val="clear" w:pos="567"/>
        <w:tab w:val="num" w:pos="360"/>
        <w:tab w:val="left" w:pos="1843"/>
      </w:tabs>
      <w:spacing w:before="60"/>
      <w:ind w:left="709" w:firstLine="0"/>
    </w:pPr>
  </w:style>
  <w:style w:type="paragraph" w:customStyle="1" w:styleId="Bullet">
    <w:name w:val="Bullet"/>
    <w:basedOn w:val="Normal"/>
    <w:link w:val="BulletChar"/>
    <w:uiPriority w:val="99"/>
    <w:rsid w:val="00BB40FC"/>
    <w:pPr>
      <w:numPr>
        <w:numId w:val="5"/>
      </w:numPr>
      <w:tabs>
        <w:tab w:val="left" w:pos="1276"/>
      </w:tabs>
      <w:spacing w:before="120"/>
    </w:pPr>
  </w:style>
  <w:style w:type="paragraph" w:styleId="Quote">
    <w:name w:val="Quote"/>
    <w:basedOn w:val="Normal"/>
    <w:next w:val="Normal"/>
    <w:link w:val="QuoteChar"/>
    <w:qFormat/>
    <w:rsid w:val="00B671AB"/>
    <w:pPr>
      <w:spacing w:before="120"/>
      <w:ind w:left="1134" w:right="567"/>
    </w:pPr>
    <w:rPr>
      <w:i/>
    </w:rPr>
  </w:style>
  <w:style w:type="paragraph" w:styleId="TOC1">
    <w:name w:val="toc 1"/>
    <w:basedOn w:val="Normal"/>
    <w:next w:val="Normal"/>
    <w:uiPriority w:val="39"/>
    <w:rsid w:val="00C75AE2"/>
    <w:pPr>
      <w:tabs>
        <w:tab w:val="right" w:pos="5103"/>
      </w:tabs>
      <w:spacing w:before="300"/>
      <w:ind w:left="0" w:right="5103"/>
    </w:pPr>
  </w:style>
  <w:style w:type="paragraph" w:styleId="TOC2">
    <w:name w:val="toc 2"/>
    <w:basedOn w:val="Normal"/>
    <w:next w:val="Normal"/>
    <w:uiPriority w:val="39"/>
    <w:rsid w:val="00A44D12"/>
    <w:pPr>
      <w:tabs>
        <w:tab w:val="right" w:pos="5103"/>
      </w:tabs>
      <w:spacing w:before="60"/>
      <w:ind w:right="5103"/>
    </w:pPr>
    <w:rPr>
      <w:sz w:val="20"/>
    </w:rPr>
  </w:style>
  <w:style w:type="paragraph" w:styleId="FootnoteText">
    <w:name w:val="footnote text"/>
    <w:aliases w:val="Footnote Text Char Char"/>
    <w:basedOn w:val="Normal"/>
    <w:link w:val="FootnoteTextChar"/>
    <w:rsid w:val="00BD142E"/>
    <w:pPr>
      <w:spacing w:before="120"/>
      <w:ind w:left="284" w:hanging="284"/>
    </w:pPr>
    <w:rPr>
      <w:sz w:val="16"/>
    </w:rPr>
  </w:style>
  <w:style w:type="character" w:styleId="PageNumber">
    <w:name w:val="page number"/>
    <w:basedOn w:val="DefaultParagraphFont"/>
    <w:rsid w:val="00C11C5B"/>
    <w:rPr>
      <w:rFonts w:ascii="Arial" w:hAnsi="Arial"/>
      <w:b/>
      <w:spacing w:val="0"/>
      <w:kern w:val="0"/>
      <w:position w:val="0"/>
      <w:sz w:val="24"/>
      <w:szCs w:val="24"/>
    </w:rPr>
  </w:style>
  <w:style w:type="paragraph" w:customStyle="1" w:styleId="Table">
    <w:name w:val="Table"/>
    <w:basedOn w:val="Figure"/>
    <w:next w:val="Normal"/>
    <w:rsid w:val="00456366"/>
    <w:pPr>
      <w:spacing w:before="120" w:after="80"/>
      <w:ind w:left="0" w:firstLine="0"/>
      <w:jc w:val="center"/>
    </w:pPr>
  </w:style>
  <w:style w:type="paragraph" w:styleId="Footer">
    <w:name w:val="footer"/>
    <w:basedOn w:val="Normal"/>
    <w:link w:val="FooterChar"/>
    <w:uiPriority w:val="99"/>
    <w:rsid w:val="000032F0"/>
    <w:pPr>
      <w:spacing w:before="0"/>
      <w:ind w:left="0"/>
    </w:pPr>
    <w:rPr>
      <w:spacing w:val="40"/>
      <w:sz w:val="16"/>
      <w:szCs w:val="16"/>
    </w:rPr>
  </w:style>
  <w:style w:type="paragraph" w:styleId="Header">
    <w:name w:val="header"/>
    <w:basedOn w:val="Normal"/>
    <w:link w:val="HeaderChar"/>
    <w:uiPriority w:val="99"/>
    <w:rsid w:val="000032F0"/>
    <w:pPr>
      <w:spacing w:before="0"/>
      <w:ind w:left="0"/>
      <w:jc w:val="center"/>
    </w:pPr>
    <w:rPr>
      <w:smallCaps/>
      <w:spacing w:val="40"/>
      <w:sz w:val="16"/>
      <w:szCs w:val="16"/>
    </w:rPr>
  </w:style>
  <w:style w:type="paragraph" w:customStyle="1" w:styleId="Heading">
    <w:name w:val="Heading"/>
    <w:basedOn w:val="Heading1"/>
    <w:next w:val="Normal"/>
    <w:rsid w:val="00B25787"/>
    <w:pPr>
      <w:jc w:val="left"/>
    </w:pPr>
    <w:rPr>
      <w:sz w:val="28"/>
      <w:szCs w:val="28"/>
    </w:rPr>
  </w:style>
  <w:style w:type="character" w:styleId="Hyperlink">
    <w:name w:val="Hyperlink"/>
    <w:basedOn w:val="DefaultParagraphFont"/>
    <w:uiPriority w:val="99"/>
    <w:rsid w:val="00BD142E"/>
    <w:rPr>
      <w:color w:val="0000FF"/>
      <w:u w:val="single"/>
    </w:rPr>
  </w:style>
  <w:style w:type="paragraph" w:styleId="TOC3">
    <w:name w:val="toc 3"/>
    <w:basedOn w:val="Normal"/>
    <w:next w:val="Normal"/>
    <w:autoRedefine/>
    <w:semiHidden/>
    <w:rsid w:val="00BD142E"/>
    <w:pPr>
      <w:tabs>
        <w:tab w:val="right" w:pos="8222"/>
      </w:tabs>
      <w:spacing w:before="120"/>
      <w:ind w:left="567" w:right="851" w:hanging="567"/>
    </w:pPr>
    <w:rPr>
      <w:sz w:val="18"/>
    </w:rPr>
  </w:style>
  <w:style w:type="character" w:styleId="FootnoteReference">
    <w:name w:val="footnote reference"/>
    <w:basedOn w:val="DefaultParagraphFont"/>
    <w:rsid w:val="00BD142E"/>
    <w:rPr>
      <w:vertAlign w:val="superscript"/>
    </w:rPr>
  </w:style>
  <w:style w:type="paragraph" w:customStyle="1" w:styleId="TableText">
    <w:name w:val="TableText"/>
    <w:basedOn w:val="Normal"/>
    <w:rsid w:val="0021521A"/>
    <w:pPr>
      <w:spacing w:before="80" w:after="80"/>
      <w:ind w:left="0"/>
    </w:pPr>
    <w:rPr>
      <w:sz w:val="20"/>
      <w:szCs w:val="20"/>
    </w:rPr>
  </w:style>
  <w:style w:type="paragraph" w:customStyle="1" w:styleId="ClientName">
    <w:name w:val="Client Name"/>
    <w:basedOn w:val="Normal"/>
    <w:rsid w:val="00A92022"/>
    <w:pPr>
      <w:spacing w:before="0" w:after="3000"/>
      <w:ind w:left="0"/>
      <w:jc w:val="center"/>
    </w:pPr>
    <w:rPr>
      <w:sz w:val="36"/>
      <w:szCs w:val="36"/>
    </w:rPr>
  </w:style>
  <w:style w:type="paragraph" w:styleId="Title">
    <w:name w:val="Title"/>
    <w:basedOn w:val="Normal"/>
    <w:qFormat/>
    <w:rsid w:val="00C75AE2"/>
    <w:pPr>
      <w:pBdr>
        <w:top w:val="single" w:sz="4" w:space="31" w:color="C0C0C0"/>
        <w:left w:val="single" w:sz="4" w:space="12" w:color="C0C0C0"/>
        <w:bottom w:val="single" w:sz="4" w:space="31" w:color="C0C0C0"/>
        <w:right w:val="single" w:sz="4" w:space="12" w:color="C0C0C0"/>
      </w:pBdr>
      <w:shd w:val="clear" w:color="auto" w:fill="FFFFFF"/>
      <w:spacing w:before="0" w:after="2000"/>
      <w:ind w:left="1985" w:right="1985"/>
      <w:jc w:val="center"/>
    </w:pPr>
    <w:rPr>
      <w:b/>
      <w:sz w:val="36"/>
      <w:szCs w:val="36"/>
    </w:rPr>
  </w:style>
  <w:style w:type="paragraph" w:customStyle="1" w:styleId="TableBullet">
    <w:name w:val="TableBullet"/>
    <w:basedOn w:val="TableText"/>
    <w:next w:val="Subtitle"/>
    <w:rsid w:val="00CF2680"/>
    <w:pPr>
      <w:numPr>
        <w:numId w:val="3"/>
      </w:numPr>
      <w:spacing w:before="0"/>
    </w:pPr>
  </w:style>
  <w:style w:type="paragraph" w:styleId="Subtitle">
    <w:name w:val="Subtitle"/>
    <w:basedOn w:val="Normal"/>
    <w:qFormat/>
    <w:rsid w:val="00B25787"/>
    <w:pPr>
      <w:spacing w:before="0" w:after="2000"/>
      <w:ind w:left="0"/>
      <w:outlineLvl w:val="1"/>
    </w:pPr>
    <w:rPr>
      <w:b/>
      <w:sz w:val="36"/>
      <w:szCs w:val="36"/>
    </w:rPr>
  </w:style>
  <w:style w:type="character" w:styleId="FollowedHyperlink">
    <w:name w:val="FollowedHyperlink"/>
    <w:basedOn w:val="DefaultParagraphFont"/>
    <w:rsid w:val="00A848A4"/>
    <w:rPr>
      <w:color w:val="800080"/>
      <w:u w:val="single"/>
    </w:rPr>
  </w:style>
  <w:style w:type="paragraph" w:customStyle="1" w:styleId="Box">
    <w:name w:val="Box"/>
    <w:basedOn w:val="Normal"/>
    <w:rsid w:val="00B671AB"/>
    <w:pPr>
      <w:pBdr>
        <w:top w:val="single" w:sz="4" w:space="12" w:color="auto"/>
        <w:left w:val="single" w:sz="4" w:space="12" w:color="auto"/>
        <w:bottom w:val="single" w:sz="4" w:space="12" w:color="auto"/>
        <w:right w:val="single" w:sz="4" w:space="12" w:color="auto"/>
      </w:pBdr>
      <w:spacing w:before="120"/>
      <w:ind w:left="851" w:right="284"/>
    </w:pPr>
    <w:rPr>
      <w:sz w:val="20"/>
    </w:rPr>
  </w:style>
  <w:style w:type="paragraph" w:customStyle="1" w:styleId="BoxHeading">
    <w:name w:val="BoxHeading"/>
    <w:basedOn w:val="Box"/>
    <w:next w:val="Box"/>
    <w:rsid w:val="00BD142E"/>
    <w:pPr>
      <w:keepNext/>
    </w:pPr>
    <w:rPr>
      <w:b/>
    </w:rPr>
  </w:style>
  <w:style w:type="paragraph" w:customStyle="1" w:styleId="BoxBullet">
    <w:name w:val="BoxBullet"/>
    <w:basedOn w:val="Box"/>
    <w:rsid w:val="00EA434F"/>
    <w:pPr>
      <w:numPr>
        <w:numId w:val="2"/>
      </w:numPr>
    </w:pPr>
  </w:style>
  <w:style w:type="paragraph" w:customStyle="1" w:styleId="Figure">
    <w:name w:val="Figure"/>
    <w:basedOn w:val="Normal"/>
    <w:next w:val="Normal"/>
    <w:rsid w:val="002F237A"/>
    <w:pPr>
      <w:keepNext/>
      <w:spacing w:after="120"/>
      <w:ind w:left="1701" w:hanging="992"/>
    </w:pPr>
    <w:rPr>
      <w:b/>
      <w:sz w:val="20"/>
    </w:rPr>
  </w:style>
  <w:style w:type="character" w:customStyle="1" w:styleId="HeaderChar">
    <w:name w:val="Header Char"/>
    <w:basedOn w:val="DefaultParagraphFont"/>
    <w:link w:val="Header"/>
    <w:uiPriority w:val="99"/>
    <w:rsid w:val="00D31409"/>
    <w:rPr>
      <w:rFonts w:ascii="Arial" w:hAnsi="Arial"/>
      <w:smallCaps/>
      <w:spacing w:val="40"/>
      <w:sz w:val="16"/>
      <w:szCs w:val="16"/>
      <w:lang w:eastAsia="en-GB"/>
    </w:rPr>
  </w:style>
  <w:style w:type="character" w:customStyle="1" w:styleId="Heading1Char">
    <w:name w:val="Heading 1 Char"/>
    <w:aliases w:val="H1 Char,Chapter Headline Char,Chapter Headline1 Char,Chapter Headline2 Char,Chapter Headline3 Char,Chapter Headline4 Char,Chapter Headline5 Char,Chapter Headline6 Char,Chapter Headline7 Char,Chapter Headline8 Char,Chapter Headline9 Char"/>
    <w:basedOn w:val="DefaultParagraphFont"/>
    <w:link w:val="Heading1"/>
    <w:rsid w:val="00D31409"/>
    <w:rPr>
      <w:rFonts w:ascii="Arial" w:hAnsi="Arial"/>
      <w:b/>
      <w:sz w:val="36"/>
      <w:szCs w:val="36"/>
      <w:lang w:eastAsia="en-GB"/>
    </w:rPr>
  </w:style>
  <w:style w:type="character" w:customStyle="1" w:styleId="Heading2Char">
    <w:name w:val="Heading 2 Char"/>
    <w:link w:val="Heading2"/>
    <w:rsid w:val="00D31409"/>
    <w:rPr>
      <w:rFonts w:ascii="Arial" w:hAnsi="Arial"/>
      <w:b/>
      <w:sz w:val="28"/>
      <w:szCs w:val="28"/>
      <w:lang w:eastAsia="en-GB"/>
    </w:rPr>
  </w:style>
  <w:style w:type="character" w:customStyle="1" w:styleId="FootnoteTextChar">
    <w:name w:val="Footnote Text Char"/>
    <w:aliases w:val="Footnote Text Char Char Char"/>
    <w:basedOn w:val="DefaultParagraphFont"/>
    <w:link w:val="FootnoteText"/>
    <w:rsid w:val="00D31409"/>
    <w:rPr>
      <w:rFonts w:ascii="Arial" w:hAnsi="Arial"/>
      <w:sz w:val="16"/>
      <w:szCs w:val="22"/>
      <w:lang w:eastAsia="en-GB"/>
    </w:rPr>
  </w:style>
  <w:style w:type="paragraph" w:customStyle="1" w:styleId="List8">
    <w:name w:val="List 8"/>
    <w:basedOn w:val="Normal"/>
    <w:uiPriority w:val="99"/>
    <w:rsid w:val="00D31409"/>
    <w:pPr>
      <w:numPr>
        <w:numId w:val="10"/>
      </w:numPr>
      <w:spacing w:before="0"/>
    </w:pPr>
    <w:rPr>
      <w:rFonts w:ascii="Times New Roman" w:hAnsi="Times New Roman"/>
      <w:sz w:val="20"/>
      <w:szCs w:val="20"/>
      <w:lang w:val="en-AU" w:eastAsia="en-US"/>
    </w:rPr>
  </w:style>
  <w:style w:type="character" w:customStyle="1" w:styleId="BulletChar">
    <w:name w:val="Bullet Char"/>
    <w:link w:val="Bullet"/>
    <w:uiPriority w:val="99"/>
    <w:locked/>
    <w:rsid w:val="00D31409"/>
    <w:rPr>
      <w:rFonts w:ascii="Arial" w:hAnsi="Arial"/>
      <w:sz w:val="22"/>
      <w:szCs w:val="22"/>
      <w:lang w:eastAsia="en-GB"/>
    </w:rPr>
  </w:style>
  <w:style w:type="character" w:customStyle="1" w:styleId="Heading3Char">
    <w:name w:val="Heading 3 Char"/>
    <w:basedOn w:val="DefaultParagraphFont"/>
    <w:link w:val="Heading3"/>
    <w:uiPriority w:val="99"/>
    <w:rsid w:val="00D31409"/>
    <w:rPr>
      <w:rFonts w:ascii="Arial" w:hAnsi="Arial"/>
      <w:b/>
      <w:i/>
      <w:sz w:val="24"/>
      <w:szCs w:val="24"/>
      <w:lang w:eastAsia="en-GB"/>
    </w:rPr>
  </w:style>
  <w:style w:type="paragraph" w:styleId="ListParagraph">
    <w:name w:val="List Paragraph"/>
    <w:basedOn w:val="Normal"/>
    <w:uiPriority w:val="34"/>
    <w:qFormat/>
    <w:rsid w:val="00390442"/>
    <w:pPr>
      <w:ind w:left="720"/>
      <w:contextualSpacing/>
    </w:pPr>
  </w:style>
  <w:style w:type="table" w:styleId="MediumShading1-Accent3">
    <w:name w:val="Medium Shading 1 Accent 3"/>
    <w:basedOn w:val="TableNormal"/>
    <w:uiPriority w:val="63"/>
    <w:rsid w:val="00390442"/>
    <w:rPr>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unhideWhenUsed/>
    <w:rsid w:val="00F2473C"/>
    <w:pPr>
      <w:spacing w:before="0"/>
      <w:ind w:left="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rsid w:val="00F2473C"/>
    <w:rPr>
      <w:rFonts w:ascii="Tahoma" w:eastAsiaTheme="minorHAnsi" w:hAnsi="Tahoma" w:cs="Tahoma"/>
      <w:sz w:val="16"/>
      <w:szCs w:val="16"/>
      <w:lang w:eastAsia="en-US"/>
    </w:rPr>
  </w:style>
  <w:style w:type="character" w:customStyle="1" w:styleId="Heading2Char1">
    <w:name w:val="Heading 2 Char1"/>
    <w:rsid w:val="00F2473C"/>
    <w:rPr>
      <w:rFonts w:ascii="Arial" w:hAnsi="Arial"/>
      <w:b/>
      <w:sz w:val="28"/>
      <w:szCs w:val="28"/>
      <w:lang w:eastAsia="en-GB"/>
    </w:rPr>
  </w:style>
  <w:style w:type="paragraph" w:customStyle="1" w:styleId="Default">
    <w:name w:val="Default"/>
    <w:rsid w:val="008B5237"/>
    <w:pPr>
      <w:autoSpaceDE w:val="0"/>
      <w:autoSpaceDN w:val="0"/>
      <w:adjustRightInd w:val="0"/>
    </w:pPr>
    <w:rPr>
      <w:rFonts w:ascii="Arial" w:eastAsiaTheme="minorHAnsi" w:hAnsi="Arial" w:cs="Arial"/>
      <w:color w:val="000000"/>
      <w:lang w:eastAsia="en-US"/>
    </w:rPr>
  </w:style>
  <w:style w:type="character" w:customStyle="1" w:styleId="Heading4Char">
    <w:name w:val="Heading 4 Char"/>
    <w:aliases w:val="List of figures Char"/>
    <w:basedOn w:val="DefaultParagraphFont"/>
    <w:link w:val="Heading4"/>
    <w:rsid w:val="00B81A8B"/>
    <w:rPr>
      <w:rFonts w:ascii="Arial" w:hAnsi="Arial"/>
      <w:b/>
      <w:sz w:val="22"/>
      <w:szCs w:val="22"/>
      <w:lang w:eastAsia="en-GB"/>
    </w:rPr>
  </w:style>
  <w:style w:type="table" w:styleId="TableGrid">
    <w:name w:val="Table Grid"/>
    <w:basedOn w:val="TableNormal"/>
    <w:uiPriority w:val="59"/>
    <w:rsid w:val="0041236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412364"/>
    <w:pPr>
      <w:spacing w:before="120" w:after="120"/>
    </w:pPr>
    <w:rPr>
      <w:rFonts w:cs="Arial"/>
      <w:b/>
      <w:sz w:val="20"/>
    </w:rPr>
  </w:style>
  <w:style w:type="character" w:customStyle="1" w:styleId="QuoteChar">
    <w:name w:val="Quote Char"/>
    <w:basedOn w:val="DefaultParagraphFont"/>
    <w:link w:val="Quote"/>
    <w:rsid w:val="00830E42"/>
    <w:rPr>
      <w:rFonts w:ascii="Arial" w:hAnsi="Arial"/>
      <w:i/>
      <w:sz w:val="22"/>
      <w:szCs w:val="22"/>
      <w:lang w:eastAsia="en-GB"/>
    </w:rPr>
  </w:style>
  <w:style w:type="paragraph" w:customStyle="1" w:styleId="Pa40">
    <w:name w:val="Pa40"/>
    <w:basedOn w:val="Default"/>
    <w:next w:val="Default"/>
    <w:uiPriority w:val="99"/>
    <w:rsid w:val="009B1472"/>
    <w:pPr>
      <w:spacing w:line="221" w:lineRule="atLeast"/>
    </w:pPr>
    <w:rPr>
      <w:rFonts w:eastAsia="Times New Roman"/>
      <w:color w:val="auto"/>
      <w:lang w:eastAsia="en-NZ"/>
    </w:rPr>
  </w:style>
  <w:style w:type="character" w:customStyle="1" w:styleId="A20">
    <w:name w:val="A20"/>
    <w:uiPriority w:val="99"/>
    <w:rsid w:val="009B1472"/>
    <w:rPr>
      <w:color w:val="000000"/>
      <w:sz w:val="16"/>
      <w:szCs w:val="16"/>
    </w:rPr>
  </w:style>
  <w:style w:type="character" w:customStyle="1" w:styleId="st">
    <w:name w:val="st"/>
    <w:basedOn w:val="DefaultParagraphFont"/>
    <w:rsid w:val="00941810"/>
  </w:style>
  <w:style w:type="character" w:styleId="CommentReference">
    <w:name w:val="annotation reference"/>
    <w:basedOn w:val="DefaultParagraphFont"/>
    <w:uiPriority w:val="99"/>
    <w:semiHidden/>
    <w:unhideWhenUsed/>
    <w:rsid w:val="00127BDC"/>
    <w:rPr>
      <w:sz w:val="18"/>
      <w:szCs w:val="18"/>
    </w:rPr>
  </w:style>
  <w:style w:type="paragraph" w:styleId="CommentText">
    <w:name w:val="annotation text"/>
    <w:basedOn w:val="Normal"/>
    <w:link w:val="CommentTextChar"/>
    <w:uiPriority w:val="99"/>
    <w:semiHidden/>
    <w:unhideWhenUsed/>
    <w:rsid w:val="00127BDC"/>
    <w:rPr>
      <w:sz w:val="24"/>
      <w:szCs w:val="24"/>
    </w:rPr>
  </w:style>
  <w:style w:type="character" w:customStyle="1" w:styleId="CommentTextChar">
    <w:name w:val="Comment Text Char"/>
    <w:basedOn w:val="DefaultParagraphFont"/>
    <w:link w:val="CommentText"/>
    <w:uiPriority w:val="99"/>
    <w:semiHidden/>
    <w:rsid w:val="00127BDC"/>
    <w:rPr>
      <w:rFonts w:ascii="Arial" w:hAnsi="Arial"/>
      <w:sz w:val="24"/>
      <w:szCs w:val="24"/>
      <w:lang w:eastAsia="en-GB"/>
    </w:rPr>
  </w:style>
  <w:style w:type="paragraph" w:styleId="CommentSubject">
    <w:name w:val="annotation subject"/>
    <w:basedOn w:val="CommentText"/>
    <w:next w:val="CommentText"/>
    <w:link w:val="CommentSubjectChar"/>
    <w:uiPriority w:val="99"/>
    <w:semiHidden/>
    <w:unhideWhenUsed/>
    <w:rsid w:val="00127BDC"/>
    <w:rPr>
      <w:b/>
      <w:bCs/>
      <w:sz w:val="20"/>
      <w:szCs w:val="20"/>
    </w:rPr>
  </w:style>
  <w:style w:type="character" w:customStyle="1" w:styleId="CommentSubjectChar">
    <w:name w:val="Comment Subject Char"/>
    <w:basedOn w:val="CommentTextChar"/>
    <w:link w:val="CommentSubject"/>
    <w:uiPriority w:val="99"/>
    <w:semiHidden/>
    <w:rsid w:val="00127BDC"/>
    <w:rPr>
      <w:rFonts w:ascii="Arial" w:hAnsi="Arial"/>
      <w:b/>
      <w:bCs/>
      <w:sz w:val="24"/>
      <w:szCs w:val="24"/>
      <w:lang w:eastAsia="en-GB"/>
    </w:rPr>
  </w:style>
  <w:style w:type="paragraph" w:styleId="DocumentMap">
    <w:name w:val="Document Map"/>
    <w:basedOn w:val="Normal"/>
    <w:link w:val="DocumentMapChar"/>
    <w:uiPriority w:val="99"/>
    <w:semiHidden/>
    <w:unhideWhenUsed/>
    <w:rsid w:val="00D362BF"/>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362BF"/>
    <w:rPr>
      <w:rFonts w:ascii="Lucida Grande" w:hAnsi="Lucida Grande" w:cs="Lucida Grande"/>
      <w:sz w:val="24"/>
      <w:szCs w:val="24"/>
      <w:lang w:eastAsia="en-GB"/>
    </w:rPr>
  </w:style>
  <w:style w:type="paragraph" w:styleId="Revision">
    <w:name w:val="Revision"/>
    <w:hidden/>
    <w:uiPriority w:val="99"/>
    <w:semiHidden/>
    <w:rsid w:val="00A3302D"/>
    <w:rPr>
      <w:rFonts w:ascii="Arial" w:hAnsi="Arial"/>
      <w:sz w:val="22"/>
      <w:szCs w:val="22"/>
      <w:lang w:eastAsia="en-GB"/>
    </w:rPr>
  </w:style>
  <w:style w:type="character" w:customStyle="1" w:styleId="Heading5Char">
    <w:name w:val="Heading 5 Char"/>
    <w:basedOn w:val="DefaultParagraphFont"/>
    <w:link w:val="Heading5"/>
    <w:rsid w:val="00C37C0C"/>
    <w:rPr>
      <w:rFonts w:ascii="Arial" w:hAnsi="Arial"/>
      <w:b/>
      <w:i/>
      <w:sz w:val="22"/>
      <w:szCs w:val="22"/>
      <w:lang w:eastAsia="en-GB"/>
    </w:rPr>
  </w:style>
  <w:style w:type="paragraph" w:customStyle="1" w:styleId="UnnumtextBodytext">
    <w:name w:val="Unnum text: Body text"/>
    <w:basedOn w:val="Normal"/>
    <w:qFormat/>
    <w:rsid w:val="00EA3BEB"/>
    <w:pPr>
      <w:spacing w:before="0" w:after="170" w:line="260" w:lineRule="atLeast"/>
      <w:ind w:left="0"/>
    </w:pPr>
    <w:rPr>
      <w:rFonts w:ascii="Garamond" w:hAnsi="Garamond"/>
      <w:szCs w:val="20"/>
      <w:lang w:eastAsia="en-US"/>
    </w:rPr>
  </w:style>
  <w:style w:type="paragraph" w:customStyle="1" w:styleId="NumtextIndent1">
    <w:name w:val="Num text:  Indent 1"/>
    <w:basedOn w:val="Normal"/>
    <w:rsid w:val="00EA3BEB"/>
    <w:pPr>
      <w:numPr>
        <w:numId w:val="19"/>
      </w:numPr>
      <w:spacing w:before="0" w:after="170" w:line="260" w:lineRule="atLeast"/>
    </w:pPr>
    <w:rPr>
      <w:rFonts w:ascii="Garamond" w:hAnsi="Garamond"/>
      <w:szCs w:val="20"/>
      <w:lang w:eastAsia="en-US"/>
    </w:rPr>
  </w:style>
  <w:style w:type="table" w:customStyle="1" w:styleId="TableSapereGrid">
    <w:name w:val="Table Sapere Grid"/>
    <w:basedOn w:val="TableGrid"/>
    <w:rsid w:val="00381C3F"/>
    <w:rPr>
      <w:rFonts w:ascii="Garamond" w:eastAsia="Times New Roman" w:hAnsi="Garamond" w:cs="Times New Roman"/>
      <w:szCs w:val="20"/>
      <w:lang w:val="en-US"/>
    </w:rPr>
    <w:tblPr>
      <w:tblInd w:w="0" w:type="dxa"/>
      <w:tblBorders>
        <w:top w:val="single" w:sz="4" w:space="0" w:color="7B5E05"/>
        <w:bottom w:val="single" w:sz="4" w:space="0" w:color="7B5E05"/>
        <w:insideH w:val="single" w:sz="4" w:space="0" w:color="7B5E05"/>
        <w:insideV w:val="single" w:sz="4" w:space="0" w:color="7B5E05"/>
      </w:tblBorders>
      <w:tblCellMar>
        <w:top w:w="113" w:type="dxa"/>
        <w:left w:w="108" w:type="dxa"/>
        <w:bottom w:w="113" w:type="dxa"/>
        <w:right w:w="108" w:type="dxa"/>
      </w:tblCellMar>
    </w:tblPr>
    <w:tblStylePr w:type="firstRow">
      <w:tblPr/>
      <w:trPr>
        <w:tblHeader/>
      </w:trPr>
      <w:tcPr>
        <w:tcBorders>
          <w:top w:val="single" w:sz="4" w:space="0" w:color="7B5E05"/>
          <w:left w:val="single" w:sz="4" w:space="0" w:color="7B5E05"/>
          <w:bottom w:val="nil"/>
          <w:right w:val="single" w:sz="4" w:space="0" w:color="7B5E05"/>
          <w:insideH w:val="nil"/>
          <w:insideV w:val="single" w:sz="4" w:space="0" w:color="FFFFFF"/>
          <w:tl2br w:val="nil"/>
          <w:tr2bl w:val="nil"/>
        </w:tcBorders>
        <w:shd w:val="clear" w:color="auto" w:fill="7B5E05"/>
        <w:tcMar>
          <w:top w:w="113" w:type="dxa"/>
          <w:left w:w="0" w:type="nil"/>
          <w:bottom w:w="142" w:type="dxa"/>
          <w:right w:w="0" w:type="nil"/>
        </w:tcMar>
        <w:vAlign w:val="center"/>
      </w:tcPr>
    </w:tblStylePr>
  </w:style>
  <w:style w:type="paragraph" w:customStyle="1" w:styleId="Table-bodytext">
    <w:name w:val="Table - body text"/>
    <w:basedOn w:val="Normal"/>
    <w:rsid w:val="00EA3BEB"/>
    <w:pPr>
      <w:spacing w:before="0" w:after="120" w:line="190" w:lineRule="atLeast"/>
      <w:ind w:left="0"/>
    </w:pPr>
    <w:rPr>
      <w:rFonts w:ascii="Garamond" w:hAnsi="Garamond"/>
      <w:szCs w:val="20"/>
      <w:lang w:eastAsia="en-US"/>
    </w:rPr>
  </w:style>
  <w:style w:type="character" w:customStyle="1" w:styleId="FooterChar">
    <w:name w:val="Footer Char"/>
    <w:basedOn w:val="DefaultParagraphFont"/>
    <w:link w:val="Footer"/>
    <w:uiPriority w:val="99"/>
    <w:rsid w:val="00147DCD"/>
    <w:rPr>
      <w:rFonts w:ascii="Arial" w:hAnsi="Arial"/>
      <w:spacing w:val="40"/>
      <w:sz w:val="16"/>
      <w:szCs w:val="16"/>
      <w:lang w:eastAsia="en-GB"/>
    </w:rPr>
  </w:style>
  <w:style w:type="paragraph" w:styleId="Caption">
    <w:name w:val="caption"/>
    <w:basedOn w:val="Normal"/>
    <w:next w:val="Normal"/>
    <w:uiPriority w:val="35"/>
    <w:unhideWhenUsed/>
    <w:qFormat/>
    <w:rsid w:val="00147DCD"/>
    <w:pPr>
      <w:spacing w:before="0" w:after="200"/>
      <w:ind w:left="0"/>
    </w:pPr>
    <w:rPr>
      <w:rFonts w:asciiTheme="minorHAnsi" w:eastAsiaTheme="minorHAnsi" w:hAnsiTheme="minorHAnsi" w:cstheme="minorBidi"/>
      <w:i/>
      <w:iCs/>
      <w:color w:val="1F497D" w:themeColor="text2"/>
      <w:sz w:val="18"/>
      <w:szCs w:val="18"/>
      <w:lang w:eastAsia="en-US"/>
    </w:rPr>
  </w:style>
  <w:style w:type="paragraph" w:customStyle="1" w:styleId="Table-headingrow1">
    <w:name w:val="Table - heading (row 1)"/>
    <w:basedOn w:val="Normal"/>
    <w:rsid w:val="00962C7E"/>
    <w:pPr>
      <w:spacing w:before="0" w:line="260" w:lineRule="atLeast"/>
      <w:ind w:left="0"/>
    </w:pPr>
    <w:rPr>
      <w:rFonts w:ascii="Garamond" w:hAnsi="Garamond"/>
      <w:b/>
      <w:color w:val="FFFFFF"/>
      <w:szCs w:val="20"/>
      <w:lang w:eastAsia="en-US"/>
    </w:rPr>
  </w:style>
  <w:style w:type="paragraph" w:styleId="NormalWeb">
    <w:name w:val="Normal (Web)"/>
    <w:basedOn w:val="Normal"/>
    <w:uiPriority w:val="99"/>
    <w:unhideWhenUsed/>
    <w:rsid w:val="00F0707A"/>
    <w:pPr>
      <w:spacing w:before="0"/>
      <w:ind w:left="0"/>
    </w:pPr>
    <w:rPr>
      <w:rFonts w:ascii="Times New Roman" w:eastAsiaTheme="minorHAnsi" w:hAnsi="Times New Roman"/>
      <w:sz w:val="24"/>
      <w:szCs w:val="24"/>
      <w:lang w:eastAsia="en-NZ"/>
    </w:rPr>
  </w:style>
  <w:style w:type="character" w:styleId="Emphasis">
    <w:name w:val="Emphasis"/>
    <w:basedOn w:val="DefaultParagraphFont"/>
    <w:uiPriority w:val="20"/>
    <w:qFormat/>
    <w:rsid w:val="000E11AD"/>
    <w:rPr>
      <w:b/>
      <w:bCs/>
      <w:i w:val="0"/>
      <w:iCs w:val="0"/>
    </w:rPr>
  </w:style>
  <w:style w:type="character" w:customStyle="1" w:styleId="st1">
    <w:name w:val="st1"/>
    <w:basedOn w:val="DefaultParagraphFont"/>
    <w:rsid w:val="000E11AD"/>
  </w:style>
  <w:style w:type="character" w:customStyle="1" w:styleId="A3">
    <w:name w:val="A3"/>
    <w:uiPriority w:val="99"/>
    <w:rsid w:val="006C314B"/>
    <w:rPr>
      <w:rFonts w:cs="Gotham Rounded Light"/>
      <w:color w:val="000000"/>
      <w:sz w:val="20"/>
      <w:szCs w:val="20"/>
    </w:rPr>
  </w:style>
  <w:style w:type="character" w:customStyle="1" w:styleId="A2">
    <w:name w:val="A2"/>
    <w:uiPriority w:val="99"/>
    <w:rsid w:val="006C314B"/>
    <w:rPr>
      <w:rFonts w:cs="Gotham Rounded Light"/>
      <w:color w:val="000000"/>
      <w:sz w:val="20"/>
      <w:szCs w:val="20"/>
    </w:rPr>
  </w:style>
  <w:style w:type="paragraph" w:customStyle="1" w:styleId="Pa7">
    <w:name w:val="Pa7"/>
    <w:basedOn w:val="Default"/>
    <w:next w:val="Default"/>
    <w:uiPriority w:val="99"/>
    <w:rsid w:val="006C314B"/>
    <w:pPr>
      <w:spacing w:line="241" w:lineRule="atLeast"/>
    </w:pPr>
    <w:rPr>
      <w:rFonts w:ascii="Gotham Rounded Light" w:eastAsia="Times New Roman" w:hAnsi="Gotham Rounded Light" w:cs="Times New Roman"/>
      <w:color w:val="auto"/>
      <w:lang w:eastAsia="en-NZ"/>
    </w:rPr>
  </w:style>
  <w:style w:type="character" w:customStyle="1" w:styleId="A7">
    <w:name w:val="A7"/>
    <w:uiPriority w:val="99"/>
    <w:rsid w:val="006C314B"/>
    <w:rPr>
      <w:rFonts w:ascii="Gotham Rounded Bold" w:hAnsi="Gotham Rounded Bold" w:cs="Gotham Rounded Bold"/>
      <w:color w:val="00000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4041">
      <w:bodyDiv w:val="1"/>
      <w:marLeft w:val="0"/>
      <w:marRight w:val="0"/>
      <w:marTop w:val="0"/>
      <w:marBottom w:val="0"/>
      <w:divBdr>
        <w:top w:val="none" w:sz="0" w:space="0" w:color="auto"/>
        <w:left w:val="none" w:sz="0" w:space="0" w:color="auto"/>
        <w:bottom w:val="none" w:sz="0" w:space="0" w:color="auto"/>
        <w:right w:val="none" w:sz="0" w:space="0" w:color="auto"/>
      </w:divBdr>
    </w:div>
    <w:div w:id="22823570">
      <w:bodyDiv w:val="1"/>
      <w:marLeft w:val="0"/>
      <w:marRight w:val="0"/>
      <w:marTop w:val="0"/>
      <w:marBottom w:val="0"/>
      <w:divBdr>
        <w:top w:val="none" w:sz="0" w:space="0" w:color="auto"/>
        <w:left w:val="none" w:sz="0" w:space="0" w:color="auto"/>
        <w:bottom w:val="none" w:sz="0" w:space="0" w:color="auto"/>
        <w:right w:val="none" w:sz="0" w:space="0" w:color="auto"/>
      </w:divBdr>
    </w:div>
    <w:div w:id="39911495">
      <w:bodyDiv w:val="1"/>
      <w:marLeft w:val="0"/>
      <w:marRight w:val="0"/>
      <w:marTop w:val="0"/>
      <w:marBottom w:val="0"/>
      <w:divBdr>
        <w:top w:val="none" w:sz="0" w:space="0" w:color="auto"/>
        <w:left w:val="none" w:sz="0" w:space="0" w:color="auto"/>
        <w:bottom w:val="none" w:sz="0" w:space="0" w:color="auto"/>
        <w:right w:val="none" w:sz="0" w:space="0" w:color="auto"/>
      </w:divBdr>
    </w:div>
    <w:div w:id="48237015">
      <w:bodyDiv w:val="1"/>
      <w:marLeft w:val="0"/>
      <w:marRight w:val="0"/>
      <w:marTop w:val="0"/>
      <w:marBottom w:val="0"/>
      <w:divBdr>
        <w:top w:val="none" w:sz="0" w:space="0" w:color="auto"/>
        <w:left w:val="none" w:sz="0" w:space="0" w:color="auto"/>
        <w:bottom w:val="none" w:sz="0" w:space="0" w:color="auto"/>
        <w:right w:val="none" w:sz="0" w:space="0" w:color="auto"/>
      </w:divBdr>
    </w:div>
    <w:div w:id="108739502">
      <w:bodyDiv w:val="1"/>
      <w:marLeft w:val="0"/>
      <w:marRight w:val="0"/>
      <w:marTop w:val="0"/>
      <w:marBottom w:val="0"/>
      <w:divBdr>
        <w:top w:val="none" w:sz="0" w:space="0" w:color="auto"/>
        <w:left w:val="none" w:sz="0" w:space="0" w:color="auto"/>
        <w:bottom w:val="none" w:sz="0" w:space="0" w:color="auto"/>
        <w:right w:val="none" w:sz="0" w:space="0" w:color="auto"/>
      </w:divBdr>
    </w:div>
    <w:div w:id="171604813">
      <w:bodyDiv w:val="1"/>
      <w:marLeft w:val="0"/>
      <w:marRight w:val="0"/>
      <w:marTop w:val="0"/>
      <w:marBottom w:val="0"/>
      <w:divBdr>
        <w:top w:val="none" w:sz="0" w:space="0" w:color="auto"/>
        <w:left w:val="none" w:sz="0" w:space="0" w:color="auto"/>
        <w:bottom w:val="none" w:sz="0" w:space="0" w:color="auto"/>
        <w:right w:val="none" w:sz="0" w:space="0" w:color="auto"/>
      </w:divBdr>
    </w:div>
    <w:div w:id="185412099">
      <w:bodyDiv w:val="1"/>
      <w:marLeft w:val="0"/>
      <w:marRight w:val="0"/>
      <w:marTop w:val="0"/>
      <w:marBottom w:val="0"/>
      <w:divBdr>
        <w:top w:val="none" w:sz="0" w:space="0" w:color="auto"/>
        <w:left w:val="none" w:sz="0" w:space="0" w:color="auto"/>
        <w:bottom w:val="none" w:sz="0" w:space="0" w:color="auto"/>
        <w:right w:val="none" w:sz="0" w:space="0" w:color="auto"/>
      </w:divBdr>
    </w:div>
    <w:div w:id="199170799">
      <w:bodyDiv w:val="1"/>
      <w:marLeft w:val="0"/>
      <w:marRight w:val="0"/>
      <w:marTop w:val="0"/>
      <w:marBottom w:val="0"/>
      <w:divBdr>
        <w:top w:val="none" w:sz="0" w:space="0" w:color="auto"/>
        <w:left w:val="none" w:sz="0" w:space="0" w:color="auto"/>
        <w:bottom w:val="none" w:sz="0" w:space="0" w:color="auto"/>
        <w:right w:val="none" w:sz="0" w:space="0" w:color="auto"/>
      </w:divBdr>
    </w:div>
    <w:div w:id="238103588">
      <w:bodyDiv w:val="1"/>
      <w:marLeft w:val="0"/>
      <w:marRight w:val="0"/>
      <w:marTop w:val="0"/>
      <w:marBottom w:val="0"/>
      <w:divBdr>
        <w:top w:val="none" w:sz="0" w:space="0" w:color="auto"/>
        <w:left w:val="none" w:sz="0" w:space="0" w:color="auto"/>
        <w:bottom w:val="none" w:sz="0" w:space="0" w:color="auto"/>
        <w:right w:val="none" w:sz="0" w:space="0" w:color="auto"/>
      </w:divBdr>
    </w:div>
    <w:div w:id="391120035">
      <w:bodyDiv w:val="1"/>
      <w:marLeft w:val="0"/>
      <w:marRight w:val="0"/>
      <w:marTop w:val="0"/>
      <w:marBottom w:val="0"/>
      <w:divBdr>
        <w:top w:val="none" w:sz="0" w:space="0" w:color="auto"/>
        <w:left w:val="none" w:sz="0" w:space="0" w:color="auto"/>
        <w:bottom w:val="none" w:sz="0" w:space="0" w:color="auto"/>
        <w:right w:val="none" w:sz="0" w:space="0" w:color="auto"/>
      </w:divBdr>
    </w:div>
    <w:div w:id="395008604">
      <w:bodyDiv w:val="1"/>
      <w:marLeft w:val="0"/>
      <w:marRight w:val="0"/>
      <w:marTop w:val="0"/>
      <w:marBottom w:val="0"/>
      <w:divBdr>
        <w:top w:val="none" w:sz="0" w:space="0" w:color="auto"/>
        <w:left w:val="none" w:sz="0" w:space="0" w:color="auto"/>
        <w:bottom w:val="none" w:sz="0" w:space="0" w:color="auto"/>
        <w:right w:val="none" w:sz="0" w:space="0" w:color="auto"/>
      </w:divBdr>
    </w:div>
    <w:div w:id="401753403">
      <w:bodyDiv w:val="1"/>
      <w:marLeft w:val="0"/>
      <w:marRight w:val="0"/>
      <w:marTop w:val="0"/>
      <w:marBottom w:val="0"/>
      <w:divBdr>
        <w:top w:val="none" w:sz="0" w:space="0" w:color="auto"/>
        <w:left w:val="none" w:sz="0" w:space="0" w:color="auto"/>
        <w:bottom w:val="none" w:sz="0" w:space="0" w:color="auto"/>
        <w:right w:val="none" w:sz="0" w:space="0" w:color="auto"/>
      </w:divBdr>
    </w:div>
    <w:div w:id="409087677">
      <w:bodyDiv w:val="1"/>
      <w:marLeft w:val="0"/>
      <w:marRight w:val="0"/>
      <w:marTop w:val="0"/>
      <w:marBottom w:val="0"/>
      <w:divBdr>
        <w:top w:val="none" w:sz="0" w:space="0" w:color="auto"/>
        <w:left w:val="none" w:sz="0" w:space="0" w:color="auto"/>
        <w:bottom w:val="none" w:sz="0" w:space="0" w:color="auto"/>
        <w:right w:val="none" w:sz="0" w:space="0" w:color="auto"/>
      </w:divBdr>
    </w:div>
    <w:div w:id="427314096">
      <w:bodyDiv w:val="1"/>
      <w:marLeft w:val="0"/>
      <w:marRight w:val="0"/>
      <w:marTop w:val="0"/>
      <w:marBottom w:val="0"/>
      <w:divBdr>
        <w:top w:val="none" w:sz="0" w:space="0" w:color="auto"/>
        <w:left w:val="none" w:sz="0" w:space="0" w:color="auto"/>
        <w:bottom w:val="none" w:sz="0" w:space="0" w:color="auto"/>
        <w:right w:val="none" w:sz="0" w:space="0" w:color="auto"/>
      </w:divBdr>
    </w:div>
    <w:div w:id="464204461">
      <w:bodyDiv w:val="1"/>
      <w:marLeft w:val="0"/>
      <w:marRight w:val="0"/>
      <w:marTop w:val="0"/>
      <w:marBottom w:val="0"/>
      <w:divBdr>
        <w:top w:val="none" w:sz="0" w:space="0" w:color="auto"/>
        <w:left w:val="none" w:sz="0" w:space="0" w:color="auto"/>
        <w:bottom w:val="none" w:sz="0" w:space="0" w:color="auto"/>
        <w:right w:val="none" w:sz="0" w:space="0" w:color="auto"/>
      </w:divBdr>
    </w:div>
    <w:div w:id="477919483">
      <w:bodyDiv w:val="1"/>
      <w:marLeft w:val="0"/>
      <w:marRight w:val="0"/>
      <w:marTop w:val="0"/>
      <w:marBottom w:val="0"/>
      <w:divBdr>
        <w:top w:val="none" w:sz="0" w:space="0" w:color="auto"/>
        <w:left w:val="none" w:sz="0" w:space="0" w:color="auto"/>
        <w:bottom w:val="none" w:sz="0" w:space="0" w:color="auto"/>
        <w:right w:val="none" w:sz="0" w:space="0" w:color="auto"/>
      </w:divBdr>
    </w:div>
    <w:div w:id="492843893">
      <w:bodyDiv w:val="1"/>
      <w:marLeft w:val="0"/>
      <w:marRight w:val="0"/>
      <w:marTop w:val="0"/>
      <w:marBottom w:val="0"/>
      <w:divBdr>
        <w:top w:val="none" w:sz="0" w:space="0" w:color="auto"/>
        <w:left w:val="none" w:sz="0" w:space="0" w:color="auto"/>
        <w:bottom w:val="none" w:sz="0" w:space="0" w:color="auto"/>
        <w:right w:val="none" w:sz="0" w:space="0" w:color="auto"/>
      </w:divBdr>
    </w:div>
    <w:div w:id="548952239">
      <w:bodyDiv w:val="1"/>
      <w:marLeft w:val="0"/>
      <w:marRight w:val="0"/>
      <w:marTop w:val="0"/>
      <w:marBottom w:val="0"/>
      <w:divBdr>
        <w:top w:val="none" w:sz="0" w:space="0" w:color="auto"/>
        <w:left w:val="none" w:sz="0" w:space="0" w:color="auto"/>
        <w:bottom w:val="none" w:sz="0" w:space="0" w:color="auto"/>
        <w:right w:val="none" w:sz="0" w:space="0" w:color="auto"/>
      </w:divBdr>
    </w:div>
    <w:div w:id="614674862">
      <w:bodyDiv w:val="1"/>
      <w:marLeft w:val="0"/>
      <w:marRight w:val="0"/>
      <w:marTop w:val="0"/>
      <w:marBottom w:val="0"/>
      <w:divBdr>
        <w:top w:val="none" w:sz="0" w:space="0" w:color="auto"/>
        <w:left w:val="none" w:sz="0" w:space="0" w:color="auto"/>
        <w:bottom w:val="none" w:sz="0" w:space="0" w:color="auto"/>
        <w:right w:val="none" w:sz="0" w:space="0" w:color="auto"/>
      </w:divBdr>
    </w:div>
    <w:div w:id="651448602">
      <w:bodyDiv w:val="1"/>
      <w:marLeft w:val="0"/>
      <w:marRight w:val="0"/>
      <w:marTop w:val="0"/>
      <w:marBottom w:val="0"/>
      <w:divBdr>
        <w:top w:val="none" w:sz="0" w:space="0" w:color="auto"/>
        <w:left w:val="none" w:sz="0" w:space="0" w:color="auto"/>
        <w:bottom w:val="none" w:sz="0" w:space="0" w:color="auto"/>
        <w:right w:val="none" w:sz="0" w:space="0" w:color="auto"/>
      </w:divBdr>
    </w:div>
    <w:div w:id="666832611">
      <w:bodyDiv w:val="1"/>
      <w:marLeft w:val="0"/>
      <w:marRight w:val="0"/>
      <w:marTop w:val="0"/>
      <w:marBottom w:val="0"/>
      <w:divBdr>
        <w:top w:val="none" w:sz="0" w:space="0" w:color="auto"/>
        <w:left w:val="none" w:sz="0" w:space="0" w:color="auto"/>
        <w:bottom w:val="none" w:sz="0" w:space="0" w:color="auto"/>
        <w:right w:val="none" w:sz="0" w:space="0" w:color="auto"/>
      </w:divBdr>
    </w:div>
    <w:div w:id="715931244">
      <w:bodyDiv w:val="1"/>
      <w:marLeft w:val="0"/>
      <w:marRight w:val="0"/>
      <w:marTop w:val="0"/>
      <w:marBottom w:val="0"/>
      <w:divBdr>
        <w:top w:val="none" w:sz="0" w:space="0" w:color="auto"/>
        <w:left w:val="none" w:sz="0" w:space="0" w:color="auto"/>
        <w:bottom w:val="none" w:sz="0" w:space="0" w:color="auto"/>
        <w:right w:val="none" w:sz="0" w:space="0" w:color="auto"/>
      </w:divBdr>
    </w:div>
    <w:div w:id="824129797">
      <w:bodyDiv w:val="1"/>
      <w:marLeft w:val="0"/>
      <w:marRight w:val="0"/>
      <w:marTop w:val="0"/>
      <w:marBottom w:val="0"/>
      <w:divBdr>
        <w:top w:val="none" w:sz="0" w:space="0" w:color="auto"/>
        <w:left w:val="none" w:sz="0" w:space="0" w:color="auto"/>
        <w:bottom w:val="none" w:sz="0" w:space="0" w:color="auto"/>
        <w:right w:val="none" w:sz="0" w:space="0" w:color="auto"/>
      </w:divBdr>
    </w:div>
    <w:div w:id="949161578">
      <w:bodyDiv w:val="1"/>
      <w:marLeft w:val="0"/>
      <w:marRight w:val="0"/>
      <w:marTop w:val="0"/>
      <w:marBottom w:val="0"/>
      <w:divBdr>
        <w:top w:val="none" w:sz="0" w:space="0" w:color="auto"/>
        <w:left w:val="none" w:sz="0" w:space="0" w:color="auto"/>
        <w:bottom w:val="none" w:sz="0" w:space="0" w:color="auto"/>
        <w:right w:val="none" w:sz="0" w:space="0" w:color="auto"/>
      </w:divBdr>
    </w:div>
    <w:div w:id="989165417">
      <w:bodyDiv w:val="1"/>
      <w:marLeft w:val="0"/>
      <w:marRight w:val="0"/>
      <w:marTop w:val="0"/>
      <w:marBottom w:val="0"/>
      <w:divBdr>
        <w:top w:val="none" w:sz="0" w:space="0" w:color="auto"/>
        <w:left w:val="none" w:sz="0" w:space="0" w:color="auto"/>
        <w:bottom w:val="none" w:sz="0" w:space="0" w:color="auto"/>
        <w:right w:val="none" w:sz="0" w:space="0" w:color="auto"/>
      </w:divBdr>
    </w:div>
    <w:div w:id="1000699356">
      <w:bodyDiv w:val="1"/>
      <w:marLeft w:val="0"/>
      <w:marRight w:val="0"/>
      <w:marTop w:val="0"/>
      <w:marBottom w:val="0"/>
      <w:divBdr>
        <w:top w:val="none" w:sz="0" w:space="0" w:color="auto"/>
        <w:left w:val="none" w:sz="0" w:space="0" w:color="auto"/>
        <w:bottom w:val="none" w:sz="0" w:space="0" w:color="auto"/>
        <w:right w:val="none" w:sz="0" w:space="0" w:color="auto"/>
      </w:divBdr>
    </w:div>
    <w:div w:id="1025711820">
      <w:bodyDiv w:val="1"/>
      <w:marLeft w:val="0"/>
      <w:marRight w:val="0"/>
      <w:marTop w:val="0"/>
      <w:marBottom w:val="0"/>
      <w:divBdr>
        <w:top w:val="none" w:sz="0" w:space="0" w:color="auto"/>
        <w:left w:val="none" w:sz="0" w:space="0" w:color="auto"/>
        <w:bottom w:val="none" w:sz="0" w:space="0" w:color="auto"/>
        <w:right w:val="none" w:sz="0" w:space="0" w:color="auto"/>
      </w:divBdr>
    </w:div>
    <w:div w:id="1065837208">
      <w:bodyDiv w:val="1"/>
      <w:marLeft w:val="0"/>
      <w:marRight w:val="0"/>
      <w:marTop w:val="0"/>
      <w:marBottom w:val="0"/>
      <w:divBdr>
        <w:top w:val="none" w:sz="0" w:space="0" w:color="auto"/>
        <w:left w:val="none" w:sz="0" w:space="0" w:color="auto"/>
        <w:bottom w:val="none" w:sz="0" w:space="0" w:color="auto"/>
        <w:right w:val="none" w:sz="0" w:space="0" w:color="auto"/>
      </w:divBdr>
    </w:div>
    <w:div w:id="1087337811">
      <w:bodyDiv w:val="1"/>
      <w:marLeft w:val="0"/>
      <w:marRight w:val="0"/>
      <w:marTop w:val="0"/>
      <w:marBottom w:val="0"/>
      <w:divBdr>
        <w:top w:val="none" w:sz="0" w:space="0" w:color="auto"/>
        <w:left w:val="none" w:sz="0" w:space="0" w:color="auto"/>
        <w:bottom w:val="none" w:sz="0" w:space="0" w:color="auto"/>
        <w:right w:val="none" w:sz="0" w:space="0" w:color="auto"/>
      </w:divBdr>
    </w:div>
    <w:div w:id="1152912187">
      <w:bodyDiv w:val="1"/>
      <w:marLeft w:val="0"/>
      <w:marRight w:val="0"/>
      <w:marTop w:val="0"/>
      <w:marBottom w:val="0"/>
      <w:divBdr>
        <w:top w:val="none" w:sz="0" w:space="0" w:color="auto"/>
        <w:left w:val="none" w:sz="0" w:space="0" w:color="auto"/>
        <w:bottom w:val="none" w:sz="0" w:space="0" w:color="auto"/>
        <w:right w:val="none" w:sz="0" w:space="0" w:color="auto"/>
      </w:divBdr>
    </w:div>
    <w:div w:id="1170173669">
      <w:bodyDiv w:val="1"/>
      <w:marLeft w:val="0"/>
      <w:marRight w:val="0"/>
      <w:marTop w:val="0"/>
      <w:marBottom w:val="0"/>
      <w:divBdr>
        <w:top w:val="none" w:sz="0" w:space="0" w:color="auto"/>
        <w:left w:val="none" w:sz="0" w:space="0" w:color="auto"/>
        <w:bottom w:val="none" w:sz="0" w:space="0" w:color="auto"/>
        <w:right w:val="none" w:sz="0" w:space="0" w:color="auto"/>
      </w:divBdr>
      <w:divsChild>
        <w:div w:id="158885437">
          <w:marLeft w:val="0"/>
          <w:marRight w:val="1"/>
          <w:marTop w:val="0"/>
          <w:marBottom w:val="0"/>
          <w:divBdr>
            <w:top w:val="none" w:sz="0" w:space="0" w:color="auto"/>
            <w:left w:val="none" w:sz="0" w:space="0" w:color="auto"/>
            <w:bottom w:val="none" w:sz="0" w:space="0" w:color="auto"/>
            <w:right w:val="none" w:sz="0" w:space="0" w:color="auto"/>
          </w:divBdr>
          <w:divsChild>
            <w:div w:id="177430375">
              <w:marLeft w:val="0"/>
              <w:marRight w:val="0"/>
              <w:marTop w:val="0"/>
              <w:marBottom w:val="0"/>
              <w:divBdr>
                <w:top w:val="none" w:sz="0" w:space="0" w:color="auto"/>
                <w:left w:val="none" w:sz="0" w:space="0" w:color="auto"/>
                <w:bottom w:val="none" w:sz="0" w:space="0" w:color="auto"/>
                <w:right w:val="none" w:sz="0" w:space="0" w:color="auto"/>
              </w:divBdr>
              <w:divsChild>
                <w:div w:id="1018238267">
                  <w:marLeft w:val="0"/>
                  <w:marRight w:val="1"/>
                  <w:marTop w:val="0"/>
                  <w:marBottom w:val="0"/>
                  <w:divBdr>
                    <w:top w:val="none" w:sz="0" w:space="0" w:color="auto"/>
                    <w:left w:val="none" w:sz="0" w:space="0" w:color="auto"/>
                    <w:bottom w:val="none" w:sz="0" w:space="0" w:color="auto"/>
                    <w:right w:val="none" w:sz="0" w:space="0" w:color="auto"/>
                  </w:divBdr>
                  <w:divsChild>
                    <w:div w:id="2019846803">
                      <w:marLeft w:val="0"/>
                      <w:marRight w:val="0"/>
                      <w:marTop w:val="0"/>
                      <w:marBottom w:val="0"/>
                      <w:divBdr>
                        <w:top w:val="none" w:sz="0" w:space="0" w:color="auto"/>
                        <w:left w:val="none" w:sz="0" w:space="0" w:color="auto"/>
                        <w:bottom w:val="none" w:sz="0" w:space="0" w:color="auto"/>
                        <w:right w:val="none" w:sz="0" w:space="0" w:color="auto"/>
                      </w:divBdr>
                      <w:divsChild>
                        <w:div w:id="796877040">
                          <w:marLeft w:val="0"/>
                          <w:marRight w:val="0"/>
                          <w:marTop w:val="0"/>
                          <w:marBottom w:val="0"/>
                          <w:divBdr>
                            <w:top w:val="none" w:sz="0" w:space="0" w:color="auto"/>
                            <w:left w:val="none" w:sz="0" w:space="0" w:color="auto"/>
                            <w:bottom w:val="none" w:sz="0" w:space="0" w:color="auto"/>
                            <w:right w:val="none" w:sz="0" w:space="0" w:color="auto"/>
                          </w:divBdr>
                          <w:divsChild>
                            <w:div w:id="1574195504">
                              <w:marLeft w:val="0"/>
                              <w:marRight w:val="0"/>
                              <w:marTop w:val="120"/>
                              <w:marBottom w:val="360"/>
                              <w:divBdr>
                                <w:top w:val="none" w:sz="0" w:space="0" w:color="auto"/>
                                <w:left w:val="none" w:sz="0" w:space="0" w:color="auto"/>
                                <w:bottom w:val="none" w:sz="0" w:space="0" w:color="auto"/>
                                <w:right w:val="none" w:sz="0" w:space="0" w:color="auto"/>
                              </w:divBdr>
                              <w:divsChild>
                                <w:div w:id="5914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954718">
      <w:bodyDiv w:val="1"/>
      <w:marLeft w:val="0"/>
      <w:marRight w:val="0"/>
      <w:marTop w:val="0"/>
      <w:marBottom w:val="0"/>
      <w:divBdr>
        <w:top w:val="none" w:sz="0" w:space="0" w:color="auto"/>
        <w:left w:val="none" w:sz="0" w:space="0" w:color="auto"/>
        <w:bottom w:val="none" w:sz="0" w:space="0" w:color="auto"/>
        <w:right w:val="none" w:sz="0" w:space="0" w:color="auto"/>
      </w:divBdr>
    </w:div>
    <w:div w:id="1280068276">
      <w:bodyDiv w:val="1"/>
      <w:marLeft w:val="0"/>
      <w:marRight w:val="0"/>
      <w:marTop w:val="0"/>
      <w:marBottom w:val="0"/>
      <w:divBdr>
        <w:top w:val="none" w:sz="0" w:space="0" w:color="auto"/>
        <w:left w:val="none" w:sz="0" w:space="0" w:color="auto"/>
        <w:bottom w:val="none" w:sz="0" w:space="0" w:color="auto"/>
        <w:right w:val="none" w:sz="0" w:space="0" w:color="auto"/>
      </w:divBdr>
    </w:div>
    <w:div w:id="1311639607">
      <w:bodyDiv w:val="1"/>
      <w:marLeft w:val="0"/>
      <w:marRight w:val="0"/>
      <w:marTop w:val="0"/>
      <w:marBottom w:val="0"/>
      <w:divBdr>
        <w:top w:val="none" w:sz="0" w:space="0" w:color="auto"/>
        <w:left w:val="none" w:sz="0" w:space="0" w:color="auto"/>
        <w:bottom w:val="none" w:sz="0" w:space="0" w:color="auto"/>
        <w:right w:val="none" w:sz="0" w:space="0" w:color="auto"/>
      </w:divBdr>
    </w:div>
    <w:div w:id="1317764108">
      <w:bodyDiv w:val="1"/>
      <w:marLeft w:val="0"/>
      <w:marRight w:val="0"/>
      <w:marTop w:val="0"/>
      <w:marBottom w:val="0"/>
      <w:divBdr>
        <w:top w:val="none" w:sz="0" w:space="0" w:color="auto"/>
        <w:left w:val="none" w:sz="0" w:space="0" w:color="auto"/>
        <w:bottom w:val="none" w:sz="0" w:space="0" w:color="auto"/>
        <w:right w:val="none" w:sz="0" w:space="0" w:color="auto"/>
      </w:divBdr>
    </w:div>
    <w:div w:id="1349217066">
      <w:bodyDiv w:val="1"/>
      <w:marLeft w:val="0"/>
      <w:marRight w:val="0"/>
      <w:marTop w:val="0"/>
      <w:marBottom w:val="0"/>
      <w:divBdr>
        <w:top w:val="none" w:sz="0" w:space="0" w:color="auto"/>
        <w:left w:val="none" w:sz="0" w:space="0" w:color="auto"/>
        <w:bottom w:val="none" w:sz="0" w:space="0" w:color="auto"/>
        <w:right w:val="none" w:sz="0" w:space="0" w:color="auto"/>
      </w:divBdr>
    </w:div>
    <w:div w:id="1351759766">
      <w:bodyDiv w:val="1"/>
      <w:marLeft w:val="0"/>
      <w:marRight w:val="0"/>
      <w:marTop w:val="0"/>
      <w:marBottom w:val="0"/>
      <w:divBdr>
        <w:top w:val="none" w:sz="0" w:space="0" w:color="auto"/>
        <w:left w:val="none" w:sz="0" w:space="0" w:color="auto"/>
        <w:bottom w:val="none" w:sz="0" w:space="0" w:color="auto"/>
        <w:right w:val="none" w:sz="0" w:space="0" w:color="auto"/>
      </w:divBdr>
    </w:div>
    <w:div w:id="1392194129">
      <w:bodyDiv w:val="1"/>
      <w:marLeft w:val="0"/>
      <w:marRight w:val="0"/>
      <w:marTop w:val="0"/>
      <w:marBottom w:val="0"/>
      <w:divBdr>
        <w:top w:val="none" w:sz="0" w:space="0" w:color="auto"/>
        <w:left w:val="none" w:sz="0" w:space="0" w:color="auto"/>
        <w:bottom w:val="none" w:sz="0" w:space="0" w:color="auto"/>
        <w:right w:val="none" w:sz="0" w:space="0" w:color="auto"/>
      </w:divBdr>
    </w:div>
    <w:div w:id="1438792025">
      <w:bodyDiv w:val="1"/>
      <w:marLeft w:val="0"/>
      <w:marRight w:val="0"/>
      <w:marTop w:val="0"/>
      <w:marBottom w:val="0"/>
      <w:divBdr>
        <w:top w:val="none" w:sz="0" w:space="0" w:color="auto"/>
        <w:left w:val="none" w:sz="0" w:space="0" w:color="auto"/>
        <w:bottom w:val="none" w:sz="0" w:space="0" w:color="auto"/>
        <w:right w:val="none" w:sz="0" w:space="0" w:color="auto"/>
      </w:divBdr>
    </w:div>
    <w:div w:id="1463419519">
      <w:bodyDiv w:val="1"/>
      <w:marLeft w:val="0"/>
      <w:marRight w:val="0"/>
      <w:marTop w:val="0"/>
      <w:marBottom w:val="0"/>
      <w:divBdr>
        <w:top w:val="none" w:sz="0" w:space="0" w:color="auto"/>
        <w:left w:val="none" w:sz="0" w:space="0" w:color="auto"/>
        <w:bottom w:val="none" w:sz="0" w:space="0" w:color="auto"/>
        <w:right w:val="none" w:sz="0" w:space="0" w:color="auto"/>
      </w:divBdr>
    </w:div>
    <w:div w:id="1475828197">
      <w:bodyDiv w:val="1"/>
      <w:marLeft w:val="0"/>
      <w:marRight w:val="0"/>
      <w:marTop w:val="0"/>
      <w:marBottom w:val="0"/>
      <w:divBdr>
        <w:top w:val="none" w:sz="0" w:space="0" w:color="auto"/>
        <w:left w:val="none" w:sz="0" w:space="0" w:color="auto"/>
        <w:bottom w:val="none" w:sz="0" w:space="0" w:color="auto"/>
        <w:right w:val="none" w:sz="0" w:space="0" w:color="auto"/>
      </w:divBdr>
    </w:div>
    <w:div w:id="1483741529">
      <w:bodyDiv w:val="1"/>
      <w:marLeft w:val="0"/>
      <w:marRight w:val="0"/>
      <w:marTop w:val="0"/>
      <w:marBottom w:val="0"/>
      <w:divBdr>
        <w:top w:val="none" w:sz="0" w:space="0" w:color="auto"/>
        <w:left w:val="none" w:sz="0" w:space="0" w:color="auto"/>
        <w:bottom w:val="none" w:sz="0" w:space="0" w:color="auto"/>
        <w:right w:val="none" w:sz="0" w:space="0" w:color="auto"/>
      </w:divBdr>
    </w:div>
    <w:div w:id="1487551740">
      <w:bodyDiv w:val="1"/>
      <w:marLeft w:val="0"/>
      <w:marRight w:val="0"/>
      <w:marTop w:val="0"/>
      <w:marBottom w:val="0"/>
      <w:divBdr>
        <w:top w:val="none" w:sz="0" w:space="0" w:color="auto"/>
        <w:left w:val="none" w:sz="0" w:space="0" w:color="auto"/>
        <w:bottom w:val="none" w:sz="0" w:space="0" w:color="auto"/>
        <w:right w:val="none" w:sz="0" w:space="0" w:color="auto"/>
      </w:divBdr>
    </w:div>
    <w:div w:id="1497454425">
      <w:bodyDiv w:val="1"/>
      <w:marLeft w:val="0"/>
      <w:marRight w:val="0"/>
      <w:marTop w:val="0"/>
      <w:marBottom w:val="0"/>
      <w:divBdr>
        <w:top w:val="none" w:sz="0" w:space="0" w:color="auto"/>
        <w:left w:val="none" w:sz="0" w:space="0" w:color="auto"/>
        <w:bottom w:val="none" w:sz="0" w:space="0" w:color="auto"/>
        <w:right w:val="none" w:sz="0" w:space="0" w:color="auto"/>
      </w:divBdr>
    </w:div>
    <w:div w:id="1498229573">
      <w:bodyDiv w:val="1"/>
      <w:marLeft w:val="0"/>
      <w:marRight w:val="0"/>
      <w:marTop w:val="0"/>
      <w:marBottom w:val="0"/>
      <w:divBdr>
        <w:top w:val="none" w:sz="0" w:space="0" w:color="auto"/>
        <w:left w:val="none" w:sz="0" w:space="0" w:color="auto"/>
        <w:bottom w:val="none" w:sz="0" w:space="0" w:color="auto"/>
        <w:right w:val="none" w:sz="0" w:space="0" w:color="auto"/>
      </w:divBdr>
    </w:div>
    <w:div w:id="1543319753">
      <w:bodyDiv w:val="1"/>
      <w:marLeft w:val="0"/>
      <w:marRight w:val="0"/>
      <w:marTop w:val="0"/>
      <w:marBottom w:val="0"/>
      <w:divBdr>
        <w:top w:val="none" w:sz="0" w:space="0" w:color="auto"/>
        <w:left w:val="none" w:sz="0" w:space="0" w:color="auto"/>
        <w:bottom w:val="none" w:sz="0" w:space="0" w:color="auto"/>
        <w:right w:val="none" w:sz="0" w:space="0" w:color="auto"/>
      </w:divBdr>
    </w:div>
    <w:div w:id="1547403013">
      <w:bodyDiv w:val="1"/>
      <w:marLeft w:val="0"/>
      <w:marRight w:val="0"/>
      <w:marTop w:val="0"/>
      <w:marBottom w:val="0"/>
      <w:divBdr>
        <w:top w:val="none" w:sz="0" w:space="0" w:color="auto"/>
        <w:left w:val="none" w:sz="0" w:space="0" w:color="auto"/>
        <w:bottom w:val="none" w:sz="0" w:space="0" w:color="auto"/>
        <w:right w:val="none" w:sz="0" w:space="0" w:color="auto"/>
      </w:divBdr>
    </w:div>
    <w:div w:id="1576163242">
      <w:bodyDiv w:val="1"/>
      <w:marLeft w:val="0"/>
      <w:marRight w:val="0"/>
      <w:marTop w:val="0"/>
      <w:marBottom w:val="0"/>
      <w:divBdr>
        <w:top w:val="none" w:sz="0" w:space="0" w:color="auto"/>
        <w:left w:val="none" w:sz="0" w:space="0" w:color="auto"/>
        <w:bottom w:val="none" w:sz="0" w:space="0" w:color="auto"/>
        <w:right w:val="none" w:sz="0" w:space="0" w:color="auto"/>
      </w:divBdr>
    </w:div>
    <w:div w:id="1579097597">
      <w:bodyDiv w:val="1"/>
      <w:marLeft w:val="0"/>
      <w:marRight w:val="0"/>
      <w:marTop w:val="0"/>
      <w:marBottom w:val="0"/>
      <w:divBdr>
        <w:top w:val="none" w:sz="0" w:space="0" w:color="auto"/>
        <w:left w:val="none" w:sz="0" w:space="0" w:color="auto"/>
        <w:bottom w:val="none" w:sz="0" w:space="0" w:color="auto"/>
        <w:right w:val="none" w:sz="0" w:space="0" w:color="auto"/>
      </w:divBdr>
    </w:div>
    <w:div w:id="1579562231">
      <w:bodyDiv w:val="1"/>
      <w:marLeft w:val="0"/>
      <w:marRight w:val="0"/>
      <w:marTop w:val="0"/>
      <w:marBottom w:val="0"/>
      <w:divBdr>
        <w:top w:val="none" w:sz="0" w:space="0" w:color="auto"/>
        <w:left w:val="none" w:sz="0" w:space="0" w:color="auto"/>
        <w:bottom w:val="none" w:sz="0" w:space="0" w:color="auto"/>
        <w:right w:val="none" w:sz="0" w:space="0" w:color="auto"/>
      </w:divBdr>
    </w:div>
    <w:div w:id="1583950862">
      <w:bodyDiv w:val="1"/>
      <w:marLeft w:val="0"/>
      <w:marRight w:val="0"/>
      <w:marTop w:val="0"/>
      <w:marBottom w:val="0"/>
      <w:divBdr>
        <w:top w:val="none" w:sz="0" w:space="0" w:color="auto"/>
        <w:left w:val="none" w:sz="0" w:space="0" w:color="auto"/>
        <w:bottom w:val="none" w:sz="0" w:space="0" w:color="auto"/>
        <w:right w:val="none" w:sz="0" w:space="0" w:color="auto"/>
      </w:divBdr>
    </w:div>
    <w:div w:id="1596933630">
      <w:bodyDiv w:val="1"/>
      <w:marLeft w:val="0"/>
      <w:marRight w:val="0"/>
      <w:marTop w:val="0"/>
      <w:marBottom w:val="0"/>
      <w:divBdr>
        <w:top w:val="none" w:sz="0" w:space="0" w:color="auto"/>
        <w:left w:val="none" w:sz="0" w:space="0" w:color="auto"/>
        <w:bottom w:val="none" w:sz="0" w:space="0" w:color="auto"/>
        <w:right w:val="none" w:sz="0" w:space="0" w:color="auto"/>
      </w:divBdr>
    </w:div>
    <w:div w:id="1598296485">
      <w:bodyDiv w:val="1"/>
      <w:marLeft w:val="0"/>
      <w:marRight w:val="0"/>
      <w:marTop w:val="0"/>
      <w:marBottom w:val="0"/>
      <w:divBdr>
        <w:top w:val="none" w:sz="0" w:space="0" w:color="auto"/>
        <w:left w:val="none" w:sz="0" w:space="0" w:color="auto"/>
        <w:bottom w:val="none" w:sz="0" w:space="0" w:color="auto"/>
        <w:right w:val="none" w:sz="0" w:space="0" w:color="auto"/>
      </w:divBdr>
    </w:div>
    <w:div w:id="1627390736">
      <w:bodyDiv w:val="1"/>
      <w:marLeft w:val="0"/>
      <w:marRight w:val="0"/>
      <w:marTop w:val="0"/>
      <w:marBottom w:val="0"/>
      <w:divBdr>
        <w:top w:val="none" w:sz="0" w:space="0" w:color="auto"/>
        <w:left w:val="none" w:sz="0" w:space="0" w:color="auto"/>
        <w:bottom w:val="none" w:sz="0" w:space="0" w:color="auto"/>
        <w:right w:val="none" w:sz="0" w:space="0" w:color="auto"/>
      </w:divBdr>
    </w:div>
    <w:div w:id="1632783797">
      <w:bodyDiv w:val="1"/>
      <w:marLeft w:val="0"/>
      <w:marRight w:val="0"/>
      <w:marTop w:val="0"/>
      <w:marBottom w:val="0"/>
      <w:divBdr>
        <w:top w:val="none" w:sz="0" w:space="0" w:color="auto"/>
        <w:left w:val="none" w:sz="0" w:space="0" w:color="auto"/>
        <w:bottom w:val="none" w:sz="0" w:space="0" w:color="auto"/>
        <w:right w:val="none" w:sz="0" w:space="0" w:color="auto"/>
      </w:divBdr>
    </w:div>
    <w:div w:id="1690839642">
      <w:bodyDiv w:val="1"/>
      <w:marLeft w:val="0"/>
      <w:marRight w:val="0"/>
      <w:marTop w:val="0"/>
      <w:marBottom w:val="0"/>
      <w:divBdr>
        <w:top w:val="none" w:sz="0" w:space="0" w:color="auto"/>
        <w:left w:val="none" w:sz="0" w:space="0" w:color="auto"/>
        <w:bottom w:val="none" w:sz="0" w:space="0" w:color="auto"/>
        <w:right w:val="none" w:sz="0" w:space="0" w:color="auto"/>
      </w:divBdr>
    </w:div>
    <w:div w:id="1724330261">
      <w:bodyDiv w:val="1"/>
      <w:marLeft w:val="0"/>
      <w:marRight w:val="0"/>
      <w:marTop w:val="0"/>
      <w:marBottom w:val="0"/>
      <w:divBdr>
        <w:top w:val="none" w:sz="0" w:space="0" w:color="auto"/>
        <w:left w:val="none" w:sz="0" w:space="0" w:color="auto"/>
        <w:bottom w:val="none" w:sz="0" w:space="0" w:color="auto"/>
        <w:right w:val="none" w:sz="0" w:space="0" w:color="auto"/>
      </w:divBdr>
    </w:div>
    <w:div w:id="1755856400">
      <w:bodyDiv w:val="1"/>
      <w:marLeft w:val="0"/>
      <w:marRight w:val="0"/>
      <w:marTop w:val="0"/>
      <w:marBottom w:val="0"/>
      <w:divBdr>
        <w:top w:val="none" w:sz="0" w:space="0" w:color="auto"/>
        <w:left w:val="none" w:sz="0" w:space="0" w:color="auto"/>
        <w:bottom w:val="none" w:sz="0" w:space="0" w:color="auto"/>
        <w:right w:val="none" w:sz="0" w:space="0" w:color="auto"/>
      </w:divBdr>
    </w:div>
    <w:div w:id="1758625076">
      <w:bodyDiv w:val="1"/>
      <w:marLeft w:val="0"/>
      <w:marRight w:val="0"/>
      <w:marTop w:val="0"/>
      <w:marBottom w:val="0"/>
      <w:divBdr>
        <w:top w:val="none" w:sz="0" w:space="0" w:color="auto"/>
        <w:left w:val="none" w:sz="0" w:space="0" w:color="auto"/>
        <w:bottom w:val="none" w:sz="0" w:space="0" w:color="auto"/>
        <w:right w:val="none" w:sz="0" w:space="0" w:color="auto"/>
      </w:divBdr>
    </w:div>
    <w:div w:id="1807238108">
      <w:bodyDiv w:val="1"/>
      <w:marLeft w:val="0"/>
      <w:marRight w:val="0"/>
      <w:marTop w:val="0"/>
      <w:marBottom w:val="0"/>
      <w:divBdr>
        <w:top w:val="none" w:sz="0" w:space="0" w:color="auto"/>
        <w:left w:val="none" w:sz="0" w:space="0" w:color="auto"/>
        <w:bottom w:val="none" w:sz="0" w:space="0" w:color="auto"/>
        <w:right w:val="none" w:sz="0" w:space="0" w:color="auto"/>
      </w:divBdr>
    </w:div>
    <w:div w:id="1839227837">
      <w:bodyDiv w:val="1"/>
      <w:marLeft w:val="0"/>
      <w:marRight w:val="0"/>
      <w:marTop w:val="0"/>
      <w:marBottom w:val="0"/>
      <w:divBdr>
        <w:top w:val="none" w:sz="0" w:space="0" w:color="auto"/>
        <w:left w:val="none" w:sz="0" w:space="0" w:color="auto"/>
        <w:bottom w:val="none" w:sz="0" w:space="0" w:color="auto"/>
        <w:right w:val="none" w:sz="0" w:space="0" w:color="auto"/>
      </w:divBdr>
    </w:div>
    <w:div w:id="1885828005">
      <w:bodyDiv w:val="1"/>
      <w:marLeft w:val="0"/>
      <w:marRight w:val="0"/>
      <w:marTop w:val="0"/>
      <w:marBottom w:val="0"/>
      <w:divBdr>
        <w:top w:val="none" w:sz="0" w:space="0" w:color="auto"/>
        <w:left w:val="none" w:sz="0" w:space="0" w:color="auto"/>
        <w:bottom w:val="none" w:sz="0" w:space="0" w:color="auto"/>
        <w:right w:val="none" w:sz="0" w:space="0" w:color="auto"/>
      </w:divBdr>
    </w:div>
    <w:div w:id="1889997543">
      <w:bodyDiv w:val="1"/>
      <w:marLeft w:val="0"/>
      <w:marRight w:val="0"/>
      <w:marTop w:val="0"/>
      <w:marBottom w:val="0"/>
      <w:divBdr>
        <w:top w:val="none" w:sz="0" w:space="0" w:color="auto"/>
        <w:left w:val="none" w:sz="0" w:space="0" w:color="auto"/>
        <w:bottom w:val="none" w:sz="0" w:space="0" w:color="auto"/>
        <w:right w:val="none" w:sz="0" w:space="0" w:color="auto"/>
      </w:divBdr>
    </w:div>
    <w:div w:id="1984843847">
      <w:bodyDiv w:val="1"/>
      <w:marLeft w:val="0"/>
      <w:marRight w:val="0"/>
      <w:marTop w:val="0"/>
      <w:marBottom w:val="0"/>
      <w:divBdr>
        <w:top w:val="none" w:sz="0" w:space="0" w:color="auto"/>
        <w:left w:val="none" w:sz="0" w:space="0" w:color="auto"/>
        <w:bottom w:val="none" w:sz="0" w:space="0" w:color="auto"/>
        <w:right w:val="none" w:sz="0" w:space="0" w:color="auto"/>
      </w:divBdr>
    </w:div>
    <w:div w:id="2016955150">
      <w:bodyDiv w:val="1"/>
      <w:marLeft w:val="0"/>
      <w:marRight w:val="0"/>
      <w:marTop w:val="0"/>
      <w:marBottom w:val="0"/>
      <w:divBdr>
        <w:top w:val="none" w:sz="0" w:space="0" w:color="auto"/>
        <w:left w:val="none" w:sz="0" w:space="0" w:color="auto"/>
        <w:bottom w:val="none" w:sz="0" w:space="0" w:color="auto"/>
        <w:right w:val="none" w:sz="0" w:space="0" w:color="auto"/>
      </w:divBdr>
    </w:div>
    <w:div w:id="2122409114">
      <w:bodyDiv w:val="1"/>
      <w:marLeft w:val="0"/>
      <w:marRight w:val="0"/>
      <w:marTop w:val="0"/>
      <w:marBottom w:val="0"/>
      <w:divBdr>
        <w:top w:val="none" w:sz="0" w:space="0" w:color="auto"/>
        <w:left w:val="none" w:sz="0" w:space="0" w:color="auto"/>
        <w:bottom w:val="none" w:sz="0" w:space="0" w:color="auto"/>
        <w:right w:val="none" w:sz="0" w:space="0" w:color="auto"/>
      </w:divBdr>
    </w:div>
    <w:div w:id="212665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diseases-and-conditions/cancer-programme/bowel-cancer-programme/bowel-screening-pilot/bowel-screening-pilot-resul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865CA-2788-4BC3-8824-DC6162CD4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EBEADED</Template>
  <TotalTime>2</TotalTime>
  <Pages>3</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Wordprocessing Services</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Smith - LITMUS</dc:creator>
  <cp:lastModifiedBy>Allan Potter</cp:lastModifiedBy>
  <cp:revision>2</cp:revision>
  <cp:lastPrinted>2016-08-01T07:38:00Z</cp:lastPrinted>
  <dcterms:created xsi:type="dcterms:W3CDTF">2017-01-29T22:50:00Z</dcterms:created>
  <dcterms:modified xsi:type="dcterms:W3CDTF">2017-01-29T22:50:00Z</dcterms:modified>
</cp:coreProperties>
</file>