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tblBorders>
          <w:bottom w:val="single" w:sz="12" w:space="0" w:color="auto"/>
        </w:tblBorders>
        <w:tblLayout w:type="fixed"/>
        <w:tblCellMar>
          <w:left w:w="0" w:type="dxa"/>
          <w:right w:w="0" w:type="dxa"/>
        </w:tblCellMar>
        <w:tblLook w:val="01E0" w:firstRow="1" w:lastRow="1" w:firstColumn="1" w:lastColumn="1" w:noHBand="0" w:noVBand="0"/>
      </w:tblPr>
      <w:tblGrid>
        <w:gridCol w:w="6663"/>
        <w:gridCol w:w="2835"/>
      </w:tblGrid>
      <w:tr w:rsidR="00D56D8D" w:rsidRPr="00DD748F" w:rsidTr="0092659B">
        <w:trPr>
          <w:cantSplit/>
        </w:trPr>
        <w:tc>
          <w:tcPr>
            <w:tcW w:w="6663" w:type="dxa"/>
            <w:shd w:val="clear" w:color="auto" w:fill="auto"/>
            <w:vAlign w:val="bottom"/>
          </w:tcPr>
          <w:p w:rsidR="008348B7" w:rsidRPr="00DD748F" w:rsidRDefault="005F055E" w:rsidP="005F055E">
            <w:pPr>
              <w:pStyle w:val="Title"/>
            </w:pPr>
            <w:bookmarkStart w:id="0" w:name="_GoBack"/>
            <w:r>
              <w:t>Amphetamine Use 2015/16</w:t>
            </w:r>
            <w:proofErr w:type="gramStart"/>
            <w:r>
              <w:t>:</w:t>
            </w:r>
            <w:proofErr w:type="gramEnd"/>
            <w:r>
              <w:br/>
              <w:t>New Zealand Health Survey</w:t>
            </w:r>
            <w:bookmarkEnd w:id="0"/>
          </w:p>
        </w:tc>
        <w:tc>
          <w:tcPr>
            <w:tcW w:w="2835" w:type="dxa"/>
            <w:shd w:val="clear" w:color="auto" w:fill="auto"/>
            <w:vAlign w:val="bottom"/>
          </w:tcPr>
          <w:p w:rsidR="00CD373C" w:rsidRPr="00DD748F" w:rsidRDefault="00CD373C" w:rsidP="0092659B">
            <w:pPr>
              <w:spacing w:after="120"/>
              <w:jc w:val="right"/>
            </w:pPr>
          </w:p>
          <w:p w:rsidR="00423830" w:rsidRPr="00DD748F" w:rsidRDefault="000C3FA7" w:rsidP="005F055E">
            <w:pPr>
              <w:spacing w:after="120"/>
              <w:jc w:val="right"/>
              <w:rPr>
                <w:color w:val="002B7F"/>
                <w:sz w:val="28"/>
                <w:szCs w:val="28"/>
              </w:rPr>
            </w:pPr>
            <w:r>
              <w:rPr>
                <w:sz w:val="28"/>
                <w:szCs w:val="28"/>
              </w:rPr>
              <w:t>D</w:t>
            </w:r>
            <w:r w:rsidR="005F055E">
              <w:rPr>
                <w:sz w:val="28"/>
                <w:szCs w:val="28"/>
              </w:rPr>
              <w:t>ecember 2016</w:t>
            </w:r>
          </w:p>
        </w:tc>
      </w:tr>
    </w:tbl>
    <w:p w:rsidR="008348B7" w:rsidRDefault="008348B7" w:rsidP="005F055E">
      <w:pPr>
        <w:spacing w:after="600"/>
      </w:pPr>
    </w:p>
    <w:p w:rsidR="005F055E" w:rsidRPr="006633D7" w:rsidRDefault="005F055E" w:rsidP="005F055E">
      <w:pPr>
        <w:rPr>
          <w:lang w:eastAsia="en-GB"/>
        </w:rPr>
      </w:pPr>
      <w:r w:rsidRPr="006633D7">
        <w:rPr>
          <w:lang w:eastAsia="en-GB"/>
        </w:rPr>
        <w:t xml:space="preserve">This report presents findings from the New Zealand Health Survey (NZHS) about </w:t>
      </w:r>
      <w:r>
        <w:rPr>
          <w:lang w:eastAsia="en-GB"/>
        </w:rPr>
        <w:t>self-</w:t>
      </w:r>
      <w:r w:rsidRPr="006633D7">
        <w:rPr>
          <w:lang w:eastAsia="en-GB"/>
        </w:rPr>
        <w:t xml:space="preserve">reported amphetamine use in the 12 months </w:t>
      </w:r>
      <w:r>
        <w:rPr>
          <w:lang w:eastAsia="en-GB"/>
        </w:rPr>
        <w:t>from July 2015 to June 2016</w:t>
      </w:r>
      <w:r w:rsidRPr="006633D7">
        <w:rPr>
          <w:lang w:eastAsia="en-GB"/>
        </w:rPr>
        <w:t xml:space="preserve"> in adults aged 16–64 years</w:t>
      </w:r>
      <w:r w:rsidR="00607C7D">
        <w:rPr>
          <w:lang w:eastAsia="en-GB"/>
        </w:rPr>
        <w:t>.</w:t>
      </w:r>
      <w:r>
        <w:rPr>
          <w:rStyle w:val="FootnoteReference"/>
          <w:lang w:eastAsia="en-GB"/>
        </w:rPr>
        <w:footnoteReference w:id="1"/>
      </w:r>
    </w:p>
    <w:p w:rsidR="005F055E" w:rsidRDefault="005F055E" w:rsidP="00607C7D">
      <w:pPr>
        <w:rPr>
          <w:lang w:eastAsia="en-GB"/>
        </w:rPr>
      </w:pPr>
    </w:p>
    <w:p w:rsidR="005F055E" w:rsidRDefault="005F055E" w:rsidP="00607C7D">
      <w:pPr>
        <w:rPr>
          <w:lang w:eastAsia="en-GB"/>
        </w:rPr>
      </w:pPr>
      <w:r w:rsidRPr="006633D7">
        <w:rPr>
          <w:lang w:eastAsia="en-GB"/>
        </w:rPr>
        <w:t xml:space="preserve">The NZHS data </w:t>
      </w:r>
      <w:r>
        <w:rPr>
          <w:lang w:eastAsia="en-GB"/>
        </w:rPr>
        <w:t xml:space="preserve">reported below </w:t>
      </w:r>
      <w:r w:rsidR="00D823AD">
        <w:rPr>
          <w:lang w:eastAsia="en-GB"/>
        </w:rPr>
        <w:t>was</w:t>
      </w:r>
      <w:r>
        <w:rPr>
          <w:lang w:eastAsia="en-GB"/>
        </w:rPr>
        <w:t xml:space="preserve"> collected </w:t>
      </w:r>
      <w:r w:rsidRPr="006633D7">
        <w:rPr>
          <w:lang w:eastAsia="en-GB"/>
        </w:rPr>
        <w:t xml:space="preserve">in face-to-face interviews conducted in </w:t>
      </w:r>
      <w:r>
        <w:rPr>
          <w:lang w:eastAsia="en-GB"/>
        </w:rPr>
        <w:t>respondents’ homes. The</w:t>
      </w:r>
      <w:r w:rsidRPr="006633D7">
        <w:rPr>
          <w:lang w:eastAsia="en-GB"/>
        </w:rPr>
        <w:t xml:space="preserve"> response rate was </w:t>
      </w:r>
      <w:r w:rsidRPr="00FD4A83">
        <w:rPr>
          <w:lang w:eastAsia="en-GB"/>
        </w:rPr>
        <w:t>80</w:t>
      </w:r>
      <w:r>
        <w:rPr>
          <w:lang w:eastAsia="en-GB"/>
        </w:rPr>
        <w:t xml:space="preserve"> percent</w:t>
      </w:r>
      <w:r w:rsidRPr="00FD4A83">
        <w:rPr>
          <w:lang w:eastAsia="en-GB"/>
        </w:rPr>
        <w:t>.</w:t>
      </w:r>
    </w:p>
    <w:p w:rsidR="005F055E" w:rsidRDefault="005F055E" w:rsidP="00607C7D"/>
    <w:p w:rsidR="005F055E" w:rsidRDefault="005F055E" w:rsidP="00607C7D">
      <w:r w:rsidRPr="006633D7">
        <w:t>Amphetamines are a group of synthetic stimulant drugs. In New Zealand</w:t>
      </w:r>
      <w:r>
        <w:t>,</w:t>
      </w:r>
      <w:r w:rsidRPr="006633D7">
        <w:t xml:space="preserve"> one of the most commonly used types is methamphetamine, which is also known as ‘P’, ‘meth’, </w:t>
      </w:r>
      <w:r>
        <w:t xml:space="preserve">‘speed’, </w:t>
      </w:r>
      <w:r w:rsidRPr="006633D7">
        <w:t>‘ice’ or ‘crystal meth’.</w:t>
      </w:r>
    </w:p>
    <w:p w:rsidR="005F055E" w:rsidRDefault="005F055E" w:rsidP="00607C7D"/>
    <w:p w:rsidR="005F055E" w:rsidRPr="00285FDE" w:rsidRDefault="005F055E" w:rsidP="00607C7D">
      <w:pPr>
        <w:pStyle w:val="Heading2"/>
        <w:rPr>
          <w:lang w:eastAsia="en-GB"/>
        </w:rPr>
      </w:pPr>
      <w:r>
        <w:rPr>
          <w:lang w:eastAsia="en-GB"/>
        </w:rPr>
        <w:t>Why is a</w:t>
      </w:r>
      <w:r w:rsidRPr="00285FDE">
        <w:rPr>
          <w:lang w:eastAsia="en-GB"/>
        </w:rPr>
        <w:t xml:space="preserve">mphetamine </w:t>
      </w:r>
      <w:r>
        <w:rPr>
          <w:lang w:eastAsia="en-GB"/>
        </w:rPr>
        <w:t>use a h</w:t>
      </w:r>
      <w:r w:rsidRPr="00285FDE">
        <w:rPr>
          <w:lang w:eastAsia="en-GB"/>
        </w:rPr>
        <w:t>ealth issue?</w:t>
      </w:r>
    </w:p>
    <w:p w:rsidR="005F055E" w:rsidRDefault="005F055E" w:rsidP="00607C7D">
      <w:pPr>
        <w:rPr>
          <w:lang w:eastAsia="en-GB"/>
        </w:rPr>
      </w:pPr>
      <w:r>
        <w:rPr>
          <w:lang w:eastAsia="en-GB"/>
        </w:rPr>
        <w:t>A</w:t>
      </w:r>
      <w:r w:rsidRPr="00285FDE">
        <w:rPr>
          <w:lang w:eastAsia="en-GB"/>
        </w:rPr>
        <w:t xml:space="preserve">mphetamine </w:t>
      </w:r>
      <w:r>
        <w:rPr>
          <w:lang w:eastAsia="en-GB"/>
        </w:rPr>
        <w:t xml:space="preserve">use </w:t>
      </w:r>
      <w:r w:rsidRPr="00285FDE">
        <w:rPr>
          <w:lang w:eastAsia="en-GB"/>
        </w:rPr>
        <w:t xml:space="preserve">poses great risks </w:t>
      </w:r>
      <w:r>
        <w:rPr>
          <w:lang w:eastAsia="en-GB"/>
        </w:rPr>
        <w:t xml:space="preserve">to </w:t>
      </w:r>
      <w:r w:rsidRPr="00285FDE">
        <w:rPr>
          <w:lang w:eastAsia="en-GB"/>
        </w:rPr>
        <w:t>health</w:t>
      </w:r>
      <w:r>
        <w:rPr>
          <w:lang w:eastAsia="en-GB"/>
        </w:rPr>
        <w:t>,</w:t>
      </w:r>
      <w:r w:rsidRPr="00285FDE">
        <w:rPr>
          <w:lang w:eastAsia="en-GB"/>
        </w:rPr>
        <w:t xml:space="preserve"> </w:t>
      </w:r>
      <w:r>
        <w:rPr>
          <w:lang w:eastAsia="en-GB"/>
        </w:rPr>
        <w:t xml:space="preserve">including a risk to </w:t>
      </w:r>
      <w:r w:rsidRPr="00285FDE">
        <w:rPr>
          <w:lang w:eastAsia="en-GB"/>
        </w:rPr>
        <w:t xml:space="preserve">mental </w:t>
      </w:r>
      <w:r>
        <w:rPr>
          <w:lang w:eastAsia="en-GB"/>
        </w:rPr>
        <w:t xml:space="preserve">wellbeing. Heavy use can result in the neglect of </w:t>
      </w:r>
      <w:r w:rsidRPr="00285FDE">
        <w:rPr>
          <w:lang w:eastAsia="en-GB"/>
        </w:rPr>
        <w:t>normal self-care routines</w:t>
      </w:r>
      <w:r>
        <w:rPr>
          <w:lang w:eastAsia="en-GB"/>
        </w:rPr>
        <w:t>,</w:t>
      </w:r>
      <w:r w:rsidRPr="00285FDE">
        <w:rPr>
          <w:lang w:eastAsia="en-GB"/>
        </w:rPr>
        <w:t xml:space="preserve"> such as sleeping, eat</w:t>
      </w:r>
      <w:r>
        <w:rPr>
          <w:lang w:eastAsia="en-GB"/>
        </w:rPr>
        <w:t>ing, personal hygiene and exercise</w:t>
      </w:r>
      <w:r w:rsidRPr="00285FDE">
        <w:rPr>
          <w:lang w:eastAsia="en-GB"/>
        </w:rPr>
        <w:t xml:space="preserve">, which can </w:t>
      </w:r>
      <w:r>
        <w:rPr>
          <w:lang w:eastAsia="en-GB"/>
        </w:rPr>
        <w:t xml:space="preserve">in turn </w:t>
      </w:r>
      <w:r w:rsidRPr="00285FDE">
        <w:rPr>
          <w:lang w:eastAsia="en-GB"/>
        </w:rPr>
        <w:t>lead to sleep deprivation, malnutri</w:t>
      </w:r>
      <w:r>
        <w:rPr>
          <w:lang w:eastAsia="en-GB"/>
        </w:rPr>
        <w:t xml:space="preserve">tion and dental damage. In </w:t>
      </w:r>
      <w:r w:rsidRPr="00285FDE">
        <w:rPr>
          <w:lang w:eastAsia="en-GB"/>
        </w:rPr>
        <w:t>extreme cases, lack of sleep and food can induce a drug psychosis.</w:t>
      </w:r>
    </w:p>
    <w:p w:rsidR="005F055E" w:rsidRPr="00285FDE" w:rsidRDefault="005F055E" w:rsidP="00607C7D">
      <w:pPr>
        <w:rPr>
          <w:lang w:eastAsia="en-GB"/>
        </w:rPr>
      </w:pPr>
    </w:p>
    <w:p w:rsidR="005F055E" w:rsidRDefault="005F055E" w:rsidP="00607C7D">
      <w:pPr>
        <w:rPr>
          <w:lang w:eastAsia="en-GB"/>
        </w:rPr>
      </w:pPr>
      <w:r w:rsidRPr="00285FDE">
        <w:rPr>
          <w:lang w:eastAsia="en-GB"/>
        </w:rPr>
        <w:t>Long</w:t>
      </w:r>
      <w:r>
        <w:rPr>
          <w:lang w:eastAsia="en-GB"/>
        </w:rPr>
        <w:t>-</w:t>
      </w:r>
      <w:r w:rsidRPr="00285FDE">
        <w:rPr>
          <w:lang w:eastAsia="en-GB"/>
        </w:rPr>
        <w:t xml:space="preserve">term </w:t>
      </w:r>
      <w:r>
        <w:rPr>
          <w:lang w:eastAsia="en-GB"/>
        </w:rPr>
        <w:t xml:space="preserve">amphetamine </w:t>
      </w:r>
      <w:r w:rsidRPr="00285FDE">
        <w:rPr>
          <w:lang w:eastAsia="en-GB"/>
        </w:rPr>
        <w:t>use can cause anxiety and depression, damage to the nervous system and susceptibility to infection and disease.</w:t>
      </w:r>
    </w:p>
    <w:p w:rsidR="005F055E" w:rsidRPr="00285FDE" w:rsidRDefault="005F055E" w:rsidP="00607C7D">
      <w:pPr>
        <w:rPr>
          <w:lang w:eastAsia="en-GB"/>
        </w:rPr>
      </w:pPr>
    </w:p>
    <w:p w:rsidR="005F055E" w:rsidRPr="00285FDE" w:rsidRDefault="005F055E" w:rsidP="00607C7D">
      <w:pPr>
        <w:rPr>
          <w:lang w:eastAsia="en-GB"/>
        </w:rPr>
      </w:pPr>
      <w:r>
        <w:rPr>
          <w:lang w:eastAsia="en-GB"/>
        </w:rPr>
        <w:t>Intravenous drug use increases</w:t>
      </w:r>
      <w:r w:rsidRPr="00285FDE">
        <w:rPr>
          <w:lang w:eastAsia="en-GB"/>
        </w:rPr>
        <w:t xml:space="preserve"> the risk of contracting infectious diseases such as HIV/AIDS, hepatitis and skin infections. Sharing needles or syringes is extremely risky because this </w:t>
      </w:r>
      <w:r>
        <w:rPr>
          <w:lang w:eastAsia="en-GB"/>
        </w:rPr>
        <w:t>can cause infection to be transmitted</w:t>
      </w:r>
      <w:r w:rsidRPr="00285FDE">
        <w:rPr>
          <w:lang w:eastAsia="en-GB"/>
        </w:rPr>
        <w:t xml:space="preserve"> (</w:t>
      </w:r>
      <w:r>
        <w:rPr>
          <w:lang w:eastAsia="en-GB"/>
        </w:rPr>
        <w:t>see</w:t>
      </w:r>
      <w:r w:rsidRPr="00285FDE">
        <w:rPr>
          <w:lang w:eastAsia="en-GB"/>
        </w:rPr>
        <w:t xml:space="preserve">: </w:t>
      </w:r>
      <w:hyperlink r:id="rId8" w:history="1">
        <w:r w:rsidRPr="00285FDE">
          <w:rPr>
            <w:lang w:eastAsia="en-GB"/>
          </w:rPr>
          <w:t>www.methhelp.org.nz</w:t>
        </w:r>
      </w:hyperlink>
      <w:r w:rsidRPr="00285FDE">
        <w:rPr>
          <w:lang w:eastAsia="en-GB"/>
        </w:rPr>
        <w:t>)</w:t>
      </w:r>
      <w:r>
        <w:rPr>
          <w:lang w:eastAsia="en-GB"/>
        </w:rPr>
        <w:t>.</w:t>
      </w:r>
    </w:p>
    <w:p w:rsidR="005F055E" w:rsidRDefault="005F055E" w:rsidP="00607C7D"/>
    <w:p w:rsidR="005F055E" w:rsidRPr="006633D7" w:rsidRDefault="005F055E" w:rsidP="00607C7D">
      <w:pPr>
        <w:pStyle w:val="Heading2"/>
        <w:rPr>
          <w:lang w:eastAsia="en-GB"/>
        </w:rPr>
      </w:pPr>
      <w:r w:rsidRPr="006633D7">
        <w:rPr>
          <w:lang w:eastAsia="en-GB"/>
        </w:rPr>
        <w:t xml:space="preserve">What </w:t>
      </w:r>
      <w:r>
        <w:rPr>
          <w:lang w:eastAsia="en-GB"/>
        </w:rPr>
        <w:t>i</w:t>
      </w:r>
      <w:r w:rsidRPr="006633D7">
        <w:rPr>
          <w:lang w:eastAsia="en-GB"/>
        </w:rPr>
        <w:t>s the survey question?</w:t>
      </w:r>
    </w:p>
    <w:p w:rsidR="005F055E" w:rsidRPr="006633D7" w:rsidRDefault="005F055E" w:rsidP="00607C7D">
      <w:pPr>
        <w:pStyle w:val="Box"/>
      </w:pPr>
      <w:r>
        <w:t xml:space="preserve">The NZHS asks adults </w:t>
      </w:r>
      <w:r w:rsidRPr="006633D7">
        <w:t>the following question about amphetamine use</w:t>
      </w:r>
      <w:r>
        <w:t>.</w:t>
      </w:r>
    </w:p>
    <w:p w:rsidR="005F055E" w:rsidRPr="006633D7" w:rsidRDefault="005F055E" w:rsidP="00607C7D">
      <w:pPr>
        <w:pStyle w:val="Box"/>
      </w:pPr>
      <w:r w:rsidRPr="006633D7">
        <w:t>‘In the last 12 months, have you used any of the following drugs for recreational or non-medical purposes, or to get high?’</w:t>
      </w:r>
    </w:p>
    <w:p w:rsidR="005F055E" w:rsidRDefault="005F055E" w:rsidP="00607C7D">
      <w:pPr>
        <w:pStyle w:val="Box"/>
      </w:pPr>
      <w:r w:rsidRPr="006633D7">
        <w:t>Participants who selected</w:t>
      </w:r>
      <w:r>
        <w:rPr>
          <w:b/>
        </w:rPr>
        <w:t xml:space="preserve"> </w:t>
      </w:r>
      <w:r w:rsidRPr="006633D7">
        <w:t xml:space="preserve">the </w:t>
      </w:r>
      <w:r>
        <w:t xml:space="preserve">response </w:t>
      </w:r>
      <w:r w:rsidRPr="006633D7">
        <w:t xml:space="preserve">category </w:t>
      </w:r>
      <w:r w:rsidRPr="006633D7">
        <w:rPr>
          <w:b/>
        </w:rPr>
        <w:t xml:space="preserve">‘Amphetamines, for example, ‘P’ (‘pure’ methamphetamine), ice (crystal methamphetamine), </w:t>
      </w:r>
      <w:proofErr w:type="gramStart"/>
      <w:r w:rsidRPr="006633D7">
        <w:rPr>
          <w:b/>
        </w:rPr>
        <w:t>speed’</w:t>
      </w:r>
      <w:proofErr w:type="gramEnd"/>
      <w:r w:rsidRPr="006633D7">
        <w:t>, were counted as people who used amphetamines in the past year.</w:t>
      </w:r>
    </w:p>
    <w:p w:rsidR="005F055E" w:rsidRPr="006633D7" w:rsidRDefault="005F055E" w:rsidP="00607C7D"/>
    <w:p w:rsidR="005F055E" w:rsidRPr="006633D7" w:rsidRDefault="005F055E" w:rsidP="00607C7D">
      <w:pPr>
        <w:pStyle w:val="Heading2"/>
        <w:rPr>
          <w:lang w:eastAsia="en-GB"/>
        </w:rPr>
      </w:pPr>
      <w:r w:rsidRPr="006633D7">
        <w:rPr>
          <w:lang w:eastAsia="en-GB"/>
        </w:rPr>
        <w:lastRenderedPageBreak/>
        <w:t>Results</w:t>
      </w:r>
    </w:p>
    <w:p w:rsidR="005F055E" w:rsidRPr="006633D7" w:rsidRDefault="005F055E" w:rsidP="00607C7D">
      <w:pPr>
        <w:pStyle w:val="Heading3"/>
        <w:rPr>
          <w:lang w:eastAsia="en-GB"/>
        </w:rPr>
      </w:pPr>
      <w:r>
        <w:rPr>
          <w:lang w:eastAsia="en-GB"/>
        </w:rPr>
        <w:t>In the past year, 1</w:t>
      </w:r>
      <w:r w:rsidRPr="006633D7">
        <w:rPr>
          <w:lang w:eastAsia="en-GB"/>
        </w:rPr>
        <w:t xml:space="preserve"> percent of adults </w:t>
      </w:r>
      <w:r>
        <w:rPr>
          <w:lang w:eastAsia="en-GB"/>
        </w:rPr>
        <w:t>used</w:t>
      </w:r>
      <w:r w:rsidRPr="006633D7">
        <w:rPr>
          <w:lang w:eastAsia="en-GB"/>
        </w:rPr>
        <w:t xml:space="preserve"> amphetamines</w:t>
      </w:r>
    </w:p>
    <w:p w:rsidR="005F055E" w:rsidRDefault="005F055E" w:rsidP="00607C7D">
      <w:pPr>
        <w:rPr>
          <w:lang w:eastAsia="en-GB"/>
        </w:rPr>
      </w:pPr>
      <w:r>
        <w:rPr>
          <w:lang w:eastAsia="en-GB"/>
        </w:rPr>
        <w:t>In 2015/16, 1.1 percent</w:t>
      </w:r>
      <w:r w:rsidRPr="006633D7">
        <w:rPr>
          <w:lang w:eastAsia="en-GB"/>
        </w:rPr>
        <w:t xml:space="preserve"> of </w:t>
      </w:r>
      <w:r>
        <w:rPr>
          <w:lang w:eastAsia="en-GB"/>
        </w:rPr>
        <w:t>adults</w:t>
      </w:r>
      <w:r w:rsidRPr="006633D7">
        <w:rPr>
          <w:lang w:eastAsia="en-GB"/>
        </w:rPr>
        <w:t xml:space="preserve"> (95% confidence interval</w:t>
      </w:r>
      <w:r>
        <w:rPr>
          <w:lang w:eastAsia="en-GB"/>
        </w:rPr>
        <w:t>, CI: 0.9</w:t>
      </w:r>
      <w:r w:rsidRPr="006633D7">
        <w:rPr>
          <w:lang w:eastAsia="en-GB"/>
        </w:rPr>
        <w:t>–</w:t>
      </w:r>
      <w:r>
        <w:rPr>
          <w:lang w:eastAsia="en-GB"/>
        </w:rPr>
        <w:t xml:space="preserve">1.5) used </w:t>
      </w:r>
      <w:r w:rsidRPr="006633D7">
        <w:rPr>
          <w:lang w:eastAsia="en-GB"/>
        </w:rPr>
        <w:t xml:space="preserve">amphetamines </w:t>
      </w:r>
      <w:r>
        <w:rPr>
          <w:lang w:eastAsia="en-GB"/>
        </w:rPr>
        <w:t>in the past year. This equates to about 34,0</w:t>
      </w:r>
      <w:r w:rsidRPr="006633D7">
        <w:rPr>
          <w:lang w:eastAsia="en-GB"/>
        </w:rPr>
        <w:t>00 New Zealanders.</w:t>
      </w:r>
    </w:p>
    <w:p w:rsidR="00607C7D" w:rsidRDefault="00607C7D" w:rsidP="00607C7D">
      <w:pPr>
        <w:rPr>
          <w:lang w:eastAsia="en-GB"/>
        </w:rPr>
      </w:pPr>
    </w:p>
    <w:p w:rsidR="005F055E" w:rsidRPr="00941947" w:rsidRDefault="005F055E" w:rsidP="00607C7D">
      <w:pPr>
        <w:pStyle w:val="Heading3"/>
        <w:rPr>
          <w:lang w:eastAsia="en-GB"/>
        </w:rPr>
      </w:pPr>
      <w:r w:rsidRPr="00A86788">
        <w:rPr>
          <w:lang w:eastAsia="en-GB"/>
        </w:rPr>
        <w:t>Younger adults</w:t>
      </w:r>
      <w:r w:rsidRPr="00941947">
        <w:rPr>
          <w:lang w:eastAsia="en-GB"/>
        </w:rPr>
        <w:t xml:space="preserve"> were more likely to </w:t>
      </w:r>
      <w:r>
        <w:rPr>
          <w:lang w:eastAsia="en-GB"/>
        </w:rPr>
        <w:t xml:space="preserve">have used </w:t>
      </w:r>
      <w:r w:rsidRPr="00941947">
        <w:rPr>
          <w:lang w:eastAsia="en-GB"/>
        </w:rPr>
        <w:t>amphetamine</w:t>
      </w:r>
      <w:r>
        <w:rPr>
          <w:lang w:eastAsia="en-GB"/>
        </w:rPr>
        <w:t>s in the past year</w:t>
      </w:r>
    </w:p>
    <w:p w:rsidR="005F055E" w:rsidRPr="00607C7D" w:rsidRDefault="005F055E" w:rsidP="00607C7D">
      <w:r>
        <w:rPr>
          <w:lang w:eastAsia="en-GB"/>
        </w:rPr>
        <w:t>A</w:t>
      </w:r>
      <w:r w:rsidRPr="006633D7">
        <w:rPr>
          <w:lang w:eastAsia="en-GB"/>
        </w:rPr>
        <w:t xml:space="preserve">mphetamine use in the past year was </w:t>
      </w:r>
      <w:r>
        <w:rPr>
          <w:lang w:eastAsia="en-GB"/>
        </w:rPr>
        <w:t xml:space="preserve">higher </w:t>
      </w:r>
      <w:r w:rsidRPr="006633D7">
        <w:rPr>
          <w:lang w:eastAsia="en-GB"/>
        </w:rPr>
        <w:t>among</w:t>
      </w:r>
      <w:r>
        <w:rPr>
          <w:lang w:eastAsia="en-GB"/>
        </w:rPr>
        <w:t xml:space="preserve"> younger</w:t>
      </w:r>
      <w:r w:rsidRPr="006633D7">
        <w:rPr>
          <w:lang w:eastAsia="en-GB"/>
        </w:rPr>
        <w:t xml:space="preserve"> age groups</w:t>
      </w:r>
      <w:r>
        <w:rPr>
          <w:lang w:eastAsia="en-GB"/>
        </w:rPr>
        <w:t xml:space="preserve"> than older age groups</w:t>
      </w:r>
      <w:r w:rsidRPr="006633D7">
        <w:rPr>
          <w:lang w:eastAsia="en-GB"/>
        </w:rPr>
        <w:t xml:space="preserve">. Respondents aged 25–34 </w:t>
      </w:r>
      <w:r>
        <w:rPr>
          <w:lang w:eastAsia="en-GB"/>
        </w:rPr>
        <w:t>years had</w:t>
      </w:r>
      <w:r w:rsidRPr="006633D7">
        <w:rPr>
          <w:lang w:eastAsia="en-GB"/>
        </w:rPr>
        <w:t xml:space="preserve"> the highest prevalence of</w:t>
      </w:r>
      <w:r>
        <w:rPr>
          <w:lang w:eastAsia="en-GB"/>
        </w:rPr>
        <w:t xml:space="preserve"> past-year amphetamine use (2.4%; 1.6–3.5</w:t>
      </w:r>
      <w:r w:rsidRPr="006633D7">
        <w:rPr>
          <w:lang w:eastAsia="en-GB"/>
        </w:rPr>
        <w:t>), followed by</w:t>
      </w:r>
      <w:r>
        <w:rPr>
          <w:lang w:eastAsia="en-GB"/>
        </w:rPr>
        <w:t xml:space="preserve"> those aged</w:t>
      </w:r>
      <w:r w:rsidRPr="006633D7">
        <w:rPr>
          <w:lang w:eastAsia="en-GB"/>
        </w:rPr>
        <w:t xml:space="preserve"> 16–24</w:t>
      </w:r>
      <w:r>
        <w:rPr>
          <w:lang w:eastAsia="en-GB"/>
        </w:rPr>
        <w:t xml:space="preserve"> years (1.6%; 1.0–2.6</w:t>
      </w:r>
      <w:r w:rsidRPr="006633D7">
        <w:rPr>
          <w:lang w:eastAsia="en-GB"/>
        </w:rPr>
        <w:t xml:space="preserve">). </w:t>
      </w:r>
      <w:r>
        <w:rPr>
          <w:lang w:eastAsia="en-GB"/>
        </w:rPr>
        <w:t>The lowest level of past-year amphetamine use was in those aged 55–64 years (0.3%; 0.1–0.7).</w:t>
      </w:r>
    </w:p>
    <w:p w:rsidR="005F055E" w:rsidRDefault="005F055E" w:rsidP="00607C7D">
      <w:pPr>
        <w:rPr>
          <w:lang w:eastAsia="en-GB"/>
        </w:rPr>
      </w:pPr>
    </w:p>
    <w:p w:rsidR="005F055E" w:rsidRPr="006633D7" w:rsidRDefault="005F055E" w:rsidP="00607C7D">
      <w:pPr>
        <w:pStyle w:val="Heading3"/>
        <w:rPr>
          <w:lang w:eastAsia="en-GB"/>
        </w:rPr>
      </w:pPr>
      <w:r>
        <w:rPr>
          <w:lang w:eastAsia="en-GB"/>
        </w:rPr>
        <w:t xml:space="preserve">Men </w:t>
      </w:r>
      <w:r w:rsidRPr="006633D7">
        <w:rPr>
          <w:lang w:eastAsia="en-GB"/>
        </w:rPr>
        <w:t xml:space="preserve">were </w:t>
      </w:r>
      <w:r>
        <w:rPr>
          <w:lang w:eastAsia="en-GB"/>
        </w:rPr>
        <w:t xml:space="preserve">more </w:t>
      </w:r>
      <w:r w:rsidRPr="006633D7">
        <w:rPr>
          <w:lang w:eastAsia="en-GB"/>
        </w:rPr>
        <w:t xml:space="preserve">likely to </w:t>
      </w:r>
      <w:r>
        <w:rPr>
          <w:lang w:eastAsia="en-GB"/>
        </w:rPr>
        <w:t>have used amphetamines in the past year</w:t>
      </w:r>
    </w:p>
    <w:p w:rsidR="005F055E" w:rsidRDefault="005F055E" w:rsidP="00607C7D">
      <w:pPr>
        <w:rPr>
          <w:lang w:eastAsia="en-GB"/>
        </w:rPr>
      </w:pPr>
      <w:r w:rsidRPr="006633D7">
        <w:rPr>
          <w:lang w:eastAsia="en-GB"/>
        </w:rPr>
        <w:t xml:space="preserve">Past-year amphetamine use was </w:t>
      </w:r>
      <w:r>
        <w:rPr>
          <w:lang w:eastAsia="en-GB"/>
        </w:rPr>
        <w:t xml:space="preserve">significantly </w:t>
      </w:r>
      <w:r w:rsidRPr="006633D7">
        <w:rPr>
          <w:lang w:eastAsia="en-GB"/>
        </w:rPr>
        <w:t>higher among males</w:t>
      </w:r>
      <w:r>
        <w:rPr>
          <w:lang w:eastAsia="en-GB"/>
        </w:rPr>
        <w:t xml:space="preserve"> (1.7%; 1.3–2.4) than females (0.6%; 0.4</w:t>
      </w:r>
      <w:r w:rsidRPr="006633D7">
        <w:rPr>
          <w:lang w:eastAsia="en-GB"/>
        </w:rPr>
        <w:t>–0.9).</w:t>
      </w:r>
    </w:p>
    <w:p w:rsidR="00607C7D" w:rsidRPr="006633D7" w:rsidRDefault="00607C7D" w:rsidP="00607C7D">
      <w:pPr>
        <w:rPr>
          <w:lang w:eastAsia="en-GB"/>
        </w:rPr>
      </w:pPr>
    </w:p>
    <w:p w:rsidR="005F055E" w:rsidRDefault="005F055E" w:rsidP="00607C7D">
      <w:pPr>
        <w:pStyle w:val="Heading3"/>
        <w:rPr>
          <w:lang w:eastAsia="en-GB"/>
        </w:rPr>
      </w:pPr>
      <w:r w:rsidRPr="006633D7">
        <w:rPr>
          <w:lang w:eastAsia="en-GB"/>
        </w:rPr>
        <w:t xml:space="preserve">Māori were more likely to </w:t>
      </w:r>
      <w:r>
        <w:rPr>
          <w:lang w:eastAsia="en-GB"/>
        </w:rPr>
        <w:t xml:space="preserve">have used amphetamines </w:t>
      </w:r>
      <w:r w:rsidRPr="006633D7">
        <w:rPr>
          <w:lang w:eastAsia="en-GB"/>
        </w:rPr>
        <w:t>than non</w:t>
      </w:r>
      <w:r w:rsidR="00607C7D">
        <w:rPr>
          <w:lang w:eastAsia="en-GB"/>
        </w:rPr>
        <w:noBreakHyphen/>
      </w:r>
      <w:r w:rsidRPr="006633D7">
        <w:rPr>
          <w:lang w:eastAsia="en-GB"/>
        </w:rPr>
        <w:t>Māori</w:t>
      </w:r>
      <w:r>
        <w:rPr>
          <w:lang w:eastAsia="en-GB"/>
        </w:rPr>
        <w:t xml:space="preserve"> in the past year</w:t>
      </w:r>
    </w:p>
    <w:p w:rsidR="005F055E" w:rsidRDefault="005F055E" w:rsidP="00607C7D">
      <w:pPr>
        <w:rPr>
          <w:lang w:eastAsia="en-GB"/>
        </w:rPr>
      </w:pPr>
      <w:r>
        <w:rPr>
          <w:lang w:eastAsia="en-GB"/>
        </w:rPr>
        <w:t>I</w:t>
      </w:r>
      <w:r w:rsidRPr="006633D7">
        <w:rPr>
          <w:lang w:eastAsia="en-GB"/>
        </w:rPr>
        <w:t>n the pas</w:t>
      </w:r>
      <w:r>
        <w:rPr>
          <w:lang w:eastAsia="en-GB"/>
        </w:rPr>
        <w:t>t year, a</w:t>
      </w:r>
      <w:r w:rsidRPr="006633D7">
        <w:rPr>
          <w:lang w:eastAsia="en-GB"/>
        </w:rPr>
        <w:t>mphetamine</w:t>
      </w:r>
      <w:r>
        <w:rPr>
          <w:lang w:eastAsia="en-GB"/>
        </w:rPr>
        <w:t>s were</w:t>
      </w:r>
      <w:r w:rsidRPr="006633D7">
        <w:rPr>
          <w:lang w:eastAsia="en-GB"/>
        </w:rPr>
        <w:t xml:space="preserve"> used </w:t>
      </w:r>
      <w:r>
        <w:rPr>
          <w:lang w:eastAsia="en-GB"/>
        </w:rPr>
        <w:t>by 2.9 percent of Māori adults (95% CI: 2.1–4.0), 1.3 percent of European/Other adults (95% CI: 1.0–1.6), 1</w:t>
      </w:r>
      <w:r w:rsidRPr="005A3371">
        <w:rPr>
          <w:lang w:eastAsia="en-GB"/>
        </w:rPr>
        <w:t>.2</w:t>
      </w:r>
      <w:r>
        <w:rPr>
          <w:lang w:eastAsia="en-GB"/>
        </w:rPr>
        <w:t xml:space="preserve"> percent of Pacific adults (95% CI</w:t>
      </w:r>
      <w:proofErr w:type="gramStart"/>
      <w:r>
        <w:rPr>
          <w:lang w:eastAsia="en-GB"/>
        </w:rPr>
        <w:t>:</w:t>
      </w:r>
      <w:proofErr w:type="gramEnd"/>
      <w:r w:rsidR="00607C7D">
        <w:rPr>
          <w:lang w:eastAsia="en-GB"/>
        </w:rPr>
        <w:br/>
      </w:r>
      <w:r>
        <w:rPr>
          <w:lang w:eastAsia="en-GB"/>
        </w:rPr>
        <w:t>0.6–2.6) and 0.2 percent</w:t>
      </w:r>
      <w:r w:rsidRPr="005A3371">
        <w:rPr>
          <w:lang w:eastAsia="en-GB"/>
        </w:rPr>
        <w:t xml:space="preserve"> of Asian adults (95</w:t>
      </w:r>
      <w:r>
        <w:rPr>
          <w:lang w:eastAsia="en-GB"/>
        </w:rPr>
        <w:t>% CI: 0.1-0.9</w:t>
      </w:r>
      <w:r w:rsidRPr="005A3371">
        <w:rPr>
          <w:lang w:eastAsia="en-GB"/>
        </w:rPr>
        <w:t>).</w:t>
      </w:r>
    </w:p>
    <w:p w:rsidR="005F055E" w:rsidRDefault="005F055E" w:rsidP="00607C7D">
      <w:pPr>
        <w:rPr>
          <w:lang w:eastAsia="en-GB"/>
        </w:rPr>
      </w:pPr>
    </w:p>
    <w:p w:rsidR="005F055E" w:rsidRDefault="005F055E" w:rsidP="00607C7D">
      <w:pPr>
        <w:rPr>
          <w:lang w:eastAsia="en-GB"/>
        </w:rPr>
      </w:pPr>
      <w:r>
        <w:rPr>
          <w:lang w:eastAsia="en-GB"/>
        </w:rPr>
        <w:t>After adjusting</w:t>
      </w:r>
      <w:r w:rsidRPr="006633D7">
        <w:rPr>
          <w:lang w:eastAsia="en-GB"/>
        </w:rPr>
        <w:t xml:space="preserve"> for age and</w:t>
      </w:r>
      <w:r>
        <w:rPr>
          <w:lang w:eastAsia="en-GB"/>
        </w:rPr>
        <w:t xml:space="preserve"> sex differences between population groups, it was found that:</w:t>
      </w:r>
    </w:p>
    <w:p w:rsidR="005F055E" w:rsidRDefault="005F055E" w:rsidP="00607C7D">
      <w:pPr>
        <w:pStyle w:val="Bullet"/>
      </w:pPr>
      <w:r>
        <w:rPr>
          <w:lang w:eastAsia="en-GB"/>
        </w:rPr>
        <w:t>Māori were 3.4 times as</w:t>
      </w:r>
      <w:r w:rsidRPr="006633D7">
        <w:rPr>
          <w:lang w:eastAsia="en-GB"/>
        </w:rPr>
        <w:t xml:space="preserve"> likely (adjusted rate ratio (</w:t>
      </w:r>
      <w:r>
        <w:rPr>
          <w:lang w:eastAsia="en-GB"/>
        </w:rPr>
        <w:t>ARR) 3.4; 2.2–5.2</w:t>
      </w:r>
      <w:r w:rsidRPr="00EC1192">
        <w:rPr>
          <w:lang w:eastAsia="en-GB"/>
        </w:rPr>
        <w:t>) to have used amphetamines i</w:t>
      </w:r>
      <w:r>
        <w:rPr>
          <w:lang w:eastAsia="en-GB"/>
        </w:rPr>
        <w:t>n the past year than non-Māori</w:t>
      </w:r>
    </w:p>
    <w:p w:rsidR="005F055E" w:rsidRDefault="005F055E" w:rsidP="00607C7D">
      <w:pPr>
        <w:pStyle w:val="Bullet"/>
        <w:rPr>
          <w:lang w:eastAsia="en-GB"/>
        </w:rPr>
      </w:pPr>
      <w:r w:rsidRPr="006633D7">
        <w:rPr>
          <w:lang w:eastAsia="en-GB"/>
        </w:rPr>
        <w:t>Asian adults we</w:t>
      </w:r>
      <w:r>
        <w:rPr>
          <w:lang w:eastAsia="en-GB"/>
        </w:rPr>
        <w:t>re less likely (ARR 0.1; 0.0–0.6</w:t>
      </w:r>
      <w:r w:rsidRPr="006633D7">
        <w:rPr>
          <w:lang w:eastAsia="en-GB"/>
        </w:rPr>
        <w:t xml:space="preserve">) to have </w:t>
      </w:r>
      <w:r>
        <w:rPr>
          <w:lang w:eastAsia="en-GB"/>
        </w:rPr>
        <w:t>used</w:t>
      </w:r>
      <w:r w:rsidRPr="006633D7">
        <w:rPr>
          <w:lang w:eastAsia="en-GB"/>
        </w:rPr>
        <w:t xml:space="preserve"> amphetamines in the past year than non-Asian adults</w:t>
      </w:r>
    </w:p>
    <w:p w:rsidR="005F055E" w:rsidRDefault="005F055E" w:rsidP="00607C7D">
      <w:pPr>
        <w:pStyle w:val="Bullet"/>
        <w:rPr>
          <w:lang w:eastAsia="en-GB"/>
        </w:rPr>
      </w:pPr>
      <w:r w:rsidRPr="00EC1192">
        <w:rPr>
          <w:lang w:eastAsia="en-GB"/>
        </w:rPr>
        <w:t xml:space="preserve">Pacific </w:t>
      </w:r>
      <w:r>
        <w:rPr>
          <w:lang w:eastAsia="en-GB"/>
        </w:rPr>
        <w:t xml:space="preserve">adults’ past-year use of amphetamines was similar to that of </w:t>
      </w:r>
      <w:r w:rsidRPr="00EC1192">
        <w:rPr>
          <w:lang w:eastAsia="en-GB"/>
        </w:rPr>
        <w:t xml:space="preserve">non-Pacific adults </w:t>
      </w:r>
      <w:r>
        <w:rPr>
          <w:lang w:eastAsia="en-GB"/>
        </w:rPr>
        <w:t>(ARR 1.0; 0.4–2.1</w:t>
      </w:r>
      <w:r w:rsidRPr="00EC1192">
        <w:rPr>
          <w:lang w:eastAsia="en-GB"/>
        </w:rPr>
        <w:t>).</w:t>
      </w:r>
    </w:p>
    <w:p w:rsidR="00607C7D" w:rsidRDefault="00607C7D" w:rsidP="00607C7D">
      <w:pPr>
        <w:rPr>
          <w:lang w:eastAsia="en-GB"/>
        </w:rPr>
      </w:pPr>
    </w:p>
    <w:p w:rsidR="005F055E" w:rsidRPr="006633D7" w:rsidRDefault="005F055E" w:rsidP="00607C7D">
      <w:pPr>
        <w:pStyle w:val="Heading3"/>
        <w:rPr>
          <w:lang w:eastAsia="en-GB"/>
        </w:rPr>
      </w:pPr>
      <w:r>
        <w:rPr>
          <w:lang w:eastAsia="en-GB"/>
        </w:rPr>
        <w:t>A</w:t>
      </w:r>
      <w:r w:rsidRPr="006633D7">
        <w:rPr>
          <w:lang w:eastAsia="en-GB"/>
        </w:rPr>
        <w:t>mphetamine use</w:t>
      </w:r>
      <w:r>
        <w:rPr>
          <w:lang w:eastAsia="en-GB"/>
        </w:rPr>
        <w:t xml:space="preserve"> has been stable</w:t>
      </w:r>
      <w:r w:rsidRPr="006633D7">
        <w:rPr>
          <w:lang w:eastAsia="en-GB"/>
        </w:rPr>
        <w:t xml:space="preserve"> </w:t>
      </w:r>
      <w:r>
        <w:rPr>
          <w:lang w:eastAsia="en-GB"/>
        </w:rPr>
        <w:t xml:space="preserve">since </w:t>
      </w:r>
      <w:r w:rsidRPr="006633D7">
        <w:rPr>
          <w:lang w:eastAsia="en-GB"/>
        </w:rPr>
        <w:t>201</w:t>
      </w:r>
      <w:r>
        <w:rPr>
          <w:lang w:eastAsia="en-GB"/>
        </w:rPr>
        <w:t>1</w:t>
      </w:r>
      <w:r w:rsidRPr="006633D7">
        <w:rPr>
          <w:lang w:eastAsia="en-GB"/>
        </w:rPr>
        <w:t>/1</w:t>
      </w:r>
      <w:r>
        <w:rPr>
          <w:lang w:eastAsia="en-GB"/>
        </w:rPr>
        <w:t>2</w:t>
      </w:r>
    </w:p>
    <w:p w:rsidR="005F055E" w:rsidRPr="006633D7" w:rsidRDefault="005F055E" w:rsidP="00607C7D">
      <w:pPr>
        <w:rPr>
          <w:lang w:eastAsia="en-GB"/>
        </w:rPr>
      </w:pPr>
      <w:r>
        <w:rPr>
          <w:lang w:eastAsia="en-GB"/>
        </w:rPr>
        <w:t>T</w:t>
      </w:r>
      <w:r w:rsidRPr="006633D7">
        <w:rPr>
          <w:lang w:eastAsia="en-GB"/>
        </w:rPr>
        <w:t>here was no difference</w:t>
      </w:r>
      <w:r w:rsidRPr="006633D7">
        <w:rPr>
          <w:color w:val="FF0000"/>
          <w:lang w:eastAsia="en-GB"/>
        </w:rPr>
        <w:t xml:space="preserve"> </w:t>
      </w:r>
      <w:r>
        <w:rPr>
          <w:lang w:eastAsia="en-GB"/>
        </w:rPr>
        <w:t>between the 2015/16 past-year prevalence of amphetamine use (1.1%</w:t>
      </w:r>
      <w:proofErr w:type="gramStart"/>
      <w:r>
        <w:rPr>
          <w:lang w:eastAsia="en-GB"/>
        </w:rPr>
        <w:t>;</w:t>
      </w:r>
      <w:proofErr w:type="gramEnd"/>
      <w:r w:rsidR="00607C7D">
        <w:rPr>
          <w:lang w:eastAsia="en-GB"/>
        </w:rPr>
        <w:br/>
      </w:r>
      <w:r>
        <w:rPr>
          <w:lang w:eastAsia="en-GB"/>
        </w:rPr>
        <w:t>0.9–1.5</w:t>
      </w:r>
      <w:r w:rsidRPr="006633D7">
        <w:rPr>
          <w:lang w:eastAsia="en-GB"/>
        </w:rPr>
        <w:t>)</w:t>
      </w:r>
      <w:r>
        <w:rPr>
          <w:lang w:eastAsia="en-GB"/>
        </w:rPr>
        <w:t xml:space="preserve"> and that of the previous year (2014/15 = </w:t>
      </w:r>
      <w:r w:rsidRPr="006633D7">
        <w:rPr>
          <w:lang w:eastAsia="en-GB"/>
        </w:rPr>
        <w:t>0.9%; 0.7–1.1</w:t>
      </w:r>
      <w:r>
        <w:rPr>
          <w:lang w:eastAsia="en-GB"/>
        </w:rPr>
        <w:t>). In fact, n</w:t>
      </w:r>
      <w:r w:rsidRPr="006633D7">
        <w:rPr>
          <w:lang w:eastAsia="en-GB"/>
        </w:rPr>
        <w:t xml:space="preserve">o </w:t>
      </w:r>
      <w:r>
        <w:rPr>
          <w:lang w:eastAsia="en-GB"/>
        </w:rPr>
        <w:t xml:space="preserve">significant </w:t>
      </w:r>
      <w:r w:rsidRPr="006633D7">
        <w:rPr>
          <w:lang w:eastAsia="en-GB"/>
        </w:rPr>
        <w:t xml:space="preserve">difference in prevalence </w:t>
      </w:r>
      <w:r>
        <w:rPr>
          <w:lang w:eastAsia="en-GB"/>
        </w:rPr>
        <w:t>of amphetamine use has been</w:t>
      </w:r>
      <w:r w:rsidRPr="006633D7">
        <w:rPr>
          <w:lang w:eastAsia="en-GB"/>
        </w:rPr>
        <w:t xml:space="preserve"> found </w:t>
      </w:r>
      <w:r>
        <w:rPr>
          <w:lang w:eastAsia="en-GB"/>
        </w:rPr>
        <w:t>since</w:t>
      </w:r>
      <w:r w:rsidRPr="006633D7">
        <w:rPr>
          <w:lang w:eastAsia="en-GB"/>
        </w:rPr>
        <w:t xml:space="preserve"> </w:t>
      </w:r>
      <w:r>
        <w:rPr>
          <w:lang w:eastAsia="en-GB"/>
        </w:rPr>
        <w:t>2011/12.</w:t>
      </w:r>
    </w:p>
    <w:p w:rsidR="005F055E" w:rsidRDefault="005F055E" w:rsidP="00607C7D">
      <w:pPr>
        <w:rPr>
          <w:lang w:eastAsia="en-GB"/>
        </w:rPr>
      </w:pPr>
    </w:p>
    <w:p w:rsidR="005F055E" w:rsidRDefault="005F055E" w:rsidP="00607C7D">
      <w:pPr>
        <w:rPr>
          <w:lang w:eastAsia="en-GB"/>
        </w:rPr>
      </w:pPr>
      <w:r w:rsidRPr="006633D7">
        <w:rPr>
          <w:lang w:eastAsia="en-GB"/>
        </w:rPr>
        <w:t xml:space="preserve">Amphetamine use has been measured in </w:t>
      </w:r>
      <w:r>
        <w:rPr>
          <w:lang w:eastAsia="en-GB"/>
        </w:rPr>
        <w:t>other</w:t>
      </w:r>
      <w:r w:rsidRPr="006633D7">
        <w:rPr>
          <w:lang w:eastAsia="en-GB"/>
        </w:rPr>
        <w:t xml:space="preserve"> national New Zealand surveys </w:t>
      </w:r>
      <w:r>
        <w:rPr>
          <w:lang w:eastAsia="en-GB"/>
        </w:rPr>
        <w:t>before</w:t>
      </w:r>
      <w:r w:rsidRPr="006633D7">
        <w:rPr>
          <w:lang w:eastAsia="en-GB"/>
        </w:rPr>
        <w:t xml:space="preserve"> the NZHS. The earlier national surveys used different methodologies (such as a different intervie</w:t>
      </w:r>
      <w:r>
        <w:rPr>
          <w:lang w:eastAsia="en-GB"/>
        </w:rPr>
        <w:t>w mode and different questions)</w:t>
      </w:r>
      <w:r w:rsidRPr="006633D7">
        <w:rPr>
          <w:lang w:eastAsia="en-GB"/>
        </w:rPr>
        <w:t xml:space="preserve">, so trends need to be interpreted cautiously. </w:t>
      </w:r>
      <w:r>
        <w:rPr>
          <w:lang w:eastAsia="en-GB"/>
        </w:rPr>
        <w:t>D</w:t>
      </w:r>
      <w:r w:rsidRPr="006633D7">
        <w:rPr>
          <w:lang w:eastAsia="en-GB"/>
        </w:rPr>
        <w:t>ata from these surveys has been reanalysed to enhance comparability with the NZHS data.</w:t>
      </w:r>
      <w:r>
        <w:rPr>
          <w:lang w:eastAsia="en-GB"/>
        </w:rPr>
        <w:t xml:space="preserve"> T</w:t>
      </w:r>
      <w:r w:rsidRPr="006633D7">
        <w:rPr>
          <w:lang w:eastAsia="en-GB"/>
        </w:rPr>
        <w:t>he overall indication is that the prevalence of</w:t>
      </w:r>
      <w:r>
        <w:rPr>
          <w:lang w:eastAsia="en-GB"/>
        </w:rPr>
        <w:t xml:space="preserve"> </w:t>
      </w:r>
      <w:r w:rsidRPr="006633D7">
        <w:rPr>
          <w:lang w:eastAsia="en-GB"/>
        </w:rPr>
        <w:t>past-year amphetamine us</w:t>
      </w:r>
      <w:r>
        <w:rPr>
          <w:lang w:eastAsia="en-GB"/>
        </w:rPr>
        <w:t>e has declined from 2003 to 2015/16</w:t>
      </w:r>
      <w:r w:rsidRPr="006633D7">
        <w:rPr>
          <w:lang w:eastAsia="en-GB"/>
        </w:rPr>
        <w:t xml:space="preserve"> for </w:t>
      </w:r>
      <w:r>
        <w:rPr>
          <w:lang w:eastAsia="en-GB"/>
        </w:rPr>
        <w:t>adults</w:t>
      </w:r>
      <w:r w:rsidRPr="006633D7">
        <w:rPr>
          <w:lang w:eastAsia="en-GB"/>
        </w:rPr>
        <w:t xml:space="preserve"> (see Table 1). This decrease remain</w:t>
      </w:r>
      <w:r>
        <w:rPr>
          <w:lang w:eastAsia="en-GB"/>
        </w:rPr>
        <w:t>s</w:t>
      </w:r>
      <w:r w:rsidRPr="006633D7">
        <w:rPr>
          <w:lang w:eastAsia="en-GB"/>
        </w:rPr>
        <w:t xml:space="preserve"> significant after adjusting for age.</w:t>
      </w:r>
    </w:p>
    <w:p w:rsidR="005F055E" w:rsidRPr="006633D7" w:rsidRDefault="005F055E" w:rsidP="00607C7D">
      <w:pPr>
        <w:pStyle w:val="Table"/>
      </w:pPr>
      <w:r w:rsidRPr="006633D7">
        <w:lastRenderedPageBreak/>
        <w:t>Table 1: Past-year amphetamine use in New Zealand for adults aged 16–64 years</w:t>
      </w:r>
    </w:p>
    <w:tbl>
      <w:tblPr>
        <w:tblStyle w:val="TableGrid"/>
        <w:tblW w:w="9356"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3969"/>
        <w:gridCol w:w="2551"/>
        <w:gridCol w:w="1701"/>
      </w:tblGrid>
      <w:tr w:rsidR="005F055E" w:rsidRPr="00F94503" w:rsidTr="00607C7D">
        <w:trPr>
          <w:cantSplit/>
        </w:trPr>
        <w:tc>
          <w:tcPr>
            <w:tcW w:w="1135" w:type="dxa"/>
            <w:tcBorders>
              <w:top w:val="single" w:sz="4" w:space="0" w:color="auto"/>
              <w:bottom w:val="single" w:sz="4" w:space="0" w:color="auto"/>
            </w:tcBorders>
          </w:tcPr>
          <w:p w:rsidR="005F055E" w:rsidRPr="00F94503" w:rsidRDefault="005F055E" w:rsidP="00A06091">
            <w:pPr>
              <w:pStyle w:val="TableText"/>
              <w:rPr>
                <w:b/>
              </w:rPr>
            </w:pPr>
            <w:r w:rsidRPr="00F94503">
              <w:rPr>
                <w:b/>
              </w:rPr>
              <w:t>Year</w:t>
            </w:r>
          </w:p>
        </w:tc>
        <w:tc>
          <w:tcPr>
            <w:tcW w:w="3969" w:type="dxa"/>
            <w:tcBorders>
              <w:top w:val="single" w:sz="4" w:space="0" w:color="auto"/>
              <w:bottom w:val="single" w:sz="4" w:space="0" w:color="auto"/>
            </w:tcBorders>
          </w:tcPr>
          <w:p w:rsidR="005F055E" w:rsidRPr="00F94503" w:rsidRDefault="005F055E" w:rsidP="00A06091">
            <w:pPr>
              <w:pStyle w:val="TableText"/>
              <w:rPr>
                <w:b/>
              </w:rPr>
            </w:pPr>
            <w:r w:rsidRPr="00F94503">
              <w:rPr>
                <w:b/>
              </w:rPr>
              <w:t>Survey</w:t>
            </w:r>
          </w:p>
        </w:tc>
        <w:tc>
          <w:tcPr>
            <w:tcW w:w="2551" w:type="dxa"/>
            <w:tcBorders>
              <w:top w:val="single" w:sz="4" w:space="0" w:color="auto"/>
              <w:bottom w:val="single" w:sz="4" w:space="0" w:color="auto"/>
            </w:tcBorders>
          </w:tcPr>
          <w:p w:rsidR="005F055E" w:rsidRPr="00F94503" w:rsidRDefault="005F055E" w:rsidP="00A06091">
            <w:pPr>
              <w:pStyle w:val="TableText"/>
              <w:rPr>
                <w:b/>
              </w:rPr>
            </w:pPr>
            <w:r w:rsidRPr="00F94503">
              <w:rPr>
                <w:b/>
              </w:rPr>
              <w:t>Mode</w:t>
            </w:r>
          </w:p>
        </w:tc>
        <w:tc>
          <w:tcPr>
            <w:tcW w:w="1701" w:type="dxa"/>
            <w:tcBorders>
              <w:top w:val="single" w:sz="4" w:space="0" w:color="auto"/>
              <w:bottom w:val="single" w:sz="4" w:space="0" w:color="auto"/>
            </w:tcBorders>
          </w:tcPr>
          <w:p w:rsidR="005F055E" w:rsidRPr="00F94503" w:rsidRDefault="00607C7D" w:rsidP="00A06091">
            <w:pPr>
              <w:pStyle w:val="TableText"/>
              <w:rPr>
                <w:b/>
              </w:rPr>
            </w:pPr>
            <w:r>
              <w:rPr>
                <w:b/>
              </w:rPr>
              <w:t>Prevalence</w:t>
            </w:r>
          </w:p>
        </w:tc>
      </w:tr>
      <w:tr w:rsidR="005F055E" w:rsidRPr="006633D7" w:rsidTr="00607C7D">
        <w:trPr>
          <w:cantSplit/>
        </w:trPr>
        <w:tc>
          <w:tcPr>
            <w:tcW w:w="1135" w:type="dxa"/>
            <w:tcBorders>
              <w:top w:val="single" w:sz="4" w:space="0" w:color="auto"/>
              <w:bottom w:val="single" w:sz="4" w:space="0" w:color="A6A6A6" w:themeColor="background1" w:themeShade="A6"/>
            </w:tcBorders>
            <w:shd w:val="clear" w:color="auto" w:fill="auto"/>
          </w:tcPr>
          <w:p w:rsidR="005F055E" w:rsidRPr="006633D7" w:rsidRDefault="005F055E" w:rsidP="00A06091">
            <w:pPr>
              <w:pStyle w:val="TableText"/>
            </w:pPr>
            <w:r w:rsidRPr="006633D7">
              <w:t>2003</w:t>
            </w:r>
          </w:p>
        </w:tc>
        <w:tc>
          <w:tcPr>
            <w:tcW w:w="3969" w:type="dxa"/>
            <w:tcBorders>
              <w:top w:val="single" w:sz="4" w:space="0" w:color="auto"/>
              <w:bottom w:val="single" w:sz="4" w:space="0" w:color="A6A6A6" w:themeColor="background1" w:themeShade="A6"/>
            </w:tcBorders>
            <w:shd w:val="clear" w:color="auto" w:fill="auto"/>
          </w:tcPr>
          <w:p w:rsidR="005F055E" w:rsidRPr="006633D7" w:rsidRDefault="005F055E" w:rsidP="00A06091">
            <w:pPr>
              <w:pStyle w:val="TableText"/>
            </w:pPr>
            <w:r w:rsidRPr="006633D7">
              <w:t>Health Behaviours Survey – Drug Use</w:t>
            </w:r>
          </w:p>
        </w:tc>
        <w:tc>
          <w:tcPr>
            <w:tcW w:w="2551" w:type="dxa"/>
            <w:tcBorders>
              <w:top w:val="single" w:sz="4" w:space="0" w:color="auto"/>
              <w:bottom w:val="single" w:sz="4" w:space="0" w:color="A6A6A6" w:themeColor="background1" w:themeShade="A6"/>
            </w:tcBorders>
            <w:shd w:val="clear" w:color="auto" w:fill="auto"/>
          </w:tcPr>
          <w:p w:rsidR="005F055E" w:rsidRPr="006633D7" w:rsidRDefault="005F055E" w:rsidP="00A06091">
            <w:pPr>
              <w:pStyle w:val="TableText"/>
            </w:pPr>
            <w:r w:rsidRPr="006633D7">
              <w:t>Telephone interview</w:t>
            </w:r>
          </w:p>
        </w:tc>
        <w:tc>
          <w:tcPr>
            <w:tcW w:w="1701" w:type="dxa"/>
            <w:tcBorders>
              <w:top w:val="single" w:sz="4" w:space="0" w:color="auto"/>
              <w:bottom w:val="single" w:sz="4" w:space="0" w:color="A6A6A6" w:themeColor="background1" w:themeShade="A6"/>
            </w:tcBorders>
            <w:shd w:val="clear" w:color="auto" w:fill="auto"/>
          </w:tcPr>
          <w:p w:rsidR="005F055E" w:rsidRPr="006633D7" w:rsidRDefault="005F055E" w:rsidP="00A06091">
            <w:pPr>
              <w:pStyle w:val="TableText"/>
            </w:pPr>
            <w:r w:rsidRPr="006633D7">
              <w:t>2.7% (2.3–3.3)</w:t>
            </w:r>
          </w:p>
        </w:tc>
      </w:tr>
      <w:tr w:rsidR="005F055E" w:rsidRPr="006633D7" w:rsidTr="00607C7D">
        <w:trPr>
          <w:cantSplit/>
        </w:trPr>
        <w:tc>
          <w:tcPr>
            <w:tcW w:w="1135"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2007/08</w:t>
            </w:r>
          </w:p>
        </w:tc>
        <w:tc>
          <w:tcPr>
            <w:tcW w:w="3969"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New Zealand Alcohol and Drug Use Survey</w:t>
            </w:r>
          </w:p>
        </w:tc>
        <w:tc>
          <w:tcPr>
            <w:tcW w:w="255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Self-completed interview</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2.2% (1.7–2.7)</w:t>
            </w:r>
          </w:p>
        </w:tc>
      </w:tr>
      <w:tr w:rsidR="005F055E" w:rsidRPr="006633D7" w:rsidTr="00607C7D">
        <w:trPr>
          <w:cantSplit/>
        </w:trPr>
        <w:tc>
          <w:tcPr>
            <w:tcW w:w="1135"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2011/12</w:t>
            </w:r>
          </w:p>
        </w:tc>
        <w:tc>
          <w:tcPr>
            <w:tcW w:w="3969"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New Zealand Health Survey</w:t>
            </w:r>
          </w:p>
        </w:tc>
        <w:tc>
          <w:tcPr>
            <w:tcW w:w="255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Face-to-face interview</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0.9% (0.7–1.1)</w:t>
            </w:r>
          </w:p>
        </w:tc>
      </w:tr>
      <w:tr w:rsidR="005F055E" w:rsidRPr="006633D7" w:rsidTr="00607C7D">
        <w:trPr>
          <w:cantSplit/>
        </w:trPr>
        <w:tc>
          <w:tcPr>
            <w:tcW w:w="1135"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2012/13</w:t>
            </w:r>
          </w:p>
        </w:tc>
        <w:tc>
          <w:tcPr>
            <w:tcW w:w="3969"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New Zealand Health Survey</w:t>
            </w:r>
          </w:p>
        </w:tc>
        <w:tc>
          <w:tcPr>
            <w:tcW w:w="255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Face-to-face interview</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0.9% (0.7–1.2)</w:t>
            </w:r>
          </w:p>
        </w:tc>
      </w:tr>
      <w:tr w:rsidR="005F055E" w:rsidRPr="006633D7" w:rsidTr="00607C7D">
        <w:trPr>
          <w:cantSplit/>
        </w:trPr>
        <w:tc>
          <w:tcPr>
            <w:tcW w:w="1135"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2013/14</w:t>
            </w:r>
          </w:p>
        </w:tc>
        <w:tc>
          <w:tcPr>
            <w:tcW w:w="3969"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New Zealand Health Survey</w:t>
            </w:r>
          </w:p>
        </w:tc>
        <w:tc>
          <w:tcPr>
            <w:tcW w:w="255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Face-to-face interview</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1.1% (0.8–1.4)</w:t>
            </w:r>
          </w:p>
        </w:tc>
      </w:tr>
      <w:tr w:rsidR="005F055E" w:rsidRPr="006633D7" w:rsidTr="00607C7D">
        <w:trPr>
          <w:cantSplit/>
        </w:trPr>
        <w:tc>
          <w:tcPr>
            <w:tcW w:w="1135"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2014/15</w:t>
            </w:r>
          </w:p>
        </w:tc>
        <w:tc>
          <w:tcPr>
            <w:tcW w:w="3969"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New Zealand Health Survey</w:t>
            </w:r>
          </w:p>
        </w:tc>
        <w:tc>
          <w:tcPr>
            <w:tcW w:w="255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Face-to-face interview</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5F055E" w:rsidRPr="006633D7" w:rsidRDefault="005F055E" w:rsidP="00A06091">
            <w:pPr>
              <w:pStyle w:val="TableText"/>
            </w:pPr>
            <w:r w:rsidRPr="006633D7">
              <w:t>0.9% (0.7–1.1)</w:t>
            </w:r>
          </w:p>
        </w:tc>
      </w:tr>
      <w:tr w:rsidR="005F055E" w:rsidRPr="006633D7" w:rsidTr="00607C7D">
        <w:trPr>
          <w:cantSplit/>
        </w:trPr>
        <w:tc>
          <w:tcPr>
            <w:tcW w:w="1135" w:type="dxa"/>
            <w:tcBorders>
              <w:top w:val="single" w:sz="4" w:space="0" w:color="A6A6A6" w:themeColor="background1" w:themeShade="A6"/>
              <w:bottom w:val="single" w:sz="4" w:space="0" w:color="auto"/>
            </w:tcBorders>
            <w:shd w:val="clear" w:color="auto" w:fill="auto"/>
          </w:tcPr>
          <w:p w:rsidR="005F055E" w:rsidRPr="006633D7" w:rsidRDefault="005F055E" w:rsidP="00A06091">
            <w:pPr>
              <w:pStyle w:val="TableText"/>
            </w:pPr>
            <w:r>
              <w:t>2015/16</w:t>
            </w:r>
          </w:p>
        </w:tc>
        <w:tc>
          <w:tcPr>
            <w:tcW w:w="3969" w:type="dxa"/>
            <w:tcBorders>
              <w:top w:val="single" w:sz="4" w:space="0" w:color="A6A6A6" w:themeColor="background1" w:themeShade="A6"/>
              <w:bottom w:val="single" w:sz="4" w:space="0" w:color="auto"/>
            </w:tcBorders>
            <w:shd w:val="clear" w:color="auto" w:fill="auto"/>
          </w:tcPr>
          <w:p w:rsidR="005F055E" w:rsidRPr="006633D7" w:rsidRDefault="005F055E" w:rsidP="00A06091">
            <w:pPr>
              <w:pStyle w:val="TableText"/>
            </w:pPr>
            <w:r w:rsidRPr="006633D7">
              <w:t>New Zealand Health Survey</w:t>
            </w:r>
          </w:p>
        </w:tc>
        <w:tc>
          <w:tcPr>
            <w:tcW w:w="2551" w:type="dxa"/>
            <w:tcBorders>
              <w:top w:val="single" w:sz="4" w:space="0" w:color="A6A6A6" w:themeColor="background1" w:themeShade="A6"/>
              <w:bottom w:val="single" w:sz="4" w:space="0" w:color="auto"/>
            </w:tcBorders>
            <w:shd w:val="clear" w:color="auto" w:fill="auto"/>
          </w:tcPr>
          <w:p w:rsidR="005F055E" w:rsidRPr="006633D7" w:rsidRDefault="005F055E" w:rsidP="00A06091">
            <w:pPr>
              <w:pStyle w:val="TableText"/>
            </w:pPr>
            <w:r w:rsidRPr="006633D7">
              <w:t>Face-to-face interview</w:t>
            </w:r>
          </w:p>
        </w:tc>
        <w:tc>
          <w:tcPr>
            <w:tcW w:w="1701" w:type="dxa"/>
            <w:tcBorders>
              <w:top w:val="single" w:sz="4" w:space="0" w:color="A6A6A6" w:themeColor="background1" w:themeShade="A6"/>
              <w:bottom w:val="single" w:sz="4" w:space="0" w:color="auto"/>
            </w:tcBorders>
            <w:shd w:val="clear" w:color="auto" w:fill="auto"/>
          </w:tcPr>
          <w:p w:rsidR="005F055E" w:rsidRPr="006633D7" w:rsidRDefault="005F055E" w:rsidP="00A06091">
            <w:pPr>
              <w:pStyle w:val="TableText"/>
            </w:pPr>
            <w:r>
              <w:t>1.1% (0.9–1.5</w:t>
            </w:r>
            <w:r w:rsidRPr="006633D7">
              <w:t>)</w:t>
            </w:r>
          </w:p>
        </w:tc>
      </w:tr>
    </w:tbl>
    <w:p w:rsidR="005F055E" w:rsidRDefault="005F055E" w:rsidP="00607C7D">
      <w:pPr>
        <w:pStyle w:val="Source"/>
        <w:rPr>
          <w:lang w:eastAsia="en-GB"/>
        </w:rPr>
      </w:pPr>
      <w:r w:rsidRPr="006633D7">
        <w:rPr>
          <w:lang w:eastAsia="en-GB"/>
        </w:rPr>
        <w:t>Source</w:t>
      </w:r>
      <w:r>
        <w:rPr>
          <w:lang w:eastAsia="en-GB"/>
        </w:rPr>
        <w:t>s</w:t>
      </w:r>
      <w:r w:rsidRPr="006633D7">
        <w:rPr>
          <w:lang w:eastAsia="en-GB"/>
        </w:rPr>
        <w:t>: Ministry of Health 2007, 2009; data from NZH</w:t>
      </w:r>
      <w:r>
        <w:rPr>
          <w:lang w:eastAsia="en-GB"/>
        </w:rPr>
        <w:t xml:space="preserve">S 2011/12, 2012/13, 2013/14, </w:t>
      </w:r>
      <w:r w:rsidRPr="006633D7">
        <w:rPr>
          <w:lang w:eastAsia="en-GB"/>
        </w:rPr>
        <w:t>2014/15</w:t>
      </w:r>
      <w:r>
        <w:rPr>
          <w:lang w:eastAsia="en-GB"/>
        </w:rPr>
        <w:t xml:space="preserve"> and 2015/16</w:t>
      </w:r>
    </w:p>
    <w:p w:rsidR="005F055E" w:rsidRPr="00F94503" w:rsidRDefault="005F055E" w:rsidP="00607C7D">
      <w:pPr>
        <w:rPr>
          <w:lang w:eastAsia="en-GB"/>
        </w:rPr>
      </w:pPr>
    </w:p>
    <w:p w:rsidR="005F055E" w:rsidRPr="006633D7" w:rsidRDefault="005F055E" w:rsidP="00607C7D">
      <w:pPr>
        <w:pStyle w:val="Heading3"/>
        <w:rPr>
          <w:lang w:eastAsia="en-GB"/>
        </w:rPr>
      </w:pPr>
      <w:r w:rsidRPr="006633D7">
        <w:rPr>
          <w:lang w:eastAsia="en-GB"/>
        </w:rPr>
        <w:t xml:space="preserve">The average age of </w:t>
      </w:r>
      <w:r>
        <w:rPr>
          <w:lang w:eastAsia="en-GB"/>
        </w:rPr>
        <w:t>past-year amphetamine users was 31</w:t>
      </w:r>
      <w:r w:rsidRPr="003A7D9A">
        <w:rPr>
          <w:lang w:eastAsia="en-GB"/>
        </w:rPr>
        <w:t xml:space="preserve"> years</w:t>
      </w:r>
    </w:p>
    <w:p w:rsidR="005F055E" w:rsidRDefault="005F055E" w:rsidP="00607C7D">
      <w:pPr>
        <w:rPr>
          <w:lang w:eastAsia="en-GB"/>
        </w:rPr>
      </w:pPr>
      <w:r>
        <w:rPr>
          <w:lang w:eastAsia="en-GB"/>
        </w:rPr>
        <w:t>In 2015/16, t</w:t>
      </w:r>
      <w:r w:rsidRPr="006633D7">
        <w:rPr>
          <w:lang w:eastAsia="en-GB"/>
        </w:rPr>
        <w:t>he mean age of pa</w:t>
      </w:r>
      <w:r>
        <w:rPr>
          <w:lang w:eastAsia="en-GB"/>
        </w:rPr>
        <w:t>st-year amphetamine users was 31</w:t>
      </w:r>
      <w:r w:rsidRPr="006633D7">
        <w:rPr>
          <w:lang w:eastAsia="en-GB"/>
        </w:rPr>
        <w:t xml:space="preserve"> years (</w:t>
      </w:r>
      <w:r>
        <w:rPr>
          <w:lang w:eastAsia="en-GB"/>
        </w:rPr>
        <w:t>95% CI: 29–33</w:t>
      </w:r>
      <w:r w:rsidRPr="006633D7">
        <w:rPr>
          <w:lang w:eastAsia="en-GB"/>
        </w:rPr>
        <w:t xml:space="preserve">). </w:t>
      </w:r>
      <w:r w:rsidRPr="00A74A58">
        <w:rPr>
          <w:lang w:eastAsia="en-GB"/>
        </w:rPr>
        <w:t xml:space="preserve">The mean age of </w:t>
      </w:r>
      <w:r>
        <w:rPr>
          <w:lang w:eastAsia="en-GB"/>
        </w:rPr>
        <w:t xml:space="preserve">past year </w:t>
      </w:r>
      <w:r w:rsidRPr="00A74A58">
        <w:rPr>
          <w:lang w:eastAsia="en-GB"/>
        </w:rPr>
        <w:t>amphetamine user</w:t>
      </w:r>
      <w:r>
        <w:rPr>
          <w:lang w:eastAsia="en-GB"/>
        </w:rPr>
        <w:t>s</w:t>
      </w:r>
      <w:r w:rsidRPr="00A74A58">
        <w:rPr>
          <w:lang w:eastAsia="en-GB"/>
        </w:rPr>
        <w:t xml:space="preserve"> has not changed </w:t>
      </w:r>
      <w:r>
        <w:rPr>
          <w:lang w:eastAsia="en-GB"/>
        </w:rPr>
        <w:t xml:space="preserve">significantly </w:t>
      </w:r>
      <w:r w:rsidRPr="00A74A58">
        <w:rPr>
          <w:lang w:eastAsia="en-GB"/>
        </w:rPr>
        <w:t>since 2011/12</w:t>
      </w:r>
      <w:r>
        <w:rPr>
          <w:lang w:eastAsia="en-GB"/>
        </w:rPr>
        <w:t>.</w:t>
      </w:r>
    </w:p>
    <w:p w:rsidR="00607C7D" w:rsidRDefault="00607C7D" w:rsidP="00607C7D">
      <w:pPr>
        <w:rPr>
          <w:lang w:eastAsia="en-GB"/>
        </w:rPr>
      </w:pPr>
    </w:p>
    <w:p w:rsidR="005F055E" w:rsidRPr="00941947" w:rsidRDefault="005F055E" w:rsidP="00607C7D">
      <w:pPr>
        <w:pStyle w:val="Heading2"/>
        <w:rPr>
          <w:lang w:eastAsia="en-GB"/>
        </w:rPr>
      </w:pPr>
      <w:r>
        <w:rPr>
          <w:lang w:eastAsia="en-GB"/>
        </w:rPr>
        <w:t>Further information</w:t>
      </w:r>
    </w:p>
    <w:p w:rsidR="005F055E" w:rsidRDefault="005F055E" w:rsidP="00607C7D">
      <w:pPr>
        <w:pStyle w:val="Heading3"/>
        <w:rPr>
          <w:lang w:eastAsia="en-GB"/>
        </w:rPr>
      </w:pPr>
      <w:r w:rsidRPr="006633D7">
        <w:rPr>
          <w:lang w:eastAsia="en-GB"/>
        </w:rPr>
        <w:t>The N</w:t>
      </w:r>
      <w:r>
        <w:rPr>
          <w:lang w:eastAsia="en-GB"/>
        </w:rPr>
        <w:t xml:space="preserve">ew </w:t>
      </w:r>
      <w:r w:rsidRPr="006633D7">
        <w:rPr>
          <w:lang w:eastAsia="en-GB"/>
        </w:rPr>
        <w:t>Z</w:t>
      </w:r>
      <w:r>
        <w:rPr>
          <w:lang w:eastAsia="en-GB"/>
        </w:rPr>
        <w:t xml:space="preserve">ealand </w:t>
      </w:r>
      <w:r w:rsidRPr="006633D7">
        <w:rPr>
          <w:lang w:eastAsia="en-GB"/>
        </w:rPr>
        <w:t>H</w:t>
      </w:r>
      <w:r>
        <w:rPr>
          <w:lang w:eastAsia="en-GB"/>
        </w:rPr>
        <w:t xml:space="preserve">ealth </w:t>
      </w:r>
      <w:r w:rsidRPr="006633D7">
        <w:rPr>
          <w:lang w:eastAsia="en-GB"/>
        </w:rPr>
        <w:t>S</w:t>
      </w:r>
      <w:r>
        <w:rPr>
          <w:lang w:eastAsia="en-GB"/>
        </w:rPr>
        <w:t>urvey</w:t>
      </w:r>
    </w:p>
    <w:p w:rsidR="005F055E" w:rsidRDefault="005F055E" w:rsidP="00607C7D">
      <w:r w:rsidRPr="00154D15">
        <w:t xml:space="preserve">The </w:t>
      </w:r>
      <w:r>
        <w:t>NZHS is a continuous survey that</w:t>
      </w:r>
      <w:r w:rsidRPr="00154D15">
        <w:t xml:space="preserve"> provides information about the health and wellbeing of New Zealanders. </w:t>
      </w:r>
      <w:r>
        <w:t>It</w:t>
      </w:r>
      <w:r w:rsidRPr="007B4DD7">
        <w:t xml:space="preserve"> consists of a set of ‘core’ questions, which are always in the survey, plus in-depth modules that change each year. </w:t>
      </w:r>
      <w:r>
        <w:t>T</w:t>
      </w:r>
      <w:r w:rsidRPr="007B4DD7">
        <w:t>his report is based</w:t>
      </w:r>
      <w:r>
        <w:t xml:space="preserve"> on</w:t>
      </w:r>
      <w:r w:rsidRPr="007B4DD7">
        <w:t xml:space="preserve"> one core question about drug use in the last 12</w:t>
      </w:r>
      <w:r w:rsidR="00607C7D">
        <w:t> </w:t>
      </w:r>
      <w:r w:rsidRPr="007B4DD7">
        <w:t xml:space="preserve">months </w:t>
      </w:r>
      <w:r>
        <w:t>which was administered by</w:t>
      </w:r>
      <w:r w:rsidRPr="007B4DD7">
        <w:t xml:space="preserve"> face-to-face interview (see page 1).</w:t>
      </w:r>
    </w:p>
    <w:p w:rsidR="005F055E" w:rsidRDefault="005F055E" w:rsidP="00607C7D"/>
    <w:p w:rsidR="005F055E" w:rsidRDefault="005F055E" w:rsidP="00607C7D">
      <w:pPr>
        <w:rPr>
          <w:rStyle w:val="Hyperlink"/>
          <w:szCs w:val="21"/>
        </w:rPr>
      </w:pPr>
      <w:r>
        <w:rPr>
          <w:lang w:eastAsia="en-GB"/>
        </w:rPr>
        <w:t xml:space="preserve">The NZHS collected </w:t>
      </w:r>
      <w:r w:rsidRPr="00746635">
        <w:rPr>
          <w:b/>
          <w:lang w:eastAsia="en-GB"/>
        </w:rPr>
        <w:t>monthly</w:t>
      </w:r>
      <w:r>
        <w:rPr>
          <w:lang w:eastAsia="en-GB"/>
        </w:rPr>
        <w:t xml:space="preserve"> amphetamine use </w:t>
      </w:r>
      <w:r w:rsidRPr="00790A56">
        <w:rPr>
          <w:lang w:eastAsia="en-GB"/>
        </w:rPr>
        <w:t>in 2012/13</w:t>
      </w:r>
      <w:r>
        <w:rPr>
          <w:lang w:eastAsia="en-GB"/>
        </w:rPr>
        <w:t xml:space="preserve"> as part of a tobacco, alcohol and drug use module. The findings are included </w:t>
      </w:r>
      <w:r w:rsidRPr="006633D7">
        <w:rPr>
          <w:lang w:eastAsia="en-GB"/>
        </w:rPr>
        <w:t xml:space="preserve">in </w:t>
      </w:r>
      <w:hyperlink r:id="rId9" w:history="1">
        <w:r w:rsidRPr="006633D7">
          <w:rPr>
            <w:rStyle w:val="Hyperlink"/>
            <w:i/>
            <w:szCs w:val="21"/>
            <w:lang w:eastAsia="en-GB"/>
          </w:rPr>
          <w:t>Amphetamine Use 2012/13: Key findings of the New Zealand Health Survey</w:t>
        </w:r>
      </w:hyperlink>
      <w:r>
        <w:rPr>
          <w:lang w:eastAsia="en-GB"/>
        </w:rPr>
        <w:t xml:space="preserve">, available from Ministry of Health publications (search under: </w:t>
      </w:r>
      <w:hyperlink r:id="rId10" w:history="1">
        <w:r w:rsidRPr="006633D7">
          <w:rPr>
            <w:rStyle w:val="Hyperlink"/>
            <w:szCs w:val="21"/>
          </w:rPr>
          <w:t>www.health.govt.nz/publication</w:t>
        </w:r>
      </w:hyperlink>
      <w:r>
        <w:rPr>
          <w:rStyle w:val="Hyperlink"/>
          <w:szCs w:val="21"/>
        </w:rPr>
        <w:t>s/).</w:t>
      </w:r>
    </w:p>
    <w:p w:rsidR="005F055E" w:rsidRPr="006633D7" w:rsidRDefault="005F055E" w:rsidP="00607C7D">
      <w:pPr>
        <w:rPr>
          <w:lang w:eastAsia="en-GB"/>
        </w:rPr>
      </w:pPr>
    </w:p>
    <w:p w:rsidR="005F055E" w:rsidRDefault="005F055E" w:rsidP="00607C7D">
      <w:pPr>
        <w:pStyle w:val="Heading3"/>
        <w:rPr>
          <w:lang w:eastAsia="en-GB"/>
        </w:rPr>
      </w:pPr>
      <w:r w:rsidRPr="006633D7">
        <w:rPr>
          <w:lang w:eastAsia="en-GB"/>
        </w:rPr>
        <w:t>Guide to interpreting this report</w:t>
      </w:r>
    </w:p>
    <w:p w:rsidR="005F055E" w:rsidRPr="006633D7" w:rsidRDefault="005F055E" w:rsidP="00607C7D">
      <w:pPr>
        <w:rPr>
          <w:lang w:eastAsia="en-GB"/>
        </w:rPr>
      </w:pPr>
      <w:r w:rsidRPr="006633D7">
        <w:rPr>
          <w:lang w:eastAsia="en-GB"/>
        </w:rPr>
        <w:t>The findings presented above may be underestimate</w:t>
      </w:r>
      <w:r>
        <w:rPr>
          <w:lang w:eastAsia="en-GB"/>
        </w:rPr>
        <w:t xml:space="preserve">d. </w:t>
      </w:r>
      <w:r w:rsidRPr="006633D7">
        <w:rPr>
          <w:lang w:eastAsia="en-GB"/>
        </w:rPr>
        <w:t>Respondents in face-to</w:t>
      </w:r>
      <w:r>
        <w:rPr>
          <w:lang w:eastAsia="en-GB"/>
        </w:rPr>
        <w:t>-</w:t>
      </w:r>
      <w:r w:rsidRPr="006633D7">
        <w:rPr>
          <w:lang w:eastAsia="en-GB"/>
        </w:rPr>
        <w:t>f</w:t>
      </w:r>
      <w:r>
        <w:rPr>
          <w:lang w:eastAsia="en-GB"/>
        </w:rPr>
        <w:t>ace interviews, such as the 2015/16</w:t>
      </w:r>
      <w:r w:rsidRPr="006633D7">
        <w:rPr>
          <w:lang w:eastAsia="en-GB"/>
        </w:rPr>
        <w:t xml:space="preserve"> NZHS, may be more likely to conceal what they perceive to be an undesirable behaviour</w:t>
      </w:r>
      <w:r>
        <w:rPr>
          <w:lang w:eastAsia="en-GB"/>
        </w:rPr>
        <w:t>,</w:t>
      </w:r>
      <w:r w:rsidRPr="006633D7">
        <w:rPr>
          <w:lang w:eastAsia="en-GB"/>
        </w:rPr>
        <w:t xml:space="preserve"> such as drug </w:t>
      </w:r>
      <w:r w:rsidRPr="00E45160">
        <w:rPr>
          <w:lang w:eastAsia="en-GB"/>
        </w:rPr>
        <w:t>use. Therefore, these types</w:t>
      </w:r>
      <w:r w:rsidRPr="006633D7">
        <w:rPr>
          <w:lang w:eastAsia="en-GB"/>
        </w:rPr>
        <w:t xml:space="preserve"> of surveys may underestimate the prevalence of recreational drug use in the population (Rogers et al 1998).</w:t>
      </w:r>
    </w:p>
    <w:p w:rsidR="005F055E" w:rsidRDefault="005F055E" w:rsidP="00607C7D">
      <w:pPr>
        <w:rPr>
          <w:lang w:eastAsia="en-GB"/>
        </w:rPr>
      </w:pPr>
    </w:p>
    <w:p w:rsidR="005F055E" w:rsidRDefault="005F055E" w:rsidP="00607C7D">
      <w:pPr>
        <w:rPr>
          <w:lang w:eastAsia="en-GB"/>
        </w:rPr>
      </w:pPr>
      <w:r>
        <w:rPr>
          <w:lang w:eastAsia="en-GB"/>
        </w:rPr>
        <w:t>Also, the NZHS does</w:t>
      </w:r>
      <w:r w:rsidRPr="006633D7">
        <w:rPr>
          <w:lang w:eastAsia="en-GB"/>
        </w:rPr>
        <w:t xml:space="preserve"> not </w:t>
      </w:r>
      <w:r>
        <w:rPr>
          <w:lang w:eastAsia="en-GB"/>
        </w:rPr>
        <w:t>cover</w:t>
      </w:r>
      <w:r w:rsidRPr="006633D7">
        <w:rPr>
          <w:lang w:eastAsia="en-GB"/>
        </w:rPr>
        <w:t xml:space="preserve"> people living in prisons </w:t>
      </w:r>
      <w:r>
        <w:rPr>
          <w:lang w:eastAsia="en-GB"/>
        </w:rPr>
        <w:t>or</w:t>
      </w:r>
      <w:r w:rsidRPr="006633D7">
        <w:rPr>
          <w:lang w:eastAsia="en-GB"/>
        </w:rPr>
        <w:t xml:space="preserve"> the homeless. Both these populations </w:t>
      </w:r>
      <w:r>
        <w:rPr>
          <w:lang w:eastAsia="en-GB"/>
        </w:rPr>
        <w:t xml:space="preserve">are known to </w:t>
      </w:r>
      <w:r w:rsidRPr="006633D7">
        <w:rPr>
          <w:lang w:eastAsia="en-GB"/>
        </w:rPr>
        <w:t xml:space="preserve">have a higher prevalence of drug use </w:t>
      </w:r>
      <w:r>
        <w:rPr>
          <w:lang w:eastAsia="en-GB"/>
        </w:rPr>
        <w:t xml:space="preserve">than the general population </w:t>
      </w:r>
      <w:r w:rsidRPr="006633D7">
        <w:rPr>
          <w:lang w:eastAsia="en-GB"/>
        </w:rPr>
        <w:t>(Al-</w:t>
      </w:r>
      <w:proofErr w:type="spellStart"/>
      <w:r w:rsidRPr="006633D7">
        <w:rPr>
          <w:lang w:eastAsia="en-GB"/>
        </w:rPr>
        <w:t>Nasrallah</w:t>
      </w:r>
      <w:proofErr w:type="spellEnd"/>
      <w:r w:rsidRPr="006633D7">
        <w:rPr>
          <w:lang w:eastAsia="en-GB"/>
        </w:rPr>
        <w:t xml:space="preserve"> et al 2005; Department of Corrections 2004; </w:t>
      </w:r>
      <w:proofErr w:type="spellStart"/>
      <w:r w:rsidRPr="006633D7">
        <w:rPr>
          <w:lang w:eastAsia="en-GB"/>
        </w:rPr>
        <w:t>Fazel</w:t>
      </w:r>
      <w:proofErr w:type="spellEnd"/>
      <w:r w:rsidRPr="006633D7">
        <w:rPr>
          <w:lang w:eastAsia="en-GB"/>
        </w:rPr>
        <w:t xml:space="preserve"> et al 2008). However, as these populations comprise a </w:t>
      </w:r>
      <w:r>
        <w:rPr>
          <w:lang w:eastAsia="en-GB"/>
        </w:rPr>
        <w:t xml:space="preserve">relatively </w:t>
      </w:r>
      <w:r w:rsidRPr="006633D7">
        <w:rPr>
          <w:lang w:eastAsia="en-GB"/>
        </w:rPr>
        <w:t xml:space="preserve">small proportion of the total population, the impact of omitting them </w:t>
      </w:r>
      <w:r>
        <w:rPr>
          <w:lang w:eastAsia="en-GB"/>
        </w:rPr>
        <w:t xml:space="preserve">from the survey </w:t>
      </w:r>
      <w:r w:rsidRPr="006633D7">
        <w:rPr>
          <w:lang w:eastAsia="en-GB"/>
        </w:rPr>
        <w:t>is likely to be minimal.</w:t>
      </w:r>
    </w:p>
    <w:p w:rsidR="005F055E" w:rsidRPr="006633D7" w:rsidRDefault="005F055E" w:rsidP="00607C7D">
      <w:pPr>
        <w:rPr>
          <w:lang w:eastAsia="en-GB"/>
        </w:rPr>
      </w:pPr>
    </w:p>
    <w:p w:rsidR="005F055E" w:rsidRDefault="005F055E" w:rsidP="00607C7D">
      <w:pPr>
        <w:keepLines/>
        <w:rPr>
          <w:rStyle w:val="Hyperlink"/>
          <w:szCs w:val="21"/>
        </w:rPr>
      </w:pPr>
      <w:r w:rsidRPr="006633D7">
        <w:rPr>
          <w:lang w:eastAsia="en-GB"/>
        </w:rPr>
        <w:lastRenderedPageBreak/>
        <w:t>There are important differences between the surveys compared in Table 1</w:t>
      </w:r>
      <w:r>
        <w:rPr>
          <w:lang w:eastAsia="en-GB"/>
        </w:rPr>
        <w:t xml:space="preserve"> that need to</w:t>
      </w:r>
      <w:r w:rsidRPr="006633D7">
        <w:rPr>
          <w:lang w:eastAsia="en-GB"/>
        </w:rPr>
        <w:t xml:space="preserve"> be considered when interpreting the data. These include differences in the way the surveys were administered, survey context</w:t>
      </w:r>
      <w:r>
        <w:rPr>
          <w:lang w:eastAsia="en-GB"/>
        </w:rPr>
        <w:t xml:space="preserve"> (e.g. a drug specific survey versus a more general survey)</w:t>
      </w:r>
      <w:r w:rsidRPr="006633D7">
        <w:rPr>
          <w:lang w:eastAsia="en-GB"/>
        </w:rPr>
        <w:t xml:space="preserve">, survey response rate and </w:t>
      </w:r>
      <w:r>
        <w:rPr>
          <w:lang w:eastAsia="en-GB"/>
        </w:rPr>
        <w:t xml:space="preserve">the wording of </w:t>
      </w:r>
      <w:r w:rsidRPr="006633D7">
        <w:rPr>
          <w:lang w:eastAsia="en-GB"/>
        </w:rPr>
        <w:t>question</w:t>
      </w:r>
      <w:r>
        <w:rPr>
          <w:lang w:eastAsia="en-GB"/>
        </w:rPr>
        <w:t>s</w:t>
      </w:r>
      <w:r w:rsidRPr="006633D7">
        <w:rPr>
          <w:lang w:eastAsia="en-GB"/>
        </w:rPr>
        <w:t xml:space="preserve">. Specific details about the methodological differences are discussed in </w:t>
      </w:r>
      <w:hyperlink r:id="rId11" w:history="1">
        <w:r w:rsidRPr="006633D7">
          <w:rPr>
            <w:rStyle w:val="Hyperlink"/>
            <w:i/>
            <w:szCs w:val="21"/>
            <w:lang w:eastAsia="en-GB"/>
          </w:rPr>
          <w:t>Amphetamine Use 2012/13: Key findings of the New Zealand Health Survey</w:t>
        </w:r>
      </w:hyperlink>
      <w:r>
        <w:rPr>
          <w:lang w:eastAsia="en-GB"/>
        </w:rPr>
        <w:t xml:space="preserve"> (Ministry of Health 2013)</w:t>
      </w:r>
      <w:r>
        <w:rPr>
          <w:rStyle w:val="Hyperlink"/>
          <w:szCs w:val="21"/>
        </w:rPr>
        <w:t>.</w:t>
      </w:r>
    </w:p>
    <w:p w:rsidR="005F055E" w:rsidRDefault="005F055E" w:rsidP="00607C7D">
      <w:pPr>
        <w:rPr>
          <w:rStyle w:val="Hyperlink"/>
          <w:szCs w:val="21"/>
        </w:rPr>
      </w:pPr>
    </w:p>
    <w:p w:rsidR="005F055E" w:rsidRPr="006633D7" w:rsidRDefault="005F055E" w:rsidP="00607C7D">
      <w:pPr>
        <w:pStyle w:val="Heading2"/>
        <w:rPr>
          <w:lang w:eastAsia="en-GB"/>
        </w:rPr>
      </w:pPr>
      <w:r w:rsidRPr="006633D7">
        <w:rPr>
          <w:lang w:eastAsia="en-GB"/>
        </w:rPr>
        <w:t>Technical notes</w:t>
      </w:r>
    </w:p>
    <w:p w:rsidR="005F055E" w:rsidRDefault="005F055E" w:rsidP="00607C7D">
      <w:pPr>
        <w:rPr>
          <w:lang w:eastAsia="en-GB"/>
        </w:rPr>
      </w:pPr>
      <w:r w:rsidRPr="00ED00C8">
        <w:t xml:space="preserve">The data are analysed according to the techniques </w:t>
      </w:r>
      <w:r w:rsidRPr="00ED00C8">
        <w:rPr>
          <w:rStyle w:val="Hyperlink"/>
          <w:sz w:val="22"/>
          <w:szCs w:val="22"/>
        </w:rPr>
        <w:t>reported in the</w:t>
      </w:r>
      <w:r>
        <w:rPr>
          <w:rStyle w:val="Hyperlink"/>
          <w:sz w:val="22"/>
          <w:szCs w:val="22"/>
        </w:rPr>
        <w:t xml:space="preserve"> methodology report for the 2015/16</w:t>
      </w:r>
      <w:r w:rsidRPr="00ED00C8">
        <w:rPr>
          <w:rStyle w:val="Hyperlink"/>
          <w:sz w:val="22"/>
          <w:szCs w:val="22"/>
        </w:rPr>
        <w:t xml:space="preserve"> </w:t>
      </w:r>
      <w:r>
        <w:rPr>
          <w:rStyle w:val="Hyperlink"/>
          <w:sz w:val="22"/>
          <w:szCs w:val="22"/>
        </w:rPr>
        <w:t>NZHS</w:t>
      </w:r>
      <w:r w:rsidRPr="00ED00C8">
        <w:rPr>
          <w:rStyle w:val="Hyperlink"/>
          <w:sz w:val="22"/>
          <w:szCs w:val="22"/>
        </w:rPr>
        <w:t xml:space="preserve"> </w:t>
      </w:r>
      <w:r w:rsidRPr="00ED00C8">
        <w:rPr>
          <w:lang w:eastAsia="en-GB"/>
        </w:rPr>
        <w:t xml:space="preserve">(Ministry of Health, </w:t>
      </w:r>
      <w:r w:rsidRPr="00396FB0">
        <w:rPr>
          <w:lang w:eastAsia="en-GB"/>
        </w:rPr>
        <w:t>2016</w:t>
      </w:r>
      <w:r>
        <w:rPr>
          <w:lang w:eastAsia="en-GB"/>
        </w:rPr>
        <w:t>a</w:t>
      </w:r>
      <w:r w:rsidRPr="00ED00C8">
        <w:rPr>
          <w:lang w:eastAsia="en-GB"/>
        </w:rPr>
        <w:t>).</w:t>
      </w:r>
    </w:p>
    <w:p w:rsidR="005F055E" w:rsidRPr="00ED00C8" w:rsidRDefault="005F055E" w:rsidP="00607C7D">
      <w:pPr>
        <w:rPr>
          <w:lang w:eastAsia="en-GB"/>
        </w:rPr>
      </w:pPr>
    </w:p>
    <w:p w:rsidR="005F055E" w:rsidRPr="00607C7D" w:rsidRDefault="005F055E" w:rsidP="00607C7D">
      <w:r w:rsidRPr="00ED00C8">
        <w:rPr>
          <w:lang w:eastAsia="en-GB"/>
        </w:rPr>
        <w:t>A</w:t>
      </w:r>
      <w:r>
        <w:rPr>
          <w:lang w:eastAsia="en-GB"/>
        </w:rPr>
        <w:t xml:space="preserve"> difference between groups is</w:t>
      </w:r>
      <w:r w:rsidRPr="00ED00C8">
        <w:rPr>
          <w:lang w:eastAsia="en-GB"/>
        </w:rPr>
        <w:t xml:space="preserve"> statistically significant </w:t>
      </w:r>
      <w:r>
        <w:rPr>
          <w:lang w:eastAsia="en-GB"/>
        </w:rPr>
        <w:t xml:space="preserve">if the p-value is less than </w:t>
      </w:r>
      <w:r w:rsidRPr="00ED00C8">
        <w:rPr>
          <w:lang w:eastAsia="en-GB"/>
        </w:rPr>
        <w:t>0.05. Ninety-five percent confidence intervals are presented in brackets following means</w:t>
      </w:r>
      <w:r>
        <w:rPr>
          <w:lang w:eastAsia="en-GB"/>
        </w:rPr>
        <w:t xml:space="preserve"> </w:t>
      </w:r>
      <w:r w:rsidRPr="00B05251">
        <w:rPr>
          <w:lang w:eastAsia="en-GB"/>
        </w:rPr>
        <w:t>and percentages</w:t>
      </w:r>
      <w:r w:rsidRPr="00ED00C8">
        <w:rPr>
          <w:lang w:eastAsia="en-GB"/>
        </w:rPr>
        <w:t>.</w:t>
      </w:r>
    </w:p>
    <w:p w:rsidR="005F055E" w:rsidRPr="00ED00C8" w:rsidRDefault="005F055E" w:rsidP="00607C7D">
      <w:pPr>
        <w:rPr>
          <w:lang w:eastAsia="en-GB"/>
        </w:rPr>
      </w:pPr>
    </w:p>
    <w:p w:rsidR="005F055E" w:rsidRDefault="005F055E" w:rsidP="00607C7D">
      <w:pPr>
        <w:rPr>
          <w:lang w:eastAsia="en-GB"/>
        </w:rPr>
      </w:pPr>
      <w:r w:rsidRPr="00ED00C8">
        <w:rPr>
          <w:iCs/>
        </w:rPr>
        <w:t>The report uses</w:t>
      </w:r>
      <w:r w:rsidRPr="00ED00C8">
        <w:rPr>
          <w:i/>
          <w:iCs/>
        </w:rPr>
        <w:t xml:space="preserve"> </w:t>
      </w:r>
      <w:r>
        <w:rPr>
          <w:iCs/>
        </w:rPr>
        <w:t>‘t</w:t>
      </w:r>
      <w:r w:rsidRPr="00396FB0">
        <w:rPr>
          <w:iCs/>
        </w:rPr>
        <w:t>otal response ethnicity</w:t>
      </w:r>
      <w:r>
        <w:rPr>
          <w:iCs/>
        </w:rPr>
        <w:t>’</w:t>
      </w:r>
      <w:r w:rsidRPr="00ED00C8">
        <w:rPr>
          <w:i/>
          <w:iCs/>
        </w:rPr>
        <w:t xml:space="preserve"> </w:t>
      </w:r>
      <w:r w:rsidRPr="00ED00C8">
        <w:t xml:space="preserve">to define ethnic groups. </w:t>
      </w:r>
      <w:r w:rsidRPr="00ED00C8">
        <w:rPr>
          <w:lang w:eastAsia="en-GB"/>
        </w:rPr>
        <w:t>Adjusted rate ratios are presented for ethnicity comparisons. These show a relative difference between an ethnic population and a mutually exclusive comparator population, such as Māori and non-Māori.</w:t>
      </w:r>
    </w:p>
    <w:p w:rsidR="005F055E" w:rsidRPr="00F94503" w:rsidRDefault="005F055E" w:rsidP="00607C7D">
      <w:pPr>
        <w:rPr>
          <w:lang w:eastAsia="en-GB"/>
        </w:rPr>
      </w:pPr>
    </w:p>
    <w:p w:rsidR="005F055E" w:rsidRPr="006633D7" w:rsidRDefault="005F055E" w:rsidP="00607C7D">
      <w:pPr>
        <w:pStyle w:val="Heading2"/>
        <w:rPr>
          <w:lang w:eastAsia="en-GB"/>
        </w:rPr>
      </w:pPr>
      <w:bookmarkStart w:id="1" w:name="_Toc335640081"/>
      <w:r w:rsidRPr="006633D7">
        <w:rPr>
          <w:lang w:eastAsia="en-GB"/>
        </w:rPr>
        <w:t>New Zealand Health Survey</w:t>
      </w:r>
      <w:bookmarkEnd w:id="1"/>
      <w:r w:rsidRPr="006633D7">
        <w:rPr>
          <w:lang w:eastAsia="en-GB"/>
        </w:rPr>
        <w:t xml:space="preserve"> background</w:t>
      </w:r>
    </w:p>
    <w:p w:rsidR="005F055E" w:rsidRDefault="005F055E" w:rsidP="00607C7D">
      <w:pPr>
        <w:rPr>
          <w:rStyle w:val="Hyperlink"/>
          <w:szCs w:val="21"/>
        </w:rPr>
      </w:pPr>
      <w:r w:rsidRPr="006633D7">
        <w:rPr>
          <w:lang w:eastAsia="en-GB"/>
        </w:rPr>
        <w:t>The NZHS is an ongoing survey that has been in the field on a continuous basis since July 2011. More information, reports and methodological details about the NZHS can be found at</w:t>
      </w:r>
      <w:r>
        <w:rPr>
          <w:lang w:eastAsia="en-GB"/>
        </w:rPr>
        <w:t xml:space="preserve">: </w:t>
      </w:r>
      <w:hyperlink r:id="rId12" w:history="1">
        <w:r w:rsidRPr="006633D7">
          <w:rPr>
            <w:rStyle w:val="Hyperlink"/>
            <w:szCs w:val="21"/>
          </w:rPr>
          <w:t>www.health.govt.nz/nz-health-statistics/national-collections-and-surveys/surveys/current-recent-surveys/new-zealand-health-survey</w:t>
        </w:r>
      </w:hyperlink>
    </w:p>
    <w:p w:rsidR="005F055E" w:rsidRDefault="005F055E" w:rsidP="00607C7D">
      <w:pPr>
        <w:rPr>
          <w:rStyle w:val="Hyperlink"/>
          <w:szCs w:val="21"/>
        </w:rPr>
      </w:pPr>
    </w:p>
    <w:p w:rsidR="005F055E" w:rsidRPr="006633D7" w:rsidRDefault="005F055E" w:rsidP="00607C7D">
      <w:pPr>
        <w:pStyle w:val="BoxHeading"/>
      </w:pPr>
      <w:r w:rsidRPr="006633D7">
        <w:t>Did you find what you were looking for?</w:t>
      </w:r>
    </w:p>
    <w:p w:rsidR="005F055E" w:rsidRPr="006633D7" w:rsidRDefault="005F055E" w:rsidP="00607C7D">
      <w:pPr>
        <w:pStyle w:val="Box"/>
        <w:rPr>
          <w:rFonts w:cs="Arial Mäori"/>
        </w:rPr>
      </w:pPr>
      <w:r w:rsidRPr="006633D7">
        <w:t xml:space="preserve">Please help us improve our reports – tell us whether we are giving you the information you </w:t>
      </w:r>
      <w:r w:rsidRPr="006633D7">
        <w:rPr>
          <w:rFonts w:cs="Arial Mäori"/>
        </w:rPr>
        <w:t xml:space="preserve">want by going to: </w:t>
      </w:r>
      <w:hyperlink r:id="rId13" w:history="1">
        <w:r w:rsidRPr="006633D7">
          <w:rPr>
            <w:rStyle w:val="Hyperlink"/>
          </w:rPr>
          <w:t>www.health.govt.nz/nzhs-feedback</w:t>
        </w:r>
      </w:hyperlink>
    </w:p>
    <w:p w:rsidR="005F055E" w:rsidRDefault="005F055E" w:rsidP="00607C7D">
      <w:pPr>
        <w:pStyle w:val="Box"/>
      </w:pPr>
      <w:r w:rsidRPr="006633D7">
        <w:rPr>
          <w:rFonts w:cs="Arial Mäori"/>
        </w:rPr>
        <w:t>It</w:t>
      </w:r>
      <w:r w:rsidRPr="006633D7">
        <w:t xml:space="preserve"> will only take a minute or two, and we really value your feedback!</w:t>
      </w:r>
    </w:p>
    <w:p w:rsidR="005F055E" w:rsidRPr="006633D7" w:rsidRDefault="005F055E" w:rsidP="00607C7D"/>
    <w:p w:rsidR="005F055E" w:rsidRPr="006633D7" w:rsidRDefault="005F055E" w:rsidP="00607C7D">
      <w:pPr>
        <w:pStyle w:val="Heading2"/>
        <w:rPr>
          <w:lang w:eastAsia="en-GB"/>
        </w:rPr>
      </w:pPr>
      <w:r w:rsidRPr="006633D7">
        <w:rPr>
          <w:lang w:eastAsia="en-GB"/>
        </w:rPr>
        <w:lastRenderedPageBreak/>
        <w:t>References</w:t>
      </w:r>
    </w:p>
    <w:p w:rsidR="005F055E" w:rsidRPr="00D609A2" w:rsidRDefault="005F055E" w:rsidP="00607C7D">
      <w:pPr>
        <w:pStyle w:val="References"/>
        <w:keepNext/>
      </w:pPr>
      <w:r w:rsidRPr="00D609A2">
        <w:t>Al-</w:t>
      </w:r>
      <w:proofErr w:type="spellStart"/>
      <w:r w:rsidRPr="00D609A2">
        <w:t>Nasrallah</w:t>
      </w:r>
      <w:proofErr w:type="spellEnd"/>
      <w:r w:rsidRPr="00D609A2">
        <w:t xml:space="preserve"> B, Amory K, </w:t>
      </w:r>
      <w:proofErr w:type="spellStart"/>
      <w:r w:rsidRPr="00D609A2">
        <w:t>Blackett</w:t>
      </w:r>
      <w:proofErr w:type="spellEnd"/>
      <w:r w:rsidRPr="00D609A2">
        <w:t xml:space="preserve"> J, et al. 2005. </w:t>
      </w:r>
      <w:r w:rsidRPr="00D609A2">
        <w:rPr>
          <w:i/>
        </w:rPr>
        <w:t>Slipping Through the Cracks: A study of homelessness in Wellington</w:t>
      </w:r>
      <w:r w:rsidRPr="00D609A2">
        <w:t xml:space="preserve">. Wellington: He </w:t>
      </w:r>
      <w:proofErr w:type="spellStart"/>
      <w:r w:rsidRPr="00D609A2">
        <w:t>Kainga</w:t>
      </w:r>
      <w:proofErr w:type="spellEnd"/>
      <w:r w:rsidRPr="00D609A2">
        <w:t xml:space="preserve"> </w:t>
      </w:r>
      <w:proofErr w:type="spellStart"/>
      <w:r w:rsidRPr="00D609A2">
        <w:t>Oranga</w:t>
      </w:r>
      <w:proofErr w:type="spellEnd"/>
      <w:r w:rsidRPr="00D609A2">
        <w:t xml:space="preserve">, Housing and Health Research Programme, Department of Public Health, </w:t>
      </w:r>
      <w:r>
        <w:t>Wellington School of Medicine and Health Sciences</w:t>
      </w:r>
      <w:r w:rsidRPr="00D609A2">
        <w:t>.</w:t>
      </w:r>
    </w:p>
    <w:p w:rsidR="005F055E" w:rsidRPr="00D609A2" w:rsidRDefault="005F055E" w:rsidP="00607C7D">
      <w:pPr>
        <w:pStyle w:val="References"/>
        <w:keepNext/>
      </w:pPr>
      <w:r w:rsidRPr="00D609A2">
        <w:t xml:space="preserve">Department of Corrections. 2004. </w:t>
      </w:r>
      <w:r w:rsidRPr="00D609A2">
        <w:rPr>
          <w:i/>
        </w:rPr>
        <w:t>Strategy to Reduce Drug and Alcohol Use by Offenders 2005–2008</w:t>
      </w:r>
      <w:r w:rsidRPr="00D609A2">
        <w:t>. Wellington: Department of Corrections.</w:t>
      </w:r>
    </w:p>
    <w:p w:rsidR="005F055E" w:rsidRPr="00D609A2" w:rsidRDefault="005F055E" w:rsidP="00607C7D">
      <w:pPr>
        <w:pStyle w:val="References"/>
        <w:keepNext/>
      </w:pPr>
      <w:proofErr w:type="spellStart"/>
      <w:r w:rsidRPr="00D609A2">
        <w:t>Fazel</w:t>
      </w:r>
      <w:proofErr w:type="spellEnd"/>
      <w:r w:rsidRPr="00D609A2">
        <w:t xml:space="preserve"> S, </w:t>
      </w:r>
      <w:proofErr w:type="spellStart"/>
      <w:r w:rsidRPr="00D609A2">
        <w:t>Khosla</w:t>
      </w:r>
      <w:proofErr w:type="spellEnd"/>
      <w:r w:rsidRPr="00D609A2">
        <w:t xml:space="preserve"> V, Doll H, et al. 2008. The prevalence of mental disorders among the homeless in Western countries: systematic review and </w:t>
      </w:r>
      <w:proofErr w:type="spellStart"/>
      <w:r w:rsidRPr="00D609A2">
        <w:t>metaregression</w:t>
      </w:r>
      <w:proofErr w:type="spellEnd"/>
      <w:r w:rsidRPr="00D609A2">
        <w:t xml:space="preserve"> analysis. </w:t>
      </w:r>
      <w:r w:rsidRPr="00D609A2">
        <w:rPr>
          <w:i/>
        </w:rPr>
        <w:t xml:space="preserve">PLOS Medicine </w:t>
      </w:r>
      <w:r w:rsidRPr="00D609A2">
        <w:t>5(12): e225. doi:10.1371/journal.pmed.0050225</w:t>
      </w:r>
      <w:r>
        <w:t xml:space="preserve"> (accessed 21/10/16)</w:t>
      </w:r>
      <w:r w:rsidRPr="00D609A2">
        <w:t>.</w:t>
      </w:r>
    </w:p>
    <w:p w:rsidR="005F055E" w:rsidRPr="00D609A2" w:rsidRDefault="005F055E" w:rsidP="00607C7D">
      <w:pPr>
        <w:pStyle w:val="References"/>
        <w:keepNext/>
      </w:pPr>
      <w:r w:rsidRPr="00D609A2">
        <w:t xml:space="preserve">Ministry of Health. 2007. </w:t>
      </w:r>
      <w:r w:rsidRPr="00D609A2">
        <w:rPr>
          <w:i/>
        </w:rPr>
        <w:t>Drug Use in New Zealand: Analysis of the 2003 New Zealand Health Behaviours Survey – Drug Use</w:t>
      </w:r>
      <w:r w:rsidRPr="00D609A2">
        <w:t>. Wellington: Ministry of Health.</w:t>
      </w:r>
    </w:p>
    <w:p w:rsidR="005F055E" w:rsidRPr="00D609A2" w:rsidRDefault="003465FA" w:rsidP="00783B1F">
      <w:pPr>
        <w:pStyle w:val="References"/>
        <w:keepNext/>
      </w:pPr>
      <w:hyperlink r:id="rId14" w:history="1">
        <w:r w:rsidR="005F055E" w:rsidRPr="00783B1F">
          <w:t>Ministry of Health. 2009. Drug Use in New Zealand: Key results of the 2007/08 New Zealand Alcohol and Drug Use Survey. Wellington: Ministry of Health.</w:t>
        </w:r>
      </w:hyperlink>
    </w:p>
    <w:p w:rsidR="005F055E" w:rsidRPr="00783B1F" w:rsidRDefault="003465FA" w:rsidP="00783B1F">
      <w:pPr>
        <w:pStyle w:val="References"/>
        <w:keepNext/>
      </w:pPr>
      <w:hyperlink r:id="rId15" w:history="1">
        <w:r w:rsidR="005F055E" w:rsidRPr="00783B1F">
          <w:t>Ministry of Health. 2013. Amphetamine Use 2012/13: Key findings of the New Zealand Health Survey. Wellington: Ministry of Health.</w:t>
        </w:r>
      </w:hyperlink>
    </w:p>
    <w:p w:rsidR="005F055E" w:rsidRPr="00D609A2" w:rsidRDefault="005F055E" w:rsidP="00607C7D">
      <w:pPr>
        <w:pStyle w:val="References"/>
      </w:pPr>
      <w:r>
        <w:t>Ministry of Health</w:t>
      </w:r>
      <w:r w:rsidRPr="003A46C9">
        <w:t>. 2016</w:t>
      </w:r>
      <w:r>
        <w:t>a</w:t>
      </w:r>
      <w:r w:rsidRPr="003A46C9">
        <w:t>.</w:t>
      </w:r>
      <w:r w:rsidRPr="00D609A2">
        <w:t xml:space="preserve"> </w:t>
      </w:r>
      <w:r w:rsidRPr="00D609A2">
        <w:rPr>
          <w:i/>
          <w:iCs/>
        </w:rPr>
        <w:t>Met</w:t>
      </w:r>
      <w:r>
        <w:rPr>
          <w:i/>
          <w:iCs/>
        </w:rPr>
        <w:t>hodology Report 2015/16</w:t>
      </w:r>
      <w:r w:rsidRPr="00D609A2">
        <w:rPr>
          <w:i/>
          <w:iCs/>
        </w:rPr>
        <w:t xml:space="preserve">: New Zealand Health Survey. </w:t>
      </w:r>
      <w:r w:rsidRPr="00D609A2">
        <w:t>Wellington: Ministry of Health.</w:t>
      </w:r>
    </w:p>
    <w:p w:rsidR="005F055E" w:rsidRPr="00D609A2" w:rsidRDefault="005F055E" w:rsidP="00607C7D">
      <w:pPr>
        <w:pStyle w:val="References"/>
      </w:pPr>
      <w:r w:rsidRPr="00D609A2">
        <w:t xml:space="preserve">Rogers SM, Miller HG, Turner CF. 1998. Effects of interview mode on bias in survey measurements of drug use: do respondent characteristics make a difference? </w:t>
      </w:r>
      <w:r w:rsidRPr="00D609A2">
        <w:rPr>
          <w:i/>
        </w:rPr>
        <w:t>Substance Use and Misuse</w:t>
      </w:r>
      <w:r w:rsidRPr="00D609A2">
        <w:t xml:space="preserve"> 33(10): 2179–200.</w:t>
      </w:r>
    </w:p>
    <w:p w:rsidR="005F055E" w:rsidRPr="006633D7" w:rsidRDefault="005F055E" w:rsidP="00B73213"/>
    <w:p w:rsidR="005F055E" w:rsidRPr="006633D7" w:rsidRDefault="005F055E" w:rsidP="00B73213">
      <w:pPr>
        <w:pStyle w:val="Heading2"/>
        <w:rPr>
          <w:szCs w:val="36"/>
        </w:rPr>
      </w:pPr>
      <w:r w:rsidRPr="006633D7">
        <w:rPr>
          <w:lang w:eastAsia="en-GB"/>
        </w:rPr>
        <w:t>Acknowledgements</w:t>
      </w:r>
    </w:p>
    <w:p w:rsidR="005F055E" w:rsidRDefault="005F055E" w:rsidP="00B73213">
      <w:pPr>
        <w:rPr>
          <w:lang w:eastAsia="en-GB"/>
        </w:rPr>
      </w:pPr>
      <w:r w:rsidRPr="005C7F12">
        <w:rPr>
          <w:lang w:eastAsia="en-GB"/>
        </w:rPr>
        <w:t>The New Zealand Health Survey would not have been possible without the support and enthusiasm of many individuals and the surveyors who worked so diligently to collect the data</w:t>
      </w:r>
      <w:r>
        <w:rPr>
          <w:lang w:eastAsia="en-GB"/>
        </w:rPr>
        <w:t>, and we thank you all for your efforts</w:t>
      </w:r>
      <w:r w:rsidRPr="005C7F12">
        <w:rPr>
          <w:lang w:eastAsia="en-GB"/>
        </w:rPr>
        <w:t>.</w:t>
      </w:r>
    </w:p>
    <w:p w:rsidR="005F055E" w:rsidRPr="005C7F12" w:rsidRDefault="005F055E" w:rsidP="00B73213">
      <w:pPr>
        <w:rPr>
          <w:lang w:eastAsia="en-GB"/>
        </w:rPr>
      </w:pPr>
    </w:p>
    <w:p w:rsidR="005F055E" w:rsidRDefault="005F055E" w:rsidP="00B73213">
      <w:pPr>
        <w:rPr>
          <w:lang w:eastAsia="en-GB"/>
        </w:rPr>
      </w:pPr>
      <w:r w:rsidRPr="005C7F12">
        <w:rPr>
          <w:lang w:eastAsia="en-GB"/>
        </w:rPr>
        <w:t>Thank you also to the many thousands of New Zealanders who gave their time to participate in the New Zealand Health Survey. This report would not have been possible without your generosity.</w:t>
      </w:r>
    </w:p>
    <w:p w:rsidR="005F055E" w:rsidRPr="006633D7" w:rsidRDefault="005F055E" w:rsidP="00B73213">
      <w:pPr>
        <w:rPr>
          <w:lang w:eastAsia="en-GB"/>
        </w:rPr>
      </w:pPr>
    </w:p>
    <w:p w:rsidR="005F055E" w:rsidRPr="006633D7" w:rsidRDefault="005F055E" w:rsidP="00B73213">
      <w:pPr>
        <w:pStyle w:val="Heading2"/>
        <w:rPr>
          <w:lang w:eastAsia="en-GB"/>
        </w:rPr>
      </w:pPr>
      <w:r w:rsidRPr="006633D7">
        <w:rPr>
          <w:lang w:eastAsia="en-GB"/>
        </w:rPr>
        <w:t>Authors</w:t>
      </w:r>
    </w:p>
    <w:p w:rsidR="005F055E" w:rsidRDefault="005F055E" w:rsidP="00B73213">
      <w:pPr>
        <w:rPr>
          <w:lang w:eastAsia="en-GB"/>
        </w:rPr>
      </w:pPr>
      <w:r w:rsidRPr="006633D7">
        <w:rPr>
          <w:lang w:eastAsia="en-GB"/>
        </w:rPr>
        <w:t>This r</w:t>
      </w:r>
      <w:r>
        <w:rPr>
          <w:lang w:eastAsia="en-GB"/>
        </w:rPr>
        <w:t>eport was written by Anthea Hewitt</w:t>
      </w:r>
      <w:r w:rsidRPr="006633D7">
        <w:rPr>
          <w:lang w:eastAsia="en-GB"/>
        </w:rPr>
        <w:t xml:space="preserve">, with statistical analyses carried out by </w:t>
      </w:r>
      <w:proofErr w:type="spellStart"/>
      <w:r w:rsidRPr="006633D7">
        <w:rPr>
          <w:lang w:eastAsia="en-GB"/>
        </w:rPr>
        <w:t>Deepa</w:t>
      </w:r>
      <w:proofErr w:type="spellEnd"/>
      <w:r w:rsidRPr="006633D7">
        <w:rPr>
          <w:lang w:eastAsia="en-GB"/>
        </w:rPr>
        <w:t xml:space="preserve"> </w:t>
      </w:r>
      <w:proofErr w:type="spellStart"/>
      <w:r w:rsidRPr="006633D7">
        <w:rPr>
          <w:lang w:eastAsia="en-GB"/>
        </w:rPr>
        <w:t>Weerasekera</w:t>
      </w:r>
      <w:proofErr w:type="spellEnd"/>
      <w:r w:rsidRPr="006633D7">
        <w:rPr>
          <w:lang w:eastAsia="en-GB"/>
        </w:rPr>
        <w:t>. The authors are employed by Health and Disability Intelligence Group, Ministry of Health.</w:t>
      </w:r>
    </w:p>
    <w:p w:rsidR="000C3FA7" w:rsidRDefault="000C3FA7" w:rsidP="000C3FA7">
      <w:pPr>
        <w:spacing w:line="240" w:lineRule="auto"/>
        <w:rPr>
          <w:lang w:eastAsia="en-NZ"/>
        </w:rPr>
      </w:pPr>
    </w:p>
    <w:p w:rsidR="005F055E" w:rsidRDefault="005F055E">
      <w:pPr>
        <w:spacing w:line="240" w:lineRule="auto"/>
        <w:rPr>
          <w:lang w:eastAsia="en-NZ"/>
        </w:rPr>
      </w:pPr>
      <w:r>
        <w:rPr>
          <w:lang w:eastAsia="en-NZ"/>
        </w:rPr>
        <w:br w:type="page"/>
      </w:r>
    </w:p>
    <w:p w:rsidR="005F055E" w:rsidRDefault="005F055E" w:rsidP="00B73213">
      <w:pPr>
        <w:pStyle w:val="Heading2"/>
        <w:spacing w:before="0" w:after="360"/>
      </w:pPr>
      <w:r w:rsidRPr="001B66D0">
        <w:lastRenderedPageBreak/>
        <w:t>Appendix: Tables</w:t>
      </w:r>
    </w:p>
    <w:p w:rsidR="005F055E" w:rsidRPr="00664E00" w:rsidRDefault="005F055E" w:rsidP="00B73213">
      <w:pPr>
        <w:pStyle w:val="Table"/>
        <w:rPr>
          <w:lang w:eastAsia="en-NZ"/>
        </w:rPr>
      </w:pPr>
      <w:bookmarkStart w:id="2" w:name="_Toc417304453"/>
      <w:r w:rsidRPr="0062095B">
        <w:rPr>
          <w:lang w:eastAsia="en-NZ"/>
        </w:rPr>
        <w:t xml:space="preserve">Table </w:t>
      </w:r>
      <w:r>
        <w:rPr>
          <w:lang w:eastAsia="en-NZ"/>
        </w:rPr>
        <w:t>A1</w:t>
      </w:r>
      <w:r w:rsidRPr="0062095B">
        <w:rPr>
          <w:lang w:eastAsia="en-NZ"/>
        </w:rPr>
        <w:t>: Percentag</w:t>
      </w:r>
      <w:r>
        <w:rPr>
          <w:lang w:eastAsia="en-NZ"/>
        </w:rPr>
        <w:t>e of adults who reported using amphetamines</w:t>
      </w:r>
      <w:r w:rsidRPr="0062095B">
        <w:rPr>
          <w:lang w:eastAsia="en-NZ"/>
        </w:rPr>
        <w:t xml:space="preserve"> </w:t>
      </w:r>
      <w:r>
        <w:rPr>
          <w:lang w:eastAsia="en-NZ"/>
        </w:rPr>
        <w:t xml:space="preserve">at least once </w:t>
      </w:r>
      <w:r w:rsidRPr="0062095B">
        <w:rPr>
          <w:lang w:eastAsia="en-NZ"/>
        </w:rPr>
        <w:t xml:space="preserve">in </w:t>
      </w:r>
      <w:r>
        <w:rPr>
          <w:lang w:eastAsia="en-NZ"/>
        </w:rPr>
        <w:t xml:space="preserve">the </w:t>
      </w:r>
      <w:r w:rsidRPr="0062095B">
        <w:rPr>
          <w:lang w:eastAsia="en-NZ"/>
        </w:rPr>
        <w:t xml:space="preserve">last 12 months, by </w:t>
      </w:r>
      <w:proofErr w:type="spellStart"/>
      <w:r w:rsidRPr="0062095B">
        <w:rPr>
          <w:lang w:eastAsia="en-NZ"/>
        </w:rPr>
        <w:t>sociodemographic</w:t>
      </w:r>
      <w:proofErr w:type="spellEnd"/>
      <w:r>
        <w:rPr>
          <w:lang w:eastAsia="en-NZ"/>
        </w:rPr>
        <w:t xml:space="preserve"> categories</w:t>
      </w:r>
      <w:bookmarkEnd w:id="2"/>
    </w:p>
    <w:tbl>
      <w:tblPr>
        <w:tblW w:w="8081" w:type="dxa"/>
        <w:tblInd w:w="57" w:type="dxa"/>
        <w:tblBorders>
          <w:top w:val="single" w:sz="2" w:space="0" w:color="auto"/>
          <w:bottom w:val="single" w:sz="2" w:space="0" w:color="auto"/>
        </w:tblBorders>
        <w:tblLayout w:type="fixed"/>
        <w:tblCellMar>
          <w:left w:w="57" w:type="dxa"/>
          <w:right w:w="57" w:type="dxa"/>
        </w:tblCellMar>
        <w:tblLook w:val="04A0" w:firstRow="1" w:lastRow="0" w:firstColumn="1" w:lastColumn="0" w:noHBand="0" w:noVBand="1"/>
      </w:tblPr>
      <w:tblGrid>
        <w:gridCol w:w="3403"/>
        <w:gridCol w:w="2268"/>
        <w:gridCol w:w="2410"/>
      </w:tblGrid>
      <w:tr w:rsidR="00B73213" w:rsidRPr="00E27CDF" w:rsidTr="00B73213">
        <w:trPr>
          <w:cantSplit/>
        </w:trPr>
        <w:tc>
          <w:tcPr>
            <w:tcW w:w="3403" w:type="dxa"/>
            <w:tcBorders>
              <w:top w:val="single" w:sz="2" w:space="0" w:color="auto"/>
              <w:bottom w:val="single" w:sz="2" w:space="0" w:color="auto"/>
              <w:right w:val="nil"/>
            </w:tcBorders>
            <w:shd w:val="clear" w:color="auto" w:fill="auto"/>
            <w:noWrap/>
          </w:tcPr>
          <w:p w:rsidR="005F055E" w:rsidRPr="00E27CDF" w:rsidRDefault="005F055E" w:rsidP="00A06091">
            <w:pPr>
              <w:pStyle w:val="TableText"/>
              <w:rPr>
                <w:b/>
                <w:lang w:eastAsia="en-NZ"/>
              </w:rPr>
            </w:pPr>
          </w:p>
        </w:tc>
        <w:tc>
          <w:tcPr>
            <w:tcW w:w="2268" w:type="dxa"/>
            <w:tcBorders>
              <w:top w:val="single" w:sz="2" w:space="0" w:color="auto"/>
              <w:left w:val="nil"/>
              <w:bottom w:val="single" w:sz="2" w:space="0" w:color="auto"/>
              <w:right w:val="nil"/>
            </w:tcBorders>
            <w:shd w:val="clear" w:color="auto" w:fill="auto"/>
            <w:noWrap/>
          </w:tcPr>
          <w:p w:rsidR="005F055E" w:rsidRPr="00E27CDF" w:rsidRDefault="005F055E" w:rsidP="00A06091">
            <w:pPr>
              <w:pStyle w:val="TableText"/>
              <w:jc w:val="center"/>
              <w:rPr>
                <w:b/>
                <w:lang w:eastAsia="en-NZ"/>
              </w:rPr>
            </w:pPr>
            <w:r w:rsidRPr="00E27CDF">
              <w:rPr>
                <w:b/>
                <w:lang w:eastAsia="en-NZ"/>
              </w:rPr>
              <w:t>Percent</w:t>
            </w:r>
          </w:p>
        </w:tc>
        <w:tc>
          <w:tcPr>
            <w:tcW w:w="2410" w:type="dxa"/>
            <w:tcBorders>
              <w:top w:val="single" w:sz="2" w:space="0" w:color="auto"/>
              <w:left w:val="nil"/>
              <w:bottom w:val="single" w:sz="2" w:space="0" w:color="auto"/>
            </w:tcBorders>
            <w:shd w:val="clear" w:color="auto" w:fill="auto"/>
            <w:noWrap/>
          </w:tcPr>
          <w:p w:rsidR="005F055E" w:rsidRPr="00E27CDF" w:rsidRDefault="005F055E" w:rsidP="00A06091">
            <w:pPr>
              <w:pStyle w:val="TableText"/>
              <w:jc w:val="center"/>
              <w:rPr>
                <w:b/>
                <w:lang w:eastAsia="en-NZ"/>
              </w:rPr>
            </w:pPr>
            <w:r>
              <w:rPr>
                <w:b/>
                <w:lang w:eastAsia="en-NZ"/>
              </w:rPr>
              <w:t>95% c</w:t>
            </w:r>
            <w:r w:rsidRPr="00E27CDF">
              <w:rPr>
                <w:b/>
                <w:lang w:eastAsia="en-NZ"/>
              </w:rPr>
              <w:t>onfidence interval</w:t>
            </w:r>
          </w:p>
        </w:tc>
      </w:tr>
      <w:tr w:rsidR="00B73213" w:rsidRPr="008F0E02" w:rsidTr="00B73213">
        <w:trPr>
          <w:cantSplit/>
        </w:trPr>
        <w:tc>
          <w:tcPr>
            <w:tcW w:w="3403" w:type="dxa"/>
            <w:tcBorders>
              <w:top w:val="single" w:sz="2" w:space="0" w:color="auto"/>
              <w:bottom w:val="single" w:sz="4" w:space="0" w:color="A6A6A6" w:themeColor="background1" w:themeShade="A6"/>
              <w:right w:val="nil"/>
            </w:tcBorders>
            <w:shd w:val="clear" w:color="auto" w:fill="auto"/>
            <w:noWrap/>
          </w:tcPr>
          <w:p w:rsidR="005F055E" w:rsidRPr="000E7B1E" w:rsidRDefault="005F055E" w:rsidP="00A06091">
            <w:pPr>
              <w:pStyle w:val="TableText"/>
              <w:rPr>
                <w:b/>
                <w:lang w:eastAsia="en-NZ"/>
              </w:rPr>
            </w:pPr>
            <w:r>
              <w:rPr>
                <w:b/>
                <w:lang w:eastAsia="en-NZ"/>
              </w:rPr>
              <w:t>Sex</w:t>
            </w:r>
          </w:p>
        </w:tc>
        <w:tc>
          <w:tcPr>
            <w:tcW w:w="2268" w:type="dxa"/>
            <w:tcBorders>
              <w:top w:val="single" w:sz="2" w:space="0" w:color="auto"/>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p>
        </w:tc>
        <w:tc>
          <w:tcPr>
            <w:tcW w:w="2410" w:type="dxa"/>
            <w:tcBorders>
              <w:top w:val="single" w:sz="2" w:space="0" w:color="auto"/>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M</w:t>
            </w:r>
            <w:r>
              <w:rPr>
                <w:lang w:eastAsia="en-NZ"/>
              </w:rPr>
              <w:t>en</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sidRPr="004235DD">
              <w:rPr>
                <w:lang w:eastAsia="en-NZ"/>
              </w:rPr>
              <w:t>1.7</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1.3–</w:t>
            </w:r>
            <w:r w:rsidRPr="004235DD">
              <w:rPr>
                <w:lang w:eastAsia="en-NZ"/>
              </w:rPr>
              <w:t>2.4</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Pr>
                <w:lang w:eastAsia="en-NZ"/>
              </w:rPr>
              <w:t>Women</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sidRPr="004235DD">
              <w:rPr>
                <w:lang w:eastAsia="en-NZ"/>
              </w:rPr>
              <w:t>0.6</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0.4–</w:t>
            </w:r>
            <w:r w:rsidRPr="004235DD">
              <w:rPr>
                <w:lang w:eastAsia="en-NZ"/>
              </w:rPr>
              <w:t>0.9</w:t>
            </w:r>
          </w:p>
        </w:tc>
      </w:tr>
      <w:tr w:rsidR="00B73213" w:rsidRPr="008F0E02" w:rsidTr="00B73213">
        <w:trPr>
          <w:cantSplit/>
        </w:trPr>
        <w:tc>
          <w:tcPr>
            <w:tcW w:w="3403" w:type="dxa"/>
            <w:tcBorders>
              <w:top w:val="single" w:sz="4" w:space="0" w:color="A6A6A6" w:themeColor="background1" w:themeShade="A6"/>
              <w:bottom w:val="single" w:sz="4" w:space="0" w:color="auto"/>
              <w:right w:val="nil"/>
            </w:tcBorders>
            <w:shd w:val="clear" w:color="auto" w:fill="auto"/>
            <w:noWrap/>
          </w:tcPr>
          <w:p w:rsidR="005F055E" w:rsidRPr="00664E00" w:rsidRDefault="005F055E" w:rsidP="00A06091">
            <w:pPr>
              <w:pStyle w:val="TableText"/>
              <w:rPr>
                <w:lang w:eastAsia="en-NZ"/>
              </w:rPr>
            </w:pPr>
            <w:r w:rsidRPr="00664E00">
              <w:rPr>
                <w:lang w:eastAsia="en-NZ"/>
              </w:rPr>
              <w:t>Total</w:t>
            </w:r>
          </w:p>
        </w:tc>
        <w:tc>
          <w:tcPr>
            <w:tcW w:w="2268" w:type="dxa"/>
            <w:tcBorders>
              <w:top w:val="single" w:sz="4" w:space="0" w:color="A6A6A6" w:themeColor="background1" w:themeShade="A6"/>
              <w:left w:val="nil"/>
              <w:bottom w:val="single" w:sz="4" w:space="0" w:color="auto"/>
              <w:right w:val="nil"/>
            </w:tcBorders>
            <w:shd w:val="clear" w:color="auto" w:fill="auto"/>
            <w:noWrap/>
          </w:tcPr>
          <w:p w:rsidR="005F055E" w:rsidRPr="00664E00" w:rsidRDefault="005F055E" w:rsidP="00A06091">
            <w:pPr>
              <w:pStyle w:val="TableText"/>
              <w:jc w:val="center"/>
              <w:rPr>
                <w:lang w:eastAsia="en-NZ"/>
              </w:rPr>
            </w:pPr>
            <w:r w:rsidRPr="004235DD">
              <w:rPr>
                <w:lang w:eastAsia="en-NZ"/>
              </w:rPr>
              <w:t>1.1</w:t>
            </w:r>
          </w:p>
        </w:tc>
        <w:tc>
          <w:tcPr>
            <w:tcW w:w="2410" w:type="dxa"/>
            <w:tcBorders>
              <w:top w:val="single" w:sz="4" w:space="0" w:color="A6A6A6" w:themeColor="background1" w:themeShade="A6"/>
              <w:left w:val="nil"/>
              <w:bottom w:val="single" w:sz="4" w:space="0" w:color="auto"/>
            </w:tcBorders>
            <w:shd w:val="clear" w:color="auto" w:fill="auto"/>
            <w:noWrap/>
          </w:tcPr>
          <w:p w:rsidR="005F055E" w:rsidRPr="00664E00" w:rsidRDefault="005F055E" w:rsidP="00A06091">
            <w:pPr>
              <w:pStyle w:val="TableText"/>
              <w:jc w:val="center"/>
              <w:rPr>
                <w:lang w:eastAsia="en-NZ"/>
              </w:rPr>
            </w:pPr>
            <w:r>
              <w:rPr>
                <w:lang w:eastAsia="en-NZ"/>
              </w:rPr>
              <w:t>0.9–</w:t>
            </w:r>
            <w:r w:rsidRPr="004235DD">
              <w:rPr>
                <w:lang w:eastAsia="en-NZ"/>
              </w:rPr>
              <w:t>1.5</w:t>
            </w:r>
          </w:p>
        </w:tc>
      </w:tr>
      <w:tr w:rsidR="00B73213" w:rsidRPr="00E27CDF" w:rsidTr="00B73213">
        <w:trPr>
          <w:cantSplit/>
        </w:trPr>
        <w:tc>
          <w:tcPr>
            <w:tcW w:w="3403" w:type="dxa"/>
            <w:tcBorders>
              <w:top w:val="single" w:sz="4" w:space="0" w:color="auto"/>
              <w:bottom w:val="single" w:sz="4" w:space="0" w:color="A6A6A6" w:themeColor="background1" w:themeShade="A6"/>
              <w:right w:val="nil"/>
            </w:tcBorders>
            <w:shd w:val="clear" w:color="auto" w:fill="auto"/>
            <w:noWrap/>
          </w:tcPr>
          <w:p w:rsidR="005F055E" w:rsidRPr="00E27CDF" w:rsidRDefault="005F055E" w:rsidP="00A06091">
            <w:pPr>
              <w:pStyle w:val="TableText"/>
              <w:rPr>
                <w:b/>
                <w:lang w:eastAsia="en-NZ"/>
              </w:rPr>
            </w:pPr>
            <w:r w:rsidRPr="00E27CDF">
              <w:rPr>
                <w:b/>
                <w:lang w:eastAsia="en-NZ"/>
              </w:rPr>
              <w:t>Age distribution</w:t>
            </w:r>
            <w:r>
              <w:rPr>
                <w:b/>
                <w:lang w:eastAsia="en-NZ"/>
              </w:rPr>
              <w:t xml:space="preserve"> (in year groups)</w:t>
            </w:r>
          </w:p>
        </w:tc>
        <w:tc>
          <w:tcPr>
            <w:tcW w:w="2268" w:type="dxa"/>
            <w:tcBorders>
              <w:top w:val="single" w:sz="4" w:space="0" w:color="auto"/>
              <w:left w:val="nil"/>
              <w:bottom w:val="single" w:sz="4" w:space="0" w:color="A6A6A6" w:themeColor="background1" w:themeShade="A6"/>
              <w:right w:val="nil"/>
            </w:tcBorders>
            <w:shd w:val="clear" w:color="auto" w:fill="auto"/>
            <w:noWrap/>
          </w:tcPr>
          <w:p w:rsidR="005F055E" w:rsidRPr="00E27CDF" w:rsidRDefault="005F055E" w:rsidP="00A06091">
            <w:pPr>
              <w:pStyle w:val="TableText"/>
              <w:jc w:val="center"/>
              <w:rPr>
                <w:lang w:eastAsia="en-NZ"/>
              </w:rPr>
            </w:pPr>
          </w:p>
        </w:tc>
        <w:tc>
          <w:tcPr>
            <w:tcW w:w="2410" w:type="dxa"/>
            <w:tcBorders>
              <w:top w:val="single" w:sz="4" w:space="0" w:color="auto"/>
              <w:left w:val="nil"/>
              <w:bottom w:val="single" w:sz="4" w:space="0" w:color="A6A6A6" w:themeColor="background1" w:themeShade="A6"/>
            </w:tcBorders>
            <w:shd w:val="clear" w:color="auto" w:fill="auto"/>
            <w:noWrap/>
          </w:tcPr>
          <w:p w:rsidR="005F055E" w:rsidRPr="00E27CDF" w:rsidRDefault="005F055E" w:rsidP="00A06091">
            <w:pPr>
              <w:pStyle w:val="TableText"/>
              <w:jc w:val="center"/>
              <w:rPr>
                <w:lang w:eastAsia="en-NZ"/>
              </w:rPr>
            </w:pP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Pr>
                <w:lang w:eastAsia="en-NZ"/>
              </w:rPr>
              <w:t>16</w:t>
            </w:r>
            <w:r w:rsidRPr="00664E00">
              <w:rPr>
                <w:lang w:eastAsia="en-NZ"/>
              </w:rPr>
              <w:t>–</w:t>
            </w:r>
            <w:r w:rsidRPr="00B73213">
              <w:rPr>
                <w:lang w:eastAsia="en-NZ"/>
              </w:rPr>
              <w:t>24</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43378D" w:rsidRDefault="005F055E" w:rsidP="00B73213">
            <w:pPr>
              <w:pStyle w:val="TableText"/>
              <w:jc w:val="center"/>
            </w:pPr>
            <w:r w:rsidRPr="0043378D">
              <w:t>1.6</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1.0–2.6</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25–34</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43378D" w:rsidRDefault="005F055E" w:rsidP="00B73213">
            <w:pPr>
              <w:pStyle w:val="TableText"/>
              <w:jc w:val="center"/>
            </w:pPr>
            <w:r w:rsidRPr="0043378D">
              <w:t>2.4</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1.6–3.5</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35–44</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43378D" w:rsidRDefault="005F055E" w:rsidP="00B73213">
            <w:pPr>
              <w:pStyle w:val="TableText"/>
              <w:jc w:val="center"/>
            </w:pPr>
            <w:r w:rsidRPr="0043378D">
              <w:t>0.9</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0.6–1.4</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45–54</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43378D" w:rsidRDefault="005F055E" w:rsidP="00B73213">
            <w:pPr>
              <w:pStyle w:val="TableText"/>
              <w:jc w:val="center"/>
            </w:pPr>
            <w:r w:rsidRPr="0043378D">
              <w:t>0.5</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0.3–0.8</w:t>
            </w:r>
          </w:p>
        </w:tc>
      </w:tr>
      <w:tr w:rsidR="00B73213" w:rsidRPr="008F0E02" w:rsidTr="00B73213">
        <w:trPr>
          <w:cantSplit/>
        </w:trPr>
        <w:tc>
          <w:tcPr>
            <w:tcW w:w="3403" w:type="dxa"/>
            <w:tcBorders>
              <w:top w:val="single" w:sz="4" w:space="0" w:color="A6A6A6" w:themeColor="background1" w:themeShade="A6"/>
              <w:bottom w:val="single" w:sz="4" w:space="0" w:color="auto"/>
              <w:right w:val="nil"/>
            </w:tcBorders>
            <w:shd w:val="clear" w:color="auto" w:fill="auto"/>
            <w:noWrap/>
          </w:tcPr>
          <w:p w:rsidR="005F055E" w:rsidRPr="00664E00" w:rsidRDefault="005F055E" w:rsidP="00A06091">
            <w:pPr>
              <w:pStyle w:val="TableText"/>
              <w:rPr>
                <w:lang w:eastAsia="en-NZ"/>
              </w:rPr>
            </w:pPr>
            <w:r>
              <w:rPr>
                <w:lang w:eastAsia="en-NZ"/>
              </w:rPr>
              <w:t>55</w:t>
            </w:r>
            <w:r w:rsidRPr="00664E00">
              <w:rPr>
                <w:lang w:eastAsia="en-NZ"/>
              </w:rPr>
              <w:t>–</w:t>
            </w:r>
            <w:r>
              <w:rPr>
                <w:lang w:eastAsia="en-NZ"/>
              </w:rPr>
              <w:t>64</w:t>
            </w:r>
          </w:p>
        </w:tc>
        <w:tc>
          <w:tcPr>
            <w:tcW w:w="2268" w:type="dxa"/>
            <w:tcBorders>
              <w:top w:val="single" w:sz="4" w:space="0" w:color="A6A6A6" w:themeColor="background1" w:themeShade="A6"/>
              <w:left w:val="nil"/>
              <w:bottom w:val="single" w:sz="4" w:space="0" w:color="auto"/>
              <w:right w:val="nil"/>
            </w:tcBorders>
            <w:shd w:val="clear" w:color="auto" w:fill="auto"/>
            <w:noWrap/>
          </w:tcPr>
          <w:p w:rsidR="005F055E" w:rsidRPr="0043378D" w:rsidRDefault="005F055E" w:rsidP="00B73213">
            <w:pPr>
              <w:pStyle w:val="TableText"/>
              <w:jc w:val="center"/>
            </w:pPr>
            <w:r w:rsidRPr="0043378D">
              <w:t>0.3</w:t>
            </w:r>
          </w:p>
        </w:tc>
        <w:tc>
          <w:tcPr>
            <w:tcW w:w="2410" w:type="dxa"/>
            <w:tcBorders>
              <w:top w:val="single" w:sz="4" w:space="0" w:color="A6A6A6" w:themeColor="background1" w:themeShade="A6"/>
              <w:left w:val="nil"/>
              <w:bottom w:val="single" w:sz="4" w:space="0" w:color="auto"/>
            </w:tcBorders>
            <w:shd w:val="clear" w:color="auto" w:fill="auto"/>
            <w:noWrap/>
          </w:tcPr>
          <w:p w:rsidR="005F055E" w:rsidRPr="00664E00" w:rsidRDefault="005F055E" w:rsidP="00A06091">
            <w:pPr>
              <w:pStyle w:val="TableText"/>
              <w:jc w:val="center"/>
              <w:rPr>
                <w:lang w:eastAsia="en-NZ"/>
              </w:rPr>
            </w:pPr>
            <w:r>
              <w:rPr>
                <w:lang w:eastAsia="en-NZ"/>
              </w:rPr>
              <w:t>0.1–0.7</w:t>
            </w:r>
          </w:p>
        </w:tc>
      </w:tr>
      <w:tr w:rsidR="00B73213" w:rsidRPr="00E27CDF" w:rsidTr="00B73213">
        <w:trPr>
          <w:cantSplit/>
        </w:trPr>
        <w:tc>
          <w:tcPr>
            <w:tcW w:w="3403" w:type="dxa"/>
            <w:tcBorders>
              <w:top w:val="single" w:sz="4" w:space="0" w:color="auto"/>
              <w:bottom w:val="single" w:sz="4" w:space="0" w:color="A6A6A6" w:themeColor="background1" w:themeShade="A6"/>
              <w:right w:val="nil"/>
            </w:tcBorders>
            <w:shd w:val="clear" w:color="auto" w:fill="auto"/>
            <w:noWrap/>
          </w:tcPr>
          <w:p w:rsidR="005F055E" w:rsidRPr="00E27CDF" w:rsidRDefault="005F055E" w:rsidP="00A06091">
            <w:pPr>
              <w:pStyle w:val="TableText"/>
              <w:rPr>
                <w:b/>
                <w:lang w:eastAsia="en-NZ"/>
              </w:rPr>
            </w:pPr>
            <w:r w:rsidRPr="00E27CDF">
              <w:rPr>
                <w:b/>
                <w:lang w:eastAsia="en-NZ"/>
              </w:rPr>
              <w:t>Ethnic group</w:t>
            </w:r>
          </w:p>
        </w:tc>
        <w:tc>
          <w:tcPr>
            <w:tcW w:w="2268" w:type="dxa"/>
            <w:tcBorders>
              <w:top w:val="single" w:sz="4" w:space="0" w:color="auto"/>
              <w:left w:val="nil"/>
              <w:bottom w:val="single" w:sz="4" w:space="0" w:color="A6A6A6" w:themeColor="background1" w:themeShade="A6"/>
              <w:right w:val="nil"/>
            </w:tcBorders>
            <w:shd w:val="clear" w:color="auto" w:fill="auto"/>
            <w:noWrap/>
          </w:tcPr>
          <w:p w:rsidR="005F055E" w:rsidRPr="00E27CDF" w:rsidRDefault="005F055E" w:rsidP="00A06091">
            <w:pPr>
              <w:pStyle w:val="TableText"/>
              <w:jc w:val="center"/>
              <w:rPr>
                <w:lang w:eastAsia="en-NZ"/>
              </w:rPr>
            </w:pPr>
          </w:p>
        </w:tc>
        <w:tc>
          <w:tcPr>
            <w:tcW w:w="2410" w:type="dxa"/>
            <w:tcBorders>
              <w:top w:val="single" w:sz="4" w:space="0" w:color="auto"/>
              <w:left w:val="nil"/>
              <w:bottom w:val="single" w:sz="4" w:space="0" w:color="A6A6A6" w:themeColor="background1" w:themeShade="A6"/>
            </w:tcBorders>
            <w:shd w:val="clear" w:color="auto" w:fill="auto"/>
            <w:noWrap/>
          </w:tcPr>
          <w:p w:rsidR="005F055E" w:rsidRPr="00E27CDF" w:rsidRDefault="005F055E" w:rsidP="00A06091">
            <w:pPr>
              <w:pStyle w:val="TableText"/>
              <w:jc w:val="center"/>
              <w:rPr>
                <w:lang w:eastAsia="en-NZ"/>
              </w:rPr>
            </w:pP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Pr>
                <w:lang w:eastAsia="en-NZ"/>
              </w:rPr>
              <w:t>Māori</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Pr>
                <w:lang w:eastAsia="en-NZ"/>
              </w:rPr>
              <w:t>2.9</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664E00" w:rsidRDefault="005F055E" w:rsidP="00A06091">
            <w:pPr>
              <w:pStyle w:val="TableText"/>
              <w:jc w:val="center"/>
              <w:rPr>
                <w:lang w:eastAsia="en-NZ"/>
              </w:rPr>
            </w:pPr>
            <w:r>
              <w:rPr>
                <w:lang w:eastAsia="en-NZ"/>
              </w:rPr>
              <w:t>2.1–4.0</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Pacific</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Pr>
                <w:lang w:eastAsia="en-NZ"/>
              </w:rPr>
              <w:t>1.2</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5A3371" w:rsidRDefault="005F055E" w:rsidP="00A06091">
            <w:pPr>
              <w:pStyle w:val="TableText"/>
              <w:jc w:val="center"/>
              <w:rPr>
                <w:lang w:eastAsia="en-NZ"/>
              </w:rPr>
            </w:pPr>
            <w:r>
              <w:rPr>
                <w:lang w:eastAsia="en-NZ"/>
              </w:rPr>
              <w:t>0.6–2.6</w:t>
            </w:r>
          </w:p>
        </w:tc>
      </w:tr>
      <w:tr w:rsidR="00B73213" w:rsidRPr="008F0E02"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664E00">
              <w:rPr>
                <w:lang w:eastAsia="en-NZ"/>
              </w:rPr>
              <w:t>Asian</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Pr>
                <w:lang w:eastAsia="en-NZ"/>
              </w:rPr>
              <w:t>0.2</w:t>
            </w:r>
          </w:p>
        </w:tc>
        <w:tc>
          <w:tcPr>
            <w:tcW w:w="2410" w:type="dxa"/>
            <w:tcBorders>
              <w:top w:val="single" w:sz="4" w:space="0" w:color="A6A6A6" w:themeColor="background1" w:themeShade="A6"/>
              <w:left w:val="nil"/>
              <w:bottom w:val="single" w:sz="4" w:space="0" w:color="A6A6A6" w:themeColor="background1" w:themeShade="A6"/>
            </w:tcBorders>
            <w:shd w:val="clear" w:color="auto" w:fill="auto"/>
            <w:noWrap/>
          </w:tcPr>
          <w:p w:rsidR="005F055E" w:rsidRPr="005A3371" w:rsidRDefault="005F055E" w:rsidP="00A06091">
            <w:pPr>
              <w:pStyle w:val="TableText"/>
              <w:jc w:val="center"/>
              <w:rPr>
                <w:lang w:eastAsia="en-NZ"/>
              </w:rPr>
            </w:pPr>
            <w:r>
              <w:rPr>
                <w:lang w:eastAsia="en-NZ"/>
              </w:rPr>
              <w:t>0.1–0.9</w:t>
            </w:r>
          </w:p>
        </w:tc>
      </w:tr>
      <w:tr w:rsidR="00B73213" w:rsidRPr="008F0E02" w:rsidTr="00B73213">
        <w:trPr>
          <w:cantSplit/>
        </w:trPr>
        <w:tc>
          <w:tcPr>
            <w:tcW w:w="3403" w:type="dxa"/>
            <w:tcBorders>
              <w:top w:val="single" w:sz="4" w:space="0" w:color="A6A6A6" w:themeColor="background1" w:themeShade="A6"/>
              <w:bottom w:val="single" w:sz="4" w:space="0" w:color="auto"/>
              <w:right w:val="nil"/>
            </w:tcBorders>
            <w:shd w:val="clear" w:color="auto" w:fill="auto"/>
            <w:noWrap/>
          </w:tcPr>
          <w:p w:rsidR="005F055E" w:rsidRPr="00664E00" w:rsidRDefault="005F055E" w:rsidP="00A06091">
            <w:pPr>
              <w:pStyle w:val="TableText"/>
              <w:rPr>
                <w:lang w:eastAsia="en-NZ"/>
              </w:rPr>
            </w:pPr>
            <w:r w:rsidRPr="00664E00">
              <w:rPr>
                <w:lang w:eastAsia="en-NZ"/>
              </w:rPr>
              <w:t>European/Others</w:t>
            </w:r>
          </w:p>
        </w:tc>
        <w:tc>
          <w:tcPr>
            <w:tcW w:w="2268" w:type="dxa"/>
            <w:tcBorders>
              <w:top w:val="single" w:sz="4" w:space="0" w:color="A6A6A6" w:themeColor="background1" w:themeShade="A6"/>
              <w:left w:val="nil"/>
              <w:bottom w:val="single" w:sz="4" w:space="0" w:color="auto"/>
              <w:right w:val="nil"/>
            </w:tcBorders>
            <w:shd w:val="clear" w:color="auto" w:fill="auto"/>
            <w:noWrap/>
          </w:tcPr>
          <w:p w:rsidR="005F055E" w:rsidRPr="00664E00" w:rsidRDefault="005F055E" w:rsidP="00A06091">
            <w:pPr>
              <w:pStyle w:val="TableText"/>
              <w:jc w:val="center"/>
              <w:rPr>
                <w:lang w:eastAsia="en-NZ"/>
              </w:rPr>
            </w:pPr>
            <w:r>
              <w:rPr>
                <w:lang w:eastAsia="en-NZ"/>
              </w:rPr>
              <w:t>1.3</w:t>
            </w:r>
          </w:p>
        </w:tc>
        <w:tc>
          <w:tcPr>
            <w:tcW w:w="2410" w:type="dxa"/>
            <w:tcBorders>
              <w:top w:val="single" w:sz="4" w:space="0" w:color="A6A6A6" w:themeColor="background1" w:themeShade="A6"/>
              <w:left w:val="nil"/>
              <w:bottom w:val="single" w:sz="4" w:space="0" w:color="auto"/>
            </w:tcBorders>
            <w:shd w:val="clear" w:color="auto" w:fill="auto"/>
            <w:noWrap/>
          </w:tcPr>
          <w:p w:rsidR="005F055E" w:rsidRPr="005A3371" w:rsidRDefault="005F055E" w:rsidP="00A06091">
            <w:pPr>
              <w:pStyle w:val="TableText"/>
              <w:jc w:val="center"/>
              <w:rPr>
                <w:lang w:eastAsia="en-NZ"/>
              </w:rPr>
            </w:pPr>
            <w:r>
              <w:rPr>
                <w:lang w:eastAsia="en-NZ"/>
              </w:rPr>
              <w:t>1.0–1.7</w:t>
            </w:r>
          </w:p>
        </w:tc>
      </w:tr>
    </w:tbl>
    <w:p w:rsidR="005F055E" w:rsidRDefault="005F055E" w:rsidP="00B73213">
      <w:pPr>
        <w:rPr>
          <w:lang w:eastAsia="en-NZ"/>
        </w:rPr>
      </w:pPr>
      <w:bookmarkStart w:id="3" w:name="_Toc417304457"/>
      <w:bookmarkStart w:id="4" w:name="_Toc417304455"/>
    </w:p>
    <w:p w:rsidR="005F055E" w:rsidRDefault="005F055E" w:rsidP="00B73213">
      <w:pPr>
        <w:pStyle w:val="Table"/>
      </w:pPr>
      <w:r w:rsidRPr="00014A4F">
        <w:rPr>
          <w:lang w:eastAsia="en-NZ"/>
        </w:rPr>
        <w:t>Table A</w:t>
      </w:r>
      <w:r>
        <w:rPr>
          <w:lang w:eastAsia="en-NZ"/>
        </w:rPr>
        <w:t>2</w:t>
      </w:r>
      <w:r w:rsidRPr="00014A4F">
        <w:rPr>
          <w:lang w:eastAsia="en-NZ"/>
        </w:rPr>
        <w:t xml:space="preserve">: Adjusted rate ratio: adults </w:t>
      </w:r>
      <w:r w:rsidRPr="00014A4F">
        <w:t xml:space="preserve">who used </w:t>
      </w:r>
      <w:r>
        <w:t>amphetamines</w:t>
      </w:r>
      <w:r w:rsidRPr="00014A4F">
        <w:t xml:space="preserve"> at least once in the last 12</w:t>
      </w:r>
      <w:r>
        <w:t> m</w:t>
      </w:r>
      <w:r w:rsidRPr="00014A4F">
        <w:t>onths</w:t>
      </w:r>
      <w:bookmarkEnd w:id="3"/>
    </w:p>
    <w:tbl>
      <w:tblPr>
        <w:tblW w:w="0" w:type="auto"/>
        <w:tblInd w:w="57" w:type="dxa"/>
        <w:tblBorders>
          <w:top w:val="single" w:sz="2" w:space="0" w:color="auto"/>
          <w:bottom w:val="single" w:sz="2" w:space="0" w:color="auto"/>
        </w:tblBorders>
        <w:tblLayout w:type="fixed"/>
        <w:tblCellMar>
          <w:left w:w="57" w:type="dxa"/>
          <w:right w:w="57" w:type="dxa"/>
        </w:tblCellMar>
        <w:tblLook w:val="04A0" w:firstRow="1" w:lastRow="0" w:firstColumn="1" w:lastColumn="0" w:noHBand="0" w:noVBand="1"/>
      </w:tblPr>
      <w:tblGrid>
        <w:gridCol w:w="3403"/>
        <w:gridCol w:w="2268"/>
        <w:gridCol w:w="2410"/>
      </w:tblGrid>
      <w:tr w:rsidR="00B73213" w:rsidRPr="00E27CDF" w:rsidTr="00B73213">
        <w:trPr>
          <w:cantSplit/>
        </w:trPr>
        <w:tc>
          <w:tcPr>
            <w:tcW w:w="3403" w:type="dxa"/>
            <w:tcBorders>
              <w:top w:val="single" w:sz="2" w:space="0" w:color="auto"/>
              <w:bottom w:val="single" w:sz="2" w:space="0" w:color="auto"/>
              <w:right w:val="nil"/>
            </w:tcBorders>
            <w:shd w:val="clear" w:color="auto" w:fill="auto"/>
            <w:noWrap/>
          </w:tcPr>
          <w:p w:rsidR="005F055E" w:rsidRPr="00E27CDF" w:rsidRDefault="005F055E" w:rsidP="00A06091">
            <w:pPr>
              <w:pStyle w:val="TableText"/>
              <w:rPr>
                <w:b/>
                <w:lang w:eastAsia="en-NZ"/>
              </w:rPr>
            </w:pPr>
            <w:r w:rsidRPr="009C4934">
              <w:rPr>
                <w:b/>
                <w:lang w:eastAsia="en-NZ"/>
              </w:rPr>
              <w:t>Comparator group</w:t>
            </w:r>
          </w:p>
        </w:tc>
        <w:tc>
          <w:tcPr>
            <w:tcW w:w="2268" w:type="dxa"/>
            <w:tcBorders>
              <w:top w:val="single" w:sz="2" w:space="0" w:color="auto"/>
              <w:left w:val="nil"/>
              <w:bottom w:val="single" w:sz="2" w:space="0" w:color="auto"/>
              <w:right w:val="nil"/>
            </w:tcBorders>
            <w:shd w:val="clear" w:color="auto" w:fill="auto"/>
            <w:noWrap/>
          </w:tcPr>
          <w:p w:rsidR="005F055E" w:rsidRPr="00E27CDF" w:rsidRDefault="005F055E" w:rsidP="00A06091">
            <w:pPr>
              <w:pStyle w:val="TableText"/>
              <w:jc w:val="center"/>
              <w:rPr>
                <w:b/>
                <w:lang w:eastAsia="en-NZ"/>
              </w:rPr>
            </w:pPr>
            <w:r w:rsidRPr="009C4934">
              <w:rPr>
                <w:b/>
                <w:lang w:eastAsia="en-NZ"/>
              </w:rPr>
              <w:t>Adjusted rate ratio</w:t>
            </w:r>
          </w:p>
        </w:tc>
        <w:tc>
          <w:tcPr>
            <w:tcW w:w="2410" w:type="dxa"/>
            <w:tcBorders>
              <w:top w:val="single" w:sz="2" w:space="0" w:color="auto"/>
              <w:left w:val="nil"/>
              <w:bottom w:val="single" w:sz="2" w:space="0" w:color="auto"/>
              <w:right w:val="nil"/>
            </w:tcBorders>
          </w:tcPr>
          <w:p w:rsidR="005F055E" w:rsidRPr="009C4934" w:rsidRDefault="005F055E" w:rsidP="00A06091">
            <w:pPr>
              <w:pStyle w:val="TableText"/>
              <w:jc w:val="center"/>
              <w:rPr>
                <w:b/>
                <w:lang w:eastAsia="en-NZ"/>
              </w:rPr>
            </w:pPr>
            <w:r>
              <w:rPr>
                <w:b/>
                <w:lang w:eastAsia="en-NZ"/>
              </w:rPr>
              <w:t>95% c</w:t>
            </w:r>
            <w:r w:rsidRPr="00E27CDF">
              <w:rPr>
                <w:b/>
                <w:lang w:eastAsia="en-NZ"/>
              </w:rPr>
              <w:t>onfidence interval</w:t>
            </w:r>
          </w:p>
        </w:tc>
      </w:tr>
      <w:tr w:rsidR="00B73213" w:rsidRPr="00664E00" w:rsidTr="00B73213">
        <w:trPr>
          <w:cantSplit/>
        </w:trPr>
        <w:tc>
          <w:tcPr>
            <w:tcW w:w="3403" w:type="dxa"/>
            <w:tcBorders>
              <w:top w:val="single" w:sz="2" w:space="0" w:color="auto"/>
              <w:bottom w:val="single" w:sz="4" w:space="0" w:color="A6A6A6" w:themeColor="background1" w:themeShade="A6"/>
              <w:right w:val="nil"/>
            </w:tcBorders>
            <w:shd w:val="clear" w:color="auto" w:fill="auto"/>
            <w:noWrap/>
          </w:tcPr>
          <w:p w:rsidR="005F055E" w:rsidRPr="000E7B1E" w:rsidRDefault="005F055E" w:rsidP="00A06091">
            <w:pPr>
              <w:pStyle w:val="TableText"/>
              <w:rPr>
                <w:b/>
                <w:lang w:eastAsia="en-NZ"/>
              </w:rPr>
            </w:pPr>
            <w:r w:rsidRPr="00BD7572">
              <w:rPr>
                <w:lang w:eastAsia="en-NZ"/>
              </w:rPr>
              <w:t xml:space="preserve">Māori </w:t>
            </w:r>
            <w:proofErr w:type="spellStart"/>
            <w:r w:rsidRPr="00BD7572">
              <w:rPr>
                <w:lang w:eastAsia="en-NZ"/>
              </w:rPr>
              <w:t>vs</w:t>
            </w:r>
            <w:proofErr w:type="spellEnd"/>
            <w:r w:rsidRPr="00BD7572">
              <w:rPr>
                <w:lang w:eastAsia="en-NZ"/>
              </w:rPr>
              <w:t xml:space="preserve"> non-Māori</w:t>
            </w:r>
          </w:p>
        </w:tc>
        <w:tc>
          <w:tcPr>
            <w:tcW w:w="2268" w:type="dxa"/>
            <w:tcBorders>
              <w:top w:val="single" w:sz="2" w:space="0" w:color="auto"/>
              <w:left w:val="nil"/>
              <w:bottom w:val="single" w:sz="4" w:space="0" w:color="A6A6A6" w:themeColor="background1" w:themeShade="A6"/>
              <w:right w:val="nil"/>
            </w:tcBorders>
            <w:shd w:val="clear" w:color="auto" w:fill="auto"/>
            <w:noWrap/>
          </w:tcPr>
          <w:p w:rsidR="005F055E" w:rsidRPr="00664E00" w:rsidRDefault="005F055E" w:rsidP="00B73213">
            <w:pPr>
              <w:pStyle w:val="TableText"/>
              <w:tabs>
                <w:tab w:val="decimal" w:pos="1076"/>
              </w:tabs>
              <w:rPr>
                <w:lang w:eastAsia="en-NZ"/>
              </w:rPr>
            </w:pPr>
            <w:r>
              <w:rPr>
                <w:lang w:eastAsia="en-NZ"/>
              </w:rPr>
              <w:t>3.4*</w:t>
            </w:r>
          </w:p>
        </w:tc>
        <w:tc>
          <w:tcPr>
            <w:tcW w:w="2410" w:type="dxa"/>
            <w:tcBorders>
              <w:top w:val="single" w:sz="2" w:space="0" w:color="auto"/>
              <w:left w:val="nil"/>
              <w:bottom w:val="single" w:sz="4" w:space="0" w:color="A6A6A6" w:themeColor="background1" w:themeShade="A6"/>
              <w:right w:val="nil"/>
            </w:tcBorders>
            <w:shd w:val="clear" w:color="auto" w:fill="auto"/>
          </w:tcPr>
          <w:p w:rsidR="005F055E" w:rsidRPr="00664E00" w:rsidRDefault="005F055E" w:rsidP="00A06091">
            <w:pPr>
              <w:pStyle w:val="TableText"/>
              <w:jc w:val="center"/>
              <w:rPr>
                <w:lang w:eastAsia="en-NZ"/>
              </w:rPr>
            </w:pPr>
            <w:r>
              <w:rPr>
                <w:lang w:eastAsia="en-NZ"/>
              </w:rPr>
              <w:t>2.2</w:t>
            </w:r>
            <w:r w:rsidRPr="00664E00">
              <w:rPr>
                <w:lang w:eastAsia="en-NZ"/>
              </w:rPr>
              <w:t>–</w:t>
            </w:r>
            <w:r>
              <w:rPr>
                <w:lang w:eastAsia="en-NZ"/>
              </w:rPr>
              <w:t>5.2</w:t>
            </w:r>
          </w:p>
        </w:tc>
      </w:tr>
      <w:tr w:rsidR="00B73213" w:rsidRPr="00664E00" w:rsidTr="00B73213">
        <w:trPr>
          <w:cantSplit/>
        </w:trPr>
        <w:tc>
          <w:tcPr>
            <w:tcW w:w="3403"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sidRPr="00BD7572">
              <w:rPr>
                <w:lang w:eastAsia="en-NZ"/>
              </w:rPr>
              <w:t xml:space="preserve">Pacific </w:t>
            </w:r>
            <w:proofErr w:type="spellStart"/>
            <w:r w:rsidRPr="00BD7572">
              <w:rPr>
                <w:lang w:eastAsia="en-NZ"/>
              </w:rPr>
              <w:t>vs</w:t>
            </w:r>
            <w:proofErr w:type="spellEnd"/>
            <w:r w:rsidRPr="00BD7572">
              <w:rPr>
                <w:lang w:eastAsia="en-NZ"/>
              </w:rPr>
              <w:t xml:space="preserve"> non-Pacific</w:t>
            </w:r>
          </w:p>
        </w:tc>
        <w:tc>
          <w:tcPr>
            <w:tcW w:w="226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B73213">
            <w:pPr>
              <w:pStyle w:val="TableText"/>
              <w:tabs>
                <w:tab w:val="decimal" w:pos="1076"/>
              </w:tabs>
              <w:rPr>
                <w:lang w:eastAsia="en-NZ"/>
              </w:rPr>
            </w:pPr>
            <w:r>
              <w:rPr>
                <w:lang w:eastAsia="en-NZ"/>
              </w:rPr>
              <w:t>1.0</w:t>
            </w:r>
          </w:p>
        </w:tc>
        <w:tc>
          <w:tcPr>
            <w:tcW w:w="2410" w:type="dxa"/>
            <w:tcBorders>
              <w:top w:val="single" w:sz="4" w:space="0" w:color="A6A6A6" w:themeColor="background1" w:themeShade="A6"/>
              <w:left w:val="nil"/>
              <w:bottom w:val="single" w:sz="4" w:space="0" w:color="A6A6A6" w:themeColor="background1" w:themeShade="A6"/>
              <w:right w:val="nil"/>
            </w:tcBorders>
            <w:shd w:val="clear" w:color="auto" w:fill="auto"/>
          </w:tcPr>
          <w:p w:rsidR="005F055E" w:rsidRDefault="005F055E" w:rsidP="00A06091">
            <w:pPr>
              <w:pStyle w:val="TableText"/>
              <w:jc w:val="center"/>
              <w:rPr>
                <w:lang w:eastAsia="en-NZ"/>
              </w:rPr>
            </w:pPr>
            <w:r>
              <w:rPr>
                <w:lang w:eastAsia="en-NZ"/>
              </w:rPr>
              <w:t>0.4</w:t>
            </w:r>
            <w:r w:rsidRPr="00664E00">
              <w:rPr>
                <w:lang w:eastAsia="en-NZ"/>
              </w:rPr>
              <w:t>–</w:t>
            </w:r>
            <w:r>
              <w:rPr>
                <w:lang w:eastAsia="en-NZ"/>
              </w:rPr>
              <w:t>2.1</w:t>
            </w:r>
          </w:p>
        </w:tc>
      </w:tr>
      <w:tr w:rsidR="00B73213" w:rsidRPr="00664E00" w:rsidTr="00B73213">
        <w:trPr>
          <w:cantSplit/>
        </w:trPr>
        <w:tc>
          <w:tcPr>
            <w:tcW w:w="3403" w:type="dxa"/>
            <w:tcBorders>
              <w:top w:val="single" w:sz="4" w:space="0" w:color="A6A6A6" w:themeColor="background1" w:themeShade="A6"/>
              <w:bottom w:val="single" w:sz="4" w:space="0" w:color="auto"/>
              <w:right w:val="nil"/>
            </w:tcBorders>
            <w:shd w:val="clear" w:color="auto" w:fill="auto"/>
            <w:noWrap/>
          </w:tcPr>
          <w:p w:rsidR="005F055E" w:rsidRPr="00664E00" w:rsidRDefault="005F055E" w:rsidP="00A06091">
            <w:pPr>
              <w:pStyle w:val="TableText"/>
              <w:rPr>
                <w:lang w:eastAsia="en-NZ"/>
              </w:rPr>
            </w:pPr>
            <w:r>
              <w:rPr>
                <w:lang w:eastAsia="en-NZ"/>
              </w:rPr>
              <w:t xml:space="preserve">Asian </w:t>
            </w:r>
            <w:proofErr w:type="spellStart"/>
            <w:r>
              <w:rPr>
                <w:lang w:eastAsia="en-NZ"/>
              </w:rPr>
              <w:t>vs</w:t>
            </w:r>
            <w:proofErr w:type="spellEnd"/>
            <w:r>
              <w:rPr>
                <w:lang w:eastAsia="en-NZ"/>
              </w:rPr>
              <w:t xml:space="preserve"> non-Asian</w:t>
            </w:r>
          </w:p>
        </w:tc>
        <w:tc>
          <w:tcPr>
            <w:tcW w:w="2268" w:type="dxa"/>
            <w:tcBorders>
              <w:top w:val="single" w:sz="4" w:space="0" w:color="A6A6A6" w:themeColor="background1" w:themeShade="A6"/>
              <w:left w:val="nil"/>
              <w:bottom w:val="single" w:sz="4" w:space="0" w:color="auto"/>
              <w:right w:val="nil"/>
            </w:tcBorders>
            <w:shd w:val="clear" w:color="auto" w:fill="auto"/>
            <w:noWrap/>
          </w:tcPr>
          <w:p w:rsidR="005F055E" w:rsidRPr="00664E00" w:rsidRDefault="005F055E" w:rsidP="00B73213">
            <w:pPr>
              <w:pStyle w:val="TableText"/>
              <w:tabs>
                <w:tab w:val="decimal" w:pos="1076"/>
              </w:tabs>
              <w:rPr>
                <w:lang w:eastAsia="en-NZ"/>
              </w:rPr>
            </w:pPr>
            <w:r>
              <w:rPr>
                <w:lang w:eastAsia="en-NZ"/>
              </w:rPr>
              <w:t>0.1*</w:t>
            </w:r>
          </w:p>
        </w:tc>
        <w:tc>
          <w:tcPr>
            <w:tcW w:w="2410" w:type="dxa"/>
            <w:tcBorders>
              <w:top w:val="single" w:sz="4" w:space="0" w:color="A6A6A6" w:themeColor="background1" w:themeShade="A6"/>
              <w:left w:val="nil"/>
              <w:bottom w:val="single" w:sz="4" w:space="0" w:color="auto"/>
              <w:right w:val="nil"/>
            </w:tcBorders>
            <w:shd w:val="clear" w:color="auto" w:fill="auto"/>
          </w:tcPr>
          <w:p w:rsidR="005F055E" w:rsidRDefault="005F055E" w:rsidP="00A06091">
            <w:pPr>
              <w:pStyle w:val="TableText"/>
              <w:jc w:val="center"/>
              <w:rPr>
                <w:lang w:eastAsia="en-NZ"/>
              </w:rPr>
            </w:pPr>
            <w:r>
              <w:rPr>
                <w:lang w:eastAsia="en-NZ"/>
              </w:rPr>
              <w:t>0.0</w:t>
            </w:r>
            <w:r w:rsidRPr="00664E00">
              <w:rPr>
                <w:lang w:eastAsia="en-NZ"/>
              </w:rPr>
              <w:t>–</w:t>
            </w:r>
            <w:r>
              <w:rPr>
                <w:lang w:eastAsia="en-NZ"/>
              </w:rPr>
              <w:t>0.6</w:t>
            </w:r>
          </w:p>
        </w:tc>
      </w:tr>
    </w:tbl>
    <w:p w:rsidR="005F055E" w:rsidRDefault="005F055E" w:rsidP="00B73213">
      <w:pPr>
        <w:pStyle w:val="Note"/>
      </w:pPr>
      <w:r>
        <w:t>*</w:t>
      </w:r>
      <w:r>
        <w:tab/>
      </w:r>
      <w:r w:rsidRPr="00614F77">
        <w:t xml:space="preserve">Statistically significant difference between </w:t>
      </w:r>
      <w:r>
        <w:t xml:space="preserve">the two </w:t>
      </w:r>
      <w:r w:rsidRPr="00614F77">
        <w:t>groups</w:t>
      </w:r>
      <w:r w:rsidR="00B73213">
        <w:t>.</w:t>
      </w:r>
    </w:p>
    <w:p w:rsidR="005F055E" w:rsidRDefault="005F055E" w:rsidP="005F055E">
      <w:pPr>
        <w:pStyle w:val="Table"/>
      </w:pPr>
      <w:r w:rsidRPr="00014A4F">
        <w:rPr>
          <w:lang w:eastAsia="en-NZ"/>
        </w:rPr>
        <w:t>Table A</w:t>
      </w:r>
      <w:r>
        <w:rPr>
          <w:lang w:eastAsia="en-NZ"/>
        </w:rPr>
        <w:t>3</w:t>
      </w:r>
      <w:r w:rsidRPr="00014A4F">
        <w:rPr>
          <w:lang w:eastAsia="en-NZ"/>
        </w:rPr>
        <w:t xml:space="preserve">: </w:t>
      </w:r>
      <w:r>
        <w:rPr>
          <w:lang w:eastAsia="en-NZ"/>
        </w:rPr>
        <w:t xml:space="preserve">Mean age of </w:t>
      </w:r>
      <w:r w:rsidRPr="00014A4F">
        <w:rPr>
          <w:lang w:eastAsia="en-NZ"/>
        </w:rPr>
        <w:t xml:space="preserve">adults </w:t>
      </w:r>
      <w:r w:rsidRPr="00014A4F">
        <w:t xml:space="preserve">who used </w:t>
      </w:r>
      <w:r>
        <w:t>amphetamines</w:t>
      </w:r>
      <w:r w:rsidRPr="00014A4F">
        <w:t xml:space="preserve"> at least once in the last 12</w:t>
      </w:r>
      <w:r>
        <w:t> m</w:t>
      </w:r>
      <w:r w:rsidRPr="00014A4F">
        <w:t>onths</w:t>
      </w:r>
      <w:r>
        <w:t>, by sex</w:t>
      </w:r>
    </w:p>
    <w:tbl>
      <w:tblPr>
        <w:tblW w:w="0" w:type="auto"/>
        <w:tblInd w:w="57" w:type="dxa"/>
        <w:tblBorders>
          <w:top w:val="single" w:sz="2" w:space="0" w:color="auto"/>
          <w:bottom w:val="single" w:sz="2" w:space="0" w:color="auto"/>
        </w:tblBorders>
        <w:tblLayout w:type="fixed"/>
        <w:tblCellMar>
          <w:left w:w="57" w:type="dxa"/>
          <w:right w:w="57" w:type="dxa"/>
        </w:tblCellMar>
        <w:tblLook w:val="04A0" w:firstRow="1" w:lastRow="0" w:firstColumn="1" w:lastColumn="0" w:noHBand="0" w:noVBand="1"/>
      </w:tblPr>
      <w:tblGrid>
        <w:gridCol w:w="3545"/>
        <w:gridCol w:w="2126"/>
        <w:gridCol w:w="2410"/>
      </w:tblGrid>
      <w:tr w:rsidR="005F055E" w:rsidRPr="00E27CDF" w:rsidTr="00B73213">
        <w:trPr>
          <w:cantSplit/>
        </w:trPr>
        <w:tc>
          <w:tcPr>
            <w:tcW w:w="3545" w:type="dxa"/>
            <w:tcBorders>
              <w:top w:val="single" w:sz="2" w:space="0" w:color="auto"/>
              <w:bottom w:val="single" w:sz="2" w:space="0" w:color="auto"/>
              <w:right w:val="nil"/>
            </w:tcBorders>
            <w:shd w:val="clear" w:color="auto" w:fill="auto"/>
            <w:noWrap/>
          </w:tcPr>
          <w:p w:rsidR="005F055E" w:rsidRPr="00E27CDF" w:rsidRDefault="005F055E" w:rsidP="00A06091">
            <w:pPr>
              <w:pStyle w:val="TableText"/>
              <w:rPr>
                <w:b/>
                <w:lang w:eastAsia="en-NZ"/>
              </w:rPr>
            </w:pPr>
            <w:r w:rsidRPr="009C4934">
              <w:rPr>
                <w:b/>
                <w:lang w:eastAsia="en-NZ"/>
              </w:rPr>
              <w:t>Comparator group</w:t>
            </w:r>
          </w:p>
        </w:tc>
        <w:tc>
          <w:tcPr>
            <w:tcW w:w="2126" w:type="dxa"/>
            <w:tcBorders>
              <w:top w:val="single" w:sz="2" w:space="0" w:color="auto"/>
              <w:left w:val="nil"/>
              <w:bottom w:val="single" w:sz="2" w:space="0" w:color="auto"/>
              <w:right w:val="nil"/>
            </w:tcBorders>
            <w:shd w:val="clear" w:color="auto" w:fill="auto"/>
            <w:noWrap/>
          </w:tcPr>
          <w:p w:rsidR="005F055E" w:rsidRPr="00E27CDF" w:rsidRDefault="005F055E" w:rsidP="00A06091">
            <w:pPr>
              <w:pStyle w:val="TableText"/>
              <w:jc w:val="center"/>
              <w:rPr>
                <w:b/>
                <w:lang w:eastAsia="en-NZ"/>
              </w:rPr>
            </w:pPr>
            <w:r>
              <w:rPr>
                <w:b/>
                <w:lang w:eastAsia="en-NZ"/>
              </w:rPr>
              <w:t>Mean</w:t>
            </w:r>
          </w:p>
        </w:tc>
        <w:tc>
          <w:tcPr>
            <w:tcW w:w="2410" w:type="dxa"/>
            <w:tcBorders>
              <w:top w:val="single" w:sz="2" w:space="0" w:color="auto"/>
              <w:left w:val="nil"/>
              <w:bottom w:val="single" w:sz="2" w:space="0" w:color="auto"/>
              <w:right w:val="nil"/>
            </w:tcBorders>
          </w:tcPr>
          <w:p w:rsidR="005F055E" w:rsidRPr="009C4934" w:rsidRDefault="005F055E" w:rsidP="00A06091">
            <w:pPr>
              <w:pStyle w:val="TableText"/>
              <w:jc w:val="center"/>
              <w:rPr>
                <w:b/>
                <w:lang w:eastAsia="en-NZ"/>
              </w:rPr>
            </w:pPr>
            <w:r>
              <w:rPr>
                <w:b/>
                <w:lang w:eastAsia="en-NZ"/>
              </w:rPr>
              <w:t>95% c</w:t>
            </w:r>
            <w:r w:rsidRPr="00E27CDF">
              <w:rPr>
                <w:b/>
                <w:lang w:eastAsia="en-NZ"/>
              </w:rPr>
              <w:t>onfidence interval</w:t>
            </w:r>
          </w:p>
        </w:tc>
      </w:tr>
      <w:tr w:rsidR="005F055E" w:rsidRPr="00664E00" w:rsidTr="00B73213">
        <w:trPr>
          <w:cantSplit/>
        </w:trPr>
        <w:tc>
          <w:tcPr>
            <w:tcW w:w="3545" w:type="dxa"/>
            <w:tcBorders>
              <w:top w:val="single" w:sz="2" w:space="0" w:color="auto"/>
              <w:bottom w:val="single" w:sz="4" w:space="0" w:color="A6A6A6" w:themeColor="background1" w:themeShade="A6"/>
              <w:right w:val="nil"/>
            </w:tcBorders>
            <w:shd w:val="clear" w:color="auto" w:fill="auto"/>
            <w:noWrap/>
          </w:tcPr>
          <w:p w:rsidR="005F055E" w:rsidRPr="000E7B1E" w:rsidRDefault="005F055E" w:rsidP="00A06091">
            <w:pPr>
              <w:pStyle w:val="TableText"/>
              <w:rPr>
                <w:b/>
                <w:lang w:eastAsia="en-NZ"/>
              </w:rPr>
            </w:pPr>
            <w:r>
              <w:rPr>
                <w:lang w:eastAsia="en-NZ"/>
              </w:rPr>
              <w:t>Men</w:t>
            </w:r>
          </w:p>
        </w:tc>
        <w:tc>
          <w:tcPr>
            <w:tcW w:w="2126" w:type="dxa"/>
            <w:tcBorders>
              <w:top w:val="single" w:sz="2" w:space="0" w:color="auto"/>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Pr>
                <w:lang w:eastAsia="en-NZ"/>
              </w:rPr>
              <w:t>31.3</w:t>
            </w:r>
          </w:p>
        </w:tc>
        <w:tc>
          <w:tcPr>
            <w:tcW w:w="2410" w:type="dxa"/>
            <w:tcBorders>
              <w:top w:val="single" w:sz="2" w:space="0" w:color="auto"/>
              <w:left w:val="nil"/>
              <w:bottom w:val="single" w:sz="4" w:space="0" w:color="A6A6A6" w:themeColor="background1" w:themeShade="A6"/>
              <w:right w:val="nil"/>
            </w:tcBorders>
            <w:shd w:val="clear" w:color="auto" w:fill="auto"/>
          </w:tcPr>
          <w:p w:rsidR="005F055E" w:rsidRPr="00664E00" w:rsidRDefault="005F055E" w:rsidP="00A06091">
            <w:pPr>
              <w:pStyle w:val="TableText"/>
              <w:jc w:val="center"/>
              <w:rPr>
                <w:lang w:eastAsia="en-NZ"/>
              </w:rPr>
            </w:pPr>
            <w:r>
              <w:rPr>
                <w:lang w:eastAsia="en-NZ"/>
              </w:rPr>
              <w:t>29.2</w:t>
            </w:r>
            <w:r w:rsidRPr="00664E00">
              <w:rPr>
                <w:lang w:eastAsia="en-NZ"/>
              </w:rPr>
              <w:t>–</w:t>
            </w:r>
            <w:r>
              <w:rPr>
                <w:lang w:eastAsia="en-NZ"/>
              </w:rPr>
              <w:t>33.4</w:t>
            </w:r>
          </w:p>
        </w:tc>
      </w:tr>
      <w:tr w:rsidR="005F055E" w:rsidRPr="00664E00" w:rsidTr="00B73213">
        <w:trPr>
          <w:cantSplit/>
        </w:trPr>
        <w:tc>
          <w:tcPr>
            <w:tcW w:w="3545" w:type="dxa"/>
            <w:tcBorders>
              <w:top w:val="single" w:sz="4" w:space="0" w:color="A6A6A6" w:themeColor="background1" w:themeShade="A6"/>
              <w:bottom w:val="single" w:sz="4" w:space="0" w:color="A6A6A6" w:themeColor="background1" w:themeShade="A6"/>
              <w:right w:val="nil"/>
            </w:tcBorders>
            <w:shd w:val="clear" w:color="auto" w:fill="auto"/>
            <w:noWrap/>
          </w:tcPr>
          <w:p w:rsidR="005F055E" w:rsidRPr="00664E00" w:rsidRDefault="005F055E" w:rsidP="00A06091">
            <w:pPr>
              <w:pStyle w:val="TableText"/>
              <w:rPr>
                <w:lang w:eastAsia="en-NZ"/>
              </w:rPr>
            </w:pPr>
            <w:r>
              <w:rPr>
                <w:lang w:eastAsia="en-NZ"/>
              </w:rPr>
              <w:t>Women</w:t>
            </w:r>
          </w:p>
        </w:tc>
        <w:tc>
          <w:tcPr>
            <w:tcW w:w="212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5F055E" w:rsidRPr="00664E00" w:rsidRDefault="005F055E" w:rsidP="00A06091">
            <w:pPr>
              <w:pStyle w:val="TableText"/>
              <w:jc w:val="center"/>
              <w:rPr>
                <w:lang w:eastAsia="en-NZ"/>
              </w:rPr>
            </w:pPr>
            <w:r>
              <w:rPr>
                <w:lang w:eastAsia="en-NZ"/>
              </w:rPr>
              <w:t>31.3</w:t>
            </w:r>
          </w:p>
        </w:tc>
        <w:tc>
          <w:tcPr>
            <w:tcW w:w="2410" w:type="dxa"/>
            <w:tcBorders>
              <w:top w:val="single" w:sz="4" w:space="0" w:color="A6A6A6" w:themeColor="background1" w:themeShade="A6"/>
              <w:left w:val="nil"/>
              <w:bottom w:val="single" w:sz="4" w:space="0" w:color="A6A6A6" w:themeColor="background1" w:themeShade="A6"/>
              <w:right w:val="nil"/>
            </w:tcBorders>
            <w:shd w:val="clear" w:color="auto" w:fill="auto"/>
          </w:tcPr>
          <w:p w:rsidR="005F055E" w:rsidRDefault="005F055E" w:rsidP="00A06091">
            <w:pPr>
              <w:pStyle w:val="TableText"/>
              <w:jc w:val="center"/>
              <w:rPr>
                <w:lang w:eastAsia="en-NZ"/>
              </w:rPr>
            </w:pPr>
            <w:r>
              <w:rPr>
                <w:lang w:eastAsia="en-NZ"/>
              </w:rPr>
              <w:t>26.8</w:t>
            </w:r>
            <w:r w:rsidRPr="00664E00">
              <w:rPr>
                <w:lang w:eastAsia="en-NZ"/>
              </w:rPr>
              <w:t>–</w:t>
            </w:r>
            <w:r>
              <w:rPr>
                <w:lang w:eastAsia="en-NZ"/>
              </w:rPr>
              <w:t>35.8</w:t>
            </w:r>
          </w:p>
        </w:tc>
      </w:tr>
      <w:tr w:rsidR="005F055E" w:rsidRPr="00664E00" w:rsidTr="00B73213">
        <w:trPr>
          <w:cantSplit/>
        </w:trPr>
        <w:tc>
          <w:tcPr>
            <w:tcW w:w="3545" w:type="dxa"/>
            <w:tcBorders>
              <w:top w:val="single" w:sz="4" w:space="0" w:color="A6A6A6" w:themeColor="background1" w:themeShade="A6"/>
              <w:bottom w:val="single" w:sz="4" w:space="0" w:color="auto"/>
              <w:right w:val="nil"/>
            </w:tcBorders>
            <w:shd w:val="clear" w:color="auto" w:fill="auto"/>
            <w:noWrap/>
          </w:tcPr>
          <w:p w:rsidR="005F055E" w:rsidRPr="00664E00" w:rsidRDefault="005F055E" w:rsidP="00A06091">
            <w:pPr>
              <w:pStyle w:val="TableText"/>
              <w:rPr>
                <w:lang w:eastAsia="en-NZ"/>
              </w:rPr>
            </w:pPr>
            <w:r>
              <w:rPr>
                <w:lang w:eastAsia="en-NZ"/>
              </w:rPr>
              <w:t>Total</w:t>
            </w:r>
          </w:p>
        </w:tc>
        <w:tc>
          <w:tcPr>
            <w:tcW w:w="2126" w:type="dxa"/>
            <w:tcBorders>
              <w:top w:val="single" w:sz="4" w:space="0" w:color="A6A6A6" w:themeColor="background1" w:themeShade="A6"/>
              <w:left w:val="nil"/>
              <w:bottom w:val="single" w:sz="4" w:space="0" w:color="auto"/>
              <w:right w:val="nil"/>
            </w:tcBorders>
            <w:shd w:val="clear" w:color="auto" w:fill="auto"/>
            <w:noWrap/>
          </w:tcPr>
          <w:p w:rsidR="005F055E" w:rsidRPr="00664E00" w:rsidRDefault="005F055E" w:rsidP="00A06091">
            <w:pPr>
              <w:pStyle w:val="TableText"/>
              <w:jc w:val="center"/>
              <w:rPr>
                <w:lang w:eastAsia="en-NZ"/>
              </w:rPr>
            </w:pPr>
            <w:r>
              <w:rPr>
                <w:lang w:eastAsia="en-NZ"/>
              </w:rPr>
              <w:t>31.3</w:t>
            </w:r>
          </w:p>
        </w:tc>
        <w:tc>
          <w:tcPr>
            <w:tcW w:w="2410" w:type="dxa"/>
            <w:tcBorders>
              <w:top w:val="single" w:sz="4" w:space="0" w:color="A6A6A6" w:themeColor="background1" w:themeShade="A6"/>
              <w:left w:val="nil"/>
              <w:bottom w:val="single" w:sz="4" w:space="0" w:color="auto"/>
              <w:right w:val="nil"/>
            </w:tcBorders>
            <w:shd w:val="clear" w:color="auto" w:fill="auto"/>
          </w:tcPr>
          <w:p w:rsidR="005F055E" w:rsidRDefault="005F055E" w:rsidP="00A06091">
            <w:pPr>
              <w:pStyle w:val="TableText"/>
              <w:jc w:val="center"/>
              <w:rPr>
                <w:lang w:eastAsia="en-NZ"/>
              </w:rPr>
            </w:pPr>
            <w:r>
              <w:rPr>
                <w:lang w:eastAsia="en-NZ"/>
              </w:rPr>
              <w:t>29.5</w:t>
            </w:r>
            <w:r w:rsidRPr="00664E00">
              <w:rPr>
                <w:lang w:eastAsia="en-NZ"/>
              </w:rPr>
              <w:t>–</w:t>
            </w:r>
            <w:r>
              <w:rPr>
                <w:lang w:eastAsia="en-NZ"/>
              </w:rPr>
              <w:t>33.1</w:t>
            </w:r>
          </w:p>
        </w:tc>
      </w:tr>
      <w:bookmarkEnd w:id="4"/>
    </w:tbl>
    <w:p w:rsidR="00D823AD" w:rsidRPr="00DD748F" w:rsidRDefault="00D823AD" w:rsidP="00D823AD"/>
    <w:tbl>
      <w:tblPr>
        <w:tblStyle w:val="TableGrid"/>
        <w:tblW w:w="0" w:type="auto"/>
        <w:tblLook w:val="04A0" w:firstRow="1" w:lastRow="0" w:firstColumn="1" w:lastColumn="0" w:noHBand="0" w:noVBand="1"/>
      </w:tblPr>
      <w:tblGrid>
        <w:gridCol w:w="4698"/>
        <w:gridCol w:w="4656"/>
      </w:tblGrid>
      <w:tr w:rsidR="00D823AD" w:rsidTr="00D823AD">
        <w:trPr>
          <w:trHeight w:val="1477"/>
        </w:trPr>
        <w:tc>
          <w:tcPr>
            <w:tcW w:w="4785" w:type="dxa"/>
            <w:tcBorders>
              <w:top w:val="nil"/>
              <w:left w:val="nil"/>
              <w:bottom w:val="nil"/>
              <w:right w:val="nil"/>
            </w:tcBorders>
          </w:tcPr>
          <w:p w:rsidR="00D823AD" w:rsidRDefault="00D823AD" w:rsidP="00D823AD">
            <w:pPr>
              <w:spacing w:before="480"/>
              <w:rPr>
                <w:rFonts w:ascii="Cambria" w:hAnsi="Cambria"/>
              </w:rPr>
            </w:pPr>
            <w:r w:rsidRPr="00DD748F">
              <w:rPr>
                <w:rFonts w:ascii="Cambria" w:hAnsi="Cambria"/>
                <w:noProof/>
                <w:lang w:eastAsia="en-NZ"/>
              </w:rPr>
              <w:drawing>
                <wp:inline distT="0" distB="0" distL="0" distR="0" wp14:anchorId="6407AAC2" wp14:editId="152EAE52">
                  <wp:extent cx="1346835" cy="664845"/>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835" cy="664845"/>
                          </a:xfrm>
                          <a:prstGeom prst="rect">
                            <a:avLst/>
                          </a:prstGeom>
                          <a:noFill/>
                          <a:ln>
                            <a:noFill/>
                          </a:ln>
                        </pic:spPr>
                      </pic:pic>
                    </a:graphicData>
                  </a:graphic>
                </wp:inline>
              </w:drawing>
            </w:r>
          </w:p>
        </w:tc>
        <w:tc>
          <w:tcPr>
            <w:tcW w:w="4785" w:type="dxa"/>
            <w:tcBorders>
              <w:top w:val="nil"/>
              <w:left w:val="nil"/>
              <w:bottom w:val="nil"/>
              <w:right w:val="nil"/>
            </w:tcBorders>
          </w:tcPr>
          <w:p w:rsidR="00D823AD" w:rsidRDefault="00FC205A" w:rsidP="00FC205A">
            <w:pPr>
              <w:spacing w:before="240"/>
              <w:rPr>
                <w:rFonts w:ascii="Cambria" w:hAnsi="Cambria"/>
              </w:rPr>
            </w:pPr>
            <w:r>
              <w:br/>
            </w:r>
            <w:r w:rsidR="00D823AD">
              <w:t>Dec</w:t>
            </w:r>
            <w:r w:rsidR="00D823AD" w:rsidRPr="00DD748F">
              <w:t>ember 201</w:t>
            </w:r>
            <w:r w:rsidR="00D823AD">
              <w:t>6</w:t>
            </w:r>
            <w:r w:rsidR="00D823AD" w:rsidRPr="00DD748F">
              <w:br/>
            </w:r>
            <w:r w:rsidR="00D823AD" w:rsidRPr="00FC205A">
              <w:rPr>
                <w:lang w:eastAsia="en-NZ"/>
              </w:rPr>
              <w:t xml:space="preserve">ISBN </w:t>
            </w:r>
            <w:r w:rsidRPr="00FC205A">
              <w:rPr>
                <w:lang w:val="en-US" w:eastAsia="en-NZ"/>
              </w:rPr>
              <w:t>978-0-947515-80-5</w:t>
            </w:r>
            <w:r w:rsidRPr="00FC205A">
              <w:rPr>
                <w:lang w:eastAsia="en-NZ"/>
              </w:rPr>
              <w:t xml:space="preserve"> </w:t>
            </w:r>
            <w:r w:rsidR="00D823AD" w:rsidRPr="00FC205A">
              <w:rPr>
                <w:lang w:eastAsia="en-NZ"/>
              </w:rPr>
              <w:t>(online)</w:t>
            </w:r>
            <w:r w:rsidR="00D823AD" w:rsidRPr="00FC205A">
              <w:rPr>
                <w:lang w:eastAsia="en-NZ"/>
              </w:rPr>
              <w:br/>
              <w:t>HP 6</w:t>
            </w:r>
            <w:r>
              <w:rPr>
                <w:lang w:eastAsia="en-NZ"/>
              </w:rPr>
              <w:t>512</w:t>
            </w:r>
          </w:p>
        </w:tc>
      </w:tr>
    </w:tbl>
    <w:p w:rsidR="005F055E" w:rsidRPr="00DD748F" w:rsidRDefault="005F055E" w:rsidP="00FC205A">
      <w:pPr>
        <w:spacing w:line="240" w:lineRule="auto"/>
        <w:rPr>
          <w:lang w:eastAsia="en-NZ"/>
        </w:rPr>
      </w:pPr>
    </w:p>
    <w:sectPr w:rsidR="005F055E" w:rsidRPr="00DD748F" w:rsidSect="000E4E05">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4" w:left="1418" w:header="284"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CB7" w:rsidRDefault="00107CB7">
      <w:r>
        <w:separator/>
      </w:r>
    </w:p>
  </w:endnote>
  <w:endnote w:type="continuationSeparator" w:id="0">
    <w:p w:rsidR="00107CB7" w:rsidRDefault="0010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CE2" w:rsidRDefault="00EE6CE2" w:rsidP="00DD2C28">
    <w:pPr>
      <w:pStyle w:val="Footer"/>
      <w:pBdr>
        <w:top w:val="single" w:sz="4" w:space="4" w:color="auto"/>
      </w:pBdr>
      <w:tabs>
        <w:tab w:val="left" w:pos="567"/>
      </w:tabs>
      <w:ind w:left="567" w:hanging="567"/>
    </w:pPr>
    <w:r>
      <w:rPr>
        <w:rStyle w:val="PageNumber"/>
      </w:rPr>
      <w:fldChar w:fldCharType="begin"/>
    </w:r>
    <w:r>
      <w:rPr>
        <w:rStyle w:val="PageNumber"/>
      </w:rPr>
      <w:instrText xml:space="preserve"> PAGE </w:instrText>
    </w:r>
    <w:r>
      <w:rPr>
        <w:rStyle w:val="PageNumber"/>
      </w:rPr>
      <w:fldChar w:fldCharType="separate"/>
    </w:r>
    <w:r w:rsidR="003465FA">
      <w:rPr>
        <w:rStyle w:val="PageNumber"/>
        <w:noProof/>
      </w:rPr>
      <w:t>6</w:t>
    </w:r>
    <w:r>
      <w:rPr>
        <w:rStyle w:val="PageNumber"/>
      </w:rPr>
      <w:fldChar w:fldCharType="end"/>
    </w:r>
    <w:r>
      <w:tab/>
    </w:r>
    <w:r w:rsidR="00607C7D">
      <w:t>Amphetamine Use 2015/16: New Zealand Health Survey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CE2" w:rsidRPr="00876FB8" w:rsidRDefault="00EE6CE2" w:rsidP="00876FB8">
    <w:pPr>
      <w:pStyle w:val="Footer"/>
      <w:pBdr>
        <w:top w:val="single" w:sz="4" w:space="4" w:color="auto"/>
      </w:pBdr>
    </w:pPr>
    <w:r>
      <w:tab/>
    </w:r>
    <w:r w:rsidR="00607C7D">
      <w:t>Amphetamine Use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3465FA">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CE2" w:rsidRDefault="00EE6CE2" w:rsidP="00DD2C28">
    <w:pPr>
      <w:pStyle w:val="Footer"/>
      <w:pBdr>
        <w:top w:val="single" w:sz="4" w:space="4" w:color="auto"/>
      </w:pBdr>
    </w:pPr>
    <w:r>
      <w:tab/>
    </w:r>
    <w:r w:rsidR="00607C7D">
      <w:t>Amphetamine Use 2015/16: New Zealand Health Survey</w:t>
    </w:r>
    <w:r>
      <w:tab/>
    </w:r>
    <w:r>
      <w:rPr>
        <w:rStyle w:val="PageNumber"/>
      </w:rPr>
      <w:fldChar w:fldCharType="begin"/>
    </w:r>
    <w:r>
      <w:rPr>
        <w:rStyle w:val="PageNumber"/>
      </w:rPr>
      <w:instrText xml:space="preserve"> PAGE </w:instrText>
    </w:r>
    <w:r>
      <w:rPr>
        <w:rStyle w:val="PageNumber"/>
      </w:rPr>
      <w:fldChar w:fldCharType="separate"/>
    </w:r>
    <w:r w:rsidR="003465F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CB7" w:rsidRPr="00680D2D" w:rsidRDefault="00107CB7" w:rsidP="00680D2D">
      <w:pPr>
        <w:pStyle w:val="Footer"/>
      </w:pPr>
    </w:p>
  </w:footnote>
  <w:footnote w:type="continuationSeparator" w:id="0">
    <w:p w:rsidR="00107CB7" w:rsidRDefault="00107CB7">
      <w:r>
        <w:continuationSeparator/>
      </w:r>
    </w:p>
  </w:footnote>
  <w:footnote w:id="1">
    <w:p w:rsidR="005F055E" w:rsidRDefault="005F055E" w:rsidP="00607C7D">
      <w:pPr>
        <w:pStyle w:val="FootnoteText"/>
      </w:pPr>
      <w:r w:rsidRPr="00607C7D">
        <w:rPr>
          <w:rStyle w:val="FootnoteReference"/>
        </w:rPr>
        <w:footnoteRef/>
      </w:r>
      <w:r w:rsidR="00607C7D">
        <w:tab/>
      </w:r>
      <w:r>
        <w:t>This age range was selected to enable</w:t>
      </w:r>
      <w:r>
        <w:rPr>
          <w:lang w:eastAsia="en-GB"/>
        </w:rPr>
        <w:t xml:space="preserve"> </w:t>
      </w:r>
      <w:r>
        <w:t>comparability</w:t>
      </w:r>
      <w:r>
        <w:rPr>
          <w:lang w:eastAsia="en-GB"/>
        </w:rPr>
        <w:t xml:space="preserve"> with the 2007/08 </w:t>
      </w:r>
      <w:r>
        <w:t xml:space="preserve">New </w:t>
      </w:r>
      <w:r w:rsidRPr="006633D7">
        <w:t>Zealand Alcohol and Drug Use Survey</w:t>
      </w:r>
      <w:r>
        <w:t>, which surveyed 16-64 year olds. Note that caution needs to be used when comparing findings from different surveys (see notes under ‘Guide to interpreting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1EE" w:rsidRDefault="001901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1EE" w:rsidRDefault="001901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CE2" w:rsidRDefault="00121D61" w:rsidP="00BD22FC">
    <w:pPr>
      <w:pStyle w:val="Header"/>
      <w:spacing w:after="480"/>
    </w:pPr>
    <w:r>
      <w:rPr>
        <w:noProof/>
        <w:lang w:eastAsia="en-NZ"/>
      </w:rPr>
      <w:drawing>
        <wp:anchor distT="0" distB="0" distL="114300" distR="0" simplePos="0" relativeHeight="251659264" behindDoc="0" locked="0" layoutInCell="1" allowOverlap="1" wp14:anchorId="622D2EF6" wp14:editId="7A6F74FF">
          <wp:simplePos x="0" y="0"/>
          <wp:positionH relativeFrom="column">
            <wp:posOffset>4432877</wp:posOffset>
          </wp:positionH>
          <wp:positionV relativeFrom="page">
            <wp:posOffset>234315</wp:posOffset>
          </wp:positionV>
          <wp:extent cx="1491615" cy="389255"/>
          <wp:effectExtent l="0" t="0" r="0" b="0"/>
          <wp:wrapNone/>
          <wp:docPr id="5" name="Picture 5" descr="NZ Health Survey Logo" title="NZ Health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161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2FE1758F" wp14:editId="7767BF92">
          <wp:extent cx="5939790" cy="571450"/>
          <wp:effectExtent l="0" t="0" r="0" b="635"/>
          <wp:docPr id="6" name="Picture 6" descr="banner"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ETHIG\AppData\Local\Temp\notes2D4894\~6425033.jpg"/>
                  <pic:cNvPicPr>
                    <a:picLocks noChangeAspect="1" noChangeArrowheads="1"/>
                  </pic:cNvPicPr>
                </pic:nvPicPr>
                <pic:blipFill>
                  <a:blip r:embed="rId2">
                    <a:extLst>
                      <a:ext uri="{28A0092B-C50C-407E-A947-70E740481C1C}">
                        <a14:useLocalDpi xmlns:a14="http://schemas.microsoft.com/office/drawing/2010/main" val="0"/>
                      </a:ext>
                    </a:extLst>
                  </a:blip>
                  <a:srcRect l="1118"/>
                  <a:stretch>
                    <a:fillRect/>
                  </a:stretch>
                </pic:blipFill>
                <pic:spPr bwMode="auto">
                  <a:xfrm>
                    <a:off x="0" y="0"/>
                    <a:ext cx="5939790" cy="571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4E3B"/>
    <w:multiLevelType w:val="hybridMultilevel"/>
    <w:tmpl w:val="D29EA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35635E2"/>
    <w:multiLevelType w:val="multilevel"/>
    <w:tmpl w:val="BCEC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43A02"/>
    <w:multiLevelType w:val="hybridMultilevel"/>
    <w:tmpl w:val="537C202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6B6B31"/>
    <w:multiLevelType w:val="hybridMultilevel"/>
    <w:tmpl w:val="12C2E6AA"/>
    <w:lvl w:ilvl="0" w:tplc="48B48050">
      <w:start w:val="1"/>
      <w:numFmt w:val="decimal"/>
      <w:lvlText w:val="%1."/>
      <w:lvlJc w:val="left"/>
      <w:pPr>
        <w:ind w:left="930" w:hanging="57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
    <w:nsid w:val="131B38E6"/>
    <w:multiLevelType w:val="hybridMultilevel"/>
    <w:tmpl w:val="B15E090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9DC4F5C"/>
    <w:multiLevelType w:val="hybridMultilevel"/>
    <w:tmpl w:val="8398F4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BD0323B"/>
    <w:multiLevelType w:val="hybridMultilevel"/>
    <w:tmpl w:val="1B025C26"/>
    <w:lvl w:ilvl="0" w:tplc="14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21A15E4D"/>
    <w:multiLevelType w:val="hybridMultilevel"/>
    <w:tmpl w:val="E19C9DE6"/>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1CA0668"/>
    <w:multiLevelType w:val="hybridMultilevel"/>
    <w:tmpl w:val="E6EC7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D44F52"/>
    <w:multiLevelType w:val="hybridMultilevel"/>
    <w:tmpl w:val="A5204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4E7161"/>
    <w:multiLevelType w:val="hybridMultilevel"/>
    <w:tmpl w:val="AF5CEEA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97401D0"/>
    <w:multiLevelType w:val="hybridMultilevel"/>
    <w:tmpl w:val="2EF61FC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AE379A4"/>
    <w:multiLevelType w:val="hybridMultilevel"/>
    <w:tmpl w:val="07CC5D2C"/>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BE707B2"/>
    <w:multiLevelType w:val="hybridMultilevel"/>
    <w:tmpl w:val="E4CCE838"/>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2E82515"/>
    <w:multiLevelType w:val="hybridMultilevel"/>
    <w:tmpl w:val="9BCEA6D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78120F5"/>
    <w:multiLevelType w:val="hybridMultilevel"/>
    <w:tmpl w:val="D8445344"/>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A21553F"/>
    <w:multiLevelType w:val="hybridMultilevel"/>
    <w:tmpl w:val="4F04DFD0"/>
    <w:lvl w:ilvl="0" w:tplc="1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7">
    <w:nsid w:val="3D192E16"/>
    <w:multiLevelType w:val="hybridMultilevel"/>
    <w:tmpl w:val="9FE6BFE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39B6562"/>
    <w:multiLevelType w:val="hybridMultilevel"/>
    <w:tmpl w:val="3816223E"/>
    <w:lvl w:ilvl="0" w:tplc="72CEA2C0">
      <w:start w:val="1"/>
      <w:numFmt w:val="bullet"/>
      <w:pStyle w:val="TableBullet"/>
      <w:lvlText w:val=""/>
      <w:lvlJc w:val="left"/>
      <w:pPr>
        <w:ind w:left="360" w:hanging="360"/>
      </w:pPr>
      <w:rPr>
        <w:rFonts w:ascii="Symbol" w:hAnsi="Symbol" w:hint="default"/>
        <w:color w:val="auto"/>
        <w:sz w:val="16"/>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66C55FF"/>
    <w:multiLevelType w:val="hybridMultilevel"/>
    <w:tmpl w:val="9404FDF0"/>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84C4475"/>
    <w:multiLevelType w:val="hybridMultilevel"/>
    <w:tmpl w:val="1E5649A4"/>
    <w:lvl w:ilvl="0" w:tplc="890AC848">
      <w:start w:val="1"/>
      <w:numFmt w:val="bullet"/>
      <w:lvlText w:val="–"/>
      <w:lvlJc w:val="left"/>
      <w:pPr>
        <w:ind w:left="1080" w:hanging="360"/>
      </w:pPr>
      <w:rPr>
        <w:rFonts w:ascii="Courier New" w:hAnsi="Courier New" w:hint="default"/>
      </w:rPr>
    </w:lvl>
    <w:lvl w:ilvl="1" w:tplc="5D6EBB80">
      <w:start w:val="1"/>
      <w:numFmt w:val="bullet"/>
      <w:lvlText w:val="–"/>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49325264"/>
    <w:multiLevelType w:val="hybridMultilevel"/>
    <w:tmpl w:val="FB2E9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BCF023C"/>
    <w:multiLevelType w:val="hybridMultilevel"/>
    <w:tmpl w:val="E6503F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2A01E40"/>
    <w:multiLevelType w:val="hybridMultilevel"/>
    <w:tmpl w:val="F0548A34"/>
    <w:lvl w:ilvl="0" w:tplc="734EE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34E3094"/>
    <w:multiLevelType w:val="hybridMultilevel"/>
    <w:tmpl w:val="ADCC05F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56679DD"/>
    <w:multiLevelType w:val="hybridMultilevel"/>
    <w:tmpl w:val="6A12C44E"/>
    <w:lvl w:ilvl="0" w:tplc="932A1A56">
      <w:start w:val="1"/>
      <w:numFmt w:val="bullet"/>
      <w:lvlRestart w:val="0"/>
      <w:lvlText w:val=""/>
      <w:lvlJc w:val="left"/>
      <w:pPr>
        <w:tabs>
          <w:tab w:val="num" w:pos="726"/>
        </w:tabs>
        <w:ind w:left="726" w:hanging="363"/>
      </w:pPr>
      <w:rPr>
        <w:rFonts w:ascii="Symbol" w:hAnsi="Symbol" w:hint="default"/>
        <w:color w:val="auto"/>
      </w:rPr>
    </w:lvl>
    <w:lvl w:ilvl="1" w:tplc="04090003" w:tentative="1">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6">
    <w:nsid w:val="566E0B01"/>
    <w:multiLevelType w:val="hybridMultilevel"/>
    <w:tmpl w:val="9AD08C2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8BF6637"/>
    <w:multiLevelType w:val="hybridMultilevel"/>
    <w:tmpl w:val="5378A82C"/>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8">
    <w:nsid w:val="5A5F32D0"/>
    <w:multiLevelType w:val="hybridMultilevel"/>
    <w:tmpl w:val="472CF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B342B6B"/>
    <w:multiLevelType w:val="hybridMultilevel"/>
    <w:tmpl w:val="20DABD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1E4205B"/>
    <w:multiLevelType w:val="hybridMultilevel"/>
    <w:tmpl w:val="720467C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48A425F"/>
    <w:multiLevelType w:val="hybridMultilevel"/>
    <w:tmpl w:val="4D7ABEAE"/>
    <w:lvl w:ilvl="0" w:tplc="890AC848">
      <w:start w:val="1"/>
      <w:numFmt w:val="bullet"/>
      <w:pStyle w:val="Dash"/>
      <w:lvlText w:val="–"/>
      <w:lvlJc w:val="left"/>
      <w:pPr>
        <w:ind w:left="1080" w:hanging="360"/>
      </w:pPr>
      <w:rPr>
        <w:rFonts w:ascii="Courier New" w:hAnsi="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nsid w:val="66725D6E"/>
    <w:multiLevelType w:val="hybridMultilevel"/>
    <w:tmpl w:val="31F6FA28"/>
    <w:lvl w:ilvl="0" w:tplc="1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6867853"/>
    <w:multiLevelType w:val="hybridMultilevel"/>
    <w:tmpl w:val="776E2F12"/>
    <w:lvl w:ilvl="0" w:tplc="14090001">
      <w:start w:val="1"/>
      <w:numFmt w:val="bullet"/>
      <w:lvlText w:val=""/>
      <w:lvlJc w:val="left"/>
      <w:pPr>
        <w:tabs>
          <w:tab w:val="num" w:pos="360"/>
        </w:tabs>
        <w:ind w:left="360" w:hanging="360"/>
      </w:pPr>
      <w:rPr>
        <w:rFonts w:ascii="Symbol" w:hAnsi="Symbol" w:hint="default"/>
      </w:rPr>
    </w:lvl>
    <w:lvl w:ilvl="1" w:tplc="D4C2B8C2">
      <w:start w:val="1"/>
      <w:numFmt w:val="bullet"/>
      <w:lvlText w:val=""/>
      <w:lvlJc w:val="left"/>
      <w:pPr>
        <w:tabs>
          <w:tab w:val="num" w:pos="1080"/>
        </w:tabs>
        <w:ind w:left="1080" w:hanging="360"/>
      </w:pPr>
      <w:rPr>
        <w:rFonts w:ascii="Symbol" w:hAnsi="Symbol" w:hint="default"/>
        <w:color w:val="auto"/>
        <w:sz w:val="22"/>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6BC78ED"/>
    <w:multiLevelType w:val="hybridMultilevel"/>
    <w:tmpl w:val="BFBC0BA2"/>
    <w:lvl w:ilvl="0" w:tplc="E042FD7A">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88D2C9E"/>
    <w:multiLevelType w:val="singleLevel"/>
    <w:tmpl w:val="BCB8802A"/>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6">
    <w:nsid w:val="68944223"/>
    <w:multiLevelType w:val="hybridMultilevel"/>
    <w:tmpl w:val="03146A06"/>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BC23A38"/>
    <w:multiLevelType w:val="hybridMultilevel"/>
    <w:tmpl w:val="680064D2"/>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C624CDC"/>
    <w:multiLevelType w:val="hybridMultilevel"/>
    <w:tmpl w:val="9F86735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6CDB6980"/>
    <w:multiLevelType w:val="hybridMultilevel"/>
    <w:tmpl w:val="5BF8BDD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0">
    <w:nsid w:val="710A5C24"/>
    <w:multiLevelType w:val="hybridMultilevel"/>
    <w:tmpl w:val="5A6C7A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59A7698"/>
    <w:multiLevelType w:val="hybridMultilevel"/>
    <w:tmpl w:val="17C2C396"/>
    <w:lvl w:ilvl="0" w:tplc="DE90BD66">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75D837A3"/>
    <w:multiLevelType w:val="hybridMultilevel"/>
    <w:tmpl w:val="3D22A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87A37FE"/>
    <w:multiLevelType w:val="hybridMultilevel"/>
    <w:tmpl w:val="A2041A7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nsid w:val="7B4839BC"/>
    <w:multiLevelType w:val="hybridMultilevel"/>
    <w:tmpl w:val="D592C3E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46">
    <w:nsid w:val="7F2C1D7B"/>
    <w:multiLevelType w:val="hybridMultilevel"/>
    <w:tmpl w:val="5A04D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16"/>
  </w:num>
  <w:num w:numId="4">
    <w:abstractNumId w:val="26"/>
  </w:num>
  <w:num w:numId="5">
    <w:abstractNumId w:val="24"/>
  </w:num>
  <w:num w:numId="6">
    <w:abstractNumId w:val="2"/>
  </w:num>
  <w:num w:numId="7">
    <w:abstractNumId w:val="43"/>
  </w:num>
  <w:num w:numId="8">
    <w:abstractNumId w:val="17"/>
  </w:num>
  <w:num w:numId="9">
    <w:abstractNumId w:val="4"/>
  </w:num>
  <w:num w:numId="10">
    <w:abstractNumId w:val="10"/>
  </w:num>
  <w:num w:numId="11">
    <w:abstractNumId w:val="32"/>
  </w:num>
  <w:num w:numId="12">
    <w:abstractNumId w:val="11"/>
  </w:num>
  <w:num w:numId="13">
    <w:abstractNumId w:val="30"/>
  </w:num>
  <w:num w:numId="14">
    <w:abstractNumId w:val="14"/>
  </w:num>
  <w:num w:numId="15">
    <w:abstractNumId w:val="34"/>
  </w:num>
  <w:num w:numId="16">
    <w:abstractNumId w:val="13"/>
  </w:num>
  <w:num w:numId="17">
    <w:abstractNumId w:val="12"/>
  </w:num>
  <w:num w:numId="18">
    <w:abstractNumId w:val="1"/>
  </w:num>
  <w:num w:numId="19">
    <w:abstractNumId w:val="37"/>
  </w:num>
  <w:num w:numId="20">
    <w:abstractNumId w:val="36"/>
  </w:num>
  <w:num w:numId="21">
    <w:abstractNumId w:val="6"/>
  </w:num>
  <w:num w:numId="22">
    <w:abstractNumId w:val="27"/>
  </w:num>
  <w:num w:numId="23">
    <w:abstractNumId w:val="33"/>
  </w:num>
  <w:num w:numId="24">
    <w:abstractNumId w:val="15"/>
  </w:num>
  <w:num w:numId="25">
    <w:abstractNumId w:val="3"/>
  </w:num>
  <w:num w:numId="26">
    <w:abstractNumId w:val="29"/>
  </w:num>
  <w:num w:numId="27">
    <w:abstractNumId w:val="44"/>
  </w:num>
  <w:num w:numId="28">
    <w:abstractNumId w:val="8"/>
  </w:num>
  <w:num w:numId="29">
    <w:abstractNumId w:val="35"/>
  </w:num>
  <w:num w:numId="30">
    <w:abstractNumId w:val="45"/>
  </w:num>
  <w:num w:numId="31">
    <w:abstractNumId w:val="28"/>
  </w:num>
  <w:num w:numId="32">
    <w:abstractNumId w:val="23"/>
  </w:num>
  <w:num w:numId="33">
    <w:abstractNumId w:val="31"/>
  </w:num>
  <w:num w:numId="34">
    <w:abstractNumId w:val="22"/>
  </w:num>
  <w:num w:numId="35">
    <w:abstractNumId w:val="41"/>
  </w:num>
  <w:num w:numId="36">
    <w:abstractNumId w:val="41"/>
    <w:lvlOverride w:ilvl="0">
      <w:startOverride w:val="1"/>
    </w:lvlOverride>
  </w:num>
  <w:num w:numId="37">
    <w:abstractNumId w:val="20"/>
  </w:num>
  <w:num w:numId="38">
    <w:abstractNumId w:val="0"/>
  </w:num>
  <w:num w:numId="39">
    <w:abstractNumId w:val="42"/>
  </w:num>
  <w:num w:numId="40">
    <w:abstractNumId w:val="9"/>
  </w:num>
  <w:num w:numId="41">
    <w:abstractNumId w:val="46"/>
  </w:num>
  <w:num w:numId="42">
    <w:abstractNumId w:val="21"/>
  </w:num>
  <w:num w:numId="43">
    <w:abstractNumId w:val="18"/>
  </w:num>
  <w:num w:numId="44">
    <w:abstractNumId w:val="5"/>
  </w:num>
  <w:num w:numId="45">
    <w:abstractNumId w:val="39"/>
  </w:num>
  <w:num w:numId="46">
    <w:abstractNumId w:val="7"/>
  </w:num>
  <w:num w:numId="47">
    <w:abstractNumId w:val="19"/>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noPunctuationKerning/>
  <w:characterSpacingControl w:val="doNotCompress"/>
  <w:hdrShapeDefaults>
    <o:shapedefaults v:ext="edit" spidmax="8193">
      <o:colormru v:ext="edit" colors="#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8B7"/>
    <w:rsid w:val="000123DF"/>
    <w:rsid w:val="00075ED0"/>
    <w:rsid w:val="00095852"/>
    <w:rsid w:val="000A6BCB"/>
    <w:rsid w:val="000B1E21"/>
    <w:rsid w:val="000B6957"/>
    <w:rsid w:val="000B6BD8"/>
    <w:rsid w:val="000C3F39"/>
    <w:rsid w:val="000C3FA7"/>
    <w:rsid w:val="000C68D3"/>
    <w:rsid w:val="000D0170"/>
    <w:rsid w:val="000E093C"/>
    <w:rsid w:val="000E4E05"/>
    <w:rsid w:val="000E5175"/>
    <w:rsid w:val="000F1B71"/>
    <w:rsid w:val="000F265B"/>
    <w:rsid w:val="001009C3"/>
    <w:rsid w:val="00105DB9"/>
    <w:rsid w:val="00107CB7"/>
    <w:rsid w:val="001158C2"/>
    <w:rsid w:val="001175B4"/>
    <w:rsid w:val="0012142B"/>
    <w:rsid w:val="00121D61"/>
    <w:rsid w:val="001227B0"/>
    <w:rsid w:val="00123376"/>
    <w:rsid w:val="00130CE3"/>
    <w:rsid w:val="001336C6"/>
    <w:rsid w:val="00137BE7"/>
    <w:rsid w:val="00142C45"/>
    <w:rsid w:val="00145424"/>
    <w:rsid w:val="00145D5F"/>
    <w:rsid w:val="001705DC"/>
    <w:rsid w:val="0018777F"/>
    <w:rsid w:val="001901EE"/>
    <w:rsid w:val="001925EF"/>
    <w:rsid w:val="001A3A19"/>
    <w:rsid w:val="001E1749"/>
    <w:rsid w:val="001F5811"/>
    <w:rsid w:val="00206DC0"/>
    <w:rsid w:val="002222BC"/>
    <w:rsid w:val="002233D8"/>
    <w:rsid w:val="00240554"/>
    <w:rsid w:val="00246193"/>
    <w:rsid w:val="00251EEF"/>
    <w:rsid w:val="002542A3"/>
    <w:rsid w:val="00254ED0"/>
    <w:rsid w:val="00255D89"/>
    <w:rsid w:val="0026708A"/>
    <w:rsid w:val="00271166"/>
    <w:rsid w:val="00272F4E"/>
    <w:rsid w:val="00281EAA"/>
    <w:rsid w:val="00285375"/>
    <w:rsid w:val="0028738D"/>
    <w:rsid w:val="00296F98"/>
    <w:rsid w:val="002A35E8"/>
    <w:rsid w:val="002A38BC"/>
    <w:rsid w:val="002B34DC"/>
    <w:rsid w:val="002C1F8F"/>
    <w:rsid w:val="002C3EA2"/>
    <w:rsid w:val="003005BD"/>
    <w:rsid w:val="003030F4"/>
    <w:rsid w:val="003046F0"/>
    <w:rsid w:val="00306307"/>
    <w:rsid w:val="00307CE5"/>
    <w:rsid w:val="0031520E"/>
    <w:rsid w:val="00324371"/>
    <w:rsid w:val="00334085"/>
    <w:rsid w:val="00343CC9"/>
    <w:rsid w:val="003465FA"/>
    <w:rsid w:val="00351AC8"/>
    <w:rsid w:val="003579BD"/>
    <w:rsid w:val="00363CA9"/>
    <w:rsid w:val="00367836"/>
    <w:rsid w:val="0037123E"/>
    <w:rsid w:val="003717C9"/>
    <w:rsid w:val="003731B9"/>
    <w:rsid w:val="00373F1D"/>
    <w:rsid w:val="0037452C"/>
    <w:rsid w:val="00377C88"/>
    <w:rsid w:val="00377F02"/>
    <w:rsid w:val="0038143C"/>
    <w:rsid w:val="003A0523"/>
    <w:rsid w:val="003A128B"/>
    <w:rsid w:val="003A21EA"/>
    <w:rsid w:val="003A779C"/>
    <w:rsid w:val="003B145F"/>
    <w:rsid w:val="003B7FA2"/>
    <w:rsid w:val="003E6828"/>
    <w:rsid w:val="003F0969"/>
    <w:rsid w:val="003F471C"/>
    <w:rsid w:val="004014CB"/>
    <w:rsid w:val="0041467A"/>
    <w:rsid w:val="00423830"/>
    <w:rsid w:val="004378E8"/>
    <w:rsid w:val="00440BC8"/>
    <w:rsid w:val="00443649"/>
    <w:rsid w:val="0044399D"/>
    <w:rsid w:val="004440A2"/>
    <w:rsid w:val="004518F6"/>
    <w:rsid w:val="004535A4"/>
    <w:rsid w:val="00477783"/>
    <w:rsid w:val="004845E0"/>
    <w:rsid w:val="0048760A"/>
    <w:rsid w:val="00492913"/>
    <w:rsid w:val="00494DCA"/>
    <w:rsid w:val="004A6CC1"/>
    <w:rsid w:val="004B28B7"/>
    <w:rsid w:val="004B368D"/>
    <w:rsid w:val="004B57F3"/>
    <w:rsid w:val="004D17ED"/>
    <w:rsid w:val="004E420D"/>
    <w:rsid w:val="005132E5"/>
    <w:rsid w:val="005243E3"/>
    <w:rsid w:val="00525F48"/>
    <w:rsid w:val="005363DD"/>
    <w:rsid w:val="00545BA3"/>
    <w:rsid w:val="00546D2C"/>
    <w:rsid w:val="00554E9C"/>
    <w:rsid w:val="00555074"/>
    <w:rsid w:val="005559D9"/>
    <w:rsid w:val="00560222"/>
    <w:rsid w:val="00563001"/>
    <w:rsid w:val="00577711"/>
    <w:rsid w:val="00582EA7"/>
    <w:rsid w:val="0058606E"/>
    <w:rsid w:val="00590D07"/>
    <w:rsid w:val="005950A6"/>
    <w:rsid w:val="005958F2"/>
    <w:rsid w:val="00597F47"/>
    <w:rsid w:val="005B2223"/>
    <w:rsid w:val="005D3D35"/>
    <w:rsid w:val="005E2D49"/>
    <w:rsid w:val="005E44CE"/>
    <w:rsid w:val="005F055E"/>
    <w:rsid w:val="00607C7D"/>
    <w:rsid w:val="006140C0"/>
    <w:rsid w:val="00620375"/>
    <w:rsid w:val="00622810"/>
    <w:rsid w:val="006306C9"/>
    <w:rsid w:val="006339A0"/>
    <w:rsid w:val="00640014"/>
    <w:rsid w:val="00644953"/>
    <w:rsid w:val="00660E5F"/>
    <w:rsid w:val="00672B8B"/>
    <w:rsid w:val="00673303"/>
    <w:rsid w:val="006744E6"/>
    <w:rsid w:val="00676929"/>
    <w:rsid w:val="00680D2D"/>
    <w:rsid w:val="006819B0"/>
    <w:rsid w:val="00686753"/>
    <w:rsid w:val="006A2250"/>
    <w:rsid w:val="006C1FB8"/>
    <w:rsid w:val="006C407C"/>
    <w:rsid w:val="006D1FA2"/>
    <w:rsid w:val="006D2458"/>
    <w:rsid w:val="006F544C"/>
    <w:rsid w:val="00723118"/>
    <w:rsid w:val="00737F49"/>
    <w:rsid w:val="00740786"/>
    <w:rsid w:val="0074188F"/>
    <w:rsid w:val="00760E80"/>
    <w:rsid w:val="00761961"/>
    <w:rsid w:val="00766D1F"/>
    <w:rsid w:val="00771B0E"/>
    <w:rsid w:val="00783974"/>
    <w:rsid w:val="00783B1F"/>
    <w:rsid w:val="00783D9C"/>
    <w:rsid w:val="00790152"/>
    <w:rsid w:val="007A21D3"/>
    <w:rsid w:val="007B45B9"/>
    <w:rsid w:val="007C3953"/>
    <w:rsid w:val="007D28E6"/>
    <w:rsid w:val="007D54FF"/>
    <w:rsid w:val="007E44CF"/>
    <w:rsid w:val="007E53A8"/>
    <w:rsid w:val="007E5F4D"/>
    <w:rsid w:val="007F366E"/>
    <w:rsid w:val="00801FF3"/>
    <w:rsid w:val="0080616C"/>
    <w:rsid w:val="008067DF"/>
    <w:rsid w:val="0080749B"/>
    <w:rsid w:val="0081034D"/>
    <w:rsid w:val="00813CF6"/>
    <w:rsid w:val="0081671E"/>
    <w:rsid w:val="00832071"/>
    <w:rsid w:val="008348B7"/>
    <w:rsid w:val="008357B6"/>
    <w:rsid w:val="00836F81"/>
    <w:rsid w:val="00842851"/>
    <w:rsid w:val="0084791E"/>
    <w:rsid w:val="0085124D"/>
    <w:rsid w:val="0086178A"/>
    <w:rsid w:val="008619D3"/>
    <w:rsid w:val="00871DCD"/>
    <w:rsid w:val="00874284"/>
    <w:rsid w:val="00874CFF"/>
    <w:rsid w:val="00876FB8"/>
    <w:rsid w:val="008772CA"/>
    <w:rsid w:val="00880305"/>
    <w:rsid w:val="008911F1"/>
    <w:rsid w:val="008B5992"/>
    <w:rsid w:val="008C6C9F"/>
    <w:rsid w:val="008D2C1F"/>
    <w:rsid w:val="008E18DB"/>
    <w:rsid w:val="008F2E4A"/>
    <w:rsid w:val="008F7A81"/>
    <w:rsid w:val="0090028B"/>
    <w:rsid w:val="00902F19"/>
    <w:rsid w:val="009126F6"/>
    <w:rsid w:val="00920A63"/>
    <w:rsid w:val="00923D37"/>
    <w:rsid w:val="00925481"/>
    <w:rsid w:val="0092659B"/>
    <w:rsid w:val="009401CC"/>
    <w:rsid w:val="0094065C"/>
    <w:rsid w:val="00942757"/>
    <w:rsid w:val="00946F08"/>
    <w:rsid w:val="00947E2E"/>
    <w:rsid w:val="0095076C"/>
    <w:rsid w:val="00952AF0"/>
    <w:rsid w:val="009602C6"/>
    <w:rsid w:val="00973036"/>
    <w:rsid w:val="009842E4"/>
    <w:rsid w:val="009874FB"/>
    <w:rsid w:val="00993F56"/>
    <w:rsid w:val="009948F8"/>
    <w:rsid w:val="009A3D52"/>
    <w:rsid w:val="009B5859"/>
    <w:rsid w:val="009C39E2"/>
    <w:rsid w:val="009E07A9"/>
    <w:rsid w:val="009F1222"/>
    <w:rsid w:val="009F1BFF"/>
    <w:rsid w:val="009F4949"/>
    <w:rsid w:val="009F4CBC"/>
    <w:rsid w:val="00A0032E"/>
    <w:rsid w:val="00A00DBD"/>
    <w:rsid w:val="00A14C1E"/>
    <w:rsid w:val="00A2337F"/>
    <w:rsid w:val="00A27B28"/>
    <w:rsid w:val="00A31F67"/>
    <w:rsid w:val="00A3619A"/>
    <w:rsid w:val="00A41A77"/>
    <w:rsid w:val="00A655A6"/>
    <w:rsid w:val="00A7037D"/>
    <w:rsid w:val="00A71902"/>
    <w:rsid w:val="00A821D8"/>
    <w:rsid w:val="00A8585C"/>
    <w:rsid w:val="00A92321"/>
    <w:rsid w:val="00AA7466"/>
    <w:rsid w:val="00AB0789"/>
    <w:rsid w:val="00AB1FC9"/>
    <w:rsid w:val="00AE57D5"/>
    <w:rsid w:val="00AE710D"/>
    <w:rsid w:val="00AF78CC"/>
    <w:rsid w:val="00B102DF"/>
    <w:rsid w:val="00B220C1"/>
    <w:rsid w:val="00B242C0"/>
    <w:rsid w:val="00B30B70"/>
    <w:rsid w:val="00B442E3"/>
    <w:rsid w:val="00B52D24"/>
    <w:rsid w:val="00B530A4"/>
    <w:rsid w:val="00B57C49"/>
    <w:rsid w:val="00B61631"/>
    <w:rsid w:val="00B65B0A"/>
    <w:rsid w:val="00B7079A"/>
    <w:rsid w:val="00B70D1A"/>
    <w:rsid w:val="00B73213"/>
    <w:rsid w:val="00B75827"/>
    <w:rsid w:val="00B75C16"/>
    <w:rsid w:val="00B86FF2"/>
    <w:rsid w:val="00B92AC6"/>
    <w:rsid w:val="00B94CCA"/>
    <w:rsid w:val="00B958CC"/>
    <w:rsid w:val="00B96CEA"/>
    <w:rsid w:val="00BC2FB8"/>
    <w:rsid w:val="00BC4B9D"/>
    <w:rsid w:val="00BC6094"/>
    <w:rsid w:val="00BC61BF"/>
    <w:rsid w:val="00BD22FC"/>
    <w:rsid w:val="00BD23EA"/>
    <w:rsid w:val="00BD711E"/>
    <w:rsid w:val="00BE3BEA"/>
    <w:rsid w:val="00BE5D75"/>
    <w:rsid w:val="00BF23CB"/>
    <w:rsid w:val="00C05555"/>
    <w:rsid w:val="00C07E3F"/>
    <w:rsid w:val="00C169F3"/>
    <w:rsid w:val="00C25485"/>
    <w:rsid w:val="00C260A1"/>
    <w:rsid w:val="00C32E23"/>
    <w:rsid w:val="00C34608"/>
    <w:rsid w:val="00C37086"/>
    <w:rsid w:val="00C44CE3"/>
    <w:rsid w:val="00C5449C"/>
    <w:rsid w:val="00C60C5C"/>
    <w:rsid w:val="00C63124"/>
    <w:rsid w:val="00C8457A"/>
    <w:rsid w:val="00CA2A9E"/>
    <w:rsid w:val="00CB6E4F"/>
    <w:rsid w:val="00CC140B"/>
    <w:rsid w:val="00CC3C38"/>
    <w:rsid w:val="00CD373C"/>
    <w:rsid w:val="00CD6D75"/>
    <w:rsid w:val="00CE636E"/>
    <w:rsid w:val="00CE689C"/>
    <w:rsid w:val="00CE689F"/>
    <w:rsid w:val="00CF580E"/>
    <w:rsid w:val="00CF7EBD"/>
    <w:rsid w:val="00D0569E"/>
    <w:rsid w:val="00D1061D"/>
    <w:rsid w:val="00D20C0C"/>
    <w:rsid w:val="00D24A2A"/>
    <w:rsid w:val="00D307BA"/>
    <w:rsid w:val="00D30984"/>
    <w:rsid w:val="00D36191"/>
    <w:rsid w:val="00D40578"/>
    <w:rsid w:val="00D518A4"/>
    <w:rsid w:val="00D52304"/>
    <w:rsid w:val="00D532EE"/>
    <w:rsid w:val="00D56D8D"/>
    <w:rsid w:val="00D67409"/>
    <w:rsid w:val="00D67D08"/>
    <w:rsid w:val="00D72E66"/>
    <w:rsid w:val="00D738F0"/>
    <w:rsid w:val="00D76A3D"/>
    <w:rsid w:val="00D77A3F"/>
    <w:rsid w:val="00D81249"/>
    <w:rsid w:val="00D823AD"/>
    <w:rsid w:val="00D96F46"/>
    <w:rsid w:val="00DA050F"/>
    <w:rsid w:val="00DA12D6"/>
    <w:rsid w:val="00DA1DDB"/>
    <w:rsid w:val="00DA30E7"/>
    <w:rsid w:val="00DA5318"/>
    <w:rsid w:val="00DA56D5"/>
    <w:rsid w:val="00DD2C28"/>
    <w:rsid w:val="00DD748F"/>
    <w:rsid w:val="00DE5ADA"/>
    <w:rsid w:val="00DF0496"/>
    <w:rsid w:val="00E062F3"/>
    <w:rsid w:val="00E2207D"/>
    <w:rsid w:val="00E2772A"/>
    <w:rsid w:val="00E27894"/>
    <w:rsid w:val="00E362D1"/>
    <w:rsid w:val="00E40493"/>
    <w:rsid w:val="00E43A89"/>
    <w:rsid w:val="00E44733"/>
    <w:rsid w:val="00E5476D"/>
    <w:rsid w:val="00E54AB1"/>
    <w:rsid w:val="00E92CBA"/>
    <w:rsid w:val="00E93AE4"/>
    <w:rsid w:val="00E960C8"/>
    <w:rsid w:val="00EA5579"/>
    <w:rsid w:val="00EB1603"/>
    <w:rsid w:val="00EB1B10"/>
    <w:rsid w:val="00EB461E"/>
    <w:rsid w:val="00ED15B8"/>
    <w:rsid w:val="00ED414F"/>
    <w:rsid w:val="00EE1FAA"/>
    <w:rsid w:val="00EE6CE2"/>
    <w:rsid w:val="00EF1CA8"/>
    <w:rsid w:val="00EF20E5"/>
    <w:rsid w:val="00EF3820"/>
    <w:rsid w:val="00F014E3"/>
    <w:rsid w:val="00F06432"/>
    <w:rsid w:val="00F11884"/>
    <w:rsid w:val="00F27050"/>
    <w:rsid w:val="00F41F04"/>
    <w:rsid w:val="00F44338"/>
    <w:rsid w:val="00F45052"/>
    <w:rsid w:val="00F57118"/>
    <w:rsid w:val="00F612A9"/>
    <w:rsid w:val="00F6682D"/>
    <w:rsid w:val="00F74042"/>
    <w:rsid w:val="00F75AA1"/>
    <w:rsid w:val="00F824C7"/>
    <w:rsid w:val="00F9005E"/>
    <w:rsid w:val="00FA5B0D"/>
    <w:rsid w:val="00FA6AD2"/>
    <w:rsid w:val="00FC205A"/>
    <w:rsid w:val="00FC3B66"/>
    <w:rsid w:val="00FC4D37"/>
    <w:rsid w:val="00FE363D"/>
    <w:rsid w:val="00FE54F2"/>
    <w:rsid w:val="00FF27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6"/>
    </o:shapedefaults>
    <o:shapelayout v:ext="edit">
      <o:idmap v:ext="edit" data="1"/>
    </o:shapelayout>
  </w:shapeDefaults>
  <w:decimalSymbol w:val="."/>
  <w:listSeparator w:val=","/>
  <w15:docId w15:val="{E2A4DC92-0A6F-4D12-A50D-F01D3C2E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A0"/>
    <w:pPr>
      <w:spacing w:line="276" w:lineRule="auto"/>
    </w:pPr>
    <w:rPr>
      <w:rFonts w:ascii="Georgia" w:hAnsi="Georgia"/>
      <w:sz w:val="21"/>
      <w:szCs w:val="24"/>
      <w:lang w:eastAsia="en-US"/>
    </w:rPr>
  </w:style>
  <w:style w:type="paragraph" w:styleId="Heading1">
    <w:name w:val="heading 1"/>
    <w:basedOn w:val="Normal"/>
    <w:next w:val="Normal"/>
    <w:qFormat/>
    <w:rsid w:val="00324371"/>
    <w:pPr>
      <w:spacing w:after="240"/>
      <w:ind w:left="851" w:hanging="851"/>
      <w:outlineLvl w:val="0"/>
    </w:pPr>
    <w:rPr>
      <w:rFonts w:cs="Arial"/>
      <w:b/>
      <w:bCs/>
      <w:sz w:val="56"/>
      <w:szCs w:val="48"/>
    </w:rPr>
  </w:style>
  <w:style w:type="paragraph" w:styleId="Heading2">
    <w:name w:val="heading 2"/>
    <w:basedOn w:val="Normal"/>
    <w:next w:val="Normal"/>
    <w:qFormat/>
    <w:rsid w:val="002233D8"/>
    <w:pPr>
      <w:keepNext/>
      <w:spacing w:before="360" w:after="120"/>
      <w:outlineLvl w:val="1"/>
    </w:pPr>
    <w:rPr>
      <w:rFonts w:cs="Arial"/>
      <w:b/>
      <w:bCs/>
      <w:iCs/>
      <w:sz w:val="36"/>
      <w:szCs w:val="28"/>
    </w:rPr>
  </w:style>
  <w:style w:type="paragraph" w:styleId="Heading3">
    <w:name w:val="heading 3"/>
    <w:basedOn w:val="Normal"/>
    <w:next w:val="Normal"/>
    <w:qFormat/>
    <w:rsid w:val="00607C7D"/>
    <w:pPr>
      <w:keepNext/>
      <w:spacing w:before="240" w:after="120"/>
      <w:outlineLvl w:val="2"/>
    </w:pPr>
    <w:rPr>
      <w:rFonts w:cs="Arial"/>
      <w:b/>
      <w:bCs/>
      <w:sz w:val="28"/>
      <w:szCs w:val="26"/>
    </w:rPr>
  </w:style>
  <w:style w:type="paragraph" w:styleId="Heading4">
    <w:name w:val="heading 4"/>
    <w:basedOn w:val="Normal"/>
    <w:next w:val="Normal"/>
    <w:link w:val="Heading4Char"/>
    <w:uiPriority w:val="9"/>
    <w:unhideWhenUsed/>
    <w:qFormat/>
    <w:rsid w:val="00EE6CE2"/>
    <w:pPr>
      <w:keepNext/>
      <w:spacing w:before="120" w:after="12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76FB8"/>
    <w:rPr>
      <w:color w:val="auto"/>
      <w:u w:val="none"/>
    </w:rPr>
  </w:style>
  <w:style w:type="paragraph" w:styleId="FootnoteText">
    <w:name w:val="footnote text"/>
    <w:basedOn w:val="Normal"/>
    <w:link w:val="FootnoteTextChar"/>
    <w:qFormat/>
    <w:rsid w:val="00680D2D"/>
    <w:pPr>
      <w:spacing w:before="60"/>
      <w:ind w:left="284" w:hanging="284"/>
    </w:pPr>
    <w:rPr>
      <w:sz w:val="18"/>
      <w:szCs w:val="20"/>
    </w:rPr>
  </w:style>
  <w:style w:type="character" w:styleId="FootnoteReference">
    <w:name w:val="footnote reference"/>
    <w:uiPriority w:val="99"/>
    <w:semiHidden/>
    <w:rsid w:val="00240554"/>
    <w:rPr>
      <w:vertAlign w:val="superscript"/>
    </w:rPr>
  </w:style>
  <w:style w:type="paragraph" w:styleId="Header">
    <w:name w:val="header"/>
    <w:basedOn w:val="Normal"/>
    <w:rsid w:val="0074188F"/>
  </w:style>
  <w:style w:type="paragraph" w:styleId="Footer">
    <w:name w:val="footer"/>
    <w:basedOn w:val="Normal"/>
    <w:rsid w:val="0092659B"/>
    <w:pPr>
      <w:tabs>
        <w:tab w:val="right" w:pos="8647"/>
        <w:tab w:val="right" w:pos="9356"/>
      </w:tabs>
    </w:pPr>
    <w:rPr>
      <w:sz w:val="20"/>
    </w:rPr>
  </w:style>
  <w:style w:type="table" w:styleId="TableGrid">
    <w:name w:val="Table Grid"/>
    <w:basedOn w:val="TableNormal"/>
    <w:uiPriority w:val="59"/>
    <w:rsid w:val="00577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next w:val="Normal"/>
    <w:rsid w:val="00C63124"/>
    <w:pPr>
      <w:keepNext/>
      <w:spacing w:before="120" w:after="120"/>
    </w:pPr>
    <w:rPr>
      <w:b/>
    </w:rPr>
  </w:style>
  <w:style w:type="paragraph" w:customStyle="1" w:styleId="Note">
    <w:name w:val="Note"/>
    <w:basedOn w:val="Normal"/>
    <w:link w:val="NoteChar"/>
    <w:qFormat/>
    <w:rsid w:val="00B73213"/>
    <w:pPr>
      <w:spacing w:before="60"/>
      <w:ind w:left="284" w:hanging="284"/>
    </w:pPr>
    <w:rPr>
      <w:sz w:val="18"/>
      <w:szCs w:val="22"/>
      <w:lang w:eastAsia="en-GB"/>
    </w:rPr>
  </w:style>
  <w:style w:type="paragraph" w:customStyle="1" w:styleId="Bullet">
    <w:name w:val="Bullet"/>
    <w:basedOn w:val="Normal"/>
    <w:link w:val="BulletChar"/>
    <w:qFormat/>
    <w:rsid w:val="004378E8"/>
    <w:pPr>
      <w:numPr>
        <w:numId w:val="15"/>
      </w:numPr>
      <w:spacing w:before="90"/>
    </w:pPr>
  </w:style>
  <w:style w:type="character" w:styleId="PageNumber">
    <w:name w:val="page number"/>
    <w:rsid w:val="0092659B"/>
    <w:rPr>
      <w:color w:val="auto"/>
      <w:sz w:val="24"/>
    </w:rPr>
  </w:style>
  <w:style w:type="paragraph" w:customStyle="1" w:styleId="TableText">
    <w:name w:val="TableText"/>
    <w:basedOn w:val="Normal"/>
    <w:qFormat/>
    <w:rsid w:val="00B73213"/>
    <w:pPr>
      <w:spacing w:before="50" w:after="50"/>
    </w:pPr>
    <w:rPr>
      <w:sz w:val="18"/>
    </w:rPr>
  </w:style>
  <w:style w:type="paragraph" w:customStyle="1" w:styleId="Source">
    <w:name w:val="Source"/>
    <w:basedOn w:val="Normal"/>
    <w:next w:val="Normal"/>
    <w:qFormat/>
    <w:rsid w:val="00607C7D"/>
    <w:pPr>
      <w:spacing w:before="80"/>
    </w:pPr>
    <w:rPr>
      <w:sz w:val="18"/>
    </w:rPr>
  </w:style>
  <w:style w:type="paragraph" w:customStyle="1" w:styleId="References">
    <w:name w:val="References"/>
    <w:basedOn w:val="Normal"/>
    <w:qFormat/>
    <w:rsid w:val="000D0170"/>
    <w:pPr>
      <w:spacing w:after="120"/>
    </w:pPr>
    <w:rPr>
      <w:sz w:val="18"/>
    </w:rPr>
  </w:style>
  <w:style w:type="paragraph" w:customStyle="1" w:styleId="BoxHeading">
    <w:name w:val="BoxHeading"/>
    <w:basedOn w:val="Normal"/>
    <w:qFormat/>
    <w:rsid w:val="0092659B"/>
    <w:pPr>
      <w:pBdr>
        <w:top w:val="single" w:sz="4" w:space="12" w:color="auto"/>
        <w:left w:val="single" w:sz="4" w:space="12" w:color="auto"/>
        <w:bottom w:val="single" w:sz="4" w:space="12" w:color="auto"/>
        <w:right w:val="single" w:sz="4" w:space="12" w:color="auto"/>
      </w:pBdr>
      <w:spacing w:before="120" w:after="120" w:line="264" w:lineRule="auto"/>
      <w:ind w:left="284" w:right="284"/>
    </w:pPr>
    <w:rPr>
      <w:b/>
      <w:sz w:val="28"/>
      <w:szCs w:val="20"/>
      <w:lang w:eastAsia="en-GB"/>
    </w:rPr>
  </w:style>
  <w:style w:type="paragraph" w:customStyle="1" w:styleId="BoxBullet">
    <w:name w:val="BoxBullet"/>
    <w:basedOn w:val="Normal"/>
    <w:qFormat/>
    <w:rsid w:val="0092659B"/>
    <w:pPr>
      <w:numPr>
        <w:numId w:val="29"/>
      </w:numPr>
      <w:pBdr>
        <w:top w:val="single" w:sz="4" w:space="12" w:color="auto"/>
        <w:left w:val="single" w:sz="4" w:space="12" w:color="auto"/>
        <w:bottom w:val="single" w:sz="4" w:space="12" w:color="auto"/>
        <w:right w:val="single" w:sz="4" w:space="12" w:color="auto"/>
      </w:pBdr>
      <w:tabs>
        <w:tab w:val="clear" w:pos="360"/>
        <w:tab w:val="num" w:pos="567"/>
      </w:tabs>
      <w:spacing w:before="120" w:after="120" w:line="264" w:lineRule="auto"/>
      <w:ind w:left="567" w:right="284" w:hanging="283"/>
    </w:pPr>
    <w:rPr>
      <w:sz w:val="22"/>
      <w:szCs w:val="20"/>
      <w:lang w:eastAsia="en-GB"/>
    </w:rPr>
  </w:style>
  <w:style w:type="character" w:customStyle="1" w:styleId="BulletChar">
    <w:name w:val="Bullet Char"/>
    <w:link w:val="Bullet"/>
    <w:locked/>
    <w:rsid w:val="004378E8"/>
    <w:rPr>
      <w:rFonts w:ascii="Georgia" w:hAnsi="Georgia"/>
      <w:sz w:val="21"/>
      <w:szCs w:val="24"/>
      <w:lang w:eastAsia="en-US"/>
    </w:rPr>
  </w:style>
  <w:style w:type="character" w:customStyle="1" w:styleId="Heading4Char">
    <w:name w:val="Heading 4 Char"/>
    <w:basedOn w:val="DefaultParagraphFont"/>
    <w:link w:val="Heading4"/>
    <w:uiPriority w:val="9"/>
    <w:rsid w:val="00EE6CE2"/>
    <w:rPr>
      <w:rFonts w:ascii="Georgia" w:eastAsiaTheme="majorEastAsia" w:hAnsi="Georgia" w:cstheme="majorBidi"/>
      <w:b/>
      <w:bCs/>
      <w:iCs/>
      <w:sz w:val="24"/>
      <w:szCs w:val="24"/>
      <w:lang w:eastAsia="en-US"/>
    </w:rPr>
  </w:style>
  <w:style w:type="character" w:customStyle="1" w:styleId="FootnoteTextChar">
    <w:name w:val="Footnote Text Char"/>
    <w:link w:val="FootnoteText"/>
    <w:rsid w:val="00EB461E"/>
    <w:rPr>
      <w:rFonts w:ascii="Georgia" w:hAnsi="Georgia"/>
      <w:sz w:val="18"/>
      <w:lang w:eastAsia="en-US"/>
    </w:rPr>
  </w:style>
  <w:style w:type="paragraph" w:styleId="TOC1">
    <w:name w:val="toc 1"/>
    <w:basedOn w:val="Normal"/>
    <w:next w:val="Normal"/>
    <w:uiPriority w:val="39"/>
    <w:unhideWhenUsed/>
    <w:qFormat/>
    <w:rsid w:val="008911F1"/>
    <w:pPr>
      <w:tabs>
        <w:tab w:val="left" w:pos="567"/>
        <w:tab w:val="right" w:pos="9356"/>
      </w:tabs>
      <w:spacing w:before="240"/>
      <w:ind w:left="567" w:right="567" w:hanging="567"/>
    </w:pPr>
    <w:rPr>
      <w:sz w:val="22"/>
      <w:szCs w:val="22"/>
      <w:lang w:eastAsia="en-AU"/>
    </w:rPr>
  </w:style>
  <w:style w:type="paragraph" w:styleId="TOC2">
    <w:name w:val="toc 2"/>
    <w:basedOn w:val="Normal"/>
    <w:next w:val="Normal"/>
    <w:uiPriority w:val="39"/>
    <w:unhideWhenUsed/>
    <w:qFormat/>
    <w:rsid w:val="008911F1"/>
    <w:pPr>
      <w:tabs>
        <w:tab w:val="left" w:pos="1134"/>
        <w:tab w:val="right" w:pos="9356"/>
      </w:tabs>
      <w:spacing w:before="120"/>
      <w:ind w:left="1134" w:right="567" w:hanging="567"/>
    </w:pPr>
    <w:rPr>
      <w:sz w:val="22"/>
      <w:szCs w:val="22"/>
      <w:lang w:eastAsia="en-AU"/>
    </w:rPr>
  </w:style>
  <w:style w:type="paragraph" w:customStyle="1" w:styleId="Dash">
    <w:name w:val="Dash"/>
    <w:basedOn w:val="Normal"/>
    <w:link w:val="DashChar"/>
    <w:qFormat/>
    <w:rsid w:val="00EE6CE2"/>
    <w:pPr>
      <w:numPr>
        <w:numId w:val="33"/>
      </w:numPr>
      <w:spacing w:before="60"/>
      <w:ind w:left="568" w:hanging="284"/>
    </w:pPr>
    <w:rPr>
      <w:rFonts w:eastAsia="Calibri" w:cs="Arial Mäori"/>
      <w:szCs w:val="22"/>
      <w:lang w:eastAsia="en-NZ"/>
    </w:rPr>
  </w:style>
  <w:style w:type="character" w:customStyle="1" w:styleId="DashChar">
    <w:name w:val="Dash Char"/>
    <w:link w:val="Dash"/>
    <w:rsid w:val="00EE6CE2"/>
    <w:rPr>
      <w:rFonts w:ascii="Georgia" w:eastAsia="Calibri" w:hAnsi="Georgia" w:cs="Arial Mäori"/>
      <w:sz w:val="21"/>
      <w:szCs w:val="22"/>
    </w:rPr>
  </w:style>
  <w:style w:type="paragraph" w:customStyle="1" w:styleId="Box">
    <w:name w:val="Box"/>
    <w:basedOn w:val="BoxHeading"/>
    <w:link w:val="BoxChar"/>
    <w:qFormat/>
    <w:rsid w:val="00EB461E"/>
    <w:pPr>
      <w:spacing w:line="276" w:lineRule="auto"/>
    </w:pPr>
    <w:rPr>
      <w:rFonts w:eastAsia="Calibri"/>
      <w:b w:val="0"/>
      <w:sz w:val="22"/>
      <w:szCs w:val="22"/>
      <w:lang w:eastAsia="en-NZ"/>
    </w:rPr>
  </w:style>
  <w:style w:type="character" w:customStyle="1" w:styleId="BoxChar">
    <w:name w:val="Box Char"/>
    <w:link w:val="Box"/>
    <w:rsid w:val="00EB461E"/>
    <w:rPr>
      <w:rFonts w:ascii="Georgia" w:eastAsia="Calibri" w:hAnsi="Georgia"/>
      <w:sz w:val="22"/>
      <w:szCs w:val="22"/>
    </w:rPr>
  </w:style>
  <w:style w:type="character" w:customStyle="1" w:styleId="NoteChar">
    <w:name w:val="Note Char"/>
    <w:link w:val="Note"/>
    <w:rsid w:val="00B73213"/>
    <w:rPr>
      <w:rFonts w:ascii="Georgia" w:hAnsi="Georgia"/>
      <w:sz w:val="18"/>
      <w:szCs w:val="22"/>
      <w:lang w:eastAsia="en-GB"/>
    </w:rPr>
  </w:style>
  <w:style w:type="paragraph" w:customStyle="1" w:styleId="Table">
    <w:name w:val="Table"/>
    <w:basedOn w:val="Normal"/>
    <w:qFormat/>
    <w:rsid w:val="00B73213"/>
    <w:pPr>
      <w:keepNext/>
      <w:spacing w:before="360" w:after="120"/>
    </w:pPr>
    <w:rPr>
      <w:b/>
    </w:rPr>
  </w:style>
  <w:style w:type="paragraph" w:customStyle="1" w:styleId="TableBullet">
    <w:name w:val="TableBullet"/>
    <w:basedOn w:val="TableText"/>
    <w:qFormat/>
    <w:rsid w:val="00CE689C"/>
    <w:pPr>
      <w:numPr>
        <w:numId w:val="43"/>
      </w:numPr>
      <w:spacing w:before="0"/>
      <w:ind w:left="284" w:hanging="284"/>
    </w:pPr>
    <w:rPr>
      <w:szCs w:val="20"/>
    </w:rPr>
  </w:style>
  <w:style w:type="paragraph" w:styleId="Title">
    <w:name w:val="Title"/>
    <w:basedOn w:val="Normal"/>
    <w:next w:val="Normal"/>
    <w:link w:val="TitleChar"/>
    <w:uiPriority w:val="10"/>
    <w:qFormat/>
    <w:rsid w:val="00783D9C"/>
    <w:rPr>
      <w:rFonts w:eastAsiaTheme="majorEastAsia" w:cstheme="majorBidi"/>
      <w:b/>
      <w:sz w:val="44"/>
      <w:szCs w:val="52"/>
    </w:rPr>
  </w:style>
  <w:style w:type="character" w:customStyle="1" w:styleId="TitleChar">
    <w:name w:val="Title Char"/>
    <w:basedOn w:val="DefaultParagraphFont"/>
    <w:link w:val="Title"/>
    <w:uiPriority w:val="10"/>
    <w:rsid w:val="00783D9C"/>
    <w:rPr>
      <w:rFonts w:ascii="Georgia" w:eastAsiaTheme="majorEastAsia" w:hAnsi="Georgia" w:cstheme="majorBidi"/>
      <w:b/>
      <w:sz w:val="44"/>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03355">
      <w:bodyDiv w:val="1"/>
      <w:marLeft w:val="0"/>
      <w:marRight w:val="0"/>
      <w:marTop w:val="0"/>
      <w:marBottom w:val="0"/>
      <w:divBdr>
        <w:top w:val="none" w:sz="0" w:space="0" w:color="auto"/>
        <w:left w:val="none" w:sz="0" w:space="0" w:color="auto"/>
        <w:bottom w:val="none" w:sz="0" w:space="0" w:color="auto"/>
        <w:right w:val="none" w:sz="0" w:space="0" w:color="auto"/>
      </w:divBdr>
    </w:div>
    <w:div w:id="951862298">
      <w:bodyDiv w:val="1"/>
      <w:marLeft w:val="0"/>
      <w:marRight w:val="0"/>
      <w:marTop w:val="0"/>
      <w:marBottom w:val="0"/>
      <w:divBdr>
        <w:top w:val="none" w:sz="0" w:space="0" w:color="auto"/>
        <w:left w:val="none" w:sz="0" w:space="0" w:color="auto"/>
        <w:bottom w:val="none" w:sz="0" w:space="0" w:color="auto"/>
        <w:right w:val="none" w:sz="0" w:space="0" w:color="auto"/>
      </w:divBdr>
    </w:div>
    <w:div w:id="1089890963">
      <w:bodyDiv w:val="1"/>
      <w:marLeft w:val="0"/>
      <w:marRight w:val="0"/>
      <w:marTop w:val="0"/>
      <w:marBottom w:val="0"/>
      <w:divBdr>
        <w:top w:val="none" w:sz="0" w:space="0" w:color="auto"/>
        <w:left w:val="none" w:sz="0" w:space="0" w:color="auto"/>
        <w:bottom w:val="none" w:sz="0" w:space="0" w:color="auto"/>
        <w:right w:val="none" w:sz="0" w:space="0" w:color="auto"/>
      </w:divBdr>
    </w:div>
    <w:div w:id="1246646051">
      <w:bodyDiv w:val="1"/>
      <w:marLeft w:val="0"/>
      <w:marRight w:val="0"/>
      <w:marTop w:val="0"/>
      <w:marBottom w:val="0"/>
      <w:divBdr>
        <w:top w:val="none" w:sz="0" w:space="0" w:color="auto"/>
        <w:left w:val="none" w:sz="0" w:space="0" w:color="auto"/>
        <w:bottom w:val="none" w:sz="0" w:space="0" w:color="auto"/>
        <w:right w:val="none" w:sz="0" w:space="0" w:color="auto"/>
      </w:divBdr>
      <w:divsChild>
        <w:div w:id="1950159488">
          <w:marLeft w:val="0"/>
          <w:marRight w:val="0"/>
          <w:marTop w:val="0"/>
          <w:marBottom w:val="0"/>
          <w:divBdr>
            <w:top w:val="none" w:sz="0" w:space="0" w:color="auto"/>
            <w:left w:val="none" w:sz="0" w:space="0" w:color="auto"/>
            <w:bottom w:val="none" w:sz="0" w:space="0" w:color="auto"/>
            <w:right w:val="none" w:sz="0" w:space="0" w:color="auto"/>
          </w:divBdr>
          <w:divsChild>
            <w:div w:id="65808493">
              <w:marLeft w:val="0"/>
              <w:marRight w:val="0"/>
              <w:marTop w:val="0"/>
              <w:marBottom w:val="0"/>
              <w:divBdr>
                <w:top w:val="none" w:sz="0" w:space="0" w:color="auto"/>
                <w:left w:val="none" w:sz="0" w:space="0" w:color="auto"/>
                <w:bottom w:val="none" w:sz="0" w:space="0" w:color="auto"/>
                <w:right w:val="none" w:sz="0" w:space="0" w:color="auto"/>
              </w:divBdr>
              <w:divsChild>
                <w:div w:id="1685478633">
                  <w:marLeft w:val="-225"/>
                  <w:marRight w:val="-225"/>
                  <w:marTop w:val="0"/>
                  <w:marBottom w:val="0"/>
                  <w:divBdr>
                    <w:top w:val="none" w:sz="0" w:space="0" w:color="auto"/>
                    <w:left w:val="none" w:sz="0" w:space="0" w:color="auto"/>
                    <w:bottom w:val="none" w:sz="0" w:space="0" w:color="auto"/>
                    <w:right w:val="none" w:sz="0" w:space="0" w:color="auto"/>
                  </w:divBdr>
                  <w:divsChild>
                    <w:div w:id="942030321">
                      <w:marLeft w:val="0"/>
                      <w:marRight w:val="0"/>
                      <w:marTop w:val="0"/>
                      <w:marBottom w:val="0"/>
                      <w:divBdr>
                        <w:top w:val="none" w:sz="0" w:space="0" w:color="auto"/>
                        <w:left w:val="none" w:sz="0" w:space="0" w:color="auto"/>
                        <w:bottom w:val="none" w:sz="0" w:space="0" w:color="auto"/>
                        <w:right w:val="none" w:sz="0" w:space="0" w:color="auto"/>
                      </w:divBdr>
                      <w:divsChild>
                        <w:div w:id="1349913619">
                          <w:marLeft w:val="0"/>
                          <w:marRight w:val="0"/>
                          <w:marTop w:val="0"/>
                          <w:marBottom w:val="0"/>
                          <w:divBdr>
                            <w:top w:val="none" w:sz="0" w:space="0" w:color="auto"/>
                            <w:left w:val="none" w:sz="0" w:space="0" w:color="auto"/>
                            <w:bottom w:val="none" w:sz="0" w:space="0" w:color="auto"/>
                            <w:right w:val="none" w:sz="0" w:space="0" w:color="auto"/>
                          </w:divBdr>
                          <w:divsChild>
                            <w:div w:id="1253734724">
                              <w:marLeft w:val="-225"/>
                              <w:marRight w:val="-225"/>
                              <w:marTop w:val="0"/>
                              <w:marBottom w:val="0"/>
                              <w:divBdr>
                                <w:top w:val="none" w:sz="0" w:space="0" w:color="auto"/>
                                <w:left w:val="none" w:sz="0" w:space="0" w:color="auto"/>
                                <w:bottom w:val="none" w:sz="0" w:space="0" w:color="auto"/>
                                <w:right w:val="none" w:sz="0" w:space="0" w:color="auto"/>
                              </w:divBdr>
                              <w:divsChild>
                                <w:div w:id="583690466">
                                  <w:marLeft w:val="0"/>
                                  <w:marRight w:val="0"/>
                                  <w:marTop w:val="0"/>
                                  <w:marBottom w:val="0"/>
                                  <w:divBdr>
                                    <w:top w:val="none" w:sz="0" w:space="0" w:color="auto"/>
                                    <w:left w:val="none" w:sz="0" w:space="0" w:color="auto"/>
                                    <w:bottom w:val="none" w:sz="0" w:space="0" w:color="auto"/>
                                    <w:right w:val="none" w:sz="0" w:space="0" w:color="auto"/>
                                  </w:divBdr>
                                  <w:divsChild>
                                    <w:div w:id="2065641369">
                                      <w:marLeft w:val="0"/>
                                      <w:marRight w:val="0"/>
                                      <w:marTop w:val="0"/>
                                      <w:marBottom w:val="0"/>
                                      <w:divBdr>
                                        <w:top w:val="none" w:sz="0" w:space="0" w:color="auto"/>
                                        <w:left w:val="none" w:sz="0" w:space="0" w:color="auto"/>
                                        <w:bottom w:val="none" w:sz="0" w:space="0" w:color="auto"/>
                                        <w:right w:val="none" w:sz="0" w:space="0" w:color="auto"/>
                                      </w:divBdr>
                                      <w:divsChild>
                                        <w:div w:id="368651677">
                                          <w:marLeft w:val="0"/>
                                          <w:marRight w:val="0"/>
                                          <w:marTop w:val="0"/>
                                          <w:marBottom w:val="0"/>
                                          <w:divBdr>
                                            <w:top w:val="none" w:sz="0" w:space="0" w:color="auto"/>
                                            <w:left w:val="none" w:sz="0" w:space="0" w:color="auto"/>
                                            <w:bottom w:val="none" w:sz="0" w:space="0" w:color="auto"/>
                                            <w:right w:val="none" w:sz="0" w:space="0" w:color="auto"/>
                                          </w:divBdr>
                                          <w:divsChild>
                                            <w:div w:id="1855458212">
                                              <w:marLeft w:val="0"/>
                                              <w:marRight w:val="0"/>
                                              <w:marTop w:val="0"/>
                                              <w:marBottom w:val="0"/>
                                              <w:divBdr>
                                                <w:top w:val="none" w:sz="0" w:space="0" w:color="auto"/>
                                                <w:left w:val="none" w:sz="0" w:space="0" w:color="auto"/>
                                                <w:bottom w:val="none" w:sz="0" w:space="0" w:color="auto"/>
                                                <w:right w:val="none" w:sz="0" w:space="0" w:color="auto"/>
                                              </w:divBdr>
                                              <w:divsChild>
                                                <w:div w:id="22830463">
                                                  <w:marLeft w:val="0"/>
                                                  <w:marRight w:val="0"/>
                                                  <w:marTop w:val="0"/>
                                                  <w:marBottom w:val="0"/>
                                                  <w:divBdr>
                                                    <w:top w:val="none" w:sz="0" w:space="0" w:color="auto"/>
                                                    <w:left w:val="none" w:sz="0" w:space="0" w:color="auto"/>
                                                    <w:bottom w:val="none" w:sz="0" w:space="0" w:color="auto"/>
                                                    <w:right w:val="none" w:sz="0" w:space="0" w:color="auto"/>
                                                  </w:divBdr>
                                                  <w:divsChild>
                                                    <w:div w:id="1884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922268">
      <w:bodyDiv w:val="1"/>
      <w:marLeft w:val="0"/>
      <w:marRight w:val="0"/>
      <w:marTop w:val="0"/>
      <w:marBottom w:val="0"/>
      <w:divBdr>
        <w:top w:val="none" w:sz="0" w:space="0" w:color="auto"/>
        <w:left w:val="none" w:sz="0" w:space="0" w:color="auto"/>
        <w:bottom w:val="none" w:sz="0" w:space="0" w:color="auto"/>
        <w:right w:val="none" w:sz="0" w:space="0" w:color="auto"/>
      </w:divBdr>
    </w:div>
    <w:div w:id="16515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hhelp.org.nz" TargetMode="External"/><Relationship Id="rId13" Type="http://schemas.openxmlformats.org/officeDocument/2006/relationships/hyperlink" Target="http://www.health.govt.nz/nzhs-feedbac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health.govt.nz/nz-health-statistics/national-collections-and-surveys/surveys/current-recent-surveys/new-zealand-health-surve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t.nz/publication/amphetamine-use-2012-13-key-findings-new-zealand-health-surve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govt.nz/publication/amphetamine-use-2012-13-key-findings-new-zealand-health-survey" TargetMode="External"/><Relationship Id="rId23" Type="http://schemas.openxmlformats.org/officeDocument/2006/relationships/fontTable" Target="fontTable.xml"/><Relationship Id="rId10" Type="http://schemas.openxmlformats.org/officeDocument/2006/relationships/hyperlink" Target="http://www.health.govt.nz/publication/amphetamine-use-2012-13-key-findings-new-zealand-health-surve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alth.govt.nz/publication/amphetamine-use-2012-13-key-findings-new-zealand-health-survey" TargetMode="External"/><Relationship Id="rId14" Type="http://schemas.openxmlformats.org/officeDocument/2006/relationships/hyperlink" Target="http://www.health.govt.nz/publication/drug-use-new-zealand-key-results-2007-08-new-zealand-alcohol-and-drug-use-survey"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E72AA8F-B7B6-4083-A419-9172BB51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BB4FDDAC</Template>
  <TotalTime>8</TotalTime>
  <Pages>6</Pages>
  <Words>1786</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Behaviour Support Services (BSS)</vt:lpstr>
    </vt:vector>
  </TitlesOfParts>
  <Company>Ministry of Health</Company>
  <LinksUpToDate>false</LinksUpToDate>
  <CharactersWithSpaces>12356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Amphetamine Use 2015/16:</dc:title>
  <dc:creator>Ministry of Health</dc:creator>
  <cp:lastModifiedBy>Jane Adam</cp:lastModifiedBy>
  <cp:revision>3</cp:revision>
  <cp:lastPrinted>2016-12-07T03:21:00Z</cp:lastPrinted>
  <dcterms:created xsi:type="dcterms:W3CDTF">2016-12-07T03:19:00Z</dcterms:created>
  <dcterms:modified xsi:type="dcterms:W3CDTF">2016-12-07T03:26:00Z</dcterms:modified>
</cp:coreProperties>
</file>