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1A5C2" w14:textId="77777777" w:rsidR="00C86248" w:rsidRDefault="00677FDE" w:rsidP="00677FDE">
      <w:pPr>
        <w:pStyle w:val="Title"/>
        <w:ind w:right="2835"/>
      </w:pPr>
      <w:r>
        <w:t>Abortion Services Aotearoa New Zealand</w:t>
      </w:r>
    </w:p>
    <w:p w14:paraId="2CF0BC80" w14:textId="77777777" w:rsidR="00D27922" w:rsidRDefault="00677FDE" w:rsidP="00D27922">
      <w:pPr>
        <w:pStyle w:val="Subhead"/>
      </w:pPr>
      <w:r>
        <w:t>Annual Report</w:t>
      </w:r>
    </w:p>
    <w:p w14:paraId="2A7C423F" w14:textId="77777777" w:rsidR="00D27922" w:rsidRPr="00D27922" w:rsidRDefault="00677FDE" w:rsidP="00D27922">
      <w:pPr>
        <w:pStyle w:val="Year"/>
      </w:pPr>
      <w:r>
        <w:t>2021</w:t>
      </w:r>
    </w:p>
    <w:p w14:paraId="7C062E82" w14:textId="77777777" w:rsidR="00C05132" w:rsidRDefault="00C05132" w:rsidP="00A06BE4"/>
    <w:p w14:paraId="14331B97"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07B6305F"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677FDE">
        <w:rPr>
          <w:rFonts w:cs="Segoe UI"/>
        </w:rPr>
        <w:t>2021</w:t>
      </w:r>
      <w:r w:rsidR="00442C1C" w:rsidRPr="00C05132">
        <w:rPr>
          <w:rFonts w:cs="Segoe UI"/>
        </w:rPr>
        <w:t xml:space="preserve">. </w:t>
      </w:r>
      <w:r w:rsidR="00677FDE">
        <w:rPr>
          <w:rFonts w:cs="Segoe UI"/>
          <w:i/>
        </w:rPr>
        <w:t>Abortion Services Aotearoa New Zealand</w:t>
      </w:r>
      <w:r w:rsidR="00D27922">
        <w:rPr>
          <w:rFonts w:cs="Segoe UI"/>
          <w:i/>
        </w:rPr>
        <w:t xml:space="preserve">: </w:t>
      </w:r>
      <w:r w:rsidR="00677FDE">
        <w:rPr>
          <w:rFonts w:cs="Segoe UI"/>
          <w:i/>
        </w:rPr>
        <w:t>Annual report</w:t>
      </w:r>
      <w:r w:rsidR="00442C1C" w:rsidRPr="00C05132">
        <w:rPr>
          <w:rFonts w:cs="Segoe UI"/>
        </w:rPr>
        <w:t>. Wellington: Ministry of Health.</w:t>
      </w:r>
    </w:p>
    <w:p w14:paraId="736A6F0C" w14:textId="77777777" w:rsidR="00C86248" w:rsidRDefault="00C86248">
      <w:pPr>
        <w:pStyle w:val="Imprint"/>
      </w:pPr>
      <w:r>
        <w:t xml:space="preserve">Published in </w:t>
      </w:r>
      <w:r w:rsidR="00677FDE" w:rsidRPr="00677FDE">
        <w:t>October</w:t>
      </w:r>
      <w:r w:rsidR="00677FDE">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55330496" w14:textId="6D764008" w:rsidR="00082CD6" w:rsidRPr="009C0F2D" w:rsidRDefault="00D863D0" w:rsidP="00082CD6">
      <w:pPr>
        <w:pStyle w:val="Imprint"/>
      </w:pPr>
      <w:r>
        <w:t>ISBN</w:t>
      </w:r>
      <w:r w:rsidR="00442C1C">
        <w:t xml:space="preserve"> </w:t>
      </w:r>
      <w:r w:rsidR="00742B70" w:rsidRPr="00742B70">
        <w:t>978-1-99-100761-2</w:t>
      </w:r>
      <w:r w:rsidR="002B7BEC">
        <w:t xml:space="preserve"> </w:t>
      </w:r>
      <w:r>
        <w:t>(</w:t>
      </w:r>
      <w:r w:rsidR="00442C1C">
        <w:t>online</w:t>
      </w:r>
      <w:r>
        <w:t>)</w:t>
      </w:r>
      <w:r w:rsidR="00082CD6">
        <w:br/>
      </w:r>
      <w:r w:rsidR="00082CD6" w:rsidRPr="009C0F2D">
        <w:t xml:space="preserve">HP </w:t>
      </w:r>
      <w:r w:rsidR="00342653">
        <w:t>7877</w:t>
      </w:r>
    </w:p>
    <w:p w14:paraId="2143D79E" w14:textId="77777777" w:rsidR="00C86248" w:rsidRDefault="008C64C4" w:rsidP="00D27922">
      <w:pPr>
        <w:spacing w:before="360"/>
      </w:pPr>
      <w:r>
        <w:rPr>
          <w:noProof/>
          <w:lang w:eastAsia="en-NZ"/>
        </w:rPr>
        <w:drawing>
          <wp:inline distT="0" distB="0" distL="0" distR="0" wp14:anchorId="78578D17" wp14:editId="49E2A50B">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42B39C2B"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0390AE5F" w14:textId="77777777" w:rsidTr="00A63DFF">
        <w:trPr>
          <w:cantSplit/>
        </w:trPr>
        <w:tc>
          <w:tcPr>
            <w:tcW w:w="1526" w:type="dxa"/>
          </w:tcPr>
          <w:p w14:paraId="7F7AFA4E"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314EFC2F" wp14:editId="3E2D63F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BE176A0"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607E289C" w14:textId="77777777" w:rsidR="007E74F1" w:rsidRPr="001F45A7" w:rsidRDefault="007E74F1" w:rsidP="006E2886">
      <w:pPr>
        <w:pStyle w:val="Imprint"/>
      </w:pPr>
    </w:p>
    <w:p w14:paraId="62E8C80E"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174FA3B2" w14:textId="77777777" w:rsidR="00C86248" w:rsidRDefault="00C86248" w:rsidP="00025A6F">
      <w:pPr>
        <w:pStyle w:val="IntroHead"/>
      </w:pPr>
      <w:bookmarkStart w:id="0" w:name="_Toc405792991"/>
      <w:bookmarkStart w:id="1" w:name="_Toc405793224"/>
      <w:r>
        <w:lastRenderedPageBreak/>
        <w:t>Contents</w:t>
      </w:r>
      <w:bookmarkEnd w:id="0"/>
      <w:bookmarkEnd w:id="1"/>
    </w:p>
    <w:p w14:paraId="46513851" w14:textId="02F51BD1" w:rsidR="003B2919" w:rsidRDefault="003B2919">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4582296" w:history="1">
        <w:r w:rsidRPr="000266DA">
          <w:rPr>
            <w:rStyle w:val="Hyperlink"/>
            <w:noProof/>
          </w:rPr>
          <w:t>Introduction</w:t>
        </w:r>
        <w:r>
          <w:rPr>
            <w:noProof/>
            <w:webHidden/>
          </w:rPr>
          <w:tab/>
        </w:r>
        <w:r>
          <w:rPr>
            <w:noProof/>
            <w:webHidden/>
          </w:rPr>
          <w:fldChar w:fldCharType="begin"/>
        </w:r>
        <w:r>
          <w:rPr>
            <w:noProof/>
            <w:webHidden/>
          </w:rPr>
          <w:instrText xml:space="preserve"> PAGEREF _Toc84582296 \h </w:instrText>
        </w:r>
        <w:r>
          <w:rPr>
            <w:noProof/>
            <w:webHidden/>
          </w:rPr>
        </w:r>
        <w:r>
          <w:rPr>
            <w:noProof/>
            <w:webHidden/>
          </w:rPr>
          <w:fldChar w:fldCharType="separate"/>
        </w:r>
        <w:r w:rsidR="0090485D">
          <w:rPr>
            <w:noProof/>
            <w:webHidden/>
          </w:rPr>
          <w:t>1</w:t>
        </w:r>
        <w:r>
          <w:rPr>
            <w:noProof/>
            <w:webHidden/>
          </w:rPr>
          <w:fldChar w:fldCharType="end"/>
        </w:r>
      </w:hyperlink>
    </w:p>
    <w:p w14:paraId="34EA5F28" w14:textId="2DEF3C57" w:rsidR="003B2919" w:rsidRDefault="003B2919">
      <w:pPr>
        <w:pStyle w:val="TOC2"/>
        <w:rPr>
          <w:rFonts w:asciiTheme="minorHAnsi" w:eastAsiaTheme="minorEastAsia" w:hAnsiTheme="minorHAnsi" w:cstheme="minorBidi"/>
          <w:noProof/>
          <w:sz w:val="22"/>
          <w:szCs w:val="22"/>
          <w:lang w:eastAsia="en-NZ"/>
        </w:rPr>
      </w:pPr>
      <w:hyperlink w:anchor="_Toc84582297" w:history="1">
        <w:r w:rsidRPr="000266DA">
          <w:rPr>
            <w:rStyle w:val="Hyperlink"/>
            <w:noProof/>
          </w:rPr>
          <w:t>The Ministry of Health’s values and our vision for abortion services</w:t>
        </w:r>
        <w:r>
          <w:rPr>
            <w:noProof/>
            <w:webHidden/>
          </w:rPr>
          <w:tab/>
        </w:r>
        <w:r>
          <w:rPr>
            <w:noProof/>
            <w:webHidden/>
          </w:rPr>
          <w:fldChar w:fldCharType="begin"/>
        </w:r>
        <w:r>
          <w:rPr>
            <w:noProof/>
            <w:webHidden/>
          </w:rPr>
          <w:instrText xml:space="preserve"> PAGEREF _Toc84582297 \h </w:instrText>
        </w:r>
        <w:r>
          <w:rPr>
            <w:noProof/>
            <w:webHidden/>
          </w:rPr>
        </w:r>
        <w:r>
          <w:rPr>
            <w:noProof/>
            <w:webHidden/>
          </w:rPr>
          <w:fldChar w:fldCharType="separate"/>
        </w:r>
        <w:r w:rsidR="0090485D">
          <w:rPr>
            <w:noProof/>
            <w:webHidden/>
          </w:rPr>
          <w:t>1</w:t>
        </w:r>
        <w:r>
          <w:rPr>
            <w:noProof/>
            <w:webHidden/>
          </w:rPr>
          <w:fldChar w:fldCharType="end"/>
        </w:r>
      </w:hyperlink>
    </w:p>
    <w:p w14:paraId="1E51524E" w14:textId="3EE95F21" w:rsidR="003B2919" w:rsidRDefault="003B2919">
      <w:pPr>
        <w:pStyle w:val="TOC2"/>
        <w:rPr>
          <w:rFonts w:asciiTheme="minorHAnsi" w:eastAsiaTheme="minorEastAsia" w:hAnsiTheme="minorHAnsi" w:cstheme="minorBidi"/>
          <w:noProof/>
          <w:sz w:val="22"/>
          <w:szCs w:val="22"/>
          <w:lang w:eastAsia="en-NZ"/>
        </w:rPr>
      </w:pPr>
      <w:hyperlink w:anchor="_Toc84582298" w:history="1">
        <w:r w:rsidRPr="000266DA">
          <w:rPr>
            <w:rStyle w:val="Hyperlink"/>
            <w:noProof/>
          </w:rPr>
          <w:t>The Abortion Legislation Act changes to service provision</w:t>
        </w:r>
        <w:r>
          <w:rPr>
            <w:noProof/>
            <w:webHidden/>
          </w:rPr>
          <w:tab/>
        </w:r>
        <w:r>
          <w:rPr>
            <w:noProof/>
            <w:webHidden/>
          </w:rPr>
          <w:fldChar w:fldCharType="begin"/>
        </w:r>
        <w:r>
          <w:rPr>
            <w:noProof/>
            <w:webHidden/>
          </w:rPr>
          <w:instrText xml:space="preserve"> PAGEREF _Toc84582298 \h </w:instrText>
        </w:r>
        <w:r>
          <w:rPr>
            <w:noProof/>
            <w:webHidden/>
          </w:rPr>
        </w:r>
        <w:r>
          <w:rPr>
            <w:noProof/>
            <w:webHidden/>
          </w:rPr>
          <w:fldChar w:fldCharType="separate"/>
        </w:r>
        <w:r w:rsidR="0090485D">
          <w:rPr>
            <w:noProof/>
            <w:webHidden/>
          </w:rPr>
          <w:t>3</w:t>
        </w:r>
        <w:r>
          <w:rPr>
            <w:noProof/>
            <w:webHidden/>
          </w:rPr>
          <w:fldChar w:fldCharType="end"/>
        </w:r>
      </w:hyperlink>
    </w:p>
    <w:p w14:paraId="30CF4CD5" w14:textId="272980EC" w:rsidR="003B2919" w:rsidRDefault="003B2919">
      <w:pPr>
        <w:pStyle w:val="TOC2"/>
        <w:rPr>
          <w:rFonts w:asciiTheme="minorHAnsi" w:eastAsiaTheme="minorEastAsia" w:hAnsiTheme="minorHAnsi" w:cstheme="minorBidi"/>
          <w:noProof/>
          <w:sz w:val="22"/>
          <w:szCs w:val="22"/>
          <w:lang w:eastAsia="en-NZ"/>
        </w:rPr>
      </w:pPr>
      <w:hyperlink w:anchor="_Toc84582299" w:history="1">
        <w:r w:rsidRPr="000266DA">
          <w:rPr>
            <w:rStyle w:val="Hyperlink"/>
            <w:noProof/>
          </w:rPr>
          <w:t>Ministry of Health Abortion Services work programme</w:t>
        </w:r>
        <w:r>
          <w:rPr>
            <w:noProof/>
            <w:webHidden/>
          </w:rPr>
          <w:tab/>
        </w:r>
        <w:r>
          <w:rPr>
            <w:noProof/>
            <w:webHidden/>
          </w:rPr>
          <w:fldChar w:fldCharType="begin"/>
        </w:r>
        <w:r>
          <w:rPr>
            <w:noProof/>
            <w:webHidden/>
          </w:rPr>
          <w:instrText xml:space="preserve"> PAGEREF _Toc84582299 \h </w:instrText>
        </w:r>
        <w:r>
          <w:rPr>
            <w:noProof/>
            <w:webHidden/>
          </w:rPr>
        </w:r>
        <w:r>
          <w:rPr>
            <w:noProof/>
            <w:webHidden/>
          </w:rPr>
          <w:fldChar w:fldCharType="separate"/>
        </w:r>
        <w:r w:rsidR="0090485D">
          <w:rPr>
            <w:noProof/>
            <w:webHidden/>
          </w:rPr>
          <w:t>4</w:t>
        </w:r>
        <w:r>
          <w:rPr>
            <w:noProof/>
            <w:webHidden/>
          </w:rPr>
          <w:fldChar w:fldCharType="end"/>
        </w:r>
      </w:hyperlink>
    </w:p>
    <w:p w14:paraId="1BC360B2" w14:textId="025FE832" w:rsidR="003B2919" w:rsidRDefault="003B2919">
      <w:pPr>
        <w:pStyle w:val="TOC2"/>
        <w:rPr>
          <w:rFonts w:asciiTheme="minorHAnsi" w:eastAsiaTheme="minorEastAsia" w:hAnsiTheme="minorHAnsi" w:cstheme="minorBidi"/>
          <w:noProof/>
          <w:sz w:val="22"/>
          <w:szCs w:val="22"/>
          <w:lang w:eastAsia="en-NZ"/>
        </w:rPr>
      </w:pPr>
      <w:hyperlink w:anchor="_Toc84582300" w:history="1">
        <w:r w:rsidRPr="000266DA">
          <w:rPr>
            <w:rStyle w:val="Hyperlink"/>
            <w:noProof/>
          </w:rPr>
          <w:t>Standards and clinical guidance</w:t>
        </w:r>
        <w:r>
          <w:rPr>
            <w:noProof/>
            <w:webHidden/>
          </w:rPr>
          <w:tab/>
        </w:r>
        <w:r>
          <w:rPr>
            <w:noProof/>
            <w:webHidden/>
          </w:rPr>
          <w:fldChar w:fldCharType="begin"/>
        </w:r>
        <w:r>
          <w:rPr>
            <w:noProof/>
            <w:webHidden/>
          </w:rPr>
          <w:instrText xml:space="preserve"> PAGEREF _Toc84582300 \h </w:instrText>
        </w:r>
        <w:r>
          <w:rPr>
            <w:noProof/>
            <w:webHidden/>
          </w:rPr>
        </w:r>
        <w:r>
          <w:rPr>
            <w:noProof/>
            <w:webHidden/>
          </w:rPr>
          <w:fldChar w:fldCharType="separate"/>
        </w:r>
        <w:r w:rsidR="0090485D">
          <w:rPr>
            <w:noProof/>
            <w:webHidden/>
          </w:rPr>
          <w:t>5</w:t>
        </w:r>
        <w:r>
          <w:rPr>
            <w:noProof/>
            <w:webHidden/>
          </w:rPr>
          <w:fldChar w:fldCharType="end"/>
        </w:r>
      </w:hyperlink>
    </w:p>
    <w:p w14:paraId="316153EC" w14:textId="35F447A1" w:rsidR="003B2919" w:rsidRDefault="003B2919">
      <w:pPr>
        <w:pStyle w:val="TOC2"/>
        <w:rPr>
          <w:rFonts w:asciiTheme="minorHAnsi" w:eastAsiaTheme="minorEastAsia" w:hAnsiTheme="minorHAnsi" w:cstheme="minorBidi"/>
          <w:noProof/>
          <w:sz w:val="22"/>
          <w:szCs w:val="22"/>
          <w:lang w:eastAsia="en-NZ"/>
        </w:rPr>
      </w:pPr>
      <w:hyperlink w:anchor="_Toc84582301" w:history="1">
        <w:r w:rsidRPr="000266DA">
          <w:rPr>
            <w:rStyle w:val="Hyperlink"/>
            <w:noProof/>
          </w:rPr>
          <w:t>Abortion (Information Collection) Regulations</w:t>
        </w:r>
        <w:r>
          <w:rPr>
            <w:noProof/>
            <w:webHidden/>
          </w:rPr>
          <w:tab/>
        </w:r>
        <w:r>
          <w:rPr>
            <w:noProof/>
            <w:webHidden/>
          </w:rPr>
          <w:fldChar w:fldCharType="begin"/>
        </w:r>
        <w:r>
          <w:rPr>
            <w:noProof/>
            <w:webHidden/>
          </w:rPr>
          <w:instrText xml:space="preserve"> PAGEREF _Toc84582301 \h </w:instrText>
        </w:r>
        <w:r>
          <w:rPr>
            <w:noProof/>
            <w:webHidden/>
          </w:rPr>
        </w:r>
        <w:r>
          <w:rPr>
            <w:noProof/>
            <w:webHidden/>
          </w:rPr>
          <w:fldChar w:fldCharType="separate"/>
        </w:r>
        <w:r w:rsidR="0090485D">
          <w:rPr>
            <w:noProof/>
            <w:webHidden/>
          </w:rPr>
          <w:t>5</w:t>
        </w:r>
        <w:r>
          <w:rPr>
            <w:noProof/>
            <w:webHidden/>
          </w:rPr>
          <w:fldChar w:fldCharType="end"/>
        </w:r>
      </w:hyperlink>
    </w:p>
    <w:p w14:paraId="7DDD549B" w14:textId="238A514D" w:rsidR="003B2919" w:rsidRDefault="003B2919">
      <w:pPr>
        <w:pStyle w:val="TOC2"/>
        <w:rPr>
          <w:rFonts w:asciiTheme="minorHAnsi" w:eastAsiaTheme="minorEastAsia" w:hAnsiTheme="minorHAnsi" w:cstheme="minorBidi"/>
          <w:noProof/>
          <w:sz w:val="22"/>
          <w:szCs w:val="22"/>
          <w:lang w:eastAsia="en-NZ"/>
        </w:rPr>
      </w:pPr>
      <w:hyperlink w:anchor="_Toc84582302" w:history="1">
        <w:r w:rsidRPr="000266DA">
          <w:rPr>
            <w:rStyle w:val="Hyperlink"/>
            <w:noProof/>
          </w:rPr>
          <w:t>Abortion workforce training</w:t>
        </w:r>
        <w:r>
          <w:rPr>
            <w:noProof/>
            <w:webHidden/>
          </w:rPr>
          <w:tab/>
        </w:r>
        <w:r>
          <w:rPr>
            <w:noProof/>
            <w:webHidden/>
          </w:rPr>
          <w:fldChar w:fldCharType="begin"/>
        </w:r>
        <w:r>
          <w:rPr>
            <w:noProof/>
            <w:webHidden/>
          </w:rPr>
          <w:instrText xml:space="preserve"> PAGEREF _Toc84582302 \h </w:instrText>
        </w:r>
        <w:r>
          <w:rPr>
            <w:noProof/>
            <w:webHidden/>
          </w:rPr>
        </w:r>
        <w:r>
          <w:rPr>
            <w:noProof/>
            <w:webHidden/>
          </w:rPr>
          <w:fldChar w:fldCharType="separate"/>
        </w:r>
        <w:r w:rsidR="0090485D">
          <w:rPr>
            <w:noProof/>
            <w:webHidden/>
          </w:rPr>
          <w:t>6</w:t>
        </w:r>
        <w:r>
          <w:rPr>
            <w:noProof/>
            <w:webHidden/>
          </w:rPr>
          <w:fldChar w:fldCharType="end"/>
        </w:r>
      </w:hyperlink>
    </w:p>
    <w:p w14:paraId="2F03B047" w14:textId="02E4B27C" w:rsidR="003B2919" w:rsidRDefault="003B2919">
      <w:pPr>
        <w:pStyle w:val="TOC2"/>
        <w:rPr>
          <w:rFonts w:asciiTheme="minorHAnsi" w:eastAsiaTheme="minorEastAsia" w:hAnsiTheme="minorHAnsi" w:cstheme="minorBidi"/>
          <w:noProof/>
          <w:sz w:val="22"/>
          <w:szCs w:val="22"/>
          <w:lang w:eastAsia="en-NZ"/>
        </w:rPr>
      </w:pPr>
      <w:hyperlink w:anchor="_Toc84582303" w:history="1">
        <w:r w:rsidRPr="000266DA">
          <w:rPr>
            <w:rStyle w:val="Hyperlink"/>
            <w:rFonts w:eastAsia="Segoe UI"/>
            <w:noProof/>
          </w:rPr>
          <w:t>National Telehealth Service</w:t>
        </w:r>
        <w:r>
          <w:rPr>
            <w:noProof/>
            <w:webHidden/>
          </w:rPr>
          <w:tab/>
        </w:r>
        <w:r>
          <w:rPr>
            <w:noProof/>
            <w:webHidden/>
          </w:rPr>
          <w:fldChar w:fldCharType="begin"/>
        </w:r>
        <w:r>
          <w:rPr>
            <w:noProof/>
            <w:webHidden/>
          </w:rPr>
          <w:instrText xml:space="preserve"> PAGEREF _Toc84582303 \h </w:instrText>
        </w:r>
        <w:r>
          <w:rPr>
            <w:noProof/>
            <w:webHidden/>
          </w:rPr>
        </w:r>
        <w:r>
          <w:rPr>
            <w:noProof/>
            <w:webHidden/>
          </w:rPr>
          <w:fldChar w:fldCharType="separate"/>
        </w:r>
        <w:r w:rsidR="0090485D">
          <w:rPr>
            <w:noProof/>
            <w:webHidden/>
          </w:rPr>
          <w:t>6</w:t>
        </w:r>
        <w:r>
          <w:rPr>
            <w:noProof/>
            <w:webHidden/>
          </w:rPr>
          <w:fldChar w:fldCharType="end"/>
        </w:r>
      </w:hyperlink>
    </w:p>
    <w:p w14:paraId="3B8E51E9" w14:textId="04BA9546" w:rsidR="003B2919" w:rsidRDefault="003B2919">
      <w:pPr>
        <w:pStyle w:val="TOC2"/>
        <w:rPr>
          <w:rFonts w:asciiTheme="minorHAnsi" w:eastAsiaTheme="minorEastAsia" w:hAnsiTheme="minorHAnsi" w:cstheme="minorBidi"/>
          <w:noProof/>
          <w:sz w:val="22"/>
          <w:szCs w:val="22"/>
          <w:lang w:eastAsia="en-NZ"/>
        </w:rPr>
      </w:pPr>
      <w:hyperlink w:anchor="_Toc84582304" w:history="1">
        <w:r w:rsidRPr="000266DA">
          <w:rPr>
            <w:rStyle w:val="Hyperlink"/>
            <w:noProof/>
          </w:rPr>
          <w:t>Contraception, Sterilisation, and Abortion (Safe Areas) Amendment Bill</w:t>
        </w:r>
        <w:r>
          <w:rPr>
            <w:noProof/>
            <w:webHidden/>
          </w:rPr>
          <w:tab/>
        </w:r>
        <w:r>
          <w:rPr>
            <w:noProof/>
            <w:webHidden/>
          </w:rPr>
          <w:fldChar w:fldCharType="begin"/>
        </w:r>
        <w:r>
          <w:rPr>
            <w:noProof/>
            <w:webHidden/>
          </w:rPr>
          <w:instrText xml:space="preserve"> PAGEREF _Toc84582304 \h </w:instrText>
        </w:r>
        <w:r>
          <w:rPr>
            <w:noProof/>
            <w:webHidden/>
          </w:rPr>
        </w:r>
        <w:r>
          <w:rPr>
            <w:noProof/>
            <w:webHidden/>
          </w:rPr>
          <w:fldChar w:fldCharType="separate"/>
        </w:r>
        <w:r w:rsidR="0090485D">
          <w:rPr>
            <w:noProof/>
            <w:webHidden/>
          </w:rPr>
          <w:t>7</w:t>
        </w:r>
        <w:r>
          <w:rPr>
            <w:noProof/>
            <w:webHidden/>
          </w:rPr>
          <w:fldChar w:fldCharType="end"/>
        </w:r>
      </w:hyperlink>
    </w:p>
    <w:p w14:paraId="5DE9215F" w14:textId="035638D0" w:rsidR="003B2919" w:rsidRDefault="003B2919">
      <w:pPr>
        <w:pStyle w:val="TOC1"/>
        <w:rPr>
          <w:rFonts w:asciiTheme="minorHAnsi" w:eastAsiaTheme="minorEastAsia" w:hAnsiTheme="minorHAnsi" w:cstheme="minorBidi"/>
          <w:noProof/>
          <w:sz w:val="22"/>
          <w:szCs w:val="22"/>
          <w:lang w:eastAsia="en-NZ"/>
        </w:rPr>
      </w:pPr>
      <w:hyperlink w:anchor="_Toc84582305" w:history="1">
        <w:r w:rsidRPr="000266DA">
          <w:rPr>
            <w:rStyle w:val="Hyperlink"/>
            <w:noProof/>
            <w:lang w:eastAsia="en-US"/>
          </w:rPr>
          <w:t>Abortion statistics 2020</w:t>
        </w:r>
        <w:r>
          <w:rPr>
            <w:noProof/>
            <w:webHidden/>
          </w:rPr>
          <w:tab/>
        </w:r>
        <w:r>
          <w:rPr>
            <w:noProof/>
            <w:webHidden/>
          </w:rPr>
          <w:fldChar w:fldCharType="begin"/>
        </w:r>
        <w:r>
          <w:rPr>
            <w:noProof/>
            <w:webHidden/>
          </w:rPr>
          <w:instrText xml:space="preserve"> PAGEREF _Toc84582305 \h </w:instrText>
        </w:r>
        <w:r>
          <w:rPr>
            <w:noProof/>
            <w:webHidden/>
          </w:rPr>
        </w:r>
        <w:r>
          <w:rPr>
            <w:noProof/>
            <w:webHidden/>
          </w:rPr>
          <w:fldChar w:fldCharType="separate"/>
        </w:r>
        <w:r w:rsidR="0090485D">
          <w:rPr>
            <w:noProof/>
            <w:webHidden/>
          </w:rPr>
          <w:t>8</w:t>
        </w:r>
        <w:r>
          <w:rPr>
            <w:noProof/>
            <w:webHidden/>
          </w:rPr>
          <w:fldChar w:fldCharType="end"/>
        </w:r>
      </w:hyperlink>
    </w:p>
    <w:p w14:paraId="53B22F86" w14:textId="0BF422DE" w:rsidR="003B2919" w:rsidRDefault="003B2919">
      <w:pPr>
        <w:pStyle w:val="TOC2"/>
        <w:rPr>
          <w:rFonts w:asciiTheme="minorHAnsi" w:eastAsiaTheme="minorEastAsia" w:hAnsiTheme="minorHAnsi" w:cstheme="minorBidi"/>
          <w:noProof/>
          <w:sz w:val="22"/>
          <w:szCs w:val="22"/>
          <w:lang w:eastAsia="en-NZ"/>
        </w:rPr>
      </w:pPr>
      <w:hyperlink w:anchor="_Toc84582306" w:history="1">
        <w:r w:rsidRPr="000266DA">
          <w:rPr>
            <w:rStyle w:val="Hyperlink"/>
            <w:noProof/>
          </w:rPr>
          <w:t>Data summary</w:t>
        </w:r>
        <w:r>
          <w:rPr>
            <w:noProof/>
            <w:webHidden/>
          </w:rPr>
          <w:tab/>
        </w:r>
        <w:r>
          <w:rPr>
            <w:noProof/>
            <w:webHidden/>
          </w:rPr>
          <w:fldChar w:fldCharType="begin"/>
        </w:r>
        <w:r>
          <w:rPr>
            <w:noProof/>
            <w:webHidden/>
          </w:rPr>
          <w:instrText xml:space="preserve"> PAGEREF _Toc84582306 \h </w:instrText>
        </w:r>
        <w:r>
          <w:rPr>
            <w:noProof/>
            <w:webHidden/>
          </w:rPr>
        </w:r>
        <w:r>
          <w:rPr>
            <w:noProof/>
            <w:webHidden/>
          </w:rPr>
          <w:fldChar w:fldCharType="separate"/>
        </w:r>
        <w:r w:rsidR="0090485D">
          <w:rPr>
            <w:noProof/>
            <w:webHidden/>
          </w:rPr>
          <w:t>8</w:t>
        </w:r>
        <w:r>
          <w:rPr>
            <w:noProof/>
            <w:webHidden/>
          </w:rPr>
          <w:fldChar w:fldCharType="end"/>
        </w:r>
      </w:hyperlink>
    </w:p>
    <w:p w14:paraId="75D604BD" w14:textId="4C34FD99" w:rsidR="003B2919" w:rsidRDefault="003B2919">
      <w:pPr>
        <w:pStyle w:val="TOC2"/>
        <w:rPr>
          <w:rFonts w:asciiTheme="minorHAnsi" w:eastAsiaTheme="minorEastAsia" w:hAnsiTheme="minorHAnsi" w:cstheme="minorBidi"/>
          <w:noProof/>
          <w:sz w:val="22"/>
          <w:szCs w:val="22"/>
          <w:lang w:eastAsia="en-NZ"/>
        </w:rPr>
      </w:pPr>
      <w:hyperlink w:anchor="_Toc84582307" w:history="1">
        <w:r w:rsidRPr="000266DA">
          <w:rPr>
            <w:rStyle w:val="Hyperlink"/>
            <w:noProof/>
          </w:rPr>
          <w:t>Ke</w:t>
        </w:r>
        <w:r w:rsidRPr="000266DA">
          <w:rPr>
            <w:rStyle w:val="Hyperlink"/>
            <w:rFonts w:eastAsiaTheme="majorEastAsia"/>
            <w:noProof/>
          </w:rPr>
          <w:t>y</w:t>
        </w:r>
        <w:r w:rsidRPr="000266DA">
          <w:rPr>
            <w:rStyle w:val="Hyperlink"/>
            <w:noProof/>
          </w:rPr>
          <w:t xml:space="preserve"> facts</w:t>
        </w:r>
        <w:r>
          <w:rPr>
            <w:noProof/>
            <w:webHidden/>
          </w:rPr>
          <w:tab/>
        </w:r>
        <w:r>
          <w:rPr>
            <w:noProof/>
            <w:webHidden/>
          </w:rPr>
          <w:fldChar w:fldCharType="begin"/>
        </w:r>
        <w:r>
          <w:rPr>
            <w:noProof/>
            <w:webHidden/>
          </w:rPr>
          <w:instrText xml:space="preserve"> PAGEREF _Toc84582307 \h </w:instrText>
        </w:r>
        <w:r>
          <w:rPr>
            <w:noProof/>
            <w:webHidden/>
          </w:rPr>
        </w:r>
        <w:r>
          <w:rPr>
            <w:noProof/>
            <w:webHidden/>
          </w:rPr>
          <w:fldChar w:fldCharType="separate"/>
        </w:r>
        <w:r w:rsidR="0090485D">
          <w:rPr>
            <w:noProof/>
            <w:webHidden/>
          </w:rPr>
          <w:t>8</w:t>
        </w:r>
        <w:r>
          <w:rPr>
            <w:noProof/>
            <w:webHidden/>
          </w:rPr>
          <w:fldChar w:fldCharType="end"/>
        </w:r>
      </w:hyperlink>
    </w:p>
    <w:p w14:paraId="2E80B76E" w14:textId="7DA5556E" w:rsidR="003B2919" w:rsidRDefault="003B2919">
      <w:pPr>
        <w:pStyle w:val="TOC2"/>
        <w:rPr>
          <w:rFonts w:asciiTheme="minorHAnsi" w:eastAsiaTheme="minorEastAsia" w:hAnsiTheme="minorHAnsi" w:cstheme="minorBidi"/>
          <w:noProof/>
          <w:sz w:val="22"/>
          <w:szCs w:val="22"/>
          <w:lang w:eastAsia="en-NZ"/>
        </w:rPr>
      </w:pPr>
      <w:hyperlink w:anchor="_Toc84582308" w:history="1">
        <w:r w:rsidRPr="000266DA">
          <w:rPr>
            <w:rStyle w:val="Hyperlink"/>
            <w:noProof/>
          </w:rPr>
          <w:t>1</w:t>
        </w:r>
        <w:r>
          <w:rPr>
            <w:rFonts w:asciiTheme="minorHAnsi" w:eastAsiaTheme="minorEastAsia" w:hAnsiTheme="minorHAnsi" w:cstheme="minorBidi"/>
            <w:noProof/>
            <w:sz w:val="22"/>
            <w:szCs w:val="22"/>
            <w:lang w:eastAsia="en-NZ"/>
          </w:rPr>
          <w:tab/>
        </w:r>
        <w:r w:rsidRPr="000266DA">
          <w:rPr>
            <w:rStyle w:val="Hyperlink"/>
            <w:noProof/>
          </w:rPr>
          <w:t>Abortion numbers, rates, and ratios</w:t>
        </w:r>
        <w:r>
          <w:rPr>
            <w:noProof/>
            <w:webHidden/>
          </w:rPr>
          <w:tab/>
        </w:r>
        <w:r>
          <w:rPr>
            <w:noProof/>
            <w:webHidden/>
          </w:rPr>
          <w:fldChar w:fldCharType="begin"/>
        </w:r>
        <w:r>
          <w:rPr>
            <w:noProof/>
            <w:webHidden/>
          </w:rPr>
          <w:instrText xml:space="preserve"> PAGEREF _Toc84582308 \h </w:instrText>
        </w:r>
        <w:r>
          <w:rPr>
            <w:noProof/>
            <w:webHidden/>
          </w:rPr>
        </w:r>
        <w:r>
          <w:rPr>
            <w:noProof/>
            <w:webHidden/>
          </w:rPr>
          <w:fldChar w:fldCharType="separate"/>
        </w:r>
        <w:r w:rsidR="0090485D">
          <w:rPr>
            <w:noProof/>
            <w:webHidden/>
          </w:rPr>
          <w:t>10</w:t>
        </w:r>
        <w:r>
          <w:rPr>
            <w:noProof/>
            <w:webHidden/>
          </w:rPr>
          <w:fldChar w:fldCharType="end"/>
        </w:r>
      </w:hyperlink>
    </w:p>
    <w:p w14:paraId="1B09B8AD" w14:textId="754F16C2" w:rsidR="003B2919" w:rsidRDefault="003B2919">
      <w:pPr>
        <w:pStyle w:val="TOC2"/>
        <w:rPr>
          <w:rFonts w:asciiTheme="minorHAnsi" w:eastAsiaTheme="minorEastAsia" w:hAnsiTheme="minorHAnsi" w:cstheme="minorBidi"/>
          <w:noProof/>
          <w:sz w:val="22"/>
          <w:szCs w:val="22"/>
          <w:lang w:eastAsia="en-NZ"/>
        </w:rPr>
      </w:pPr>
      <w:hyperlink w:anchor="_Toc84582309" w:history="1">
        <w:r w:rsidRPr="000266DA">
          <w:rPr>
            <w:rStyle w:val="Hyperlink"/>
            <w:noProof/>
          </w:rPr>
          <w:t>2</w:t>
        </w:r>
        <w:r>
          <w:rPr>
            <w:rFonts w:asciiTheme="minorHAnsi" w:eastAsiaTheme="minorEastAsia" w:hAnsiTheme="minorHAnsi" w:cstheme="minorBidi"/>
            <w:noProof/>
            <w:sz w:val="22"/>
            <w:szCs w:val="22"/>
            <w:lang w:eastAsia="en-NZ"/>
          </w:rPr>
          <w:tab/>
        </w:r>
        <w:r w:rsidRPr="000266DA">
          <w:rPr>
            <w:rStyle w:val="Hyperlink"/>
            <w:noProof/>
          </w:rPr>
          <w:t>Abortions by facility and region</w:t>
        </w:r>
        <w:r>
          <w:rPr>
            <w:noProof/>
            <w:webHidden/>
          </w:rPr>
          <w:tab/>
        </w:r>
        <w:r>
          <w:rPr>
            <w:noProof/>
            <w:webHidden/>
          </w:rPr>
          <w:fldChar w:fldCharType="begin"/>
        </w:r>
        <w:r>
          <w:rPr>
            <w:noProof/>
            <w:webHidden/>
          </w:rPr>
          <w:instrText xml:space="preserve"> PAGEREF _Toc84582309 \h </w:instrText>
        </w:r>
        <w:r>
          <w:rPr>
            <w:noProof/>
            <w:webHidden/>
          </w:rPr>
        </w:r>
        <w:r>
          <w:rPr>
            <w:noProof/>
            <w:webHidden/>
          </w:rPr>
          <w:fldChar w:fldCharType="separate"/>
        </w:r>
        <w:r w:rsidR="0090485D">
          <w:rPr>
            <w:noProof/>
            <w:webHidden/>
          </w:rPr>
          <w:t>12</w:t>
        </w:r>
        <w:r>
          <w:rPr>
            <w:noProof/>
            <w:webHidden/>
          </w:rPr>
          <w:fldChar w:fldCharType="end"/>
        </w:r>
      </w:hyperlink>
    </w:p>
    <w:p w14:paraId="5EFE83C9" w14:textId="21A54732" w:rsidR="003B2919" w:rsidRDefault="003B2919">
      <w:pPr>
        <w:pStyle w:val="TOC2"/>
        <w:rPr>
          <w:rFonts w:asciiTheme="minorHAnsi" w:eastAsiaTheme="minorEastAsia" w:hAnsiTheme="minorHAnsi" w:cstheme="minorBidi"/>
          <w:noProof/>
          <w:sz w:val="22"/>
          <w:szCs w:val="22"/>
          <w:lang w:eastAsia="en-NZ"/>
        </w:rPr>
      </w:pPr>
      <w:hyperlink w:anchor="_Toc84582310" w:history="1">
        <w:r w:rsidRPr="000266DA">
          <w:rPr>
            <w:rStyle w:val="Hyperlink"/>
            <w:noProof/>
          </w:rPr>
          <w:t>3</w:t>
        </w:r>
        <w:r>
          <w:rPr>
            <w:rFonts w:asciiTheme="minorHAnsi" w:eastAsiaTheme="minorEastAsia" w:hAnsiTheme="minorHAnsi" w:cstheme="minorBidi"/>
            <w:noProof/>
            <w:sz w:val="22"/>
            <w:szCs w:val="22"/>
            <w:lang w:eastAsia="en-NZ"/>
          </w:rPr>
          <w:tab/>
        </w:r>
        <w:r w:rsidRPr="000266DA">
          <w:rPr>
            <w:rStyle w:val="Hyperlink"/>
            <w:noProof/>
          </w:rPr>
          <w:t>Age of patient</w:t>
        </w:r>
        <w:r>
          <w:rPr>
            <w:noProof/>
            <w:webHidden/>
          </w:rPr>
          <w:tab/>
        </w:r>
        <w:r>
          <w:rPr>
            <w:noProof/>
            <w:webHidden/>
          </w:rPr>
          <w:fldChar w:fldCharType="begin"/>
        </w:r>
        <w:r>
          <w:rPr>
            <w:noProof/>
            <w:webHidden/>
          </w:rPr>
          <w:instrText xml:space="preserve"> PAGEREF _Toc84582310 \h </w:instrText>
        </w:r>
        <w:r>
          <w:rPr>
            <w:noProof/>
            <w:webHidden/>
          </w:rPr>
        </w:r>
        <w:r>
          <w:rPr>
            <w:noProof/>
            <w:webHidden/>
          </w:rPr>
          <w:fldChar w:fldCharType="separate"/>
        </w:r>
        <w:r w:rsidR="0090485D">
          <w:rPr>
            <w:noProof/>
            <w:webHidden/>
          </w:rPr>
          <w:t>15</w:t>
        </w:r>
        <w:r>
          <w:rPr>
            <w:noProof/>
            <w:webHidden/>
          </w:rPr>
          <w:fldChar w:fldCharType="end"/>
        </w:r>
      </w:hyperlink>
    </w:p>
    <w:p w14:paraId="6512A609" w14:textId="5EE1B858" w:rsidR="003B2919" w:rsidRDefault="003B2919">
      <w:pPr>
        <w:pStyle w:val="TOC2"/>
        <w:rPr>
          <w:rFonts w:asciiTheme="minorHAnsi" w:eastAsiaTheme="minorEastAsia" w:hAnsiTheme="minorHAnsi" w:cstheme="minorBidi"/>
          <w:noProof/>
          <w:sz w:val="22"/>
          <w:szCs w:val="22"/>
          <w:lang w:eastAsia="en-NZ"/>
        </w:rPr>
      </w:pPr>
      <w:hyperlink w:anchor="_Toc84582311" w:history="1">
        <w:r w:rsidRPr="000266DA">
          <w:rPr>
            <w:rStyle w:val="Hyperlink"/>
            <w:noProof/>
            <w:lang w:eastAsia="en-NZ"/>
          </w:rPr>
          <w:t>4</w:t>
        </w:r>
        <w:r>
          <w:rPr>
            <w:rFonts w:asciiTheme="minorHAnsi" w:eastAsiaTheme="minorEastAsia" w:hAnsiTheme="minorHAnsi" w:cstheme="minorBidi"/>
            <w:noProof/>
            <w:sz w:val="22"/>
            <w:szCs w:val="22"/>
            <w:lang w:eastAsia="en-NZ"/>
          </w:rPr>
          <w:tab/>
        </w:r>
        <w:r w:rsidRPr="000266DA">
          <w:rPr>
            <w:rStyle w:val="Hyperlink"/>
            <w:noProof/>
            <w:lang w:eastAsia="en-NZ"/>
          </w:rPr>
          <w:t>Previous live births</w:t>
        </w:r>
        <w:r>
          <w:rPr>
            <w:noProof/>
            <w:webHidden/>
          </w:rPr>
          <w:tab/>
        </w:r>
        <w:r>
          <w:rPr>
            <w:noProof/>
            <w:webHidden/>
          </w:rPr>
          <w:fldChar w:fldCharType="begin"/>
        </w:r>
        <w:r>
          <w:rPr>
            <w:noProof/>
            <w:webHidden/>
          </w:rPr>
          <w:instrText xml:space="preserve"> PAGEREF _Toc84582311 \h </w:instrText>
        </w:r>
        <w:r>
          <w:rPr>
            <w:noProof/>
            <w:webHidden/>
          </w:rPr>
        </w:r>
        <w:r>
          <w:rPr>
            <w:noProof/>
            <w:webHidden/>
          </w:rPr>
          <w:fldChar w:fldCharType="separate"/>
        </w:r>
        <w:r w:rsidR="0090485D">
          <w:rPr>
            <w:noProof/>
            <w:webHidden/>
          </w:rPr>
          <w:t>17</w:t>
        </w:r>
        <w:r>
          <w:rPr>
            <w:noProof/>
            <w:webHidden/>
          </w:rPr>
          <w:fldChar w:fldCharType="end"/>
        </w:r>
      </w:hyperlink>
    </w:p>
    <w:p w14:paraId="17789651" w14:textId="41302405" w:rsidR="003B2919" w:rsidRDefault="003B2919">
      <w:pPr>
        <w:pStyle w:val="TOC2"/>
        <w:rPr>
          <w:rFonts w:asciiTheme="minorHAnsi" w:eastAsiaTheme="minorEastAsia" w:hAnsiTheme="minorHAnsi" w:cstheme="minorBidi"/>
          <w:noProof/>
          <w:sz w:val="22"/>
          <w:szCs w:val="22"/>
          <w:lang w:eastAsia="en-NZ"/>
        </w:rPr>
      </w:pPr>
      <w:hyperlink w:anchor="_Toc84582312" w:history="1">
        <w:r w:rsidRPr="000266DA">
          <w:rPr>
            <w:rStyle w:val="Hyperlink"/>
            <w:noProof/>
            <w:lang w:eastAsia="en-NZ"/>
          </w:rPr>
          <w:t>5</w:t>
        </w:r>
        <w:r>
          <w:rPr>
            <w:rFonts w:asciiTheme="minorHAnsi" w:eastAsiaTheme="minorEastAsia" w:hAnsiTheme="minorHAnsi" w:cstheme="minorBidi"/>
            <w:noProof/>
            <w:sz w:val="22"/>
            <w:szCs w:val="22"/>
            <w:lang w:eastAsia="en-NZ"/>
          </w:rPr>
          <w:tab/>
        </w:r>
        <w:r w:rsidRPr="000266DA">
          <w:rPr>
            <w:rStyle w:val="Hyperlink"/>
            <w:noProof/>
            <w:lang w:eastAsia="en-NZ"/>
          </w:rPr>
          <w:t>Previous abortions</w:t>
        </w:r>
        <w:r>
          <w:rPr>
            <w:noProof/>
            <w:webHidden/>
          </w:rPr>
          <w:tab/>
        </w:r>
        <w:r>
          <w:rPr>
            <w:noProof/>
            <w:webHidden/>
          </w:rPr>
          <w:fldChar w:fldCharType="begin"/>
        </w:r>
        <w:r>
          <w:rPr>
            <w:noProof/>
            <w:webHidden/>
          </w:rPr>
          <w:instrText xml:space="preserve"> PAGEREF _Toc84582312 \h </w:instrText>
        </w:r>
        <w:r>
          <w:rPr>
            <w:noProof/>
            <w:webHidden/>
          </w:rPr>
        </w:r>
        <w:r>
          <w:rPr>
            <w:noProof/>
            <w:webHidden/>
          </w:rPr>
          <w:fldChar w:fldCharType="separate"/>
        </w:r>
        <w:r w:rsidR="0090485D">
          <w:rPr>
            <w:noProof/>
            <w:webHidden/>
          </w:rPr>
          <w:t>18</w:t>
        </w:r>
        <w:r>
          <w:rPr>
            <w:noProof/>
            <w:webHidden/>
          </w:rPr>
          <w:fldChar w:fldCharType="end"/>
        </w:r>
      </w:hyperlink>
    </w:p>
    <w:p w14:paraId="082B5C40" w14:textId="0A9147AC" w:rsidR="003B2919" w:rsidRDefault="003B2919">
      <w:pPr>
        <w:pStyle w:val="TOC2"/>
        <w:rPr>
          <w:rFonts w:asciiTheme="minorHAnsi" w:eastAsiaTheme="minorEastAsia" w:hAnsiTheme="minorHAnsi" w:cstheme="minorBidi"/>
          <w:noProof/>
          <w:sz w:val="22"/>
          <w:szCs w:val="22"/>
          <w:lang w:eastAsia="en-NZ"/>
        </w:rPr>
      </w:pPr>
      <w:hyperlink w:anchor="_Toc84582313" w:history="1">
        <w:r w:rsidRPr="000266DA">
          <w:rPr>
            <w:rStyle w:val="Hyperlink"/>
            <w:noProof/>
            <w:lang w:eastAsia="en-NZ"/>
          </w:rPr>
          <w:t>6</w:t>
        </w:r>
        <w:r>
          <w:rPr>
            <w:rFonts w:asciiTheme="minorHAnsi" w:eastAsiaTheme="minorEastAsia" w:hAnsiTheme="minorHAnsi" w:cstheme="minorBidi"/>
            <w:noProof/>
            <w:sz w:val="22"/>
            <w:szCs w:val="22"/>
            <w:lang w:eastAsia="en-NZ"/>
          </w:rPr>
          <w:tab/>
        </w:r>
        <w:r w:rsidRPr="000266DA">
          <w:rPr>
            <w:rStyle w:val="Hyperlink"/>
            <w:noProof/>
            <w:lang w:eastAsia="en-NZ"/>
          </w:rPr>
          <w:t>Ethnic group</w:t>
        </w:r>
        <w:r>
          <w:rPr>
            <w:noProof/>
            <w:webHidden/>
          </w:rPr>
          <w:tab/>
        </w:r>
        <w:r>
          <w:rPr>
            <w:noProof/>
            <w:webHidden/>
          </w:rPr>
          <w:fldChar w:fldCharType="begin"/>
        </w:r>
        <w:r>
          <w:rPr>
            <w:noProof/>
            <w:webHidden/>
          </w:rPr>
          <w:instrText xml:space="preserve"> PAGEREF _Toc84582313 \h </w:instrText>
        </w:r>
        <w:r>
          <w:rPr>
            <w:noProof/>
            <w:webHidden/>
          </w:rPr>
        </w:r>
        <w:r>
          <w:rPr>
            <w:noProof/>
            <w:webHidden/>
          </w:rPr>
          <w:fldChar w:fldCharType="separate"/>
        </w:r>
        <w:r w:rsidR="0090485D">
          <w:rPr>
            <w:noProof/>
            <w:webHidden/>
          </w:rPr>
          <w:t>19</w:t>
        </w:r>
        <w:r>
          <w:rPr>
            <w:noProof/>
            <w:webHidden/>
          </w:rPr>
          <w:fldChar w:fldCharType="end"/>
        </w:r>
      </w:hyperlink>
    </w:p>
    <w:p w14:paraId="027EA6EC" w14:textId="32BA78C4" w:rsidR="003B2919" w:rsidRDefault="003B2919">
      <w:pPr>
        <w:pStyle w:val="TOC2"/>
        <w:rPr>
          <w:rFonts w:asciiTheme="minorHAnsi" w:eastAsiaTheme="minorEastAsia" w:hAnsiTheme="minorHAnsi" w:cstheme="minorBidi"/>
          <w:noProof/>
          <w:sz w:val="22"/>
          <w:szCs w:val="22"/>
          <w:lang w:eastAsia="en-NZ"/>
        </w:rPr>
      </w:pPr>
      <w:hyperlink w:anchor="_Toc84582314" w:history="1">
        <w:r w:rsidRPr="000266DA">
          <w:rPr>
            <w:rStyle w:val="Hyperlink"/>
            <w:noProof/>
            <w:lang w:eastAsia="en-NZ"/>
          </w:rPr>
          <w:t>7</w:t>
        </w:r>
        <w:r>
          <w:rPr>
            <w:rFonts w:asciiTheme="minorHAnsi" w:eastAsiaTheme="minorEastAsia" w:hAnsiTheme="minorHAnsi" w:cstheme="minorBidi"/>
            <w:noProof/>
            <w:sz w:val="22"/>
            <w:szCs w:val="22"/>
            <w:lang w:eastAsia="en-NZ"/>
          </w:rPr>
          <w:tab/>
        </w:r>
        <w:r w:rsidRPr="000266DA">
          <w:rPr>
            <w:rStyle w:val="Hyperlink"/>
            <w:noProof/>
            <w:lang w:eastAsia="en-NZ"/>
          </w:rPr>
          <w:t>Duration of pregnancy</w:t>
        </w:r>
        <w:r>
          <w:rPr>
            <w:noProof/>
            <w:webHidden/>
          </w:rPr>
          <w:tab/>
        </w:r>
        <w:r>
          <w:rPr>
            <w:noProof/>
            <w:webHidden/>
          </w:rPr>
          <w:fldChar w:fldCharType="begin"/>
        </w:r>
        <w:r>
          <w:rPr>
            <w:noProof/>
            <w:webHidden/>
          </w:rPr>
          <w:instrText xml:space="preserve"> PAGEREF _Toc84582314 \h </w:instrText>
        </w:r>
        <w:r>
          <w:rPr>
            <w:noProof/>
            <w:webHidden/>
          </w:rPr>
        </w:r>
        <w:r>
          <w:rPr>
            <w:noProof/>
            <w:webHidden/>
          </w:rPr>
          <w:fldChar w:fldCharType="separate"/>
        </w:r>
        <w:r w:rsidR="0090485D">
          <w:rPr>
            <w:noProof/>
            <w:webHidden/>
          </w:rPr>
          <w:t>21</w:t>
        </w:r>
        <w:r>
          <w:rPr>
            <w:noProof/>
            <w:webHidden/>
          </w:rPr>
          <w:fldChar w:fldCharType="end"/>
        </w:r>
      </w:hyperlink>
    </w:p>
    <w:p w14:paraId="4FD64A87" w14:textId="450F3958" w:rsidR="003B2919" w:rsidRDefault="003B2919">
      <w:pPr>
        <w:pStyle w:val="TOC2"/>
        <w:rPr>
          <w:rFonts w:asciiTheme="minorHAnsi" w:eastAsiaTheme="minorEastAsia" w:hAnsiTheme="minorHAnsi" w:cstheme="minorBidi"/>
          <w:noProof/>
          <w:sz w:val="22"/>
          <w:szCs w:val="22"/>
          <w:lang w:eastAsia="en-NZ"/>
        </w:rPr>
      </w:pPr>
      <w:hyperlink w:anchor="_Toc84582315" w:history="1">
        <w:r w:rsidRPr="000266DA">
          <w:rPr>
            <w:rStyle w:val="Hyperlink"/>
            <w:noProof/>
            <w:lang w:eastAsia="en-NZ"/>
          </w:rPr>
          <w:t>8</w:t>
        </w:r>
        <w:r>
          <w:rPr>
            <w:rFonts w:asciiTheme="minorHAnsi" w:eastAsiaTheme="minorEastAsia" w:hAnsiTheme="minorHAnsi" w:cstheme="minorBidi"/>
            <w:noProof/>
            <w:sz w:val="22"/>
            <w:szCs w:val="22"/>
            <w:lang w:eastAsia="en-NZ"/>
          </w:rPr>
          <w:tab/>
        </w:r>
        <w:r w:rsidRPr="000266DA">
          <w:rPr>
            <w:rStyle w:val="Hyperlink"/>
            <w:noProof/>
            <w:lang w:eastAsia="en-NZ"/>
          </w:rPr>
          <w:t>Procedure</w:t>
        </w:r>
        <w:r>
          <w:rPr>
            <w:noProof/>
            <w:webHidden/>
          </w:rPr>
          <w:tab/>
        </w:r>
        <w:r>
          <w:rPr>
            <w:noProof/>
            <w:webHidden/>
          </w:rPr>
          <w:fldChar w:fldCharType="begin"/>
        </w:r>
        <w:r>
          <w:rPr>
            <w:noProof/>
            <w:webHidden/>
          </w:rPr>
          <w:instrText xml:space="preserve"> PAGEREF _Toc84582315 \h </w:instrText>
        </w:r>
        <w:r>
          <w:rPr>
            <w:noProof/>
            <w:webHidden/>
          </w:rPr>
        </w:r>
        <w:r>
          <w:rPr>
            <w:noProof/>
            <w:webHidden/>
          </w:rPr>
          <w:fldChar w:fldCharType="separate"/>
        </w:r>
        <w:r w:rsidR="0090485D">
          <w:rPr>
            <w:noProof/>
            <w:webHidden/>
          </w:rPr>
          <w:t>22</w:t>
        </w:r>
        <w:r>
          <w:rPr>
            <w:noProof/>
            <w:webHidden/>
          </w:rPr>
          <w:fldChar w:fldCharType="end"/>
        </w:r>
      </w:hyperlink>
    </w:p>
    <w:p w14:paraId="6AF60FFC" w14:textId="4CF488E6" w:rsidR="003B2919" w:rsidRDefault="003B2919">
      <w:pPr>
        <w:pStyle w:val="TOC2"/>
        <w:rPr>
          <w:rFonts w:asciiTheme="minorHAnsi" w:eastAsiaTheme="minorEastAsia" w:hAnsiTheme="minorHAnsi" w:cstheme="minorBidi"/>
          <w:noProof/>
          <w:sz w:val="22"/>
          <w:szCs w:val="22"/>
          <w:lang w:eastAsia="en-NZ"/>
        </w:rPr>
      </w:pPr>
      <w:hyperlink w:anchor="_Toc84582316" w:history="1">
        <w:r w:rsidRPr="000266DA">
          <w:rPr>
            <w:rStyle w:val="Hyperlink"/>
            <w:noProof/>
            <w:lang w:eastAsia="en-NZ"/>
          </w:rPr>
          <w:t>9</w:t>
        </w:r>
        <w:r>
          <w:rPr>
            <w:rFonts w:asciiTheme="minorHAnsi" w:eastAsiaTheme="minorEastAsia" w:hAnsiTheme="minorHAnsi" w:cstheme="minorBidi"/>
            <w:noProof/>
            <w:sz w:val="22"/>
            <w:szCs w:val="22"/>
            <w:lang w:eastAsia="en-NZ"/>
          </w:rPr>
          <w:tab/>
        </w:r>
        <w:r w:rsidRPr="000266DA">
          <w:rPr>
            <w:rStyle w:val="Hyperlink"/>
            <w:noProof/>
            <w:lang w:eastAsia="en-NZ"/>
          </w:rPr>
          <w:t>Complications</w:t>
        </w:r>
        <w:r>
          <w:rPr>
            <w:noProof/>
            <w:webHidden/>
          </w:rPr>
          <w:tab/>
        </w:r>
        <w:r>
          <w:rPr>
            <w:noProof/>
            <w:webHidden/>
          </w:rPr>
          <w:fldChar w:fldCharType="begin"/>
        </w:r>
        <w:r>
          <w:rPr>
            <w:noProof/>
            <w:webHidden/>
          </w:rPr>
          <w:instrText xml:space="preserve"> PAGEREF _Toc84582316 \h </w:instrText>
        </w:r>
        <w:r>
          <w:rPr>
            <w:noProof/>
            <w:webHidden/>
          </w:rPr>
        </w:r>
        <w:r>
          <w:rPr>
            <w:noProof/>
            <w:webHidden/>
          </w:rPr>
          <w:fldChar w:fldCharType="separate"/>
        </w:r>
        <w:r w:rsidR="0090485D">
          <w:rPr>
            <w:noProof/>
            <w:webHidden/>
          </w:rPr>
          <w:t>23</w:t>
        </w:r>
        <w:r>
          <w:rPr>
            <w:noProof/>
            <w:webHidden/>
          </w:rPr>
          <w:fldChar w:fldCharType="end"/>
        </w:r>
      </w:hyperlink>
    </w:p>
    <w:p w14:paraId="7CD01973" w14:textId="6D9C6AA7" w:rsidR="003B2919" w:rsidRDefault="003B2919">
      <w:pPr>
        <w:pStyle w:val="TOC2"/>
        <w:rPr>
          <w:rFonts w:asciiTheme="minorHAnsi" w:eastAsiaTheme="minorEastAsia" w:hAnsiTheme="minorHAnsi" w:cstheme="minorBidi"/>
          <w:noProof/>
          <w:sz w:val="22"/>
          <w:szCs w:val="22"/>
          <w:lang w:eastAsia="en-NZ"/>
        </w:rPr>
      </w:pPr>
      <w:hyperlink w:anchor="_Toc84582317" w:history="1">
        <w:r w:rsidRPr="000266DA">
          <w:rPr>
            <w:rStyle w:val="Hyperlink"/>
            <w:noProof/>
          </w:rPr>
          <w:t>10</w:t>
        </w:r>
        <w:r>
          <w:rPr>
            <w:rFonts w:asciiTheme="minorHAnsi" w:eastAsiaTheme="minorEastAsia" w:hAnsiTheme="minorHAnsi" w:cstheme="minorBidi"/>
            <w:noProof/>
            <w:sz w:val="22"/>
            <w:szCs w:val="22"/>
            <w:lang w:eastAsia="en-NZ"/>
          </w:rPr>
          <w:tab/>
        </w:r>
        <w:r w:rsidRPr="000266DA">
          <w:rPr>
            <w:rStyle w:val="Hyperlink"/>
            <w:noProof/>
          </w:rPr>
          <w:t>Contraception</w:t>
        </w:r>
        <w:r>
          <w:rPr>
            <w:noProof/>
            <w:webHidden/>
          </w:rPr>
          <w:tab/>
        </w:r>
        <w:r>
          <w:rPr>
            <w:noProof/>
            <w:webHidden/>
          </w:rPr>
          <w:fldChar w:fldCharType="begin"/>
        </w:r>
        <w:r>
          <w:rPr>
            <w:noProof/>
            <w:webHidden/>
          </w:rPr>
          <w:instrText xml:space="preserve"> PAGEREF _Toc84582317 \h </w:instrText>
        </w:r>
        <w:r>
          <w:rPr>
            <w:noProof/>
            <w:webHidden/>
          </w:rPr>
        </w:r>
        <w:r>
          <w:rPr>
            <w:noProof/>
            <w:webHidden/>
          </w:rPr>
          <w:fldChar w:fldCharType="separate"/>
        </w:r>
        <w:r w:rsidR="0090485D">
          <w:rPr>
            <w:noProof/>
            <w:webHidden/>
          </w:rPr>
          <w:t>24</w:t>
        </w:r>
        <w:r>
          <w:rPr>
            <w:noProof/>
            <w:webHidden/>
          </w:rPr>
          <w:fldChar w:fldCharType="end"/>
        </w:r>
      </w:hyperlink>
    </w:p>
    <w:p w14:paraId="566D47FD" w14:textId="3D4FA09F" w:rsidR="003B2919" w:rsidRDefault="003B2919">
      <w:pPr>
        <w:pStyle w:val="TOC1"/>
        <w:rPr>
          <w:rFonts w:asciiTheme="minorHAnsi" w:eastAsiaTheme="minorEastAsia" w:hAnsiTheme="minorHAnsi" w:cstheme="minorBidi"/>
          <w:noProof/>
          <w:sz w:val="22"/>
          <w:szCs w:val="22"/>
          <w:lang w:eastAsia="en-NZ"/>
        </w:rPr>
      </w:pPr>
      <w:hyperlink w:anchor="_Toc84582318" w:history="1">
        <w:r w:rsidRPr="000266DA">
          <w:rPr>
            <w:rStyle w:val="Hyperlink"/>
            <w:rFonts w:eastAsia="Segoe UI"/>
            <w:noProof/>
            <w:lang w:eastAsia="en-NZ"/>
          </w:rPr>
          <w:t>Methodology</w:t>
        </w:r>
        <w:r>
          <w:rPr>
            <w:noProof/>
            <w:webHidden/>
          </w:rPr>
          <w:tab/>
        </w:r>
        <w:r>
          <w:rPr>
            <w:noProof/>
            <w:webHidden/>
          </w:rPr>
          <w:fldChar w:fldCharType="begin"/>
        </w:r>
        <w:r>
          <w:rPr>
            <w:noProof/>
            <w:webHidden/>
          </w:rPr>
          <w:instrText xml:space="preserve"> PAGEREF _Toc84582318 \h </w:instrText>
        </w:r>
        <w:r>
          <w:rPr>
            <w:noProof/>
            <w:webHidden/>
          </w:rPr>
        </w:r>
        <w:r>
          <w:rPr>
            <w:noProof/>
            <w:webHidden/>
          </w:rPr>
          <w:fldChar w:fldCharType="separate"/>
        </w:r>
        <w:r w:rsidR="0090485D">
          <w:rPr>
            <w:noProof/>
            <w:webHidden/>
          </w:rPr>
          <w:t>27</w:t>
        </w:r>
        <w:r>
          <w:rPr>
            <w:noProof/>
            <w:webHidden/>
          </w:rPr>
          <w:fldChar w:fldCharType="end"/>
        </w:r>
      </w:hyperlink>
    </w:p>
    <w:p w14:paraId="396F8E73" w14:textId="343F9056" w:rsidR="003B2919" w:rsidRDefault="003B2919">
      <w:pPr>
        <w:pStyle w:val="TOC1"/>
        <w:rPr>
          <w:rFonts w:asciiTheme="minorHAnsi" w:eastAsiaTheme="minorEastAsia" w:hAnsiTheme="minorHAnsi" w:cstheme="minorBidi"/>
          <w:noProof/>
          <w:sz w:val="22"/>
          <w:szCs w:val="22"/>
          <w:lang w:eastAsia="en-NZ"/>
        </w:rPr>
      </w:pPr>
      <w:hyperlink w:anchor="_Toc84582319" w:history="1">
        <w:r w:rsidRPr="000266DA">
          <w:rPr>
            <w:rStyle w:val="Hyperlink"/>
            <w:rFonts w:eastAsia="Segoe UI"/>
            <w:noProof/>
          </w:rPr>
          <w:t>Data definitions</w:t>
        </w:r>
        <w:r>
          <w:rPr>
            <w:noProof/>
            <w:webHidden/>
          </w:rPr>
          <w:tab/>
        </w:r>
        <w:r>
          <w:rPr>
            <w:noProof/>
            <w:webHidden/>
          </w:rPr>
          <w:fldChar w:fldCharType="begin"/>
        </w:r>
        <w:r>
          <w:rPr>
            <w:noProof/>
            <w:webHidden/>
          </w:rPr>
          <w:instrText xml:space="preserve"> PAGEREF _Toc84582319 \h </w:instrText>
        </w:r>
        <w:r>
          <w:rPr>
            <w:noProof/>
            <w:webHidden/>
          </w:rPr>
        </w:r>
        <w:r>
          <w:rPr>
            <w:noProof/>
            <w:webHidden/>
          </w:rPr>
          <w:fldChar w:fldCharType="separate"/>
        </w:r>
        <w:r w:rsidR="0090485D">
          <w:rPr>
            <w:noProof/>
            <w:webHidden/>
          </w:rPr>
          <w:t>28</w:t>
        </w:r>
        <w:r>
          <w:rPr>
            <w:noProof/>
            <w:webHidden/>
          </w:rPr>
          <w:fldChar w:fldCharType="end"/>
        </w:r>
      </w:hyperlink>
    </w:p>
    <w:p w14:paraId="07B8ADF1" w14:textId="26FDA3D5" w:rsidR="003B2919" w:rsidRDefault="003B2919">
      <w:pPr>
        <w:pStyle w:val="TOC1"/>
        <w:rPr>
          <w:rFonts w:asciiTheme="minorHAnsi" w:eastAsiaTheme="minorEastAsia" w:hAnsiTheme="minorHAnsi" w:cstheme="minorBidi"/>
          <w:noProof/>
          <w:sz w:val="22"/>
          <w:szCs w:val="22"/>
          <w:lang w:eastAsia="en-NZ"/>
        </w:rPr>
      </w:pPr>
      <w:hyperlink w:anchor="_Toc84582320" w:history="1">
        <w:r w:rsidRPr="000266DA">
          <w:rPr>
            <w:rStyle w:val="Hyperlink"/>
            <w:noProof/>
          </w:rPr>
          <w:t>References</w:t>
        </w:r>
        <w:r>
          <w:rPr>
            <w:noProof/>
            <w:webHidden/>
          </w:rPr>
          <w:tab/>
        </w:r>
        <w:r>
          <w:rPr>
            <w:noProof/>
            <w:webHidden/>
          </w:rPr>
          <w:fldChar w:fldCharType="begin"/>
        </w:r>
        <w:r>
          <w:rPr>
            <w:noProof/>
            <w:webHidden/>
          </w:rPr>
          <w:instrText xml:space="preserve"> PAGEREF _Toc84582320 \h </w:instrText>
        </w:r>
        <w:r>
          <w:rPr>
            <w:noProof/>
            <w:webHidden/>
          </w:rPr>
        </w:r>
        <w:r>
          <w:rPr>
            <w:noProof/>
            <w:webHidden/>
          </w:rPr>
          <w:fldChar w:fldCharType="separate"/>
        </w:r>
        <w:r w:rsidR="0090485D">
          <w:rPr>
            <w:noProof/>
            <w:webHidden/>
          </w:rPr>
          <w:t>29</w:t>
        </w:r>
        <w:r>
          <w:rPr>
            <w:noProof/>
            <w:webHidden/>
          </w:rPr>
          <w:fldChar w:fldCharType="end"/>
        </w:r>
      </w:hyperlink>
    </w:p>
    <w:p w14:paraId="52F5BA0F" w14:textId="16869665" w:rsidR="003B2919" w:rsidRDefault="003B2919">
      <w:pPr>
        <w:pStyle w:val="TOC1"/>
        <w:rPr>
          <w:rFonts w:asciiTheme="minorHAnsi" w:eastAsiaTheme="minorEastAsia" w:hAnsiTheme="minorHAnsi" w:cstheme="minorBidi"/>
          <w:noProof/>
          <w:sz w:val="22"/>
          <w:szCs w:val="22"/>
          <w:lang w:eastAsia="en-NZ"/>
        </w:rPr>
      </w:pPr>
      <w:hyperlink w:anchor="_Toc84582321" w:history="1">
        <w:r w:rsidRPr="000266DA">
          <w:rPr>
            <w:rStyle w:val="Hyperlink"/>
            <w:noProof/>
            <w:w w:val="105"/>
          </w:rPr>
          <w:t>Related legislation</w:t>
        </w:r>
        <w:r>
          <w:rPr>
            <w:noProof/>
            <w:webHidden/>
          </w:rPr>
          <w:tab/>
        </w:r>
        <w:r>
          <w:rPr>
            <w:noProof/>
            <w:webHidden/>
          </w:rPr>
          <w:fldChar w:fldCharType="begin"/>
        </w:r>
        <w:r>
          <w:rPr>
            <w:noProof/>
            <w:webHidden/>
          </w:rPr>
          <w:instrText xml:space="preserve"> PAGEREF _Toc84582321 \h </w:instrText>
        </w:r>
        <w:r>
          <w:rPr>
            <w:noProof/>
            <w:webHidden/>
          </w:rPr>
        </w:r>
        <w:r>
          <w:rPr>
            <w:noProof/>
            <w:webHidden/>
          </w:rPr>
          <w:fldChar w:fldCharType="separate"/>
        </w:r>
        <w:r w:rsidR="0090485D">
          <w:rPr>
            <w:noProof/>
            <w:webHidden/>
          </w:rPr>
          <w:t>30</w:t>
        </w:r>
        <w:r>
          <w:rPr>
            <w:noProof/>
            <w:webHidden/>
          </w:rPr>
          <w:fldChar w:fldCharType="end"/>
        </w:r>
      </w:hyperlink>
    </w:p>
    <w:p w14:paraId="5A7AA847" w14:textId="37EFC48A" w:rsidR="00C86248" w:rsidRDefault="003B2919">
      <w:r>
        <w:rPr>
          <w:rFonts w:ascii="Segoe UI Semibold" w:hAnsi="Segoe UI Semibold"/>
          <w:b/>
          <w:sz w:val="24"/>
        </w:rPr>
        <w:fldChar w:fldCharType="end"/>
      </w:r>
    </w:p>
    <w:p w14:paraId="7EB35852" w14:textId="77777777" w:rsidR="001C1DD1" w:rsidRDefault="001C1DD1">
      <w:pPr>
        <w:rPr>
          <w:rFonts w:ascii="Segoe UI Semibold" w:hAnsi="Segoe UI Semibold"/>
          <w:sz w:val="24"/>
        </w:rPr>
      </w:pPr>
      <w:r>
        <w:br w:type="page"/>
      </w:r>
    </w:p>
    <w:p w14:paraId="2E9687BB" w14:textId="7E4D834F" w:rsidR="002B76A7" w:rsidRDefault="002B76A7" w:rsidP="001C1DD1">
      <w:pPr>
        <w:pStyle w:val="TOC1"/>
        <w:keepNext/>
        <w:ind w:right="-1"/>
      </w:pPr>
      <w:r>
        <w:lastRenderedPageBreak/>
        <w:t>List of Tables</w:t>
      </w:r>
    </w:p>
    <w:p w14:paraId="5FE1E5E7" w14:textId="342396CB" w:rsidR="00E82C4D" w:rsidRDefault="002B76A7" w:rsidP="001C1DD1">
      <w:pPr>
        <w:pStyle w:val="TOC3"/>
        <w:keepNext/>
        <w:ind w:right="-1"/>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E82C4D">
        <w:rPr>
          <w:noProof/>
        </w:rPr>
        <w:t>Table 2.1:</w:t>
      </w:r>
      <w:r w:rsidR="00E82C4D">
        <w:rPr>
          <w:noProof/>
        </w:rPr>
        <w:tab/>
        <w:t>Number of abortions by residency status of patient, 2020</w:t>
      </w:r>
      <w:r w:rsidR="00E82C4D">
        <w:rPr>
          <w:noProof/>
        </w:rPr>
        <w:tab/>
      </w:r>
      <w:r w:rsidR="00E82C4D">
        <w:rPr>
          <w:noProof/>
        </w:rPr>
        <w:fldChar w:fldCharType="begin"/>
      </w:r>
      <w:r w:rsidR="00E82C4D">
        <w:rPr>
          <w:noProof/>
        </w:rPr>
        <w:instrText xml:space="preserve"> PAGEREF _Toc83367097 \h </w:instrText>
      </w:r>
      <w:r w:rsidR="00E82C4D">
        <w:rPr>
          <w:noProof/>
        </w:rPr>
      </w:r>
      <w:r w:rsidR="00E82C4D">
        <w:rPr>
          <w:noProof/>
        </w:rPr>
        <w:fldChar w:fldCharType="separate"/>
      </w:r>
      <w:r w:rsidR="0090485D">
        <w:rPr>
          <w:noProof/>
        </w:rPr>
        <w:t>14</w:t>
      </w:r>
      <w:r w:rsidR="00E82C4D">
        <w:rPr>
          <w:noProof/>
        </w:rPr>
        <w:fldChar w:fldCharType="end"/>
      </w:r>
    </w:p>
    <w:p w14:paraId="783DA801" w14:textId="022A8CD0" w:rsidR="00E82C4D" w:rsidRDefault="00E82C4D" w:rsidP="001C1DD1">
      <w:pPr>
        <w:pStyle w:val="TOC3"/>
        <w:keepNext/>
        <w:ind w:right="-1"/>
        <w:rPr>
          <w:rFonts w:asciiTheme="minorHAnsi" w:eastAsiaTheme="minorEastAsia" w:hAnsiTheme="minorHAnsi" w:cstheme="minorBidi"/>
          <w:noProof/>
          <w:sz w:val="22"/>
          <w:szCs w:val="22"/>
          <w:lang w:eastAsia="en-NZ"/>
        </w:rPr>
      </w:pPr>
      <w:r>
        <w:rPr>
          <w:noProof/>
        </w:rPr>
        <w:t>Table 3.1</w:t>
      </w:r>
      <w:r>
        <w:rPr>
          <w:noProof/>
          <w:lang w:eastAsia="en-NZ"/>
        </w:rPr>
        <w:t>:</w:t>
      </w:r>
      <w:r>
        <w:rPr>
          <w:noProof/>
          <w:lang w:eastAsia="en-NZ"/>
        </w:rPr>
        <w:tab/>
        <w:t>Number of abortions by age for those under 16 years, 2020</w:t>
      </w:r>
      <w:r>
        <w:rPr>
          <w:noProof/>
        </w:rPr>
        <w:tab/>
      </w:r>
      <w:r>
        <w:rPr>
          <w:noProof/>
        </w:rPr>
        <w:fldChar w:fldCharType="begin"/>
      </w:r>
      <w:r>
        <w:rPr>
          <w:noProof/>
        </w:rPr>
        <w:instrText xml:space="preserve"> PAGEREF _Toc83367098 \h </w:instrText>
      </w:r>
      <w:r>
        <w:rPr>
          <w:noProof/>
        </w:rPr>
      </w:r>
      <w:r>
        <w:rPr>
          <w:noProof/>
        </w:rPr>
        <w:fldChar w:fldCharType="separate"/>
      </w:r>
      <w:r w:rsidR="0090485D">
        <w:rPr>
          <w:noProof/>
        </w:rPr>
        <w:t>16</w:t>
      </w:r>
      <w:r>
        <w:rPr>
          <w:noProof/>
        </w:rPr>
        <w:fldChar w:fldCharType="end"/>
      </w:r>
    </w:p>
    <w:p w14:paraId="70632D70" w14:textId="0B6F5C3F" w:rsidR="00E82C4D" w:rsidRDefault="00E82C4D" w:rsidP="001C1DD1">
      <w:pPr>
        <w:pStyle w:val="TOC3"/>
        <w:keepNext/>
        <w:ind w:right="-1"/>
        <w:rPr>
          <w:rFonts w:asciiTheme="minorHAnsi" w:eastAsiaTheme="minorEastAsia" w:hAnsiTheme="minorHAnsi" w:cstheme="minorBidi"/>
          <w:noProof/>
          <w:sz w:val="22"/>
          <w:szCs w:val="22"/>
          <w:lang w:eastAsia="en-NZ"/>
        </w:rPr>
      </w:pPr>
      <w:r>
        <w:rPr>
          <w:noProof/>
        </w:rPr>
        <w:t>Table 5.1</w:t>
      </w:r>
      <w:r>
        <w:rPr>
          <w:noProof/>
          <w:lang w:eastAsia="en-NZ"/>
        </w:rPr>
        <w:t>:</w:t>
      </w:r>
      <w:r>
        <w:rPr>
          <w:noProof/>
          <w:lang w:eastAsia="en-NZ"/>
        </w:rPr>
        <w:tab/>
        <w:t>Number of abortions by age and number of previous abortions, 2020</w:t>
      </w:r>
      <w:r>
        <w:rPr>
          <w:noProof/>
        </w:rPr>
        <w:tab/>
      </w:r>
      <w:r>
        <w:rPr>
          <w:noProof/>
        </w:rPr>
        <w:fldChar w:fldCharType="begin"/>
      </w:r>
      <w:r>
        <w:rPr>
          <w:noProof/>
        </w:rPr>
        <w:instrText xml:space="preserve"> PAGEREF _Toc83367099 \h </w:instrText>
      </w:r>
      <w:r>
        <w:rPr>
          <w:noProof/>
        </w:rPr>
      </w:r>
      <w:r>
        <w:rPr>
          <w:noProof/>
        </w:rPr>
        <w:fldChar w:fldCharType="separate"/>
      </w:r>
      <w:r w:rsidR="0090485D">
        <w:rPr>
          <w:noProof/>
        </w:rPr>
        <w:t>18</w:t>
      </w:r>
      <w:r>
        <w:rPr>
          <w:noProof/>
        </w:rPr>
        <w:fldChar w:fldCharType="end"/>
      </w:r>
    </w:p>
    <w:p w14:paraId="27D3244A" w14:textId="0FA57F4C" w:rsidR="00E82C4D" w:rsidRDefault="00E82C4D" w:rsidP="001C1DD1">
      <w:pPr>
        <w:pStyle w:val="TOC3"/>
        <w:ind w:right="-1"/>
        <w:rPr>
          <w:rFonts w:asciiTheme="minorHAnsi" w:eastAsiaTheme="minorEastAsia" w:hAnsiTheme="minorHAnsi" w:cstheme="minorBidi"/>
          <w:noProof/>
          <w:sz w:val="22"/>
          <w:szCs w:val="22"/>
          <w:lang w:eastAsia="en-NZ"/>
        </w:rPr>
      </w:pPr>
      <w:r>
        <w:rPr>
          <w:noProof/>
        </w:rPr>
        <w:t>Table 7.1</w:t>
      </w:r>
      <w:r>
        <w:rPr>
          <w:noProof/>
          <w:lang w:eastAsia="en-NZ"/>
        </w:rPr>
        <w:t>:</w:t>
      </w:r>
      <w:r>
        <w:rPr>
          <w:noProof/>
          <w:lang w:eastAsia="en-NZ"/>
        </w:rPr>
        <w:tab/>
        <w:t>Number of abortions by age group and duration of pregnancy, 2020</w:t>
      </w:r>
      <w:r>
        <w:rPr>
          <w:noProof/>
        </w:rPr>
        <w:tab/>
      </w:r>
      <w:r>
        <w:rPr>
          <w:noProof/>
        </w:rPr>
        <w:fldChar w:fldCharType="begin"/>
      </w:r>
      <w:r>
        <w:rPr>
          <w:noProof/>
        </w:rPr>
        <w:instrText xml:space="preserve"> PAGEREF _Toc83367100 \h </w:instrText>
      </w:r>
      <w:r>
        <w:rPr>
          <w:noProof/>
        </w:rPr>
      </w:r>
      <w:r>
        <w:rPr>
          <w:noProof/>
        </w:rPr>
        <w:fldChar w:fldCharType="separate"/>
      </w:r>
      <w:r w:rsidR="0090485D">
        <w:rPr>
          <w:noProof/>
        </w:rPr>
        <w:t>21</w:t>
      </w:r>
      <w:r>
        <w:rPr>
          <w:noProof/>
        </w:rPr>
        <w:fldChar w:fldCharType="end"/>
      </w:r>
    </w:p>
    <w:p w14:paraId="6A23F56F" w14:textId="41B42FB9" w:rsidR="00E82C4D" w:rsidRDefault="00E82C4D" w:rsidP="001C1DD1">
      <w:pPr>
        <w:pStyle w:val="TOC3"/>
        <w:ind w:right="-1"/>
        <w:rPr>
          <w:rFonts w:asciiTheme="minorHAnsi" w:eastAsiaTheme="minorEastAsia" w:hAnsiTheme="minorHAnsi" w:cstheme="minorBidi"/>
          <w:noProof/>
          <w:sz w:val="22"/>
          <w:szCs w:val="22"/>
          <w:lang w:eastAsia="en-NZ"/>
        </w:rPr>
      </w:pPr>
      <w:r>
        <w:rPr>
          <w:noProof/>
        </w:rPr>
        <w:t>Table 8.1</w:t>
      </w:r>
      <w:r>
        <w:rPr>
          <w:noProof/>
          <w:lang w:eastAsia="en-NZ"/>
        </w:rPr>
        <w:t>:</w:t>
      </w:r>
      <w:r>
        <w:rPr>
          <w:noProof/>
          <w:lang w:eastAsia="en-NZ"/>
        </w:rPr>
        <w:tab/>
        <w:t>Number of abortions by procedure and duration of pregnancy, 2020</w:t>
      </w:r>
      <w:r>
        <w:rPr>
          <w:noProof/>
        </w:rPr>
        <w:tab/>
      </w:r>
      <w:r>
        <w:rPr>
          <w:noProof/>
        </w:rPr>
        <w:fldChar w:fldCharType="begin"/>
      </w:r>
      <w:r>
        <w:rPr>
          <w:noProof/>
        </w:rPr>
        <w:instrText xml:space="preserve"> PAGEREF _Toc83367101 \h </w:instrText>
      </w:r>
      <w:r>
        <w:rPr>
          <w:noProof/>
        </w:rPr>
      </w:r>
      <w:r>
        <w:rPr>
          <w:noProof/>
        </w:rPr>
        <w:fldChar w:fldCharType="separate"/>
      </w:r>
      <w:r w:rsidR="0090485D">
        <w:rPr>
          <w:noProof/>
        </w:rPr>
        <w:t>22</w:t>
      </w:r>
      <w:r>
        <w:rPr>
          <w:noProof/>
        </w:rPr>
        <w:fldChar w:fldCharType="end"/>
      </w:r>
    </w:p>
    <w:p w14:paraId="008B9944" w14:textId="29A7F01D" w:rsidR="00E82C4D" w:rsidRDefault="00E82C4D" w:rsidP="001C1DD1">
      <w:pPr>
        <w:pStyle w:val="TOC3"/>
        <w:ind w:right="-1"/>
        <w:rPr>
          <w:rFonts w:asciiTheme="minorHAnsi" w:eastAsiaTheme="minorEastAsia" w:hAnsiTheme="minorHAnsi" w:cstheme="minorBidi"/>
          <w:noProof/>
          <w:sz w:val="22"/>
          <w:szCs w:val="22"/>
          <w:lang w:eastAsia="en-NZ"/>
        </w:rPr>
      </w:pPr>
      <w:r>
        <w:rPr>
          <w:noProof/>
        </w:rPr>
        <w:t>Table 9.1</w:t>
      </w:r>
      <w:r>
        <w:rPr>
          <w:noProof/>
          <w:lang w:eastAsia="en-NZ"/>
        </w:rPr>
        <w:t>:</w:t>
      </w:r>
      <w:r>
        <w:rPr>
          <w:noProof/>
          <w:lang w:eastAsia="en-NZ"/>
        </w:rPr>
        <w:tab/>
        <w:t>Number and percentage of abortions by complication, 2020</w:t>
      </w:r>
      <w:r>
        <w:rPr>
          <w:noProof/>
        </w:rPr>
        <w:tab/>
      </w:r>
      <w:r>
        <w:rPr>
          <w:noProof/>
        </w:rPr>
        <w:fldChar w:fldCharType="begin"/>
      </w:r>
      <w:r>
        <w:rPr>
          <w:noProof/>
        </w:rPr>
        <w:instrText xml:space="preserve"> PAGEREF _Toc83367102 \h </w:instrText>
      </w:r>
      <w:r>
        <w:rPr>
          <w:noProof/>
        </w:rPr>
      </w:r>
      <w:r>
        <w:rPr>
          <w:noProof/>
        </w:rPr>
        <w:fldChar w:fldCharType="separate"/>
      </w:r>
      <w:r w:rsidR="0090485D">
        <w:rPr>
          <w:noProof/>
        </w:rPr>
        <w:t>23</w:t>
      </w:r>
      <w:r>
        <w:rPr>
          <w:noProof/>
        </w:rPr>
        <w:fldChar w:fldCharType="end"/>
      </w:r>
    </w:p>
    <w:p w14:paraId="06837570" w14:textId="3E957143" w:rsidR="00E82C4D" w:rsidRDefault="00E82C4D" w:rsidP="001C1DD1">
      <w:pPr>
        <w:pStyle w:val="TOC3"/>
        <w:ind w:right="-1"/>
        <w:rPr>
          <w:rFonts w:asciiTheme="minorHAnsi" w:eastAsiaTheme="minorEastAsia" w:hAnsiTheme="minorHAnsi" w:cstheme="minorBidi"/>
          <w:noProof/>
          <w:sz w:val="22"/>
          <w:szCs w:val="22"/>
          <w:lang w:eastAsia="en-NZ"/>
        </w:rPr>
      </w:pPr>
      <w:r>
        <w:rPr>
          <w:noProof/>
        </w:rPr>
        <w:t>Table 10.1</w:t>
      </w:r>
      <w:r>
        <w:rPr>
          <w:noProof/>
          <w:lang w:eastAsia="en-NZ"/>
        </w:rPr>
        <w:t>:</w:t>
      </w:r>
      <w:r>
        <w:rPr>
          <w:noProof/>
          <w:lang w:eastAsia="en-NZ"/>
        </w:rPr>
        <w:tab/>
        <w:t>Number and percentage of abortions by type of contraception used at time of conception, 2020</w:t>
      </w:r>
      <w:r>
        <w:rPr>
          <w:noProof/>
        </w:rPr>
        <w:tab/>
      </w:r>
      <w:r>
        <w:rPr>
          <w:noProof/>
        </w:rPr>
        <w:fldChar w:fldCharType="begin"/>
      </w:r>
      <w:r>
        <w:rPr>
          <w:noProof/>
        </w:rPr>
        <w:instrText xml:space="preserve"> PAGEREF _Toc83367103 \h </w:instrText>
      </w:r>
      <w:r>
        <w:rPr>
          <w:noProof/>
        </w:rPr>
      </w:r>
      <w:r>
        <w:rPr>
          <w:noProof/>
        </w:rPr>
        <w:fldChar w:fldCharType="separate"/>
      </w:r>
      <w:r w:rsidR="0090485D">
        <w:rPr>
          <w:noProof/>
        </w:rPr>
        <w:t>24</w:t>
      </w:r>
      <w:r>
        <w:rPr>
          <w:noProof/>
        </w:rPr>
        <w:fldChar w:fldCharType="end"/>
      </w:r>
    </w:p>
    <w:p w14:paraId="7C3CF1D9" w14:textId="20669338" w:rsidR="00E82C4D" w:rsidRDefault="00E82C4D" w:rsidP="001C1DD1">
      <w:pPr>
        <w:pStyle w:val="TOC3"/>
        <w:ind w:right="-1"/>
        <w:rPr>
          <w:rFonts w:asciiTheme="minorHAnsi" w:eastAsiaTheme="minorEastAsia" w:hAnsiTheme="minorHAnsi" w:cstheme="minorBidi"/>
          <w:noProof/>
          <w:sz w:val="22"/>
          <w:szCs w:val="22"/>
          <w:lang w:eastAsia="en-NZ"/>
        </w:rPr>
      </w:pPr>
      <w:r>
        <w:rPr>
          <w:noProof/>
        </w:rPr>
        <w:t>Table 10.2</w:t>
      </w:r>
      <w:r>
        <w:rPr>
          <w:noProof/>
          <w:lang w:eastAsia="en-NZ"/>
        </w:rPr>
        <w:t>:</w:t>
      </w:r>
      <w:r>
        <w:rPr>
          <w:noProof/>
          <w:lang w:eastAsia="en-NZ"/>
        </w:rPr>
        <w:tab/>
        <w:t>Number of abortions by age group and contraception use at time of conception, 2020</w:t>
      </w:r>
      <w:r>
        <w:rPr>
          <w:noProof/>
        </w:rPr>
        <w:tab/>
      </w:r>
      <w:r>
        <w:rPr>
          <w:noProof/>
        </w:rPr>
        <w:fldChar w:fldCharType="begin"/>
      </w:r>
      <w:r>
        <w:rPr>
          <w:noProof/>
        </w:rPr>
        <w:instrText xml:space="preserve"> PAGEREF _Toc83367104 \h </w:instrText>
      </w:r>
      <w:r>
        <w:rPr>
          <w:noProof/>
        </w:rPr>
      </w:r>
      <w:r>
        <w:rPr>
          <w:noProof/>
        </w:rPr>
        <w:fldChar w:fldCharType="separate"/>
      </w:r>
      <w:r w:rsidR="0090485D">
        <w:rPr>
          <w:noProof/>
        </w:rPr>
        <w:t>24</w:t>
      </w:r>
      <w:r>
        <w:rPr>
          <w:noProof/>
        </w:rPr>
        <w:fldChar w:fldCharType="end"/>
      </w:r>
    </w:p>
    <w:p w14:paraId="491704F4" w14:textId="6E890AD8" w:rsidR="00E82C4D" w:rsidRDefault="00E82C4D" w:rsidP="001C1DD1">
      <w:pPr>
        <w:pStyle w:val="TOC3"/>
        <w:ind w:right="-1"/>
        <w:rPr>
          <w:rFonts w:asciiTheme="minorHAnsi" w:eastAsiaTheme="minorEastAsia" w:hAnsiTheme="minorHAnsi" w:cstheme="minorBidi"/>
          <w:noProof/>
          <w:sz w:val="22"/>
          <w:szCs w:val="22"/>
          <w:lang w:eastAsia="en-NZ"/>
        </w:rPr>
      </w:pPr>
      <w:r>
        <w:rPr>
          <w:noProof/>
        </w:rPr>
        <w:t>Table 10.3</w:t>
      </w:r>
      <w:r>
        <w:rPr>
          <w:noProof/>
          <w:lang w:eastAsia="en-NZ"/>
        </w:rPr>
        <w:t>:</w:t>
      </w:r>
      <w:r>
        <w:rPr>
          <w:noProof/>
          <w:lang w:eastAsia="en-NZ"/>
        </w:rPr>
        <w:tab/>
        <w:t>Contraception provided at the time of the abortion by type, 2020</w:t>
      </w:r>
      <w:r>
        <w:rPr>
          <w:noProof/>
        </w:rPr>
        <w:tab/>
      </w:r>
      <w:r>
        <w:rPr>
          <w:noProof/>
        </w:rPr>
        <w:fldChar w:fldCharType="begin"/>
      </w:r>
      <w:r>
        <w:rPr>
          <w:noProof/>
        </w:rPr>
        <w:instrText xml:space="preserve"> PAGEREF _Toc83367105 \h </w:instrText>
      </w:r>
      <w:r>
        <w:rPr>
          <w:noProof/>
        </w:rPr>
      </w:r>
      <w:r>
        <w:rPr>
          <w:noProof/>
        </w:rPr>
        <w:fldChar w:fldCharType="separate"/>
      </w:r>
      <w:r w:rsidR="0090485D">
        <w:rPr>
          <w:noProof/>
        </w:rPr>
        <w:t>26</w:t>
      </w:r>
      <w:r>
        <w:rPr>
          <w:noProof/>
        </w:rPr>
        <w:fldChar w:fldCharType="end"/>
      </w:r>
    </w:p>
    <w:p w14:paraId="1325ED9E" w14:textId="77777777" w:rsidR="002B76A7" w:rsidRDefault="002B76A7" w:rsidP="001C1DD1">
      <w:pPr>
        <w:ind w:right="-1"/>
      </w:pPr>
      <w:r>
        <w:fldChar w:fldCharType="end"/>
      </w:r>
    </w:p>
    <w:p w14:paraId="31198C3C" w14:textId="77777777" w:rsidR="0033448B" w:rsidRDefault="0033448B" w:rsidP="001C1DD1">
      <w:pPr>
        <w:pStyle w:val="TOC1"/>
        <w:keepNext/>
        <w:ind w:right="-1"/>
      </w:pPr>
      <w:r>
        <w:t>List of Figures</w:t>
      </w:r>
    </w:p>
    <w:p w14:paraId="272EC1A4" w14:textId="1DB9AFE6" w:rsidR="00465F63" w:rsidRDefault="0033448B">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465F63">
        <w:rPr>
          <w:noProof/>
        </w:rPr>
        <w:t>Figure 1</w:t>
      </w:r>
      <w:r w:rsidR="00465F63">
        <w:rPr>
          <w:rFonts w:eastAsia="Lucida Sans Unicode"/>
          <w:noProof/>
        </w:rPr>
        <w:t>:</w:t>
      </w:r>
      <w:r w:rsidR="00465F63">
        <w:rPr>
          <w:rFonts w:eastAsia="Lucida Sans Unicode"/>
          <w:noProof/>
        </w:rPr>
        <w:tab/>
      </w:r>
      <w:r w:rsidR="00465F63" w:rsidRPr="00B936F1">
        <w:rPr>
          <w:rFonts w:eastAsia="Lucida Sans Unicode"/>
          <w:noProof/>
        </w:rPr>
        <w:t>Key legislative and Ministry milestones, 24 March 2020 to 24 September 2021</w:t>
      </w:r>
      <w:r w:rsidR="00465F63">
        <w:rPr>
          <w:noProof/>
        </w:rPr>
        <w:tab/>
      </w:r>
      <w:r w:rsidR="00465F63">
        <w:rPr>
          <w:noProof/>
        </w:rPr>
        <w:fldChar w:fldCharType="begin"/>
      </w:r>
      <w:r w:rsidR="00465F63">
        <w:rPr>
          <w:noProof/>
        </w:rPr>
        <w:instrText xml:space="preserve"> PAGEREF _Toc84419925 \h </w:instrText>
      </w:r>
      <w:r w:rsidR="00465F63">
        <w:rPr>
          <w:noProof/>
        </w:rPr>
      </w:r>
      <w:r w:rsidR="00465F63">
        <w:rPr>
          <w:noProof/>
        </w:rPr>
        <w:fldChar w:fldCharType="separate"/>
      </w:r>
      <w:r w:rsidR="0090485D">
        <w:rPr>
          <w:noProof/>
        </w:rPr>
        <w:t>2</w:t>
      </w:r>
      <w:r w:rsidR="00465F63">
        <w:rPr>
          <w:noProof/>
        </w:rPr>
        <w:fldChar w:fldCharType="end"/>
      </w:r>
    </w:p>
    <w:p w14:paraId="47C77729" w14:textId="7B369790" w:rsidR="00465F63" w:rsidRDefault="00465F63">
      <w:pPr>
        <w:pStyle w:val="TOC3"/>
        <w:rPr>
          <w:rFonts w:asciiTheme="minorHAnsi" w:eastAsiaTheme="minorEastAsia" w:hAnsiTheme="minorHAnsi" w:cstheme="minorBidi"/>
          <w:noProof/>
          <w:sz w:val="22"/>
          <w:szCs w:val="22"/>
          <w:lang w:eastAsia="en-NZ"/>
        </w:rPr>
      </w:pPr>
      <w:r>
        <w:rPr>
          <w:noProof/>
        </w:rPr>
        <w:t>Figure 2</w:t>
      </w:r>
      <w:r>
        <w:rPr>
          <w:rFonts w:eastAsia="Lucida Sans Unicode"/>
          <w:noProof/>
        </w:rPr>
        <w:t>:</w:t>
      </w:r>
      <w:r>
        <w:rPr>
          <w:rFonts w:eastAsia="Lucida Sans Unicode"/>
          <w:noProof/>
        </w:rPr>
        <w:tab/>
      </w:r>
      <w:r w:rsidRPr="00B936F1">
        <w:rPr>
          <w:rFonts w:eastAsia="Lucida Sans Unicode"/>
          <w:noProof/>
        </w:rPr>
        <w:t>Key milestones</w:t>
      </w:r>
      <w:r>
        <w:rPr>
          <w:noProof/>
        </w:rPr>
        <w:t xml:space="preserve"> for Ministry ALR and Abortion Services teams,</w:t>
      </w:r>
      <w:r w:rsidRPr="00B936F1">
        <w:rPr>
          <w:rFonts w:eastAsia="Lucida Sans Unicode"/>
          <w:noProof/>
        </w:rPr>
        <w:t xml:space="preserve"> 24</w:t>
      </w:r>
      <w:r>
        <w:rPr>
          <w:rFonts w:eastAsia="Lucida Sans Unicode"/>
          <w:noProof/>
        </w:rPr>
        <w:t> </w:t>
      </w:r>
      <w:r w:rsidRPr="00B936F1">
        <w:rPr>
          <w:rFonts w:eastAsia="Lucida Sans Unicode"/>
          <w:noProof/>
        </w:rPr>
        <w:t>March 2020 to 24 September 2021</w:t>
      </w:r>
      <w:r>
        <w:rPr>
          <w:noProof/>
        </w:rPr>
        <w:tab/>
      </w:r>
      <w:r>
        <w:rPr>
          <w:noProof/>
        </w:rPr>
        <w:fldChar w:fldCharType="begin"/>
      </w:r>
      <w:r>
        <w:rPr>
          <w:noProof/>
        </w:rPr>
        <w:instrText xml:space="preserve"> PAGEREF _Toc84419926 \h </w:instrText>
      </w:r>
      <w:r>
        <w:rPr>
          <w:noProof/>
        </w:rPr>
      </w:r>
      <w:r>
        <w:rPr>
          <w:noProof/>
        </w:rPr>
        <w:fldChar w:fldCharType="separate"/>
      </w:r>
      <w:r w:rsidR="0090485D">
        <w:rPr>
          <w:noProof/>
        </w:rPr>
        <w:t>4</w:t>
      </w:r>
      <w:r>
        <w:rPr>
          <w:noProof/>
        </w:rPr>
        <w:fldChar w:fldCharType="end"/>
      </w:r>
    </w:p>
    <w:p w14:paraId="4A333DC8" w14:textId="4E251F82" w:rsidR="00465F63" w:rsidRDefault="00465F63">
      <w:pPr>
        <w:pStyle w:val="TOC3"/>
        <w:rPr>
          <w:rFonts w:asciiTheme="minorHAnsi" w:eastAsiaTheme="minorEastAsia" w:hAnsiTheme="minorHAnsi" w:cstheme="minorBidi"/>
          <w:noProof/>
          <w:sz w:val="22"/>
          <w:szCs w:val="22"/>
          <w:lang w:eastAsia="en-NZ"/>
        </w:rPr>
      </w:pPr>
      <w:r>
        <w:rPr>
          <w:noProof/>
        </w:rPr>
        <w:t>Figure 1.1</w:t>
      </w:r>
      <w:r>
        <w:rPr>
          <w:noProof/>
          <w:lang w:eastAsia="en-NZ"/>
        </w:rPr>
        <w:t>:</w:t>
      </w:r>
      <w:r>
        <w:rPr>
          <w:noProof/>
          <w:lang w:eastAsia="en-NZ"/>
        </w:rPr>
        <w:tab/>
        <w:t>Number of abortions by year, 2010–2020</w:t>
      </w:r>
      <w:r>
        <w:rPr>
          <w:noProof/>
        </w:rPr>
        <w:tab/>
      </w:r>
      <w:r>
        <w:rPr>
          <w:noProof/>
        </w:rPr>
        <w:fldChar w:fldCharType="begin"/>
      </w:r>
      <w:r>
        <w:rPr>
          <w:noProof/>
        </w:rPr>
        <w:instrText xml:space="preserve"> PAGEREF _Toc84419927 \h </w:instrText>
      </w:r>
      <w:r>
        <w:rPr>
          <w:noProof/>
        </w:rPr>
      </w:r>
      <w:r>
        <w:rPr>
          <w:noProof/>
        </w:rPr>
        <w:fldChar w:fldCharType="separate"/>
      </w:r>
      <w:r w:rsidR="0090485D">
        <w:rPr>
          <w:noProof/>
        </w:rPr>
        <w:t>10</w:t>
      </w:r>
      <w:r>
        <w:rPr>
          <w:noProof/>
        </w:rPr>
        <w:fldChar w:fldCharType="end"/>
      </w:r>
    </w:p>
    <w:p w14:paraId="2AD5EBFD" w14:textId="27B0C7A0" w:rsidR="00465F63" w:rsidRDefault="00465F63">
      <w:pPr>
        <w:pStyle w:val="TOC3"/>
        <w:rPr>
          <w:rFonts w:asciiTheme="minorHAnsi" w:eastAsiaTheme="minorEastAsia" w:hAnsiTheme="minorHAnsi" w:cstheme="minorBidi"/>
          <w:noProof/>
          <w:sz w:val="22"/>
          <w:szCs w:val="22"/>
          <w:lang w:eastAsia="en-NZ"/>
        </w:rPr>
      </w:pPr>
      <w:r>
        <w:rPr>
          <w:noProof/>
        </w:rPr>
        <w:t>Figure 1.2</w:t>
      </w:r>
      <w:r>
        <w:rPr>
          <w:noProof/>
          <w:lang w:eastAsia="en-NZ"/>
        </w:rPr>
        <w:t>:</w:t>
      </w:r>
      <w:r>
        <w:rPr>
          <w:noProof/>
          <w:lang w:eastAsia="en-NZ"/>
        </w:rPr>
        <w:tab/>
        <w:t>Abortion ratio, 2010–2020</w:t>
      </w:r>
      <w:r>
        <w:rPr>
          <w:noProof/>
        </w:rPr>
        <w:tab/>
      </w:r>
      <w:r>
        <w:rPr>
          <w:noProof/>
        </w:rPr>
        <w:fldChar w:fldCharType="begin"/>
      </w:r>
      <w:r>
        <w:rPr>
          <w:noProof/>
        </w:rPr>
        <w:instrText xml:space="preserve"> PAGEREF _Toc84419928 \h </w:instrText>
      </w:r>
      <w:r>
        <w:rPr>
          <w:noProof/>
        </w:rPr>
      </w:r>
      <w:r>
        <w:rPr>
          <w:noProof/>
        </w:rPr>
        <w:fldChar w:fldCharType="separate"/>
      </w:r>
      <w:r w:rsidR="0090485D">
        <w:rPr>
          <w:noProof/>
        </w:rPr>
        <w:t>11</w:t>
      </w:r>
      <w:r>
        <w:rPr>
          <w:noProof/>
        </w:rPr>
        <w:fldChar w:fldCharType="end"/>
      </w:r>
    </w:p>
    <w:p w14:paraId="6BCB0394" w14:textId="0FD8FDBE" w:rsidR="00465F63" w:rsidRDefault="00465F63">
      <w:pPr>
        <w:pStyle w:val="TOC3"/>
        <w:rPr>
          <w:rFonts w:asciiTheme="minorHAnsi" w:eastAsiaTheme="minorEastAsia" w:hAnsiTheme="minorHAnsi" w:cstheme="minorBidi"/>
          <w:noProof/>
          <w:sz w:val="22"/>
          <w:szCs w:val="22"/>
          <w:lang w:eastAsia="en-NZ"/>
        </w:rPr>
      </w:pPr>
      <w:r>
        <w:rPr>
          <w:noProof/>
        </w:rPr>
        <w:t>Figure 1.3:</w:t>
      </w:r>
      <w:r>
        <w:rPr>
          <w:noProof/>
        </w:rPr>
        <w:tab/>
        <w:t>General abortion rate, 2010–2020</w:t>
      </w:r>
      <w:r>
        <w:rPr>
          <w:noProof/>
        </w:rPr>
        <w:tab/>
      </w:r>
      <w:r>
        <w:rPr>
          <w:noProof/>
        </w:rPr>
        <w:fldChar w:fldCharType="begin"/>
      </w:r>
      <w:r>
        <w:rPr>
          <w:noProof/>
        </w:rPr>
        <w:instrText xml:space="preserve"> PAGEREF _Toc84419929 \h </w:instrText>
      </w:r>
      <w:r>
        <w:rPr>
          <w:noProof/>
        </w:rPr>
      </w:r>
      <w:r>
        <w:rPr>
          <w:noProof/>
        </w:rPr>
        <w:fldChar w:fldCharType="separate"/>
      </w:r>
      <w:r w:rsidR="0090485D">
        <w:rPr>
          <w:noProof/>
        </w:rPr>
        <w:t>11</w:t>
      </w:r>
      <w:r>
        <w:rPr>
          <w:noProof/>
        </w:rPr>
        <w:fldChar w:fldCharType="end"/>
      </w:r>
    </w:p>
    <w:p w14:paraId="66552738" w14:textId="7C4906BB" w:rsidR="00465F63" w:rsidRDefault="00465F63">
      <w:pPr>
        <w:pStyle w:val="TOC3"/>
        <w:rPr>
          <w:rFonts w:asciiTheme="minorHAnsi" w:eastAsiaTheme="minorEastAsia" w:hAnsiTheme="minorHAnsi" w:cstheme="minorBidi"/>
          <w:noProof/>
          <w:sz w:val="22"/>
          <w:szCs w:val="22"/>
          <w:lang w:eastAsia="en-NZ"/>
        </w:rPr>
      </w:pPr>
      <w:r>
        <w:rPr>
          <w:noProof/>
        </w:rPr>
        <w:t>Figure 2.1</w:t>
      </w:r>
      <w:r>
        <w:rPr>
          <w:noProof/>
          <w:lang w:eastAsia="en-NZ"/>
        </w:rPr>
        <w:t>:</w:t>
      </w:r>
      <w:r>
        <w:rPr>
          <w:noProof/>
          <w:lang w:eastAsia="en-NZ"/>
        </w:rPr>
        <w:tab/>
        <w:t>Number of abortions by facility</w:t>
      </w:r>
      <w:r>
        <w:rPr>
          <w:noProof/>
        </w:rPr>
        <w:tab/>
      </w:r>
      <w:r>
        <w:rPr>
          <w:noProof/>
        </w:rPr>
        <w:fldChar w:fldCharType="begin"/>
      </w:r>
      <w:r>
        <w:rPr>
          <w:noProof/>
        </w:rPr>
        <w:instrText xml:space="preserve"> PAGEREF _Toc84419930 \h </w:instrText>
      </w:r>
      <w:r>
        <w:rPr>
          <w:noProof/>
        </w:rPr>
      </w:r>
      <w:r>
        <w:rPr>
          <w:noProof/>
        </w:rPr>
        <w:fldChar w:fldCharType="separate"/>
      </w:r>
      <w:r w:rsidR="0090485D">
        <w:rPr>
          <w:noProof/>
        </w:rPr>
        <w:t>12</w:t>
      </w:r>
      <w:r>
        <w:rPr>
          <w:noProof/>
        </w:rPr>
        <w:fldChar w:fldCharType="end"/>
      </w:r>
    </w:p>
    <w:p w14:paraId="6BCE831B" w14:textId="065F2E89" w:rsidR="00465F63" w:rsidRDefault="00465F63">
      <w:pPr>
        <w:pStyle w:val="TOC3"/>
        <w:rPr>
          <w:rFonts w:asciiTheme="minorHAnsi" w:eastAsiaTheme="minorEastAsia" w:hAnsiTheme="minorHAnsi" w:cstheme="minorBidi"/>
          <w:noProof/>
          <w:sz w:val="22"/>
          <w:szCs w:val="22"/>
          <w:lang w:eastAsia="en-NZ"/>
        </w:rPr>
      </w:pPr>
      <w:r>
        <w:rPr>
          <w:noProof/>
        </w:rPr>
        <w:t>Figure 2.2:</w:t>
      </w:r>
      <w:r>
        <w:rPr>
          <w:noProof/>
        </w:rPr>
        <w:tab/>
        <w:t>Number of abortions by residence of patient (DHB of domicile), 2019 and 2020</w:t>
      </w:r>
      <w:r>
        <w:rPr>
          <w:noProof/>
        </w:rPr>
        <w:tab/>
      </w:r>
      <w:r>
        <w:rPr>
          <w:noProof/>
        </w:rPr>
        <w:fldChar w:fldCharType="begin"/>
      </w:r>
      <w:r>
        <w:rPr>
          <w:noProof/>
        </w:rPr>
        <w:instrText xml:space="preserve"> PAGEREF _Toc84419931 \h </w:instrText>
      </w:r>
      <w:r>
        <w:rPr>
          <w:noProof/>
        </w:rPr>
      </w:r>
      <w:r>
        <w:rPr>
          <w:noProof/>
        </w:rPr>
        <w:fldChar w:fldCharType="separate"/>
      </w:r>
      <w:r w:rsidR="0090485D">
        <w:rPr>
          <w:noProof/>
        </w:rPr>
        <w:t>13</w:t>
      </w:r>
      <w:r>
        <w:rPr>
          <w:noProof/>
        </w:rPr>
        <w:fldChar w:fldCharType="end"/>
      </w:r>
    </w:p>
    <w:p w14:paraId="6C8894FF" w14:textId="7C48734E" w:rsidR="00465F63" w:rsidRDefault="00465F63">
      <w:pPr>
        <w:pStyle w:val="TOC3"/>
        <w:rPr>
          <w:rFonts w:asciiTheme="minorHAnsi" w:eastAsiaTheme="minorEastAsia" w:hAnsiTheme="minorHAnsi" w:cstheme="minorBidi"/>
          <w:noProof/>
          <w:sz w:val="22"/>
          <w:szCs w:val="22"/>
          <w:lang w:eastAsia="en-NZ"/>
        </w:rPr>
      </w:pPr>
      <w:r>
        <w:rPr>
          <w:noProof/>
        </w:rPr>
        <w:t>Figure 3.1</w:t>
      </w:r>
      <w:r>
        <w:rPr>
          <w:noProof/>
          <w:lang w:eastAsia="en-NZ"/>
        </w:rPr>
        <w:t>:</w:t>
      </w:r>
      <w:r>
        <w:rPr>
          <w:noProof/>
          <w:lang w:eastAsia="en-NZ"/>
        </w:rPr>
        <w:tab/>
        <w:t>Number of abortions by age group, 2010–2020</w:t>
      </w:r>
      <w:r>
        <w:rPr>
          <w:noProof/>
        </w:rPr>
        <w:tab/>
      </w:r>
      <w:r>
        <w:rPr>
          <w:noProof/>
        </w:rPr>
        <w:fldChar w:fldCharType="begin"/>
      </w:r>
      <w:r>
        <w:rPr>
          <w:noProof/>
        </w:rPr>
        <w:instrText xml:space="preserve"> PAGEREF _Toc84419932 \h </w:instrText>
      </w:r>
      <w:r>
        <w:rPr>
          <w:noProof/>
        </w:rPr>
      </w:r>
      <w:r>
        <w:rPr>
          <w:noProof/>
        </w:rPr>
        <w:fldChar w:fldCharType="separate"/>
      </w:r>
      <w:r w:rsidR="0090485D">
        <w:rPr>
          <w:noProof/>
        </w:rPr>
        <w:t>15</w:t>
      </w:r>
      <w:r>
        <w:rPr>
          <w:noProof/>
        </w:rPr>
        <w:fldChar w:fldCharType="end"/>
      </w:r>
    </w:p>
    <w:p w14:paraId="4EC8F3F2" w14:textId="7C9B13F2" w:rsidR="00465F63" w:rsidRDefault="00465F63">
      <w:pPr>
        <w:pStyle w:val="TOC3"/>
        <w:rPr>
          <w:rFonts w:asciiTheme="minorHAnsi" w:eastAsiaTheme="minorEastAsia" w:hAnsiTheme="minorHAnsi" w:cstheme="minorBidi"/>
          <w:noProof/>
          <w:sz w:val="22"/>
          <w:szCs w:val="22"/>
          <w:lang w:eastAsia="en-NZ"/>
        </w:rPr>
      </w:pPr>
      <w:r>
        <w:rPr>
          <w:noProof/>
        </w:rPr>
        <w:t>Figure 3.2</w:t>
      </w:r>
      <w:r>
        <w:rPr>
          <w:noProof/>
          <w:lang w:eastAsia="en-NZ"/>
        </w:rPr>
        <w:t>:</w:t>
      </w:r>
      <w:r>
        <w:rPr>
          <w:noProof/>
          <w:lang w:eastAsia="en-NZ"/>
        </w:rPr>
        <w:tab/>
        <w:t>Percentage of abortions by age group, 2020</w:t>
      </w:r>
      <w:r>
        <w:rPr>
          <w:noProof/>
        </w:rPr>
        <w:tab/>
      </w:r>
      <w:r>
        <w:rPr>
          <w:noProof/>
        </w:rPr>
        <w:fldChar w:fldCharType="begin"/>
      </w:r>
      <w:r>
        <w:rPr>
          <w:noProof/>
        </w:rPr>
        <w:instrText xml:space="preserve"> PAGEREF _Toc84419933 \h </w:instrText>
      </w:r>
      <w:r>
        <w:rPr>
          <w:noProof/>
        </w:rPr>
      </w:r>
      <w:r>
        <w:rPr>
          <w:noProof/>
        </w:rPr>
        <w:fldChar w:fldCharType="separate"/>
      </w:r>
      <w:r w:rsidR="0090485D">
        <w:rPr>
          <w:noProof/>
        </w:rPr>
        <w:t>16</w:t>
      </w:r>
      <w:r>
        <w:rPr>
          <w:noProof/>
        </w:rPr>
        <w:fldChar w:fldCharType="end"/>
      </w:r>
    </w:p>
    <w:p w14:paraId="0E4367C1" w14:textId="4D8A131F" w:rsidR="00465F63" w:rsidRDefault="00465F63">
      <w:pPr>
        <w:pStyle w:val="TOC3"/>
        <w:rPr>
          <w:rFonts w:asciiTheme="minorHAnsi" w:eastAsiaTheme="minorEastAsia" w:hAnsiTheme="minorHAnsi" w:cstheme="minorBidi"/>
          <w:noProof/>
          <w:sz w:val="22"/>
          <w:szCs w:val="22"/>
          <w:lang w:eastAsia="en-NZ"/>
        </w:rPr>
      </w:pPr>
      <w:r>
        <w:rPr>
          <w:noProof/>
        </w:rPr>
        <w:t>Figure 4.1</w:t>
      </w:r>
      <w:r>
        <w:rPr>
          <w:noProof/>
          <w:lang w:eastAsia="en-NZ"/>
        </w:rPr>
        <w:t>:</w:t>
      </w:r>
      <w:r>
        <w:rPr>
          <w:noProof/>
          <w:lang w:eastAsia="en-NZ"/>
        </w:rPr>
        <w:tab/>
        <w:t>Number of abortions by previous live births, 2010–2020</w:t>
      </w:r>
      <w:r>
        <w:rPr>
          <w:noProof/>
        </w:rPr>
        <w:tab/>
      </w:r>
      <w:r>
        <w:rPr>
          <w:noProof/>
        </w:rPr>
        <w:fldChar w:fldCharType="begin"/>
      </w:r>
      <w:r>
        <w:rPr>
          <w:noProof/>
        </w:rPr>
        <w:instrText xml:space="preserve"> PAGEREF _Toc84419934 \h </w:instrText>
      </w:r>
      <w:r>
        <w:rPr>
          <w:noProof/>
        </w:rPr>
      </w:r>
      <w:r>
        <w:rPr>
          <w:noProof/>
        </w:rPr>
        <w:fldChar w:fldCharType="separate"/>
      </w:r>
      <w:r w:rsidR="0090485D">
        <w:rPr>
          <w:noProof/>
        </w:rPr>
        <w:t>17</w:t>
      </w:r>
      <w:r>
        <w:rPr>
          <w:noProof/>
        </w:rPr>
        <w:fldChar w:fldCharType="end"/>
      </w:r>
    </w:p>
    <w:p w14:paraId="4AF00C9D" w14:textId="060F3822" w:rsidR="00465F63" w:rsidRDefault="00465F63">
      <w:pPr>
        <w:pStyle w:val="TOC3"/>
        <w:rPr>
          <w:rFonts w:asciiTheme="minorHAnsi" w:eastAsiaTheme="minorEastAsia" w:hAnsiTheme="minorHAnsi" w:cstheme="minorBidi"/>
          <w:noProof/>
          <w:sz w:val="22"/>
          <w:szCs w:val="22"/>
          <w:lang w:eastAsia="en-NZ"/>
        </w:rPr>
      </w:pPr>
      <w:r>
        <w:rPr>
          <w:noProof/>
        </w:rPr>
        <w:t>Figure 5.1:</w:t>
      </w:r>
      <w:r>
        <w:rPr>
          <w:noProof/>
        </w:rPr>
        <w:tab/>
      </w:r>
      <w:r>
        <w:rPr>
          <w:noProof/>
          <w:lang w:eastAsia="en-NZ"/>
        </w:rPr>
        <w:t>Number of abortions by number of previous abortions, 2010–2020</w:t>
      </w:r>
      <w:r>
        <w:rPr>
          <w:noProof/>
        </w:rPr>
        <w:tab/>
      </w:r>
      <w:r>
        <w:rPr>
          <w:noProof/>
        </w:rPr>
        <w:fldChar w:fldCharType="begin"/>
      </w:r>
      <w:r>
        <w:rPr>
          <w:noProof/>
        </w:rPr>
        <w:instrText xml:space="preserve"> PAGEREF _Toc84419935 \h </w:instrText>
      </w:r>
      <w:r>
        <w:rPr>
          <w:noProof/>
        </w:rPr>
      </w:r>
      <w:r>
        <w:rPr>
          <w:noProof/>
        </w:rPr>
        <w:fldChar w:fldCharType="separate"/>
      </w:r>
      <w:r w:rsidR="0090485D">
        <w:rPr>
          <w:noProof/>
        </w:rPr>
        <w:t>18</w:t>
      </w:r>
      <w:r>
        <w:rPr>
          <w:noProof/>
        </w:rPr>
        <w:fldChar w:fldCharType="end"/>
      </w:r>
    </w:p>
    <w:p w14:paraId="7620B108" w14:textId="59CB7C4D" w:rsidR="00465F63" w:rsidRDefault="00465F63">
      <w:pPr>
        <w:pStyle w:val="TOC3"/>
        <w:rPr>
          <w:rFonts w:asciiTheme="minorHAnsi" w:eastAsiaTheme="minorEastAsia" w:hAnsiTheme="minorHAnsi" w:cstheme="minorBidi"/>
          <w:noProof/>
          <w:sz w:val="22"/>
          <w:szCs w:val="22"/>
          <w:lang w:eastAsia="en-NZ"/>
        </w:rPr>
      </w:pPr>
      <w:r>
        <w:rPr>
          <w:noProof/>
        </w:rPr>
        <w:t>Figure 6.1:</w:t>
      </w:r>
      <w:r>
        <w:rPr>
          <w:noProof/>
        </w:rPr>
        <w:tab/>
        <w:t>Number of abortions by total response ethnicity, 2020</w:t>
      </w:r>
      <w:r>
        <w:rPr>
          <w:noProof/>
        </w:rPr>
        <w:tab/>
      </w:r>
      <w:r>
        <w:rPr>
          <w:noProof/>
        </w:rPr>
        <w:fldChar w:fldCharType="begin"/>
      </w:r>
      <w:r>
        <w:rPr>
          <w:noProof/>
        </w:rPr>
        <w:instrText xml:space="preserve"> PAGEREF _Toc84419936 \h </w:instrText>
      </w:r>
      <w:r>
        <w:rPr>
          <w:noProof/>
        </w:rPr>
      </w:r>
      <w:r>
        <w:rPr>
          <w:noProof/>
        </w:rPr>
        <w:fldChar w:fldCharType="separate"/>
      </w:r>
      <w:r w:rsidR="0090485D">
        <w:rPr>
          <w:noProof/>
        </w:rPr>
        <w:t>19</w:t>
      </w:r>
      <w:r>
        <w:rPr>
          <w:noProof/>
        </w:rPr>
        <w:fldChar w:fldCharType="end"/>
      </w:r>
    </w:p>
    <w:p w14:paraId="5F34837B" w14:textId="51C527D4" w:rsidR="00465F63" w:rsidRDefault="00465F63">
      <w:pPr>
        <w:pStyle w:val="TOC3"/>
        <w:rPr>
          <w:rFonts w:asciiTheme="minorHAnsi" w:eastAsiaTheme="minorEastAsia" w:hAnsiTheme="minorHAnsi" w:cstheme="minorBidi"/>
          <w:noProof/>
          <w:sz w:val="22"/>
          <w:szCs w:val="22"/>
          <w:lang w:eastAsia="en-NZ"/>
        </w:rPr>
      </w:pPr>
      <w:r>
        <w:rPr>
          <w:noProof/>
        </w:rPr>
        <w:t>Figure 6.2</w:t>
      </w:r>
      <w:r>
        <w:rPr>
          <w:noProof/>
          <w:lang w:eastAsia="en-NZ"/>
        </w:rPr>
        <w:t>:</w:t>
      </w:r>
      <w:r>
        <w:rPr>
          <w:noProof/>
          <w:lang w:eastAsia="en-NZ"/>
        </w:rPr>
        <w:tab/>
        <w:t>Number of abortions by ethnic group, 2010–2020</w:t>
      </w:r>
      <w:r>
        <w:rPr>
          <w:noProof/>
        </w:rPr>
        <w:tab/>
      </w:r>
      <w:r>
        <w:rPr>
          <w:noProof/>
        </w:rPr>
        <w:fldChar w:fldCharType="begin"/>
      </w:r>
      <w:r>
        <w:rPr>
          <w:noProof/>
        </w:rPr>
        <w:instrText xml:space="preserve"> PAGEREF _Toc84419937 \h </w:instrText>
      </w:r>
      <w:r>
        <w:rPr>
          <w:noProof/>
        </w:rPr>
      </w:r>
      <w:r>
        <w:rPr>
          <w:noProof/>
        </w:rPr>
        <w:fldChar w:fldCharType="separate"/>
      </w:r>
      <w:r w:rsidR="0090485D">
        <w:rPr>
          <w:noProof/>
        </w:rPr>
        <w:t>20</w:t>
      </w:r>
      <w:r>
        <w:rPr>
          <w:noProof/>
        </w:rPr>
        <w:fldChar w:fldCharType="end"/>
      </w:r>
    </w:p>
    <w:p w14:paraId="7CA4DE05" w14:textId="747927B6" w:rsidR="00465F63" w:rsidRDefault="00465F63">
      <w:pPr>
        <w:pStyle w:val="TOC3"/>
        <w:rPr>
          <w:rFonts w:asciiTheme="minorHAnsi" w:eastAsiaTheme="minorEastAsia" w:hAnsiTheme="minorHAnsi" w:cstheme="minorBidi"/>
          <w:noProof/>
          <w:sz w:val="22"/>
          <w:szCs w:val="22"/>
          <w:lang w:eastAsia="en-NZ"/>
        </w:rPr>
      </w:pPr>
      <w:r>
        <w:rPr>
          <w:noProof/>
        </w:rPr>
        <w:t>Figure 7.1:</w:t>
      </w:r>
      <w:r>
        <w:rPr>
          <w:noProof/>
        </w:rPr>
        <w:tab/>
        <w:t>Percentage of abortions by duration of pregnancy, 2010–2020</w:t>
      </w:r>
      <w:r>
        <w:rPr>
          <w:noProof/>
        </w:rPr>
        <w:tab/>
      </w:r>
      <w:r>
        <w:rPr>
          <w:noProof/>
        </w:rPr>
        <w:fldChar w:fldCharType="begin"/>
      </w:r>
      <w:r>
        <w:rPr>
          <w:noProof/>
        </w:rPr>
        <w:instrText xml:space="preserve"> PAGEREF _Toc84419938 \h </w:instrText>
      </w:r>
      <w:r>
        <w:rPr>
          <w:noProof/>
        </w:rPr>
      </w:r>
      <w:r>
        <w:rPr>
          <w:noProof/>
        </w:rPr>
        <w:fldChar w:fldCharType="separate"/>
      </w:r>
      <w:r w:rsidR="0090485D">
        <w:rPr>
          <w:noProof/>
        </w:rPr>
        <w:t>21</w:t>
      </w:r>
      <w:r>
        <w:rPr>
          <w:noProof/>
        </w:rPr>
        <w:fldChar w:fldCharType="end"/>
      </w:r>
    </w:p>
    <w:p w14:paraId="5BE66BF0" w14:textId="6E7F85C3" w:rsidR="00465F63" w:rsidRDefault="00465F63">
      <w:pPr>
        <w:pStyle w:val="TOC3"/>
        <w:rPr>
          <w:rFonts w:asciiTheme="minorHAnsi" w:eastAsiaTheme="minorEastAsia" w:hAnsiTheme="minorHAnsi" w:cstheme="minorBidi"/>
          <w:noProof/>
          <w:sz w:val="22"/>
          <w:szCs w:val="22"/>
          <w:lang w:eastAsia="en-NZ"/>
        </w:rPr>
      </w:pPr>
      <w:r>
        <w:rPr>
          <w:noProof/>
        </w:rPr>
        <w:t>Figure 8.1</w:t>
      </w:r>
      <w:r>
        <w:rPr>
          <w:noProof/>
          <w:lang w:eastAsia="en-NZ"/>
        </w:rPr>
        <w:t>:</w:t>
      </w:r>
      <w:r>
        <w:rPr>
          <w:noProof/>
          <w:lang w:eastAsia="en-NZ"/>
        </w:rPr>
        <w:tab/>
        <w:t>Number of abortions by procedure, 2016–2020</w:t>
      </w:r>
      <w:r>
        <w:rPr>
          <w:noProof/>
        </w:rPr>
        <w:tab/>
      </w:r>
      <w:r>
        <w:rPr>
          <w:noProof/>
        </w:rPr>
        <w:fldChar w:fldCharType="begin"/>
      </w:r>
      <w:r>
        <w:rPr>
          <w:noProof/>
        </w:rPr>
        <w:instrText xml:space="preserve"> PAGEREF _Toc84419939 \h </w:instrText>
      </w:r>
      <w:r>
        <w:rPr>
          <w:noProof/>
        </w:rPr>
      </w:r>
      <w:r>
        <w:rPr>
          <w:noProof/>
        </w:rPr>
        <w:fldChar w:fldCharType="separate"/>
      </w:r>
      <w:r w:rsidR="0090485D">
        <w:rPr>
          <w:noProof/>
        </w:rPr>
        <w:t>22</w:t>
      </w:r>
      <w:r>
        <w:rPr>
          <w:noProof/>
        </w:rPr>
        <w:fldChar w:fldCharType="end"/>
      </w:r>
    </w:p>
    <w:p w14:paraId="31C7B546" w14:textId="5CFE1E44" w:rsidR="00465F63" w:rsidRDefault="00465F63">
      <w:pPr>
        <w:pStyle w:val="TOC3"/>
        <w:rPr>
          <w:rFonts w:asciiTheme="minorHAnsi" w:eastAsiaTheme="minorEastAsia" w:hAnsiTheme="minorHAnsi" w:cstheme="minorBidi"/>
          <w:noProof/>
          <w:sz w:val="22"/>
          <w:szCs w:val="22"/>
          <w:lang w:eastAsia="en-NZ"/>
        </w:rPr>
      </w:pPr>
      <w:r>
        <w:rPr>
          <w:noProof/>
        </w:rPr>
        <w:t>Figure 10.1</w:t>
      </w:r>
      <w:r>
        <w:rPr>
          <w:noProof/>
          <w:lang w:eastAsia="en-NZ"/>
        </w:rPr>
        <w:t>:</w:t>
      </w:r>
      <w:r>
        <w:rPr>
          <w:noProof/>
          <w:lang w:eastAsia="en-NZ"/>
        </w:rPr>
        <w:tab/>
        <w:t>Percentage of abortions where contraception was not used at the time of conception by age group, 2020</w:t>
      </w:r>
      <w:r>
        <w:rPr>
          <w:noProof/>
        </w:rPr>
        <w:tab/>
      </w:r>
      <w:r>
        <w:rPr>
          <w:noProof/>
        </w:rPr>
        <w:fldChar w:fldCharType="begin"/>
      </w:r>
      <w:r>
        <w:rPr>
          <w:noProof/>
        </w:rPr>
        <w:instrText xml:space="preserve"> PAGEREF _Toc84419940 \h </w:instrText>
      </w:r>
      <w:r>
        <w:rPr>
          <w:noProof/>
        </w:rPr>
      </w:r>
      <w:r>
        <w:rPr>
          <w:noProof/>
        </w:rPr>
        <w:fldChar w:fldCharType="separate"/>
      </w:r>
      <w:r w:rsidR="0090485D">
        <w:rPr>
          <w:noProof/>
        </w:rPr>
        <w:t>25</w:t>
      </w:r>
      <w:r>
        <w:rPr>
          <w:noProof/>
        </w:rPr>
        <w:fldChar w:fldCharType="end"/>
      </w:r>
    </w:p>
    <w:p w14:paraId="68018E87" w14:textId="56BFBBE3" w:rsidR="001D3E4E" w:rsidRDefault="0033448B" w:rsidP="001C1DD1">
      <w:pPr>
        <w:ind w:right="-1"/>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r>
        <w:fldChar w:fldCharType="end"/>
      </w:r>
    </w:p>
    <w:p w14:paraId="1EC5C3B0" w14:textId="77777777" w:rsidR="008C2973" w:rsidRDefault="002B7BEC" w:rsidP="00F54E74">
      <w:pPr>
        <w:pStyle w:val="Heading1"/>
      </w:pPr>
      <w:bookmarkStart w:id="2" w:name="_Toc84582296"/>
      <w:r>
        <w:lastRenderedPageBreak/>
        <w:t>Introduction</w:t>
      </w:r>
      <w:bookmarkEnd w:id="2"/>
    </w:p>
    <w:p w14:paraId="23F0E6F8" w14:textId="77777777" w:rsidR="00AD2DF9" w:rsidRPr="00705F47" w:rsidRDefault="00AD2DF9" w:rsidP="00AD2DF9">
      <w:pPr>
        <w:pStyle w:val="Introductoryparagraph"/>
      </w:pPr>
      <w:r w:rsidRPr="00705F47">
        <w:t>On 24 March 2020, responsibility for abortion services in Aotearoa moved from the Abortion Supervisory Committee to Manatū Hauora (Ministry</w:t>
      </w:r>
      <w:r w:rsidR="00A32EF4">
        <w:t> </w:t>
      </w:r>
      <w:r w:rsidRPr="00705F47">
        <w:t>of Health).</w:t>
      </w:r>
    </w:p>
    <w:p w14:paraId="6BD97C20" w14:textId="77777777" w:rsidR="00AD2DF9" w:rsidRPr="00705F47" w:rsidRDefault="00AD2DF9" w:rsidP="00AD2DF9">
      <w:pPr>
        <w:pStyle w:val="Introductoryparagraph"/>
      </w:pPr>
      <w:r w:rsidRPr="00705F47">
        <w:t>This report provides information on key legislative changes and the Ministry of Health</w:t>
      </w:r>
      <w:r w:rsidR="000E4CE5">
        <w:t>’</w:t>
      </w:r>
      <w:r w:rsidRPr="00705F47">
        <w:t>s work, along with data on abortion services provided in the 2020 calendar year.</w:t>
      </w:r>
    </w:p>
    <w:p w14:paraId="117BD522" w14:textId="77777777" w:rsidR="000E4CE5" w:rsidRDefault="00AD2DF9" w:rsidP="000E4CE5">
      <w:r w:rsidRPr="00705F47">
        <w:t>Before the passing of the Abortion Legislation Act 2020 in March last year, the Abortion Supervisory Committee (ASC) had oversight of abortion services, set standards of care and was responsible for annual reporting on abortion-related information. As part of the legislative changes, the ASC was disestablished on 24 March 2020 (ASC 2020).</w:t>
      </w:r>
    </w:p>
    <w:p w14:paraId="56AC366B" w14:textId="77777777" w:rsidR="000E4CE5" w:rsidRDefault="000E4CE5" w:rsidP="000E4CE5"/>
    <w:p w14:paraId="27B08223" w14:textId="77777777" w:rsidR="000E4CE5" w:rsidRDefault="00AD2DF9" w:rsidP="000E4CE5">
      <w:r w:rsidRPr="00705F47">
        <w:t>The Ministry of Health (the Ministry) is now responsible for publishing an annual report to inform the sector about the progress of its Abortion Services work programme. The Ministry is aware that annual reporting supports the sector with service planning and research activities.</w:t>
      </w:r>
    </w:p>
    <w:p w14:paraId="397D3555" w14:textId="77777777" w:rsidR="000E4CE5" w:rsidRDefault="000E4CE5" w:rsidP="000E4CE5"/>
    <w:p w14:paraId="1373D5B3" w14:textId="093E21CC" w:rsidR="00AD2DF9" w:rsidRDefault="00AD2DF9" w:rsidP="000E4CE5">
      <w:r w:rsidRPr="00705F47">
        <w:t>This 2021 annual report is similar in content to what the ASC reported in previous years. Future annual reports will have a greater focus on equity of abortion service provision, as further work is completed in this area. In addition, data collection for future reports will look different because new data information collection regulations applied from 24 September 2021. This report contains more information about those regulations.</w:t>
      </w:r>
    </w:p>
    <w:p w14:paraId="5DD9E302" w14:textId="77777777" w:rsidR="000E4CE5" w:rsidRPr="00705F47" w:rsidRDefault="000E4CE5" w:rsidP="000E4CE5"/>
    <w:p w14:paraId="0AE6994C" w14:textId="77777777" w:rsidR="00AD2DF9" w:rsidRPr="00705F47" w:rsidRDefault="00AD2DF9" w:rsidP="00026427">
      <w:pPr>
        <w:pStyle w:val="Heading2-notnumbered"/>
      </w:pPr>
      <w:bookmarkStart w:id="3" w:name="_Toc83037197"/>
      <w:bookmarkStart w:id="4" w:name="_Toc84582297"/>
      <w:r w:rsidRPr="00705F47">
        <w:t>The Ministry of Health</w:t>
      </w:r>
      <w:r w:rsidR="000E4CE5">
        <w:t>’</w:t>
      </w:r>
      <w:r w:rsidRPr="00705F47">
        <w:t>s values and our vision for abortion services</w:t>
      </w:r>
      <w:bookmarkEnd w:id="3"/>
      <w:bookmarkEnd w:id="4"/>
    </w:p>
    <w:p w14:paraId="4B93BCB8" w14:textId="77777777" w:rsidR="000E4CE5" w:rsidRDefault="00AD2DF9" w:rsidP="000E4CE5">
      <w:r w:rsidRPr="00705F47">
        <w:t>As kaitiaki of the health and disability system in Aotearoa New Zealand, the Ministry aims to create a fair, accessible, effective and sustainable system that people trust. The Ministry</w:t>
      </w:r>
      <w:r w:rsidR="000E4CE5">
        <w:t>’</w:t>
      </w:r>
      <w:r w:rsidRPr="00705F47">
        <w:t>s values help guide and inform how we deliver on our purpose as kaitiaki. They underpin how we work together with the health and disability sector and communities to achieve pae ora – healthy futures for all New Zealanders.</w:t>
      </w:r>
    </w:p>
    <w:p w14:paraId="7DBBBCF3" w14:textId="77777777" w:rsidR="000E4CE5" w:rsidRDefault="000E4CE5" w:rsidP="000E4CE5"/>
    <w:p w14:paraId="264CBBE0" w14:textId="77777777" w:rsidR="00AD2DF9" w:rsidRPr="00705F47" w:rsidRDefault="00AD2DF9" w:rsidP="000E4CE5">
      <w:pPr>
        <w:keepNext/>
      </w:pPr>
      <w:r w:rsidRPr="00705F47">
        <w:lastRenderedPageBreak/>
        <w:t>Our values are:</w:t>
      </w:r>
    </w:p>
    <w:p w14:paraId="68D0551E" w14:textId="77777777" w:rsidR="00AD2DF9" w:rsidRPr="00705F47" w:rsidRDefault="00AD2DF9" w:rsidP="000E4CE5">
      <w:pPr>
        <w:pStyle w:val="Bullet"/>
      </w:pPr>
      <w:r w:rsidRPr="000E4CE5">
        <w:rPr>
          <w:rFonts w:cs="Segoe UI"/>
          <w:b/>
          <w:color w:val="333333"/>
          <w:szCs w:val="22"/>
        </w:rPr>
        <w:t>manaakitanga</w:t>
      </w:r>
      <w:r w:rsidRPr="00705F47">
        <w:t xml:space="preserve"> – we show</w:t>
      </w:r>
      <w:r w:rsidR="000E4CE5">
        <w:t xml:space="preserve"> </w:t>
      </w:r>
      <w:r w:rsidRPr="00705F47">
        <w:t>care, inclusion, respect, support, trust and kindness to each other</w:t>
      </w:r>
    </w:p>
    <w:p w14:paraId="1B5E4A73" w14:textId="77777777" w:rsidR="00AD2DF9" w:rsidRPr="00705F47" w:rsidRDefault="00AD2DF9" w:rsidP="000E4CE5">
      <w:pPr>
        <w:pStyle w:val="Bullet"/>
      </w:pPr>
      <w:r w:rsidRPr="000E4CE5">
        <w:rPr>
          <w:rFonts w:cs="Segoe UI"/>
          <w:b/>
          <w:color w:val="333333"/>
          <w:szCs w:val="22"/>
        </w:rPr>
        <w:t>kaitiakitanga</w:t>
      </w:r>
      <w:r w:rsidRPr="00705F47">
        <w:t xml:space="preserve"> – we preserve and maintain an environment that enables the Ministry and our people to thrive</w:t>
      </w:r>
    </w:p>
    <w:p w14:paraId="0B5ADC7F" w14:textId="77777777" w:rsidR="00AD2DF9" w:rsidRPr="00705F47" w:rsidRDefault="00AD2DF9" w:rsidP="000E4CE5">
      <w:pPr>
        <w:pStyle w:val="Bullet"/>
      </w:pPr>
      <w:r w:rsidRPr="000E4CE5">
        <w:rPr>
          <w:rFonts w:cs="Segoe UI"/>
          <w:b/>
          <w:color w:val="333333"/>
          <w:szCs w:val="22"/>
        </w:rPr>
        <w:t>whakapono</w:t>
      </w:r>
      <w:r w:rsidRPr="00705F47">
        <w:t xml:space="preserve"> – we have trust and faith in each other to do the right thing</w:t>
      </w:r>
    </w:p>
    <w:p w14:paraId="37C9A8E3" w14:textId="77777777" w:rsidR="00AD2DF9" w:rsidRPr="00705F47" w:rsidRDefault="00AD2DF9" w:rsidP="000E4CE5">
      <w:pPr>
        <w:pStyle w:val="Bullet"/>
      </w:pPr>
      <w:r w:rsidRPr="000E4CE5">
        <w:rPr>
          <w:rFonts w:cs="Segoe UI"/>
          <w:b/>
          <w:color w:val="333333"/>
          <w:szCs w:val="22"/>
        </w:rPr>
        <w:t>kōkiri ngātahi</w:t>
      </w:r>
      <w:r w:rsidRPr="00705F47">
        <w:t xml:space="preserve"> – we connect and work together collectively towards a common purpose.</w:t>
      </w:r>
    </w:p>
    <w:p w14:paraId="4E60E182" w14:textId="77777777" w:rsidR="000E4CE5" w:rsidRDefault="000E4CE5" w:rsidP="000E4CE5"/>
    <w:p w14:paraId="75B81848" w14:textId="77777777" w:rsidR="00AD2DF9" w:rsidRPr="00705F47" w:rsidRDefault="00AD2DF9" w:rsidP="000E4CE5">
      <w:r w:rsidRPr="00705F47">
        <w:t>The Ministry Abortion Law Reform (ALR) team was stood up to support and implement immediate changes required as part of the Abortion Legislation Act 2020 during the legislative transition period, as well as to scope up further work required. In October 2020, the Abortion Services team was established to implement the Abortion Services work programme. This work programme aims to achieve the Ministry</w:t>
      </w:r>
      <w:r w:rsidR="000E4CE5">
        <w:t>’</w:t>
      </w:r>
      <w:r w:rsidRPr="00705F47">
        <w:t>s vision of accessible, equitable and high-quality abortion services. This report gives further details of the Ministry Abortion Services work programme.</w:t>
      </w:r>
    </w:p>
    <w:p w14:paraId="32887D1D" w14:textId="77777777" w:rsidR="00AD2DF9" w:rsidRPr="00705F47" w:rsidRDefault="00AD2DF9" w:rsidP="000E4CE5"/>
    <w:p w14:paraId="39349E39" w14:textId="0C48DEAB" w:rsidR="00AD2DF9" w:rsidRDefault="00465F63" w:rsidP="00465F63">
      <w:pPr>
        <w:pStyle w:val="Figure"/>
        <w:rPr>
          <w:rFonts w:eastAsia="Lucida Sans Unicode"/>
        </w:rPr>
      </w:pPr>
      <w:bookmarkStart w:id="5" w:name="_Toc83037225"/>
      <w:bookmarkStart w:id="6" w:name="_Toc84419925"/>
      <w:r>
        <w:t>Figure </w:t>
      </w:r>
      <w:fldSimple w:instr=" SEQ Figure \* ARABIC ">
        <w:r w:rsidR="0090485D">
          <w:rPr>
            <w:noProof/>
          </w:rPr>
          <w:t>1</w:t>
        </w:r>
      </w:fldSimple>
      <w:r w:rsidR="00AD2DF9" w:rsidRPr="00705F47">
        <w:rPr>
          <w:rFonts w:eastAsia="Lucida Sans Unicode"/>
        </w:rPr>
        <w:t>: Key legislative and Ministry milestones, 24 March 2020 to 24</w:t>
      </w:r>
      <w:r w:rsidR="00E82C4D">
        <w:rPr>
          <w:rFonts w:eastAsia="Lucida Sans Unicode"/>
        </w:rPr>
        <w:t> </w:t>
      </w:r>
      <w:r w:rsidR="00AD2DF9" w:rsidRPr="00705F47">
        <w:rPr>
          <w:rFonts w:eastAsia="Lucida Sans Unicode"/>
        </w:rPr>
        <w:t>September 2021</w:t>
      </w:r>
      <w:bookmarkEnd w:id="5"/>
      <w:bookmarkEnd w:id="6"/>
    </w:p>
    <w:p w14:paraId="32A6BEA2" w14:textId="77777777" w:rsidR="00AD2DF9" w:rsidRPr="00DF79FB" w:rsidRDefault="00A32EF4" w:rsidP="000E4CE5">
      <w:pPr>
        <w:rPr>
          <w:rFonts w:eastAsia="Lucida Sans Unicode"/>
        </w:rPr>
      </w:pPr>
      <w:r>
        <w:rPr>
          <w:rFonts w:eastAsia="Lucida Sans Unicode"/>
          <w:noProof/>
          <w:lang w:eastAsia="en-NZ"/>
        </w:rPr>
        <w:drawing>
          <wp:inline distT="0" distB="0" distL="0" distR="0" wp14:anchorId="6E60490D" wp14:editId="1F60D339">
            <wp:extent cx="5457825" cy="1214120"/>
            <wp:effectExtent l="0" t="0" r="9525" b="5080"/>
            <wp:docPr id="11" name="Picture 11" descr="Depiction of milestone from ALR team established and enacts changes to prepare for the reforms on 24 March 2020 to information collection regulations 24 Septembe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piction of milestone from ALR team established and enacts changes to prepare for the reforms on 24 March 2020 to information collection regulations 24 September 20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8124" cy="1216411"/>
                    </a:xfrm>
                    <a:prstGeom prst="rect">
                      <a:avLst/>
                    </a:prstGeom>
                    <a:noFill/>
                  </pic:spPr>
                </pic:pic>
              </a:graphicData>
            </a:graphic>
          </wp:inline>
        </w:drawing>
      </w:r>
    </w:p>
    <w:p w14:paraId="41EC2318" w14:textId="77777777" w:rsidR="00AD2DF9" w:rsidRPr="00705F47" w:rsidRDefault="00AD2DF9" w:rsidP="00A32EF4">
      <w:pPr>
        <w:pStyle w:val="Note"/>
        <w:rPr>
          <w:rFonts w:eastAsia="Lucida Sans Unicode"/>
        </w:rPr>
      </w:pPr>
      <w:r w:rsidRPr="00705F47">
        <w:rPr>
          <w:rFonts w:eastAsia="Lucida Sans Unicode"/>
        </w:rPr>
        <w:t>Note: ALR = Abortion Law Reform.</w:t>
      </w:r>
    </w:p>
    <w:p w14:paraId="1B0B2C2F" w14:textId="77777777" w:rsidR="00AD2DF9" w:rsidRPr="00705F47" w:rsidRDefault="00AD2DF9" w:rsidP="00A32EF4"/>
    <w:p w14:paraId="16AAC019" w14:textId="77777777" w:rsidR="00AD2DF9" w:rsidRPr="00A32EF4" w:rsidRDefault="00AD2DF9" w:rsidP="00A32EF4">
      <w:pPr>
        <w:pStyle w:val="Introductoryparagraph"/>
      </w:pPr>
      <w:r w:rsidRPr="00705F47">
        <w:t>The Ministry vision for abortion services: Accessible, equitable and high-quality abortion services</w:t>
      </w:r>
    </w:p>
    <w:p w14:paraId="2F983B53" w14:textId="77777777" w:rsidR="00AD2DF9" w:rsidRPr="00705F47" w:rsidRDefault="00AD2DF9" w:rsidP="00A32EF4">
      <w:r w:rsidRPr="00705F47">
        <w:t>Once we have implemented the Abortion Legislation Act changes, the health and disability system can expect to see:</w:t>
      </w:r>
    </w:p>
    <w:p w14:paraId="7E28BA7D" w14:textId="77777777" w:rsidR="000E4CE5" w:rsidRDefault="00AD2DF9" w:rsidP="00A32EF4">
      <w:pPr>
        <w:pStyle w:val="Bullet"/>
      </w:pPr>
      <w:r w:rsidRPr="00705F47">
        <w:t>local access to first-trimester abortion services for all regions of Aotearoa New Zealand</w:t>
      </w:r>
    </w:p>
    <w:p w14:paraId="7B87375B" w14:textId="77777777" w:rsidR="00AD2DF9" w:rsidRPr="00705F47" w:rsidRDefault="00AD2DF9" w:rsidP="00A32EF4">
      <w:pPr>
        <w:pStyle w:val="Bullet"/>
      </w:pPr>
      <w:r w:rsidRPr="00705F47">
        <w:t>improved abortion service choice and access. Those considering abortion</w:t>
      </w:r>
      <w:r w:rsidRPr="00705F47" w:rsidDel="00512ED9">
        <w:t xml:space="preserve"> </w:t>
      </w:r>
      <w:r w:rsidRPr="00705F47">
        <w:t>experience greater choice and timely access to services, with barriers and delays removed</w:t>
      </w:r>
    </w:p>
    <w:p w14:paraId="0D639845" w14:textId="77777777" w:rsidR="00AD2DF9" w:rsidRPr="00705F47" w:rsidRDefault="00AD2DF9" w:rsidP="00A32EF4">
      <w:pPr>
        <w:pStyle w:val="Bullet"/>
      </w:pPr>
      <w:r w:rsidRPr="00705F47">
        <w:t>equitable services that are more patient centred and focused more strongly on the requirements of rangatahi</w:t>
      </w:r>
      <w:r>
        <w:t>,</w:t>
      </w:r>
      <w:r w:rsidRPr="00705F47">
        <w:t xml:space="preserve"> Māori, Pacific peoples and disabled people considering abortion</w:t>
      </w:r>
    </w:p>
    <w:p w14:paraId="40D54C6F" w14:textId="77777777" w:rsidR="00AD2DF9" w:rsidRDefault="00AD2DF9" w:rsidP="00A32EF4">
      <w:pPr>
        <w:pStyle w:val="Bullet"/>
      </w:pPr>
      <w:r w:rsidRPr="00705F47">
        <w:t>a well-supported abortion workforce that has clear clinical guidance and training as a framework for patient-centred and equitable service provision.</w:t>
      </w:r>
    </w:p>
    <w:p w14:paraId="51E20F19" w14:textId="77777777" w:rsidR="00A32EF4" w:rsidRPr="00705F47" w:rsidRDefault="00A32EF4" w:rsidP="00A32EF4"/>
    <w:p w14:paraId="686A0493" w14:textId="77777777" w:rsidR="00AD2DF9" w:rsidRPr="00705F47" w:rsidRDefault="00AD2DF9" w:rsidP="00026427">
      <w:pPr>
        <w:pStyle w:val="Heading2-notnumbered"/>
      </w:pPr>
      <w:bookmarkStart w:id="7" w:name="_Toc2753220"/>
      <w:bookmarkStart w:id="8" w:name="_Toc83037198"/>
      <w:bookmarkStart w:id="9" w:name="_Toc84582298"/>
      <w:r w:rsidRPr="00705F47">
        <w:lastRenderedPageBreak/>
        <w:t>The Abortion Legislation Act changes to service provision</w:t>
      </w:r>
      <w:bookmarkEnd w:id="7"/>
      <w:bookmarkEnd w:id="8"/>
      <w:bookmarkEnd w:id="9"/>
    </w:p>
    <w:p w14:paraId="463E7B15" w14:textId="77777777" w:rsidR="000E4CE5" w:rsidRDefault="00AD2DF9" w:rsidP="00A32EF4">
      <w:pPr>
        <w:rPr>
          <w:rFonts w:eastAsia="Segoe UI"/>
        </w:rPr>
      </w:pPr>
      <w:bookmarkStart w:id="10" w:name="_bookmark10"/>
      <w:bookmarkEnd w:id="10"/>
      <w:r w:rsidRPr="00705F47">
        <w:rPr>
          <w:rFonts w:eastAsia="Segoe UI"/>
        </w:rPr>
        <w:t>The Abortion Legislation Act 2020 came into effect on 24 March 2020. This law change was the outcome of a long reform process that began in February 2018 with the Law Commission</w:t>
      </w:r>
      <w:r w:rsidR="000E4CE5">
        <w:rPr>
          <w:rFonts w:eastAsia="Segoe UI"/>
        </w:rPr>
        <w:t>’</w:t>
      </w:r>
      <w:r w:rsidRPr="00705F47">
        <w:rPr>
          <w:rFonts w:eastAsia="Segoe UI"/>
        </w:rPr>
        <w:t xml:space="preserve">s review of abortion laws. The Law Commission published its briefing paper, </w:t>
      </w:r>
      <w:hyperlink r:id="rId20" w:history="1">
        <w:r w:rsidRPr="00705F47">
          <w:rPr>
            <w:rStyle w:val="Hyperlink"/>
            <w:rFonts w:eastAsia="Segoe UI"/>
            <w:i/>
            <w:iCs/>
          </w:rPr>
          <w:t>Alternative approaches to abortion law</w:t>
        </w:r>
      </w:hyperlink>
      <w:r w:rsidRPr="00705F47">
        <w:rPr>
          <w:rFonts w:eastAsia="Segoe UI"/>
        </w:rPr>
        <w:t>, on 26 October 2018.</w:t>
      </w:r>
    </w:p>
    <w:p w14:paraId="66049BE2" w14:textId="77777777" w:rsidR="00A32EF4" w:rsidRDefault="00A32EF4" w:rsidP="00A32EF4">
      <w:pPr>
        <w:rPr>
          <w:rFonts w:eastAsia="Segoe UI"/>
        </w:rPr>
      </w:pPr>
    </w:p>
    <w:p w14:paraId="59DD2356" w14:textId="77777777" w:rsidR="00AD2DF9" w:rsidRPr="00705F47" w:rsidRDefault="00AD2DF9" w:rsidP="00A32EF4">
      <w:pPr>
        <w:rPr>
          <w:rFonts w:eastAsia="Segoe UI"/>
        </w:rPr>
      </w:pPr>
      <w:r w:rsidRPr="00705F47">
        <w:rPr>
          <w:rFonts w:eastAsia="Segoe UI"/>
        </w:rPr>
        <w:t>The Abortion Legislation Bill was a Government Bill in the name of Hon Andrew Little, Minister of Justice. The writing of the Bill was informed by the Law Commission</w:t>
      </w:r>
      <w:r w:rsidR="000E4CE5">
        <w:rPr>
          <w:rFonts w:eastAsia="Segoe UI"/>
        </w:rPr>
        <w:t>’</w:t>
      </w:r>
      <w:r w:rsidRPr="00705F47">
        <w:rPr>
          <w:rFonts w:eastAsia="Segoe UI"/>
        </w:rPr>
        <w:t>s briefing paper. The Bill was introduced to Parliament on 5 August 2019 and had its first reading on 8 August 2019.</w:t>
      </w:r>
    </w:p>
    <w:p w14:paraId="13A18C36" w14:textId="77777777" w:rsidR="00A32EF4" w:rsidRDefault="00A32EF4" w:rsidP="00A32EF4">
      <w:pPr>
        <w:rPr>
          <w:rFonts w:eastAsia="Segoe UI"/>
        </w:rPr>
      </w:pPr>
    </w:p>
    <w:p w14:paraId="378CB1A9" w14:textId="77777777" w:rsidR="000E4CE5" w:rsidRDefault="00AD2DF9" w:rsidP="00A32EF4">
      <w:pPr>
        <w:rPr>
          <w:rFonts w:eastAsia="Segoe UI"/>
        </w:rPr>
      </w:pPr>
      <w:r w:rsidRPr="00705F47">
        <w:rPr>
          <w:rFonts w:eastAsia="Segoe UI"/>
        </w:rPr>
        <w:t>After the Bill passed the first reading, a Select Committee was established for six months. During this time</w:t>
      </w:r>
      <w:r w:rsidRPr="00705F47">
        <w:t xml:space="preserve"> </w:t>
      </w:r>
      <w:r w:rsidRPr="00705F47">
        <w:rPr>
          <w:rFonts w:eastAsia="Segoe UI"/>
        </w:rPr>
        <w:t>the Committee received 25,781 written submissions from organisations and individuals. In addition, it held eight oral hearings, during which it heard from 138 submitters. The second reading of the Bill was on 3 March 2020, and the third reading was on 18 March 2020.</w:t>
      </w:r>
    </w:p>
    <w:p w14:paraId="2B886328" w14:textId="77777777" w:rsidR="00A32EF4" w:rsidRDefault="00A32EF4" w:rsidP="00A32EF4">
      <w:pPr>
        <w:rPr>
          <w:rFonts w:eastAsia="Segoe UI"/>
        </w:rPr>
      </w:pPr>
    </w:p>
    <w:p w14:paraId="2A50C94D" w14:textId="77777777" w:rsidR="00AD2DF9" w:rsidRPr="00705F47" w:rsidRDefault="00AD2DF9" w:rsidP="00A32EF4">
      <w:pPr>
        <w:rPr>
          <w:rFonts w:eastAsia="Segoe UI"/>
        </w:rPr>
      </w:pPr>
      <w:r w:rsidRPr="00705F47">
        <w:rPr>
          <w:rFonts w:eastAsia="Segoe UI"/>
        </w:rPr>
        <w:t>The Abortion Legislation Act 2020 primarily amended the Contraception, Sterilisation and Abortion Act 1977 and the Crimes Act 1961, as well as making minor amendments to several other Acts. The intention of the</w:t>
      </w:r>
      <w:r w:rsidRPr="00705F47">
        <w:t xml:space="preserve"> Abortion Legislation</w:t>
      </w:r>
      <w:r w:rsidRPr="00705F47">
        <w:rPr>
          <w:rFonts w:eastAsia="Segoe UI"/>
        </w:rPr>
        <w:t xml:space="preserve"> Act was to amend the law to decriminalise abortion, better align the regulation of abortion services with other health services and modernise the legal framework for abortion.</w:t>
      </w:r>
    </w:p>
    <w:p w14:paraId="78476BA8" w14:textId="77777777" w:rsidR="00A32EF4" w:rsidRDefault="00A32EF4" w:rsidP="00A32EF4">
      <w:pPr>
        <w:rPr>
          <w:rFonts w:eastAsia="Segoe UI"/>
        </w:rPr>
      </w:pPr>
    </w:p>
    <w:p w14:paraId="66FA0051" w14:textId="77777777" w:rsidR="00AD2DF9" w:rsidRPr="00705F47" w:rsidRDefault="00AD2DF9" w:rsidP="00A32EF4">
      <w:pPr>
        <w:rPr>
          <w:rFonts w:eastAsia="Segoe UI"/>
        </w:rPr>
      </w:pPr>
      <w:r w:rsidRPr="00705F47">
        <w:rPr>
          <w:rFonts w:eastAsia="Segoe UI"/>
        </w:rPr>
        <w:t>The key changes of the law reforms were:</w:t>
      </w:r>
    </w:p>
    <w:p w14:paraId="1FEB2009" w14:textId="77777777" w:rsidR="00AD2DF9" w:rsidRPr="00705F47" w:rsidRDefault="00AD2DF9" w:rsidP="00A32EF4">
      <w:pPr>
        <w:pStyle w:val="Bullet"/>
      </w:pPr>
      <w:r w:rsidRPr="00705F47">
        <w:rPr>
          <w:rFonts w:eastAsia="Segoe UI"/>
        </w:rPr>
        <w:t xml:space="preserve">decriminalising abortion when performed by health practitioners, </w:t>
      </w:r>
      <w:r w:rsidRPr="00705F47">
        <w:t>allowing a wider range of registered health practitioners to perform abortions, subject to their scope of practice (ie, medical, midwifery or nursing)</w:t>
      </w:r>
    </w:p>
    <w:p w14:paraId="1A38AF5F" w14:textId="77777777" w:rsidR="00AD2DF9" w:rsidRPr="00705F47" w:rsidRDefault="00AD2DF9" w:rsidP="00A32EF4">
      <w:pPr>
        <w:pStyle w:val="Bullet"/>
      </w:pPr>
      <w:r w:rsidRPr="00705F47">
        <w:t>allowing self-referral to an abortion service</w:t>
      </w:r>
    </w:p>
    <w:p w14:paraId="0BAC8889" w14:textId="77777777" w:rsidR="00AD2DF9" w:rsidRPr="00705F47" w:rsidRDefault="00AD2DF9" w:rsidP="00A32EF4">
      <w:pPr>
        <w:pStyle w:val="Bullet"/>
      </w:pPr>
      <w:r w:rsidRPr="00705F47">
        <w:t>removing the statutory criteria to access an abortion. A health practitioner may perform an abortion before 20 weeks gestation. After 20 weeks gestation, a health practitioner may only perform an abortion if they reasonably believe the abortion is clinically appropriate in the circumstances</w:t>
      </w:r>
    </w:p>
    <w:p w14:paraId="74FEAC02" w14:textId="77777777" w:rsidR="00AD2DF9" w:rsidRPr="00705F47" w:rsidRDefault="00AD2DF9" w:rsidP="00A32EF4">
      <w:pPr>
        <w:pStyle w:val="Bullet"/>
      </w:pPr>
      <w:r w:rsidRPr="00705F47">
        <w:t>removing the requirement for premises providing abortion services to be licensed. Abortions can now occur in a range of settings, including primary care</w:t>
      </w:r>
    </w:p>
    <w:p w14:paraId="6919CA6D" w14:textId="77777777" w:rsidR="00AD2DF9" w:rsidRPr="00705F47" w:rsidRDefault="00AD2DF9" w:rsidP="00A32EF4">
      <w:pPr>
        <w:pStyle w:val="Bullet"/>
      </w:pPr>
      <w:r w:rsidRPr="00705F47">
        <w:t>requiring counselling to be available to anyone considering abortion, without making counselling mandatory</w:t>
      </w:r>
    </w:p>
    <w:p w14:paraId="1D77A1A0" w14:textId="77777777" w:rsidR="00AD2DF9" w:rsidRDefault="00AD2DF9" w:rsidP="00A32EF4">
      <w:pPr>
        <w:pStyle w:val="Bullet"/>
      </w:pPr>
      <w:r w:rsidRPr="00705F47">
        <w:t>requiring health practitioners who conscientiously object to abortion provision to tell the person of their objection and how to access details of their closest abortion provider.</w:t>
      </w:r>
    </w:p>
    <w:p w14:paraId="11802B6E" w14:textId="77777777" w:rsidR="00A32EF4" w:rsidRPr="00A32EF4" w:rsidRDefault="00A32EF4" w:rsidP="00A32EF4"/>
    <w:p w14:paraId="7D0EC631" w14:textId="77777777" w:rsidR="00AD2DF9" w:rsidRPr="00705F47" w:rsidRDefault="00AD2DF9" w:rsidP="00026427">
      <w:pPr>
        <w:pStyle w:val="Heading2-notnumbered"/>
      </w:pPr>
      <w:bookmarkStart w:id="11" w:name="_bookmark14"/>
      <w:bookmarkStart w:id="12" w:name="_bookmark18"/>
      <w:bookmarkStart w:id="13" w:name="_bookmark19"/>
      <w:bookmarkStart w:id="14" w:name="_Toc83037199"/>
      <w:bookmarkStart w:id="15" w:name="_Toc84582299"/>
      <w:bookmarkEnd w:id="11"/>
      <w:bookmarkEnd w:id="12"/>
      <w:bookmarkEnd w:id="13"/>
      <w:r w:rsidRPr="00705F47">
        <w:lastRenderedPageBreak/>
        <w:t>Ministry of Health Abortion Services work programme</w:t>
      </w:r>
      <w:bookmarkEnd w:id="14"/>
      <w:bookmarkEnd w:id="15"/>
    </w:p>
    <w:p w14:paraId="3AD63E96" w14:textId="77777777" w:rsidR="00AD2DF9" w:rsidRPr="00705F47" w:rsidRDefault="00AD2DF9" w:rsidP="00A32EF4">
      <w:r w:rsidRPr="00705F47">
        <w:t>The Ministry</w:t>
      </w:r>
      <w:r w:rsidR="000E4CE5">
        <w:t>’</w:t>
      </w:r>
      <w:r w:rsidRPr="00705F47">
        <w:t>s Abortion Services work programme has several workstreams, which aim to improve equity, access and choice for people seeking abortion services in Aotearoa. These workstreams are:</w:t>
      </w:r>
    </w:p>
    <w:p w14:paraId="482BD2D7" w14:textId="77777777" w:rsidR="00AD2DF9" w:rsidRPr="00705F47" w:rsidRDefault="00AD2DF9" w:rsidP="00A32EF4">
      <w:pPr>
        <w:pStyle w:val="Bullet"/>
      </w:pPr>
      <w:r w:rsidRPr="00705F47">
        <w:t>stakeholder engagement and communication</w:t>
      </w:r>
    </w:p>
    <w:p w14:paraId="54444D7B" w14:textId="77777777" w:rsidR="00AD2DF9" w:rsidRPr="00705F47" w:rsidRDefault="00AD2DF9" w:rsidP="00A32EF4">
      <w:pPr>
        <w:pStyle w:val="Bullet"/>
      </w:pPr>
      <w:r w:rsidRPr="00705F47">
        <w:t>standards, regulations, clinical guideline, policy and research</w:t>
      </w:r>
    </w:p>
    <w:p w14:paraId="5B5D5D8B" w14:textId="77777777" w:rsidR="00AD2DF9" w:rsidRPr="00705F47" w:rsidRDefault="00AD2DF9" w:rsidP="00A32EF4">
      <w:pPr>
        <w:pStyle w:val="Bullet"/>
      </w:pPr>
      <w:r w:rsidRPr="00705F47">
        <w:t>availability of medicines and medical devices</w:t>
      </w:r>
    </w:p>
    <w:p w14:paraId="27DA92FC" w14:textId="77777777" w:rsidR="00AD2DF9" w:rsidRPr="00705F47" w:rsidRDefault="00AD2DF9" w:rsidP="00A32EF4">
      <w:pPr>
        <w:pStyle w:val="Bullet"/>
      </w:pPr>
      <w:r w:rsidRPr="00705F47">
        <w:t>service design and implementation (care pathways, models of care)</w:t>
      </w:r>
    </w:p>
    <w:p w14:paraId="0745A032" w14:textId="77777777" w:rsidR="00AD2DF9" w:rsidRPr="00705F47" w:rsidRDefault="00AD2DF9" w:rsidP="00A32EF4">
      <w:pPr>
        <w:pStyle w:val="Bullet"/>
      </w:pPr>
      <w:r w:rsidRPr="00705F47">
        <w:t>support for current workforce and enabling avenues for future workforce</w:t>
      </w:r>
    </w:p>
    <w:p w14:paraId="151F5F0E" w14:textId="77777777" w:rsidR="00AD2DF9" w:rsidRPr="00705F47" w:rsidRDefault="00AD2DF9" w:rsidP="00A32EF4">
      <w:pPr>
        <w:pStyle w:val="Bullet"/>
      </w:pPr>
      <w:r w:rsidRPr="00705F47">
        <w:t>consumer information</w:t>
      </w:r>
    </w:p>
    <w:p w14:paraId="6F8E5B19" w14:textId="77777777" w:rsidR="00AD2DF9" w:rsidRPr="00705F47" w:rsidRDefault="00AD2DF9" w:rsidP="00A32EF4">
      <w:pPr>
        <w:pStyle w:val="Bullet"/>
      </w:pPr>
      <w:r w:rsidRPr="00705F47">
        <w:t>data collection and reporting</w:t>
      </w:r>
    </w:p>
    <w:p w14:paraId="4349C511" w14:textId="77777777" w:rsidR="00AD2DF9" w:rsidRPr="00705F47" w:rsidRDefault="00AD2DF9" w:rsidP="00A32EF4">
      <w:pPr>
        <w:pStyle w:val="Bullet"/>
      </w:pPr>
      <w:r w:rsidRPr="00705F47">
        <w:t>funding and accountability</w:t>
      </w:r>
    </w:p>
    <w:p w14:paraId="001A081A" w14:textId="77777777" w:rsidR="00AD2DF9" w:rsidRPr="00705F47" w:rsidRDefault="00AD2DF9" w:rsidP="00A32EF4">
      <w:pPr>
        <w:pStyle w:val="Bullet"/>
      </w:pPr>
      <w:r w:rsidRPr="00705F47">
        <w:t>law and ethics.</w:t>
      </w:r>
    </w:p>
    <w:p w14:paraId="01B588A5" w14:textId="77777777" w:rsidR="00A32EF4" w:rsidRDefault="00A32EF4" w:rsidP="00A32EF4"/>
    <w:p w14:paraId="2C47C217" w14:textId="0BF3948F" w:rsidR="00AD2DF9" w:rsidRDefault="00A32EF4" w:rsidP="00A32EF4">
      <w:r>
        <w:fldChar w:fldCharType="begin"/>
      </w:r>
      <w:r>
        <w:instrText xml:space="preserve"> REF _Ref83364733 \h </w:instrText>
      </w:r>
      <w:r>
        <w:fldChar w:fldCharType="separate"/>
      </w:r>
      <w:r w:rsidR="0090485D">
        <w:t>Figure </w:t>
      </w:r>
      <w:r w:rsidR="0090485D">
        <w:rPr>
          <w:noProof/>
        </w:rPr>
        <w:t>2</w:t>
      </w:r>
      <w:r>
        <w:fldChar w:fldCharType="end"/>
      </w:r>
      <w:r w:rsidR="00AD2DF9" w:rsidRPr="00705F47">
        <w:t xml:space="preserve"> outlines key milestones for the Ministry ALR and Abortion Services teams and related legislative changes. Later sections expand on some of these.</w:t>
      </w:r>
    </w:p>
    <w:p w14:paraId="57EDAB48" w14:textId="77777777" w:rsidR="00A32EF4" w:rsidRPr="00705F47" w:rsidRDefault="00A32EF4" w:rsidP="00A32EF4"/>
    <w:p w14:paraId="53D0D949" w14:textId="7D096B6B" w:rsidR="00AD2DF9" w:rsidRDefault="00A32EF4" w:rsidP="00A32EF4">
      <w:pPr>
        <w:pStyle w:val="Figure"/>
        <w:rPr>
          <w:rFonts w:eastAsia="Lucida Sans Unicode"/>
        </w:rPr>
      </w:pPr>
      <w:bookmarkStart w:id="16" w:name="_Ref83364733"/>
      <w:bookmarkStart w:id="17" w:name="_Toc83037226"/>
      <w:bookmarkStart w:id="18" w:name="_Toc84419926"/>
      <w:r>
        <w:t>Figure </w:t>
      </w:r>
      <w:r w:rsidR="009E3B78">
        <w:fldChar w:fldCharType="begin"/>
      </w:r>
      <w:r w:rsidR="009E3B78">
        <w:instrText xml:space="preserve"> SEQ Figure \* ARABIC \s 2 </w:instrText>
      </w:r>
      <w:r w:rsidR="009E3B78">
        <w:fldChar w:fldCharType="separate"/>
      </w:r>
      <w:r w:rsidR="0090485D">
        <w:rPr>
          <w:noProof/>
        </w:rPr>
        <w:t>2</w:t>
      </w:r>
      <w:r w:rsidR="009E3B78">
        <w:rPr>
          <w:noProof/>
        </w:rPr>
        <w:fldChar w:fldCharType="end"/>
      </w:r>
      <w:bookmarkEnd w:id="16"/>
      <w:r w:rsidR="00AD2DF9" w:rsidRPr="00705F47">
        <w:rPr>
          <w:rFonts w:eastAsia="Lucida Sans Unicode"/>
        </w:rPr>
        <w:t>: Key milestones</w:t>
      </w:r>
      <w:r w:rsidR="00AD2DF9" w:rsidRPr="00705F47">
        <w:t xml:space="preserve"> for Ministry ALR and Abortion Services teams,</w:t>
      </w:r>
      <w:r w:rsidR="00AD2DF9" w:rsidRPr="00705F47">
        <w:rPr>
          <w:rFonts w:eastAsia="Lucida Sans Unicode"/>
        </w:rPr>
        <w:t xml:space="preserve"> 24 March 2020 to 24</w:t>
      </w:r>
      <w:r w:rsidR="00E82C4D">
        <w:rPr>
          <w:rFonts w:eastAsia="Lucida Sans Unicode"/>
        </w:rPr>
        <w:t> </w:t>
      </w:r>
      <w:r w:rsidR="00AD2DF9" w:rsidRPr="00705F47">
        <w:rPr>
          <w:rFonts w:eastAsia="Lucida Sans Unicode"/>
        </w:rPr>
        <w:t>September 2021</w:t>
      </w:r>
      <w:bookmarkEnd w:id="17"/>
      <w:bookmarkEnd w:id="18"/>
    </w:p>
    <w:tbl>
      <w:tblPr>
        <w:tblStyle w:val="TableGrid"/>
        <w:tblW w:w="8364" w:type="dxa"/>
        <w:tblInd w:w="57" w:type="dxa"/>
        <w:tblLayout w:type="fixed"/>
        <w:tblCellMar>
          <w:left w:w="57" w:type="dxa"/>
          <w:right w:w="57" w:type="dxa"/>
        </w:tblCellMar>
        <w:tblLook w:val="04A0" w:firstRow="1" w:lastRow="0" w:firstColumn="1" w:lastColumn="0" w:noHBand="0" w:noVBand="1"/>
      </w:tblPr>
      <w:tblGrid>
        <w:gridCol w:w="2694"/>
        <w:gridCol w:w="141"/>
        <w:gridCol w:w="2694"/>
        <w:gridCol w:w="142"/>
        <w:gridCol w:w="2693"/>
      </w:tblGrid>
      <w:tr w:rsidR="00A32EF4" w:rsidRPr="00A32EF4" w14:paraId="28F0B28E" w14:textId="77777777" w:rsidTr="00E271FE">
        <w:trPr>
          <w:cantSplit/>
        </w:trPr>
        <w:tc>
          <w:tcPr>
            <w:tcW w:w="2694"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0E2CABE0" w14:textId="77777777" w:rsidR="00A32EF4" w:rsidRPr="00A32EF4" w:rsidRDefault="00A32EF4" w:rsidP="00A32EF4">
            <w:pPr>
              <w:pStyle w:val="TableText"/>
              <w:rPr>
                <w:rFonts w:eastAsia="Lucida Sans Unicode"/>
                <w:b/>
                <w:sz w:val="16"/>
                <w:szCs w:val="16"/>
              </w:rPr>
            </w:pPr>
            <w:r w:rsidRPr="00A32EF4">
              <w:rPr>
                <w:rFonts w:eastAsia="Lucida Sans Unicode"/>
                <w:b/>
                <w:sz w:val="16"/>
                <w:szCs w:val="16"/>
              </w:rPr>
              <w:t>24 March to 30 September 2020</w:t>
            </w:r>
          </w:p>
        </w:tc>
        <w:tc>
          <w:tcPr>
            <w:tcW w:w="141" w:type="dxa"/>
            <w:tcBorders>
              <w:top w:val="nil"/>
              <w:left w:val="single" w:sz="4" w:space="0" w:color="A6A6A6" w:themeColor="background1" w:themeShade="A6"/>
              <w:bottom w:val="nil"/>
              <w:right w:val="single" w:sz="4" w:space="0" w:color="A6A6A6" w:themeColor="background1" w:themeShade="A6"/>
            </w:tcBorders>
          </w:tcPr>
          <w:p w14:paraId="62CA687F" w14:textId="77777777" w:rsidR="00A32EF4" w:rsidRPr="00A32EF4" w:rsidRDefault="00A32EF4" w:rsidP="00A32EF4">
            <w:pPr>
              <w:pStyle w:val="TableText"/>
              <w:rPr>
                <w:rFonts w:eastAsia="Lucida Sans Unicode"/>
                <w:b/>
                <w:sz w:val="16"/>
                <w:szCs w:val="16"/>
              </w:rPr>
            </w:pPr>
          </w:p>
        </w:tc>
        <w:tc>
          <w:tcPr>
            <w:tcW w:w="2694"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0A17ABDA" w14:textId="77777777" w:rsidR="00A32EF4" w:rsidRPr="00A32EF4" w:rsidRDefault="00A32EF4" w:rsidP="00A32EF4">
            <w:pPr>
              <w:pStyle w:val="TableText"/>
              <w:rPr>
                <w:rFonts w:eastAsia="Lucida Sans Unicode"/>
                <w:b/>
                <w:sz w:val="16"/>
                <w:szCs w:val="16"/>
              </w:rPr>
            </w:pPr>
            <w:r w:rsidRPr="00A32EF4">
              <w:rPr>
                <w:rFonts w:eastAsia="Lucida Sans Unicode"/>
                <w:b/>
                <w:sz w:val="16"/>
                <w:szCs w:val="16"/>
              </w:rPr>
              <w:t>1 October to 31 March 2021</w:t>
            </w:r>
          </w:p>
        </w:tc>
        <w:tc>
          <w:tcPr>
            <w:tcW w:w="142" w:type="dxa"/>
            <w:tcBorders>
              <w:top w:val="nil"/>
              <w:left w:val="single" w:sz="4" w:space="0" w:color="A6A6A6" w:themeColor="background1" w:themeShade="A6"/>
              <w:bottom w:val="nil"/>
              <w:right w:val="single" w:sz="4" w:space="0" w:color="A6A6A6" w:themeColor="background1" w:themeShade="A6"/>
            </w:tcBorders>
          </w:tcPr>
          <w:p w14:paraId="49288A42" w14:textId="77777777" w:rsidR="00A32EF4" w:rsidRPr="00A32EF4" w:rsidRDefault="00A32EF4" w:rsidP="00A32EF4">
            <w:pPr>
              <w:pStyle w:val="TableText"/>
              <w:rPr>
                <w:rFonts w:eastAsia="Lucida Sans Unicode"/>
                <w:b/>
                <w:sz w:val="16"/>
                <w:szCs w:val="16"/>
              </w:rPr>
            </w:pPr>
          </w:p>
        </w:tc>
        <w:tc>
          <w:tcPr>
            <w:tcW w:w="269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334CEB6E" w14:textId="77777777" w:rsidR="00A32EF4" w:rsidRPr="00A32EF4" w:rsidRDefault="00A32EF4" w:rsidP="00A32EF4">
            <w:pPr>
              <w:pStyle w:val="TableText"/>
              <w:rPr>
                <w:rFonts w:eastAsia="Lucida Sans Unicode"/>
                <w:b/>
                <w:sz w:val="16"/>
                <w:szCs w:val="16"/>
              </w:rPr>
            </w:pPr>
            <w:r w:rsidRPr="00A32EF4">
              <w:rPr>
                <w:rFonts w:eastAsia="Lucida Sans Unicode"/>
                <w:b/>
                <w:sz w:val="16"/>
                <w:szCs w:val="16"/>
              </w:rPr>
              <w:t>1 April to 24 September 2021</w:t>
            </w:r>
          </w:p>
        </w:tc>
      </w:tr>
      <w:tr w:rsidR="00A32EF4" w:rsidRPr="00A32EF4" w14:paraId="748E0EE4" w14:textId="77777777" w:rsidTr="00E271FE">
        <w:trPr>
          <w:cantSplit/>
        </w:trPr>
        <w:tc>
          <w:tcPr>
            <w:tcW w:w="2694"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4FEB206" w14:textId="77777777" w:rsidR="00A32EF4" w:rsidRDefault="00A32EF4" w:rsidP="00CD2CBA">
            <w:pPr>
              <w:pStyle w:val="TableBullet"/>
              <w:spacing w:after="30" w:line="228" w:lineRule="auto"/>
              <w:ind w:left="170" w:hanging="170"/>
              <w:rPr>
                <w:rFonts w:eastAsia="Lucida Sans Unicode"/>
                <w:sz w:val="16"/>
                <w:szCs w:val="16"/>
              </w:rPr>
            </w:pPr>
            <w:r w:rsidRPr="00A32EF4">
              <w:rPr>
                <w:rFonts w:eastAsia="Lucida Sans Unicode"/>
                <w:sz w:val="16"/>
                <w:szCs w:val="16"/>
              </w:rPr>
              <w:t>Established Ministry communication</w:t>
            </w:r>
            <w:r>
              <w:rPr>
                <w:rFonts w:eastAsia="Lucida Sans Unicode"/>
                <w:sz w:val="16"/>
                <w:szCs w:val="16"/>
              </w:rPr>
              <w:t xml:space="preserve"> channels (ALR mailbox, abortion services webpages and 0800 number) used to provide information on the Act to the public and health sector</w:t>
            </w:r>
          </w:p>
          <w:p w14:paraId="2A00721D" w14:textId="77777777" w:rsidR="00A32EF4" w:rsidRDefault="00A32EF4" w:rsidP="00CD2CBA">
            <w:pPr>
              <w:pStyle w:val="TableBullet"/>
              <w:spacing w:before="30" w:after="30" w:line="228" w:lineRule="auto"/>
              <w:ind w:left="170" w:hanging="170"/>
              <w:rPr>
                <w:rFonts w:eastAsia="Lucida Sans Unicode"/>
                <w:sz w:val="16"/>
                <w:szCs w:val="16"/>
              </w:rPr>
            </w:pPr>
            <w:r>
              <w:rPr>
                <w:rFonts w:eastAsia="Lucida Sans Unicode"/>
                <w:sz w:val="16"/>
                <w:szCs w:val="16"/>
              </w:rPr>
              <w:t>Established a sector working group for the heal</w:t>
            </w:r>
            <w:r w:rsidR="00CD2CBA">
              <w:rPr>
                <w:rFonts w:eastAsia="Lucida Sans Unicode"/>
                <w:sz w:val="16"/>
                <w:szCs w:val="16"/>
              </w:rPr>
              <w:t>t</w:t>
            </w:r>
            <w:r>
              <w:rPr>
                <w:rFonts w:eastAsia="Lucida Sans Unicode"/>
                <w:sz w:val="16"/>
                <w:szCs w:val="16"/>
              </w:rPr>
              <w:t>h and disability standard review</w:t>
            </w:r>
          </w:p>
          <w:p w14:paraId="6E268585" w14:textId="77777777" w:rsidR="00CD2CBA" w:rsidRDefault="00CD2CBA" w:rsidP="00CD2CBA">
            <w:pPr>
              <w:pStyle w:val="TableBullet"/>
              <w:spacing w:before="30" w:after="30" w:line="228" w:lineRule="auto"/>
              <w:ind w:left="170" w:hanging="170"/>
              <w:rPr>
                <w:rFonts w:eastAsia="Lucida Sans Unicode"/>
                <w:sz w:val="16"/>
                <w:szCs w:val="16"/>
              </w:rPr>
            </w:pPr>
            <w:r>
              <w:rPr>
                <w:rFonts w:eastAsia="Lucida Sans Unicode"/>
                <w:sz w:val="16"/>
                <w:szCs w:val="16"/>
              </w:rPr>
              <w:t>Engaged with Pharmac on process to increase funding for abortion medicines</w:t>
            </w:r>
          </w:p>
          <w:p w14:paraId="56DD27FD" w14:textId="77777777" w:rsidR="00CD2CBA" w:rsidRDefault="00CD2CBA" w:rsidP="00CD2CBA">
            <w:pPr>
              <w:pStyle w:val="TableBullet"/>
              <w:spacing w:before="30" w:after="30" w:line="228" w:lineRule="auto"/>
              <w:ind w:left="170" w:hanging="170"/>
              <w:rPr>
                <w:rFonts w:eastAsia="Lucida Sans Unicode"/>
                <w:sz w:val="16"/>
                <w:szCs w:val="16"/>
              </w:rPr>
            </w:pPr>
            <w:r>
              <w:rPr>
                <w:rFonts w:eastAsia="Lucida Sans Unicode"/>
                <w:sz w:val="16"/>
                <w:szCs w:val="16"/>
              </w:rPr>
              <w:t>Designed the organisation structure for the Ministry Abortion Services team</w:t>
            </w:r>
          </w:p>
          <w:p w14:paraId="7D540BAB" w14:textId="77777777" w:rsidR="00CD2CBA" w:rsidRPr="00A32EF4" w:rsidRDefault="00CD2CBA" w:rsidP="00CD2CBA">
            <w:pPr>
              <w:pStyle w:val="TableBullet"/>
              <w:spacing w:before="30" w:line="228" w:lineRule="auto"/>
              <w:ind w:left="170" w:hanging="170"/>
              <w:rPr>
                <w:rFonts w:eastAsia="Lucida Sans Unicode"/>
                <w:sz w:val="16"/>
                <w:szCs w:val="16"/>
              </w:rPr>
            </w:pPr>
            <w:r>
              <w:rPr>
                <w:rFonts w:eastAsia="Lucida Sans Unicode"/>
                <w:sz w:val="16"/>
                <w:szCs w:val="16"/>
              </w:rPr>
              <w:t>DHB service delivery survey questions sent to DHBs to better understand current state, desired future state, gaps, and opportunities</w:t>
            </w:r>
          </w:p>
        </w:tc>
        <w:tc>
          <w:tcPr>
            <w:tcW w:w="141" w:type="dxa"/>
            <w:tcBorders>
              <w:top w:val="nil"/>
              <w:left w:val="single" w:sz="4" w:space="0" w:color="A6A6A6" w:themeColor="background1" w:themeShade="A6"/>
              <w:bottom w:val="nil"/>
              <w:right w:val="single" w:sz="4" w:space="0" w:color="A6A6A6" w:themeColor="background1" w:themeShade="A6"/>
            </w:tcBorders>
          </w:tcPr>
          <w:p w14:paraId="1C509B81" w14:textId="77777777" w:rsidR="00A32EF4" w:rsidRPr="00A32EF4" w:rsidRDefault="00A32EF4" w:rsidP="00CD2CBA">
            <w:pPr>
              <w:pStyle w:val="TableText"/>
              <w:spacing w:before="30" w:after="30" w:line="228" w:lineRule="auto"/>
              <w:ind w:left="170" w:hanging="170"/>
              <w:rPr>
                <w:rFonts w:eastAsia="Lucida Sans Unicode"/>
                <w:sz w:val="16"/>
                <w:szCs w:val="16"/>
              </w:rPr>
            </w:pPr>
          </w:p>
        </w:tc>
        <w:tc>
          <w:tcPr>
            <w:tcW w:w="2694"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B6A6B6B" w14:textId="77777777" w:rsidR="00A32EF4" w:rsidRDefault="00A32EF4" w:rsidP="00CD2CBA">
            <w:pPr>
              <w:pStyle w:val="TableBullet"/>
              <w:spacing w:after="30" w:line="228" w:lineRule="auto"/>
              <w:ind w:left="170" w:hanging="170"/>
              <w:rPr>
                <w:rFonts w:eastAsia="Lucida Sans Unicode"/>
                <w:sz w:val="16"/>
                <w:szCs w:val="16"/>
              </w:rPr>
            </w:pPr>
            <w:r>
              <w:rPr>
                <w:rFonts w:eastAsia="Lucida Sans Unicode"/>
                <w:sz w:val="16"/>
                <w:szCs w:val="16"/>
              </w:rPr>
              <w:t>Abortion Services team established</w:t>
            </w:r>
          </w:p>
          <w:p w14:paraId="1CA7D39F" w14:textId="77777777" w:rsidR="00A32EF4" w:rsidRDefault="00A32EF4" w:rsidP="00CD2CBA">
            <w:pPr>
              <w:pStyle w:val="TableBullet"/>
              <w:spacing w:before="30" w:after="30" w:line="228" w:lineRule="auto"/>
              <w:ind w:left="170" w:hanging="170"/>
              <w:rPr>
                <w:rFonts w:eastAsia="Lucida Sans Unicode"/>
                <w:sz w:val="16"/>
                <w:szCs w:val="16"/>
              </w:rPr>
            </w:pPr>
            <w:r>
              <w:rPr>
                <w:rFonts w:eastAsia="Lucida Sans Unicode"/>
                <w:sz w:val="16"/>
                <w:szCs w:val="16"/>
              </w:rPr>
              <w:t>Abort</w:t>
            </w:r>
            <w:r w:rsidR="00CD2CBA">
              <w:rPr>
                <w:rFonts w:eastAsia="Lucida Sans Unicode"/>
                <w:sz w:val="16"/>
                <w:szCs w:val="16"/>
              </w:rPr>
              <w:t>i</w:t>
            </w:r>
            <w:r>
              <w:rPr>
                <w:rFonts w:eastAsia="Lucida Sans Unicode"/>
                <w:sz w:val="16"/>
                <w:szCs w:val="16"/>
              </w:rPr>
              <w:t>on Services work programme further developed</w:t>
            </w:r>
          </w:p>
          <w:p w14:paraId="6D6E35E1" w14:textId="77777777" w:rsidR="00A32EF4" w:rsidRDefault="00A32EF4" w:rsidP="00CD2CBA">
            <w:pPr>
              <w:pStyle w:val="TableBullet"/>
              <w:spacing w:before="30" w:after="30" w:line="228" w:lineRule="auto"/>
              <w:ind w:left="170" w:hanging="170"/>
              <w:rPr>
                <w:rFonts w:eastAsia="Lucida Sans Unicode"/>
                <w:sz w:val="16"/>
                <w:szCs w:val="16"/>
              </w:rPr>
            </w:pPr>
            <w:r>
              <w:rPr>
                <w:rFonts w:eastAsia="Lucida Sans Unicode"/>
                <w:sz w:val="16"/>
                <w:szCs w:val="16"/>
              </w:rPr>
              <w:t>Stakeholder engagement commenced</w:t>
            </w:r>
          </w:p>
          <w:p w14:paraId="3815DEA4" w14:textId="77777777" w:rsidR="00A32EF4" w:rsidRDefault="00A32EF4" w:rsidP="00CD2CBA">
            <w:pPr>
              <w:pStyle w:val="TableBullet"/>
              <w:spacing w:before="30" w:after="30" w:line="228" w:lineRule="auto"/>
              <w:ind w:left="170" w:hanging="170"/>
              <w:rPr>
                <w:rFonts w:eastAsia="Lucida Sans Unicode"/>
                <w:sz w:val="16"/>
                <w:szCs w:val="16"/>
              </w:rPr>
            </w:pPr>
            <w:r>
              <w:rPr>
                <w:rFonts w:eastAsia="Lucida Sans Unicode"/>
                <w:sz w:val="16"/>
                <w:szCs w:val="16"/>
              </w:rPr>
              <w:t>Procurement process for service improvement, innovation and training initiated</w:t>
            </w:r>
          </w:p>
          <w:p w14:paraId="3A0B149E" w14:textId="77777777" w:rsidR="00CD2CBA" w:rsidRDefault="00CD2CBA" w:rsidP="00CD2CBA">
            <w:pPr>
              <w:pStyle w:val="TableBullet"/>
              <w:spacing w:before="30" w:after="30" w:line="228" w:lineRule="auto"/>
              <w:ind w:left="170" w:hanging="170"/>
              <w:rPr>
                <w:rFonts w:eastAsia="Lucida Sans Unicode"/>
                <w:sz w:val="16"/>
                <w:szCs w:val="16"/>
              </w:rPr>
            </w:pPr>
            <w:r>
              <w:rPr>
                <w:rFonts w:eastAsia="Lucida Sans Unicode"/>
                <w:sz w:val="16"/>
                <w:szCs w:val="16"/>
              </w:rPr>
              <w:t>Business case for telehealth services completed</w:t>
            </w:r>
          </w:p>
          <w:p w14:paraId="5622BF79" w14:textId="77777777" w:rsidR="00CD2CBA" w:rsidRDefault="00CD2CBA" w:rsidP="00CD2CBA">
            <w:pPr>
              <w:pStyle w:val="TableBullet"/>
              <w:spacing w:before="30" w:after="30" w:line="228" w:lineRule="auto"/>
              <w:ind w:left="170" w:hanging="170"/>
              <w:rPr>
                <w:rFonts w:eastAsia="Lucida Sans Unicode"/>
                <w:sz w:val="16"/>
                <w:szCs w:val="16"/>
              </w:rPr>
            </w:pPr>
            <w:r>
              <w:rPr>
                <w:rFonts w:eastAsia="Lucida Sans Unicode"/>
                <w:sz w:val="16"/>
                <w:szCs w:val="16"/>
              </w:rPr>
              <w:t>Abortion services data collection requirements reviewed with stakeholders</w:t>
            </w:r>
          </w:p>
          <w:p w14:paraId="0E186924" w14:textId="77777777" w:rsidR="00CD2CBA" w:rsidRPr="00A32EF4" w:rsidRDefault="00CD2CBA" w:rsidP="00CD2CBA">
            <w:pPr>
              <w:pStyle w:val="TableBullet"/>
              <w:spacing w:before="30" w:after="30" w:line="228" w:lineRule="auto"/>
              <w:ind w:left="170" w:hanging="170"/>
              <w:rPr>
                <w:rFonts w:eastAsia="Lucida Sans Unicode"/>
                <w:sz w:val="16"/>
                <w:szCs w:val="16"/>
              </w:rPr>
            </w:pPr>
            <w:r>
              <w:rPr>
                <w:rFonts w:eastAsia="Lucida Sans Unicode"/>
                <w:sz w:val="16"/>
                <w:szCs w:val="16"/>
              </w:rPr>
              <w:t>Clinical guidelines working group established</w:t>
            </w:r>
          </w:p>
        </w:tc>
        <w:tc>
          <w:tcPr>
            <w:tcW w:w="142" w:type="dxa"/>
            <w:tcBorders>
              <w:top w:val="nil"/>
              <w:left w:val="single" w:sz="4" w:space="0" w:color="A6A6A6" w:themeColor="background1" w:themeShade="A6"/>
              <w:bottom w:val="nil"/>
              <w:right w:val="single" w:sz="4" w:space="0" w:color="A6A6A6" w:themeColor="background1" w:themeShade="A6"/>
            </w:tcBorders>
          </w:tcPr>
          <w:p w14:paraId="598637EF" w14:textId="77777777" w:rsidR="00A32EF4" w:rsidRPr="00A32EF4" w:rsidRDefault="00A32EF4" w:rsidP="00CD2CBA">
            <w:pPr>
              <w:pStyle w:val="TableText"/>
              <w:spacing w:before="30" w:after="30" w:line="228" w:lineRule="auto"/>
              <w:ind w:left="170" w:hanging="170"/>
              <w:rPr>
                <w:rFonts w:eastAsia="Lucida Sans Unicode"/>
                <w:sz w:val="16"/>
                <w:szCs w:val="16"/>
              </w:rPr>
            </w:pPr>
          </w:p>
        </w:tc>
        <w:tc>
          <w:tcPr>
            <w:tcW w:w="269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D1CABF6" w14:textId="77777777" w:rsidR="00A32EF4" w:rsidRDefault="00A32EF4" w:rsidP="00CD2CBA">
            <w:pPr>
              <w:pStyle w:val="TableBullet"/>
              <w:spacing w:after="30" w:line="228" w:lineRule="auto"/>
              <w:ind w:left="170" w:hanging="170"/>
              <w:rPr>
                <w:rFonts w:eastAsia="Lucida Sans Unicode"/>
                <w:sz w:val="16"/>
                <w:szCs w:val="16"/>
              </w:rPr>
            </w:pPr>
            <w:r>
              <w:rPr>
                <w:rFonts w:eastAsia="Lucida Sans Unicode"/>
                <w:sz w:val="16"/>
                <w:szCs w:val="16"/>
              </w:rPr>
              <w:t>Service information updated on Ministry website to have more consumer focus</w:t>
            </w:r>
          </w:p>
          <w:p w14:paraId="1FFDB192" w14:textId="77777777" w:rsidR="00A32EF4" w:rsidRDefault="00A32EF4" w:rsidP="00CD2CBA">
            <w:pPr>
              <w:pStyle w:val="TableBullet"/>
              <w:spacing w:before="30" w:after="30" w:line="228" w:lineRule="auto"/>
              <w:ind w:left="170" w:hanging="170"/>
              <w:rPr>
                <w:rFonts w:eastAsia="Lucida Sans Unicode"/>
                <w:sz w:val="16"/>
                <w:szCs w:val="16"/>
              </w:rPr>
            </w:pPr>
            <w:r>
              <w:rPr>
                <w:rFonts w:eastAsia="Lucida Sans Unicode"/>
                <w:sz w:val="16"/>
                <w:szCs w:val="16"/>
              </w:rPr>
              <w:t xml:space="preserve">Procurement for service improvement, innovation and training </w:t>
            </w:r>
            <w:r w:rsidR="00E271FE">
              <w:rPr>
                <w:rFonts w:eastAsia="Lucida Sans Unicode"/>
                <w:sz w:val="16"/>
                <w:szCs w:val="16"/>
              </w:rPr>
              <w:t xml:space="preserve">completed and national training </w:t>
            </w:r>
            <w:r>
              <w:rPr>
                <w:rFonts w:eastAsia="Lucida Sans Unicode"/>
                <w:sz w:val="16"/>
                <w:szCs w:val="16"/>
              </w:rPr>
              <w:t>contract awarded</w:t>
            </w:r>
          </w:p>
          <w:p w14:paraId="6291E02A" w14:textId="77777777" w:rsidR="00E271FE" w:rsidRDefault="00E271FE" w:rsidP="00CD2CBA">
            <w:pPr>
              <w:pStyle w:val="TableBullet"/>
              <w:spacing w:before="30" w:after="30" w:line="228" w:lineRule="auto"/>
              <w:ind w:left="170" w:hanging="170"/>
              <w:rPr>
                <w:rFonts w:eastAsia="Lucida Sans Unicode"/>
                <w:sz w:val="16"/>
                <w:szCs w:val="16"/>
              </w:rPr>
            </w:pPr>
            <w:r>
              <w:rPr>
                <w:rFonts w:eastAsia="Lucida Sans Unicode"/>
                <w:sz w:val="16"/>
                <w:szCs w:val="16"/>
              </w:rPr>
              <w:t>Procurement process for national telehealth service completed</w:t>
            </w:r>
          </w:p>
          <w:p w14:paraId="115198F5" w14:textId="77777777" w:rsidR="00CD2CBA" w:rsidRDefault="00CD2CBA" w:rsidP="00CD2CBA">
            <w:pPr>
              <w:pStyle w:val="TableBullet"/>
              <w:spacing w:before="30" w:after="30" w:line="228" w:lineRule="auto"/>
              <w:ind w:left="170" w:hanging="170"/>
              <w:rPr>
                <w:rFonts w:eastAsia="Lucida Sans Unicode"/>
                <w:sz w:val="16"/>
                <w:szCs w:val="16"/>
              </w:rPr>
            </w:pPr>
            <w:r>
              <w:rPr>
                <w:rFonts w:eastAsia="Lucida Sans Unicode"/>
                <w:sz w:val="16"/>
                <w:szCs w:val="16"/>
              </w:rPr>
              <w:t>New abortion information collection regulations legislation implemented requirements with stakeholders</w:t>
            </w:r>
          </w:p>
          <w:p w14:paraId="02659F7D" w14:textId="77777777" w:rsidR="00CD2CBA" w:rsidRDefault="00CD2CBA" w:rsidP="00CD2CBA">
            <w:pPr>
              <w:pStyle w:val="TableBullet"/>
              <w:spacing w:before="30" w:after="30" w:line="228" w:lineRule="auto"/>
              <w:ind w:left="170" w:hanging="170"/>
              <w:rPr>
                <w:rFonts w:eastAsia="Lucida Sans Unicode"/>
                <w:sz w:val="16"/>
                <w:szCs w:val="16"/>
              </w:rPr>
            </w:pPr>
            <w:r>
              <w:rPr>
                <w:rFonts w:eastAsia="Lucida Sans Unicode"/>
                <w:sz w:val="16"/>
                <w:szCs w:val="16"/>
              </w:rPr>
              <w:t>Ngā Paerewa (health and disability standard) published</w:t>
            </w:r>
          </w:p>
          <w:p w14:paraId="0FA41F88" w14:textId="77777777" w:rsidR="00CD2CBA" w:rsidRDefault="00CD2CBA" w:rsidP="00CD2CBA">
            <w:pPr>
              <w:pStyle w:val="TableBullet"/>
              <w:spacing w:before="30" w:after="30" w:line="228" w:lineRule="auto"/>
              <w:ind w:left="170" w:hanging="170"/>
              <w:rPr>
                <w:rFonts w:eastAsia="Lucida Sans Unicode"/>
                <w:sz w:val="16"/>
                <w:szCs w:val="16"/>
              </w:rPr>
            </w:pPr>
            <w:r>
              <w:rPr>
                <w:rFonts w:eastAsia="Lucida Sans Unicode"/>
                <w:sz w:val="16"/>
                <w:szCs w:val="16"/>
              </w:rPr>
              <w:t>Abortion Clinical Guideline developed</w:t>
            </w:r>
          </w:p>
          <w:p w14:paraId="265A62D3" w14:textId="77777777" w:rsidR="00CD2CBA" w:rsidRPr="00A32EF4" w:rsidRDefault="00CD2CBA" w:rsidP="00CD2CBA">
            <w:pPr>
              <w:pStyle w:val="TableBullet"/>
              <w:spacing w:before="30" w:after="30" w:line="228" w:lineRule="auto"/>
              <w:ind w:left="170" w:hanging="170"/>
              <w:rPr>
                <w:rFonts w:eastAsia="Lucida Sans Unicode"/>
                <w:sz w:val="16"/>
                <w:szCs w:val="16"/>
              </w:rPr>
            </w:pPr>
            <w:r>
              <w:rPr>
                <w:rFonts w:eastAsia="Lucida Sans Unicode"/>
                <w:sz w:val="16"/>
                <w:szCs w:val="16"/>
              </w:rPr>
              <w:t>Community restrictions to abortion medicines lifted by Pharmac</w:t>
            </w:r>
          </w:p>
        </w:tc>
      </w:tr>
    </w:tbl>
    <w:p w14:paraId="08DE43A8" w14:textId="77777777" w:rsidR="00AD2DF9" w:rsidRDefault="00AD2DF9" w:rsidP="00A32EF4">
      <w:pPr>
        <w:pStyle w:val="Note"/>
        <w:rPr>
          <w:rFonts w:eastAsia="Lucida Sans Unicode"/>
        </w:rPr>
      </w:pPr>
      <w:r w:rsidRPr="00705F47">
        <w:rPr>
          <w:rFonts w:eastAsia="Lucida Sans Unicode"/>
        </w:rPr>
        <w:t>Note: Act = Abortion Legislation Act 2020; ALR = Abortion Law Reform; DHB = district health board.</w:t>
      </w:r>
    </w:p>
    <w:p w14:paraId="51D63D33" w14:textId="77777777" w:rsidR="00A32EF4" w:rsidRPr="00A32EF4" w:rsidRDefault="00A32EF4" w:rsidP="00CD2CBA">
      <w:pPr>
        <w:rPr>
          <w:rFonts w:eastAsia="Lucida Sans Unicode"/>
        </w:rPr>
      </w:pPr>
    </w:p>
    <w:p w14:paraId="22F6BE12" w14:textId="77777777" w:rsidR="000E4CE5" w:rsidRDefault="00AD2DF9" w:rsidP="00026427">
      <w:pPr>
        <w:pStyle w:val="Heading2-notnumbered"/>
      </w:pPr>
      <w:bookmarkStart w:id="19" w:name="_Toc83037200"/>
      <w:bookmarkStart w:id="20" w:name="_Toc84582300"/>
      <w:r w:rsidRPr="00705F47">
        <w:lastRenderedPageBreak/>
        <w:t>Standards and clinical guidance</w:t>
      </w:r>
      <w:bookmarkEnd w:id="19"/>
      <w:bookmarkEnd w:id="20"/>
    </w:p>
    <w:p w14:paraId="6EE68BA2" w14:textId="77777777" w:rsidR="000E4CE5" w:rsidRDefault="00AD2DF9" w:rsidP="00CD2CBA">
      <w:r w:rsidRPr="00705F47">
        <w:t>Abortion service provision, like other health services, is underpinned by clinical guidance and national standards to support consistent, high-quality provision of care. Interim Standards for Abortion Services in New Zealand were published on the Ministry of Health website in April 2020. These have now been replaced by Ngā Paerewa Health and Disability Services Standard 8134:2021 (Ngā Paerewa) and the New Zealand Aotearoa Abortion Clinical Guideline (Ministry of Health 2021).</w:t>
      </w:r>
    </w:p>
    <w:p w14:paraId="1D87B08D" w14:textId="77777777" w:rsidR="00CD2CBA" w:rsidRDefault="00CD2CBA" w:rsidP="00CD2CBA"/>
    <w:p w14:paraId="798CDDDF" w14:textId="77777777" w:rsidR="000E4CE5" w:rsidRDefault="00AD2DF9" w:rsidP="00CD2CBA">
      <w:r w:rsidRPr="00705F47">
        <w:t>The New Zealand Aotearoa Abortion Clinical Guideline provides best clinical practice advice for health care practitioners who provide abortion services in New Zealand. It has been developed with a working group of representatives from professional colleges and councils, abortion providers, and academics and is available on the Ministry of Health website.</w:t>
      </w:r>
    </w:p>
    <w:p w14:paraId="2C28AD3F" w14:textId="77777777" w:rsidR="00CD2CBA" w:rsidRDefault="00CD2CBA" w:rsidP="00CD2CBA"/>
    <w:p w14:paraId="2F8B1FD5" w14:textId="77777777" w:rsidR="000E4CE5" w:rsidRDefault="00AD2DF9" w:rsidP="00CD2CBA">
      <w:pPr>
        <w:rPr>
          <w:rFonts w:eastAsia="Segoe UI"/>
        </w:rPr>
      </w:pPr>
      <w:r w:rsidRPr="00705F47">
        <w:t>Ngā Paerewa, which we developed with the health sector, sets out the minimum requirements for care and support within services specified in the Health and Disability Services (Safety) Act 2001. It focuses on the patient and whānau experience of health services and is designed for abortion services in hospital settings to use. A</w:t>
      </w:r>
      <w:r w:rsidRPr="00705F47">
        <w:rPr>
          <w:rFonts w:eastAsia="Segoe UI"/>
        </w:rPr>
        <w:t>bortion services provided in primary and community care settings will not be audited against Ngā Paerewa but may wish to use Ngā Paerewa as a best practice guide.</w:t>
      </w:r>
    </w:p>
    <w:p w14:paraId="0750EEF9" w14:textId="77777777" w:rsidR="00CD2CBA" w:rsidRDefault="00CD2CBA" w:rsidP="00CD2CBA">
      <w:pPr>
        <w:rPr>
          <w:rFonts w:eastAsia="Segoe UI"/>
        </w:rPr>
      </w:pPr>
    </w:p>
    <w:p w14:paraId="46EC6999" w14:textId="77777777" w:rsidR="000E4CE5" w:rsidRDefault="00AD2DF9" w:rsidP="00CD2CBA">
      <w:pPr>
        <w:rPr>
          <w:rFonts w:cs="Segoe UI"/>
          <w:szCs w:val="22"/>
        </w:rPr>
      </w:pPr>
      <w:r w:rsidRPr="00705F47">
        <w:rPr>
          <w:rFonts w:eastAsia="Segoe UI"/>
        </w:rPr>
        <w:t xml:space="preserve">The Ministry of Health will use Ngā Paerewa as a reference standard when periodically reviewing whether access to abortion services is timely and equitable nationwide and we will report on our findings in future annual reports. </w:t>
      </w:r>
      <w:r w:rsidRPr="00705F47">
        <w:rPr>
          <w:rFonts w:cs="Segoe UI"/>
          <w:szCs w:val="22"/>
        </w:rPr>
        <w:t>The next annual report will provide further information about the implementation of the guideline.</w:t>
      </w:r>
    </w:p>
    <w:p w14:paraId="769BF3B0" w14:textId="77777777" w:rsidR="00CD2CBA" w:rsidRDefault="00CD2CBA" w:rsidP="00CD2CBA">
      <w:pPr>
        <w:rPr>
          <w:rFonts w:cs="Segoe UI"/>
          <w:szCs w:val="22"/>
        </w:rPr>
      </w:pPr>
    </w:p>
    <w:p w14:paraId="57E0905C" w14:textId="77777777" w:rsidR="00AD2DF9" w:rsidRPr="00705F47" w:rsidRDefault="00AD2DF9" w:rsidP="00026427">
      <w:pPr>
        <w:pStyle w:val="Heading2-notnumbered"/>
      </w:pPr>
      <w:bookmarkStart w:id="21" w:name="_Toc83037201"/>
      <w:bookmarkStart w:id="22" w:name="_Toc84582301"/>
      <w:r w:rsidRPr="00705F47">
        <w:t>Abortion (Information Collection) Regulations</w:t>
      </w:r>
      <w:bookmarkEnd w:id="21"/>
      <w:bookmarkEnd w:id="22"/>
    </w:p>
    <w:p w14:paraId="5D0F0923" w14:textId="77777777" w:rsidR="000E4CE5" w:rsidRDefault="00AD2DF9" w:rsidP="00CD2CBA">
      <w:r w:rsidRPr="00705F47">
        <w:rPr>
          <w:rFonts w:cs="Segoe UI"/>
          <w:szCs w:val="22"/>
        </w:rPr>
        <w:t xml:space="preserve">On 24 September 2021 new abortion notification </w:t>
      </w:r>
      <w:r w:rsidRPr="00705F47">
        <w:t>(abortion service reporting) and annual reporting requirements came into force. All providers of abortion services must submit abortion notifications to the Ministry of Health within one month of the procedure. They are also required to report annually on abortion services and abortion counselling services they provided in the preceding calendar year; for example, they must report on services they provided in 2021 by 31 March 2022.</w:t>
      </w:r>
    </w:p>
    <w:p w14:paraId="24DE7D40" w14:textId="77777777" w:rsidR="00CD2CBA" w:rsidRDefault="00CD2CBA" w:rsidP="00CD2CBA">
      <w:bookmarkStart w:id="23" w:name="_bookmark70"/>
      <w:bookmarkEnd w:id="23"/>
    </w:p>
    <w:p w14:paraId="0677CB8F" w14:textId="77777777" w:rsidR="000E4CE5" w:rsidRDefault="00AD2DF9" w:rsidP="00CD2CBA">
      <w:r w:rsidRPr="00705F47">
        <w:t xml:space="preserve">The changes have been introduced to meet requirements for the Director-General of Health to </w:t>
      </w:r>
      <w:r w:rsidRPr="00705F47">
        <w:rPr>
          <w:lang w:eastAsia="en-US"/>
        </w:rPr>
        <w:t>collect, collate, analyse and publish information about the provision of abortion services and counselling services in relation to, or in connection with, the provision of abortion services. This information will also help to identify whether</w:t>
      </w:r>
      <w:r w:rsidRPr="00705F47">
        <w:t xml:space="preserve"> access to abortion and to abortion counselling</w:t>
      </w:r>
      <w:r w:rsidRPr="00705F47">
        <w:rPr>
          <w:lang w:eastAsia="en-US"/>
        </w:rPr>
        <w:t xml:space="preserve"> is </w:t>
      </w:r>
      <w:r w:rsidRPr="00705F47">
        <w:t>timely and equitable, and whether there is any evidence of anyone seeking an abortion solely for the purpose of choosing the sex of the fetus.</w:t>
      </w:r>
    </w:p>
    <w:p w14:paraId="3CC8CF1E" w14:textId="77777777" w:rsidR="00CD2CBA" w:rsidRDefault="00CD2CBA" w:rsidP="00CD2CBA"/>
    <w:p w14:paraId="7EBE8524" w14:textId="77777777" w:rsidR="00AD2DF9" w:rsidRPr="00705F47" w:rsidRDefault="00AD2DF9" w:rsidP="00026427">
      <w:pPr>
        <w:pStyle w:val="Heading2-notnumbered"/>
      </w:pPr>
      <w:bookmarkStart w:id="24" w:name="_Toc83037202"/>
      <w:bookmarkStart w:id="25" w:name="_Toc84582302"/>
      <w:r w:rsidRPr="00705F47">
        <w:lastRenderedPageBreak/>
        <w:t>Abortion workforce training</w:t>
      </w:r>
      <w:bookmarkEnd w:id="24"/>
      <w:bookmarkEnd w:id="25"/>
    </w:p>
    <w:p w14:paraId="6E06AEB6" w14:textId="77777777" w:rsidR="000E4CE5" w:rsidRDefault="00AD2DF9" w:rsidP="00CD2CBA">
      <w:pPr>
        <w:rPr>
          <w:rFonts w:eastAsia="Segoe UI"/>
        </w:rPr>
      </w:pPr>
      <w:r w:rsidRPr="00705F47">
        <w:rPr>
          <w:rFonts w:eastAsia="Segoe UI"/>
        </w:rPr>
        <w:t>In 2021 the Ministry Abortion Services team ran two separate procurement processes aimed at improving abortion access. The first was a registration of interest for abortion service improvement, innovation and training proposals. The focus was on developing and delivering accessible abortion services for rangatahi</w:t>
      </w:r>
      <w:r>
        <w:rPr>
          <w:rFonts w:eastAsia="Segoe UI"/>
        </w:rPr>
        <w:t>,</w:t>
      </w:r>
      <w:r w:rsidRPr="00705F47">
        <w:rPr>
          <w:rFonts w:eastAsia="Segoe UI"/>
        </w:rPr>
        <w:t xml:space="preserve"> Māori, Pacific peoples and disabled people as these groups typically experience the greatest inequity in abortion access.</w:t>
      </w:r>
    </w:p>
    <w:p w14:paraId="1169670B" w14:textId="77777777" w:rsidR="00CD2CBA" w:rsidRDefault="00CD2CBA" w:rsidP="00CD2CBA">
      <w:pPr>
        <w:rPr>
          <w:rFonts w:eastAsia="Segoe UI"/>
        </w:rPr>
      </w:pPr>
    </w:p>
    <w:p w14:paraId="13A2CC44" w14:textId="77777777" w:rsidR="000E4CE5" w:rsidRDefault="00AD2DF9" w:rsidP="00CD2CBA">
      <w:pPr>
        <w:rPr>
          <w:rFonts w:eastAsia="Segoe UI"/>
        </w:rPr>
      </w:pPr>
      <w:r w:rsidRPr="00705F47">
        <w:rPr>
          <w:rFonts w:eastAsia="Segoe UI"/>
        </w:rPr>
        <w:t>This procurement process resulted in a contract with the New Zealand College of Sexual and Reproductive Health to develop a national training package. That package will include: a revised early medical abortion (EMA) training module; a new vacuum aspiration training module; a triage and communication skills training module; and an abortion point-of-care ultrasound (POCUS) training module. Training for vacuum aspiration and POCUS includes both theory and practical training and assessment.</w:t>
      </w:r>
    </w:p>
    <w:p w14:paraId="67831A2D" w14:textId="77777777" w:rsidR="00CD2CBA" w:rsidRDefault="00CD2CBA" w:rsidP="00CD2CBA">
      <w:pPr>
        <w:rPr>
          <w:rFonts w:eastAsia="Segoe UI"/>
        </w:rPr>
      </w:pPr>
    </w:p>
    <w:p w14:paraId="2B902982" w14:textId="77777777" w:rsidR="000E4CE5" w:rsidRDefault="00AD2DF9" w:rsidP="00CD2CBA">
      <w:pPr>
        <w:rPr>
          <w:rFonts w:eastAsia="Segoe UI"/>
        </w:rPr>
      </w:pPr>
      <w:r w:rsidRPr="00190636">
        <w:rPr>
          <w:rFonts w:eastAsia="Segoe UI"/>
        </w:rPr>
        <w:t xml:space="preserve">Māori models Te Whare Tapa Whā and Te Pōwhiri will provide the training framework. The training content will be determined through hui with abortion health sector experts along with rangatahi, Māori, Pacific and disabled consumer representatives and through a co-design research project on what </w:t>
      </w:r>
      <w:r w:rsidR="000E4CE5">
        <w:rPr>
          <w:rFonts w:eastAsia="Segoe UI"/>
        </w:rPr>
        <w:t>‘</w:t>
      </w:r>
      <w:r w:rsidRPr="00190636">
        <w:rPr>
          <w:rFonts w:eastAsia="Segoe UI"/>
        </w:rPr>
        <w:t>good</w:t>
      </w:r>
      <w:r w:rsidR="000E4CE5">
        <w:rPr>
          <w:rFonts w:eastAsia="Segoe UI"/>
        </w:rPr>
        <w:t>’</w:t>
      </w:r>
      <w:r w:rsidRPr="00190636">
        <w:rPr>
          <w:rFonts w:eastAsia="Segoe UI"/>
        </w:rPr>
        <w:t xml:space="preserve"> abortion service looks like.</w:t>
      </w:r>
    </w:p>
    <w:p w14:paraId="54952F0D" w14:textId="77777777" w:rsidR="00CD2CBA" w:rsidRDefault="00CD2CBA" w:rsidP="00CD2CBA">
      <w:pPr>
        <w:rPr>
          <w:rFonts w:eastAsia="Segoe UI"/>
        </w:rPr>
      </w:pPr>
    </w:p>
    <w:p w14:paraId="7A3AE2DB" w14:textId="77777777" w:rsidR="00AD2DF9" w:rsidRDefault="00AD2DF9" w:rsidP="00465F63">
      <w:pPr>
        <w:rPr>
          <w:rFonts w:eastAsia="Segoe UI"/>
        </w:rPr>
      </w:pPr>
      <w:r w:rsidRPr="00190636">
        <w:rPr>
          <w:rFonts w:eastAsia="Segoe UI"/>
        </w:rPr>
        <w:t>The new suite of abortion training will provide nationally available, culturally safe training that supports the abortion workforce to meet service expectations of rangatahi, Māori, Pacific and disabled service users. It is aligned with the Abortion Clinical Guideline and relevant care standards. The training will be available towards the end of 2022 to all health practitioners in scope to provide abortion. In 2022 we will also give the health sector further</w:t>
      </w:r>
      <w:r w:rsidRPr="00705F47">
        <w:rPr>
          <w:rFonts w:eastAsia="Segoe UI"/>
        </w:rPr>
        <w:t xml:space="preserve"> details on how health practitioners can access the training.</w:t>
      </w:r>
    </w:p>
    <w:p w14:paraId="401DE34B" w14:textId="77777777" w:rsidR="00CD2CBA" w:rsidRPr="00705F47" w:rsidRDefault="00CD2CBA" w:rsidP="00CD2CBA">
      <w:pPr>
        <w:rPr>
          <w:rFonts w:eastAsia="Segoe UI"/>
        </w:rPr>
      </w:pPr>
    </w:p>
    <w:p w14:paraId="55A59846" w14:textId="77777777" w:rsidR="00AD2DF9" w:rsidRPr="00705F47" w:rsidRDefault="00AD2DF9" w:rsidP="00026427">
      <w:pPr>
        <w:pStyle w:val="Heading2-notnumbered"/>
        <w:rPr>
          <w:rFonts w:eastAsia="Segoe UI"/>
        </w:rPr>
      </w:pPr>
      <w:bookmarkStart w:id="26" w:name="_Toc83037203"/>
      <w:bookmarkStart w:id="27" w:name="_Toc84582303"/>
      <w:r w:rsidRPr="00705F47">
        <w:rPr>
          <w:rFonts w:eastAsia="Segoe UI"/>
        </w:rPr>
        <w:t>National Telehealth Service</w:t>
      </w:r>
      <w:bookmarkEnd w:id="26"/>
      <w:bookmarkEnd w:id="27"/>
    </w:p>
    <w:p w14:paraId="4CCFA213" w14:textId="77777777" w:rsidR="000E4CE5" w:rsidRDefault="00AD2DF9" w:rsidP="00CD2CBA">
      <w:pPr>
        <w:rPr>
          <w:rFonts w:eastAsia="Segoe UI"/>
        </w:rPr>
      </w:pPr>
      <w:r w:rsidRPr="00705F47">
        <w:rPr>
          <w:rFonts w:eastAsia="Segoe UI"/>
        </w:rPr>
        <w:t>The second procurement process completed by the Abortion Services team was for a National Abortion Telehealth Service.</w:t>
      </w:r>
    </w:p>
    <w:p w14:paraId="54899B47" w14:textId="77777777" w:rsidR="00CD2CBA" w:rsidRDefault="00CD2CBA" w:rsidP="00CD2CBA">
      <w:pPr>
        <w:rPr>
          <w:rFonts w:eastAsia="Segoe UI"/>
        </w:rPr>
      </w:pPr>
    </w:p>
    <w:p w14:paraId="3E16CD9B" w14:textId="77777777" w:rsidR="000E4CE5" w:rsidRDefault="00AD2DF9" w:rsidP="00CD2CBA">
      <w:pPr>
        <w:rPr>
          <w:rFonts w:eastAsia="Segoe UI"/>
        </w:rPr>
      </w:pPr>
      <w:r w:rsidRPr="00705F47">
        <w:rPr>
          <w:rFonts w:eastAsia="Segoe UI"/>
        </w:rPr>
        <w:t>Having a publicly funded telehealth service available to everyone in New Zealand who needs EMA services will help to improve access to early abortion at a national level. The National Abortion Telehealth Service will improve service access and equity of access. People who are expected to benefit most are those in regions without locally available EMA services.</w:t>
      </w:r>
    </w:p>
    <w:p w14:paraId="0BDA92D8" w14:textId="77777777" w:rsidR="00CD2CBA" w:rsidRDefault="00CD2CBA" w:rsidP="00CD2CBA">
      <w:pPr>
        <w:rPr>
          <w:rFonts w:eastAsia="Segoe UI"/>
        </w:rPr>
      </w:pPr>
    </w:p>
    <w:p w14:paraId="5B4032A5" w14:textId="77777777" w:rsidR="000E4CE5" w:rsidRDefault="00AD2DF9" w:rsidP="00CD2CBA">
      <w:pPr>
        <w:rPr>
          <w:rFonts w:eastAsia="Segoe UI"/>
        </w:rPr>
      </w:pPr>
      <w:r w:rsidRPr="00705F47">
        <w:rPr>
          <w:rFonts w:eastAsia="Segoe UI"/>
        </w:rPr>
        <w:t xml:space="preserve">The National Abortion Telehealth Service will roll out in phases. The first phase will provide nationally available consumer information, support and service referral; the second will provide telehealth abortion counselling and clinical follow-up after EMA; and the third will provide EMA </w:t>
      </w:r>
      <w:r w:rsidRPr="0089337A">
        <w:rPr>
          <w:rFonts w:eastAsia="Segoe UI"/>
        </w:rPr>
        <w:t>abortion via telemedicine.</w:t>
      </w:r>
    </w:p>
    <w:p w14:paraId="48E3DD66" w14:textId="77777777" w:rsidR="00CD2CBA" w:rsidRDefault="00CD2CBA" w:rsidP="00CD2CBA">
      <w:pPr>
        <w:rPr>
          <w:rFonts w:eastAsia="Segoe UI"/>
        </w:rPr>
      </w:pPr>
    </w:p>
    <w:p w14:paraId="68B17CC0" w14:textId="77777777" w:rsidR="00AD2DF9" w:rsidRDefault="00AD2DF9" w:rsidP="00CD2CBA">
      <w:pPr>
        <w:keepNext/>
        <w:rPr>
          <w:rFonts w:eastAsia="Segoe UI"/>
        </w:rPr>
      </w:pPr>
      <w:r w:rsidRPr="00705F47">
        <w:rPr>
          <w:rFonts w:eastAsia="Segoe UI"/>
        </w:rPr>
        <w:lastRenderedPageBreak/>
        <w:t>Phases one and two are intended to remove barriers to primary and community care providers, including independent practitioners, wanting to provide abortion services.</w:t>
      </w:r>
    </w:p>
    <w:p w14:paraId="7C0BC4C3" w14:textId="77777777" w:rsidR="00CD2CBA" w:rsidRPr="00705F47" w:rsidRDefault="00CD2CBA" w:rsidP="00CD2CBA">
      <w:pPr>
        <w:rPr>
          <w:rFonts w:eastAsia="Segoe UI"/>
        </w:rPr>
      </w:pPr>
    </w:p>
    <w:p w14:paraId="6A886612" w14:textId="77777777" w:rsidR="000E4CE5" w:rsidRDefault="00AD2DF9" w:rsidP="00CD2CBA">
      <w:pPr>
        <w:rPr>
          <w:rFonts w:eastAsia="Segoe UI"/>
        </w:rPr>
      </w:pPr>
      <w:r w:rsidRPr="00705F47">
        <w:rPr>
          <w:rFonts w:eastAsia="Segoe UI"/>
        </w:rPr>
        <w:t>We will provide an update on the contract holder and timeline for the phased rollout of the National Abortion Telehealth Service towards the end of 2021.</w:t>
      </w:r>
    </w:p>
    <w:p w14:paraId="0DC0BCD9" w14:textId="77777777" w:rsidR="00CD2CBA" w:rsidRDefault="00CD2CBA" w:rsidP="00CD2CBA">
      <w:pPr>
        <w:rPr>
          <w:rFonts w:eastAsia="Segoe UI"/>
        </w:rPr>
      </w:pPr>
    </w:p>
    <w:p w14:paraId="3619916C" w14:textId="77777777" w:rsidR="00AD2DF9" w:rsidRPr="00705F47" w:rsidRDefault="00AD2DF9" w:rsidP="00026427">
      <w:pPr>
        <w:pStyle w:val="Heading2-notnumbered"/>
      </w:pPr>
      <w:bookmarkStart w:id="28" w:name="_Toc83037204"/>
      <w:bookmarkStart w:id="29" w:name="_Toc84582304"/>
      <w:r w:rsidRPr="00705F47">
        <w:t>Contraception, Sterilisation, and Abortion (Safe Areas) Amendment Bill</w:t>
      </w:r>
      <w:bookmarkEnd w:id="28"/>
      <w:bookmarkEnd w:id="29"/>
    </w:p>
    <w:p w14:paraId="0DECA5BE" w14:textId="77777777" w:rsidR="000E4CE5" w:rsidRDefault="00AD2DF9" w:rsidP="00CD2CBA">
      <w:pPr>
        <w:rPr>
          <w:lang w:eastAsia="en-US"/>
        </w:rPr>
      </w:pPr>
      <w:r w:rsidRPr="00705F47">
        <w:rPr>
          <w:rFonts w:eastAsia="Segoe UI"/>
        </w:rPr>
        <w:t xml:space="preserve">In July 2020 the </w:t>
      </w:r>
      <w:bookmarkStart w:id="30" w:name="_Hlk82163621"/>
      <w:r w:rsidRPr="00705F47">
        <w:rPr>
          <w:rFonts w:eastAsia="Segoe UI"/>
        </w:rPr>
        <w:t>Contraception, Sterilisation, and Abortion (Safe Areas) Amendment Bill</w:t>
      </w:r>
      <w:bookmarkEnd w:id="30"/>
      <w:r w:rsidRPr="00705F47">
        <w:rPr>
          <w:rFonts w:eastAsia="Segoe UI"/>
        </w:rPr>
        <w:t xml:space="preserve"> was introduced in Parliament as a private member</w:t>
      </w:r>
      <w:r w:rsidR="000E4CE5">
        <w:rPr>
          <w:rFonts w:eastAsia="Segoe UI"/>
        </w:rPr>
        <w:t>’</w:t>
      </w:r>
      <w:r w:rsidRPr="00705F47">
        <w:rPr>
          <w:rFonts w:eastAsia="Segoe UI"/>
        </w:rPr>
        <w:t xml:space="preserve">s Bill. The Bill would allow safe areas to be established around abortion provider premises, to protect the safety and privacy of those accessing abortion services. The extent of a </w:t>
      </w:r>
      <w:r w:rsidRPr="00705F47">
        <w:rPr>
          <w:lang w:eastAsia="en-US"/>
        </w:rPr>
        <w:t>safe area would be decided on a case-by-case basis, up to a maximum of 150 metres from the premises. A person engaging in any prohibited behaviour in a safe area would be liable on conviction to a fine of up to $1,000.</w:t>
      </w:r>
    </w:p>
    <w:p w14:paraId="4A9F24C4" w14:textId="77777777" w:rsidR="00CD2CBA" w:rsidRDefault="00CD2CBA" w:rsidP="00CD2CBA">
      <w:pPr>
        <w:rPr>
          <w:lang w:eastAsia="en-US"/>
        </w:rPr>
      </w:pPr>
    </w:p>
    <w:p w14:paraId="56525CA0" w14:textId="77777777" w:rsidR="00AD2DF9" w:rsidRPr="00705F47" w:rsidRDefault="00AD2DF9" w:rsidP="00CD2CBA">
      <w:pPr>
        <w:rPr>
          <w:lang w:eastAsia="en-US"/>
        </w:rPr>
      </w:pPr>
      <w:r w:rsidRPr="00705F47">
        <w:rPr>
          <w:lang w:eastAsia="en-US"/>
        </w:rPr>
        <w:t>Although the wording of the Bill may change between the First Reading and Second Reading, at the time of publication of this report, prohibited behaviour is defined in the Bill as:</w:t>
      </w:r>
    </w:p>
    <w:p w14:paraId="30B855C5" w14:textId="77777777" w:rsidR="00AD2DF9" w:rsidRPr="00705F47" w:rsidRDefault="00AD2DF9" w:rsidP="00CD2CBA">
      <w:pPr>
        <w:pStyle w:val="Bullet"/>
      </w:pPr>
      <w:r w:rsidRPr="00705F47">
        <w:t>intimidating, interfering with, or obstructing a protected person</w:t>
      </w:r>
      <w:r w:rsidR="00CD2CBA">
        <w:t xml:space="preserve"> –</w:t>
      </w:r>
    </w:p>
    <w:p w14:paraId="2ABF32C5" w14:textId="77777777" w:rsidR="00AD2DF9" w:rsidRPr="00705F47" w:rsidRDefault="00AD2DF9" w:rsidP="00CD2CBA">
      <w:pPr>
        <w:pStyle w:val="Dash"/>
      </w:pPr>
      <w:r w:rsidRPr="00705F47">
        <w:t xml:space="preserve">with the intention of frustrating the purpose for which the protected person is in the safe area; </w:t>
      </w:r>
      <w:r w:rsidRPr="00EE4DCE">
        <w:rPr>
          <w:iCs/>
        </w:rPr>
        <w:t>or</w:t>
      </w:r>
    </w:p>
    <w:p w14:paraId="040B7EFF" w14:textId="77777777" w:rsidR="00AD2DF9" w:rsidRPr="00705F47" w:rsidRDefault="00AD2DF9" w:rsidP="00CD2CBA">
      <w:pPr>
        <w:pStyle w:val="Dash"/>
      </w:pPr>
      <w:r w:rsidRPr="00705F47">
        <w:t>in a manner that an ordinary reasonable person would know would cause emotional distress to a protected person:</w:t>
      </w:r>
    </w:p>
    <w:p w14:paraId="48139E6E" w14:textId="77777777" w:rsidR="00AD2DF9" w:rsidRPr="00705F47" w:rsidRDefault="00AD2DF9" w:rsidP="00CD2CBA">
      <w:pPr>
        <w:pStyle w:val="Bullet"/>
      </w:pPr>
      <w:r w:rsidRPr="00705F47">
        <w:t>communicating with, or visually recording, a person in a manner that an ordinary reasonable person would know would cause emotional distress to a protected person.</w:t>
      </w:r>
    </w:p>
    <w:p w14:paraId="33B1B8BB" w14:textId="77777777" w:rsidR="00CD2CBA" w:rsidRDefault="00CD2CBA" w:rsidP="00CD2CBA"/>
    <w:p w14:paraId="44089E72" w14:textId="77777777" w:rsidR="00AD2DF9" w:rsidRPr="00705F47" w:rsidRDefault="00AD2DF9" w:rsidP="00CD2CBA">
      <w:r w:rsidRPr="00705F47">
        <w:t>A protected person is defined in the Bill as a person who is in a safe area for the purpose of:</w:t>
      </w:r>
    </w:p>
    <w:p w14:paraId="19B36451" w14:textId="77777777" w:rsidR="00AD2DF9" w:rsidRPr="00705F47" w:rsidRDefault="00AD2DF9" w:rsidP="00CD2CBA">
      <w:pPr>
        <w:pStyle w:val="Bullet"/>
      </w:pPr>
      <w:r w:rsidRPr="00705F47">
        <w:t>accessing abortion services</w:t>
      </w:r>
    </w:p>
    <w:p w14:paraId="121C364B" w14:textId="77777777" w:rsidR="00AD2DF9" w:rsidRPr="00705F47" w:rsidRDefault="00AD2DF9" w:rsidP="00CD2CBA">
      <w:pPr>
        <w:pStyle w:val="Bullet"/>
      </w:pPr>
      <w:r w:rsidRPr="00705F47">
        <w:t>providing, or assisting with providing, abortion services</w:t>
      </w:r>
    </w:p>
    <w:p w14:paraId="5F5B9DEE" w14:textId="77777777" w:rsidR="00AD2DF9" w:rsidRPr="00705F47" w:rsidRDefault="00AD2DF9" w:rsidP="00CD2CBA">
      <w:pPr>
        <w:pStyle w:val="Bullet"/>
      </w:pPr>
      <w:r w:rsidRPr="00705F47">
        <w:t>seeking advice or information about abortion services</w:t>
      </w:r>
    </w:p>
    <w:p w14:paraId="58C6A6A0" w14:textId="77777777" w:rsidR="00AD2DF9" w:rsidRPr="00705F47" w:rsidRDefault="00AD2DF9" w:rsidP="00CD2CBA">
      <w:pPr>
        <w:pStyle w:val="Bullet"/>
      </w:pPr>
      <w:r w:rsidRPr="00705F47">
        <w:t>providing, or assisting with providing, advice or information about abortion services.</w:t>
      </w:r>
    </w:p>
    <w:p w14:paraId="57F328EE" w14:textId="77777777" w:rsidR="00AD2DF9" w:rsidRPr="00705F47" w:rsidRDefault="00AD2DF9" w:rsidP="00CD2CBA">
      <w:pPr>
        <w:rPr>
          <w:lang w:eastAsia="en-US"/>
        </w:rPr>
      </w:pPr>
    </w:p>
    <w:p w14:paraId="26762660" w14:textId="77777777" w:rsidR="000E4CE5" w:rsidRDefault="00AD2DF9" w:rsidP="0027618D">
      <w:pPr>
        <w:pStyle w:val="Heading1"/>
        <w:rPr>
          <w:lang w:eastAsia="en-US"/>
        </w:rPr>
      </w:pPr>
      <w:bookmarkStart w:id="31" w:name="_Toc83037205"/>
      <w:bookmarkStart w:id="32" w:name="_Toc84582305"/>
      <w:r w:rsidRPr="00705F47">
        <w:rPr>
          <w:lang w:eastAsia="en-US"/>
        </w:rPr>
        <w:lastRenderedPageBreak/>
        <w:t>Abortion statistics 2020</w:t>
      </w:r>
      <w:bookmarkEnd w:id="31"/>
      <w:bookmarkEnd w:id="32"/>
    </w:p>
    <w:p w14:paraId="1DAB0AA4" w14:textId="77777777" w:rsidR="000E4CE5" w:rsidRDefault="00AD2DF9" w:rsidP="00026427">
      <w:pPr>
        <w:pStyle w:val="Heading2-notnumbered"/>
      </w:pPr>
      <w:bookmarkStart w:id="33" w:name="_Toc83037206"/>
      <w:bookmarkStart w:id="34" w:name="_Toc84582306"/>
      <w:r w:rsidRPr="00705F47">
        <w:t>Data summary</w:t>
      </w:r>
      <w:bookmarkEnd w:id="33"/>
      <w:bookmarkEnd w:id="34"/>
    </w:p>
    <w:p w14:paraId="45C40048" w14:textId="77777777" w:rsidR="00AD2DF9" w:rsidRPr="00705F47" w:rsidRDefault="00AD2DF9" w:rsidP="0027618D">
      <w:r w:rsidRPr="00705F47">
        <w:t>The source of the abortion data included in this report is abortion notifications from all abortions performed in Aotearoa New Zealand for the calendar year 2020. Abortions performed before 24 March 2020 were reported to the ASC and collated by</w:t>
      </w:r>
      <w:r w:rsidRPr="00705F47">
        <w:rPr>
          <w:rFonts w:eastAsia="Segoe UI" w:cs="Segoe UI"/>
          <w:szCs w:val="22"/>
        </w:rPr>
        <w:t xml:space="preserve"> Tatauranga Aotearoa</w:t>
      </w:r>
      <w:r w:rsidRPr="00705F47">
        <w:t xml:space="preserve"> Statistics New Zealand; abortions performed from 24 March 2020 onwards are reported to and collated by the Data and Digital team at the Ministry of Health. The Ministry Data and Digital team combined the Statistics New Zealand and Ministry data for 2020 to enable reporting on the complete year.</w:t>
      </w:r>
    </w:p>
    <w:p w14:paraId="0B4BA7AC" w14:textId="77777777" w:rsidR="0027618D" w:rsidRDefault="0027618D" w:rsidP="0027618D"/>
    <w:p w14:paraId="706C18F8" w14:textId="77777777" w:rsidR="00AD2DF9" w:rsidRDefault="00AD2DF9" w:rsidP="0027618D">
      <w:r w:rsidRPr="00705F47">
        <w:t>The data provides an overview of abortion numbers, rates and ratios, as well as further breakdown and analysis to gain a more detailed understanding of trends in relation to factors such as age, ethnicity, region</w:t>
      </w:r>
      <w:r>
        <w:t>,</w:t>
      </w:r>
      <w:r w:rsidRPr="00705F47">
        <w:t xml:space="preserve"> duration of pregnancy</w:t>
      </w:r>
      <w:r>
        <w:t>, procedures, complications and contraception</w:t>
      </w:r>
      <w:r w:rsidRPr="00705F47">
        <w:t>. This supports analysis of national abortion service provision. We use insights from the data to inform the Ministry Abortion Services work programme and will use the data in future to evaluate the success of initiatives such as the National Abortion Telehealth Service.</w:t>
      </w:r>
    </w:p>
    <w:p w14:paraId="7E06D7BA" w14:textId="77777777" w:rsidR="0027618D" w:rsidRPr="00705F47" w:rsidRDefault="0027618D" w:rsidP="0027618D"/>
    <w:p w14:paraId="678F01AA" w14:textId="77777777" w:rsidR="00AD2DF9" w:rsidRPr="00705F47" w:rsidRDefault="00AD2DF9" w:rsidP="00026427">
      <w:pPr>
        <w:pStyle w:val="Heading2-notnumbered"/>
      </w:pPr>
      <w:bookmarkStart w:id="35" w:name="_Toc83037207"/>
      <w:bookmarkStart w:id="36" w:name="_Toc84582307"/>
      <w:r w:rsidRPr="00705F47">
        <w:t>Ke</w:t>
      </w:r>
      <w:r w:rsidRPr="004D0B0B">
        <w:rPr>
          <w:rFonts w:eastAsiaTheme="majorEastAsia"/>
        </w:rPr>
        <w:t>y</w:t>
      </w:r>
      <w:r w:rsidRPr="00705F47">
        <w:t xml:space="preserve"> facts</w:t>
      </w:r>
      <w:bookmarkEnd w:id="35"/>
      <w:bookmarkEnd w:id="36"/>
    </w:p>
    <w:p w14:paraId="743FC3C7" w14:textId="77777777" w:rsidR="00AD2DF9" w:rsidRPr="00705F47" w:rsidRDefault="00AD2DF9" w:rsidP="0027618D">
      <w:pPr>
        <w:pStyle w:val="Bullet"/>
        <w:rPr>
          <w:lang w:eastAsia="en-NZ"/>
        </w:rPr>
      </w:pPr>
      <w:r w:rsidRPr="00705F47">
        <w:rPr>
          <w:rFonts w:eastAsia="Segoe UI"/>
        </w:rPr>
        <w:t>13,246</w:t>
      </w:r>
      <w:r w:rsidRPr="00705F47">
        <w:rPr>
          <w:lang w:eastAsia="en-NZ"/>
        </w:rPr>
        <w:t xml:space="preserve"> abortions were performed in New Zealand in 2020, up from 12,857 in the previous year.</w:t>
      </w:r>
    </w:p>
    <w:p w14:paraId="4D468E25" w14:textId="77777777" w:rsidR="00AD2DF9" w:rsidRPr="00705F47" w:rsidRDefault="00AD2DF9" w:rsidP="0027618D">
      <w:pPr>
        <w:pStyle w:val="Bullet"/>
        <w:rPr>
          <w:lang w:eastAsia="en-NZ"/>
        </w:rPr>
      </w:pPr>
      <w:r w:rsidRPr="00705F47">
        <w:rPr>
          <w:lang w:eastAsia="en-NZ"/>
        </w:rPr>
        <w:t>The general abortion rate was 13 abortions per 1,000 women aged 15–44 years, down slightly from 13.2 per 1,000 in 2019.</w:t>
      </w:r>
    </w:p>
    <w:p w14:paraId="26C80E2A" w14:textId="77777777" w:rsidR="00AD2DF9" w:rsidRPr="00705F47" w:rsidRDefault="00AD2DF9" w:rsidP="0027618D">
      <w:pPr>
        <w:pStyle w:val="Bullet"/>
        <w:rPr>
          <w:lang w:eastAsia="en-NZ"/>
        </w:rPr>
      </w:pPr>
      <w:r w:rsidRPr="00705F47">
        <w:rPr>
          <w:lang w:eastAsia="en-NZ"/>
        </w:rPr>
        <w:t>18.6% of known pregnancies ended in an abortion in 2020, compared with 17.7% in 2019 (this percentage excludes miscarried pregnancies).</w:t>
      </w:r>
    </w:p>
    <w:p w14:paraId="63D42A3C" w14:textId="77777777" w:rsidR="00AD2DF9" w:rsidRPr="00705F47" w:rsidRDefault="00AD2DF9" w:rsidP="0027618D">
      <w:pPr>
        <w:pStyle w:val="Bullet"/>
        <w:rPr>
          <w:lang w:eastAsia="en-NZ"/>
        </w:rPr>
      </w:pPr>
      <w:r w:rsidRPr="00705F47">
        <w:rPr>
          <w:lang w:eastAsia="en-NZ"/>
        </w:rPr>
        <w:t xml:space="preserve">The data indicates </w:t>
      </w:r>
      <w:r w:rsidRPr="00705F47">
        <w:t>that abortion numbers have levelled off in New Zealand since 2014.</w:t>
      </w:r>
    </w:p>
    <w:p w14:paraId="5D653CDA" w14:textId="77777777" w:rsidR="00AD2DF9" w:rsidRPr="00705F47" w:rsidRDefault="00AD2DF9" w:rsidP="0027618D">
      <w:pPr>
        <w:pStyle w:val="Bullet"/>
        <w:rPr>
          <w:lang w:eastAsia="en-NZ"/>
        </w:rPr>
      </w:pPr>
      <w:r w:rsidRPr="00705F47">
        <w:t>Two facilities started providing abortion services for the first time in 2020: Timaru Hospital and the Family Planning Clinic in Whang</w:t>
      </w:r>
      <w:r w:rsidRPr="00705F47">
        <w:rPr>
          <w:rFonts w:cs="Segoe UI"/>
        </w:rPr>
        <w:t>ā</w:t>
      </w:r>
      <w:r w:rsidRPr="00705F47">
        <w:t>rei.</w:t>
      </w:r>
    </w:p>
    <w:p w14:paraId="0FDC571B" w14:textId="77777777" w:rsidR="00AD2DF9" w:rsidRPr="00705F47" w:rsidRDefault="00AD2DF9" w:rsidP="0027618D">
      <w:pPr>
        <w:pStyle w:val="Bullet"/>
        <w:rPr>
          <w:lang w:eastAsia="en-NZ"/>
        </w:rPr>
      </w:pPr>
      <w:r w:rsidRPr="00705F47">
        <w:rPr>
          <w:lang w:eastAsia="en-NZ"/>
        </w:rPr>
        <w:t>The mean age of those having an abortion in 2020 was 28 years.</w:t>
      </w:r>
    </w:p>
    <w:p w14:paraId="13066D78" w14:textId="77777777" w:rsidR="00AD2DF9" w:rsidRPr="00705F47" w:rsidRDefault="00AD2DF9" w:rsidP="0027618D">
      <w:pPr>
        <w:pStyle w:val="Bullet"/>
        <w:rPr>
          <w:lang w:eastAsia="en-NZ"/>
        </w:rPr>
      </w:pPr>
      <w:r w:rsidRPr="00705F47">
        <w:rPr>
          <w:lang w:eastAsia="en-NZ"/>
        </w:rPr>
        <w:t>40% of all abortions were for those aged 30 years and over, up from 34 percent in 2015.</w:t>
      </w:r>
    </w:p>
    <w:p w14:paraId="78A25315" w14:textId="77777777" w:rsidR="00AD2DF9" w:rsidRPr="00705F47" w:rsidRDefault="00AD2DF9" w:rsidP="0027618D">
      <w:pPr>
        <w:pStyle w:val="Bullet"/>
        <w:rPr>
          <w:lang w:eastAsia="en-NZ"/>
        </w:rPr>
      </w:pPr>
      <w:r w:rsidRPr="00705F47">
        <w:rPr>
          <w:lang w:eastAsia="en-NZ"/>
        </w:rPr>
        <w:t>Most abortions in 2020 (64%) were a first abortion, the same as in 2019.</w:t>
      </w:r>
    </w:p>
    <w:p w14:paraId="065A3934" w14:textId="77777777" w:rsidR="00AD2DF9" w:rsidRPr="00705F47" w:rsidRDefault="00AD2DF9" w:rsidP="0027618D">
      <w:pPr>
        <w:pStyle w:val="Bullet"/>
        <w:rPr>
          <w:lang w:eastAsia="en-NZ"/>
        </w:rPr>
      </w:pPr>
      <w:r w:rsidRPr="00705F47">
        <w:rPr>
          <w:lang w:eastAsia="en-NZ"/>
        </w:rPr>
        <w:t>21.7% of all abortions were for those identifying as Māori in 2020, a decrease from 23.1% in 2019.</w:t>
      </w:r>
    </w:p>
    <w:p w14:paraId="4E513B02" w14:textId="77777777" w:rsidR="00AD2DF9" w:rsidRPr="00705F47" w:rsidRDefault="00AD2DF9" w:rsidP="00465F63">
      <w:pPr>
        <w:pStyle w:val="Bullet"/>
        <w:keepNext/>
        <w:rPr>
          <w:lang w:eastAsia="en-NZ"/>
        </w:rPr>
      </w:pPr>
      <w:r w:rsidRPr="00705F47">
        <w:rPr>
          <w:lang w:eastAsia="en-NZ"/>
        </w:rPr>
        <w:lastRenderedPageBreak/>
        <w:t>8% of all abortions were for those identifying as Pacific peoples in 2020, a decrease from 9.8% in 2019.</w:t>
      </w:r>
    </w:p>
    <w:p w14:paraId="1D51A1A2" w14:textId="77777777" w:rsidR="00AD2DF9" w:rsidRPr="00705F47" w:rsidRDefault="00AD2DF9" w:rsidP="0027618D">
      <w:pPr>
        <w:pStyle w:val="Bullet"/>
        <w:rPr>
          <w:lang w:eastAsia="en-NZ"/>
        </w:rPr>
      </w:pPr>
      <w:r w:rsidRPr="00705F47">
        <w:rPr>
          <w:rFonts w:eastAsia="Segoe UI"/>
        </w:rPr>
        <w:t>In 2020, 45% of abortions were accessed before eight weeks</w:t>
      </w:r>
      <w:r w:rsidR="000E4CE5">
        <w:rPr>
          <w:rFonts w:eastAsia="Segoe UI"/>
        </w:rPr>
        <w:t>’</w:t>
      </w:r>
      <w:r w:rsidRPr="00705F47">
        <w:rPr>
          <w:rFonts w:eastAsia="Segoe UI"/>
        </w:rPr>
        <w:t xml:space="preserve"> gestation, compared with only 27% in 2019.</w:t>
      </w:r>
    </w:p>
    <w:p w14:paraId="5FB27886" w14:textId="77777777" w:rsidR="00AD2DF9" w:rsidRPr="00705F47" w:rsidRDefault="00AD2DF9" w:rsidP="0027618D">
      <w:pPr>
        <w:pStyle w:val="Bullet"/>
        <w:rPr>
          <w:lang w:eastAsia="en-NZ"/>
        </w:rPr>
      </w:pPr>
      <w:r w:rsidRPr="00705F47">
        <w:rPr>
          <w:lang w:eastAsia="en-NZ"/>
        </w:rPr>
        <w:t>The rate of early medical abortion increased significantly: 36% (4,774) had an EMA up to nine weeks</w:t>
      </w:r>
      <w:r w:rsidR="000E4CE5">
        <w:rPr>
          <w:lang w:eastAsia="en-NZ"/>
        </w:rPr>
        <w:t>’</w:t>
      </w:r>
      <w:r w:rsidRPr="00705F47">
        <w:rPr>
          <w:lang w:eastAsia="en-NZ"/>
        </w:rPr>
        <w:t xml:space="preserve"> gestation in 2020 compared with only 22% in 2019.</w:t>
      </w:r>
    </w:p>
    <w:p w14:paraId="5CC6A11E" w14:textId="77777777" w:rsidR="00AD2DF9" w:rsidRPr="00705F47" w:rsidRDefault="00AD2DF9" w:rsidP="0027618D">
      <w:pPr>
        <w:pStyle w:val="Bullet"/>
        <w:rPr>
          <w:lang w:eastAsia="en-NZ"/>
        </w:rPr>
      </w:pPr>
      <w:r w:rsidRPr="00705F47">
        <w:rPr>
          <w:lang w:eastAsia="en-NZ"/>
        </w:rPr>
        <w:t>Conversely surgical abortion decreased substantially, accounting for 59% (</w:t>
      </w:r>
      <w:r w:rsidRPr="00705F47">
        <w:rPr>
          <w:rFonts w:eastAsia="Segoe UI"/>
        </w:rPr>
        <w:t>7,802) of total abortions compared with 72% in 2019.</w:t>
      </w:r>
    </w:p>
    <w:p w14:paraId="4B1FE014" w14:textId="77777777" w:rsidR="00AD2DF9" w:rsidRDefault="00AD2DF9" w:rsidP="0027618D">
      <w:pPr>
        <w:pStyle w:val="Bullet"/>
      </w:pPr>
      <w:r w:rsidRPr="00705F47">
        <w:rPr>
          <w:lang w:eastAsia="en-NZ"/>
        </w:rPr>
        <w:t>Provision of contraception at the time of the abortion procedure fell in 2020. This may be because contraception provision was limited during Alert Levels 3 and 4 lockdown in response to the COVID-19 pandemic, and EMA and telehealth abortion provision increased, requiring patients to attend a separate contraception appointment after the abortion.</w:t>
      </w:r>
    </w:p>
    <w:p w14:paraId="20E4337D" w14:textId="77777777" w:rsidR="0027618D" w:rsidRPr="00705F47" w:rsidRDefault="0027618D" w:rsidP="0027618D"/>
    <w:p w14:paraId="6D97FC2D" w14:textId="77777777" w:rsidR="00AD2DF9" w:rsidRPr="00705F47" w:rsidRDefault="00AD2DF9" w:rsidP="0043091A">
      <w:pPr>
        <w:pStyle w:val="Heading2"/>
        <w:pageBreakBefore/>
      </w:pPr>
      <w:bookmarkStart w:id="37" w:name="_Toc83037208"/>
      <w:bookmarkStart w:id="38" w:name="_Toc84582308"/>
      <w:r w:rsidRPr="00705F47">
        <w:lastRenderedPageBreak/>
        <w:t>Abortion numbers, rates, and ratios</w:t>
      </w:r>
      <w:bookmarkEnd w:id="37"/>
      <w:bookmarkEnd w:id="38"/>
    </w:p>
    <w:p w14:paraId="7AB24C45" w14:textId="7A251DCF" w:rsidR="00AD2DF9" w:rsidRDefault="00AD2DF9" w:rsidP="00026427">
      <w:pPr>
        <w:rPr>
          <w:rFonts w:eastAsia="Segoe UI"/>
        </w:rPr>
      </w:pPr>
      <w:r w:rsidRPr="00705F47">
        <w:rPr>
          <w:rFonts w:eastAsia="Segoe UI"/>
        </w:rPr>
        <w:t>The number of abortions performed in 2020 (13,246) increased slightly compared with the number performed in 2019 (12,948</w:t>
      </w:r>
      <w:r w:rsidRPr="00705F47">
        <w:t>) (</w:t>
      </w:r>
      <w:r w:rsidR="00026427">
        <w:fldChar w:fldCharType="begin"/>
      </w:r>
      <w:r w:rsidR="00026427">
        <w:instrText xml:space="preserve"> REF _Ref82922324 \h </w:instrText>
      </w:r>
      <w:r w:rsidR="00026427">
        <w:fldChar w:fldCharType="separate"/>
      </w:r>
      <w:r w:rsidR="0090485D">
        <w:t>Figure </w:t>
      </w:r>
      <w:r w:rsidR="0090485D">
        <w:rPr>
          <w:noProof/>
        </w:rPr>
        <w:t>1</w:t>
      </w:r>
      <w:r w:rsidR="0090485D">
        <w:t>.</w:t>
      </w:r>
      <w:r w:rsidR="0090485D">
        <w:rPr>
          <w:noProof/>
        </w:rPr>
        <w:t>1</w:t>
      </w:r>
      <w:r w:rsidR="00026427">
        <w:fldChar w:fldCharType="end"/>
      </w:r>
      <w:r w:rsidRPr="00705F47">
        <w:t xml:space="preserve">). </w:t>
      </w:r>
      <w:r w:rsidRPr="00705F47">
        <w:rPr>
          <w:rFonts w:eastAsia="Segoe UI"/>
        </w:rPr>
        <w:t>The ratio was 186 abortions per 1,000 known pregnancies in 2020, up from 177 per 1,000 known pregnancies in 2019 (</w:t>
      </w:r>
      <w:r w:rsidR="00026427">
        <w:rPr>
          <w:rFonts w:eastAsia="Segoe UI"/>
        </w:rPr>
        <w:fldChar w:fldCharType="begin"/>
      </w:r>
      <w:r w:rsidR="00026427">
        <w:rPr>
          <w:rFonts w:eastAsia="Segoe UI"/>
        </w:rPr>
        <w:instrText xml:space="preserve"> REF _Ref82922375 \h </w:instrText>
      </w:r>
      <w:r w:rsidR="00026427">
        <w:rPr>
          <w:rFonts w:eastAsia="Segoe UI"/>
        </w:rPr>
      </w:r>
      <w:r w:rsidR="00026427">
        <w:rPr>
          <w:rFonts w:eastAsia="Segoe UI"/>
        </w:rPr>
        <w:fldChar w:fldCharType="separate"/>
      </w:r>
      <w:r w:rsidR="0090485D">
        <w:t>Figure </w:t>
      </w:r>
      <w:r w:rsidR="0090485D">
        <w:rPr>
          <w:noProof/>
        </w:rPr>
        <w:t>1</w:t>
      </w:r>
      <w:r w:rsidR="0090485D">
        <w:t>.</w:t>
      </w:r>
      <w:r w:rsidR="0090485D">
        <w:rPr>
          <w:noProof/>
        </w:rPr>
        <w:t>2</w:t>
      </w:r>
      <w:r w:rsidR="00026427">
        <w:rPr>
          <w:rFonts w:eastAsia="Segoe UI"/>
        </w:rPr>
        <w:fldChar w:fldCharType="end"/>
      </w:r>
      <w:r w:rsidRPr="00705F47">
        <w:rPr>
          <w:rFonts w:eastAsia="Segoe UI"/>
        </w:rPr>
        <w:t>). The general abortion rate in 2020 shows that 0.13% of women aged 15–44 years sought an abortion (</w:t>
      </w:r>
      <w:r w:rsidR="00026427">
        <w:rPr>
          <w:rFonts w:eastAsia="Segoe UI"/>
        </w:rPr>
        <w:fldChar w:fldCharType="begin"/>
      </w:r>
      <w:r w:rsidR="00026427">
        <w:rPr>
          <w:rFonts w:eastAsia="Segoe UI"/>
        </w:rPr>
        <w:instrText xml:space="preserve"> REF _Ref82923200 \h </w:instrText>
      </w:r>
      <w:r w:rsidR="00026427">
        <w:rPr>
          <w:rFonts w:eastAsia="Segoe UI"/>
        </w:rPr>
      </w:r>
      <w:r w:rsidR="00026427">
        <w:rPr>
          <w:rFonts w:eastAsia="Segoe UI"/>
        </w:rPr>
        <w:fldChar w:fldCharType="separate"/>
      </w:r>
      <w:r w:rsidR="0090485D">
        <w:t>Figure </w:t>
      </w:r>
      <w:r w:rsidR="0090485D">
        <w:rPr>
          <w:noProof/>
        </w:rPr>
        <w:t>1</w:t>
      </w:r>
      <w:r w:rsidR="0090485D">
        <w:t>.</w:t>
      </w:r>
      <w:r w:rsidR="0090485D">
        <w:rPr>
          <w:noProof/>
        </w:rPr>
        <w:t>3</w:t>
      </w:r>
      <w:r w:rsidR="00026427">
        <w:rPr>
          <w:rFonts w:eastAsia="Segoe UI"/>
        </w:rPr>
        <w:fldChar w:fldCharType="end"/>
      </w:r>
      <w:r w:rsidRPr="00705F47">
        <w:rPr>
          <w:rFonts w:eastAsia="Segoe UI"/>
        </w:rPr>
        <w:t>). This continues the downward trend in the general abortion rate of recent years.</w:t>
      </w:r>
    </w:p>
    <w:p w14:paraId="2524F212" w14:textId="77777777" w:rsidR="00026427" w:rsidRPr="00705F47" w:rsidRDefault="00026427" w:rsidP="00026427">
      <w:pPr>
        <w:rPr>
          <w:rFonts w:eastAsia="Segoe UI"/>
        </w:rPr>
      </w:pPr>
    </w:p>
    <w:p w14:paraId="156771E3" w14:textId="77777777" w:rsidR="00AD2DF9" w:rsidRDefault="00AD2DF9" w:rsidP="00026427">
      <w:r w:rsidRPr="00705F47">
        <w:rPr>
          <w:rFonts w:eastAsia="Segoe UI"/>
        </w:rPr>
        <w:t>Overall, t</w:t>
      </w:r>
      <w:r w:rsidRPr="00705F47">
        <w:t>he total number of abortions</w:t>
      </w:r>
      <w:r>
        <w:t xml:space="preserve"> and</w:t>
      </w:r>
      <w:r w:rsidRPr="00705F47">
        <w:t xml:space="preserve"> abortion ratio have remained consistent over the last seven years, indicating that abortions in New Zealand have levelled off.</w:t>
      </w:r>
    </w:p>
    <w:p w14:paraId="3C88C0AC" w14:textId="77777777" w:rsidR="00026427" w:rsidRPr="00705F47" w:rsidRDefault="00026427" w:rsidP="00026427"/>
    <w:p w14:paraId="65544A98" w14:textId="43F62E65" w:rsidR="00AD2DF9" w:rsidRDefault="00026427" w:rsidP="00026427">
      <w:pPr>
        <w:pStyle w:val="Figure"/>
        <w:rPr>
          <w:lang w:eastAsia="en-NZ"/>
        </w:rPr>
      </w:pPr>
      <w:bookmarkStart w:id="39" w:name="_Ref82922324"/>
      <w:bookmarkStart w:id="40" w:name="_Toc83037261"/>
      <w:bookmarkStart w:id="41" w:name="_Toc84419927"/>
      <w:r>
        <w:t>Figure </w:t>
      </w:r>
      <w:r w:rsidR="009E3B78">
        <w:fldChar w:fldCharType="begin"/>
      </w:r>
      <w:r w:rsidR="009E3B78">
        <w:instrText xml:space="preserve"> STYLEREF 2 \s </w:instrText>
      </w:r>
      <w:r w:rsidR="009E3B78">
        <w:fldChar w:fldCharType="separate"/>
      </w:r>
      <w:r w:rsidR="0090485D">
        <w:rPr>
          <w:noProof/>
        </w:rPr>
        <w:t>1</w:t>
      </w:r>
      <w:r w:rsidR="009E3B78">
        <w:rPr>
          <w:noProof/>
        </w:rPr>
        <w:fldChar w:fldCharType="end"/>
      </w:r>
      <w:r w:rsidR="00301720">
        <w:t>.</w:t>
      </w:r>
      <w:r w:rsidR="009E3B78">
        <w:fldChar w:fldCharType="begin"/>
      </w:r>
      <w:r w:rsidR="009E3B78">
        <w:instrText xml:space="preserve"> SEQ Figure \* ARABIC \s 2 </w:instrText>
      </w:r>
      <w:r w:rsidR="009E3B78">
        <w:fldChar w:fldCharType="separate"/>
      </w:r>
      <w:r w:rsidR="0090485D">
        <w:rPr>
          <w:noProof/>
        </w:rPr>
        <w:t>1</w:t>
      </w:r>
      <w:r w:rsidR="009E3B78">
        <w:rPr>
          <w:noProof/>
        </w:rPr>
        <w:fldChar w:fldCharType="end"/>
      </w:r>
      <w:bookmarkEnd w:id="39"/>
      <w:r w:rsidR="00AD2DF9" w:rsidRPr="00705F47">
        <w:rPr>
          <w:lang w:eastAsia="en-NZ"/>
        </w:rPr>
        <w:t>: Number of abortions by year, 2010–2020</w:t>
      </w:r>
      <w:bookmarkEnd w:id="40"/>
      <w:bookmarkEnd w:id="41"/>
    </w:p>
    <w:p w14:paraId="6DBE8754" w14:textId="77777777" w:rsidR="00AD2DF9" w:rsidRDefault="005C3173" w:rsidP="005C3173">
      <w:pPr>
        <w:rPr>
          <w:lang w:eastAsia="en-NZ"/>
        </w:rPr>
      </w:pPr>
      <w:r>
        <w:rPr>
          <w:noProof/>
          <w:lang w:eastAsia="en-NZ"/>
        </w:rPr>
        <w:drawing>
          <wp:inline distT="0" distB="0" distL="0" distR="0" wp14:anchorId="5B930D17" wp14:editId="336A18FA">
            <wp:extent cx="5112327" cy="3119481"/>
            <wp:effectExtent l="0" t="0" r="0" b="0"/>
            <wp:docPr id="1" name="Picture 1" title="Figure 1.1: Number of abortions by year, 2010–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18362" cy="3123163"/>
                    </a:xfrm>
                    <a:prstGeom prst="rect">
                      <a:avLst/>
                    </a:prstGeom>
                    <a:noFill/>
                  </pic:spPr>
                </pic:pic>
              </a:graphicData>
            </a:graphic>
          </wp:inline>
        </w:drawing>
      </w:r>
    </w:p>
    <w:p w14:paraId="37BC2079" w14:textId="77777777" w:rsidR="00465F63" w:rsidRPr="00B669B6" w:rsidRDefault="00465F63" w:rsidP="005C3173">
      <w:pPr>
        <w:rPr>
          <w:lang w:eastAsia="en-NZ"/>
        </w:rPr>
      </w:pPr>
    </w:p>
    <w:p w14:paraId="415A80C0" w14:textId="54585092" w:rsidR="00AD2DF9" w:rsidRDefault="00026427" w:rsidP="005C3173">
      <w:pPr>
        <w:pStyle w:val="Figure"/>
        <w:spacing w:before="360"/>
        <w:rPr>
          <w:lang w:eastAsia="en-NZ"/>
        </w:rPr>
      </w:pPr>
      <w:bookmarkStart w:id="42" w:name="_Ref82922375"/>
      <w:bookmarkStart w:id="43" w:name="_Toc83037262"/>
      <w:bookmarkStart w:id="44" w:name="_Toc84419928"/>
      <w:r>
        <w:lastRenderedPageBreak/>
        <w:t>Figure </w:t>
      </w:r>
      <w:r w:rsidR="009E3B78">
        <w:fldChar w:fldCharType="begin"/>
      </w:r>
      <w:r w:rsidR="009E3B78">
        <w:instrText xml:space="preserve"> STYLEREF 2 \s </w:instrText>
      </w:r>
      <w:r w:rsidR="009E3B78">
        <w:fldChar w:fldCharType="separate"/>
      </w:r>
      <w:r w:rsidR="0090485D">
        <w:rPr>
          <w:noProof/>
        </w:rPr>
        <w:t>1</w:t>
      </w:r>
      <w:r w:rsidR="009E3B78">
        <w:rPr>
          <w:noProof/>
        </w:rPr>
        <w:fldChar w:fldCharType="end"/>
      </w:r>
      <w:r w:rsidR="00301720">
        <w:t>.</w:t>
      </w:r>
      <w:r w:rsidR="009E3B78">
        <w:fldChar w:fldCharType="begin"/>
      </w:r>
      <w:r w:rsidR="009E3B78">
        <w:instrText xml:space="preserve"> SEQ Figure \* ARABIC \s 2 </w:instrText>
      </w:r>
      <w:r w:rsidR="009E3B78">
        <w:fldChar w:fldCharType="separate"/>
      </w:r>
      <w:r w:rsidR="0090485D">
        <w:rPr>
          <w:noProof/>
        </w:rPr>
        <w:t>2</w:t>
      </w:r>
      <w:r w:rsidR="009E3B78">
        <w:rPr>
          <w:noProof/>
        </w:rPr>
        <w:fldChar w:fldCharType="end"/>
      </w:r>
      <w:bookmarkEnd w:id="42"/>
      <w:r w:rsidR="00AD2DF9" w:rsidRPr="00705F47">
        <w:rPr>
          <w:lang w:eastAsia="en-NZ"/>
        </w:rPr>
        <w:t>: Abortion ratio, 2010–2020</w:t>
      </w:r>
      <w:bookmarkEnd w:id="43"/>
      <w:bookmarkEnd w:id="44"/>
    </w:p>
    <w:p w14:paraId="480A1A7E" w14:textId="77777777" w:rsidR="00AD2DF9" w:rsidRPr="00DE16E7" w:rsidRDefault="00F7003F" w:rsidP="00F7003F">
      <w:pPr>
        <w:rPr>
          <w:lang w:eastAsia="en-NZ"/>
        </w:rPr>
      </w:pPr>
      <w:r>
        <w:rPr>
          <w:noProof/>
          <w:lang w:eastAsia="en-NZ"/>
        </w:rPr>
        <w:drawing>
          <wp:inline distT="0" distB="0" distL="0" distR="0" wp14:anchorId="084CFEB3" wp14:editId="0FD2C5E7">
            <wp:extent cx="5112327" cy="3119482"/>
            <wp:effectExtent l="0" t="0" r="0" b="0"/>
            <wp:docPr id="4" name="Picture 4" descr="Graph showing number of abortions per 1,000 known pregnancies from 2010 to 2020 with 205 in 2010 and 186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 showing number of abortions per 1,000 known pregnancies from 2010 to 2020 with 205 in 2010 and 186 in 20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17788" cy="3122814"/>
                    </a:xfrm>
                    <a:prstGeom prst="rect">
                      <a:avLst/>
                    </a:prstGeom>
                    <a:noFill/>
                  </pic:spPr>
                </pic:pic>
              </a:graphicData>
            </a:graphic>
          </wp:inline>
        </w:drawing>
      </w:r>
    </w:p>
    <w:p w14:paraId="46A73E52" w14:textId="77777777" w:rsidR="00AD2DF9" w:rsidRPr="00705F47" w:rsidRDefault="00AD2DF9" w:rsidP="00F7003F">
      <w:pPr>
        <w:pStyle w:val="Note"/>
      </w:pPr>
      <w:r w:rsidRPr="00705F47">
        <w:t>Note: Known pregnancies include live births, stillbirths and abortions combined, but do not include miscarriages.</w:t>
      </w:r>
    </w:p>
    <w:p w14:paraId="190EB4DF" w14:textId="77777777" w:rsidR="00AD2DF9" w:rsidRPr="00705F47" w:rsidRDefault="00AD2DF9" w:rsidP="00F7003F"/>
    <w:p w14:paraId="643D83C2" w14:textId="4324E505" w:rsidR="00AD2DF9" w:rsidRDefault="00026427" w:rsidP="00026427">
      <w:pPr>
        <w:pStyle w:val="Figure"/>
      </w:pPr>
      <w:bookmarkStart w:id="45" w:name="_Ref82923200"/>
      <w:bookmarkStart w:id="46" w:name="_Toc83037263"/>
      <w:bookmarkStart w:id="47" w:name="_Toc84419929"/>
      <w:r>
        <w:t>Figure </w:t>
      </w:r>
      <w:r w:rsidR="009E3B78">
        <w:fldChar w:fldCharType="begin"/>
      </w:r>
      <w:r w:rsidR="009E3B78">
        <w:instrText xml:space="preserve"> STYLEREF 2 \s </w:instrText>
      </w:r>
      <w:r w:rsidR="009E3B78">
        <w:fldChar w:fldCharType="separate"/>
      </w:r>
      <w:r w:rsidR="0090485D">
        <w:rPr>
          <w:noProof/>
        </w:rPr>
        <w:t>1</w:t>
      </w:r>
      <w:r w:rsidR="009E3B78">
        <w:rPr>
          <w:noProof/>
        </w:rPr>
        <w:fldChar w:fldCharType="end"/>
      </w:r>
      <w:r w:rsidR="00301720">
        <w:t>.</w:t>
      </w:r>
      <w:r w:rsidR="009E3B78">
        <w:fldChar w:fldCharType="begin"/>
      </w:r>
      <w:r w:rsidR="009E3B78">
        <w:instrText xml:space="preserve"> SEQ Figure \* ARABIC \s</w:instrText>
      </w:r>
      <w:r w:rsidR="009E3B78">
        <w:instrText xml:space="preserve"> 2 </w:instrText>
      </w:r>
      <w:r w:rsidR="009E3B78">
        <w:fldChar w:fldCharType="separate"/>
      </w:r>
      <w:r w:rsidR="0090485D">
        <w:rPr>
          <w:noProof/>
        </w:rPr>
        <w:t>3</w:t>
      </w:r>
      <w:r w:rsidR="009E3B78">
        <w:rPr>
          <w:noProof/>
        </w:rPr>
        <w:fldChar w:fldCharType="end"/>
      </w:r>
      <w:bookmarkEnd w:id="45"/>
      <w:r w:rsidR="00AD2DF9" w:rsidRPr="00705F47">
        <w:t>: General abortion rate, 2010–2020</w:t>
      </w:r>
      <w:bookmarkEnd w:id="46"/>
      <w:bookmarkEnd w:id="47"/>
    </w:p>
    <w:p w14:paraId="26F4A4E3" w14:textId="77777777" w:rsidR="00AD2DF9" w:rsidRPr="00BC6ECF" w:rsidRDefault="00F7003F" w:rsidP="00F7003F">
      <w:r>
        <w:rPr>
          <w:noProof/>
          <w:lang w:eastAsia="en-NZ"/>
        </w:rPr>
        <w:drawing>
          <wp:inline distT="0" distB="0" distL="0" distR="0" wp14:anchorId="32371B1C" wp14:editId="61C3EC53">
            <wp:extent cx="5135953" cy="3133898"/>
            <wp:effectExtent l="0" t="0" r="0" b="0"/>
            <wp:docPr id="7" name="Picture 7" descr="Graph showing the general abortion rate from 2010 to 2020 has declined from 18.2 in 2010 to 13.0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 showing the general abortion rate from 2010 to 2020 has declined from 18.2 in 2010 to 13.0 in 20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37430" cy="3134799"/>
                    </a:xfrm>
                    <a:prstGeom prst="rect">
                      <a:avLst/>
                    </a:prstGeom>
                    <a:noFill/>
                  </pic:spPr>
                </pic:pic>
              </a:graphicData>
            </a:graphic>
          </wp:inline>
        </w:drawing>
      </w:r>
    </w:p>
    <w:p w14:paraId="1266522A" w14:textId="77777777" w:rsidR="00AD2DF9" w:rsidRDefault="00AD2DF9" w:rsidP="00F7003F">
      <w:pPr>
        <w:pStyle w:val="Note"/>
        <w:rPr>
          <w:szCs w:val="22"/>
          <w:lang w:eastAsia="en-NZ"/>
        </w:rPr>
      </w:pPr>
      <w:r w:rsidRPr="00705F47">
        <w:rPr>
          <w:lang w:eastAsia="en-NZ"/>
        </w:rPr>
        <w:t>Note: The general abortion rate is the number of abortions per 1,000 of the mean estimated population of women aged 15–44 years. For 2020 data, the denominator is the estimated number of women in New Zealand aged 15–44 years, mean year ended 31 December 2020</w:t>
      </w:r>
      <w:r w:rsidRPr="00705F47">
        <w:rPr>
          <w:szCs w:val="22"/>
          <w:lang w:eastAsia="en-NZ"/>
        </w:rPr>
        <w:t>.</w:t>
      </w:r>
    </w:p>
    <w:p w14:paraId="7A6AC37C" w14:textId="77777777" w:rsidR="00026427" w:rsidRPr="00026427" w:rsidRDefault="00026427" w:rsidP="00026427">
      <w:pPr>
        <w:rPr>
          <w:lang w:eastAsia="en-NZ"/>
        </w:rPr>
      </w:pPr>
    </w:p>
    <w:p w14:paraId="6CDA6F05" w14:textId="77777777" w:rsidR="00AD2DF9" w:rsidRPr="00705F47" w:rsidRDefault="00AD2DF9" w:rsidP="000E355B">
      <w:pPr>
        <w:pStyle w:val="Heading2"/>
      </w:pPr>
      <w:bookmarkStart w:id="48" w:name="_Toc83037209"/>
      <w:bookmarkStart w:id="49" w:name="_Toc84582309"/>
      <w:r w:rsidRPr="00705F47">
        <w:lastRenderedPageBreak/>
        <w:t>Abortions by facility and region</w:t>
      </w:r>
      <w:bookmarkEnd w:id="48"/>
      <w:bookmarkEnd w:id="49"/>
    </w:p>
    <w:p w14:paraId="12E20024" w14:textId="77777777" w:rsidR="000E4CE5" w:rsidRPr="00465F63" w:rsidRDefault="00AD2DF9" w:rsidP="00026427">
      <w:pPr>
        <w:pStyle w:val="Heading3"/>
        <w:rPr>
          <w:rFonts w:eastAsia="Segoe UI"/>
        </w:rPr>
      </w:pPr>
      <w:r w:rsidRPr="00705F47">
        <w:rPr>
          <w:rFonts w:eastAsia="Segoe UI"/>
        </w:rPr>
        <w:t>Number of abortions by facility</w:t>
      </w:r>
    </w:p>
    <w:p w14:paraId="032C1928" w14:textId="47C4E053" w:rsidR="000E4CE5" w:rsidRDefault="00AD2DF9" w:rsidP="00026427">
      <w:pPr>
        <w:rPr>
          <w:rFonts w:eastAsia="Segoe UI"/>
        </w:rPr>
      </w:pPr>
      <w:r w:rsidRPr="00705F47">
        <w:rPr>
          <w:rFonts w:eastAsia="Segoe UI"/>
        </w:rPr>
        <w:t>In 2020, 25 separate facilities provided abortions (</w:t>
      </w:r>
      <w:r w:rsidR="00026427">
        <w:rPr>
          <w:rFonts w:eastAsia="Segoe UI"/>
        </w:rPr>
        <w:fldChar w:fldCharType="begin"/>
      </w:r>
      <w:r w:rsidR="00026427">
        <w:rPr>
          <w:rFonts w:eastAsia="Segoe UI"/>
        </w:rPr>
        <w:instrText xml:space="preserve"> REF _Ref82923901 \h </w:instrText>
      </w:r>
      <w:r w:rsidR="00026427">
        <w:rPr>
          <w:rFonts w:eastAsia="Segoe UI"/>
        </w:rPr>
      </w:r>
      <w:r w:rsidR="00026427">
        <w:rPr>
          <w:rFonts w:eastAsia="Segoe UI"/>
        </w:rPr>
        <w:fldChar w:fldCharType="separate"/>
      </w:r>
      <w:r w:rsidR="0090485D">
        <w:t>Figure </w:t>
      </w:r>
      <w:r w:rsidR="0090485D">
        <w:rPr>
          <w:noProof/>
        </w:rPr>
        <w:t>2</w:t>
      </w:r>
      <w:r w:rsidR="0090485D">
        <w:t>.</w:t>
      </w:r>
      <w:r w:rsidR="0090485D">
        <w:rPr>
          <w:noProof/>
        </w:rPr>
        <w:t>1</w:t>
      </w:r>
      <w:r w:rsidR="00026427">
        <w:rPr>
          <w:rFonts w:eastAsia="Segoe UI"/>
        </w:rPr>
        <w:fldChar w:fldCharType="end"/>
      </w:r>
      <w:r w:rsidRPr="00705F47">
        <w:rPr>
          <w:rFonts w:eastAsia="Segoe UI"/>
        </w:rPr>
        <w:t>). Two facilities started providing abortions in that year: Timaru Hospital, which provides first- and second-trimester abortion services; and the Family Planning Clinic in Whang</w:t>
      </w:r>
      <w:r w:rsidRPr="00705F47">
        <w:rPr>
          <w:rFonts w:eastAsia="Segoe UI" w:cs="Segoe UI"/>
        </w:rPr>
        <w:t>ā</w:t>
      </w:r>
      <w:r w:rsidRPr="00705F47">
        <w:rPr>
          <w:rFonts w:eastAsia="Segoe UI"/>
        </w:rPr>
        <w:t>rei, which</w:t>
      </w:r>
      <w:r w:rsidRPr="00705F47" w:rsidDel="00032C0D">
        <w:rPr>
          <w:rFonts w:eastAsia="Segoe UI"/>
        </w:rPr>
        <w:t xml:space="preserve"> </w:t>
      </w:r>
      <w:r w:rsidRPr="00705F47">
        <w:rPr>
          <w:rFonts w:eastAsia="Segoe UI"/>
        </w:rPr>
        <w:t>provides a first trimester EMA service.</w:t>
      </w:r>
    </w:p>
    <w:p w14:paraId="4DCDD039" w14:textId="77777777" w:rsidR="00026427" w:rsidRDefault="00026427" w:rsidP="00026427">
      <w:pPr>
        <w:rPr>
          <w:rFonts w:eastAsia="Segoe UI" w:cs="Segoe UI"/>
          <w:szCs w:val="22"/>
        </w:rPr>
      </w:pPr>
    </w:p>
    <w:p w14:paraId="6BB9F97E" w14:textId="77777777" w:rsidR="00AD2DF9" w:rsidRDefault="00AD2DF9" w:rsidP="00026427">
      <w:pPr>
        <w:rPr>
          <w:rFonts w:eastAsia="Segoe UI"/>
        </w:rPr>
      </w:pPr>
      <w:r w:rsidRPr="00705F47">
        <w:rPr>
          <w:rFonts w:eastAsia="Segoe UI" w:cs="Segoe UI"/>
          <w:szCs w:val="22"/>
        </w:rPr>
        <w:t xml:space="preserve">In most cases, each </w:t>
      </w:r>
      <w:r>
        <w:rPr>
          <w:rFonts w:eastAsia="Segoe UI" w:cs="Segoe UI"/>
          <w:szCs w:val="22"/>
        </w:rPr>
        <w:t>facility</w:t>
      </w:r>
      <w:r w:rsidRPr="00705F47" w:rsidDel="00823E5B">
        <w:rPr>
          <w:rFonts w:eastAsia="Segoe UI" w:cs="Segoe UI"/>
          <w:szCs w:val="22"/>
        </w:rPr>
        <w:t xml:space="preserve"> </w:t>
      </w:r>
      <w:r w:rsidRPr="00705F47">
        <w:rPr>
          <w:rFonts w:eastAsia="Segoe UI" w:cs="Segoe UI"/>
          <w:szCs w:val="22"/>
        </w:rPr>
        <w:t>provided abortion care to a similar number of patients in 2020 compared with 2019</w:t>
      </w:r>
      <w:r>
        <w:rPr>
          <w:rFonts w:eastAsia="Segoe UI" w:cs="Segoe UI"/>
          <w:szCs w:val="22"/>
        </w:rPr>
        <w:t>.</w:t>
      </w:r>
      <w:r w:rsidR="000E4CE5">
        <w:rPr>
          <w:rFonts w:eastAsia="Segoe UI" w:cs="Segoe UI"/>
          <w:szCs w:val="22"/>
        </w:rPr>
        <w:t xml:space="preserve"> </w:t>
      </w:r>
      <w:r w:rsidRPr="00705F47">
        <w:rPr>
          <w:rFonts w:eastAsia="Segoe UI"/>
        </w:rPr>
        <w:t>The Ministry expects that work over the next year will enable more health practitioners practising in primary and community health care settings to provide abortion services. Over time this may result in a shift away from abortion provision in hospital settings.</w:t>
      </w:r>
    </w:p>
    <w:p w14:paraId="58A53EFF" w14:textId="77777777" w:rsidR="00026427" w:rsidRPr="00705F47" w:rsidRDefault="00026427" w:rsidP="00026427">
      <w:pPr>
        <w:rPr>
          <w:rFonts w:eastAsia="Segoe UI"/>
        </w:rPr>
      </w:pPr>
    </w:p>
    <w:p w14:paraId="566EAFF3" w14:textId="77777777" w:rsidR="000E4CE5" w:rsidRDefault="00AD2DF9" w:rsidP="00026427">
      <w:pPr>
        <w:rPr>
          <w:rFonts w:cs="Segoe UI"/>
          <w:szCs w:val="22"/>
        </w:rPr>
      </w:pPr>
      <w:r w:rsidRPr="00705F47">
        <w:rPr>
          <w:rFonts w:cs="Segoe UI"/>
          <w:szCs w:val="22"/>
        </w:rPr>
        <w:t xml:space="preserve">Visit </w:t>
      </w:r>
      <w:hyperlink r:id="rId24" w:history="1">
        <w:r w:rsidRPr="00705F47">
          <w:rPr>
            <w:rStyle w:val="Hyperlink"/>
            <w:rFonts w:cs="Segoe UI"/>
            <w:szCs w:val="22"/>
          </w:rPr>
          <w:t>abortion provider locations</w:t>
        </w:r>
      </w:hyperlink>
      <w:r w:rsidRPr="00705F47">
        <w:rPr>
          <w:rFonts w:cs="Segoe UI"/>
          <w:szCs w:val="22"/>
        </w:rPr>
        <w:t xml:space="preserve"> on the Ministry of Health website for up-to-date information on abortion providers.</w:t>
      </w:r>
    </w:p>
    <w:p w14:paraId="6F60EC05" w14:textId="77777777" w:rsidR="00026427" w:rsidRDefault="00026427" w:rsidP="00026427">
      <w:pPr>
        <w:rPr>
          <w:rFonts w:cs="Segoe UI"/>
          <w:szCs w:val="22"/>
        </w:rPr>
      </w:pPr>
    </w:p>
    <w:p w14:paraId="744B677C" w14:textId="54BE7055" w:rsidR="000E4CE5" w:rsidRDefault="00026427" w:rsidP="00026427">
      <w:pPr>
        <w:pStyle w:val="Figure"/>
        <w:rPr>
          <w:lang w:eastAsia="en-NZ"/>
        </w:rPr>
      </w:pPr>
      <w:bookmarkStart w:id="50" w:name="_Ref82923901"/>
      <w:bookmarkStart w:id="51" w:name="_Toc83037283"/>
      <w:bookmarkStart w:id="52" w:name="_Toc84419930"/>
      <w:r>
        <w:t>Figure </w:t>
      </w:r>
      <w:r w:rsidR="009E3B78">
        <w:fldChar w:fldCharType="begin"/>
      </w:r>
      <w:r w:rsidR="009E3B78">
        <w:instrText xml:space="preserve"> STYLEREF 2 \s </w:instrText>
      </w:r>
      <w:r w:rsidR="009E3B78">
        <w:fldChar w:fldCharType="separate"/>
      </w:r>
      <w:r w:rsidR="0090485D">
        <w:rPr>
          <w:noProof/>
        </w:rPr>
        <w:t>2</w:t>
      </w:r>
      <w:r w:rsidR="009E3B78">
        <w:rPr>
          <w:noProof/>
        </w:rPr>
        <w:fldChar w:fldCharType="end"/>
      </w:r>
      <w:r w:rsidR="00301720">
        <w:t>.</w:t>
      </w:r>
      <w:r w:rsidR="009E3B78">
        <w:fldChar w:fldCharType="begin"/>
      </w:r>
      <w:r w:rsidR="009E3B78">
        <w:instrText xml:space="preserve"> SEQ Figure \* ARABIC \s 2 </w:instrText>
      </w:r>
      <w:r w:rsidR="009E3B78">
        <w:fldChar w:fldCharType="separate"/>
      </w:r>
      <w:r w:rsidR="0090485D">
        <w:rPr>
          <w:noProof/>
        </w:rPr>
        <w:t>1</w:t>
      </w:r>
      <w:r w:rsidR="009E3B78">
        <w:rPr>
          <w:noProof/>
        </w:rPr>
        <w:fldChar w:fldCharType="end"/>
      </w:r>
      <w:bookmarkEnd w:id="50"/>
      <w:r w:rsidR="00AD2DF9" w:rsidRPr="00705F47">
        <w:rPr>
          <w:lang w:eastAsia="en-NZ"/>
        </w:rPr>
        <w:t>: Number of abortions by facility</w:t>
      </w:r>
      <w:bookmarkEnd w:id="51"/>
      <w:bookmarkEnd w:id="52"/>
    </w:p>
    <w:p w14:paraId="0BCE0101" w14:textId="77777777" w:rsidR="00AD2DF9" w:rsidRPr="00210EEE" w:rsidRDefault="00834A7B" w:rsidP="00834A7B">
      <w:pPr>
        <w:rPr>
          <w:lang w:eastAsia="en-NZ"/>
        </w:rPr>
      </w:pPr>
      <w:r>
        <w:rPr>
          <w:noProof/>
          <w:lang w:eastAsia="en-NZ"/>
        </w:rPr>
        <w:drawing>
          <wp:inline distT="0" distB="0" distL="0" distR="0" wp14:anchorId="35C47B98" wp14:editId="3F03F300">
            <wp:extent cx="5125863" cy="4246575"/>
            <wp:effectExtent l="0" t="0" r="0" b="1905"/>
            <wp:docPr id="9" name="Picture 9" descr="Graph showing facilities providing abortion services in New Zealand form Family Planning Whangarei (11 in 2020) to Epsom Day Auckland (3,855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 showing facilities providing abortion services in New Zealand form Family Planning Whangarei (11 in 2020) to Epsom Day Auckland (3,855 in 2020)"/>
                    <pic:cNvPicPr>
                      <a:picLocks noChangeAspect="1" noChangeArrowheads="1"/>
                    </pic:cNvPicPr>
                  </pic:nvPicPr>
                  <pic:blipFill rotWithShape="1">
                    <a:blip r:embed="rId25">
                      <a:extLst>
                        <a:ext uri="{28A0092B-C50C-407E-A947-70E740481C1C}">
                          <a14:useLocalDpi xmlns:a14="http://schemas.microsoft.com/office/drawing/2010/main" val="0"/>
                        </a:ext>
                      </a:extLst>
                    </a:blip>
                    <a:srcRect r="26263"/>
                    <a:stretch/>
                  </pic:blipFill>
                  <pic:spPr bwMode="auto">
                    <a:xfrm>
                      <a:off x="0" y="0"/>
                      <a:ext cx="5126667" cy="4247241"/>
                    </a:xfrm>
                    <a:prstGeom prst="rect">
                      <a:avLst/>
                    </a:prstGeom>
                    <a:noFill/>
                    <a:ln>
                      <a:noFill/>
                    </a:ln>
                    <a:extLst>
                      <a:ext uri="{53640926-AAD7-44D8-BBD7-CCE9431645EC}">
                        <a14:shadowObscured xmlns:a14="http://schemas.microsoft.com/office/drawing/2010/main"/>
                      </a:ext>
                    </a:extLst>
                  </pic:spPr>
                </pic:pic>
              </a:graphicData>
            </a:graphic>
          </wp:inline>
        </w:drawing>
      </w:r>
    </w:p>
    <w:p w14:paraId="790927B3" w14:textId="77777777" w:rsidR="00026427" w:rsidRDefault="00AD2DF9" w:rsidP="00026427">
      <w:pPr>
        <w:pStyle w:val="Note"/>
        <w:rPr>
          <w:szCs w:val="22"/>
          <w:lang w:eastAsia="en-NZ"/>
        </w:rPr>
      </w:pPr>
      <w:r w:rsidRPr="00705F47">
        <w:rPr>
          <w:szCs w:val="22"/>
          <w:lang w:eastAsia="en-NZ"/>
        </w:rPr>
        <w:t>Note</w:t>
      </w:r>
      <w:r w:rsidR="00026427">
        <w:rPr>
          <w:szCs w:val="22"/>
          <w:lang w:eastAsia="en-NZ"/>
        </w:rPr>
        <w:t>s</w:t>
      </w:r>
      <w:r w:rsidRPr="00705F47">
        <w:rPr>
          <w:szCs w:val="22"/>
          <w:lang w:eastAsia="en-NZ"/>
        </w:rPr>
        <w:t>:</w:t>
      </w:r>
    </w:p>
    <w:p w14:paraId="6F4501E6" w14:textId="77777777" w:rsidR="00AD2DF9" w:rsidRDefault="00AD2DF9" w:rsidP="00834A7B">
      <w:pPr>
        <w:pStyle w:val="Note"/>
        <w:spacing w:before="0"/>
        <w:ind w:left="284" w:hanging="284"/>
        <w:rPr>
          <w:lang w:eastAsia="en-NZ"/>
        </w:rPr>
      </w:pPr>
      <w:r w:rsidRPr="00705F47">
        <w:rPr>
          <w:szCs w:val="22"/>
          <w:lang w:eastAsia="en-NZ"/>
        </w:rPr>
        <w:t>*</w:t>
      </w:r>
      <w:r w:rsidR="00026427">
        <w:rPr>
          <w:szCs w:val="22"/>
          <w:lang w:eastAsia="en-NZ"/>
        </w:rPr>
        <w:tab/>
      </w:r>
      <w:r w:rsidRPr="00705F47">
        <w:rPr>
          <w:lang w:eastAsia="en-NZ"/>
        </w:rPr>
        <w:t>New services started 2020.</w:t>
      </w:r>
    </w:p>
    <w:p w14:paraId="4566C8C5" w14:textId="77777777" w:rsidR="00AD2DF9" w:rsidRPr="00705F47" w:rsidRDefault="00AD2DF9" w:rsidP="00834A7B">
      <w:pPr>
        <w:pStyle w:val="Note"/>
        <w:spacing w:before="0"/>
        <w:ind w:left="284" w:hanging="284"/>
        <w:rPr>
          <w:lang w:eastAsia="en-NZ"/>
        </w:rPr>
      </w:pPr>
      <w:r>
        <w:rPr>
          <w:lang w:eastAsia="en-NZ"/>
        </w:rPr>
        <w:t>**</w:t>
      </w:r>
      <w:r w:rsidR="00026427">
        <w:rPr>
          <w:lang w:eastAsia="en-NZ"/>
        </w:rPr>
        <w:tab/>
      </w:r>
      <w:r>
        <w:rPr>
          <w:lang w:eastAsia="en-NZ"/>
        </w:rPr>
        <w:t>Christchurch hospitals represent Christchurch Women</w:t>
      </w:r>
      <w:r w:rsidR="000E4CE5">
        <w:rPr>
          <w:lang w:eastAsia="en-NZ"/>
        </w:rPr>
        <w:t>’</w:t>
      </w:r>
      <w:r>
        <w:rPr>
          <w:lang w:eastAsia="en-NZ"/>
        </w:rPr>
        <w:t>s Hospital and Christchurch Hospital</w:t>
      </w:r>
      <w:r w:rsidR="00026427">
        <w:rPr>
          <w:lang w:eastAsia="en-NZ"/>
        </w:rPr>
        <w:t>.</w:t>
      </w:r>
    </w:p>
    <w:p w14:paraId="1330FCEB" w14:textId="77777777" w:rsidR="00AD2DF9" w:rsidRDefault="00AD2DF9" w:rsidP="00834A7B">
      <w:pPr>
        <w:pStyle w:val="Note"/>
        <w:spacing w:before="0"/>
        <w:rPr>
          <w:lang w:eastAsia="en-NZ"/>
        </w:rPr>
      </w:pPr>
      <w:r w:rsidRPr="00705F47">
        <w:rPr>
          <w:lang w:eastAsia="en-NZ"/>
        </w:rPr>
        <w:t>Hutt and Palmerston North hospitals are not represented in this figure because of the low number of abortions they performed (a combined total of four) in 2020.</w:t>
      </w:r>
    </w:p>
    <w:p w14:paraId="5963848F" w14:textId="77777777" w:rsidR="00AD2DF9" w:rsidRPr="00705F47" w:rsidRDefault="00AD2DF9" w:rsidP="00834A7B">
      <w:pPr>
        <w:pStyle w:val="Heading3"/>
        <w:spacing w:before="600"/>
        <w:rPr>
          <w:rFonts w:eastAsia="Segoe UI"/>
        </w:rPr>
      </w:pPr>
      <w:r w:rsidRPr="00705F47">
        <w:rPr>
          <w:rFonts w:eastAsia="Segoe UI"/>
        </w:rPr>
        <w:lastRenderedPageBreak/>
        <w:t>Abortions by residence of patient (DHB of domicile)</w:t>
      </w:r>
    </w:p>
    <w:p w14:paraId="59E13CD6" w14:textId="0070E385" w:rsidR="00AD2DF9" w:rsidRDefault="00AD2DF9" w:rsidP="00026427">
      <w:pPr>
        <w:rPr>
          <w:rFonts w:eastAsia="Segoe UI"/>
        </w:rPr>
      </w:pPr>
      <w:r w:rsidRPr="00705F47">
        <w:rPr>
          <w:rFonts w:eastAsia="Segoe UI"/>
        </w:rPr>
        <w:t xml:space="preserve">In most cases, a similar number </w:t>
      </w:r>
      <w:r>
        <w:rPr>
          <w:rFonts w:eastAsia="Segoe UI"/>
        </w:rPr>
        <w:t xml:space="preserve">of patients from </w:t>
      </w:r>
      <w:r w:rsidRPr="00705F47">
        <w:rPr>
          <w:rFonts w:eastAsia="Segoe UI"/>
        </w:rPr>
        <w:t>each DHB region</w:t>
      </w:r>
      <w:r w:rsidRPr="00705F47" w:rsidDel="00823E5B">
        <w:rPr>
          <w:rFonts w:eastAsia="Segoe UI"/>
        </w:rPr>
        <w:t xml:space="preserve"> </w:t>
      </w:r>
      <w:r>
        <w:rPr>
          <w:rFonts w:eastAsia="Segoe UI"/>
        </w:rPr>
        <w:t xml:space="preserve">were </w:t>
      </w:r>
      <w:r w:rsidRPr="00705F47">
        <w:rPr>
          <w:rFonts w:eastAsia="Segoe UI"/>
        </w:rPr>
        <w:t>provided abortion care</w:t>
      </w:r>
      <w:r>
        <w:rPr>
          <w:rFonts w:eastAsia="Segoe UI"/>
        </w:rPr>
        <w:t xml:space="preserve"> </w:t>
      </w:r>
      <w:r w:rsidRPr="00705F47">
        <w:rPr>
          <w:rFonts w:eastAsia="Segoe UI"/>
        </w:rPr>
        <w:t>in 2020 compared with 2019 (</w:t>
      </w:r>
      <w:r w:rsidR="00026427">
        <w:rPr>
          <w:rFonts w:eastAsia="Segoe UI"/>
        </w:rPr>
        <w:fldChar w:fldCharType="begin"/>
      </w:r>
      <w:r w:rsidR="00026427">
        <w:rPr>
          <w:rFonts w:eastAsia="Segoe UI"/>
        </w:rPr>
        <w:instrText xml:space="preserve"> REF _Ref82925412 \h </w:instrText>
      </w:r>
      <w:r w:rsidR="00026427">
        <w:rPr>
          <w:rFonts w:eastAsia="Segoe UI"/>
        </w:rPr>
      </w:r>
      <w:r w:rsidR="00026427">
        <w:rPr>
          <w:rFonts w:eastAsia="Segoe UI"/>
        </w:rPr>
        <w:fldChar w:fldCharType="separate"/>
      </w:r>
      <w:r w:rsidR="0090485D">
        <w:t>Figure </w:t>
      </w:r>
      <w:r w:rsidR="0090485D">
        <w:rPr>
          <w:noProof/>
        </w:rPr>
        <w:t>2</w:t>
      </w:r>
      <w:r w:rsidR="0090485D">
        <w:t>.</w:t>
      </w:r>
      <w:r w:rsidR="0090485D">
        <w:rPr>
          <w:noProof/>
        </w:rPr>
        <w:t>2</w:t>
      </w:r>
      <w:r w:rsidR="00026427">
        <w:rPr>
          <w:rFonts w:eastAsia="Segoe UI"/>
        </w:rPr>
        <w:fldChar w:fldCharType="end"/>
      </w:r>
      <w:r w:rsidRPr="00705F47">
        <w:rPr>
          <w:rFonts w:eastAsia="Segoe UI"/>
        </w:rPr>
        <w:t>). Modest increases occurred</w:t>
      </w:r>
      <w:r>
        <w:rPr>
          <w:rFonts w:eastAsia="Segoe UI"/>
        </w:rPr>
        <w:t xml:space="preserve"> for patients from </w:t>
      </w:r>
      <w:r w:rsidRPr="00705F47">
        <w:rPr>
          <w:rFonts w:eastAsia="Segoe UI"/>
        </w:rPr>
        <w:t xml:space="preserve">Whanganui, Northland, Bay of Plenty, Southern, Waikato and Canterbury DHBs; and modest decreases occurred </w:t>
      </w:r>
      <w:r>
        <w:rPr>
          <w:rFonts w:eastAsia="Segoe UI"/>
        </w:rPr>
        <w:t>for patients from</w:t>
      </w:r>
      <w:r w:rsidRPr="00705F47">
        <w:rPr>
          <w:rFonts w:eastAsia="Segoe UI"/>
        </w:rPr>
        <w:t xml:space="preserve"> Taranaki, MidCentral, Auckland and Counties Manukau DHBs. </w:t>
      </w:r>
      <w:r>
        <w:rPr>
          <w:rFonts w:eastAsia="Segoe UI"/>
        </w:rPr>
        <w:t>I</w:t>
      </w:r>
      <w:r w:rsidRPr="00705F47">
        <w:rPr>
          <w:rFonts w:eastAsia="Segoe UI"/>
        </w:rPr>
        <w:t xml:space="preserve">t is positive to note that </w:t>
      </w:r>
      <w:r>
        <w:rPr>
          <w:rFonts w:eastAsia="Segoe UI"/>
        </w:rPr>
        <w:t xml:space="preserve">overall </w:t>
      </w:r>
      <w:r w:rsidRPr="00705F47">
        <w:rPr>
          <w:rFonts w:eastAsia="Segoe UI"/>
        </w:rPr>
        <w:t xml:space="preserve">access to abortion services did not decrease during the response to the COVID-19 pandemic in that year. Please note that the data in </w:t>
      </w:r>
      <w:r w:rsidR="00026427">
        <w:rPr>
          <w:rFonts w:eastAsia="Segoe UI"/>
        </w:rPr>
        <w:fldChar w:fldCharType="begin"/>
      </w:r>
      <w:r w:rsidR="00026427">
        <w:rPr>
          <w:rFonts w:eastAsia="Segoe UI"/>
        </w:rPr>
        <w:instrText xml:space="preserve"> REF _Ref82925412 \h </w:instrText>
      </w:r>
      <w:r w:rsidR="00026427">
        <w:rPr>
          <w:rFonts w:eastAsia="Segoe UI"/>
        </w:rPr>
      </w:r>
      <w:r w:rsidR="00026427">
        <w:rPr>
          <w:rFonts w:eastAsia="Segoe UI"/>
        </w:rPr>
        <w:fldChar w:fldCharType="separate"/>
      </w:r>
      <w:r w:rsidR="0090485D">
        <w:t>Figure </w:t>
      </w:r>
      <w:r w:rsidR="0090485D">
        <w:rPr>
          <w:noProof/>
        </w:rPr>
        <w:t>2</w:t>
      </w:r>
      <w:r w:rsidR="0090485D">
        <w:t>.</w:t>
      </w:r>
      <w:r w:rsidR="0090485D">
        <w:rPr>
          <w:noProof/>
        </w:rPr>
        <w:t>2</w:t>
      </w:r>
      <w:r w:rsidR="00026427">
        <w:rPr>
          <w:rFonts w:eastAsia="Segoe UI"/>
        </w:rPr>
        <w:fldChar w:fldCharType="end"/>
      </w:r>
      <w:r w:rsidRPr="00705F47">
        <w:rPr>
          <w:rFonts w:eastAsia="Segoe UI"/>
        </w:rPr>
        <w:t xml:space="preserve"> represents where the patient lived in 2020, not where the abortion took place. For example, in the West Coast DHB region, no local abortion service is available so most pregnant people travel to Canterbury DHB for abortion care.</w:t>
      </w:r>
    </w:p>
    <w:p w14:paraId="30E7C43F" w14:textId="77777777" w:rsidR="00026427" w:rsidRPr="00705F47" w:rsidRDefault="00026427" w:rsidP="00026427">
      <w:pPr>
        <w:rPr>
          <w:rFonts w:eastAsia="Segoe UI"/>
        </w:rPr>
      </w:pPr>
    </w:p>
    <w:p w14:paraId="46606AF2" w14:textId="6DF0E757" w:rsidR="00AD2DF9" w:rsidRDefault="00026427" w:rsidP="00026427">
      <w:pPr>
        <w:pStyle w:val="Figure"/>
      </w:pPr>
      <w:bookmarkStart w:id="53" w:name="_Ref82925412"/>
      <w:bookmarkStart w:id="54" w:name="_Toc83037284"/>
      <w:bookmarkStart w:id="55" w:name="_Toc84419931"/>
      <w:r>
        <w:t>Figure </w:t>
      </w:r>
      <w:r w:rsidR="009E3B78">
        <w:fldChar w:fldCharType="begin"/>
      </w:r>
      <w:r w:rsidR="009E3B78">
        <w:instrText xml:space="preserve"> STYLEREF 2 \s </w:instrText>
      </w:r>
      <w:r w:rsidR="009E3B78">
        <w:fldChar w:fldCharType="separate"/>
      </w:r>
      <w:r w:rsidR="0090485D">
        <w:rPr>
          <w:noProof/>
        </w:rPr>
        <w:t>2</w:t>
      </w:r>
      <w:r w:rsidR="009E3B78">
        <w:rPr>
          <w:noProof/>
        </w:rPr>
        <w:fldChar w:fldCharType="end"/>
      </w:r>
      <w:r w:rsidR="00301720">
        <w:t>.</w:t>
      </w:r>
      <w:r w:rsidR="009E3B78">
        <w:fldChar w:fldCharType="begin"/>
      </w:r>
      <w:r w:rsidR="009E3B78">
        <w:instrText xml:space="preserve"> SEQ Figure \* ARABIC \s 2 </w:instrText>
      </w:r>
      <w:r w:rsidR="009E3B78">
        <w:fldChar w:fldCharType="separate"/>
      </w:r>
      <w:r w:rsidR="0090485D">
        <w:rPr>
          <w:noProof/>
        </w:rPr>
        <w:t>2</w:t>
      </w:r>
      <w:r w:rsidR="009E3B78">
        <w:rPr>
          <w:noProof/>
        </w:rPr>
        <w:fldChar w:fldCharType="end"/>
      </w:r>
      <w:bookmarkEnd w:id="53"/>
      <w:r w:rsidR="00AD2DF9" w:rsidRPr="00705F47">
        <w:t>: Number of abortions by residence of patient (DHB of domicile), 2019 and 2020</w:t>
      </w:r>
      <w:bookmarkEnd w:id="54"/>
      <w:bookmarkEnd w:id="55"/>
    </w:p>
    <w:p w14:paraId="7BF39961" w14:textId="77777777" w:rsidR="00AD2DF9" w:rsidRPr="008A0F01" w:rsidRDefault="00834A7B" w:rsidP="00834A7B">
      <w:pPr>
        <w:rPr>
          <w:rFonts w:eastAsia="Segoe UI"/>
        </w:rPr>
      </w:pPr>
      <w:r>
        <w:rPr>
          <w:rFonts w:eastAsia="Segoe UI"/>
          <w:noProof/>
          <w:lang w:eastAsia="en-NZ"/>
        </w:rPr>
        <w:drawing>
          <wp:inline distT="0" distB="0" distL="0" distR="0" wp14:anchorId="4C675C35" wp14:editId="55ED2E86">
            <wp:extent cx="5128952" cy="4253071"/>
            <wp:effectExtent l="0" t="0" r="0" b="0"/>
            <wp:docPr id="10" name="Picture 10" descr="Graph showing patient DHB of domicile and number of abortions from West Coast (69 in 2020) to Counties Manukau (1,547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 showing patient DHB of domicile and number of abortions from West Coast (69 in 2020) to Counties Manukau (1,547 in 2020)"/>
                    <pic:cNvPicPr>
                      <a:picLocks noChangeAspect="1" noChangeArrowheads="1"/>
                    </pic:cNvPicPr>
                  </pic:nvPicPr>
                  <pic:blipFill rotWithShape="1">
                    <a:blip r:embed="rId26">
                      <a:extLst>
                        <a:ext uri="{28A0092B-C50C-407E-A947-70E740481C1C}">
                          <a14:useLocalDpi xmlns:a14="http://schemas.microsoft.com/office/drawing/2010/main" val="0"/>
                        </a:ext>
                      </a:extLst>
                    </a:blip>
                    <a:srcRect r="26332"/>
                    <a:stretch/>
                  </pic:blipFill>
                  <pic:spPr bwMode="auto">
                    <a:xfrm>
                      <a:off x="0" y="0"/>
                      <a:ext cx="5138415" cy="4260918"/>
                    </a:xfrm>
                    <a:prstGeom prst="rect">
                      <a:avLst/>
                    </a:prstGeom>
                    <a:noFill/>
                    <a:ln>
                      <a:noFill/>
                    </a:ln>
                    <a:extLst>
                      <a:ext uri="{53640926-AAD7-44D8-BBD7-CCE9431645EC}">
                        <a14:shadowObscured xmlns:a14="http://schemas.microsoft.com/office/drawing/2010/main"/>
                      </a:ext>
                    </a:extLst>
                  </pic:spPr>
                </pic:pic>
              </a:graphicData>
            </a:graphic>
          </wp:inline>
        </w:drawing>
      </w:r>
    </w:p>
    <w:p w14:paraId="4B502BC7" w14:textId="77777777" w:rsidR="00AD2DF9" w:rsidRPr="00705F47" w:rsidRDefault="00AD2DF9" w:rsidP="00834A7B"/>
    <w:p w14:paraId="5DAC4FC7" w14:textId="77777777" w:rsidR="00AD2DF9" w:rsidRPr="00705F47" w:rsidRDefault="00AD2DF9" w:rsidP="00CC0279">
      <w:pPr>
        <w:pStyle w:val="Heading3"/>
        <w:keepLines/>
        <w:rPr>
          <w:b/>
          <w:lang w:eastAsia="en-NZ"/>
        </w:rPr>
      </w:pPr>
      <w:r w:rsidRPr="00705F47">
        <w:rPr>
          <w:lang w:eastAsia="en-NZ"/>
        </w:rPr>
        <w:lastRenderedPageBreak/>
        <w:t>Abortions by residency status of patient</w:t>
      </w:r>
    </w:p>
    <w:p w14:paraId="367D6102" w14:textId="343AAAA5" w:rsidR="00AD2DF9" w:rsidRDefault="00AD2DF9" w:rsidP="00CC0279">
      <w:pPr>
        <w:keepNext/>
        <w:keepLines/>
        <w:rPr>
          <w:lang w:eastAsia="en-NZ"/>
        </w:rPr>
      </w:pPr>
      <w:r w:rsidRPr="00705F47">
        <w:rPr>
          <w:lang w:eastAsia="en-NZ"/>
        </w:rPr>
        <w:t>In 2020, approximately 90% of abortion services in Aotearoa New Zealand were provided to New Zealand residents (</w:t>
      </w:r>
      <w:r w:rsidR="00026427">
        <w:rPr>
          <w:lang w:eastAsia="en-NZ"/>
        </w:rPr>
        <w:fldChar w:fldCharType="begin"/>
      </w:r>
      <w:r w:rsidR="00026427">
        <w:rPr>
          <w:lang w:eastAsia="en-NZ"/>
        </w:rPr>
        <w:instrText xml:space="preserve"> REF _Ref82939932 \h </w:instrText>
      </w:r>
      <w:r w:rsidR="00026427">
        <w:rPr>
          <w:lang w:eastAsia="en-NZ"/>
        </w:rPr>
      </w:r>
      <w:r w:rsidR="00026427">
        <w:rPr>
          <w:lang w:eastAsia="en-NZ"/>
        </w:rPr>
        <w:fldChar w:fldCharType="separate"/>
      </w:r>
      <w:r w:rsidR="0090485D">
        <w:t>Table </w:t>
      </w:r>
      <w:r w:rsidR="0090485D">
        <w:rPr>
          <w:noProof/>
        </w:rPr>
        <w:t>2</w:t>
      </w:r>
      <w:r w:rsidR="0090485D">
        <w:t>.</w:t>
      </w:r>
      <w:r w:rsidR="0090485D">
        <w:rPr>
          <w:noProof/>
        </w:rPr>
        <w:t>1</w:t>
      </w:r>
      <w:r w:rsidR="00026427">
        <w:rPr>
          <w:lang w:eastAsia="en-NZ"/>
        </w:rPr>
        <w:fldChar w:fldCharType="end"/>
      </w:r>
      <w:r w:rsidRPr="00705F47">
        <w:rPr>
          <w:lang w:eastAsia="en-NZ"/>
        </w:rPr>
        <w:t>). This was not significantly different from 2019, despite the border restrictions due to COVID-19. Note that residency status is not the same as area of residence.</w:t>
      </w:r>
    </w:p>
    <w:p w14:paraId="02FF49CB" w14:textId="77777777" w:rsidR="00026427" w:rsidRPr="00705F47" w:rsidRDefault="00026427" w:rsidP="00834A7B">
      <w:pPr>
        <w:keepNext/>
        <w:rPr>
          <w:lang w:eastAsia="en-NZ"/>
        </w:rPr>
      </w:pPr>
    </w:p>
    <w:p w14:paraId="16BEAFD7" w14:textId="4CF1C589" w:rsidR="00AD2DF9" w:rsidRPr="00480695" w:rsidRDefault="00026427" w:rsidP="00026427">
      <w:pPr>
        <w:pStyle w:val="Table"/>
      </w:pPr>
      <w:bookmarkStart w:id="56" w:name="_Ref82939932"/>
      <w:bookmarkStart w:id="57" w:name="_Toc83037684"/>
      <w:bookmarkStart w:id="58" w:name="_Toc83367097"/>
      <w:r>
        <w:t>Table </w:t>
      </w:r>
      <w:r w:rsidR="009E3B78">
        <w:fldChar w:fldCharType="begin"/>
      </w:r>
      <w:r w:rsidR="009E3B78">
        <w:instrText xml:space="preserve"> STYLEREF 2 \s </w:instrText>
      </w:r>
      <w:r w:rsidR="009E3B78">
        <w:fldChar w:fldCharType="separate"/>
      </w:r>
      <w:r w:rsidR="0090485D">
        <w:rPr>
          <w:noProof/>
        </w:rPr>
        <w:t>2</w:t>
      </w:r>
      <w:r w:rsidR="009E3B78">
        <w:rPr>
          <w:noProof/>
        </w:rPr>
        <w:fldChar w:fldCharType="end"/>
      </w:r>
      <w:r w:rsidR="00301720">
        <w:t>.</w:t>
      </w:r>
      <w:r w:rsidR="009E3B78">
        <w:fldChar w:fldCharType="begin"/>
      </w:r>
      <w:r w:rsidR="009E3B78">
        <w:instrText xml:space="preserve"> SEQ Table \* ARABIC \s 2 </w:instrText>
      </w:r>
      <w:r w:rsidR="009E3B78">
        <w:fldChar w:fldCharType="separate"/>
      </w:r>
      <w:r w:rsidR="0090485D">
        <w:rPr>
          <w:noProof/>
        </w:rPr>
        <w:t>1</w:t>
      </w:r>
      <w:r w:rsidR="009E3B78">
        <w:rPr>
          <w:noProof/>
        </w:rPr>
        <w:fldChar w:fldCharType="end"/>
      </w:r>
      <w:bookmarkEnd w:id="56"/>
      <w:r w:rsidR="00AD2DF9" w:rsidRPr="00480695">
        <w:t>: Number of abortions by residency status of patient, 2020</w:t>
      </w:r>
      <w:bookmarkEnd w:id="57"/>
      <w:bookmarkEnd w:id="58"/>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835"/>
        <w:gridCol w:w="1418"/>
      </w:tblGrid>
      <w:tr w:rsidR="00AD2DF9" w:rsidRPr="00486859" w14:paraId="41D50070" w14:textId="77777777" w:rsidTr="00486859">
        <w:trPr>
          <w:cantSplit/>
        </w:trPr>
        <w:tc>
          <w:tcPr>
            <w:tcW w:w="2835" w:type="dxa"/>
            <w:tcBorders>
              <w:top w:val="nil"/>
              <w:bottom w:val="nil"/>
            </w:tcBorders>
            <w:shd w:val="clear" w:color="auto" w:fill="D9D9D9" w:themeFill="background1" w:themeFillShade="D9"/>
            <w:vAlign w:val="bottom"/>
            <w:hideMark/>
          </w:tcPr>
          <w:p w14:paraId="2C6C7C56" w14:textId="77777777" w:rsidR="00AD2DF9" w:rsidRPr="00486859" w:rsidRDefault="00AD2DF9" w:rsidP="00486859">
            <w:pPr>
              <w:pStyle w:val="TableText"/>
              <w:rPr>
                <w:b/>
                <w:lang w:eastAsia="en-NZ"/>
              </w:rPr>
            </w:pPr>
            <w:r w:rsidRPr="00486859">
              <w:rPr>
                <w:b/>
                <w:lang w:eastAsia="en-NZ"/>
              </w:rPr>
              <w:t>Residency status</w:t>
            </w:r>
          </w:p>
        </w:tc>
        <w:tc>
          <w:tcPr>
            <w:tcW w:w="1418" w:type="dxa"/>
            <w:tcBorders>
              <w:top w:val="nil"/>
              <w:bottom w:val="nil"/>
            </w:tcBorders>
            <w:shd w:val="clear" w:color="auto" w:fill="D9D9D9" w:themeFill="background1" w:themeFillShade="D9"/>
            <w:noWrap/>
            <w:vAlign w:val="bottom"/>
            <w:hideMark/>
          </w:tcPr>
          <w:p w14:paraId="58EAC6AF" w14:textId="77777777" w:rsidR="00AD2DF9" w:rsidRPr="00486859" w:rsidRDefault="00AD2DF9" w:rsidP="00486859">
            <w:pPr>
              <w:pStyle w:val="TableText"/>
              <w:jc w:val="center"/>
              <w:rPr>
                <w:b/>
                <w:lang w:eastAsia="en-NZ"/>
              </w:rPr>
            </w:pPr>
            <w:r w:rsidRPr="00486859">
              <w:rPr>
                <w:b/>
                <w:lang w:eastAsia="en-NZ"/>
              </w:rPr>
              <w:t>Number</w:t>
            </w:r>
          </w:p>
        </w:tc>
      </w:tr>
      <w:tr w:rsidR="00AD2DF9" w:rsidRPr="00705F47" w14:paraId="7FEF0008" w14:textId="77777777" w:rsidTr="00486859">
        <w:trPr>
          <w:cantSplit/>
        </w:trPr>
        <w:tc>
          <w:tcPr>
            <w:tcW w:w="2835" w:type="dxa"/>
            <w:tcBorders>
              <w:top w:val="nil"/>
            </w:tcBorders>
            <w:shd w:val="clear" w:color="auto" w:fill="auto"/>
            <w:noWrap/>
            <w:vAlign w:val="bottom"/>
            <w:hideMark/>
          </w:tcPr>
          <w:p w14:paraId="237EB2DD" w14:textId="77777777" w:rsidR="00AD2DF9" w:rsidRPr="00705F47" w:rsidRDefault="00AD2DF9" w:rsidP="00486859">
            <w:pPr>
              <w:pStyle w:val="TableText"/>
              <w:rPr>
                <w:lang w:eastAsia="en-NZ"/>
              </w:rPr>
            </w:pPr>
            <w:r w:rsidRPr="00705F47">
              <w:rPr>
                <w:lang w:eastAsia="en-NZ"/>
              </w:rPr>
              <w:t>New Zealand resident</w:t>
            </w:r>
          </w:p>
        </w:tc>
        <w:tc>
          <w:tcPr>
            <w:tcW w:w="1418" w:type="dxa"/>
            <w:tcBorders>
              <w:top w:val="nil"/>
            </w:tcBorders>
            <w:shd w:val="clear" w:color="auto" w:fill="auto"/>
            <w:noWrap/>
            <w:vAlign w:val="bottom"/>
            <w:hideMark/>
          </w:tcPr>
          <w:p w14:paraId="4EA08A85" w14:textId="77777777" w:rsidR="00AD2DF9" w:rsidRPr="00705F47" w:rsidRDefault="00AD2DF9" w:rsidP="00486859">
            <w:pPr>
              <w:pStyle w:val="TableText"/>
              <w:tabs>
                <w:tab w:val="decimal" w:pos="936"/>
              </w:tabs>
              <w:rPr>
                <w:lang w:eastAsia="en-NZ"/>
              </w:rPr>
            </w:pPr>
            <w:r w:rsidRPr="00705F47">
              <w:rPr>
                <w:lang w:eastAsia="en-NZ"/>
              </w:rPr>
              <w:t>11,845</w:t>
            </w:r>
          </w:p>
        </w:tc>
      </w:tr>
      <w:tr w:rsidR="00AD2DF9" w:rsidRPr="00705F47" w14:paraId="1ED04955" w14:textId="77777777" w:rsidTr="00486859">
        <w:trPr>
          <w:cantSplit/>
        </w:trPr>
        <w:tc>
          <w:tcPr>
            <w:tcW w:w="2835" w:type="dxa"/>
            <w:shd w:val="clear" w:color="auto" w:fill="auto"/>
            <w:noWrap/>
            <w:vAlign w:val="bottom"/>
            <w:hideMark/>
          </w:tcPr>
          <w:p w14:paraId="0EE12C71" w14:textId="77777777" w:rsidR="00AD2DF9" w:rsidRPr="00705F47" w:rsidRDefault="00AD2DF9" w:rsidP="00486859">
            <w:pPr>
              <w:pStyle w:val="TableText"/>
              <w:rPr>
                <w:lang w:eastAsia="en-NZ"/>
              </w:rPr>
            </w:pPr>
            <w:r w:rsidRPr="00705F47">
              <w:rPr>
                <w:lang w:eastAsia="en-NZ"/>
              </w:rPr>
              <w:t>Non-resident</w:t>
            </w:r>
          </w:p>
        </w:tc>
        <w:tc>
          <w:tcPr>
            <w:tcW w:w="1418" w:type="dxa"/>
            <w:shd w:val="clear" w:color="auto" w:fill="auto"/>
            <w:noWrap/>
            <w:vAlign w:val="bottom"/>
            <w:hideMark/>
          </w:tcPr>
          <w:p w14:paraId="6F72B680" w14:textId="77777777" w:rsidR="00AD2DF9" w:rsidRPr="00705F47" w:rsidRDefault="00AD2DF9" w:rsidP="00486859">
            <w:pPr>
              <w:pStyle w:val="TableText"/>
              <w:tabs>
                <w:tab w:val="decimal" w:pos="936"/>
              </w:tabs>
              <w:rPr>
                <w:lang w:eastAsia="en-NZ"/>
              </w:rPr>
            </w:pPr>
            <w:r w:rsidRPr="00705F47">
              <w:rPr>
                <w:lang w:eastAsia="en-NZ"/>
              </w:rPr>
              <w:t>1,383</w:t>
            </w:r>
          </w:p>
        </w:tc>
      </w:tr>
      <w:tr w:rsidR="00AD2DF9" w:rsidRPr="00705F47" w14:paraId="1CAA15C6" w14:textId="77777777" w:rsidTr="00486859">
        <w:trPr>
          <w:cantSplit/>
        </w:trPr>
        <w:tc>
          <w:tcPr>
            <w:tcW w:w="2835" w:type="dxa"/>
            <w:shd w:val="clear" w:color="auto" w:fill="auto"/>
            <w:noWrap/>
            <w:vAlign w:val="bottom"/>
            <w:hideMark/>
          </w:tcPr>
          <w:p w14:paraId="379A0D08" w14:textId="77777777" w:rsidR="00AD2DF9" w:rsidRPr="00705F47" w:rsidRDefault="00AD2DF9" w:rsidP="00486859">
            <w:pPr>
              <w:pStyle w:val="TableText"/>
              <w:rPr>
                <w:lang w:eastAsia="en-NZ"/>
              </w:rPr>
            </w:pPr>
            <w:r w:rsidRPr="00705F47">
              <w:rPr>
                <w:lang w:eastAsia="en-NZ"/>
              </w:rPr>
              <w:t>Not stated</w:t>
            </w:r>
          </w:p>
        </w:tc>
        <w:tc>
          <w:tcPr>
            <w:tcW w:w="1418" w:type="dxa"/>
            <w:shd w:val="clear" w:color="auto" w:fill="auto"/>
            <w:noWrap/>
            <w:vAlign w:val="bottom"/>
            <w:hideMark/>
          </w:tcPr>
          <w:p w14:paraId="2BF2CCDD" w14:textId="77777777" w:rsidR="00AD2DF9" w:rsidRPr="00705F47" w:rsidRDefault="00AD2DF9" w:rsidP="00486859">
            <w:pPr>
              <w:pStyle w:val="TableText"/>
              <w:tabs>
                <w:tab w:val="decimal" w:pos="936"/>
              </w:tabs>
              <w:rPr>
                <w:lang w:eastAsia="en-NZ"/>
              </w:rPr>
            </w:pPr>
            <w:r w:rsidRPr="00705F47">
              <w:rPr>
                <w:lang w:eastAsia="en-NZ"/>
              </w:rPr>
              <w:t>18</w:t>
            </w:r>
          </w:p>
        </w:tc>
      </w:tr>
      <w:tr w:rsidR="00AD2DF9" w:rsidRPr="00486859" w14:paraId="242784B0" w14:textId="77777777" w:rsidTr="00486859">
        <w:trPr>
          <w:cantSplit/>
        </w:trPr>
        <w:tc>
          <w:tcPr>
            <w:tcW w:w="2835" w:type="dxa"/>
            <w:shd w:val="clear" w:color="auto" w:fill="auto"/>
            <w:noWrap/>
            <w:vAlign w:val="bottom"/>
            <w:hideMark/>
          </w:tcPr>
          <w:p w14:paraId="44121E74" w14:textId="77777777" w:rsidR="00AD2DF9" w:rsidRPr="00486859" w:rsidRDefault="00AD2DF9" w:rsidP="00486859">
            <w:pPr>
              <w:pStyle w:val="TableText"/>
              <w:rPr>
                <w:b/>
                <w:lang w:eastAsia="en-NZ"/>
              </w:rPr>
            </w:pPr>
            <w:r w:rsidRPr="00486859">
              <w:rPr>
                <w:b/>
                <w:lang w:eastAsia="en-NZ"/>
              </w:rPr>
              <w:t>Total</w:t>
            </w:r>
          </w:p>
        </w:tc>
        <w:tc>
          <w:tcPr>
            <w:tcW w:w="1418" w:type="dxa"/>
            <w:shd w:val="clear" w:color="auto" w:fill="auto"/>
            <w:noWrap/>
            <w:vAlign w:val="bottom"/>
            <w:hideMark/>
          </w:tcPr>
          <w:p w14:paraId="06271399" w14:textId="77777777" w:rsidR="00AD2DF9" w:rsidRPr="00486859" w:rsidRDefault="00AD2DF9" w:rsidP="00486859">
            <w:pPr>
              <w:pStyle w:val="TableText"/>
              <w:tabs>
                <w:tab w:val="decimal" w:pos="936"/>
              </w:tabs>
              <w:rPr>
                <w:b/>
                <w:bCs/>
                <w:lang w:eastAsia="en-NZ"/>
              </w:rPr>
            </w:pPr>
            <w:r w:rsidRPr="00486859">
              <w:rPr>
                <w:b/>
                <w:bCs/>
                <w:lang w:eastAsia="en-NZ"/>
              </w:rPr>
              <w:t>13,246</w:t>
            </w:r>
          </w:p>
        </w:tc>
      </w:tr>
    </w:tbl>
    <w:p w14:paraId="1B1A1EF1" w14:textId="77777777" w:rsidR="00AD2DF9" w:rsidRPr="00705F47" w:rsidRDefault="00AD2DF9" w:rsidP="00026427"/>
    <w:p w14:paraId="5421D692" w14:textId="77777777" w:rsidR="00AD2DF9" w:rsidRPr="00705F47" w:rsidRDefault="00AD2DF9" w:rsidP="00834A7B">
      <w:pPr>
        <w:pStyle w:val="Heading2"/>
        <w:keepNext w:val="0"/>
        <w:pageBreakBefore/>
        <w:spacing w:before="0"/>
      </w:pPr>
      <w:bookmarkStart w:id="59" w:name="_Toc83037210"/>
      <w:bookmarkStart w:id="60" w:name="_Toc84582310"/>
      <w:r w:rsidRPr="00705F47">
        <w:lastRenderedPageBreak/>
        <w:t>Age of patient</w:t>
      </w:r>
      <w:bookmarkEnd w:id="59"/>
      <w:bookmarkEnd w:id="60"/>
    </w:p>
    <w:p w14:paraId="313182C5" w14:textId="77777777" w:rsidR="00AD2DF9" w:rsidRPr="00705F47" w:rsidRDefault="00AD2DF9" w:rsidP="00026427">
      <w:pPr>
        <w:pStyle w:val="Heading3"/>
        <w:rPr>
          <w:rFonts w:eastAsia="Segoe UI"/>
        </w:rPr>
      </w:pPr>
      <w:r w:rsidRPr="00705F47">
        <w:rPr>
          <w:rFonts w:eastAsia="Segoe UI"/>
        </w:rPr>
        <w:t>Number of abortions by age group</w:t>
      </w:r>
    </w:p>
    <w:p w14:paraId="53729057" w14:textId="44BB128D" w:rsidR="000E4CE5" w:rsidRDefault="00AD2DF9" w:rsidP="00026427">
      <w:pPr>
        <w:rPr>
          <w:rFonts w:eastAsia="Segoe UI"/>
        </w:rPr>
      </w:pPr>
      <w:r w:rsidRPr="00705F47">
        <w:rPr>
          <w:rFonts w:eastAsia="Segoe UI"/>
        </w:rPr>
        <w:t>For most age groups, the number of abortions increased slightly in 2020 compared with 2019 (</w:t>
      </w:r>
      <w:r w:rsidRPr="00705F47">
        <w:rPr>
          <w:rFonts w:eastAsia="Segoe UI"/>
        </w:rPr>
        <w:fldChar w:fldCharType="begin"/>
      </w:r>
      <w:r w:rsidRPr="00705F47">
        <w:rPr>
          <w:rFonts w:eastAsia="Segoe UI"/>
        </w:rPr>
        <w:instrText xml:space="preserve"> REF _Ref82941492 \h </w:instrText>
      </w:r>
      <w:r w:rsidRPr="00705F47">
        <w:rPr>
          <w:rFonts w:eastAsia="Segoe UI"/>
        </w:rPr>
      </w:r>
      <w:r w:rsidRPr="00705F47">
        <w:rPr>
          <w:rFonts w:eastAsia="Segoe UI"/>
        </w:rPr>
        <w:fldChar w:fldCharType="separate"/>
      </w:r>
      <w:r w:rsidR="0090485D">
        <w:t>Figure </w:t>
      </w:r>
      <w:r w:rsidR="0090485D">
        <w:rPr>
          <w:noProof/>
        </w:rPr>
        <w:t>3</w:t>
      </w:r>
      <w:r w:rsidR="0090485D">
        <w:t>.</w:t>
      </w:r>
      <w:r w:rsidR="0090485D">
        <w:rPr>
          <w:noProof/>
        </w:rPr>
        <w:t>1</w:t>
      </w:r>
      <w:r w:rsidRPr="00705F47">
        <w:rPr>
          <w:rFonts w:eastAsia="Segoe UI"/>
        </w:rPr>
        <w:fldChar w:fldCharType="end"/>
      </w:r>
      <w:r w:rsidRPr="00705F47">
        <w:rPr>
          <w:rFonts w:eastAsia="Segoe UI"/>
        </w:rPr>
        <w:t>). The mean age of those having abortions was 28 years. The group aged 25–29 years continues to have the most abortions, accounting for 26.3% of all abortions in 2020 (</w:t>
      </w:r>
      <w:r w:rsidRPr="00705F47">
        <w:rPr>
          <w:rFonts w:eastAsia="Segoe UI"/>
        </w:rPr>
        <w:fldChar w:fldCharType="begin"/>
      </w:r>
      <w:r w:rsidRPr="00705F47">
        <w:rPr>
          <w:rFonts w:eastAsia="Segoe UI"/>
        </w:rPr>
        <w:instrText xml:space="preserve"> REF _Ref82941939 \h </w:instrText>
      </w:r>
      <w:r w:rsidRPr="00705F47">
        <w:rPr>
          <w:rFonts w:eastAsia="Segoe UI"/>
        </w:rPr>
      </w:r>
      <w:r w:rsidRPr="00705F47">
        <w:rPr>
          <w:rFonts w:eastAsia="Segoe UI"/>
        </w:rPr>
        <w:fldChar w:fldCharType="separate"/>
      </w:r>
      <w:r w:rsidR="0090485D">
        <w:t>Figure </w:t>
      </w:r>
      <w:r w:rsidR="0090485D">
        <w:rPr>
          <w:noProof/>
        </w:rPr>
        <w:t>3</w:t>
      </w:r>
      <w:r w:rsidR="0090485D">
        <w:t>.</w:t>
      </w:r>
      <w:r w:rsidR="0090485D">
        <w:rPr>
          <w:noProof/>
        </w:rPr>
        <w:t>2</w:t>
      </w:r>
      <w:r w:rsidRPr="00705F47">
        <w:rPr>
          <w:rFonts w:eastAsia="Segoe UI"/>
        </w:rPr>
        <w:fldChar w:fldCharType="end"/>
      </w:r>
      <w:r w:rsidRPr="00705F47">
        <w:rPr>
          <w:rFonts w:eastAsia="Segoe UI"/>
        </w:rPr>
        <w:t>). The greatest increase was seen for those aged 30–34 years. The trend of increasing numbers of abortions in those over 30 years continued in 2020, up 1% from 2019 and 6% from 2015.</w:t>
      </w:r>
    </w:p>
    <w:p w14:paraId="6D182C19" w14:textId="77777777" w:rsidR="00026427" w:rsidRDefault="00026427" w:rsidP="00026427">
      <w:pPr>
        <w:rPr>
          <w:rFonts w:eastAsia="Segoe UI"/>
        </w:rPr>
      </w:pPr>
    </w:p>
    <w:p w14:paraId="5360BAC2" w14:textId="5E222DF5" w:rsidR="00AD2DF9" w:rsidRDefault="00301720" w:rsidP="00301720">
      <w:pPr>
        <w:pStyle w:val="Figure"/>
        <w:rPr>
          <w:lang w:eastAsia="en-NZ"/>
        </w:rPr>
      </w:pPr>
      <w:bookmarkStart w:id="61" w:name="_Ref82941492"/>
      <w:bookmarkStart w:id="62" w:name="_Toc83037354"/>
      <w:bookmarkStart w:id="63" w:name="_Toc84419932"/>
      <w:r>
        <w:t>Figure </w:t>
      </w:r>
      <w:r w:rsidR="009E3B78">
        <w:fldChar w:fldCharType="begin"/>
      </w:r>
      <w:r w:rsidR="009E3B78">
        <w:instrText xml:space="preserve"> STYLEREF 2 \s </w:instrText>
      </w:r>
      <w:r w:rsidR="009E3B78">
        <w:fldChar w:fldCharType="separate"/>
      </w:r>
      <w:r w:rsidR="0090485D">
        <w:rPr>
          <w:noProof/>
        </w:rPr>
        <w:t>3</w:t>
      </w:r>
      <w:r w:rsidR="009E3B78">
        <w:rPr>
          <w:noProof/>
        </w:rPr>
        <w:fldChar w:fldCharType="end"/>
      </w:r>
      <w:r>
        <w:t>.</w:t>
      </w:r>
      <w:r w:rsidR="009E3B78">
        <w:fldChar w:fldCharType="begin"/>
      </w:r>
      <w:r w:rsidR="009E3B78">
        <w:instrText xml:space="preserve"> SEQ Figure \* ARABIC \s 2 </w:instrText>
      </w:r>
      <w:r w:rsidR="009E3B78">
        <w:fldChar w:fldCharType="separate"/>
      </w:r>
      <w:r w:rsidR="0090485D">
        <w:rPr>
          <w:noProof/>
        </w:rPr>
        <w:t>1</w:t>
      </w:r>
      <w:r w:rsidR="009E3B78">
        <w:rPr>
          <w:noProof/>
        </w:rPr>
        <w:fldChar w:fldCharType="end"/>
      </w:r>
      <w:bookmarkEnd w:id="61"/>
      <w:r w:rsidR="00AD2DF9" w:rsidRPr="00705F47">
        <w:rPr>
          <w:lang w:eastAsia="en-NZ"/>
        </w:rPr>
        <w:t>: Number of abortions by age group, 2010–2020</w:t>
      </w:r>
      <w:bookmarkEnd w:id="62"/>
      <w:bookmarkEnd w:id="63"/>
    </w:p>
    <w:p w14:paraId="40E99219" w14:textId="77777777" w:rsidR="00131D9E" w:rsidRPr="00131D9E" w:rsidRDefault="00131D9E" w:rsidP="00131D9E">
      <w:pPr>
        <w:rPr>
          <w:lang w:eastAsia="en-NZ"/>
        </w:rPr>
      </w:pPr>
      <w:r>
        <w:rPr>
          <w:noProof/>
          <w:lang w:eastAsia="en-NZ"/>
        </w:rPr>
        <w:drawing>
          <wp:inline distT="0" distB="0" distL="0" distR="0" wp14:anchorId="77496B98" wp14:editId="56B1ABF7">
            <wp:extent cx="5128952" cy="3129626"/>
            <wp:effectExtent l="0" t="0" r="0" b="0"/>
            <wp:docPr id="12" name="Picture 12" title="Figure 3.1: Number of abortions by age group, 2010–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30428" cy="3130526"/>
                    </a:xfrm>
                    <a:prstGeom prst="rect">
                      <a:avLst/>
                    </a:prstGeom>
                    <a:noFill/>
                  </pic:spPr>
                </pic:pic>
              </a:graphicData>
            </a:graphic>
          </wp:inline>
        </w:drawing>
      </w:r>
    </w:p>
    <w:p w14:paraId="5B9698F4" w14:textId="77777777" w:rsidR="00042E4E" w:rsidRDefault="00042E4E"/>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955"/>
        <w:gridCol w:w="712"/>
        <w:gridCol w:w="713"/>
        <w:gridCol w:w="712"/>
        <w:gridCol w:w="713"/>
        <w:gridCol w:w="712"/>
        <w:gridCol w:w="713"/>
        <w:gridCol w:w="712"/>
        <w:gridCol w:w="713"/>
        <w:gridCol w:w="712"/>
        <w:gridCol w:w="713"/>
      </w:tblGrid>
      <w:tr w:rsidR="00042E4E" w:rsidRPr="00042E4E" w14:paraId="5BDDEDA3" w14:textId="77777777" w:rsidTr="00042E4E">
        <w:trPr>
          <w:cantSplit/>
        </w:trPr>
        <w:tc>
          <w:tcPr>
            <w:tcW w:w="955" w:type="dxa"/>
            <w:tcBorders>
              <w:top w:val="nil"/>
              <w:bottom w:val="nil"/>
            </w:tcBorders>
            <w:shd w:val="clear" w:color="auto" w:fill="D9D9D9" w:themeFill="background1" w:themeFillShade="D9"/>
            <w:noWrap/>
            <w:hideMark/>
          </w:tcPr>
          <w:p w14:paraId="3B76BA9B" w14:textId="77777777" w:rsidR="00AD2DF9" w:rsidRPr="00042E4E" w:rsidRDefault="00AD2DF9" w:rsidP="00042E4E">
            <w:pPr>
              <w:pStyle w:val="TableText"/>
              <w:rPr>
                <w:b/>
                <w:lang w:eastAsia="en-NZ"/>
              </w:rPr>
            </w:pPr>
            <w:r w:rsidRPr="00042E4E">
              <w:rPr>
                <w:b/>
                <w:lang w:eastAsia="en-NZ"/>
              </w:rPr>
              <w:t>Age group</w:t>
            </w:r>
          </w:p>
        </w:tc>
        <w:tc>
          <w:tcPr>
            <w:tcW w:w="712" w:type="dxa"/>
            <w:tcBorders>
              <w:top w:val="nil"/>
              <w:bottom w:val="nil"/>
            </w:tcBorders>
            <w:shd w:val="clear" w:color="auto" w:fill="D9D9D9" w:themeFill="background1" w:themeFillShade="D9"/>
            <w:noWrap/>
            <w:hideMark/>
          </w:tcPr>
          <w:p w14:paraId="54E1B0B6" w14:textId="77777777" w:rsidR="00AD2DF9" w:rsidRPr="00042E4E" w:rsidRDefault="00AD2DF9" w:rsidP="00042E4E">
            <w:pPr>
              <w:pStyle w:val="TableText"/>
              <w:jc w:val="center"/>
              <w:rPr>
                <w:b/>
                <w:lang w:eastAsia="en-NZ"/>
              </w:rPr>
            </w:pPr>
            <w:r w:rsidRPr="00042E4E">
              <w:rPr>
                <w:b/>
                <w:lang w:eastAsia="en-NZ"/>
              </w:rPr>
              <w:t>2011</w:t>
            </w:r>
          </w:p>
        </w:tc>
        <w:tc>
          <w:tcPr>
            <w:tcW w:w="713" w:type="dxa"/>
            <w:tcBorders>
              <w:top w:val="nil"/>
              <w:bottom w:val="nil"/>
            </w:tcBorders>
            <w:shd w:val="clear" w:color="auto" w:fill="D9D9D9" w:themeFill="background1" w:themeFillShade="D9"/>
            <w:noWrap/>
            <w:hideMark/>
          </w:tcPr>
          <w:p w14:paraId="71451F3D" w14:textId="77777777" w:rsidR="00AD2DF9" w:rsidRPr="00042E4E" w:rsidRDefault="00AD2DF9" w:rsidP="00042E4E">
            <w:pPr>
              <w:pStyle w:val="TableText"/>
              <w:jc w:val="center"/>
              <w:rPr>
                <w:b/>
                <w:lang w:eastAsia="en-NZ"/>
              </w:rPr>
            </w:pPr>
            <w:r w:rsidRPr="00042E4E">
              <w:rPr>
                <w:b/>
                <w:lang w:eastAsia="en-NZ"/>
              </w:rPr>
              <w:t>2012</w:t>
            </w:r>
          </w:p>
        </w:tc>
        <w:tc>
          <w:tcPr>
            <w:tcW w:w="712" w:type="dxa"/>
            <w:tcBorders>
              <w:top w:val="nil"/>
              <w:bottom w:val="nil"/>
            </w:tcBorders>
            <w:shd w:val="clear" w:color="auto" w:fill="D9D9D9" w:themeFill="background1" w:themeFillShade="D9"/>
            <w:noWrap/>
            <w:hideMark/>
          </w:tcPr>
          <w:p w14:paraId="03CC614C" w14:textId="77777777" w:rsidR="00AD2DF9" w:rsidRPr="00042E4E" w:rsidRDefault="00AD2DF9" w:rsidP="00042E4E">
            <w:pPr>
              <w:pStyle w:val="TableText"/>
              <w:jc w:val="center"/>
              <w:rPr>
                <w:b/>
                <w:lang w:eastAsia="en-NZ"/>
              </w:rPr>
            </w:pPr>
            <w:r w:rsidRPr="00042E4E">
              <w:rPr>
                <w:b/>
                <w:lang w:eastAsia="en-NZ"/>
              </w:rPr>
              <w:t>2013</w:t>
            </w:r>
          </w:p>
        </w:tc>
        <w:tc>
          <w:tcPr>
            <w:tcW w:w="713" w:type="dxa"/>
            <w:tcBorders>
              <w:top w:val="nil"/>
              <w:bottom w:val="nil"/>
            </w:tcBorders>
            <w:shd w:val="clear" w:color="auto" w:fill="D9D9D9" w:themeFill="background1" w:themeFillShade="D9"/>
            <w:noWrap/>
            <w:hideMark/>
          </w:tcPr>
          <w:p w14:paraId="52BD5715" w14:textId="77777777" w:rsidR="00AD2DF9" w:rsidRPr="00042E4E" w:rsidRDefault="00AD2DF9" w:rsidP="00042E4E">
            <w:pPr>
              <w:pStyle w:val="TableText"/>
              <w:jc w:val="center"/>
              <w:rPr>
                <w:b/>
                <w:lang w:eastAsia="en-NZ"/>
              </w:rPr>
            </w:pPr>
            <w:r w:rsidRPr="00042E4E">
              <w:rPr>
                <w:b/>
                <w:lang w:eastAsia="en-NZ"/>
              </w:rPr>
              <w:t>2014</w:t>
            </w:r>
          </w:p>
        </w:tc>
        <w:tc>
          <w:tcPr>
            <w:tcW w:w="712" w:type="dxa"/>
            <w:tcBorders>
              <w:top w:val="nil"/>
              <w:bottom w:val="nil"/>
            </w:tcBorders>
            <w:shd w:val="clear" w:color="auto" w:fill="D9D9D9" w:themeFill="background1" w:themeFillShade="D9"/>
            <w:noWrap/>
            <w:hideMark/>
          </w:tcPr>
          <w:p w14:paraId="44C29C7E" w14:textId="77777777" w:rsidR="00AD2DF9" w:rsidRPr="00042E4E" w:rsidRDefault="00AD2DF9" w:rsidP="00042E4E">
            <w:pPr>
              <w:pStyle w:val="TableText"/>
              <w:jc w:val="center"/>
              <w:rPr>
                <w:b/>
                <w:lang w:eastAsia="en-NZ"/>
              </w:rPr>
            </w:pPr>
            <w:r w:rsidRPr="00042E4E">
              <w:rPr>
                <w:b/>
                <w:lang w:eastAsia="en-NZ"/>
              </w:rPr>
              <w:t>2015</w:t>
            </w:r>
          </w:p>
        </w:tc>
        <w:tc>
          <w:tcPr>
            <w:tcW w:w="713" w:type="dxa"/>
            <w:tcBorders>
              <w:top w:val="nil"/>
              <w:bottom w:val="nil"/>
            </w:tcBorders>
            <w:shd w:val="clear" w:color="auto" w:fill="D9D9D9" w:themeFill="background1" w:themeFillShade="D9"/>
            <w:noWrap/>
            <w:hideMark/>
          </w:tcPr>
          <w:p w14:paraId="78FA5BC5" w14:textId="77777777" w:rsidR="00AD2DF9" w:rsidRPr="00042E4E" w:rsidRDefault="00AD2DF9" w:rsidP="00042E4E">
            <w:pPr>
              <w:pStyle w:val="TableText"/>
              <w:jc w:val="center"/>
              <w:rPr>
                <w:b/>
                <w:lang w:eastAsia="en-NZ"/>
              </w:rPr>
            </w:pPr>
            <w:r w:rsidRPr="00042E4E">
              <w:rPr>
                <w:b/>
                <w:lang w:eastAsia="en-NZ"/>
              </w:rPr>
              <w:t>2016</w:t>
            </w:r>
          </w:p>
        </w:tc>
        <w:tc>
          <w:tcPr>
            <w:tcW w:w="712" w:type="dxa"/>
            <w:tcBorders>
              <w:top w:val="nil"/>
              <w:bottom w:val="nil"/>
            </w:tcBorders>
            <w:shd w:val="clear" w:color="auto" w:fill="D9D9D9" w:themeFill="background1" w:themeFillShade="D9"/>
            <w:noWrap/>
            <w:hideMark/>
          </w:tcPr>
          <w:p w14:paraId="379F9824" w14:textId="77777777" w:rsidR="00AD2DF9" w:rsidRPr="00042E4E" w:rsidRDefault="00AD2DF9" w:rsidP="00042E4E">
            <w:pPr>
              <w:pStyle w:val="TableText"/>
              <w:jc w:val="center"/>
              <w:rPr>
                <w:b/>
                <w:lang w:eastAsia="en-NZ"/>
              </w:rPr>
            </w:pPr>
            <w:r w:rsidRPr="00042E4E">
              <w:rPr>
                <w:b/>
                <w:lang w:eastAsia="en-NZ"/>
              </w:rPr>
              <w:t>2017</w:t>
            </w:r>
          </w:p>
        </w:tc>
        <w:tc>
          <w:tcPr>
            <w:tcW w:w="713" w:type="dxa"/>
            <w:tcBorders>
              <w:top w:val="nil"/>
              <w:bottom w:val="nil"/>
            </w:tcBorders>
            <w:shd w:val="clear" w:color="auto" w:fill="D9D9D9" w:themeFill="background1" w:themeFillShade="D9"/>
            <w:noWrap/>
            <w:hideMark/>
          </w:tcPr>
          <w:p w14:paraId="009C756C" w14:textId="77777777" w:rsidR="00AD2DF9" w:rsidRPr="00042E4E" w:rsidRDefault="00AD2DF9" w:rsidP="00042E4E">
            <w:pPr>
              <w:pStyle w:val="TableText"/>
              <w:jc w:val="center"/>
              <w:rPr>
                <w:b/>
                <w:lang w:eastAsia="en-NZ"/>
              </w:rPr>
            </w:pPr>
            <w:r w:rsidRPr="00042E4E">
              <w:rPr>
                <w:b/>
                <w:lang w:eastAsia="en-NZ"/>
              </w:rPr>
              <w:t>2018</w:t>
            </w:r>
          </w:p>
        </w:tc>
        <w:tc>
          <w:tcPr>
            <w:tcW w:w="712" w:type="dxa"/>
            <w:tcBorders>
              <w:top w:val="nil"/>
              <w:bottom w:val="nil"/>
            </w:tcBorders>
            <w:shd w:val="clear" w:color="auto" w:fill="D9D9D9" w:themeFill="background1" w:themeFillShade="D9"/>
            <w:noWrap/>
            <w:hideMark/>
          </w:tcPr>
          <w:p w14:paraId="0D5169A2" w14:textId="77777777" w:rsidR="00AD2DF9" w:rsidRPr="00042E4E" w:rsidRDefault="00AD2DF9" w:rsidP="00042E4E">
            <w:pPr>
              <w:pStyle w:val="TableText"/>
              <w:jc w:val="center"/>
              <w:rPr>
                <w:b/>
                <w:lang w:eastAsia="en-NZ"/>
              </w:rPr>
            </w:pPr>
            <w:r w:rsidRPr="00042E4E">
              <w:rPr>
                <w:b/>
                <w:lang w:eastAsia="en-NZ"/>
              </w:rPr>
              <w:t>2019</w:t>
            </w:r>
          </w:p>
        </w:tc>
        <w:tc>
          <w:tcPr>
            <w:tcW w:w="713" w:type="dxa"/>
            <w:tcBorders>
              <w:top w:val="nil"/>
              <w:bottom w:val="nil"/>
            </w:tcBorders>
            <w:shd w:val="clear" w:color="auto" w:fill="D9D9D9" w:themeFill="background1" w:themeFillShade="D9"/>
            <w:noWrap/>
            <w:hideMark/>
          </w:tcPr>
          <w:p w14:paraId="074E2494" w14:textId="77777777" w:rsidR="00AD2DF9" w:rsidRPr="00042E4E" w:rsidRDefault="00AD2DF9" w:rsidP="00042E4E">
            <w:pPr>
              <w:pStyle w:val="TableText"/>
              <w:jc w:val="center"/>
              <w:rPr>
                <w:b/>
                <w:lang w:eastAsia="en-NZ"/>
              </w:rPr>
            </w:pPr>
            <w:r w:rsidRPr="00042E4E">
              <w:rPr>
                <w:b/>
                <w:lang w:eastAsia="en-NZ"/>
              </w:rPr>
              <w:t>2020</w:t>
            </w:r>
          </w:p>
        </w:tc>
      </w:tr>
      <w:tr w:rsidR="00042E4E" w:rsidRPr="0046640B" w14:paraId="61C29F1B" w14:textId="77777777" w:rsidTr="00042E4E">
        <w:trPr>
          <w:cantSplit/>
        </w:trPr>
        <w:tc>
          <w:tcPr>
            <w:tcW w:w="955" w:type="dxa"/>
            <w:tcBorders>
              <w:top w:val="nil"/>
            </w:tcBorders>
            <w:shd w:val="clear" w:color="auto" w:fill="auto"/>
            <w:noWrap/>
            <w:hideMark/>
          </w:tcPr>
          <w:p w14:paraId="6BF25A52" w14:textId="77777777" w:rsidR="00AD2DF9" w:rsidRPr="0046640B" w:rsidRDefault="00AD2DF9" w:rsidP="00042E4E">
            <w:pPr>
              <w:pStyle w:val="TableText"/>
              <w:rPr>
                <w:color w:val="000000"/>
                <w:lang w:eastAsia="en-NZ"/>
              </w:rPr>
            </w:pPr>
            <w:r w:rsidRPr="0046640B">
              <w:rPr>
                <w:color w:val="000000"/>
                <w:lang w:eastAsia="en-NZ"/>
              </w:rPr>
              <w:t>11 to 14</w:t>
            </w:r>
          </w:p>
        </w:tc>
        <w:tc>
          <w:tcPr>
            <w:tcW w:w="712" w:type="dxa"/>
            <w:tcBorders>
              <w:top w:val="nil"/>
            </w:tcBorders>
            <w:shd w:val="clear" w:color="auto" w:fill="auto"/>
            <w:noWrap/>
            <w:hideMark/>
          </w:tcPr>
          <w:p w14:paraId="4B7FE4B0" w14:textId="77777777" w:rsidR="00AD2DF9" w:rsidRPr="0046640B" w:rsidRDefault="00AD2DF9" w:rsidP="00042E4E">
            <w:pPr>
              <w:pStyle w:val="TableText"/>
              <w:tabs>
                <w:tab w:val="decimal" w:pos="548"/>
              </w:tabs>
              <w:rPr>
                <w:color w:val="000000"/>
                <w:lang w:eastAsia="en-NZ"/>
              </w:rPr>
            </w:pPr>
            <w:r w:rsidRPr="0046640B">
              <w:rPr>
                <w:color w:val="000000"/>
                <w:lang w:eastAsia="en-NZ"/>
              </w:rPr>
              <w:t>68</w:t>
            </w:r>
          </w:p>
        </w:tc>
        <w:tc>
          <w:tcPr>
            <w:tcW w:w="713" w:type="dxa"/>
            <w:tcBorders>
              <w:top w:val="nil"/>
            </w:tcBorders>
            <w:shd w:val="clear" w:color="auto" w:fill="auto"/>
            <w:noWrap/>
            <w:hideMark/>
          </w:tcPr>
          <w:p w14:paraId="0475192B" w14:textId="77777777" w:rsidR="00AD2DF9" w:rsidRPr="0046640B" w:rsidRDefault="00AD2DF9" w:rsidP="00042E4E">
            <w:pPr>
              <w:pStyle w:val="TableText"/>
              <w:tabs>
                <w:tab w:val="decimal" w:pos="548"/>
              </w:tabs>
              <w:rPr>
                <w:color w:val="000000"/>
                <w:lang w:eastAsia="en-NZ"/>
              </w:rPr>
            </w:pPr>
            <w:r w:rsidRPr="0046640B">
              <w:rPr>
                <w:color w:val="000000"/>
                <w:lang w:eastAsia="en-NZ"/>
              </w:rPr>
              <w:t>51</w:t>
            </w:r>
          </w:p>
        </w:tc>
        <w:tc>
          <w:tcPr>
            <w:tcW w:w="712" w:type="dxa"/>
            <w:tcBorders>
              <w:top w:val="nil"/>
            </w:tcBorders>
            <w:shd w:val="clear" w:color="auto" w:fill="auto"/>
            <w:noWrap/>
            <w:hideMark/>
          </w:tcPr>
          <w:p w14:paraId="1B53494F" w14:textId="77777777" w:rsidR="00AD2DF9" w:rsidRPr="0046640B" w:rsidRDefault="00AD2DF9" w:rsidP="00042E4E">
            <w:pPr>
              <w:pStyle w:val="TableText"/>
              <w:tabs>
                <w:tab w:val="decimal" w:pos="548"/>
              </w:tabs>
              <w:rPr>
                <w:color w:val="000000"/>
                <w:lang w:eastAsia="en-NZ"/>
              </w:rPr>
            </w:pPr>
            <w:r w:rsidRPr="0046640B">
              <w:rPr>
                <w:color w:val="000000"/>
                <w:lang w:eastAsia="en-NZ"/>
              </w:rPr>
              <w:t>48</w:t>
            </w:r>
          </w:p>
        </w:tc>
        <w:tc>
          <w:tcPr>
            <w:tcW w:w="713" w:type="dxa"/>
            <w:tcBorders>
              <w:top w:val="nil"/>
            </w:tcBorders>
            <w:shd w:val="clear" w:color="auto" w:fill="auto"/>
            <w:noWrap/>
            <w:hideMark/>
          </w:tcPr>
          <w:p w14:paraId="65302880" w14:textId="77777777" w:rsidR="00AD2DF9" w:rsidRPr="0046640B" w:rsidRDefault="00AD2DF9" w:rsidP="00042E4E">
            <w:pPr>
              <w:pStyle w:val="TableText"/>
              <w:tabs>
                <w:tab w:val="decimal" w:pos="548"/>
              </w:tabs>
              <w:rPr>
                <w:color w:val="000000"/>
                <w:lang w:eastAsia="en-NZ"/>
              </w:rPr>
            </w:pPr>
            <w:r w:rsidRPr="0046640B">
              <w:rPr>
                <w:color w:val="000000"/>
                <w:lang w:eastAsia="en-NZ"/>
              </w:rPr>
              <w:t>57</w:t>
            </w:r>
          </w:p>
        </w:tc>
        <w:tc>
          <w:tcPr>
            <w:tcW w:w="712" w:type="dxa"/>
            <w:tcBorders>
              <w:top w:val="nil"/>
            </w:tcBorders>
            <w:shd w:val="clear" w:color="auto" w:fill="auto"/>
            <w:noWrap/>
            <w:hideMark/>
          </w:tcPr>
          <w:p w14:paraId="038E9750" w14:textId="77777777" w:rsidR="00AD2DF9" w:rsidRPr="0046640B" w:rsidRDefault="00AD2DF9" w:rsidP="00042E4E">
            <w:pPr>
              <w:pStyle w:val="TableText"/>
              <w:tabs>
                <w:tab w:val="decimal" w:pos="548"/>
              </w:tabs>
              <w:rPr>
                <w:color w:val="000000"/>
                <w:lang w:eastAsia="en-NZ"/>
              </w:rPr>
            </w:pPr>
            <w:r w:rsidRPr="0046640B">
              <w:rPr>
                <w:color w:val="000000"/>
                <w:lang w:eastAsia="en-NZ"/>
              </w:rPr>
              <w:t>32</w:t>
            </w:r>
          </w:p>
        </w:tc>
        <w:tc>
          <w:tcPr>
            <w:tcW w:w="713" w:type="dxa"/>
            <w:tcBorders>
              <w:top w:val="nil"/>
            </w:tcBorders>
            <w:shd w:val="clear" w:color="auto" w:fill="auto"/>
            <w:noWrap/>
            <w:hideMark/>
          </w:tcPr>
          <w:p w14:paraId="104F7F41" w14:textId="77777777" w:rsidR="00AD2DF9" w:rsidRPr="0046640B" w:rsidRDefault="00AD2DF9" w:rsidP="00042E4E">
            <w:pPr>
              <w:pStyle w:val="TableText"/>
              <w:tabs>
                <w:tab w:val="decimal" w:pos="548"/>
              </w:tabs>
              <w:rPr>
                <w:color w:val="000000"/>
                <w:lang w:eastAsia="en-NZ"/>
              </w:rPr>
            </w:pPr>
            <w:r w:rsidRPr="0046640B">
              <w:rPr>
                <w:color w:val="000000"/>
                <w:lang w:eastAsia="en-NZ"/>
              </w:rPr>
              <w:t>27</w:t>
            </w:r>
          </w:p>
        </w:tc>
        <w:tc>
          <w:tcPr>
            <w:tcW w:w="712" w:type="dxa"/>
            <w:tcBorders>
              <w:top w:val="nil"/>
            </w:tcBorders>
            <w:shd w:val="clear" w:color="auto" w:fill="auto"/>
            <w:noWrap/>
            <w:hideMark/>
          </w:tcPr>
          <w:p w14:paraId="54D19403" w14:textId="77777777" w:rsidR="00AD2DF9" w:rsidRPr="0046640B" w:rsidRDefault="00AD2DF9" w:rsidP="00042E4E">
            <w:pPr>
              <w:pStyle w:val="TableText"/>
              <w:tabs>
                <w:tab w:val="decimal" w:pos="548"/>
              </w:tabs>
              <w:rPr>
                <w:color w:val="000000"/>
                <w:lang w:eastAsia="en-NZ"/>
              </w:rPr>
            </w:pPr>
            <w:r w:rsidRPr="0046640B">
              <w:rPr>
                <w:color w:val="000000"/>
                <w:lang w:eastAsia="en-NZ"/>
              </w:rPr>
              <w:t>30</w:t>
            </w:r>
          </w:p>
        </w:tc>
        <w:tc>
          <w:tcPr>
            <w:tcW w:w="713" w:type="dxa"/>
            <w:tcBorders>
              <w:top w:val="nil"/>
            </w:tcBorders>
            <w:shd w:val="clear" w:color="auto" w:fill="auto"/>
            <w:noWrap/>
            <w:hideMark/>
          </w:tcPr>
          <w:p w14:paraId="07282829" w14:textId="77777777" w:rsidR="00AD2DF9" w:rsidRPr="0046640B" w:rsidRDefault="00AD2DF9" w:rsidP="00042E4E">
            <w:pPr>
              <w:pStyle w:val="TableText"/>
              <w:tabs>
                <w:tab w:val="decimal" w:pos="548"/>
              </w:tabs>
              <w:rPr>
                <w:color w:val="000000"/>
                <w:lang w:eastAsia="en-NZ"/>
              </w:rPr>
            </w:pPr>
            <w:r w:rsidRPr="0046640B">
              <w:rPr>
                <w:color w:val="000000"/>
                <w:lang w:eastAsia="en-NZ"/>
              </w:rPr>
              <w:t>22</w:t>
            </w:r>
          </w:p>
        </w:tc>
        <w:tc>
          <w:tcPr>
            <w:tcW w:w="712" w:type="dxa"/>
            <w:tcBorders>
              <w:top w:val="nil"/>
            </w:tcBorders>
            <w:shd w:val="clear" w:color="auto" w:fill="auto"/>
            <w:noWrap/>
            <w:hideMark/>
          </w:tcPr>
          <w:p w14:paraId="2A99640B" w14:textId="77777777" w:rsidR="00AD2DF9" w:rsidRPr="0046640B" w:rsidRDefault="00AD2DF9" w:rsidP="00042E4E">
            <w:pPr>
              <w:pStyle w:val="TableText"/>
              <w:tabs>
                <w:tab w:val="decimal" w:pos="548"/>
              </w:tabs>
              <w:rPr>
                <w:color w:val="000000"/>
                <w:lang w:eastAsia="en-NZ"/>
              </w:rPr>
            </w:pPr>
            <w:r w:rsidRPr="0046640B">
              <w:rPr>
                <w:color w:val="000000"/>
                <w:lang w:eastAsia="en-NZ"/>
              </w:rPr>
              <w:t>23</w:t>
            </w:r>
          </w:p>
        </w:tc>
        <w:tc>
          <w:tcPr>
            <w:tcW w:w="713" w:type="dxa"/>
            <w:tcBorders>
              <w:top w:val="nil"/>
            </w:tcBorders>
            <w:shd w:val="clear" w:color="auto" w:fill="auto"/>
            <w:noWrap/>
            <w:hideMark/>
          </w:tcPr>
          <w:p w14:paraId="599FC7D8" w14:textId="77777777" w:rsidR="00AD2DF9" w:rsidRPr="0046640B" w:rsidRDefault="00AD2DF9" w:rsidP="00042E4E">
            <w:pPr>
              <w:pStyle w:val="TableText"/>
              <w:tabs>
                <w:tab w:val="decimal" w:pos="548"/>
              </w:tabs>
              <w:rPr>
                <w:color w:val="000000"/>
                <w:lang w:eastAsia="en-NZ"/>
              </w:rPr>
            </w:pPr>
            <w:r w:rsidRPr="0046640B">
              <w:rPr>
                <w:color w:val="000000"/>
                <w:lang w:eastAsia="en-NZ"/>
              </w:rPr>
              <w:t>26</w:t>
            </w:r>
          </w:p>
        </w:tc>
      </w:tr>
      <w:tr w:rsidR="00042E4E" w:rsidRPr="0046640B" w14:paraId="7A5AD68C" w14:textId="77777777" w:rsidTr="00042E4E">
        <w:trPr>
          <w:cantSplit/>
        </w:trPr>
        <w:tc>
          <w:tcPr>
            <w:tcW w:w="955" w:type="dxa"/>
            <w:shd w:val="clear" w:color="auto" w:fill="auto"/>
            <w:noWrap/>
            <w:hideMark/>
          </w:tcPr>
          <w:p w14:paraId="025EAF65" w14:textId="77777777" w:rsidR="00AD2DF9" w:rsidRPr="0046640B" w:rsidRDefault="00AD2DF9" w:rsidP="00042E4E">
            <w:pPr>
              <w:pStyle w:val="TableText"/>
              <w:rPr>
                <w:color w:val="000000"/>
                <w:lang w:eastAsia="en-NZ"/>
              </w:rPr>
            </w:pPr>
            <w:r w:rsidRPr="0046640B">
              <w:rPr>
                <w:color w:val="000000"/>
                <w:lang w:eastAsia="en-NZ"/>
              </w:rPr>
              <w:t>15 to 19</w:t>
            </w:r>
          </w:p>
        </w:tc>
        <w:tc>
          <w:tcPr>
            <w:tcW w:w="712" w:type="dxa"/>
            <w:shd w:val="clear" w:color="auto" w:fill="auto"/>
            <w:noWrap/>
            <w:hideMark/>
          </w:tcPr>
          <w:p w14:paraId="057B6E57" w14:textId="77777777" w:rsidR="00AD2DF9" w:rsidRPr="0046640B" w:rsidRDefault="00AD2DF9" w:rsidP="00042E4E">
            <w:pPr>
              <w:pStyle w:val="TableText"/>
              <w:tabs>
                <w:tab w:val="decimal" w:pos="548"/>
              </w:tabs>
              <w:rPr>
                <w:color w:val="000000"/>
                <w:lang w:eastAsia="en-NZ"/>
              </w:rPr>
            </w:pPr>
            <w:r w:rsidRPr="0046640B">
              <w:rPr>
                <w:color w:val="000000"/>
                <w:lang w:eastAsia="en-NZ"/>
              </w:rPr>
              <w:t>2,822</w:t>
            </w:r>
          </w:p>
        </w:tc>
        <w:tc>
          <w:tcPr>
            <w:tcW w:w="713" w:type="dxa"/>
            <w:shd w:val="clear" w:color="auto" w:fill="auto"/>
            <w:noWrap/>
            <w:hideMark/>
          </w:tcPr>
          <w:p w14:paraId="6B44BF5F" w14:textId="77777777" w:rsidR="00AD2DF9" w:rsidRPr="0046640B" w:rsidRDefault="00AD2DF9" w:rsidP="00042E4E">
            <w:pPr>
              <w:pStyle w:val="TableText"/>
              <w:tabs>
                <w:tab w:val="decimal" w:pos="548"/>
              </w:tabs>
              <w:rPr>
                <w:color w:val="000000"/>
                <w:lang w:eastAsia="en-NZ"/>
              </w:rPr>
            </w:pPr>
            <w:r w:rsidRPr="0046640B">
              <w:rPr>
                <w:color w:val="000000"/>
                <w:lang w:eastAsia="en-NZ"/>
              </w:rPr>
              <w:t>2,489</w:t>
            </w:r>
          </w:p>
        </w:tc>
        <w:tc>
          <w:tcPr>
            <w:tcW w:w="712" w:type="dxa"/>
            <w:shd w:val="clear" w:color="auto" w:fill="auto"/>
            <w:noWrap/>
            <w:hideMark/>
          </w:tcPr>
          <w:p w14:paraId="476E8016" w14:textId="77777777" w:rsidR="00AD2DF9" w:rsidRPr="0046640B" w:rsidRDefault="00AD2DF9" w:rsidP="00042E4E">
            <w:pPr>
              <w:pStyle w:val="TableText"/>
              <w:tabs>
                <w:tab w:val="decimal" w:pos="548"/>
              </w:tabs>
              <w:rPr>
                <w:color w:val="000000"/>
                <w:lang w:eastAsia="en-NZ"/>
              </w:rPr>
            </w:pPr>
            <w:r w:rsidRPr="0046640B">
              <w:rPr>
                <w:color w:val="000000"/>
                <w:lang w:eastAsia="en-NZ"/>
              </w:rPr>
              <w:t>2,096</w:t>
            </w:r>
          </w:p>
        </w:tc>
        <w:tc>
          <w:tcPr>
            <w:tcW w:w="713" w:type="dxa"/>
            <w:shd w:val="clear" w:color="auto" w:fill="auto"/>
            <w:noWrap/>
            <w:hideMark/>
          </w:tcPr>
          <w:p w14:paraId="75349BCA" w14:textId="77777777" w:rsidR="00AD2DF9" w:rsidRPr="0046640B" w:rsidRDefault="00AD2DF9" w:rsidP="00042E4E">
            <w:pPr>
              <w:pStyle w:val="TableText"/>
              <w:tabs>
                <w:tab w:val="decimal" w:pos="548"/>
              </w:tabs>
              <w:rPr>
                <w:color w:val="000000"/>
                <w:lang w:eastAsia="en-NZ"/>
              </w:rPr>
            </w:pPr>
            <w:r w:rsidRPr="0046640B">
              <w:rPr>
                <w:color w:val="000000"/>
                <w:lang w:eastAsia="en-NZ"/>
              </w:rPr>
              <w:t>1,758</w:t>
            </w:r>
          </w:p>
        </w:tc>
        <w:tc>
          <w:tcPr>
            <w:tcW w:w="712" w:type="dxa"/>
            <w:shd w:val="clear" w:color="auto" w:fill="auto"/>
            <w:noWrap/>
            <w:hideMark/>
          </w:tcPr>
          <w:p w14:paraId="7E497F60" w14:textId="77777777" w:rsidR="00AD2DF9" w:rsidRPr="0046640B" w:rsidRDefault="00AD2DF9" w:rsidP="00042E4E">
            <w:pPr>
              <w:pStyle w:val="TableText"/>
              <w:tabs>
                <w:tab w:val="decimal" w:pos="548"/>
              </w:tabs>
              <w:rPr>
                <w:color w:val="000000"/>
                <w:lang w:eastAsia="en-NZ"/>
              </w:rPr>
            </w:pPr>
            <w:r w:rsidRPr="0046640B">
              <w:rPr>
                <w:color w:val="000000"/>
                <w:lang w:eastAsia="en-NZ"/>
              </w:rPr>
              <w:t>1,635</w:t>
            </w:r>
          </w:p>
        </w:tc>
        <w:tc>
          <w:tcPr>
            <w:tcW w:w="713" w:type="dxa"/>
            <w:shd w:val="clear" w:color="auto" w:fill="auto"/>
            <w:noWrap/>
            <w:hideMark/>
          </w:tcPr>
          <w:p w14:paraId="64A894C3" w14:textId="77777777" w:rsidR="00AD2DF9" w:rsidRPr="0046640B" w:rsidRDefault="00AD2DF9" w:rsidP="00042E4E">
            <w:pPr>
              <w:pStyle w:val="TableText"/>
              <w:tabs>
                <w:tab w:val="decimal" w:pos="548"/>
              </w:tabs>
              <w:rPr>
                <w:color w:val="000000"/>
                <w:lang w:eastAsia="en-NZ"/>
              </w:rPr>
            </w:pPr>
            <w:r w:rsidRPr="0046640B">
              <w:rPr>
                <w:color w:val="000000"/>
                <w:lang w:eastAsia="en-NZ"/>
              </w:rPr>
              <w:t>1,451</w:t>
            </w:r>
          </w:p>
        </w:tc>
        <w:tc>
          <w:tcPr>
            <w:tcW w:w="712" w:type="dxa"/>
            <w:shd w:val="clear" w:color="auto" w:fill="auto"/>
            <w:noWrap/>
            <w:hideMark/>
          </w:tcPr>
          <w:p w14:paraId="325FE5AA" w14:textId="77777777" w:rsidR="00AD2DF9" w:rsidRPr="0046640B" w:rsidRDefault="00AD2DF9" w:rsidP="00042E4E">
            <w:pPr>
              <w:pStyle w:val="TableText"/>
              <w:tabs>
                <w:tab w:val="decimal" w:pos="548"/>
              </w:tabs>
              <w:rPr>
                <w:color w:val="000000"/>
                <w:lang w:eastAsia="en-NZ"/>
              </w:rPr>
            </w:pPr>
            <w:r w:rsidRPr="0046640B">
              <w:rPr>
                <w:color w:val="000000"/>
                <w:lang w:eastAsia="en-NZ"/>
              </w:rPr>
              <w:t>1,414</w:t>
            </w:r>
          </w:p>
        </w:tc>
        <w:tc>
          <w:tcPr>
            <w:tcW w:w="713" w:type="dxa"/>
            <w:shd w:val="clear" w:color="auto" w:fill="auto"/>
            <w:noWrap/>
            <w:hideMark/>
          </w:tcPr>
          <w:p w14:paraId="23FA8905" w14:textId="77777777" w:rsidR="00AD2DF9" w:rsidRPr="0046640B" w:rsidRDefault="00AD2DF9" w:rsidP="00042E4E">
            <w:pPr>
              <w:pStyle w:val="TableText"/>
              <w:tabs>
                <w:tab w:val="decimal" w:pos="548"/>
              </w:tabs>
              <w:rPr>
                <w:color w:val="000000"/>
                <w:lang w:eastAsia="en-NZ"/>
              </w:rPr>
            </w:pPr>
            <w:r w:rsidRPr="0046640B">
              <w:rPr>
                <w:color w:val="000000"/>
                <w:lang w:eastAsia="en-NZ"/>
              </w:rPr>
              <w:t>1,289</w:t>
            </w:r>
          </w:p>
        </w:tc>
        <w:tc>
          <w:tcPr>
            <w:tcW w:w="712" w:type="dxa"/>
            <w:shd w:val="clear" w:color="auto" w:fill="auto"/>
            <w:noWrap/>
            <w:hideMark/>
          </w:tcPr>
          <w:p w14:paraId="5D674B9F" w14:textId="77777777" w:rsidR="00AD2DF9" w:rsidRPr="0046640B" w:rsidRDefault="00AD2DF9" w:rsidP="00042E4E">
            <w:pPr>
              <w:pStyle w:val="TableText"/>
              <w:tabs>
                <w:tab w:val="decimal" w:pos="548"/>
              </w:tabs>
              <w:rPr>
                <w:color w:val="000000"/>
                <w:lang w:eastAsia="en-NZ"/>
              </w:rPr>
            </w:pPr>
            <w:r w:rsidRPr="0046640B">
              <w:rPr>
                <w:color w:val="000000"/>
                <w:lang w:eastAsia="en-NZ"/>
              </w:rPr>
              <w:t>1,219</w:t>
            </w:r>
          </w:p>
        </w:tc>
        <w:tc>
          <w:tcPr>
            <w:tcW w:w="713" w:type="dxa"/>
            <w:shd w:val="clear" w:color="auto" w:fill="auto"/>
            <w:noWrap/>
            <w:hideMark/>
          </w:tcPr>
          <w:p w14:paraId="5ECD058D" w14:textId="77777777" w:rsidR="00AD2DF9" w:rsidRPr="0046640B" w:rsidRDefault="00AD2DF9" w:rsidP="00042E4E">
            <w:pPr>
              <w:pStyle w:val="TableText"/>
              <w:tabs>
                <w:tab w:val="decimal" w:pos="548"/>
              </w:tabs>
              <w:rPr>
                <w:color w:val="000000"/>
                <w:lang w:eastAsia="en-NZ"/>
              </w:rPr>
            </w:pPr>
            <w:r w:rsidRPr="0046640B">
              <w:rPr>
                <w:color w:val="000000"/>
                <w:lang w:eastAsia="en-NZ"/>
              </w:rPr>
              <w:t>1,227</w:t>
            </w:r>
          </w:p>
        </w:tc>
      </w:tr>
      <w:tr w:rsidR="00042E4E" w:rsidRPr="0046640B" w14:paraId="3E72770B" w14:textId="77777777" w:rsidTr="00042E4E">
        <w:trPr>
          <w:cantSplit/>
        </w:trPr>
        <w:tc>
          <w:tcPr>
            <w:tcW w:w="955" w:type="dxa"/>
            <w:shd w:val="clear" w:color="auto" w:fill="auto"/>
            <w:noWrap/>
            <w:hideMark/>
          </w:tcPr>
          <w:p w14:paraId="09E5C162" w14:textId="77777777" w:rsidR="00AD2DF9" w:rsidRPr="0046640B" w:rsidRDefault="00AD2DF9" w:rsidP="00042E4E">
            <w:pPr>
              <w:pStyle w:val="TableText"/>
              <w:rPr>
                <w:color w:val="000000"/>
                <w:lang w:eastAsia="en-NZ"/>
              </w:rPr>
            </w:pPr>
            <w:r w:rsidRPr="0046640B">
              <w:rPr>
                <w:color w:val="000000"/>
                <w:lang w:eastAsia="en-NZ"/>
              </w:rPr>
              <w:t>20 to 24</w:t>
            </w:r>
          </w:p>
        </w:tc>
        <w:tc>
          <w:tcPr>
            <w:tcW w:w="712" w:type="dxa"/>
            <w:shd w:val="clear" w:color="auto" w:fill="auto"/>
            <w:noWrap/>
            <w:hideMark/>
          </w:tcPr>
          <w:p w14:paraId="4E387E47" w14:textId="77777777" w:rsidR="00AD2DF9" w:rsidRPr="0046640B" w:rsidRDefault="00AD2DF9" w:rsidP="00042E4E">
            <w:pPr>
              <w:pStyle w:val="TableText"/>
              <w:tabs>
                <w:tab w:val="decimal" w:pos="548"/>
              </w:tabs>
              <w:rPr>
                <w:color w:val="000000"/>
                <w:lang w:eastAsia="en-NZ"/>
              </w:rPr>
            </w:pPr>
            <w:r w:rsidRPr="0046640B">
              <w:rPr>
                <w:color w:val="000000"/>
                <w:lang w:eastAsia="en-NZ"/>
              </w:rPr>
              <w:t>5,160</w:t>
            </w:r>
          </w:p>
        </w:tc>
        <w:tc>
          <w:tcPr>
            <w:tcW w:w="713" w:type="dxa"/>
            <w:shd w:val="clear" w:color="auto" w:fill="auto"/>
            <w:noWrap/>
            <w:hideMark/>
          </w:tcPr>
          <w:p w14:paraId="6851540A" w14:textId="77777777" w:rsidR="00AD2DF9" w:rsidRPr="0046640B" w:rsidRDefault="00AD2DF9" w:rsidP="00042E4E">
            <w:pPr>
              <w:pStyle w:val="TableText"/>
              <w:tabs>
                <w:tab w:val="decimal" w:pos="548"/>
              </w:tabs>
              <w:rPr>
                <w:color w:val="000000"/>
                <w:lang w:eastAsia="en-NZ"/>
              </w:rPr>
            </w:pPr>
            <w:r w:rsidRPr="0046640B">
              <w:rPr>
                <w:color w:val="000000"/>
                <w:lang w:eastAsia="en-NZ"/>
              </w:rPr>
              <w:t>4,560</w:t>
            </w:r>
          </w:p>
        </w:tc>
        <w:tc>
          <w:tcPr>
            <w:tcW w:w="712" w:type="dxa"/>
            <w:shd w:val="clear" w:color="auto" w:fill="auto"/>
            <w:noWrap/>
            <w:hideMark/>
          </w:tcPr>
          <w:p w14:paraId="1311F334" w14:textId="77777777" w:rsidR="00AD2DF9" w:rsidRPr="0046640B" w:rsidRDefault="00AD2DF9" w:rsidP="00042E4E">
            <w:pPr>
              <w:pStyle w:val="TableText"/>
              <w:tabs>
                <w:tab w:val="decimal" w:pos="548"/>
              </w:tabs>
              <w:rPr>
                <w:color w:val="000000"/>
                <w:lang w:eastAsia="en-NZ"/>
              </w:rPr>
            </w:pPr>
            <w:r w:rsidRPr="0046640B">
              <w:rPr>
                <w:color w:val="000000"/>
                <w:lang w:eastAsia="en-NZ"/>
              </w:rPr>
              <w:t>4,386</w:t>
            </w:r>
          </w:p>
        </w:tc>
        <w:tc>
          <w:tcPr>
            <w:tcW w:w="713" w:type="dxa"/>
            <w:shd w:val="clear" w:color="auto" w:fill="auto"/>
            <w:noWrap/>
            <w:hideMark/>
          </w:tcPr>
          <w:p w14:paraId="32ABD720" w14:textId="77777777" w:rsidR="00AD2DF9" w:rsidRPr="0046640B" w:rsidRDefault="00AD2DF9" w:rsidP="00042E4E">
            <w:pPr>
              <w:pStyle w:val="TableText"/>
              <w:tabs>
                <w:tab w:val="decimal" w:pos="548"/>
              </w:tabs>
              <w:rPr>
                <w:color w:val="000000"/>
                <w:lang w:eastAsia="en-NZ"/>
              </w:rPr>
            </w:pPr>
            <w:r w:rsidRPr="0046640B">
              <w:rPr>
                <w:color w:val="000000"/>
                <w:lang w:eastAsia="en-NZ"/>
              </w:rPr>
              <w:t>4,024</w:t>
            </w:r>
          </w:p>
        </w:tc>
        <w:tc>
          <w:tcPr>
            <w:tcW w:w="712" w:type="dxa"/>
            <w:shd w:val="clear" w:color="auto" w:fill="auto"/>
            <w:noWrap/>
            <w:hideMark/>
          </w:tcPr>
          <w:p w14:paraId="0568BA2D" w14:textId="77777777" w:rsidR="00AD2DF9" w:rsidRPr="0046640B" w:rsidRDefault="00AD2DF9" w:rsidP="00042E4E">
            <w:pPr>
              <w:pStyle w:val="TableText"/>
              <w:tabs>
                <w:tab w:val="decimal" w:pos="548"/>
              </w:tabs>
              <w:rPr>
                <w:color w:val="000000"/>
                <w:lang w:eastAsia="en-NZ"/>
              </w:rPr>
            </w:pPr>
            <w:r w:rsidRPr="0046640B">
              <w:rPr>
                <w:color w:val="000000"/>
                <w:lang w:eastAsia="en-NZ"/>
              </w:rPr>
              <w:t>3,777</w:t>
            </w:r>
          </w:p>
        </w:tc>
        <w:tc>
          <w:tcPr>
            <w:tcW w:w="713" w:type="dxa"/>
            <w:shd w:val="clear" w:color="auto" w:fill="auto"/>
            <w:noWrap/>
            <w:hideMark/>
          </w:tcPr>
          <w:p w14:paraId="1DBAF1C5" w14:textId="77777777" w:rsidR="00AD2DF9" w:rsidRPr="0046640B" w:rsidRDefault="00AD2DF9" w:rsidP="00042E4E">
            <w:pPr>
              <w:pStyle w:val="TableText"/>
              <w:tabs>
                <w:tab w:val="decimal" w:pos="548"/>
              </w:tabs>
              <w:rPr>
                <w:color w:val="000000"/>
                <w:lang w:eastAsia="en-NZ"/>
              </w:rPr>
            </w:pPr>
            <w:r w:rsidRPr="0046640B">
              <w:rPr>
                <w:color w:val="000000"/>
                <w:lang w:eastAsia="en-NZ"/>
              </w:rPr>
              <w:t>3,537</w:t>
            </w:r>
          </w:p>
        </w:tc>
        <w:tc>
          <w:tcPr>
            <w:tcW w:w="712" w:type="dxa"/>
            <w:shd w:val="clear" w:color="auto" w:fill="auto"/>
            <w:noWrap/>
            <w:hideMark/>
          </w:tcPr>
          <w:p w14:paraId="27D9C67E" w14:textId="77777777" w:rsidR="00AD2DF9" w:rsidRPr="0046640B" w:rsidRDefault="00AD2DF9" w:rsidP="00042E4E">
            <w:pPr>
              <w:pStyle w:val="TableText"/>
              <w:tabs>
                <w:tab w:val="decimal" w:pos="548"/>
              </w:tabs>
              <w:rPr>
                <w:color w:val="000000"/>
                <w:lang w:eastAsia="en-NZ"/>
              </w:rPr>
            </w:pPr>
            <w:r w:rsidRPr="0046640B">
              <w:rPr>
                <w:color w:val="000000"/>
                <w:lang w:eastAsia="en-NZ"/>
              </w:rPr>
              <w:t>3,599</w:t>
            </w:r>
          </w:p>
        </w:tc>
        <w:tc>
          <w:tcPr>
            <w:tcW w:w="713" w:type="dxa"/>
            <w:shd w:val="clear" w:color="auto" w:fill="auto"/>
            <w:noWrap/>
            <w:hideMark/>
          </w:tcPr>
          <w:p w14:paraId="68A0A4E4" w14:textId="77777777" w:rsidR="00AD2DF9" w:rsidRPr="0046640B" w:rsidRDefault="00AD2DF9" w:rsidP="00042E4E">
            <w:pPr>
              <w:pStyle w:val="TableText"/>
              <w:tabs>
                <w:tab w:val="decimal" w:pos="548"/>
              </w:tabs>
              <w:rPr>
                <w:color w:val="000000"/>
                <w:lang w:eastAsia="en-NZ"/>
              </w:rPr>
            </w:pPr>
            <w:r w:rsidRPr="0046640B">
              <w:rPr>
                <w:color w:val="000000"/>
                <w:lang w:eastAsia="en-NZ"/>
              </w:rPr>
              <w:t>3,334</w:t>
            </w:r>
          </w:p>
        </w:tc>
        <w:tc>
          <w:tcPr>
            <w:tcW w:w="712" w:type="dxa"/>
            <w:shd w:val="clear" w:color="auto" w:fill="auto"/>
            <w:noWrap/>
            <w:hideMark/>
          </w:tcPr>
          <w:p w14:paraId="75E2A5DA" w14:textId="77777777" w:rsidR="00AD2DF9" w:rsidRPr="0046640B" w:rsidRDefault="00AD2DF9" w:rsidP="00042E4E">
            <w:pPr>
              <w:pStyle w:val="TableText"/>
              <w:tabs>
                <w:tab w:val="decimal" w:pos="548"/>
              </w:tabs>
              <w:rPr>
                <w:color w:val="000000"/>
                <w:lang w:eastAsia="en-NZ"/>
              </w:rPr>
            </w:pPr>
            <w:r w:rsidRPr="0046640B">
              <w:rPr>
                <w:color w:val="000000"/>
                <w:lang w:eastAsia="en-NZ"/>
              </w:rPr>
              <w:t>3,191</w:t>
            </w:r>
          </w:p>
        </w:tc>
        <w:tc>
          <w:tcPr>
            <w:tcW w:w="713" w:type="dxa"/>
            <w:shd w:val="clear" w:color="auto" w:fill="auto"/>
            <w:noWrap/>
            <w:hideMark/>
          </w:tcPr>
          <w:p w14:paraId="13019309" w14:textId="77777777" w:rsidR="00AD2DF9" w:rsidRPr="0046640B" w:rsidRDefault="00AD2DF9" w:rsidP="00042E4E">
            <w:pPr>
              <w:pStyle w:val="TableText"/>
              <w:tabs>
                <w:tab w:val="decimal" w:pos="548"/>
              </w:tabs>
              <w:rPr>
                <w:color w:val="000000"/>
                <w:lang w:eastAsia="en-NZ"/>
              </w:rPr>
            </w:pPr>
            <w:r w:rsidRPr="0046640B">
              <w:rPr>
                <w:color w:val="000000"/>
                <w:lang w:eastAsia="en-NZ"/>
              </w:rPr>
              <w:t>3,204</w:t>
            </w:r>
          </w:p>
        </w:tc>
      </w:tr>
      <w:tr w:rsidR="00042E4E" w:rsidRPr="0046640B" w14:paraId="0AE6316F" w14:textId="77777777" w:rsidTr="00042E4E">
        <w:trPr>
          <w:cantSplit/>
        </w:trPr>
        <w:tc>
          <w:tcPr>
            <w:tcW w:w="955" w:type="dxa"/>
            <w:shd w:val="clear" w:color="auto" w:fill="auto"/>
            <w:noWrap/>
            <w:hideMark/>
          </w:tcPr>
          <w:p w14:paraId="484DB25E" w14:textId="77777777" w:rsidR="00AD2DF9" w:rsidRPr="0046640B" w:rsidRDefault="00AD2DF9" w:rsidP="00042E4E">
            <w:pPr>
              <w:pStyle w:val="TableText"/>
              <w:rPr>
                <w:color w:val="000000"/>
                <w:lang w:eastAsia="en-NZ"/>
              </w:rPr>
            </w:pPr>
            <w:r w:rsidRPr="0046640B">
              <w:rPr>
                <w:color w:val="000000"/>
                <w:lang w:eastAsia="en-NZ"/>
              </w:rPr>
              <w:t>25 to 29</w:t>
            </w:r>
          </w:p>
        </w:tc>
        <w:tc>
          <w:tcPr>
            <w:tcW w:w="712" w:type="dxa"/>
            <w:shd w:val="clear" w:color="auto" w:fill="auto"/>
            <w:noWrap/>
            <w:hideMark/>
          </w:tcPr>
          <w:p w14:paraId="67C0A407" w14:textId="77777777" w:rsidR="00AD2DF9" w:rsidRPr="0046640B" w:rsidRDefault="00AD2DF9" w:rsidP="00042E4E">
            <w:pPr>
              <w:pStyle w:val="TableText"/>
              <w:tabs>
                <w:tab w:val="decimal" w:pos="548"/>
              </w:tabs>
              <w:rPr>
                <w:color w:val="000000"/>
                <w:lang w:eastAsia="en-NZ"/>
              </w:rPr>
            </w:pPr>
            <w:r w:rsidRPr="0046640B">
              <w:rPr>
                <w:color w:val="000000"/>
                <w:lang w:eastAsia="en-NZ"/>
              </w:rPr>
              <w:t>3,340</w:t>
            </w:r>
          </w:p>
        </w:tc>
        <w:tc>
          <w:tcPr>
            <w:tcW w:w="713" w:type="dxa"/>
            <w:shd w:val="clear" w:color="auto" w:fill="auto"/>
            <w:noWrap/>
            <w:hideMark/>
          </w:tcPr>
          <w:p w14:paraId="64617F40" w14:textId="77777777" w:rsidR="00AD2DF9" w:rsidRPr="0046640B" w:rsidRDefault="00AD2DF9" w:rsidP="00042E4E">
            <w:pPr>
              <w:pStyle w:val="TableText"/>
              <w:tabs>
                <w:tab w:val="decimal" w:pos="548"/>
              </w:tabs>
              <w:rPr>
                <w:color w:val="000000"/>
                <w:lang w:eastAsia="en-NZ"/>
              </w:rPr>
            </w:pPr>
            <w:r w:rsidRPr="0046640B">
              <w:rPr>
                <w:color w:val="000000"/>
                <w:lang w:eastAsia="en-NZ"/>
              </w:rPr>
              <w:t>3,240</w:t>
            </w:r>
          </w:p>
        </w:tc>
        <w:tc>
          <w:tcPr>
            <w:tcW w:w="712" w:type="dxa"/>
            <w:shd w:val="clear" w:color="auto" w:fill="auto"/>
            <w:noWrap/>
            <w:hideMark/>
          </w:tcPr>
          <w:p w14:paraId="0B5BAADF" w14:textId="77777777" w:rsidR="00AD2DF9" w:rsidRPr="0046640B" w:rsidRDefault="00AD2DF9" w:rsidP="00042E4E">
            <w:pPr>
              <w:pStyle w:val="TableText"/>
              <w:tabs>
                <w:tab w:val="decimal" w:pos="548"/>
              </w:tabs>
              <w:rPr>
                <w:color w:val="000000"/>
                <w:lang w:eastAsia="en-NZ"/>
              </w:rPr>
            </w:pPr>
            <w:r w:rsidRPr="0046640B">
              <w:rPr>
                <w:color w:val="000000"/>
                <w:lang w:eastAsia="en-NZ"/>
              </w:rPr>
              <w:t>3,174</w:t>
            </w:r>
          </w:p>
        </w:tc>
        <w:tc>
          <w:tcPr>
            <w:tcW w:w="713" w:type="dxa"/>
            <w:shd w:val="clear" w:color="auto" w:fill="auto"/>
            <w:noWrap/>
            <w:hideMark/>
          </w:tcPr>
          <w:p w14:paraId="56B6E0B6" w14:textId="77777777" w:rsidR="00AD2DF9" w:rsidRPr="0046640B" w:rsidRDefault="00AD2DF9" w:rsidP="00042E4E">
            <w:pPr>
              <w:pStyle w:val="TableText"/>
              <w:tabs>
                <w:tab w:val="decimal" w:pos="548"/>
              </w:tabs>
              <w:rPr>
                <w:color w:val="000000"/>
                <w:lang w:eastAsia="en-NZ"/>
              </w:rPr>
            </w:pPr>
            <w:r w:rsidRPr="0046640B">
              <w:rPr>
                <w:color w:val="000000"/>
                <w:lang w:eastAsia="en-NZ"/>
              </w:rPr>
              <w:t>3,075</w:t>
            </w:r>
          </w:p>
        </w:tc>
        <w:tc>
          <w:tcPr>
            <w:tcW w:w="712" w:type="dxa"/>
            <w:shd w:val="clear" w:color="auto" w:fill="auto"/>
            <w:noWrap/>
            <w:hideMark/>
          </w:tcPr>
          <w:p w14:paraId="40D78CB2" w14:textId="77777777" w:rsidR="00AD2DF9" w:rsidRPr="0046640B" w:rsidRDefault="00AD2DF9" w:rsidP="00042E4E">
            <w:pPr>
              <w:pStyle w:val="TableText"/>
              <w:tabs>
                <w:tab w:val="decimal" w:pos="548"/>
              </w:tabs>
              <w:rPr>
                <w:color w:val="000000"/>
                <w:lang w:eastAsia="en-NZ"/>
              </w:rPr>
            </w:pPr>
            <w:r w:rsidRPr="0046640B">
              <w:rPr>
                <w:color w:val="000000"/>
                <w:lang w:eastAsia="en-NZ"/>
              </w:rPr>
              <w:t>3,256</w:t>
            </w:r>
          </w:p>
        </w:tc>
        <w:tc>
          <w:tcPr>
            <w:tcW w:w="713" w:type="dxa"/>
            <w:shd w:val="clear" w:color="auto" w:fill="auto"/>
            <w:noWrap/>
            <w:hideMark/>
          </w:tcPr>
          <w:p w14:paraId="283D55B1" w14:textId="77777777" w:rsidR="00AD2DF9" w:rsidRPr="0046640B" w:rsidRDefault="00AD2DF9" w:rsidP="00042E4E">
            <w:pPr>
              <w:pStyle w:val="TableText"/>
              <w:tabs>
                <w:tab w:val="decimal" w:pos="548"/>
              </w:tabs>
              <w:rPr>
                <w:color w:val="000000"/>
                <w:lang w:eastAsia="en-NZ"/>
              </w:rPr>
            </w:pPr>
            <w:r w:rsidRPr="0046640B">
              <w:rPr>
                <w:color w:val="000000"/>
                <w:lang w:eastAsia="en-NZ"/>
              </w:rPr>
              <w:t>3,368</w:t>
            </w:r>
          </w:p>
        </w:tc>
        <w:tc>
          <w:tcPr>
            <w:tcW w:w="712" w:type="dxa"/>
            <w:shd w:val="clear" w:color="auto" w:fill="auto"/>
            <w:noWrap/>
            <w:hideMark/>
          </w:tcPr>
          <w:p w14:paraId="540D36A6" w14:textId="77777777" w:rsidR="00AD2DF9" w:rsidRPr="0046640B" w:rsidRDefault="00AD2DF9" w:rsidP="00042E4E">
            <w:pPr>
              <w:pStyle w:val="TableText"/>
              <w:tabs>
                <w:tab w:val="decimal" w:pos="548"/>
              </w:tabs>
              <w:rPr>
                <w:color w:val="000000"/>
                <w:lang w:eastAsia="en-NZ"/>
              </w:rPr>
            </w:pPr>
            <w:r w:rsidRPr="0046640B">
              <w:rPr>
                <w:color w:val="000000"/>
                <w:lang w:eastAsia="en-NZ"/>
              </w:rPr>
              <w:t>3,632</w:t>
            </w:r>
          </w:p>
        </w:tc>
        <w:tc>
          <w:tcPr>
            <w:tcW w:w="713" w:type="dxa"/>
            <w:shd w:val="clear" w:color="auto" w:fill="auto"/>
            <w:noWrap/>
            <w:hideMark/>
          </w:tcPr>
          <w:p w14:paraId="19F665DC" w14:textId="77777777" w:rsidR="00AD2DF9" w:rsidRPr="0046640B" w:rsidRDefault="00AD2DF9" w:rsidP="00042E4E">
            <w:pPr>
              <w:pStyle w:val="TableText"/>
              <w:tabs>
                <w:tab w:val="decimal" w:pos="548"/>
              </w:tabs>
              <w:rPr>
                <w:color w:val="000000"/>
                <w:lang w:eastAsia="en-NZ"/>
              </w:rPr>
            </w:pPr>
            <w:r w:rsidRPr="0046640B">
              <w:rPr>
                <w:color w:val="000000"/>
                <w:lang w:eastAsia="en-NZ"/>
              </w:rPr>
              <w:t>3,598</w:t>
            </w:r>
          </w:p>
        </w:tc>
        <w:tc>
          <w:tcPr>
            <w:tcW w:w="712" w:type="dxa"/>
            <w:shd w:val="clear" w:color="auto" w:fill="auto"/>
            <w:noWrap/>
            <w:hideMark/>
          </w:tcPr>
          <w:p w14:paraId="1CAE5D73" w14:textId="77777777" w:rsidR="00AD2DF9" w:rsidRPr="0046640B" w:rsidRDefault="00AD2DF9" w:rsidP="00042E4E">
            <w:pPr>
              <w:pStyle w:val="TableText"/>
              <w:tabs>
                <w:tab w:val="decimal" w:pos="548"/>
              </w:tabs>
              <w:rPr>
                <w:color w:val="000000"/>
                <w:lang w:eastAsia="en-NZ"/>
              </w:rPr>
            </w:pPr>
            <w:r w:rsidRPr="0046640B">
              <w:rPr>
                <w:color w:val="000000"/>
                <w:lang w:eastAsia="en-NZ"/>
              </w:rPr>
              <w:t>3,397</w:t>
            </w:r>
          </w:p>
        </w:tc>
        <w:tc>
          <w:tcPr>
            <w:tcW w:w="713" w:type="dxa"/>
            <w:shd w:val="clear" w:color="auto" w:fill="auto"/>
            <w:noWrap/>
            <w:hideMark/>
          </w:tcPr>
          <w:p w14:paraId="6843C4EA" w14:textId="77777777" w:rsidR="00AD2DF9" w:rsidRPr="0046640B" w:rsidRDefault="00AD2DF9" w:rsidP="00042E4E">
            <w:pPr>
              <w:pStyle w:val="TableText"/>
              <w:tabs>
                <w:tab w:val="decimal" w:pos="548"/>
              </w:tabs>
              <w:rPr>
                <w:color w:val="000000"/>
                <w:lang w:eastAsia="en-NZ"/>
              </w:rPr>
            </w:pPr>
            <w:r w:rsidRPr="0046640B">
              <w:rPr>
                <w:color w:val="000000"/>
                <w:lang w:eastAsia="en-NZ"/>
              </w:rPr>
              <w:t>3,488</w:t>
            </w:r>
          </w:p>
        </w:tc>
      </w:tr>
      <w:tr w:rsidR="00042E4E" w:rsidRPr="0046640B" w14:paraId="40500203" w14:textId="77777777" w:rsidTr="00042E4E">
        <w:trPr>
          <w:cantSplit/>
        </w:trPr>
        <w:tc>
          <w:tcPr>
            <w:tcW w:w="955" w:type="dxa"/>
            <w:shd w:val="clear" w:color="auto" w:fill="auto"/>
            <w:noWrap/>
            <w:hideMark/>
          </w:tcPr>
          <w:p w14:paraId="3C031C6E" w14:textId="77777777" w:rsidR="00AD2DF9" w:rsidRPr="0046640B" w:rsidRDefault="00AD2DF9" w:rsidP="00042E4E">
            <w:pPr>
              <w:pStyle w:val="TableText"/>
              <w:rPr>
                <w:color w:val="000000"/>
                <w:lang w:eastAsia="en-NZ"/>
              </w:rPr>
            </w:pPr>
            <w:r w:rsidRPr="0046640B">
              <w:rPr>
                <w:color w:val="000000"/>
                <w:lang w:eastAsia="en-NZ"/>
              </w:rPr>
              <w:t>30 to 34</w:t>
            </w:r>
          </w:p>
        </w:tc>
        <w:tc>
          <w:tcPr>
            <w:tcW w:w="712" w:type="dxa"/>
            <w:shd w:val="clear" w:color="auto" w:fill="auto"/>
            <w:noWrap/>
            <w:hideMark/>
          </w:tcPr>
          <w:p w14:paraId="5E668F23" w14:textId="77777777" w:rsidR="00AD2DF9" w:rsidRPr="0046640B" w:rsidRDefault="00AD2DF9" w:rsidP="00042E4E">
            <w:pPr>
              <w:pStyle w:val="TableText"/>
              <w:tabs>
                <w:tab w:val="decimal" w:pos="548"/>
              </w:tabs>
              <w:rPr>
                <w:color w:val="000000"/>
                <w:lang w:eastAsia="en-NZ"/>
              </w:rPr>
            </w:pPr>
            <w:r w:rsidRPr="0046640B">
              <w:rPr>
                <w:color w:val="000000"/>
                <w:lang w:eastAsia="en-NZ"/>
              </w:rPr>
              <w:t>2,220</w:t>
            </w:r>
          </w:p>
        </w:tc>
        <w:tc>
          <w:tcPr>
            <w:tcW w:w="713" w:type="dxa"/>
            <w:shd w:val="clear" w:color="auto" w:fill="auto"/>
            <w:noWrap/>
            <w:hideMark/>
          </w:tcPr>
          <w:p w14:paraId="1F8E1020" w14:textId="77777777" w:rsidR="00AD2DF9" w:rsidRPr="0046640B" w:rsidRDefault="00AD2DF9" w:rsidP="00042E4E">
            <w:pPr>
              <w:pStyle w:val="TableText"/>
              <w:tabs>
                <w:tab w:val="decimal" w:pos="548"/>
              </w:tabs>
              <w:rPr>
                <w:color w:val="000000"/>
                <w:lang w:eastAsia="en-NZ"/>
              </w:rPr>
            </w:pPr>
            <w:r w:rsidRPr="0046640B">
              <w:rPr>
                <w:color w:val="000000"/>
                <w:lang w:eastAsia="en-NZ"/>
              </w:rPr>
              <w:t>2,248</w:t>
            </w:r>
          </w:p>
        </w:tc>
        <w:tc>
          <w:tcPr>
            <w:tcW w:w="712" w:type="dxa"/>
            <w:shd w:val="clear" w:color="auto" w:fill="auto"/>
            <w:noWrap/>
            <w:hideMark/>
          </w:tcPr>
          <w:p w14:paraId="280D705F" w14:textId="77777777" w:rsidR="00AD2DF9" w:rsidRPr="0046640B" w:rsidRDefault="00AD2DF9" w:rsidP="00042E4E">
            <w:pPr>
              <w:pStyle w:val="TableText"/>
              <w:tabs>
                <w:tab w:val="decimal" w:pos="548"/>
              </w:tabs>
              <w:rPr>
                <w:color w:val="000000"/>
                <w:lang w:eastAsia="en-NZ"/>
              </w:rPr>
            </w:pPr>
            <w:r w:rsidRPr="0046640B">
              <w:rPr>
                <w:color w:val="000000"/>
                <w:lang w:eastAsia="en-NZ"/>
              </w:rPr>
              <w:t>2,237</w:t>
            </w:r>
          </w:p>
        </w:tc>
        <w:tc>
          <w:tcPr>
            <w:tcW w:w="713" w:type="dxa"/>
            <w:shd w:val="clear" w:color="auto" w:fill="auto"/>
            <w:noWrap/>
            <w:hideMark/>
          </w:tcPr>
          <w:p w14:paraId="269CB0B3" w14:textId="77777777" w:rsidR="00AD2DF9" w:rsidRPr="0046640B" w:rsidRDefault="00AD2DF9" w:rsidP="00042E4E">
            <w:pPr>
              <w:pStyle w:val="TableText"/>
              <w:tabs>
                <w:tab w:val="decimal" w:pos="548"/>
              </w:tabs>
              <w:rPr>
                <w:color w:val="000000"/>
                <w:lang w:eastAsia="en-NZ"/>
              </w:rPr>
            </w:pPr>
            <w:r w:rsidRPr="0046640B">
              <w:rPr>
                <w:color w:val="000000"/>
                <w:lang w:eastAsia="en-NZ"/>
              </w:rPr>
              <w:t>2,172</w:t>
            </w:r>
          </w:p>
        </w:tc>
        <w:tc>
          <w:tcPr>
            <w:tcW w:w="712" w:type="dxa"/>
            <w:shd w:val="clear" w:color="auto" w:fill="auto"/>
            <w:noWrap/>
            <w:hideMark/>
          </w:tcPr>
          <w:p w14:paraId="643381BE" w14:textId="77777777" w:rsidR="00AD2DF9" w:rsidRPr="0046640B" w:rsidRDefault="00AD2DF9" w:rsidP="00042E4E">
            <w:pPr>
              <w:pStyle w:val="TableText"/>
              <w:tabs>
                <w:tab w:val="decimal" w:pos="548"/>
              </w:tabs>
              <w:rPr>
                <w:color w:val="000000"/>
                <w:lang w:eastAsia="en-NZ"/>
              </w:rPr>
            </w:pPr>
            <w:r w:rsidRPr="0046640B">
              <w:rPr>
                <w:color w:val="000000"/>
                <w:lang w:eastAsia="en-NZ"/>
              </w:rPr>
              <w:t>2,309</w:t>
            </w:r>
          </w:p>
        </w:tc>
        <w:tc>
          <w:tcPr>
            <w:tcW w:w="713" w:type="dxa"/>
            <w:shd w:val="clear" w:color="auto" w:fill="auto"/>
            <w:noWrap/>
            <w:hideMark/>
          </w:tcPr>
          <w:p w14:paraId="27053123" w14:textId="77777777" w:rsidR="00AD2DF9" w:rsidRPr="0046640B" w:rsidRDefault="00AD2DF9" w:rsidP="00042E4E">
            <w:pPr>
              <w:pStyle w:val="TableText"/>
              <w:tabs>
                <w:tab w:val="decimal" w:pos="548"/>
              </w:tabs>
              <w:rPr>
                <w:color w:val="000000"/>
                <w:lang w:eastAsia="en-NZ"/>
              </w:rPr>
            </w:pPr>
            <w:r w:rsidRPr="0046640B">
              <w:rPr>
                <w:color w:val="000000"/>
                <w:lang w:eastAsia="en-NZ"/>
              </w:rPr>
              <w:t>2,343</w:t>
            </w:r>
          </w:p>
        </w:tc>
        <w:tc>
          <w:tcPr>
            <w:tcW w:w="712" w:type="dxa"/>
            <w:shd w:val="clear" w:color="auto" w:fill="auto"/>
            <w:noWrap/>
            <w:hideMark/>
          </w:tcPr>
          <w:p w14:paraId="0D3AE0C3" w14:textId="77777777" w:rsidR="00AD2DF9" w:rsidRPr="0046640B" w:rsidRDefault="00AD2DF9" w:rsidP="00042E4E">
            <w:pPr>
              <w:pStyle w:val="TableText"/>
              <w:tabs>
                <w:tab w:val="decimal" w:pos="548"/>
              </w:tabs>
              <w:rPr>
                <w:color w:val="000000"/>
                <w:lang w:eastAsia="en-NZ"/>
              </w:rPr>
            </w:pPr>
            <w:r w:rsidRPr="0046640B">
              <w:rPr>
                <w:color w:val="000000"/>
                <w:lang w:eastAsia="en-NZ"/>
              </w:rPr>
              <w:t>2,419</w:t>
            </w:r>
          </w:p>
        </w:tc>
        <w:tc>
          <w:tcPr>
            <w:tcW w:w="713" w:type="dxa"/>
            <w:shd w:val="clear" w:color="auto" w:fill="auto"/>
            <w:noWrap/>
            <w:hideMark/>
          </w:tcPr>
          <w:p w14:paraId="26CD5289" w14:textId="77777777" w:rsidR="00AD2DF9" w:rsidRPr="0046640B" w:rsidRDefault="00AD2DF9" w:rsidP="00042E4E">
            <w:pPr>
              <w:pStyle w:val="TableText"/>
              <w:tabs>
                <w:tab w:val="decimal" w:pos="548"/>
              </w:tabs>
              <w:rPr>
                <w:color w:val="000000"/>
                <w:lang w:eastAsia="en-NZ"/>
              </w:rPr>
            </w:pPr>
            <w:r w:rsidRPr="0046640B">
              <w:rPr>
                <w:color w:val="000000"/>
                <w:lang w:eastAsia="en-NZ"/>
              </w:rPr>
              <w:t>2,650</w:t>
            </w:r>
          </w:p>
        </w:tc>
        <w:tc>
          <w:tcPr>
            <w:tcW w:w="712" w:type="dxa"/>
            <w:shd w:val="clear" w:color="auto" w:fill="auto"/>
            <w:noWrap/>
            <w:hideMark/>
          </w:tcPr>
          <w:p w14:paraId="2DE4265D" w14:textId="77777777" w:rsidR="00AD2DF9" w:rsidRPr="0046640B" w:rsidRDefault="00AD2DF9" w:rsidP="00042E4E">
            <w:pPr>
              <w:pStyle w:val="TableText"/>
              <w:tabs>
                <w:tab w:val="decimal" w:pos="548"/>
              </w:tabs>
              <w:rPr>
                <w:color w:val="000000"/>
                <w:lang w:eastAsia="en-NZ"/>
              </w:rPr>
            </w:pPr>
            <w:r w:rsidRPr="0046640B">
              <w:rPr>
                <w:color w:val="000000"/>
                <w:lang w:eastAsia="en-NZ"/>
              </w:rPr>
              <w:t>2,686</w:t>
            </w:r>
          </w:p>
        </w:tc>
        <w:tc>
          <w:tcPr>
            <w:tcW w:w="713" w:type="dxa"/>
            <w:shd w:val="clear" w:color="auto" w:fill="auto"/>
            <w:noWrap/>
            <w:hideMark/>
          </w:tcPr>
          <w:p w14:paraId="24A09A66" w14:textId="77777777" w:rsidR="00AD2DF9" w:rsidRPr="0046640B" w:rsidRDefault="00AD2DF9" w:rsidP="00042E4E">
            <w:pPr>
              <w:pStyle w:val="TableText"/>
              <w:tabs>
                <w:tab w:val="decimal" w:pos="548"/>
              </w:tabs>
              <w:rPr>
                <w:color w:val="000000"/>
                <w:lang w:eastAsia="en-NZ"/>
              </w:rPr>
            </w:pPr>
            <w:r w:rsidRPr="0046640B">
              <w:rPr>
                <w:color w:val="000000"/>
                <w:lang w:eastAsia="en-NZ"/>
              </w:rPr>
              <w:t>2,795</w:t>
            </w:r>
          </w:p>
        </w:tc>
      </w:tr>
      <w:tr w:rsidR="00042E4E" w:rsidRPr="0046640B" w14:paraId="10FA6AC1" w14:textId="77777777" w:rsidTr="00042E4E">
        <w:trPr>
          <w:cantSplit/>
        </w:trPr>
        <w:tc>
          <w:tcPr>
            <w:tcW w:w="955" w:type="dxa"/>
            <w:shd w:val="clear" w:color="auto" w:fill="auto"/>
            <w:noWrap/>
            <w:hideMark/>
          </w:tcPr>
          <w:p w14:paraId="586A0774" w14:textId="77777777" w:rsidR="00AD2DF9" w:rsidRPr="0046640B" w:rsidRDefault="00AD2DF9" w:rsidP="00042E4E">
            <w:pPr>
              <w:pStyle w:val="TableText"/>
              <w:rPr>
                <w:color w:val="000000"/>
                <w:lang w:eastAsia="en-NZ"/>
              </w:rPr>
            </w:pPr>
            <w:r w:rsidRPr="0046640B">
              <w:rPr>
                <w:color w:val="000000"/>
                <w:lang w:eastAsia="en-NZ"/>
              </w:rPr>
              <w:t>35 to 39</w:t>
            </w:r>
          </w:p>
        </w:tc>
        <w:tc>
          <w:tcPr>
            <w:tcW w:w="712" w:type="dxa"/>
            <w:shd w:val="clear" w:color="auto" w:fill="auto"/>
            <w:noWrap/>
            <w:hideMark/>
          </w:tcPr>
          <w:p w14:paraId="76ACC939" w14:textId="77777777" w:rsidR="00AD2DF9" w:rsidRPr="0046640B" w:rsidRDefault="00AD2DF9" w:rsidP="00042E4E">
            <w:pPr>
              <w:pStyle w:val="TableText"/>
              <w:tabs>
                <w:tab w:val="decimal" w:pos="548"/>
              </w:tabs>
              <w:rPr>
                <w:color w:val="000000"/>
                <w:lang w:eastAsia="en-NZ"/>
              </w:rPr>
            </w:pPr>
            <w:r w:rsidRPr="0046640B">
              <w:rPr>
                <w:color w:val="000000"/>
                <w:lang w:eastAsia="en-NZ"/>
              </w:rPr>
              <w:t>1,593</w:t>
            </w:r>
          </w:p>
        </w:tc>
        <w:tc>
          <w:tcPr>
            <w:tcW w:w="713" w:type="dxa"/>
            <w:shd w:val="clear" w:color="auto" w:fill="auto"/>
            <w:noWrap/>
            <w:hideMark/>
          </w:tcPr>
          <w:p w14:paraId="5DB098F9" w14:textId="77777777" w:rsidR="00AD2DF9" w:rsidRPr="0046640B" w:rsidRDefault="00AD2DF9" w:rsidP="00042E4E">
            <w:pPr>
              <w:pStyle w:val="TableText"/>
              <w:tabs>
                <w:tab w:val="decimal" w:pos="548"/>
              </w:tabs>
              <w:rPr>
                <w:color w:val="000000"/>
                <w:lang w:eastAsia="en-NZ"/>
              </w:rPr>
            </w:pPr>
            <w:r w:rsidRPr="0046640B">
              <w:rPr>
                <w:color w:val="000000"/>
                <w:lang w:eastAsia="en-NZ"/>
              </w:rPr>
              <w:t>1,506</w:t>
            </w:r>
          </w:p>
        </w:tc>
        <w:tc>
          <w:tcPr>
            <w:tcW w:w="712" w:type="dxa"/>
            <w:shd w:val="clear" w:color="auto" w:fill="auto"/>
            <w:noWrap/>
            <w:hideMark/>
          </w:tcPr>
          <w:p w14:paraId="5AE97FAB" w14:textId="77777777" w:rsidR="00AD2DF9" w:rsidRPr="0046640B" w:rsidRDefault="00AD2DF9" w:rsidP="00042E4E">
            <w:pPr>
              <w:pStyle w:val="TableText"/>
              <w:tabs>
                <w:tab w:val="decimal" w:pos="548"/>
              </w:tabs>
              <w:rPr>
                <w:color w:val="000000"/>
                <w:lang w:eastAsia="en-NZ"/>
              </w:rPr>
            </w:pPr>
            <w:r w:rsidRPr="0046640B">
              <w:rPr>
                <w:color w:val="000000"/>
                <w:lang w:eastAsia="en-NZ"/>
              </w:rPr>
              <w:t>1,451</w:t>
            </w:r>
          </w:p>
        </w:tc>
        <w:tc>
          <w:tcPr>
            <w:tcW w:w="713" w:type="dxa"/>
            <w:shd w:val="clear" w:color="auto" w:fill="auto"/>
            <w:noWrap/>
            <w:hideMark/>
          </w:tcPr>
          <w:p w14:paraId="4AD39C96" w14:textId="77777777" w:rsidR="00AD2DF9" w:rsidRPr="0046640B" w:rsidRDefault="00AD2DF9" w:rsidP="00042E4E">
            <w:pPr>
              <w:pStyle w:val="TableText"/>
              <w:tabs>
                <w:tab w:val="decimal" w:pos="548"/>
              </w:tabs>
              <w:rPr>
                <w:color w:val="000000"/>
                <w:lang w:eastAsia="en-NZ"/>
              </w:rPr>
            </w:pPr>
            <w:r w:rsidRPr="0046640B">
              <w:rPr>
                <w:color w:val="000000"/>
                <w:lang w:eastAsia="en-NZ"/>
              </w:rPr>
              <w:t>1,384</w:t>
            </w:r>
          </w:p>
        </w:tc>
        <w:tc>
          <w:tcPr>
            <w:tcW w:w="712" w:type="dxa"/>
            <w:shd w:val="clear" w:color="auto" w:fill="auto"/>
            <w:noWrap/>
            <w:hideMark/>
          </w:tcPr>
          <w:p w14:paraId="332AFBB0" w14:textId="77777777" w:rsidR="00AD2DF9" w:rsidRPr="0046640B" w:rsidRDefault="00AD2DF9" w:rsidP="00042E4E">
            <w:pPr>
              <w:pStyle w:val="TableText"/>
              <w:tabs>
                <w:tab w:val="decimal" w:pos="548"/>
              </w:tabs>
              <w:rPr>
                <w:color w:val="000000"/>
                <w:lang w:eastAsia="en-NZ"/>
              </w:rPr>
            </w:pPr>
            <w:r w:rsidRPr="0046640B">
              <w:rPr>
                <w:color w:val="000000"/>
                <w:lang w:eastAsia="en-NZ"/>
              </w:rPr>
              <w:t>1,483</w:t>
            </w:r>
          </w:p>
        </w:tc>
        <w:tc>
          <w:tcPr>
            <w:tcW w:w="713" w:type="dxa"/>
            <w:shd w:val="clear" w:color="auto" w:fill="auto"/>
            <w:noWrap/>
            <w:hideMark/>
          </w:tcPr>
          <w:p w14:paraId="13065692" w14:textId="77777777" w:rsidR="00AD2DF9" w:rsidRPr="0046640B" w:rsidRDefault="00AD2DF9" w:rsidP="00042E4E">
            <w:pPr>
              <w:pStyle w:val="TableText"/>
              <w:tabs>
                <w:tab w:val="decimal" w:pos="548"/>
              </w:tabs>
              <w:rPr>
                <w:color w:val="000000"/>
                <w:lang w:eastAsia="en-NZ"/>
              </w:rPr>
            </w:pPr>
            <w:r w:rsidRPr="0046640B">
              <w:rPr>
                <w:color w:val="000000"/>
                <w:lang w:eastAsia="en-NZ"/>
              </w:rPr>
              <w:t>1,443</w:t>
            </w:r>
          </w:p>
        </w:tc>
        <w:tc>
          <w:tcPr>
            <w:tcW w:w="712" w:type="dxa"/>
            <w:shd w:val="clear" w:color="auto" w:fill="auto"/>
            <w:noWrap/>
            <w:hideMark/>
          </w:tcPr>
          <w:p w14:paraId="7533EB63" w14:textId="77777777" w:rsidR="00AD2DF9" w:rsidRPr="0046640B" w:rsidRDefault="00AD2DF9" w:rsidP="00042E4E">
            <w:pPr>
              <w:pStyle w:val="TableText"/>
              <w:tabs>
                <w:tab w:val="decimal" w:pos="548"/>
              </w:tabs>
              <w:rPr>
                <w:color w:val="000000"/>
                <w:lang w:eastAsia="en-NZ"/>
              </w:rPr>
            </w:pPr>
            <w:r w:rsidRPr="0046640B">
              <w:rPr>
                <w:color w:val="000000"/>
                <w:lang w:eastAsia="en-NZ"/>
              </w:rPr>
              <w:t>1,562</w:t>
            </w:r>
          </w:p>
        </w:tc>
        <w:tc>
          <w:tcPr>
            <w:tcW w:w="713" w:type="dxa"/>
            <w:shd w:val="clear" w:color="auto" w:fill="auto"/>
            <w:noWrap/>
            <w:hideMark/>
          </w:tcPr>
          <w:p w14:paraId="63DA38B0" w14:textId="77777777" w:rsidR="00AD2DF9" w:rsidRPr="0046640B" w:rsidRDefault="00AD2DF9" w:rsidP="00042E4E">
            <w:pPr>
              <w:pStyle w:val="TableText"/>
              <w:tabs>
                <w:tab w:val="decimal" w:pos="548"/>
              </w:tabs>
              <w:rPr>
                <w:color w:val="000000"/>
                <w:lang w:eastAsia="en-NZ"/>
              </w:rPr>
            </w:pPr>
            <w:r w:rsidRPr="0046640B">
              <w:rPr>
                <w:color w:val="000000"/>
                <w:lang w:eastAsia="en-NZ"/>
              </w:rPr>
              <w:t>1,679</w:t>
            </w:r>
          </w:p>
        </w:tc>
        <w:tc>
          <w:tcPr>
            <w:tcW w:w="712" w:type="dxa"/>
            <w:shd w:val="clear" w:color="auto" w:fill="auto"/>
            <w:noWrap/>
            <w:hideMark/>
          </w:tcPr>
          <w:p w14:paraId="45BD9E5D" w14:textId="77777777" w:rsidR="00AD2DF9" w:rsidRPr="0046640B" w:rsidRDefault="00AD2DF9" w:rsidP="00042E4E">
            <w:pPr>
              <w:pStyle w:val="TableText"/>
              <w:tabs>
                <w:tab w:val="decimal" w:pos="548"/>
              </w:tabs>
              <w:rPr>
                <w:color w:val="000000"/>
                <w:lang w:eastAsia="en-NZ"/>
              </w:rPr>
            </w:pPr>
            <w:r w:rsidRPr="0046640B">
              <w:rPr>
                <w:color w:val="000000"/>
                <w:lang w:eastAsia="en-NZ"/>
              </w:rPr>
              <w:t>1,720</w:t>
            </w:r>
          </w:p>
        </w:tc>
        <w:tc>
          <w:tcPr>
            <w:tcW w:w="713" w:type="dxa"/>
            <w:shd w:val="clear" w:color="auto" w:fill="auto"/>
            <w:noWrap/>
            <w:hideMark/>
          </w:tcPr>
          <w:p w14:paraId="16713B3E" w14:textId="77777777" w:rsidR="00AD2DF9" w:rsidRPr="0046640B" w:rsidRDefault="00AD2DF9" w:rsidP="00042E4E">
            <w:pPr>
              <w:pStyle w:val="TableText"/>
              <w:tabs>
                <w:tab w:val="decimal" w:pos="548"/>
              </w:tabs>
              <w:rPr>
                <w:color w:val="000000"/>
                <w:lang w:eastAsia="en-NZ"/>
              </w:rPr>
            </w:pPr>
            <w:r w:rsidRPr="0046640B">
              <w:rPr>
                <w:color w:val="000000"/>
                <w:lang w:eastAsia="en-NZ"/>
              </w:rPr>
              <w:t>1,784</w:t>
            </w:r>
          </w:p>
        </w:tc>
      </w:tr>
      <w:tr w:rsidR="00042E4E" w:rsidRPr="0046640B" w14:paraId="11EC5957" w14:textId="77777777" w:rsidTr="00042E4E">
        <w:trPr>
          <w:cantSplit/>
        </w:trPr>
        <w:tc>
          <w:tcPr>
            <w:tcW w:w="955" w:type="dxa"/>
            <w:shd w:val="clear" w:color="auto" w:fill="auto"/>
            <w:noWrap/>
            <w:hideMark/>
          </w:tcPr>
          <w:p w14:paraId="71DE2E8D" w14:textId="77777777" w:rsidR="00AD2DF9" w:rsidRPr="0046640B" w:rsidRDefault="00AD2DF9" w:rsidP="00042E4E">
            <w:pPr>
              <w:pStyle w:val="TableText"/>
              <w:rPr>
                <w:color w:val="000000"/>
                <w:lang w:eastAsia="en-NZ"/>
              </w:rPr>
            </w:pPr>
            <w:r w:rsidRPr="0046640B">
              <w:rPr>
                <w:color w:val="000000"/>
                <w:lang w:eastAsia="en-NZ"/>
              </w:rPr>
              <w:t>40 to 44</w:t>
            </w:r>
          </w:p>
        </w:tc>
        <w:tc>
          <w:tcPr>
            <w:tcW w:w="712" w:type="dxa"/>
            <w:shd w:val="clear" w:color="auto" w:fill="auto"/>
            <w:noWrap/>
            <w:hideMark/>
          </w:tcPr>
          <w:p w14:paraId="73ACB927" w14:textId="77777777" w:rsidR="00AD2DF9" w:rsidRPr="0046640B" w:rsidRDefault="00AD2DF9" w:rsidP="00042E4E">
            <w:pPr>
              <w:pStyle w:val="TableText"/>
              <w:tabs>
                <w:tab w:val="decimal" w:pos="548"/>
              </w:tabs>
              <w:rPr>
                <w:color w:val="000000"/>
                <w:lang w:eastAsia="en-NZ"/>
              </w:rPr>
            </w:pPr>
            <w:r w:rsidRPr="0046640B">
              <w:rPr>
                <w:color w:val="000000"/>
                <w:lang w:eastAsia="en-NZ"/>
              </w:rPr>
              <w:t>605</w:t>
            </w:r>
          </w:p>
        </w:tc>
        <w:tc>
          <w:tcPr>
            <w:tcW w:w="713" w:type="dxa"/>
            <w:shd w:val="clear" w:color="auto" w:fill="auto"/>
            <w:noWrap/>
            <w:hideMark/>
          </w:tcPr>
          <w:p w14:paraId="4447F698" w14:textId="77777777" w:rsidR="00AD2DF9" w:rsidRPr="0046640B" w:rsidRDefault="00AD2DF9" w:rsidP="00042E4E">
            <w:pPr>
              <w:pStyle w:val="TableText"/>
              <w:tabs>
                <w:tab w:val="decimal" w:pos="548"/>
              </w:tabs>
              <w:rPr>
                <w:color w:val="000000"/>
                <w:lang w:eastAsia="en-NZ"/>
              </w:rPr>
            </w:pPr>
            <w:r w:rsidRPr="0046640B">
              <w:rPr>
                <w:color w:val="000000"/>
                <w:lang w:eastAsia="en-NZ"/>
              </w:rPr>
              <w:t>590</w:t>
            </w:r>
          </w:p>
        </w:tc>
        <w:tc>
          <w:tcPr>
            <w:tcW w:w="712" w:type="dxa"/>
            <w:shd w:val="clear" w:color="auto" w:fill="auto"/>
            <w:noWrap/>
            <w:hideMark/>
          </w:tcPr>
          <w:p w14:paraId="17CBEE94" w14:textId="77777777" w:rsidR="00AD2DF9" w:rsidRPr="0046640B" w:rsidRDefault="00AD2DF9" w:rsidP="00042E4E">
            <w:pPr>
              <w:pStyle w:val="TableText"/>
              <w:tabs>
                <w:tab w:val="decimal" w:pos="548"/>
              </w:tabs>
              <w:rPr>
                <w:color w:val="000000"/>
                <w:lang w:eastAsia="en-NZ"/>
              </w:rPr>
            </w:pPr>
            <w:r w:rsidRPr="0046640B">
              <w:rPr>
                <w:color w:val="000000"/>
                <w:lang w:eastAsia="en-NZ"/>
              </w:rPr>
              <w:t>637</w:t>
            </w:r>
          </w:p>
        </w:tc>
        <w:tc>
          <w:tcPr>
            <w:tcW w:w="713" w:type="dxa"/>
            <w:shd w:val="clear" w:color="auto" w:fill="auto"/>
            <w:noWrap/>
            <w:hideMark/>
          </w:tcPr>
          <w:p w14:paraId="058C5094" w14:textId="77777777" w:rsidR="00AD2DF9" w:rsidRPr="0046640B" w:rsidRDefault="00AD2DF9" w:rsidP="00042E4E">
            <w:pPr>
              <w:pStyle w:val="TableText"/>
              <w:tabs>
                <w:tab w:val="decimal" w:pos="548"/>
              </w:tabs>
              <w:rPr>
                <w:color w:val="000000"/>
                <w:lang w:eastAsia="en-NZ"/>
              </w:rPr>
            </w:pPr>
            <w:r w:rsidRPr="0046640B">
              <w:rPr>
                <w:color w:val="000000"/>
                <w:lang w:eastAsia="en-NZ"/>
              </w:rPr>
              <w:t>611</w:t>
            </w:r>
          </w:p>
        </w:tc>
        <w:tc>
          <w:tcPr>
            <w:tcW w:w="712" w:type="dxa"/>
            <w:shd w:val="clear" w:color="auto" w:fill="auto"/>
            <w:noWrap/>
            <w:hideMark/>
          </w:tcPr>
          <w:p w14:paraId="72FBE2B4" w14:textId="77777777" w:rsidR="00AD2DF9" w:rsidRPr="0046640B" w:rsidRDefault="00AD2DF9" w:rsidP="00042E4E">
            <w:pPr>
              <w:pStyle w:val="TableText"/>
              <w:tabs>
                <w:tab w:val="decimal" w:pos="548"/>
              </w:tabs>
              <w:rPr>
                <w:color w:val="000000"/>
                <w:lang w:eastAsia="en-NZ"/>
              </w:rPr>
            </w:pPr>
            <w:r w:rsidRPr="0046640B">
              <w:rPr>
                <w:color w:val="000000"/>
                <w:lang w:eastAsia="en-NZ"/>
              </w:rPr>
              <w:t>598</w:t>
            </w:r>
          </w:p>
        </w:tc>
        <w:tc>
          <w:tcPr>
            <w:tcW w:w="713" w:type="dxa"/>
            <w:shd w:val="clear" w:color="auto" w:fill="auto"/>
            <w:noWrap/>
            <w:hideMark/>
          </w:tcPr>
          <w:p w14:paraId="44350249" w14:textId="77777777" w:rsidR="00AD2DF9" w:rsidRPr="0046640B" w:rsidRDefault="00AD2DF9" w:rsidP="00042E4E">
            <w:pPr>
              <w:pStyle w:val="TableText"/>
              <w:tabs>
                <w:tab w:val="decimal" w:pos="548"/>
              </w:tabs>
              <w:rPr>
                <w:color w:val="000000"/>
                <w:lang w:eastAsia="en-NZ"/>
              </w:rPr>
            </w:pPr>
            <w:r w:rsidRPr="0046640B">
              <w:rPr>
                <w:color w:val="000000"/>
                <w:lang w:eastAsia="en-NZ"/>
              </w:rPr>
              <w:t>602</w:t>
            </w:r>
          </w:p>
        </w:tc>
        <w:tc>
          <w:tcPr>
            <w:tcW w:w="712" w:type="dxa"/>
            <w:shd w:val="clear" w:color="auto" w:fill="auto"/>
            <w:noWrap/>
            <w:hideMark/>
          </w:tcPr>
          <w:p w14:paraId="40A57DC4" w14:textId="77777777" w:rsidR="00AD2DF9" w:rsidRPr="0046640B" w:rsidRDefault="00AD2DF9" w:rsidP="00042E4E">
            <w:pPr>
              <w:pStyle w:val="TableText"/>
              <w:tabs>
                <w:tab w:val="decimal" w:pos="548"/>
              </w:tabs>
              <w:rPr>
                <w:color w:val="000000"/>
                <w:lang w:eastAsia="en-NZ"/>
              </w:rPr>
            </w:pPr>
            <w:r w:rsidRPr="0046640B">
              <w:rPr>
                <w:color w:val="000000"/>
                <w:lang w:eastAsia="en-NZ"/>
              </w:rPr>
              <w:t>584</w:t>
            </w:r>
          </w:p>
        </w:tc>
        <w:tc>
          <w:tcPr>
            <w:tcW w:w="713" w:type="dxa"/>
            <w:shd w:val="clear" w:color="auto" w:fill="auto"/>
            <w:noWrap/>
            <w:hideMark/>
          </w:tcPr>
          <w:p w14:paraId="27D69A7A" w14:textId="77777777" w:rsidR="00AD2DF9" w:rsidRPr="0046640B" w:rsidRDefault="00AD2DF9" w:rsidP="00042E4E">
            <w:pPr>
              <w:pStyle w:val="TableText"/>
              <w:tabs>
                <w:tab w:val="decimal" w:pos="548"/>
              </w:tabs>
              <w:rPr>
                <w:color w:val="000000"/>
                <w:lang w:eastAsia="en-NZ"/>
              </w:rPr>
            </w:pPr>
            <w:r w:rsidRPr="0046640B">
              <w:rPr>
                <w:color w:val="000000"/>
                <w:lang w:eastAsia="en-NZ"/>
              </w:rPr>
              <w:t>660</w:t>
            </w:r>
          </w:p>
        </w:tc>
        <w:tc>
          <w:tcPr>
            <w:tcW w:w="712" w:type="dxa"/>
            <w:shd w:val="clear" w:color="auto" w:fill="auto"/>
            <w:noWrap/>
            <w:hideMark/>
          </w:tcPr>
          <w:p w14:paraId="6EF0FEBA" w14:textId="77777777" w:rsidR="00AD2DF9" w:rsidRPr="0046640B" w:rsidRDefault="00AD2DF9" w:rsidP="00042E4E">
            <w:pPr>
              <w:pStyle w:val="TableText"/>
              <w:tabs>
                <w:tab w:val="decimal" w:pos="548"/>
              </w:tabs>
              <w:rPr>
                <w:color w:val="000000"/>
                <w:lang w:eastAsia="en-NZ"/>
              </w:rPr>
            </w:pPr>
            <w:r w:rsidRPr="0046640B">
              <w:rPr>
                <w:color w:val="000000"/>
                <w:lang w:eastAsia="en-NZ"/>
              </w:rPr>
              <w:t>642</w:t>
            </w:r>
          </w:p>
        </w:tc>
        <w:tc>
          <w:tcPr>
            <w:tcW w:w="713" w:type="dxa"/>
            <w:shd w:val="clear" w:color="auto" w:fill="auto"/>
            <w:noWrap/>
            <w:hideMark/>
          </w:tcPr>
          <w:p w14:paraId="2E691F8E" w14:textId="77777777" w:rsidR="00AD2DF9" w:rsidRPr="0046640B" w:rsidRDefault="00AD2DF9" w:rsidP="00042E4E">
            <w:pPr>
              <w:pStyle w:val="TableText"/>
              <w:tabs>
                <w:tab w:val="decimal" w:pos="548"/>
              </w:tabs>
              <w:rPr>
                <w:color w:val="000000"/>
                <w:lang w:eastAsia="en-NZ"/>
              </w:rPr>
            </w:pPr>
            <w:r w:rsidRPr="0046640B">
              <w:rPr>
                <w:color w:val="000000"/>
                <w:lang w:eastAsia="en-NZ"/>
              </w:rPr>
              <w:t>649</w:t>
            </w:r>
          </w:p>
        </w:tc>
      </w:tr>
      <w:tr w:rsidR="00042E4E" w:rsidRPr="0046640B" w14:paraId="1343BECA" w14:textId="77777777" w:rsidTr="00042E4E">
        <w:trPr>
          <w:cantSplit/>
        </w:trPr>
        <w:tc>
          <w:tcPr>
            <w:tcW w:w="955" w:type="dxa"/>
            <w:shd w:val="clear" w:color="auto" w:fill="auto"/>
            <w:noWrap/>
            <w:hideMark/>
          </w:tcPr>
          <w:p w14:paraId="332C0E69" w14:textId="77777777" w:rsidR="00AD2DF9" w:rsidRPr="0046640B" w:rsidRDefault="00AD2DF9" w:rsidP="00042E4E">
            <w:pPr>
              <w:pStyle w:val="TableText"/>
              <w:rPr>
                <w:color w:val="000000"/>
                <w:lang w:eastAsia="en-NZ"/>
              </w:rPr>
            </w:pPr>
            <w:r w:rsidRPr="0046640B">
              <w:rPr>
                <w:color w:val="000000"/>
                <w:lang w:eastAsia="en-NZ"/>
              </w:rPr>
              <w:t>45+</w:t>
            </w:r>
          </w:p>
        </w:tc>
        <w:tc>
          <w:tcPr>
            <w:tcW w:w="712" w:type="dxa"/>
            <w:shd w:val="clear" w:color="auto" w:fill="auto"/>
            <w:noWrap/>
            <w:hideMark/>
          </w:tcPr>
          <w:p w14:paraId="3C31A7A3" w14:textId="77777777" w:rsidR="00AD2DF9" w:rsidRPr="0046640B" w:rsidRDefault="00AD2DF9" w:rsidP="00042E4E">
            <w:pPr>
              <w:pStyle w:val="TableText"/>
              <w:tabs>
                <w:tab w:val="decimal" w:pos="548"/>
              </w:tabs>
              <w:rPr>
                <w:color w:val="000000"/>
                <w:lang w:eastAsia="en-NZ"/>
              </w:rPr>
            </w:pPr>
            <w:r w:rsidRPr="0046640B">
              <w:rPr>
                <w:color w:val="000000"/>
                <w:lang w:eastAsia="en-NZ"/>
              </w:rPr>
              <w:t>55</w:t>
            </w:r>
          </w:p>
        </w:tc>
        <w:tc>
          <w:tcPr>
            <w:tcW w:w="713" w:type="dxa"/>
            <w:shd w:val="clear" w:color="auto" w:fill="auto"/>
            <w:noWrap/>
            <w:hideMark/>
          </w:tcPr>
          <w:p w14:paraId="57F8FBB8" w14:textId="77777777" w:rsidR="00AD2DF9" w:rsidRPr="0046640B" w:rsidRDefault="00AD2DF9" w:rsidP="00042E4E">
            <w:pPr>
              <w:pStyle w:val="TableText"/>
              <w:tabs>
                <w:tab w:val="decimal" w:pos="548"/>
              </w:tabs>
              <w:rPr>
                <w:color w:val="000000"/>
                <w:lang w:eastAsia="en-NZ"/>
              </w:rPr>
            </w:pPr>
            <w:r w:rsidRPr="0046640B">
              <w:rPr>
                <w:color w:val="000000"/>
                <w:lang w:eastAsia="en-NZ"/>
              </w:rPr>
              <w:t>61</w:t>
            </w:r>
          </w:p>
        </w:tc>
        <w:tc>
          <w:tcPr>
            <w:tcW w:w="712" w:type="dxa"/>
            <w:shd w:val="clear" w:color="auto" w:fill="auto"/>
            <w:noWrap/>
            <w:hideMark/>
          </w:tcPr>
          <w:p w14:paraId="05DDA414" w14:textId="77777777" w:rsidR="00AD2DF9" w:rsidRPr="0046640B" w:rsidRDefault="00AD2DF9" w:rsidP="00042E4E">
            <w:pPr>
              <w:pStyle w:val="TableText"/>
              <w:tabs>
                <w:tab w:val="decimal" w:pos="548"/>
              </w:tabs>
              <w:rPr>
                <w:color w:val="000000"/>
                <w:lang w:eastAsia="en-NZ"/>
              </w:rPr>
            </w:pPr>
            <w:r w:rsidRPr="0046640B">
              <w:rPr>
                <w:color w:val="000000"/>
                <w:lang w:eastAsia="en-NZ"/>
              </w:rPr>
              <w:t>44</w:t>
            </w:r>
          </w:p>
        </w:tc>
        <w:tc>
          <w:tcPr>
            <w:tcW w:w="713" w:type="dxa"/>
            <w:shd w:val="clear" w:color="auto" w:fill="auto"/>
            <w:noWrap/>
            <w:hideMark/>
          </w:tcPr>
          <w:p w14:paraId="22EC4BC3" w14:textId="77777777" w:rsidR="00AD2DF9" w:rsidRPr="0046640B" w:rsidRDefault="00AD2DF9" w:rsidP="00042E4E">
            <w:pPr>
              <w:pStyle w:val="TableText"/>
              <w:tabs>
                <w:tab w:val="decimal" w:pos="548"/>
              </w:tabs>
              <w:rPr>
                <w:color w:val="000000"/>
                <w:lang w:eastAsia="en-NZ"/>
              </w:rPr>
            </w:pPr>
            <w:r w:rsidRPr="0046640B">
              <w:rPr>
                <w:color w:val="000000"/>
                <w:lang w:eastAsia="en-NZ"/>
              </w:rPr>
              <w:t>56</w:t>
            </w:r>
          </w:p>
        </w:tc>
        <w:tc>
          <w:tcPr>
            <w:tcW w:w="712" w:type="dxa"/>
            <w:shd w:val="clear" w:color="auto" w:fill="auto"/>
            <w:noWrap/>
            <w:hideMark/>
          </w:tcPr>
          <w:p w14:paraId="5E235007" w14:textId="77777777" w:rsidR="00AD2DF9" w:rsidRPr="0046640B" w:rsidRDefault="00AD2DF9" w:rsidP="00042E4E">
            <w:pPr>
              <w:pStyle w:val="TableText"/>
              <w:tabs>
                <w:tab w:val="decimal" w:pos="548"/>
              </w:tabs>
              <w:rPr>
                <w:color w:val="000000"/>
                <w:lang w:eastAsia="en-NZ"/>
              </w:rPr>
            </w:pPr>
            <w:r w:rsidRPr="0046640B">
              <w:rPr>
                <w:color w:val="000000"/>
                <w:lang w:eastAsia="en-NZ"/>
              </w:rPr>
              <w:t>65</w:t>
            </w:r>
          </w:p>
        </w:tc>
        <w:tc>
          <w:tcPr>
            <w:tcW w:w="713" w:type="dxa"/>
            <w:shd w:val="clear" w:color="auto" w:fill="auto"/>
            <w:noWrap/>
            <w:hideMark/>
          </w:tcPr>
          <w:p w14:paraId="0BC214BB" w14:textId="77777777" w:rsidR="00AD2DF9" w:rsidRPr="0046640B" w:rsidRDefault="00AD2DF9" w:rsidP="00042E4E">
            <w:pPr>
              <w:pStyle w:val="TableText"/>
              <w:tabs>
                <w:tab w:val="decimal" w:pos="548"/>
              </w:tabs>
              <w:rPr>
                <w:color w:val="000000"/>
                <w:lang w:eastAsia="en-NZ"/>
              </w:rPr>
            </w:pPr>
            <w:r w:rsidRPr="0046640B">
              <w:rPr>
                <w:color w:val="000000"/>
                <w:lang w:eastAsia="en-NZ"/>
              </w:rPr>
              <w:t>52</w:t>
            </w:r>
          </w:p>
        </w:tc>
        <w:tc>
          <w:tcPr>
            <w:tcW w:w="712" w:type="dxa"/>
            <w:shd w:val="clear" w:color="auto" w:fill="auto"/>
            <w:noWrap/>
            <w:hideMark/>
          </w:tcPr>
          <w:p w14:paraId="2FA20AE6" w14:textId="77777777" w:rsidR="00AD2DF9" w:rsidRPr="0046640B" w:rsidRDefault="00AD2DF9" w:rsidP="00042E4E">
            <w:pPr>
              <w:pStyle w:val="TableText"/>
              <w:tabs>
                <w:tab w:val="decimal" w:pos="548"/>
              </w:tabs>
              <w:rPr>
                <w:color w:val="000000"/>
                <w:lang w:eastAsia="en-NZ"/>
              </w:rPr>
            </w:pPr>
            <w:r w:rsidRPr="0046640B">
              <w:rPr>
                <w:color w:val="000000"/>
                <w:lang w:eastAsia="en-NZ"/>
              </w:rPr>
              <w:t>45</w:t>
            </w:r>
          </w:p>
        </w:tc>
        <w:tc>
          <w:tcPr>
            <w:tcW w:w="713" w:type="dxa"/>
            <w:shd w:val="clear" w:color="auto" w:fill="auto"/>
            <w:noWrap/>
            <w:hideMark/>
          </w:tcPr>
          <w:p w14:paraId="7688DF89" w14:textId="77777777" w:rsidR="00AD2DF9" w:rsidRPr="0046640B" w:rsidRDefault="00AD2DF9" w:rsidP="00042E4E">
            <w:pPr>
              <w:pStyle w:val="TableText"/>
              <w:tabs>
                <w:tab w:val="decimal" w:pos="548"/>
              </w:tabs>
              <w:rPr>
                <w:color w:val="000000"/>
                <w:lang w:eastAsia="en-NZ"/>
              </w:rPr>
            </w:pPr>
            <w:r w:rsidRPr="0046640B">
              <w:rPr>
                <w:color w:val="000000"/>
                <w:lang w:eastAsia="en-NZ"/>
              </w:rPr>
              <w:t>50</w:t>
            </w:r>
          </w:p>
        </w:tc>
        <w:tc>
          <w:tcPr>
            <w:tcW w:w="712" w:type="dxa"/>
            <w:shd w:val="clear" w:color="auto" w:fill="auto"/>
            <w:noWrap/>
            <w:hideMark/>
          </w:tcPr>
          <w:p w14:paraId="7BF47DA2" w14:textId="77777777" w:rsidR="00AD2DF9" w:rsidRPr="0046640B" w:rsidRDefault="00AD2DF9" w:rsidP="00042E4E">
            <w:pPr>
              <w:pStyle w:val="TableText"/>
              <w:tabs>
                <w:tab w:val="decimal" w:pos="548"/>
              </w:tabs>
              <w:rPr>
                <w:color w:val="000000"/>
                <w:lang w:eastAsia="en-NZ"/>
              </w:rPr>
            </w:pPr>
            <w:r w:rsidRPr="0046640B">
              <w:rPr>
                <w:color w:val="000000"/>
                <w:lang w:eastAsia="en-NZ"/>
              </w:rPr>
              <w:t>70</w:t>
            </w:r>
          </w:p>
        </w:tc>
        <w:tc>
          <w:tcPr>
            <w:tcW w:w="713" w:type="dxa"/>
            <w:shd w:val="clear" w:color="auto" w:fill="auto"/>
            <w:noWrap/>
            <w:hideMark/>
          </w:tcPr>
          <w:p w14:paraId="6D849B39" w14:textId="77777777" w:rsidR="00AD2DF9" w:rsidRPr="0046640B" w:rsidRDefault="00AD2DF9" w:rsidP="00042E4E">
            <w:pPr>
              <w:pStyle w:val="TableText"/>
              <w:tabs>
                <w:tab w:val="decimal" w:pos="548"/>
              </w:tabs>
              <w:rPr>
                <w:color w:val="000000"/>
                <w:lang w:eastAsia="en-NZ"/>
              </w:rPr>
            </w:pPr>
            <w:r w:rsidRPr="0046640B">
              <w:rPr>
                <w:color w:val="000000"/>
                <w:lang w:eastAsia="en-NZ"/>
              </w:rPr>
              <w:t>70</w:t>
            </w:r>
          </w:p>
        </w:tc>
      </w:tr>
    </w:tbl>
    <w:p w14:paraId="28FB0036" w14:textId="77777777" w:rsidR="00AD2DF9" w:rsidRDefault="00AD2DF9" w:rsidP="00042E4E">
      <w:pPr>
        <w:pStyle w:val="Note"/>
        <w:rPr>
          <w:lang w:eastAsia="en-NZ"/>
        </w:rPr>
      </w:pPr>
      <w:r w:rsidRPr="00705F47">
        <w:rPr>
          <w:lang w:eastAsia="en-NZ"/>
        </w:rPr>
        <w:t>Note: Data on age was missing for three patients in 2020 so they have been excluded from the analysis.</w:t>
      </w:r>
    </w:p>
    <w:p w14:paraId="4043CD44" w14:textId="77777777" w:rsidR="00131D9E" w:rsidRPr="00042E4E" w:rsidRDefault="00131D9E" w:rsidP="00042E4E">
      <w:pPr>
        <w:rPr>
          <w:lang w:eastAsia="en-NZ"/>
        </w:rPr>
      </w:pPr>
    </w:p>
    <w:p w14:paraId="042685A5" w14:textId="6086A7AB" w:rsidR="00AD2DF9" w:rsidRDefault="00301720" w:rsidP="00301720">
      <w:pPr>
        <w:pStyle w:val="Figure"/>
        <w:rPr>
          <w:lang w:eastAsia="en-NZ"/>
        </w:rPr>
      </w:pPr>
      <w:bookmarkStart w:id="64" w:name="_Ref82941939"/>
      <w:bookmarkStart w:id="65" w:name="_Toc83037355"/>
      <w:bookmarkStart w:id="66" w:name="_Toc84419933"/>
      <w:r>
        <w:lastRenderedPageBreak/>
        <w:t>Figure </w:t>
      </w:r>
      <w:r w:rsidR="009E3B78">
        <w:fldChar w:fldCharType="begin"/>
      </w:r>
      <w:r w:rsidR="009E3B78">
        <w:instrText xml:space="preserve"> STYLEREF 2 \s </w:instrText>
      </w:r>
      <w:r w:rsidR="009E3B78">
        <w:fldChar w:fldCharType="separate"/>
      </w:r>
      <w:r w:rsidR="0090485D">
        <w:rPr>
          <w:noProof/>
        </w:rPr>
        <w:t>3</w:t>
      </w:r>
      <w:r w:rsidR="009E3B78">
        <w:rPr>
          <w:noProof/>
        </w:rPr>
        <w:fldChar w:fldCharType="end"/>
      </w:r>
      <w:r>
        <w:t>.</w:t>
      </w:r>
      <w:r w:rsidR="009E3B78">
        <w:fldChar w:fldCharType="begin"/>
      </w:r>
      <w:r w:rsidR="009E3B78">
        <w:instrText xml:space="preserve"> SEQ Figure \* ARABIC \s 2 </w:instrText>
      </w:r>
      <w:r w:rsidR="009E3B78">
        <w:fldChar w:fldCharType="separate"/>
      </w:r>
      <w:r w:rsidR="0090485D">
        <w:rPr>
          <w:noProof/>
        </w:rPr>
        <w:t>2</w:t>
      </w:r>
      <w:r w:rsidR="009E3B78">
        <w:rPr>
          <w:noProof/>
        </w:rPr>
        <w:fldChar w:fldCharType="end"/>
      </w:r>
      <w:bookmarkEnd w:id="64"/>
      <w:r w:rsidR="00AD2DF9" w:rsidRPr="00705F47">
        <w:rPr>
          <w:lang w:eastAsia="en-NZ"/>
        </w:rPr>
        <w:t>: Percentage of abortions by age group, 2020</w:t>
      </w:r>
      <w:bookmarkEnd w:id="65"/>
      <w:bookmarkEnd w:id="66"/>
    </w:p>
    <w:p w14:paraId="54E1B98C" w14:textId="77777777" w:rsidR="00AD2DF9" w:rsidRPr="00477C09" w:rsidRDefault="00131D9E" w:rsidP="00131D9E">
      <w:pPr>
        <w:rPr>
          <w:lang w:eastAsia="en-NZ"/>
        </w:rPr>
      </w:pPr>
      <w:r>
        <w:rPr>
          <w:noProof/>
          <w:lang w:eastAsia="en-NZ"/>
        </w:rPr>
        <w:drawing>
          <wp:inline distT="0" distB="0" distL="0" distR="0" wp14:anchorId="791F0568" wp14:editId="361F6F74">
            <wp:extent cx="3798917" cy="3250277"/>
            <wp:effectExtent l="0" t="0" r="0" b="7620"/>
            <wp:docPr id="13" name="Picture 13" title="Figure 3.2: Percentage of abortions by age group,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5762" r="12919"/>
                    <a:stretch/>
                  </pic:blipFill>
                  <pic:spPr bwMode="auto">
                    <a:xfrm>
                      <a:off x="0" y="0"/>
                      <a:ext cx="3800009" cy="3251211"/>
                    </a:xfrm>
                    <a:prstGeom prst="rect">
                      <a:avLst/>
                    </a:prstGeom>
                    <a:noFill/>
                    <a:ln>
                      <a:noFill/>
                    </a:ln>
                    <a:extLst>
                      <a:ext uri="{53640926-AAD7-44D8-BBD7-CCE9431645EC}">
                        <a14:shadowObscured xmlns:a14="http://schemas.microsoft.com/office/drawing/2010/main"/>
                      </a:ext>
                    </a:extLst>
                  </pic:spPr>
                </pic:pic>
              </a:graphicData>
            </a:graphic>
          </wp:inline>
        </w:drawing>
      </w:r>
    </w:p>
    <w:p w14:paraId="729808F2" w14:textId="77777777" w:rsidR="00AD2DF9" w:rsidRPr="00705F47" w:rsidRDefault="00AD2DF9" w:rsidP="00301720">
      <w:pPr>
        <w:rPr>
          <w:lang w:eastAsia="en-NZ"/>
        </w:rPr>
      </w:pPr>
    </w:p>
    <w:p w14:paraId="4D9C2AFE" w14:textId="77777777" w:rsidR="00AD2DF9" w:rsidRPr="00705F47" w:rsidRDefault="00AD2DF9" w:rsidP="00301720">
      <w:pPr>
        <w:pStyle w:val="Heading3"/>
        <w:rPr>
          <w:rFonts w:eastAsia="Segoe UI"/>
        </w:rPr>
      </w:pPr>
      <w:r w:rsidRPr="00705F47">
        <w:rPr>
          <w:rFonts w:eastAsia="Segoe UI"/>
        </w:rPr>
        <w:t>Abortions in those under 16 years</w:t>
      </w:r>
    </w:p>
    <w:p w14:paraId="7B2A2E82" w14:textId="28445320" w:rsidR="00AD2DF9" w:rsidRDefault="00AD2DF9" w:rsidP="00301720">
      <w:pPr>
        <w:rPr>
          <w:rFonts w:eastAsia="Segoe UI"/>
        </w:rPr>
      </w:pPr>
      <w:r w:rsidRPr="00705F47">
        <w:rPr>
          <w:rFonts w:eastAsia="Segoe UI"/>
        </w:rPr>
        <w:t>The number of abortions in those aged under 16 years in 2020 remains low (</w:t>
      </w:r>
      <w:r w:rsidRPr="00705F47">
        <w:rPr>
          <w:rFonts w:eastAsia="Segoe UI"/>
        </w:rPr>
        <w:fldChar w:fldCharType="begin"/>
      </w:r>
      <w:r w:rsidRPr="00705F47">
        <w:rPr>
          <w:rFonts w:eastAsia="Segoe UI"/>
        </w:rPr>
        <w:instrText xml:space="preserve"> REF _Ref82942195 \h </w:instrText>
      </w:r>
      <w:r w:rsidRPr="00705F47">
        <w:rPr>
          <w:rFonts w:eastAsia="Segoe UI"/>
        </w:rPr>
      </w:r>
      <w:r w:rsidRPr="00705F47">
        <w:rPr>
          <w:rFonts w:eastAsia="Segoe UI"/>
        </w:rPr>
        <w:fldChar w:fldCharType="separate"/>
      </w:r>
      <w:r w:rsidR="0090485D">
        <w:t>Table </w:t>
      </w:r>
      <w:r w:rsidR="0090485D">
        <w:rPr>
          <w:noProof/>
        </w:rPr>
        <w:t>3</w:t>
      </w:r>
      <w:r w:rsidR="0090485D">
        <w:t>.</w:t>
      </w:r>
      <w:r w:rsidR="0090485D">
        <w:rPr>
          <w:noProof/>
        </w:rPr>
        <w:t>1</w:t>
      </w:r>
      <w:r w:rsidRPr="00705F47">
        <w:rPr>
          <w:rFonts w:eastAsia="Segoe UI"/>
        </w:rPr>
        <w:fldChar w:fldCharType="end"/>
      </w:r>
      <w:r w:rsidRPr="00705F47">
        <w:rPr>
          <w:rFonts w:eastAsia="Segoe UI"/>
        </w:rPr>
        <w:t>) and was very similar to the number in 2019.</w:t>
      </w:r>
    </w:p>
    <w:p w14:paraId="1C472212" w14:textId="77777777" w:rsidR="00301720" w:rsidRPr="00705F47" w:rsidRDefault="00301720" w:rsidP="00301720">
      <w:pPr>
        <w:rPr>
          <w:rFonts w:eastAsia="Segoe UI"/>
        </w:rPr>
      </w:pPr>
    </w:p>
    <w:p w14:paraId="6FF2D54B" w14:textId="2BBECE65" w:rsidR="00AD2DF9" w:rsidRPr="00705F47" w:rsidRDefault="00301720" w:rsidP="00301720">
      <w:pPr>
        <w:pStyle w:val="Table"/>
        <w:rPr>
          <w:lang w:eastAsia="en-NZ"/>
        </w:rPr>
      </w:pPr>
      <w:bookmarkStart w:id="67" w:name="_Ref82942195"/>
      <w:bookmarkStart w:id="68" w:name="_Toc83037694"/>
      <w:bookmarkStart w:id="69" w:name="_Toc83367098"/>
      <w:r>
        <w:t>Table </w:t>
      </w:r>
      <w:r w:rsidR="009E3B78">
        <w:fldChar w:fldCharType="begin"/>
      </w:r>
      <w:r w:rsidR="009E3B78">
        <w:instrText xml:space="preserve"> STYLEREF 2 \s </w:instrText>
      </w:r>
      <w:r w:rsidR="009E3B78">
        <w:fldChar w:fldCharType="separate"/>
      </w:r>
      <w:r w:rsidR="0090485D">
        <w:rPr>
          <w:noProof/>
        </w:rPr>
        <w:t>3</w:t>
      </w:r>
      <w:r w:rsidR="009E3B78">
        <w:rPr>
          <w:noProof/>
        </w:rPr>
        <w:fldChar w:fldCharType="end"/>
      </w:r>
      <w:r>
        <w:t>.</w:t>
      </w:r>
      <w:r w:rsidR="009E3B78">
        <w:fldChar w:fldCharType="begin"/>
      </w:r>
      <w:r w:rsidR="009E3B78">
        <w:instrText xml:space="preserve"> SEQ Table \* ARABIC \s 2 </w:instrText>
      </w:r>
      <w:r w:rsidR="009E3B78">
        <w:fldChar w:fldCharType="separate"/>
      </w:r>
      <w:r w:rsidR="0090485D">
        <w:rPr>
          <w:noProof/>
        </w:rPr>
        <w:t>1</w:t>
      </w:r>
      <w:r w:rsidR="009E3B78">
        <w:rPr>
          <w:noProof/>
        </w:rPr>
        <w:fldChar w:fldCharType="end"/>
      </w:r>
      <w:bookmarkEnd w:id="67"/>
      <w:r w:rsidR="00AD2DF9" w:rsidRPr="00705F47">
        <w:rPr>
          <w:lang w:eastAsia="en-NZ"/>
        </w:rPr>
        <w:t>: Number of abortions by age for those under 16 years, 2020</w:t>
      </w:r>
      <w:bookmarkEnd w:id="68"/>
      <w:bookmarkEnd w:id="69"/>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701"/>
        <w:gridCol w:w="1276"/>
      </w:tblGrid>
      <w:tr w:rsidR="00AD2DF9" w:rsidRPr="008E53F2" w14:paraId="47E8D501" w14:textId="77777777" w:rsidTr="008E53F2">
        <w:trPr>
          <w:cantSplit/>
        </w:trPr>
        <w:tc>
          <w:tcPr>
            <w:tcW w:w="1701" w:type="dxa"/>
            <w:tcBorders>
              <w:top w:val="nil"/>
              <w:bottom w:val="nil"/>
            </w:tcBorders>
            <w:shd w:val="clear" w:color="auto" w:fill="D9D9D9" w:themeFill="background1" w:themeFillShade="D9"/>
            <w:noWrap/>
            <w:hideMark/>
          </w:tcPr>
          <w:p w14:paraId="51ED8665" w14:textId="77777777" w:rsidR="00AD2DF9" w:rsidRPr="008E53F2" w:rsidRDefault="00AD2DF9" w:rsidP="008E53F2">
            <w:pPr>
              <w:pStyle w:val="TableText"/>
              <w:rPr>
                <w:b/>
                <w:lang w:eastAsia="en-NZ"/>
              </w:rPr>
            </w:pPr>
            <w:r w:rsidRPr="008E53F2">
              <w:rPr>
                <w:b/>
                <w:lang w:eastAsia="en-NZ"/>
              </w:rPr>
              <w:t>Age (years)</w:t>
            </w:r>
          </w:p>
        </w:tc>
        <w:tc>
          <w:tcPr>
            <w:tcW w:w="1276" w:type="dxa"/>
            <w:tcBorders>
              <w:top w:val="nil"/>
              <w:bottom w:val="nil"/>
            </w:tcBorders>
            <w:shd w:val="clear" w:color="auto" w:fill="D9D9D9" w:themeFill="background1" w:themeFillShade="D9"/>
            <w:noWrap/>
            <w:hideMark/>
          </w:tcPr>
          <w:p w14:paraId="2049BD1D" w14:textId="77777777" w:rsidR="00AD2DF9" w:rsidRPr="008E53F2" w:rsidRDefault="00AD2DF9" w:rsidP="008E53F2">
            <w:pPr>
              <w:pStyle w:val="TableText"/>
              <w:jc w:val="center"/>
              <w:rPr>
                <w:b/>
                <w:lang w:eastAsia="en-NZ"/>
              </w:rPr>
            </w:pPr>
            <w:r w:rsidRPr="008E53F2">
              <w:rPr>
                <w:b/>
                <w:lang w:eastAsia="en-NZ"/>
              </w:rPr>
              <w:t>Number</w:t>
            </w:r>
          </w:p>
        </w:tc>
      </w:tr>
      <w:tr w:rsidR="00AD2DF9" w:rsidRPr="00705F47" w14:paraId="60E5E33D" w14:textId="77777777" w:rsidTr="008E53F2">
        <w:trPr>
          <w:cantSplit/>
        </w:trPr>
        <w:tc>
          <w:tcPr>
            <w:tcW w:w="1701" w:type="dxa"/>
            <w:tcBorders>
              <w:top w:val="nil"/>
            </w:tcBorders>
            <w:shd w:val="clear" w:color="auto" w:fill="auto"/>
            <w:noWrap/>
            <w:hideMark/>
          </w:tcPr>
          <w:p w14:paraId="4A406E8A" w14:textId="77777777" w:rsidR="00AD2DF9" w:rsidRPr="00705F47" w:rsidRDefault="00AD2DF9" w:rsidP="008E53F2">
            <w:pPr>
              <w:pStyle w:val="TableText"/>
              <w:rPr>
                <w:lang w:eastAsia="en-NZ"/>
              </w:rPr>
            </w:pPr>
            <w:r w:rsidRPr="00705F47">
              <w:rPr>
                <w:lang w:eastAsia="en-NZ"/>
              </w:rPr>
              <w:t>11</w:t>
            </w:r>
          </w:p>
        </w:tc>
        <w:tc>
          <w:tcPr>
            <w:tcW w:w="1276" w:type="dxa"/>
            <w:tcBorders>
              <w:top w:val="nil"/>
            </w:tcBorders>
            <w:shd w:val="clear" w:color="auto" w:fill="auto"/>
            <w:hideMark/>
          </w:tcPr>
          <w:p w14:paraId="24DD828B" w14:textId="77777777" w:rsidR="00AD2DF9" w:rsidRPr="00705F47" w:rsidRDefault="00AD2DF9" w:rsidP="008E53F2">
            <w:pPr>
              <w:pStyle w:val="TableText"/>
              <w:tabs>
                <w:tab w:val="decimal" w:pos="652"/>
              </w:tabs>
              <w:rPr>
                <w:lang w:eastAsia="en-NZ"/>
              </w:rPr>
            </w:pPr>
            <w:r w:rsidRPr="00705F47">
              <w:rPr>
                <w:lang w:eastAsia="en-NZ"/>
              </w:rPr>
              <w:t>–</w:t>
            </w:r>
          </w:p>
        </w:tc>
      </w:tr>
      <w:tr w:rsidR="00AD2DF9" w:rsidRPr="00705F47" w14:paraId="7ECAA790" w14:textId="77777777" w:rsidTr="008E53F2">
        <w:trPr>
          <w:cantSplit/>
        </w:trPr>
        <w:tc>
          <w:tcPr>
            <w:tcW w:w="1701" w:type="dxa"/>
            <w:shd w:val="clear" w:color="auto" w:fill="auto"/>
            <w:noWrap/>
            <w:hideMark/>
          </w:tcPr>
          <w:p w14:paraId="6E4B85B5" w14:textId="77777777" w:rsidR="00AD2DF9" w:rsidRPr="00705F47" w:rsidRDefault="00AD2DF9" w:rsidP="008E53F2">
            <w:pPr>
              <w:pStyle w:val="TableText"/>
              <w:rPr>
                <w:lang w:eastAsia="en-NZ"/>
              </w:rPr>
            </w:pPr>
            <w:r w:rsidRPr="00705F47">
              <w:rPr>
                <w:lang w:eastAsia="en-NZ"/>
              </w:rPr>
              <w:t>12</w:t>
            </w:r>
          </w:p>
        </w:tc>
        <w:tc>
          <w:tcPr>
            <w:tcW w:w="1276" w:type="dxa"/>
            <w:shd w:val="clear" w:color="auto" w:fill="auto"/>
            <w:noWrap/>
            <w:hideMark/>
          </w:tcPr>
          <w:p w14:paraId="625555D5" w14:textId="77777777" w:rsidR="00AD2DF9" w:rsidRPr="00705F47" w:rsidRDefault="00AD2DF9" w:rsidP="008E53F2">
            <w:pPr>
              <w:pStyle w:val="TableText"/>
              <w:tabs>
                <w:tab w:val="decimal" w:pos="652"/>
              </w:tabs>
              <w:rPr>
                <w:lang w:eastAsia="en-NZ"/>
              </w:rPr>
            </w:pPr>
            <w:r w:rsidRPr="00705F47">
              <w:rPr>
                <w:lang w:eastAsia="en-NZ"/>
              </w:rPr>
              <w:t>≤5</w:t>
            </w:r>
          </w:p>
        </w:tc>
      </w:tr>
      <w:tr w:rsidR="00AD2DF9" w:rsidRPr="00705F47" w14:paraId="7D83DE57" w14:textId="77777777" w:rsidTr="008E53F2">
        <w:trPr>
          <w:cantSplit/>
        </w:trPr>
        <w:tc>
          <w:tcPr>
            <w:tcW w:w="1701" w:type="dxa"/>
            <w:shd w:val="clear" w:color="auto" w:fill="auto"/>
            <w:noWrap/>
            <w:hideMark/>
          </w:tcPr>
          <w:p w14:paraId="3F8B41B0" w14:textId="77777777" w:rsidR="00AD2DF9" w:rsidRPr="00705F47" w:rsidRDefault="00AD2DF9" w:rsidP="008E53F2">
            <w:pPr>
              <w:pStyle w:val="TableText"/>
              <w:rPr>
                <w:lang w:eastAsia="en-NZ"/>
              </w:rPr>
            </w:pPr>
            <w:r w:rsidRPr="00705F47">
              <w:rPr>
                <w:lang w:eastAsia="en-NZ"/>
              </w:rPr>
              <w:t>13</w:t>
            </w:r>
          </w:p>
        </w:tc>
        <w:tc>
          <w:tcPr>
            <w:tcW w:w="1276" w:type="dxa"/>
            <w:shd w:val="clear" w:color="auto" w:fill="auto"/>
            <w:hideMark/>
          </w:tcPr>
          <w:p w14:paraId="5C63D8E0" w14:textId="77777777" w:rsidR="00AD2DF9" w:rsidRPr="00705F47" w:rsidRDefault="00AD2DF9" w:rsidP="008E53F2">
            <w:pPr>
              <w:pStyle w:val="TableText"/>
              <w:tabs>
                <w:tab w:val="decimal" w:pos="652"/>
              </w:tabs>
              <w:rPr>
                <w:lang w:eastAsia="en-NZ"/>
              </w:rPr>
            </w:pPr>
            <w:r w:rsidRPr="00705F47">
              <w:rPr>
                <w:lang w:eastAsia="en-NZ"/>
              </w:rPr>
              <w:t>≤5</w:t>
            </w:r>
          </w:p>
        </w:tc>
      </w:tr>
      <w:tr w:rsidR="00AD2DF9" w:rsidRPr="00705F47" w14:paraId="573B265D" w14:textId="77777777" w:rsidTr="008E53F2">
        <w:trPr>
          <w:cantSplit/>
        </w:trPr>
        <w:tc>
          <w:tcPr>
            <w:tcW w:w="1701" w:type="dxa"/>
            <w:shd w:val="clear" w:color="auto" w:fill="auto"/>
            <w:noWrap/>
            <w:hideMark/>
          </w:tcPr>
          <w:p w14:paraId="46F5AF0F" w14:textId="77777777" w:rsidR="00AD2DF9" w:rsidRPr="00705F47" w:rsidRDefault="00AD2DF9" w:rsidP="008E53F2">
            <w:pPr>
              <w:pStyle w:val="TableText"/>
              <w:rPr>
                <w:lang w:eastAsia="en-NZ"/>
              </w:rPr>
            </w:pPr>
            <w:r w:rsidRPr="00705F47">
              <w:rPr>
                <w:lang w:eastAsia="en-NZ"/>
              </w:rPr>
              <w:t>14</w:t>
            </w:r>
          </w:p>
        </w:tc>
        <w:tc>
          <w:tcPr>
            <w:tcW w:w="1276" w:type="dxa"/>
            <w:shd w:val="clear" w:color="auto" w:fill="auto"/>
            <w:hideMark/>
          </w:tcPr>
          <w:p w14:paraId="5A49AB3D" w14:textId="77777777" w:rsidR="00AD2DF9" w:rsidRPr="00705F47" w:rsidRDefault="00AD2DF9" w:rsidP="008E53F2">
            <w:pPr>
              <w:pStyle w:val="TableText"/>
              <w:tabs>
                <w:tab w:val="decimal" w:pos="652"/>
              </w:tabs>
              <w:rPr>
                <w:lang w:eastAsia="en-NZ"/>
              </w:rPr>
            </w:pPr>
            <w:r w:rsidRPr="00705F47">
              <w:rPr>
                <w:lang w:eastAsia="en-NZ"/>
              </w:rPr>
              <w:t>19</w:t>
            </w:r>
          </w:p>
        </w:tc>
      </w:tr>
      <w:tr w:rsidR="00AD2DF9" w:rsidRPr="00705F47" w14:paraId="3C3FF5F2" w14:textId="77777777" w:rsidTr="008E53F2">
        <w:trPr>
          <w:cantSplit/>
        </w:trPr>
        <w:tc>
          <w:tcPr>
            <w:tcW w:w="1701" w:type="dxa"/>
            <w:shd w:val="clear" w:color="auto" w:fill="auto"/>
            <w:noWrap/>
            <w:hideMark/>
          </w:tcPr>
          <w:p w14:paraId="133BAA82" w14:textId="77777777" w:rsidR="00AD2DF9" w:rsidRPr="00705F47" w:rsidRDefault="00AD2DF9" w:rsidP="008E53F2">
            <w:pPr>
              <w:pStyle w:val="TableText"/>
              <w:rPr>
                <w:lang w:eastAsia="en-NZ"/>
              </w:rPr>
            </w:pPr>
            <w:r w:rsidRPr="00705F47">
              <w:rPr>
                <w:lang w:eastAsia="en-NZ"/>
              </w:rPr>
              <w:t>15</w:t>
            </w:r>
          </w:p>
        </w:tc>
        <w:tc>
          <w:tcPr>
            <w:tcW w:w="1276" w:type="dxa"/>
            <w:shd w:val="clear" w:color="auto" w:fill="auto"/>
            <w:hideMark/>
          </w:tcPr>
          <w:p w14:paraId="73090634" w14:textId="77777777" w:rsidR="00AD2DF9" w:rsidRPr="00705F47" w:rsidRDefault="00AD2DF9" w:rsidP="008E53F2">
            <w:pPr>
              <w:pStyle w:val="TableText"/>
              <w:tabs>
                <w:tab w:val="decimal" w:pos="652"/>
              </w:tabs>
              <w:rPr>
                <w:lang w:eastAsia="en-NZ"/>
              </w:rPr>
            </w:pPr>
            <w:r w:rsidRPr="00705F47">
              <w:rPr>
                <w:lang w:eastAsia="en-NZ"/>
              </w:rPr>
              <w:t>55</w:t>
            </w:r>
          </w:p>
        </w:tc>
      </w:tr>
    </w:tbl>
    <w:p w14:paraId="7CCB24E5" w14:textId="77777777" w:rsidR="00AD2DF9" w:rsidRDefault="00AD2DF9" w:rsidP="008E53F2">
      <w:pPr>
        <w:pStyle w:val="Note"/>
        <w:rPr>
          <w:lang w:eastAsia="en-NZ"/>
        </w:rPr>
      </w:pPr>
      <w:r w:rsidRPr="00705F47">
        <w:rPr>
          <w:lang w:eastAsia="en-NZ"/>
        </w:rPr>
        <w:t>Note: Specific counts equal to or less than five have not been released to protect confidentiality.</w:t>
      </w:r>
    </w:p>
    <w:p w14:paraId="1853592F" w14:textId="77777777" w:rsidR="00301720" w:rsidRPr="00301720" w:rsidRDefault="00301720" w:rsidP="008E53F2">
      <w:pPr>
        <w:rPr>
          <w:lang w:eastAsia="en-NZ"/>
        </w:rPr>
      </w:pPr>
    </w:p>
    <w:p w14:paraId="50911A71" w14:textId="77777777" w:rsidR="00AD2DF9" w:rsidRPr="00705F47" w:rsidRDefault="00AD2DF9" w:rsidP="00983618">
      <w:pPr>
        <w:pStyle w:val="Heading2"/>
        <w:keepNext w:val="0"/>
        <w:pageBreakBefore/>
        <w:spacing w:before="0"/>
        <w:rPr>
          <w:lang w:eastAsia="en-NZ"/>
        </w:rPr>
      </w:pPr>
      <w:bookmarkStart w:id="70" w:name="_Toc83037211"/>
      <w:bookmarkStart w:id="71" w:name="_Toc84582311"/>
      <w:r w:rsidRPr="00705F47">
        <w:rPr>
          <w:lang w:eastAsia="en-NZ"/>
        </w:rPr>
        <w:lastRenderedPageBreak/>
        <w:t>Previous live births</w:t>
      </w:r>
      <w:bookmarkEnd w:id="70"/>
      <w:bookmarkEnd w:id="71"/>
    </w:p>
    <w:p w14:paraId="69B04DFF" w14:textId="39A92401" w:rsidR="00AD2DF9" w:rsidRDefault="00AD2DF9" w:rsidP="00301720">
      <w:r w:rsidRPr="00705F47">
        <w:rPr>
          <w:lang w:eastAsia="en-NZ"/>
        </w:rPr>
        <w:t>In 2020, a total of 5,445 (41%) of those having an abortion had no previous live birth (</w:t>
      </w:r>
      <w:r w:rsidRPr="00705F47">
        <w:rPr>
          <w:lang w:eastAsia="en-NZ"/>
        </w:rPr>
        <w:fldChar w:fldCharType="begin"/>
      </w:r>
      <w:r w:rsidRPr="00705F47">
        <w:rPr>
          <w:lang w:eastAsia="en-NZ"/>
        </w:rPr>
        <w:instrText xml:space="preserve"> REF _Ref83004947 \h </w:instrText>
      </w:r>
      <w:r w:rsidRPr="00705F47">
        <w:rPr>
          <w:lang w:eastAsia="en-NZ"/>
        </w:rPr>
      </w:r>
      <w:r w:rsidRPr="00705F47">
        <w:rPr>
          <w:lang w:eastAsia="en-NZ"/>
        </w:rPr>
        <w:fldChar w:fldCharType="separate"/>
      </w:r>
      <w:r w:rsidR="0090485D">
        <w:t>Table </w:t>
      </w:r>
      <w:r w:rsidR="0090485D">
        <w:rPr>
          <w:noProof/>
        </w:rPr>
        <w:t>4</w:t>
      </w:r>
      <w:r w:rsidR="0090485D">
        <w:t>.</w:t>
      </w:r>
      <w:r w:rsidR="0090485D">
        <w:rPr>
          <w:noProof/>
        </w:rPr>
        <w:t>1</w:t>
      </w:r>
      <w:r w:rsidRPr="00705F47">
        <w:rPr>
          <w:lang w:eastAsia="en-NZ"/>
        </w:rPr>
        <w:fldChar w:fldCharType="end"/>
      </w:r>
      <w:r w:rsidRPr="00705F47">
        <w:rPr>
          <w:lang w:eastAsia="en-NZ"/>
        </w:rPr>
        <w:t xml:space="preserve">). Numbers and proportions of abortion by previous live birth were like those observed in 2019. </w:t>
      </w:r>
      <w:r w:rsidRPr="00705F47">
        <w:t>The numbers of abortions by previous live birth have also remained consistent over the last seven years (</w:t>
      </w:r>
      <w:r w:rsidRPr="00705F47">
        <w:fldChar w:fldCharType="begin"/>
      </w:r>
      <w:r w:rsidRPr="00705F47">
        <w:instrText xml:space="preserve"> REF _Ref83004972 \h </w:instrText>
      </w:r>
      <w:r w:rsidRPr="00705F47">
        <w:fldChar w:fldCharType="separate"/>
      </w:r>
      <w:r w:rsidR="0090485D">
        <w:t>Figure </w:t>
      </w:r>
      <w:r w:rsidR="0090485D">
        <w:rPr>
          <w:noProof/>
        </w:rPr>
        <w:t>4</w:t>
      </w:r>
      <w:r w:rsidR="0090485D">
        <w:t>.</w:t>
      </w:r>
      <w:r w:rsidR="0090485D">
        <w:rPr>
          <w:noProof/>
        </w:rPr>
        <w:t>1</w:t>
      </w:r>
      <w:r w:rsidRPr="00705F47">
        <w:fldChar w:fldCharType="end"/>
      </w:r>
      <w:r w:rsidRPr="00705F47">
        <w:t>), following the same trend noted for general abortion rates.</w:t>
      </w:r>
    </w:p>
    <w:p w14:paraId="2BAD0D86" w14:textId="77777777" w:rsidR="00301720" w:rsidRPr="00705F47" w:rsidRDefault="00301720" w:rsidP="00301720"/>
    <w:p w14:paraId="28EC9803" w14:textId="0AE9E18A" w:rsidR="00AD2DF9" w:rsidRPr="00705F47" w:rsidRDefault="00301720" w:rsidP="008E53F2">
      <w:pPr>
        <w:pStyle w:val="Table"/>
        <w:rPr>
          <w:lang w:eastAsia="en-NZ"/>
        </w:rPr>
      </w:pPr>
      <w:bookmarkStart w:id="72" w:name="_Ref83004947"/>
      <w:bookmarkStart w:id="73" w:name="_Toc83037699"/>
      <w:r>
        <w:t>Table </w:t>
      </w:r>
      <w:r w:rsidR="009E3B78">
        <w:fldChar w:fldCharType="begin"/>
      </w:r>
      <w:r w:rsidR="009E3B78">
        <w:instrText xml:space="preserve"> STYLEREF 2 \s </w:instrText>
      </w:r>
      <w:r w:rsidR="009E3B78">
        <w:fldChar w:fldCharType="separate"/>
      </w:r>
      <w:r w:rsidR="0090485D">
        <w:rPr>
          <w:noProof/>
        </w:rPr>
        <w:t>4</w:t>
      </w:r>
      <w:r w:rsidR="009E3B78">
        <w:rPr>
          <w:noProof/>
        </w:rPr>
        <w:fldChar w:fldCharType="end"/>
      </w:r>
      <w:r>
        <w:t>.</w:t>
      </w:r>
      <w:r w:rsidR="009E3B78">
        <w:fldChar w:fldCharType="begin"/>
      </w:r>
      <w:r w:rsidR="009E3B78">
        <w:instrText xml:space="preserve"> SEQ Table \* ARABIC \s 2 </w:instrText>
      </w:r>
      <w:r w:rsidR="009E3B78">
        <w:fldChar w:fldCharType="separate"/>
      </w:r>
      <w:r w:rsidR="0090485D">
        <w:rPr>
          <w:noProof/>
        </w:rPr>
        <w:t>1</w:t>
      </w:r>
      <w:r w:rsidR="009E3B78">
        <w:rPr>
          <w:noProof/>
        </w:rPr>
        <w:fldChar w:fldCharType="end"/>
      </w:r>
      <w:bookmarkEnd w:id="72"/>
      <w:r w:rsidR="00AD2DF9" w:rsidRPr="00705F47">
        <w:rPr>
          <w:lang w:eastAsia="en-NZ"/>
        </w:rPr>
        <w:t>: Number of abortions by age group and previous live births, 2020</w:t>
      </w:r>
      <w:bookmarkEnd w:id="73"/>
    </w:p>
    <w:tbl>
      <w:tblPr>
        <w:tblW w:w="8080" w:type="dxa"/>
        <w:tblInd w:w="57" w:type="dxa"/>
        <w:tblLayout w:type="fixed"/>
        <w:tblCellMar>
          <w:left w:w="57" w:type="dxa"/>
          <w:right w:w="57" w:type="dxa"/>
        </w:tblCellMar>
        <w:tblLook w:val="04A0" w:firstRow="1" w:lastRow="0" w:firstColumn="1" w:lastColumn="0" w:noHBand="0" w:noVBand="1"/>
      </w:tblPr>
      <w:tblGrid>
        <w:gridCol w:w="1271"/>
        <w:gridCol w:w="857"/>
        <w:gridCol w:w="744"/>
        <w:gridCol w:w="744"/>
        <w:gridCol w:w="744"/>
        <w:gridCol w:w="744"/>
        <w:gridCol w:w="744"/>
        <w:gridCol w:w="744"/>
        <w:gridCol w:w="744"/>
        <w:gridCol w:w="744"/>
      </w:tblGrid>
      <w:tr w:rsidR="00F640A2" w:rsidRPr="00F640A2" w14:paraId="10016FE7" w14:textId="77777777" w:rsidTr="00F640A2">
        <w:trPr>
          <w:cantSplit/>
        </w:trPr>
        <w:tc>
          <w:tcPr>
            <w:tcW w:w="1271" w:type="dxa"/>
            <w:vMerge w:val="restart"/>
            <w:shd w:val="clear" w:color="auto" w:fill="D9D9D9" w:themeFill="background1" w:themeFillShade="D9"/>
            <w:hideMark/>
          </w:tcPr>
          <w:p w14:paraId="179065C3" w14:textId="77777777" w:rsidR="00F640A2" w:rsidRPr="00F640A2" w:rsidRDefault="00F640A2" w:rsidP="00F640A2">
            <w:pPr>
              <w:pStyle w:val="TableText"/>
              <w:rPr>
                <w:b/>
                <w:lang w:eastAsia="en-NZ"/>
              </w:rPr>
            </w:pPr>
            <w:r w:rsidRPr="00F640A2">
              <w:rPr>
                <w:b/>
                <w:lang w:eastAsia="en-NZ"/>
              </w:rPr>
              <w:t>Age group (years)</w:t>
            </w:r>
          </w:p>
        </w:tc>
        <w:tc>
          <w:tcPr>
            <w:tcW w:w="857" w:type="dxa"/>
            <w:vMerge w:val="restart"/>
            <w:shd w:val="clear" w:color="auto" w:fill="D9D9D9" w:themeFill="background1" w:themeFillShade="D9"/>
            <w:noWrap/>
            <w:hideMark/>
          </w:tcPr>
          <w:p w14:paraId="199CA5EF" w14:textId="77777777" w:rsidR="00F640A2" w:rsidRPr="00F640A2" w:rsidRDefault="00F640A2" w:rsidP="00F640A2">
            <w:pPr>
              <w:pStyle w:val="TableText"/>
              <w:jc w:val="center"/>
              <w:rPr>
                <w:b/>
                <w:lang w:eastAsia="en-NZ"/>
              </w:rPr>
            </w:pPr>
            <w:r w:rsidRPr="00F640A2">
              <w:rPr>
                <w:b/>
                <w:lang w:eastAsia="en-NZ"/>
              </w:rPr>
              <w:t>Total</w:t>
            </w:r>
          </w:p>
        </w:tc>
        <w:tc>
          <w:tcPr>
            <w:tcW w:w="5952" w:type="dxa"/>
            <w:gridSpan w:val="8"/>
            <w:shd w:val="clear" w:color="auto" w:fill="D9D9D9" w:themeFill="background1" w:themeFillShade="D9"/>
            <w:noWrap/>
            <w:hideMark/>
          </w:tcPr>
          <w:p w14:paraId="29968F3A" w14:textId="77777777" w:rsidR="00F640A2" w:rsidRPr="00F640A2" w:rsidRDefault="00F640A2" w:rsidP="00F640A2">
            <w:pPr>
              <w:pStyle w:val="TableText"/>
              <w:spacing w:after="0"/>
              <w:jc w:val="center"/>
              <w:rPr>
                <w:b/>
                <w:lang w:eastAsia="en-NZ"/>
              </w:rPr>
            </w:pPr>
            <w:r w:rsidRPr="00F640A2">
              <w:rPr>
                <w:b/>
                <w:lang w:eastAsia="en-NZ"/>
              </w:rPr>
              <w:t>Number of previous live births</w:t>
            </w:r>
          </w:p>
        </w:tc>
      </w:tr>
      <w:tr w:rsidR="00AD2DF9" w:rsidRPr="00F640A2" w14:paraId="2B64479F" w14:textId="77777777" w:rsidTr="00F640A2">
        <w:trPr>
          <w:cantSplit/>
        </w:trPr>
        <w:tc>
          <w:tcPr>
            <w:tcW w:w="1271" w:type="dxa"/>
            <w:vMerge/>
            <w:shd w:val="clear" w:color="auto" w:fill="D9D9D9" w:themeFill="background1" w:themeFillShade="D9"/>
            <w:hideMark/>
          </w:tcPr>
          <w:p w14:paraId="222E9D81" w14:textId="77777777" w:rsidR="00AD2DF9" w:rsidRPr="00F640A2" w:rsidRDefault="00AD2DF9" w:rsidP="00F640A2">
            <w:pPr>
              <w:pStyle w:val="TableText"/>
              <w:rPr>
                <w:b/>
                <w:lang w:eastAsia="en-NZ"/>
              </w:rPr>
            </w:pPr>
          </w:p>
        </w:tc>
        <w:tc>
          <w:tcPr>
            <w:tcW w:w="857" w:type="dxa"/>
            <w:vMerge/>
            <w:shd w:val="clear" w:color="auto" w:fill="D9D9D9" w:themeFill="background1" w:themeFillShade="D9"/>
            <w:noWrap/>
            <w:hideMark/>
          </w:tcPr>
          <w:p w14:paraId="715D1442" w14:textId="77777777" w:rsidR="00AD2DF9" w:rsidRPr="00F640A2" w:rsidRDefault="00AD2DF9" w:rsidP="00F640A2">
            <w:pPr>
              <w:pStyle w:val="TableText"/>
              <w:rPr>
                <w:b/>
                <w:lang w:eastAsia="en-NZ"/>
              </w:rPr>
            </w:pPr>
          </w:p>
        </w:tc>
        <w:tc>
          <w:tcPr>
            <w:tcW w:w="744" w:type="dxa"/>
            <w:shd w:val="clear" w:color="auto" w:fill="D9D9D9" w:themeFill="background1" w:themeFillShade="D9"/>
            <w:noWrap/>
            <w:hideMark/>
          </w:tcPr>
          <w:p w14:paraId="1ADF233C" w14:textId="77777777" w:rsidR="00AD2DF9" w:rsidRPr="00F640A2" w:rsidRDefault="00AD2DF9" w:rsidP="00F640A2">
            <w:pPr>
              <w:pStyle w:val="TableText"/>
              <w:spacing w:before="0"/>
              <w:jc w:val="center"/>
              <w:rPr>
                <w:b/>
                <w:lang w:eastAsia="en-NZ"/>
              </w:rPr>
            </w:pPr>
            <w:r w:rsidRPr="00F640A2">
              <w:rPr>
                <w:b/>
                <w:lang w:eastAsia="en-NZ"/>
              </w:rPr>
              <w:t>0</w:t>
            </w:r>
          </w:p>
        </w:tc>
        <w:tc>
          <w:tcPr>
            <w:tcW w:w="744" w:type="dxa"/>
            <w:shd w:val="clear" w:color="auto" w:fill="D9D9D9" w:themeFill="background1" w:themeFillShade="D9"/>
            <w:noWrap/>
            <w:hideMark/>
          </w:tcPr>
          <w:p w14:paraId="7D5786FD" w14:textId="77777777" w:rsidR="00AD2DF9" w:rsidRPr="00F640A2" w:rsidRDefault="00AD2DF9" w:rsidP="00F640A2">
            <w:pPr>
              <w:pStyle w:val="TableText"/>
              <w:spacing w:before="0"/>
              <w:jc w:val="center"/>
              <w:rPr>
                <w:b/>
                <w:lang w:eastAsia="en-NZ"/>
              </w:rPr>
            </w:pPr>
            <w:r w:rsidRPr="00F640A2">
              <w:rPr>
                <w:b/>
                <w:lang w:eastAsia="en-NZ"/>
              </w:rPr>
              <w:t>1</w:t>
            </w:r>
          </w:p>
        </w:tc>
        <w:tc>
          <w:tcPr>
            <w:tcW w:w="744" w:type="dxa"/>
            <w:shd w:val="clear" w:color="auto" w:fill="D9D9D9" w:themeFill="background1" w:themeFillShade="D9"/>
            <w:noWrap/>
            <w:hideMark/>
          </w:tcPr>
          <w:p w14:paraId="21E2A215" w14:textId="77777777" w:rsidR="00AD2DF9" w:rsidRPr="00F640A2" w:rsidRDefault="00AD2DF9" w:rsidP="00F640A2">
            <w:pPr>
              <w:pStyle w:val="TableText"/>
              <w:spacing w:before="0"/>
              <w:jc w:val="center"/>
              <w:rPr>
                <w:b/>
                <w:lang w:eastAsia="en-NZ"/>
              </w:rPr>
            </w:pPr>
            <w:r w:rsidRPr="00F640A2">
              <w:rPr>
                <w:b/>
                <w:lang w:eastAsia="en-NZ"/>
              </w:rPr>
              <w:t>2</w:t>
            </w:r>
          </w:p>
        </w:tc>
        <w:tc>
          <w:tcPr>
            <w:tcW w:w="744" w:type="dxa"/>
            <w:shd w:val="clear" w:color="auto" w:fill="D9D9D9" w:themeFill="background1" w:themeFillShade="D9"/>
            <w:noWrap/>
            <w:hideMark/>
          </w:tcPr>
          <w:p w14:paraId="0E70B103" w14:textId="77777777" w:rsidR="00AD2DF9" w:rsidRPr="00F640A2" w:rsidRDefault="00AD2DF9" w:rsidP="00F640A2">
            <w:pPr>
              <w:pStyle w:val="TableText"/>
              <w:spacing w:before="0"/>
              <w:jc w:val="center"/>
              <w:rPr>
                <w:b/>
                <w:lang w:eastAsia="en-NZ"/>
              </w:rPr>
            </w:pPr>
            <w:r w:rsidRPr="00F640A2">
              <w:rPr>
                <w:b/>
                <w:lang w:eastAsia="en-NZ"/>
              </w:rPr>
              <w:t>3</w:t>
            </w:r>
          </w:p>
        </w:tc>
        <w:tc>
          <w:tcPr>
            <w:tcW w:w="744" w:type="dxa"/>
            <w:shd w:val="clear" w:color="auto" w:fill="D9D9D9" w:themeFill="background1" w:themeFillShade="D9"/>
            <w:noWrap/>
            <w:hideMark/>
          </w:tcPr>
          <w:p w14:paraId="1443681B" w14:textId="77777777" w:rsidR="00AD2DF9" w:rsidRPr="00F640A2" w:rsidRDefault="00AD2DF9" w:rsidP="00F640A2">
            <w:pPr>
              <w:pStyle w:val="TableText"/>
              <w:spacing w:before="0"/>
              <w:jc w:val="center"/>
              <w:rPr>
                <w:b/>
                <w:lang w:eastAsia="en-NZ"/>
              </w:rPr>
            </w:pPr>
            <w:r w:rsidRPr="00F640A2">
              <w:rPr>
                <w:b/>
                <w:lang w:eastAsia="en-NZ"/>
              </w:rPr>
              <w:t>4</w:t>
            </w:r>
          </w:p>
        </w:tc>
        <w:tc>
          <w:tcPr>
            <w:tcW w:w="744" w:type="dxa"/>
            <w:shd w:val="clear" w:color="auto" w:fill="D9D9D9" w:themeFill="background1" w:themeFillShade="D9"/>
            <w:noWrap/>
            <w:hideMark/>
          </w:tcPr>
          <w:p w14:paraId="78FD8722" w14:textId="77777777" w:rsidR="00AD2DF9" w:rsidRPr="00F640A2" w:rsidRDefault="00AD2DF9" w:rsidP="00F640A2">
            <w:pPr>
              <w:pStyle w:val="TableText"/>
              <w:spacing w:before="0"/>
              <w:jc w:val="center"/>
              <w:rPr>
                <w:b/>
                <w:lang w:eastAsia="en-NZ"/>
              </w:rPr>
            </w:pPr>
            <w:r w:rsidRPr="00F640A2">
              <w:rPr>
                <w:b/>
                <w:lang w:eastAsia="en-NZ"/>
              </w:rPr>
              <w:t>5</w:t>
            </w:r>
          </w:p>
        </w:tc>
        <w:tc>
          <w:tcPr>
            <w:tcW w:w="744" w:type="dxa"/>
            <w:shd w:val="clear" w:color="auto" w:fill="D9D9D9" w:themeFill="background1" w:themeFillShade="D9"/>
            <w:noWrap/>
            <w:hideMark/>
          </w:tcPr>
          <w:p w14:paraId="31360D74" w14:textId="77777777" w:rsidR="00AD2DF9" w:rsidRPr="00F640A2" w:rsidRDefault="00AD2DF9" w:rsidP="00F640A2">
            <w:pPr>
              <w:pStyle w:val="TableText"/>
              <w:spacing w:before="0"/>
              <w:jc w:val="center"/>
              <w:rPr>
                <w:b/>
                <w:lang w:eastAsia="en-NZ"/>
              </w:rPr>
            </w:pPr>
            <w:r w:rsidRPr="00F640A2">
              <w:rPr>
                <w:b/>
                <w:lang w:eastAsia="en-NZ"/>
              </w:rPr>
              <w:t>6</w:t>
            </w:r>
          </w:p>
        </w:tc>
        <w:tc>
          <w:tcPr>
            <w:tcW w:w="744" w:type="dxa"/>
            <w:shd w:val="clear" w:color="auto" w:fill="D9D9D9" w:themeFill="background1" w:themeFillShade="D9"/>
            <w:noWrap/>
            <w:hideMark/>
          </w:tcPr>
          <w:p w14:paraId="01AED66A" w14:textId="77777777" w:rsidR="00AD2DF9" w:rsidRPr="00F640A2" w:rsidRDefault="00AD2DF9" w:rsidP="00F640A2">
            <w:pPr>
              <w:pStyle w:val="TableText"/>
              <w:spacing w:before="0"/>
              <w:jc w:val="center"/>
              <w:rPr>
                <w:b/>
                <w:lang w:eastAsia="en-NZ"/>
              </w:rPr>
            </w:pPr>
            <w:r w:rsidRPr="00F640A2">
              <w:rPr>
                <w:b/>
                <w:lang w:eastAsia="en-NZ"/>
              </w:rPr>
              <w:t>7+</w:t>
            </w:r>
          </w:p>
        </w:tc>
      </w:tr>
      <w:tr w:rsidR="00AD2DF9" w:rsidRPr="00705F47" w14:paraId="3141DC9E" w14:textId="77777777" w:rsidTr="00F640A2">
        <w:trPr>
          <w:cantSplit/>
        </w:trPr>
        <w:tc>
          <w:tcPr>
            <w:tcW w:w="1271" w:type="dxa"/>
            <w:tcBorders>
              <w:bottom w:val="single" w:sz="4" w:space="0" w:color="A6A6A6" w:themeColor="background1" w:themeShade="A6"/>
            </w:tcBorders>
            <w:shd w:val="clear" w:color="auto" w:fill="auto"/>
            <w:hideMark/>
          </w:tcPr>
          <w:p w14:paraId="411C718F" w14:textId="77777777" w:rsidR="00AD2DF9" w:rsidRPr="00E24E3D" w:rsidRDefault="00AD2DF9" w:rsidP="00F640A2">
            <w:pPr>
              <w:pStyle w:val="TableText"/>
              <w:rPr>
                <w:lang w:eastAsia="en-NZ"/>
              </w:rPr>
            </w:pPr>
            <w:r w:rsidRPr="00E24E3D">
              <w:rPr>
                <w:lang w:eastAsia="en-NZ"/>
              </w:rPr>
              <w:t>All ages</w:t>
            </w:r>
          </w:p>
        </w:tc>
        <w:tc>
          <w:tcPr>
            <w:tcW w:w="857" w:type="dxa"/>
            <w:tcBorders>
              <w:bottom w:val="single" w:sz="4" w:space="0" w:color="A6A6A6" w:themeColor="background1" w:themeShade="A6"/>
            </w:tcBorders>
            <w:shd w:val="clear" w:color="auto" w:fill="auto"/>
            <w:noWrap/>
            <w:hideMark/>
          </w:tcPr>
          <w:p w14:paraId="7B3D60C6" w14:textId="77777777" w:rsidR="00AD2DF9" w:rsidRPr="00E24E3D" w:rsidRDefault="00AD2DF9" w:rsidP="00F640A2">
            <w:pPr>
              <w:pStyle w:val="TableText"/>
              <w:tabs>
                <w:tab w:val="decimal" w:pos="657"/>
              </w:tabs>
              <w:rPr>
                <w:lang w:eastAsia="en-NZ"/>
              </w:rPr>
            </w:pPr>
            <w:r w:rsidRPr="00E24E3D">
              <w:rPr>
                <w:lang w:eastAsia="en-NZ"/>
              </w:rPr>
              <w:t>13,246</w:t>
            </w:r>
          </w:p>
        </w:tc>
        <w:tc>
          <w:tcPr>
            <w:tcW w:w="744" w:type="dxa"/>
            <w:tcBorders>
              <w:bottom w:val="single" w:sz="4" w:space="0" w:color="A6A6A6" w:themeColor="background1" w:themeShade="A6"/>
            </w:tcBorders>
            <w:shd w:val="clear" w:color="auto" w:fill="auto"/>
            <w:noWrap/>
            <w:hideMark/>
          </w:tcPr>
          <w:p w14:paraId="7CB6865C" w14:textId="77777777" w:rsidR="00AD2DF9" w:rsidRPr="00E24E3D" w:rsidRDefault="00AD2DF9" w:rsidP="00F640A2">
            <w:pPr>
              <w:pStyle w:val="TableText"/>
              <w:tabs>
                <w:tab w:val="decimal" w:pos="509"/>
              </w:tabs>
              <w:rPr>
                <w:lang w:eastAsia="en-NZ"/>
              </w:rPr>
            </w:pPr>
            <w:r w:rsidRPr="00E24E3D">
              <w:rPr>
                <w:lang w:eastAsia="en-NZ"/>
              </w:rPr>
              <w:t>5,445</w:t>
            </w:r>
          </w:p>
        </w:tc>
        <w:tc>
          <w:tcPr>
            <w:tcW w:w="744" w:type="dxa"/>
            <w:tcBorders>
              <w:bottom w:val="single" w:sz="4" w:space="0" w:color="A6A6A6" w:themeColor="background1" w:themeShade="A6"/>
            </w:tcBorders>
            <w:shd w:val="clear" w:color="auto" w:fill="auto"/>
            <w:noWrap/>
            <w:hideMark/>
          </w:tcPr>
          <w:p w14:paraId="014D7023" w14:textId="77777777" w:rsidR="00AD2DF9" w:rsidRPr="00E24E3D" w:rsidRDefault="00AD2DF9" w:rsidP="00F640A2">
            <w:pPr>
              <w:pStyle w:val="TableText"/>
              <w:tabs>
                <w:tab w:val="decimal" w:pos="509"/>
              </w:tabs>
              <w:rPr>
                <w:lang w:eastAsia="en-NZ"/>
              </w:rPr>
            </w:pPr>
            <w:r w:rsidRPr="00E24E3D">
              <w:rPr>
                <w:lang w:eastAsia="en-NZ"/>
              </w:rPr>
              <w:t>2,810</w:t>
            </w:r>
          </w:p>
        </w:tc>
        <w:tc>
          <w:tcPr>
            <w:tcW w:w="744" w:type="dxa"/>
            <w:tcBorders>
              <w:bottom w:val="single" w:sz="4" w:space="0" w:color="A6A6A6" w:themeColor="background1" w:themeShade="A6"/>
            </w:tcBorders>
            <w:shd w:val="clear" w:color="auto" w:fill="auto"/>
            <w:noWrap/>
            <w:hideMark/>
          </w:tcPr>
          <w:p w14:paraId="12D393CF" w14:textId="77777777" w:rsidR="00AD2DF9" w:rsidRPr="00E24E3D" w:rsidRDefault="00AD2DF9" w:rsidP="00F640A2">
            <w:pPr>
              <w:pStyle w:val="TableText"/>
              <w:tabs>
                <w:tab w:val="decimal" w:pos="509"/>
              </w:tabs>
              <w:rPr>
                <w:lang w:eastAsia="en-NZ"/>
              </w:rPr>
            </w:pPr>
            <w:r w:rsidRPr="00E24E3D">
              <w:rPr>
                <w:lang w:eastAsia="en-NZ"/>
              </w:rPr>
              <w:t>2,966</w:t>
            </w:r>
          </w:p>
        </w:tc>
        <w:tc>
          <w:tcPr>
            <w:tcW w:w="744" w:type="dxa"/>
            <w:tcBorders>
              <w:bottom w:val="single" w:sz="4" w:space="0" w:color="A6A6A6" w:themeColor="background1" w:themeShade="A6"/>
            </w:tcBorders>
            <w:shd w:val="clear" w:color="auto" w:fill="auto"/>
            <w:noWrap/>
            <w:hideMark/>
          </w:tcPr>
          <w:p w14:paraId="59DA1C4E" w14:textId="77777777" w:rsidR="00AD2DF9" w:rsidRPr="00E24E3D" w:rsidRDefault="00AD2DF9" w:rsidP="00F640A2">
            <w:pPr>
              <w:pStyle w:val="TableText"/>
              <w:tabs>
                <w:tab w:val="decimal" w:pos="509"/>
              </w:tabs>
              <w:rPr>
                <w:lang w:eastAsia="en-NZ"/>
              </w:rPr>
            </w:pPr>
            <w:r w:rsidRPr="00E24E3D">
              <w:rPr>
                <w:lang w:eastAsia="en-NZ"/>
              </w:rPr>
              <w:t>1,255</w:t>
            </w:r>
          </w:p>
        </w:tc>
        <w:tc>
          <w:tcPr>
            <w:tcW w:w="744" w:type="dxa"/>
            <w:tcBorders>
              <w:bottom w:val="single" w:sz="4" w:space="0" w:color="A6A6A6" w:themeColor="background1" w:themeShade="A6"/>
            </w:tcBorders>
            <w:shd w:val="clear" w:color="auto" w:fill="auto"/>
            <w:noWrap/>
            <w:hideMark/>
          </w:tcPr>
          <w:p w14:paraId="1F7CB2D8" w14:textId="77777777" w:rsidR="00AD2DF9" w:rsidRPr="00E24E3D" w:rsidRDefault="00AD2DF9" w:rsidP="00F640A2">
            <w:pPr>
              <w:pStyle w:val="TableText"/>
              <w:tabs>
                <w:tab w:val="decimal" w:pos="454"/>
              </w:tabs>
              <w:rPr>
                <w:lang w:eastAsia="en-NZ"/>
              </w:rPr>
            </w:pPr>
            <w:r w:rsidRPr="00E24E3D">
              <w:rPr>
                <w:lang w:eastAsia="en-NZ"/>
              </w:rPr>
              <w:t>486</w:t>
            </w:r>
          </w:p>
        </w:tc>
        <w:tc>
          <w:tcPr>
            <w:tcW w:w="744" w:type="dxa"/>
            <w:tcBorders>
              <w:bottom w:val="single" w:sz="4" w:space="0" w:color="A6A6A6" w:themeColor="background1" w:themeShade="A6"/>
            </w:tcBorders>
            <w:shd w:val="clear" w:color="auto" w:fill="auto"/>
            <w:noWrap/>
            <w:hideMark/>
          </w:tcPr>
          <w:p w14:paraId="0DE5C3D1" w14:textId="77777777" w:rsidR="00AD2DF9" w:rsidRPr="00E24E3D" w:rsidRDefault="00AD2DF9" w:rsidP="00F640A2">
            <w:pPr>
              <w:pStyle w:val="TableText"/>
              <w:tabs>
                <w:tab w:val="decimal" w:pos="454"/>
              </w:tabs>
              <w:rPr>
                <w:lang w:eastAsia="en-NZ"/>
              </w:rPr>
            </w:pPr>
            <w:r w:rsidRPr="00E24E3D">
              <w:rPr>
                <w:lang w:eastAsia="en-NZ"/>
              </w:rPr>
              <w:t>170</w:t>
            </w:r>
          </w:p>
        </w:tc>
        <w:tc>
          <w:tcPr>
            <w:tcW w:w="744" w:type="dxa"/>
            <w:tcBorders>
              <w:bottom w:val="single" w:sz="4" w:space="0" w:color="A6A6A6" w:themeColor="background1" w:themeShade="A6"/>
            </w:tcBorders>
            <w:shd w:val="clear" w:color="auto" w:fill="auto"/>
            <w:noWrap/>
            <w:hideMark/>
          </w:tcPr>
          <w:p w14:paraId="4295D702" w14:textId="77777777" w:rsidR="00AD2DF9" w:rsidRPr="00E24E3D" w:rsidRDefault="00AD2DF9" w:rsidP="00F640A2">
            <w:pPr>
              <w:pStyle w:val="TableText"/>
              <w:tabs>
                <w:tab w:val="decimal" w:pos="381"/>
              </w:tabs>
              <w:rPr>
                <w:lang w:eastAsia="en-NZ"/>
              </w:rPr>
            </w:pPr>
            <w:r w:rsidRPr="00E24E3D">
              <w:rPr>
                <w:lang w:eastAsia="en-NZ"/>
              </w:rPr>
              <w:t>71</w:t>
            </w:r>
          </w:p>
        </w:tc>
        <w:tc>
          <w:tcPr>
            <w:tcW w:w="744" w:type="dxa"/>
            <w:tcBorders>
              <w:bottom w:val="single" w:sz="4" w:space="0" w:color="A6A6A6" w:themeColor="background1" w:themeShade="A6"/>
            </w:tcBorders>
            <w:shd w:val="clear" w:color="auto" w:fill="auto"/>
            <w:noWrap/>
            <w:hideMark/>
          </w:tcPr>
          <w:p w14:paraId="09663668" w14:textId="77777777" w:rsidR="00AD2DF9" w:rsidRPr="00E24E3D" w:rsidRDefault="00AD2DF9" w:rsidP="00F640A2">
            <w:pPr>
              <w:pStyle w:val="TableText"/>
              <w:tabs>
                <w:tab w:val="decimal" w:pos="381"/>
              </w:tabs>
              <w:rPr>
                <w:lang w:eastAsia="en-NZ"/>
              </w:rPr>
            </w:pPr>
            <w:r w:rsidRPr="00E24E3D">
              <w:rPr>
                <w:lang w:eastAsia="en-NZ"/>
              </w:rPr>
              <w:t>43</w:t>
            </w:r>
          </w:p>
        </w:tc>
      </w:tr>
      <w:tr w:rsidR="00AD2DF9" w:rsidRPr="00705F47" w14:paraId="7F4D0B3D" w14:textId="77777777" w:rsidTr="00F640A2">
        <w:trPr>
          <w:cantSplit/>
        </w:trPr>
        <w:tc>
          <w:tcPr>
            <w:tcW w:w="1271" w:type="dxa"/>
            <w:tcBorders>
              <w:top w:val="single" w:sz="4" w:space="0" w:color="A6A6A6" w:themeColor="background1" w:themeShade="A6"/>
              <w:bottom w:val="single" w:sz="4" w:space="0" w:color="A6A6A6" w:themeColor="background1" w:themeShade="A6"/>
            </w:tcBorders>
            <w:shd w:val="clear" w:color="auto" w:fill="auto"/>
            <w:noWrap/>
            <w:hideMark/>
          </w:tcPr>
          <w:p w14:paraId="46B97303" w14:textId="77777777" w:rsidR="00AD2DF9" w:rsidRPr="00705F47" w:rsidRDefault="00AD2DF9" w:rsidP="00F640A2">
            <w:pPr>
              <w:pStyle w:val="TableText"/>
              <w:rPr>
                <w:color w:val="000000"/>
                <w:lang w:eastAsia="en-NZ"/>
              </w:rPr>
            </w:pPr>
            <w:r w:rsidRPr="00705F47">
              <w:rPr>
                <w:color w:val="000000"/>
                <w:lang w:eastAsia="en-NZ"/>
              </w:rPr>
              <w:t>11–14</w:t>
            </w:r>
          </w:p>
        </w:tc>
        <w:tc>
          <w:tcPr>
            <w:tcW w:w="857" w:type="dxa"/>
            <w:tcBorders>
              <w:top w:val="single" w:sz="4" w:space="0" w:color="A6A6A6" w:themeColor="background1" w:themeShade="A6"/>
              <w:bottom w:val="single" w:sz="4" w:space="0" w:color="A6A6A6" w:themeColor="background1" w:themeShade="A6"/>
            </w:tcBorders>
            <w:shd w:val="clear" w:color="auto" w:fill="auto"/>
            <w:hideMark/>
          </w:tcPr>
          <w:p w14:paraId="537E1D38" w14:textId="77777777" w:rsidR="00AD2DF9" w:rsidRPr="00705F47" w:rsidRDefault="00AD2DF9" w:rsidP="00F640A2">
            <w:pPr>
              <w:pStyle w:val="TableText"/>
              <w:tabs>
                <w:tab w:val="decimal" w:pos="657"/>
              </w:tabs>
              <w:rPr>
                <w:lang w:eastAsia="en-NZ"/>
              </w:rPr>
            </w:pPr>
            <w:r w:rsidRPr="00705F47">
              <w:rPr>
                <w:lang w:eastAsia="en-NZ"/>
              </w:rPr>
              <w:t>26</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2833D319" w14:textId="77777777" w:rsidR="00AD2DF9" w:rsidRPr="00705F47" w:rsidRDefault="00AD2DF9" w:rsidP="00F640A2">
            <w:pPr>
              <w:pStyle w:val="TableText"/>
              <w:tabs>
                <w:tab w:val="decimal" w:pos="509"/>
              </w:tabs>
              <w:rPr>
                <w:lang w:eastAsia="en-NZ"/>
              </w:rPr>
            </w:pPr>
            <w:r w:rsidRPr="00705F47">
              <w:rPr>
                <w:lang w:eastAsia="en-NZ"/>
              </w:rPr>
              <w:t>26</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6736332E" w14:textId="77777777" w:rsidR="00AD2DF9" w:rsidRPr="00705F47" w:rsidRDefault="00AD2DF9" w:rsidP="00F640A2">
            <w:pPr>
              <w:pStyle w:val="TableText"/>
              <w:tabs>
                <w:tab w:val="decimal" w:pos="509"/>
              </w:tabs>
              <w:rPr>
                <w:lang w:eastAsia="en-NZ"/>
              </w:rPr>
            </w:pPr>
            <w:r w:rsidRPr="00705F47">
              <w:rPr>
                <w:lang w:eastAsia="en-NZ"/>
              </w:rPr>
              <w:t>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25566865" w14:textId="77777777" w:rsidR="00AD2DF9" w:rsidRPr="00705F47" w:rsidRDefault="00AD2DF9" w:rsidP="00F640A2">
            <w:pPr>
              <w:pStyle w:val="TableText"/>
              <w:tabs>
                <w:tab w:val="decimal" w:pos="509"/>
              </w:tabs>
              <w:rPr>
                <w:lang w:eastAsia="en-NZ"/>
              </w:rPr>
            </w:pPr>
            <w:r w:rsidRPr="00705F47">
              <w:rPr>
                <w:lang w:eastAsia="en-NZ"/>
              </w:rPr>
              <w:t>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7EEFA7C1" w14:textId="77777777" w:rsidR="00AD2DF9" w:rsidRPr="00705F47" w:rsidRDefault="00AD2DF9" w:rsidP="00F640A2">
            <w:pPr>
              <w:pStyle w:val="TableText"/>
              <w:tabs>
                <w:tab w:val="decimal" w:pos="509"/>
              </w:tabs>
              <w:rPr>
                <w:lang w:eastAsia="en-NZ"/>
              </w:rPr>
            </w:pPr>
            <w:r w:rsidRPr="00705F47">
              <w:rPr>
                <w:lang w:eastAsia="en-NZ"/>
              </w:rPr>
              <w:t>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4B0398BD" w14:textId="77777777" w:rsidR="00AD2DF9" w:rsidRPr="00705F47" w:rsidRDefault="00AD2DF9" w:rsidP="00F640A2">
            <w:pPr>
              <w:pStyle w:val="TableText"/>
              <w:tabs>
                <w:tab w:val="decimal" w:pos="454"/>
              </w:tabs>
              <w:rPr>
                <w:lang w:eastAsia="en-NZ"/>
              </w:rPr>
            </w:pPr>
            <w:r w:rsidRPr="00705F47">
              <w:rPr>
                <w:lang w:eastAsia="en-NZ"/>
              </w:rPr>
              <w:t>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64076DCA" w14:textId="77777777" w:rsidR="00AD2DF9" w:rsidRPr="00705F47" w:rsidRDefault="00AD2DF9" w:rsidP="00F640A2">
            <w:pPr>
              <w:pStyle w:val="TableText"/>
              <w:tabs>
                <w:tab w:val="decimal" w:pos="454"/>
              </w:tabs>
              <w:rPr>
                <w:lang w:eastAsia="en-NZ"/>
              </w:rPr>
            </w:pPr>
            <w:r w:rsidRPr="00705F47">
              <w:rPr>
                <w:lang w:eastAsia="en-NZ"/>
              </w:rPr>
              <w:t>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0C0BC424" w14:textId="77777777" w:rsidR="00AD2DF9" w:rsidRPr="00705F47" w:rsidRDefault="00AD2DF9" w:rsidP="00F640A2">
            <w:pPr>
              <w:pStyle w:val="TableText"/>
              <w:tabs>
                <w:tab w:val="decimal" w:pos="381"/>
              </w:tabs>
              <w:rPr>
                <w:lang w:eastAsia="en-NZ"/>
              </w:rPr>
            </w:pPr>
            <w:r w:rsidRPr="00705F47">
              <w:rPr>
                <w:lang w:eastAsia="en-NZ"/>
              </w:rPr>
              <w:t>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3A703FD1" w14:textId="77777777" w:rsidR="00AD2DF9" w:rsidRPr="00705F47" w:rsidRDefault="00AD2DF9" w:rsidP="00F640A2">
            <w:pPr>
              <w:pStyle w:val="TableText"/>
              <w:tabs>
                <w:tab w:val="decimal" w:pos="381"/>
              </w:tabs>
              <w:rPr>
                <w:lang w:eastAsia="en-NZ"/>
              </w:rPr>
            </w:pPr>
            <w:r w:rsidRPr="00705F47">
              <w:rPr>
                <w:lang w:eastAsia="en-NZ"/>
              </w:rPr>
              <w:t>0</w:t>
            </w:r>
          </w:p>
        </w:tc>
      </w:tr>
      <w:tr w:rsidR="00AD2DF9" w:rsidRPr="00705F47" w14:paraId="46D900A6" w14:textId="77777777" w:rsidTr="00F640A2">
        <w:trPr>
          <w:cantSplit/>
        </w:trPr>
        <w:tc>
          <w:tcPr>
            <w:tcW w:w="1271" w:type="dxa"/>
            <w:tcBorders>
              <w:top w:val="single" w:sz="4" w:space="0" w:color="A6A6A6" w:themeColor="background1" w:themeShade="A6"/>
              <w:bottom w:val="single" w:sz="4" w:space="0" w:color="A6A6A6" w:themeColor="background1" w:themeShade="A6"/>
            </w:tcBorders>
            <w:shd w:val="clear" w:color="auto" w:fill="auto"/>
            <w:noWrap/>
            <w:hideMark/>
          </w:tcPr>
          <w:p w14:paraId="49B52CF4" w14:textId="77777777" w:rsidR="00AD2DF9" w:rsidRPr="00705F47" w:rsidRDefault="00AD2DF9" w:rsidP="00F640A2">
            <w:pPr>
              <w:pStyle w:val="TableText"/>
              <w:rPr>
                <w:color w:val="000000"/>
                <w:lang w:eastAsia="en-NZ"/>
              </w:rPr>
            </w:pPr>
            <w:r w:rsidRPr="00705F47">
              <w:rPr>
                <w:color w:val="000000"/>
                <w:lang w:eastAsia="en-NZ"/>
              </w:rPr>
              <w:t>15–19</w:t>
            </w:r>
          </w:p>
        </w:tc>
        <w:tc>
          <w:tcPr>
            <w:tcW w:w="857" w:type="dxa"/>
            <w:tcBorders>
              <w:top w:val="single" w:sz="4" w:space="0" w:color="A6A6A6" w:themeColor="background1" w:themeShade="A6"/>
              <w:bottom w:val="single" w:sz="4" w:space="0" w:color="A6A6A6" w:themeColor="background1" w:themeShade="A6"/>
            </w:tcBorders>
            <w:shd w:val="clear" w:color="auto" w:fill="auto"/>
            <w:hideMark/>
          </w:tcPr>
          <w:p w14:paraId="468A67FA" w14:textId="77777777" w:rsidR="00AD2DF9" w:rsidRPr="00705F47" w:rsidRDefault="00AD2DF9" w:rsidP="00F640A2">
            <w:pPr>
              <w:pStyle w:val="TableText"/>
              <w:tabs>
                <w:tab w:val="decimal" w:pos="657"/>
              </w:tabs>
              <w:rPr>
                <w:lang w:eastAsia="en-NZ"/>
              </w:rPr>
            </w:pPr>
            <w:r w:rsidRPr="00705F47">
              <w:rPr>
                <w:lang w:eastAsia="en-NZ"/>
              </w:rPr>
              <w:t>1,227</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46C3CBC5" w14:textId="77777777" w:rsidR="00AD2DF9" w:rsidRPr="00705F47" w:rsidRDefault="00AD2DF9" w:rsidP="00F640A2">
            <w:pPr>
              <w:pStyle w:val="TableText"/>
              <w:tabs>
                <w:tab w:val="decimal" w:pos="509"/>
              </w:tabs>
              <w:rPr>
                <w:lang w:eastAsia="en-NZ"/>
              </w:rPr>
            </w:pPr>
            <w:r w:rsidRPr="00705F47">
              <w:rPr>
                <w:lang w:eastAsia="en-NZ"/>
              </w:rPr>
              <w:t>1,056</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606D1842" w14:textId="77777777" w:rsidR="00AD2DF9" w:rsidRPr="00705F47" w:rsidRDefault="00AD2DF9" w:rsidP="00F640A2">
            <w:pPr>
              <w:pStyle w:val="TableText"/>
              <w:tabs>
                <w:tab w:val="decimal" w:pos="509"/>
              </w:tabs>
              <w:rPr>
                <w:lang w:eastAsia="en-NZ"/>
              </w:rPr>
            </w:pPr>
            <w:r w:rsidRPr="00705F47">
              <w:rPr>
                <w:lang w:eastAsia="en-NZ"/>
              </w:rPr>
              <w:t>150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5448980F" w14:textId="77777777" w:rsidR="00AD2DF9" w:rsidRPr="00705F47" w:rsidRDefault="00AD2DF9" w:rsidP="00F640A2">
            <w:pPr>
              <w:pStyle w:val="TableText"/>
              <w:tabs>
                <w:tab w:val="decimal" w:pos="509"/>
              </w:tabs>
              <w:rPr>
                <w:lang w:eastAsia="en-NZ"/>
              </w:rPr>
            </w:pPr>
            <w:r w:rsidRPr="00705F47">
              <w:rPr>
                <w:lang w:eastAsia="en-NZ"/>
              </w:rPr>
              <w:t>20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7FFE497E" w14:textId="77777777" w:rsidR="00AD2DF9" w:rsidRPr="00705F47" w:rsidRDefault="00AD2DF9" w:rsidP="00F640A2">
            <w:pPr>
              <w:pStyle w:val="TableText"/>
              <w:tabs>
                <w:tab w:val="decimal" w:pos="509"/>
              </w:tabs>
              <w:rPr>
                <w:lang w:eastAsia="en-NZ"/>
              </w:rPr>
            </w:pPr>
            <w:r w:rsidRPr="00705F47">
              <w:rPr>
                <w:lang w:eastAsia="en-NZ"/>
              </w:rPr>
              <w:t>1</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59566301" w14:textId="77777777" w:rsidR="00AD2DF9" w:rsidRPr="00705F47" w:rsidRDefault="00AD2DF9" w:rsidP="00F640A2">
            <w:pPr>
              <w:pStyle w:val="TableText"/>
              <w:tabs>
                <w:tab w:val="decimal" w:pos="454"/>
              </w:tabs>
              <w:rPr>
                <w:lang w:eastAsia="en-NZ"/>
              </w:rPr>
            </w:pPr>
            <w:r w:rsidRPr="00705F47">
              <w:rPr>
                <w:lang w:eastAsia="en-NZ"/>
              </w:rPr>
              <w:t>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6220FD7F" w14:textId="77777777" w:rsidR="00AD2DF9" w:rsidRPr="00705F47" w:rsidRDefault="00AD2DF9" w:rsidP="00F640A2">
            <w:pPr>
              <w:pStyle w:val="TableText"/>
              <w:tabs>
                <w:tab w:val="decimal" w:pos="454"/>
              </w:tabs>
              <w:rPr>
                <w:lang w:eastAsia="en-NZ"/>
              </w:rPr>
            </w:pPr>
            <w:r w:rsidRPr="00705F47">
              <w:rPr>
                <w:lang w:eastAsia="en-NZ"/>
              </w:rPr>
              <w:t>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26A9CCB3" w14:textId="77777777" w:rsidR="00AD2DF9" w:rsidRPr="00705F47" w:rsidRDefault="00AD2DF9" w:rsidP="00F640A2">
            <w:pPr>
              <w:pStyle w:val="TableText"/>
              <w:tabs>
                <w:tab w:val="decimal" w:pos="381"/>
              </w:tabs>
              <w:rPr>
                <w:lang w:eastAsia="en-NZ"/>
              </w:rPr>
            </w:pPr>
            <w:r w:rsidRPr="00705F47">
              <w:rPr>
                <w:lang w:eastAsia="en-NZ"/>
              </w:rPr>
              <w:t>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5B1EC784" w14:textId="77777777" w:rsidR="00AD2DF9" w:rsidRPr="00705F47" w:rsidRDefault="00AD2DF9" w:rsidP="00F640A2">
            <w:pPr>
              <w:pStyle w:val="TableText"/>
              <w:tabs>
                <w:tab w:val="decimal" w:pos="381"/>
              </w:tabs>
              <w:rPr>
                <w:lang w:eastAsia="en-NZ"/>
              </w:rPr>
            </w:pPr>
            <w:r w:rsidRPr="00705F47">
              <w:rPr>
                <w:lang w:eastAsia="en-NZ"/>
              </w:rPr>
              <w:t>0</w:t>
            </w:r>
          </w:p>
        </w:tc>
      </w:tr>
      <w:tr w:rsidR="00AD2DF9" w:rsidRPr="00705F47" w14:paraId="701CDAC4" w14:textId="77777777" w:rsidTr="00F640A2">
        <w:trPr>
          <w:cantSplit/>
        </w:trPr>
        <w:tc>
          <w:tcPr>
            <w:tcW w:w="1271" w:type="dxa"/>
            <w:tcBorders>
              <w:top w:val="single" w:sz="4" w:space="0" w:color="A6A6A6" w:themeColor="background1" w:themeShade="A6"/>
              <w:bottom w:val="single" w:sz="4" w:space="0" w:color="A6A6A6" w:themeColor="background1" w:themeShade="A6"/>
            </w:tcBorders>
            <w:shd w:val="clear" w:color="auto" w:fill="auto"/>
            <w:noWrap/>
            <w:hideMark/>
          </w:tcPr>
          <w:p w14:paraId="0DFAB726" w14:textId="77777777" w:rsidR="00AD2DF9" w:rsidRPr="00705F47" w:rsidRDefault="00AD2DF9" w:rsidP="00F640A2">
            <w:pPr>
              <w:pStyle w:val="TableText"/>
              <w:rPr>
                <w:color w:val="000000"/>
                <w:lang w:eastAsia="en-NZ"/>
              </w:rPr>
            </w:pPr>
            <w:r w:rsidRPr="00705F47">
              <w:rPr>
                <w:color w:val="000000"/>
                <w:lang w:eastAsia="en-NZ"/>
              </w:rPr>
              <w:t>20–24</w:t>
            </w:r>
          </w:p>
        </w:tc>
        <w:tc>
          <w:tcPr>
            <w:tcW w:w="857" w:type="dxa"/>
            <w:tcBorders>
              <w:top w:val="single" w:sz="4" w:space="0" w:color="A6A6A6" w:themeColor="background1" w:themeShade="A6"/>
              <w:bottom w:val="single" w:sz="4" w:space="0" w:color="A6A6A6" w:themeColor="background1" w:themeShade="A6"/>
            </w:tcBorders>
            <w:shd w:val="clear" w:color="auto" w:fill="auto"/>
            <w:hideMark/>
          </w:tcPr>
          <w:p w14:paraId="6650F449" w14:textId="77777777" w:rsidR="00AD2DF9" w:rsidRPr="00705F47" w:rsidRDefault="00AD2DF9" w:rsidP="00F640A2">
            <w:pPr>
              <w:pStyle w:val="TableText"/>
              <w:tabs>
                <w:tab w:val="decimal" w:pos="657"/>
              </w:tabs>
              <w:rPr>
                <w:lang w:eastAsia="en-NZ"/>
              </w:rPr>
            </w:pPr>
            <w:r w:rsidRPr="00705F47">
              <w:rPr>
                <w:lang w:eastAsia="en-NZ"/>
              </w:rPr>
              <w:t>3,204</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4AB8794C" w14:textId="77777777" w:rsidR="00AD2DF9" w:rsidRPr="00705F47" w:rsidRDefault="00AD2DF9" w:rsidP="00F640A2">
            <w:pPr>
              <w:pStyle w:val="TableText"/>
              <w:tabs>
                <w:tab w:val="decimal" w:pos="509"/>
              </w:tabs>
              <w:rPr>
                <w:lang w:eastAsia="en-NZ"/>
              </w:rPr>
            </w:pPr>
            <w:r w:rsidRPr="00705F47">
              <w:rPr>
                <w:lang w:eastAsia="en-NZ"/>
              </w:rPr>
              <w:t>2,000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22123E37" w14:textId="77777777" w:rsidR="00AD2DF9" w:rsidRPr="00705F47" w:rsidRDefault="00AD2DF9" w:rsidP="00F640A2">
            <w:pPr>
              <w:pStyle w:val="TableText"/>
              <w:tabs>
                <w:tab w:val="decimal" w:pos="509"/>
              </w:tabs>
              <w:rPr>
                <w:lang w:eastAsia="en-NZ"/>
              </w:rPr>
            </w:pPr>
            <w:r w:rsidRPr="00705F47">
              <w:rPr>
                <w:lang w:eastAsia="en-NZ"/>
              </w:rPr>
              <w:t>703</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30E98325" w14:textId="77777777" w:rsidR="00AD2DF9" w:rsidRPr="00705F47" w:rsidRDefault="00AD2DF9" w:rsidP="00F640A2">
            <w:pPr>
              <w:pStyle w:val="TableText"/>
              <w:tabs>
                <w:tab w:val="decimal" w:pos="509"/>
              </w:tabs>
              <w:rPr>
                <w:lang w:eastAsia="en-NZ"/>
              </w:rPr>
            </w:pPr>
            <w:r w:rsidRPr="00705F47">
              <w:rPr>
                <w:lang w:eastAsia="en-NZ"/>
              </w:rPr>
              <w:t>375</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09590101" w14:textId="77777777" w:rsidR="00AD2DF9" w:rsidRPr="00705F47" w:rsidRDefault="00AD2DF9" w:rsidP="00F640A2">
            <w:pPr>
              <w:pStyle w:val="TableText"/>
              <w:tabs>
                <w:tab w:val="decimal" w:pos="509"/>
              </w:tabs>
              <w:rPr>
                <w:lang w:eastAsia="en-NZ"/>
              </w:rPr>
            </w:pPr>
            <w:r w:rsidRPr="00705F47">
              <w:rPr>
                <w:lang w:eastAsia="en-NZ"/>
              </w:rPr>
              <w:t>100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36883FAE" w14:textId="77777777" w:rsidR="00AD2DF9" w:rsidRPr="00705F47" w:rsidRDefault="00AD2DF9" w:rsidP="00F640A2">
            <w:pPr>
              <w:pStyle w:val="TableText"/>
              <w:tabs>
                <w:tab w:val="decimal" w:pos="454"/>
              </w:tabs>
              <w:rPr>
                <w:lang w:eastAsia="en-NZ"/>
              </w:rPr>
            </w:pPr>
            <w:r w:rsidRPr="00705F47">
              <w:rPr>
                <w:lang w:eastAsia="en-NZ"/>
              </w:rPr>
              <w:t>24</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23FFD885" w14:textId="77777777" w:rsidR="00AD2DF9" w:rsidRPr="00705F47" w:rsidRDefault="00AD2DF9" w:rsidP="00F640A2">
            <w:pPr>
              <w:pStyle w:val="TableText"/>
              <w:tabs>
                <w:tab w:val="decimal" w:pos="454"/>
              </w:tabs>
              <w:rPr>
                <w:lang w:eastAsia="en-NZ"/>
              </w:rPr>
            </w:pPr>
            <w:r w:rsidRPr="00705F47">
              <w:rPr>
                <w:lang w:eastAsia="en-NZ"/>
              </w:rPr>
              <w:t>2</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292225C8" w14:textId="77777777" w:rsidR="00AD2DF9" w:rsidRPr="00705F47" w:rsidRDefault="00AD2DF9" w:rsidP="00F640A2">
            <w:pPr>
              <w:pStyle w:val="TableText"/>
              <w:tabs>
                <w:tab w:val="decimal" w:pos="381"/>
              </w:tabs>
              <w:rPr>
                <w:lang w:eastAsia="en-NZ"/>
              </w:rPr>
            </w:pPr>
            <w:r w:rsidRPr="00705F47">
              <w:rPr>
                <w:lang w:eastAsia="en-NZ"/>
              </w:rPr>
              <w:t>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1E103DBA" w14:textId="77777777" w:rsidR="00AD2DF9" w:rsidRPr="00705F47" w:rsidRDefault="00AD2DF9" w:rsidP="00F640A2">
            <w:pPr>
              <w:pStyle w:val="TableText"/>
              <w:tabs>
                <w:tab w:val="decimal" w:pos="381"/>
              </w:tabs>
              <w:rPr>
                <w:lang w:eastAsia="en-NZ"/>
              </w:rPr>
            </w:pPr>
            <w:r w:rsidRPr="00705F47">
              <w:rPr>
                <w:lang w:eastAsia="en-NZ"/>
              </w:rPr>
              <w:t>0</w:t>
            </w:r>
          </w:p>
        </w:tc>
      </w:tr>
      <w:tr w:rsidR="00AD2DF9" w:rsidRPr="00705F47" w14:paraId="4D08E12A" w14:textId="77777777" w:rsidTr="00F640A2">
        <w:trPr>
          <w:cantSplit/>
        </w:trPr>
        <w:tc>
          <w:tcPr>
            <w:tcW w:w="1271" w:type="dxa"/>
            <w:tcBorders>
              <w:top w:val="single" w:sz="4" w:space="0" w:color="A6A6A6" w:themeColor="background1" w:themeShade="A6"/>
              <w:bottom w:val="single" w:sz="4" w:space="0" w:color="A6A6A6" w:themeColor="background1" w:themeShade="A6"/>
            </w:tcBorders>
            <w:shd w:val="clear" w:color="auto" w:fill="auto"/>
            <w:noWrap/>
            <w:hideMark/>
          </w:tcPr>
          <w:p w14:paraId="1E017503" w14:textId="77777777" w:rsidR="00AD2DF9" w:rsidRPr="00705F47" w:rsidRDefault="00AD2DF9" w:rsidP="00F640A2">
            <w:pPr>
              <w:pStyle w:val="TableText"/>
              <w:rPr>
                <w:color w:val="000000"/>
                <w:lang w:eastAsia="en-NZ"/>
              </w:rPr>
            </w:pPr>
            <w:r w:rsidRPr="00705F47">
              <w:rPr>
                <w:color w:val="000000"/>
                <w:lang w:eastAsia="en-NZ"/>
              </w:rPr>
              <w:t>25–29</w:t>
            </w:r>
          </w:p>
        </w:tc>
        <w:tc>
          <w:tcPr>
            <w:tcW w:w="857" w:type="dxa"/>
            <w:tcBorders>
              <w:top w:val="single" w:sz="4" w:space="0" w:color="A6A6A6" w:themeColor="background1" w:themeShade="A6"/>
              <w:bottom w:val="single" w:sz="4" w:space="0" w:color="A6A6A6" w:themeColor="background1" w:themeShade="A6"/>
            </w:tcBorders>
            <w:shd w:val="clear" w:color="auto" w:fill="auto"/>
            <w:hideMark/>
          </w:tcPr>
          <w:p w14:paraId="38F2A578" w14:textId="77777777" w:rsidR="00AD2DF9" w:rsidRPr="00705F47" w:rsidRDefault="00AD2DF9" w:rsidP="00F640A2">
            <w:pPr>
              <w:pStyle w:val="TableText"/>
              <w:tabs>
                <w:tab w:val="decimal" w:pos="657"/>
              </w:tabs>
              <w:rPr>
                <w:lang w:eastAsia="en-NZ"/>
              </w:rPr>
            </w:pPr>
            <w:r w:rsidRPr="00705F47">
              <w:rPr>
                <w:lang w:eastAsia="en-NZ"/>
              </w:rPr>
              <w:t>3,488</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4FC2BAF8" w14:textId="77777777" w:rsidR="00AD2DF9" w:rsidRPr="00705F47" w:rsidRDefault="00AD2DF9" w:rsidP="00F640A2">
            <w:pPr>
              <w:pStyle w:val="TableText"/>
              <w:tabs>
                <w:tab w:val="decimal" w:pos="509"/>
              </w:tabs>
              <w:rPr>
                <w:lang w:eastAsia="en-NZ"/>
              </w:rPr>
            </w:pPr>
            <w:r w:rsidRPr="00705F47">
              <w:rPr>
                <w:lang w:eastAsia="en-NZ"/>
              </w:rPr>
              <w:t>1,439</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7C8B95C8" w14:textId="77777777" w:rsidR="00AD2DF9" w:rsidRPr="00705F47" w:rsidRDefault="00AD2DF9" w:rsidP="00F640A2">
            <w:pPr>
              <w:pStyle w:val="TableText"/>
              <w:tabs>
                <w:tab w:val="decimal" w:pos="509"/>
              </w:tabs>
              <w:rPr>
                <w:lang w:eastAsia="en-NZ"/>
              </w:rPr>
            </w:pPr>
            <w:r w:rsidRPr="00705F47">
              <w:rPr>
                <w:lang w:eastAsia="en-NZ"/>
              </w:rPr>
              <w:t>808</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11FE03C2" w14:textId="77777777" w:rsidR="00AD2DF9" w:rsidRPr="00705F47" w:rsidRDefault="00AD2DF9" w:rsidP="00F640A2">
            <w:pPr>
              <w:pStyle w:val="TableText"/>
              <w:tabs>
                <w:tab w:val="decimal" w:pos="509"/>
              </w:tabs>
              <w:rPr>
                <w:lang w:eastAsia="en-NZ"/>
              </w:rPr>
            </w:pPr>
            <w:r w:rsidRPr="00705F47">
              <w:rPr>
                <w:lang w:eastAsia="en-NZ"/>
              </w:rPr>
              <w:t>737</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58E2E4BE" w14:textId="77777777" w:rsidR="00AD2DF9" w:rsidRPr="00705F47" w:rsidRDefault="00AD2DF9" w:rsidP="00F640A2">
            <w:pPr>
              <w:pStyle w:val="TableText"/>
              <w:tabs>
                <w:tab w:val="decimal" w:pos="509"/>
              </w:tabs>
              <w:rPr>
                <w:lang w:eastAsia="en-NZ"/>
              </w:rPr>
            </w:pPr>
            <w:r w:rsidRPr="00705F47">
              <w:rPr>
                <w:lang w:eastAsia="en-NZ"/>
              </w:rPr>
              <w:t>338</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136E40DE" w14:textId="77777777" w:rsidR="00AD2DF9" w:rsidRPr="00705F47" w:rsidRDefault="00AD2DF9" w:rsidP="00F640A2">
            <w:pPr>
              <w:pStyle w:val="TableText"/>
              <w:tabs>
                <w:tab w:val="decimal" w:pos="454"/>
              </w:tabs>
              <w:rPr>
                <w:lang w:eastAsia="en-NZ"/>
              </w:rPr>
            </w:pPr>
            <w:r w:rsidRPr="00705F47">
              <w:rPr>
                <w:lang w:eastAsia="en-NZ"/>
              </w:rPr>
              <w:t>112</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07BB3116" w14:textId="77777777" w:rsidR="00AD2DF9" w:rsidRPr="00705F47" w:rsidRDefault="00AD2DF9" w:rsidP="00F640A2">
            <w:pPr>
              <w:pStyle w:val="TableText"/>
              <w:tabs>
                <w:tab w:val="decimal" w:pos="454"/>
              </w:tabs>
              <w:rPr>
                <w:lang w:eastAsia="en-NZ"/>
              </w:rPr>
            </w:pPr>
            <w:r w:rsidRPr="00705F47">
              <w:rPr>
                <w:lang w:eastAsia="en-NZ"/>
              </w:rPr>
              <w:t>42</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3356C174" w14:textId="77777777" w:rsidR="00AD2DF9" w:rsidRPr="00705F47" w:rsidRDefault="00AD2DF9" w:rsidP="00F640A2">
            <w:pPr>
              <w:pStyle w:val="TableText"/>
              <w:tabs>
                <w:tab w:val="decimal" w:pos="381"/>
              </w:tabs>
              <w:rPr>
                <w:lang w:eastAsia="en-NZ"/>
              </w:rPr>
            </w:pPr>
            <w:r w:rsidRPr="00705F47">
              <w:rPr>
                <w:lang w:eastAsia="en-NZ"/>
              </w:rPr>
              <w:t>6</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22485C47" w14:textId="77777777" w:rsidR="00AD2DF9" w:rsidRPr="00705F47" w:rsidRDefault="00AD2DF9" w:rsidP="00F640A2">
            <w:pPr>
              <w:pStyle w:val="TableText"/>
              <w:tabs>
                <w:tab w:val="decimal" w:pos="381"/>
              </w:tabs>
              <w:rPr>
                <w:lang w:eastAsia="en-NZ"/>
              </w:rPr>
            </w:pPr>
            <w:r w:rsidRPr="00705F47">
              <w:rPr>
                <w:lang w:eastAsia="en-NZ"/>
              </w:rPr>
              <w:t>6</w:t>
            </w:r>
          </w:p>
        </w:tc>
      </w:tr>
      <w:tr w:rsidR="00AD2DF9" w:rsidRPr="00705F47" w14:paraId="0FFA9532" w14:textId="77777777" w:rsidTr="00F640A2">
        <w:trPr>
          <w:cantSplit/>
        </w:trPr>
        <w:tc>
          <w:tcPr>
            <w:tcW w:w="1271" w:type="dxa"/>
            <w:tcBorders>
              <w:top w:val="single" w:sz="4" w:space="0" w:color="A6A6A6" w:themeColor="background1" w:themeShade="A6"/>
              <w:bottom w:val="single" w:sz="4" w:space="0" w:color="A6A6A6" w:themeColor="background1" w:themeShade="A6"/>
            </w:tcBorders>
            <w:shd w:val="clear" w:color="auto" w:fill="auto"/>
            <w:noWrap/>
            <w:hideMark/>
          </w:tcPr>
          <w:p w14:paraId="68B2EC23" w14:textId="77777777" w:rsidR="00AD2DF9" w:rsidRPr="00705F47" w:rsidRDefault="00AD2DF9" w:rsidP="00F640A2">
            <w:pPr>
              <w:pStyle w:val="TableText"/>
              <w:rPr>
                <w:color w:val="000000"/>
                <w:lang w:eastAsia="en-NZ"/>
              </w:rPr>
            </w:pPr>
            <w:r w:rsidRPr="00705F47">
              <w:rPr>
                <w:color w:val="000000"/>
                <w:lang w:eastAsia="en-NZ"/>
              </w:rPr>
              <w:t>30–34</w:t>
            </w:r>
          </w:p>
        </w:tc>
        <w:tc>
          <w:tcPr>
            <w:tcW w:w="857" w:type="dxa"/>
            <w:tcBorders>
              <w:top w:val="single" w:sz="4" w:space="0" w:color="A6A6A6" w:themeColor="background1" w:themeShade="A6"/>
              <w:bottom w:val="single" w:sz="4" w:space="0" w:color="A6A6A6" w:themeColor="background1" w:themeShade="A6"/>
            </w:tcBorders>
            <w:shd w:val="clear" w:color="auto" w:fill="auto"/>
            <w:hideMark/>
          </w:tcPr>
          <w:p w14:paraId="3319D96D" w14:textId="77777777" w:rsidR="00AD2DF9" w:rsidRPr="00705F47" w:rsidRDefault="00AD2DF9" w:rsidP="00F640A2">
            <w:pPr>
              <w:pStyle w:val="TableText"/>
              <w:tabs>
                <w:tab w:val="decimal" w:pos="657"/>
              </w:tabs>
              <w:rPr>
                <w:lang w:eastAsia="en-NZ"/>
              </w:rPr>
            </w:pPr>
            <w:r w:rsidRPr="00705F47">
              <w:rPr>
                <w:lang w:eastAsia="en-NZ"/>
              </w:rPr>
              <w:t>2,795</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01B6F4DB" w14:textId="77777777" w:rsidR="00AD2DF9" w:rsidRPr="00705F47" w:rsidRDefault="00AD2DF9" w:rsidP="00F640A2">
            <w:pPr>
              <w:pStyle w:val="TableText"/>
              <w:tabs>
                <w:tab w:val="decimal" w:pos="509"/>
              </w:tabs>
              <w:rPr>
                <w:lang w:eastAsia="en-NZ"/>
              </w:rPr>
            </w:pPr>
            <w:r w:rsidRPr="00705F47">
              <w:rPr>
                <w:lang w:eastAsia="en-NZ"/>
              </w:rPr>
              <w:t>631</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62DC2942" w14:textId="77777777" w:rsidR="00AD2DF9" w:rsidRPr="00705F47" w:rsidRDefault="00AD2DF9" w:rsidP="00F640A2">
            <w:pPr>
              <w:pStyle w:val="TableText"/>
              <w:tabs>
                <w:tab w:val="decimal" w:pos="509"/>
              </w:tabs>
              <w:rPr>
                <w:lang w:eastAsia="en-NZ"/>
              </w:rPr>
            </w:pPr>
            <w:r w:rsidRPr="00705F47">
              <w:rPr>
                <w:lang w:eastAsia="en-NZ"/>
              </w:rPr>
              <w:t>661</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3327AF8F" w14:textId="77777777" w:rsidR="00AD2DF9" w:rsidRPr="00705F47" w:rsidRDefault="00AD2DF9" w:rsidP="00F640A2">
            <w:pPr>
              <w:pStyle w:val="TableText"/>
              <w:tabs>
                <w:tab w:val="decimal" w:pos="509"/>
              </w:tabs>
              <w:rPr>
                <w:lang w:eastAsia="en-NZ"/>
              </w:rPr>
            </w:pPr>
            <w:r w:rsidRPr="00705F47">
              <w:rPr>
                <w:lang w:eastAsia="en-NZ"/>
              </w:rPr>
              <w:t>844</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1486BE9E" w14:textId="77777777" w:rsidR="00AD2DF9" w:rsidRPr="00705F47" w:rsidRDefault="00AD2DF9" w:rsidP="00F640A2">
            <w:pPr>
              <w:pStyle w:val="TableText"/>
              <w:tabs>
                <w:tab w:val="decimal" w:pos="509"/>
              </w:tabs>
              <w:rPr>
                <w:lang w:eastAsia="en-NZ"/>
              </w:rPr>
            </w:pPr>
            <w:r w:rsidRPr="00705F47">
              <w:rPr>
                <w:lang w:eastAsia="en-NZ"/>
              </w:rPr>
              <w:t>404</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104B79AF" w14:textId="77777777" w:rsidR="00AD2DF9" w:rsidRPr="00705F47" w:rsidRDefault="00AD2DF9" w:rsidP="00F640A2">
            <w:pPr>
              <w:pStyle w:val="TableText"/>
              <w:tabs>
                <w:tab w:val="decimal" w:pos="454"/>
              </w:tabs>
              <w:rPr>
                <w:lang w:eastAsia="en-NZ"/>
              </w:rPr>
            </w:pPr>
            <w:r w:rsidRPr="00705F47">
              <w:rPr>
                <w:lang w:eastAsia="en-NZ"/>
              </w:rPr>
              <w:t>159</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3A87F096" w14:textId="77777777" w:rsidR="00AD2DF9" w:rsidRPr="00705F47" w:rsidRDefault="00AD2DF9" w:rsidP="00F640A2">
            <w:pPr>
              <w:pStyle w:val="TableText"/>
              <w:tabs>
                <w:tab w:val="decimal" w:pos="454"/>
              </w:tabs>
              <w:rPr>
                <w:lang w:eastAsia="en-NZ"/>
              </w:rPr>
            </w:pPr>
            <w:r w:rsidRPr="00705F47">
              <w:rPr>
                <w:lang w:eastAsia="en-NZ"/>
              </w:rPr>
              <w:t>57</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0C25854F" w14:textId="77777777" w:rsidR="00AD2DF9" w:rsidRPr="00705F47" w:rsidRDefault="00AD2DF9" w:rsidP="00F640A2">
            <w:pPr>
              <w:pStyle w:val="TableText"/>
              <w:tabs>
                <w:tab w:val="decimal" w:pos="381"/>
              </w:tabs>
              <w:rPr>
                <w:lang w:eastAsia="en-NZ"/>
              </w:rPr>
            </w:pPr>
            <w:r w:rsidRPr="00705F47">
              <w:rPr>
                <w:lang w:eastAsia="en-NZ"/>
              </w:rPr>
              <w:t>26</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1677E0DF" w14:textId="77777777" w:rsidR="00AD2DF9" w:rsidRPr="00705F47" w:rsidRDefault="00AD2DF9" w:rsidP="00F640A2">
            <w:pPr>
              <w:pStyle w:val="TableText"/>
              <w:tabs>
                <w:tab w:val="decimal" w:pos="381"/>
              </w:tabs>
              <w:rPr>
                <w:lang w:eastAsia="en-NZ"/>
              </w:rPr>
            </w:pPr>
            <w:r w:rsidRPr="00705F47">
              <w:rPr>
                <w:lang w:eastAsia="en-NZ"/>
              </w:rPr>
              <w:t>13</w:t>
            </w:r>
          </w:p>
        </w:tc>
      </w:tr>
      <w:tr w:rsidR="00AD2DF9" w:rsidRPr="00705F47" w14:paraId="6953918C" w14:textId="77777777" w:rsidTr="00F640A2">
        <w:trPr>
          <w:cantSplit/>
        </w:trPr>
        <w:tc>
          <w:tcPr>
            <w:tcW w:w="1271" w:type="dxa"/>
            <w:tcBorders>
              <w:top w:val="single" w:sz="4" w:space="0" w:color="A6A6A6" w:themeColor="background1" w:themeShade="A6"/>
              <w:bottom w:val="single" w:sz="4" w:space="0" w:color="A6A6A6" w:themeColor="background1" w:themeShade="A6"/>
            </w:tcBorders>
            <w:shd w:val="clear" w:color="auto" w:fill="auto"/>
            <w:noWrap/>
            <w:hideMark/>
          </w:tcPr>
          <w:p w14:paraId="1B3A4BE6" w14:textId="77777777" w:rsidR="00AD2DF9" w:rsidRPr="00705F47" w:rsidRDefault="00AD2DF9" w:rsidP="00F640A2">
            <w:pPr>
              <w:pStyle w:val="TableText"/>
              <w:rPr>
                <w:color w:val="000000"/>
                <w:lang w:eastAsia="en-NZ"/>
              </w:rPr>
            </w:pPr>
            <w:r w:rsidRPr="00705F47">
              <w:rPr>
                <w:color w:val="000000"/>
                <w:lang w:eastAsia="en-NZ"/>
              </w:rPr>
              <w:t>35–39</w:t>
            </w:r>
          </w:p>
        </w:tc>
        <w:tc>
          <w:tcPr>
            <w:tcW w:w="857" w:type="dxa"/>
            <w:tcBorders>
              <w:top w:val="single" w:sz="4" w:space="0" w:color="A6A6A6" w:themeColor="background1" w:themeShade="A6"/>
              <w:bottom w:val="single" w:sz="4" w:space="0" w:color="A6A6A6" w:themeColor="background1" w:themeShade="A6"/>
            </w:tcBorders>
            <w:shd w:val="clear" w:color="auto" w:fill="auto"/>
            <w:hideMark/>
          </w:tcPr>
          <w:p w14:paraId="267E7AE4" w14:textId="77777777" w:rsidR="00AD2DF9" w:rsidRPr="00705F47" w:rsidRDefault="00AD2DF9" w:rsidP="00F640A2">
            <w:pPr>
              <w:pStyle w:val="TableText"/>
              <w:tabs>
                <w:tab w:val="decimal" w:pos="657"/>
              </w:tabs>
              <w:rPr>
                <w:lang w:eastAsia="en-NZ"/>
              </w:rPr>
            </w:pPr>
            <w:r w:rsidRPr="00705F47">
              <w:rPr>
                <w:lang w:eastAsia="en-NZ"/>
              </w:rPr>
              <w:t>1,784</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5D3D497A" w14:textId="77777777" w:rsidR="00AD2DF9" w:rsidRPr="00705F47" w:rsidRDefault="00AD2DF9" w:rsidP="00F640A2">
            <w:pPr>
              <w:pStyle w:val="TableText"/>
              <w:tabs>
                <w:tab w:val="decimal" w:pos="509"/>
              </w:tabs>
              <w:rPr>
                <w:lang w:eastAsia="en-NZ"/>
              </w:rPr>
            </w:pPr>
            <w:r w:rsidRPr="00705F47">
              <w:rPr>
                <w:lang w:eastAsia="en-NZ"/>
              </w:rPr>
              <w:t>228</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1338C68F" w14:textId="77777777" w:rsidR="00AD2DF9" w:rsidRPr="00705F47" w:rsidRDefault="00AD2DF9" w:rsidP="00F640A2">
            <w:pPr>
              <w:pStyle w:val="TableText"/>
              <w:tabs>
                <w:tab w:val="decimal" w:pos="509"/>
              </w:tabs>
              <w:rPr>
                <w:lang w:eastAsia="en-NZ"/>
              </w:rPr>
            </w:pPr>
            <w:r w:rsidRPr="00705F47">
              <w:rPr>
                <w:lang w:eastAsia="en-NZ"/>
              </w:rPr>
              <w:t>368</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04260B62" w14:textId="77777777" w:rsidR="00AD2DF9" w:rsidRPr="00705F47" w:rsidRDefault="00AD2DF9" w:rsidP="00F640A2">
            <w:pPr>
              <w:pStyle w:val="TableText"/>
              <w:tabs>
                <w:tab w:val="decimal" w:pos="509"/>
              </w:tabs>
              <w:rPr>
                <w:lang w:eastAsia="en-NZ"/>
              </w:rPr>
            </w:pPr>
            <w:r w:rsidRPr="00705F47">
              <w:rPr>
                <w:lang w:eastAsia="en-NZ"/>
              </w:rPr>
              <w:t>698</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428F6141" w14:textId="77777777" w:rsidR="00AD2DF9" w:rsidRPr="00705F47" w:rsidRDefault="00AD2DF9" w:rsidP="00F640A2">
            <w:pPr>
              <w:pStyle w:val="TableText"/>
              <w:tabs>
                <w:tab w:val="decimal" w:pos="509"/>
              </w:tabs>
              <w:rPr>
                <w:lang w:eastAsia="en-NZ"/>
              </w:rPr>
            </w:pPr>
            <w:r w:rsidRPr="00705F47">
              <w:rPr>
                <w:lang w:eastAsia="en-NZ"/>
              </w:rPr>
              <w:t>282</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1192CC5D" w14:textId="77777777" w:rsidR="00AD2DF9" w:rsidRPr="00705F47" w:rsidRDefault="00AD2DF9" w:rsidP="00F640A2">
            <w:pPr>
              <w:pStyle w:val="TableText"/>
              <w:tabs>
                <w:tab w:val="decimal" w:pos="454"/>
              </w:tabs>
              <w:rPr>
                <w:lang w:eastAsia="en-NZ"/>
              </w:rPr>
            </w:pPr>
            <w:r w:rsidRPr="00705F47">
              <w:rPr>
                <w:lang w:eastAsia="en-NZ"/>
              </w:rPr>
              <w:t>120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47B6C5C8" w14:textId="77777777" w:rsidR="00AD2DF9" w:rsidRPr="00705F47" w:rsidRDefault="00AD2DF9" w:rsidP="00F640A2">
            <w:pPr>
              <w:pStyle w:val="TableText"/>
              <w:tabs>
                <w:tab w:val="decimal" w:pos="454"/>
              </w:tabs>
              <w:rPr>
                <w:lang w:eastAsia="en-NZ"/>
              </w:rPr>
            </w:pPr>
            <w:r w:rsidRPr="00705F47">
              <w:rPr>
                <w:lang w:eastAsia="en-NZ"/>
              </w:rPr>
              <w:t>50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49CE53C3" w14:textId="77777777" w:rsidR="00AD2DF9" w:rsidRPr="00705F47" w:rsidRDefault="00AD2DF9" w:rsidP="00F640A2">
            <w:pPr>
              <w:pStyle w:val="TableText"/>
              <w:tabs>
                <w:tab w:val="decimal" w:pos="381"/>
              </w:tabs>
              <w:rPr>
                <w:lang w:eastAsia="en-NZ"/>
              </w:rPr>
            </w:pPr>
            <w:r w:rsidRPr="00705F47">
              <w:rPr>
                <w:lang w:eastAsia="en-NZ"/>
              </w:rPr>
              <w:t>25</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0B702BF8" w14:textId="77777777" w:rsidR="00AD2DF9" w:rsidRPr="00705F47" w:rsidRDefault="00AD2DF9" w:rsidP="00F640A2">
            <w:pPr>
              <w:pStyle w:val="TableText"/>
              <w:tabs>
                <w:tab w:val="decimal" w:pos="381"/>
              </w:tabs>
              <w:rPr>
                <w:lang w:eastAsia="en-NZ"/>
              </w:rPr>
            </w:pPr>
            <w:r w:rsidRPr="00705F47">
              <w:rPr>
                <w:lang w:eastAsia="en-NZ"/>
              </w:rPr>
              <w:t>13</w:t>
            </w:r>
          </w:p>
        </w:tc>
      </w:tr>
      <w:tr w:rsidR="00AD2DF9" w:rsidRPr="00705F47" w14:paraId="2641A182" w14:textId="77777777" w:rsidTr="00F640A2">
        <w:trPr>
          <w:cantSplit/>
        </w:trPr>
        <w:tc>
          <w:tcPr>
            <w:tcW w:w="1271" w:type="dxa"/>
            <w:tcBorders>
              <w:top w:val="single" w:sz="4" w:space="0" w:color="A6A6A6" w:themeColor="background1" w:themeShade="A6"/>
              <w:bottom w:val="single" w:sz="4" w:space="0" w:color="A6A6A6" w:themeColor="background1" w:themeShade="A6"/>
            </w:tcBorders>
            <w:shd w:val="clear" w:color="auto" w:fill="auto"/>
            <w:noWrap/>
            <w:hideMark/>
          </w:tcPr>
          <w:p w14:paraId="46039A80" w14:textId="77777777" w:rsidR="00AD2DF9" w:rsidRPr="00705F47" w:rsidRDefault="00AD2DF9" w:rsidP="00F640A2">
            <w:pPr>
              <w:pStyle w:val="TableText"/>
              <w:rPr>
                <w:color w:val="000000"/>
                <w:lang w:eastAsia="en-NZ"/>
              </w:rPr>
            </w:pPr>
            <w:r w:rsidRPr="00705F47">
              <w:rPr>
                <w:color w:val="000000"/>
                <w:lang w:eastAsia="en-NZ"/>
              </w:rPr>
              <w:t>40–44</w:t>
            </w:r>
          </w:p>
        </w:tc>
        <w:tc>
          <w:tcPr>
            <w:tcW w:w="857" w:type="dxa"/>
            <w:tcBorders>
              <w:top w:val="single" w:sz="4" w:space="0" w:color="A6A6A6" w:themeColor="background1" w:themeShade="A6"/>
              <w:bottom w:val="single" w:sz="4" w:space="0" w:color="A6A6A6" w:themeColor="background1" w:themeShade="A6"/>
            </w:tcBorders>
            <w:shd w:val="clear" w:color="auto" w:fill="auto"/>
            <w:hideMark/>
          </w:tcPr>
          <w:p w14:paraId="134AF6E5" w14:textId="77777777" w:rsidR="00AD2DF9" w:rsidRPr="00705F47" w:rsidRDefault="00AD2DF9" w:rsidP="00F640A2">
            <w:pPr>
              <w:pStyle w:val="TableText"/>
              <w:tabs>
                <w:tab w:val="decimal" w:pos="657"/>
              </w:tabs>
              <w:rPr>
                <w:lang w:eastAsia="en-NZ"/>
              </w:rPr>
            </w:pPr>
            <w:r w:rsidRPr="00705F47">
              <w:rPr>
                <w:lang w:eastAsia="en-NZ"/>
              </w:rPr>
              <w:t>649</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3DEE733A" w14:textId="77777777" w:rsidR="00AD2DF9" w:rsidRPr="00705F47" w:rsidRDefault="00AD2DF9" w:rsidP="00F640A2">
            <w:pPr>
              <w:pStyle w:val="TableText"/>
              <w:tabs>
                <w:tab w:val="decimal" w:pos="509"/>
              </w:tabs>
              <w:rPr>
                <w:lang w:eastAsia="en-NZ"/>
              </w:rPr>
            </w:pPr>
            <w:r w:rsidRPr="00705F47">
              <w:rPr>
                <w:lang w:eastAsia="en-NZ"/>
              </w:rPr>
              <w:t>59</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7FC74F35" w14:textId="77777777" w:rsidR="00AD2DF9" w:rsidRPr="00705F47" w:rsidRDefault="00AD2DF9" w:rsidP="00F640A2">
            <w:pPr>
              <w:pStyle w:val="TableText"/>
              <w:tabs>
                <w:tab w:val="decimal" w:pos="509"/>
              </w:tabs>
              <w:rPr>
                <w:lang w:eastAsia="en-NZ"/>
              </w:rPr>
            </w:pPr>
            <w:r w:rsidRPr="00705F47">
              <w:rPr>
                <w:lang w:eastAsia="en-NZ"/>
              </w:rPr>
              <w:t>102</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1C36ADFA" w14:textId="77777777" w:rsidR="00AD2DF9" w:rsidRPr="00705F47" w:rsidRDefault="00AD2DF9" w:rsidP="00F640A2">
            <w:pPr>
              <w:pStyle w:val="TableText"/>
              <w:tabs>
                <w:tab w:val="decimal" w:pos="509"/>
              </w:tabs>
              <w:rPr>
                <w:lang w:eastAsia="en-NZ"/>
              </w:rPr>
            </w:pPr>
            <w:r w:rsidRPr="00705F47">
              <w:rPr>
                <w:lang w:eastAsia="en-NZ"/>
              </w:rPr>
              <w:t>259</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78BCFDE6" w14:textId="77777777" w:rsidR="00AD2DF9" w:rsidRPr="00705F47" w:rsidRDefault="00AD2DF9" w:rsidP="00F640A2">
            <w:pPr>
              <w:pStyle w:val="TableText"/>
              <w:tabs>
                <w:tab w:val="decimal" w:pos="509"/>
              </w:tabs>
              <w:rPr>
                <w:lang w:eastAsia="en-NZ"/>
              </w:rPr>
            </w:pPr>
            <w:r w:rsidRPr="00705F47">
              <w:rPr>
                <w:lang w:eastAsia="en-NZ"/>
              </w:rPr>
              <w:t>121</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05655599" w14:textId="77777777" w:rsidR="00AD2DF9" w:rsidRPr="00705F47" w:rsidRDefault="00AD2DF9" w:rsidP="00F640A2">
            <w:pPr>
              <w:pStyle w:val="TableText"/>
              <w:tabs>
                <w:tab w:val="decimal" w:pos="454"/>
              </w:tabs>
              <w:rPr>
                <w:lang w:eastAsia="en-NZ"/>
              </w:rPr>
            </w:pPr>
            <w:r w:rsidRPr="00705F47">
              <w:rPr>
                <w:lang w:eastAsia="en-NZ"/>
              </w:rPr>
              <w:t>68</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1B917792" w14:textId="77777777" w:rsidR="00AD2DF9" w:rsidRPr="00705F47" w:rsidRDefault="00AD2DF9" w:rsidP="00F640A2">
            <w:pPr>
              <w:pStyle w:val="TableText"/>
              <w:tabs>
                <w:tab w:val="decimal" w:pos="454"/>
              </w:tabs>
              <w:rPr>
                <w:lang w:eastAsia="en-NZ"/>
              </w:rPr>
            </w:pPr>
            <w:r w:rsidRPr="00705F47">
              <w:rPr>
                <w:lang w:eastAsia="en-NZ"/>
              </w:rPr>
              <w:t>18</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36A4DD3A" w14:textId="77777777" w:rsidR="00AD2DF9" w:rsidRPr="00705F47" w:rsidRDefault="00AD2DF9" w:rsidP="00F640A2">
            <w:pPr>
              <w:pStyle w:val="TableText"/>
              <w:tabs>
                <w:tab w:val="decimal" w:pos="381"/>
              </w:tabs>
              <w:rPr>
                <w:lang w:eastAsia="en-NZ"/>
              </w:rPr>
            </w:pPr>
            <w:r w:rsidRPr="00705F47">
              <w:rPr>
                <w:lang w:eastAsia="en-NZ"/>
              </w:rPr>
              <w:t>12</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6DC7D4F5" w14:textId="77777777" w:rsidR="00AD2DF9" w:rsidRPr="00705F47" w:rsidRDefault="00AD2DF9" w:rsidP="00F640A2">
            <w:pPr>
              <w:pStyle w:val="TableText"/>
              <w:tabs>
                <w:tab w:val="decimal" w:pos="381"/>
              </w:tabs>
              <w:rPr>
                <w:lang w:eastAsia="en-NZ"/>
              </w:rPr>
            </w:pPr>
            <w:r w:rsidRPr="00705F47">
              <w:rPr>
                <w:lang w:eastAsia="en-NZ"/>
              </w:rPr>
              <w:t>10</w:t>
            </w:r>
          </w:p>
        </w:tc>
      </w:tr>
      <w:tr w:rsidR="00AD2DF9" w:rsidRPr="00705F47" w14:paraId="2828CD31" w14:textId="77777777" w:rsidTr="00F640A2">
        <w:trPr>
          <w:cantSplit/>
        </w:trPr>
        <w:tc>
          <w:tcPr>
            <w:tcW w:w="1271" w:type="dxa"/>
            <w:tcBorders>
              <w:top w:val="single" w:sz="4" w:space="0" w:color="A6A6A6" w:themeColor="background1" w:themeShade="A6"/>
              <w:bottom w:val="single" w:sz="4" w:space="0" w:color="A6A6A6" w:themeColor="background1" w:themeShade="A6"/>
            </w:tcBorders>
            <w:shd w:val="clear" w:color="auto" w:fill="auto"/>
            <w:noWrap/>
            <w:hideMark/>
          </w:tcPr>
          <w:p w14:paraId="3EDDBE49" w14:textId="77777777" w:rsidR="00AD2DF9" w:rsidRPr="00705F47" w:rsidRDefault="00AD2DF9" w:rsidP="00F640A2">
            <w:pPr>
              <w:pStyle w:val="TableText"/>
              <w:rPr>
                <w:color w:val="000000"/>
                <w:lang w:eastAsia="en-NZ"/>
              </w:rPr>
            </w:pPr>
            <w:r w:rsidRPr="00705F47">
              <w:rPr>
                <w:color w:val="000000"/>
                <w:lang w:eastAsia="en-NZ"/>
              </w:rPr>
              <w:t>45 and over</w:t>
            </w:r>
          </w:p>
        </w:tc>
        <w:tc>
          <w:tcPr>
            <w:tcW w:w="857" w:type="dxa"/>
            <w:tcBorders>
              <w:top w:val="single" w:sz="4" w:space="0" w:color="A6A6A6" w:themeColor="background1" w:themeShade="A6"/>
              <w:bottom w:val="single" w:sz="4" w:space="0" w:color="A6A6A6" w:themeColor="background1" w:themeShade="A6"/>
            </w:tcBorders>
            <w:shd w:val="clear" w:color="auto" w:fill="auto"/>
            <w:hideMark/>
          </w:tcPr>
          <w:p w14:paraId="5BD9C9FD" w14:textId="77777777" w:rsidR="00AD2DF9" w:rsidRPr="00705F47" w:rsidRDefault="00AD2DF9" w:rsidP="00F640A2">
            <w:pPr>
              <w:pStyle w:val="TableText"/>
              <w:tabs>
                <w:tab w:val="decimal" w:pos="657"/>
              </w:tabs>
              <w:rPr>
                <w:lang w:eastAsia="en-NZ"/>
              </w:rPr>
            </w:pPr>
            <w:r w:rsidRPr="00705F47">
              <w:rPr>
                <w:lang w:eastAsia="en-NZ"/>
              </w:rPr>
              <w:t>70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4D26D616" w14:textId="77777777" w:rsidR="00AD2DF9" w:rsidRPr="00705F47" w:rsidRDefault="00AD2DF9" w:rsidP="00F640A2">
            <w:pPr>
              <w:pStyle w:val="TableText"/>
              <w:tabs>
                <w:tab w:val="decimal" w:pos="509"/>
              </w:tabs>
              <w:rPr>
                <w:lang w:eastAsia="en-NZ"/>
              </w:rPr>
            </w:pPr>
            <w:r w:rsidRPr="00705F47">
              <w:rPr>
                <w:lang w:eastAsia="en-NZ"/>
              </w:rPr>
              <w:t>4</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65EFE866" w14:textId="77777777" w:rsidR="00AD2DF9" w:rsidRPr="00705F47" w:rsidRDefault="00AD2DF9" w:rsidP="00F640A2">
            <w:pPr>
              <w:pStyle w:val="TableText"/>
              <w:tabs>
                <w:tab w:val="decimal" w:pos="509"/>
              </w:tabs>
              <w:rPr>
                <w:lang w:eastAsia="en-NZ"/>
              </w:rPr>
            </w:pPr>
            <w:r w:rsidRPr="00705F47">
              <w:rPr>
                <w:lang w:eastAsia="en-NZ"/>
              </w:rPr>
              <w:t>17</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3FB38C2A" w14:textId="77777777" w:rsidR="00AD2DF9" w:rsidRPr="00705F47" w:rsidRDefault="00AD2DF9" w:rsidP="00F640A2">
            <w:pPr>
              <w:pStyle w:val="TableText"/>
              <w:tabs>
                <w:tab w:val="decimal" w:pos="509"/>
              </w:tabs>
              <w:rPr>
                <w:lang w:eastAsia="en-NZ"/>
              </w:rPr>
            </w:pPr>
            <w:r w:rsidRPr="00705F47">
              <w:rPr>
                <w:lang w:eastAsia="en-NZ"/>
              </w:rPr>
              <w:t>33</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6614EB71" w14:textId="77777777" w:rsidR="00AD2DF9" w:rsidRPr="00705F47" w:rsidRDefault="00AD2DF9" w:rsidP="00F640A2">
            <w:pPr>
              <w:pStyle w:val="TableText"/>
              <w:tabs>
                <w:tab w:val="decimal" w:pos="509"/>
              </w:tabs>
              <w:rPr>
                <w:lang w:eastAsia="en-NZ"/>
              </w:rPr>
            </w:pPr>
            <w:r w:rsidRPr="00705F47">
              <w:rPr>
                <w:lang w:eastAsia="en-NZ"/>
              </w:rPr>
              <w:t>9</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4B993321" w14:textId="77777777" w:rsidR="00AD2DF9" w:rsidRPr="00705F47" w:rsidRDefault="00AD2DF9" w:rsidP="00F640A2">
            <w:pPr>
              <w:pStyle w:val="TableText"/>
              <w:tabs>
                <w:tab w:val="decimal" w:pos="454"/>
              </w:tabs>
              <w:rPr>
                <w:lang w:eastAsia="en-NZ"/>
              </w:rPr>
            </w:pPr>
            <w:r w:rsidRPr="00705F47">
              <w:rPr>
                <w:lang w:eastAsia="en-NZ"/>
              </w:rPr>
              <w:t>3</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4F4B541A" w14:textId="77777777" w:rsidR="00AD2DF9" w:rsidRPr="00705F47" w:rsidRDefault="00AD2DF9" w:rsidP="00F640A2">
            <w:pPr>
              <w:pStyle w:val="TableText"/>
              <w:tabs>
                <w:tab w:val="decimal" w:pos="454"/>
              </w:tabs>
              <w:rPr>
                <w:lang w:eastAsia="en-NZ"/>
              </w:rPr>
            </w:pPr>
            <w:r w:rsidRPr="00705F47">
              <w:rPr>
                <w:lang w:eastAsia="en-NZ"/>
              </w:rPr>
              <w:t>1</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17E63E7E" w14:textId="77777777" w:rsidR="00AD2DF9" w:rsidRPr="00705F47" w:rsidRDefault="00AD2DF9" w:rsidP="00F640A2">
            <w:pPr>
              <w:pStyle w:val="TableText"/>
              <w:tabs>
                <w:tab w:val="decimal" w:pos="381"/>
              </w:tabs>
              <w:rPr>
                <w:lang w:eastAsia="en-NZ"/>
              </w:rPr>
            </w:pPr>
            <w:r w:rsidRPr="00705F47">
              <w:rPr>
                <w:lang w:eastAsia="en-NZ"/>
              </w:rPr>
              <w:t>2</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76F82177" w14:textId="77777777" w:rsidR="00AD2DF9" w:rsidRPr="00705F47" w:rsidRDefault="00AD2DF9" w:rsidP="00F640A2">
            <w:pPr>
              <w:pStyle w:val="TableText"/>
              <w:tabs>
                <w:tab w:val="decimal" w:pos="381"/>
              </w:tabs>
              <w:rPr>
                <w:lang w:eastAsia="en-NZ"/>
              </w:rPr>
            </w:pPr>
            <w:r w:rsidRPr="00705F47">
              <w:rPr>
                <w:lang w:eastAsia="en-NZ"/>
              </w:rPr>
              <w:t>1</w:t>
            </w:r>
          </w:p>
        </w:tc>
      </w:tr>
      <w:tr w:rsidR="00AD2DF9" w:rsidRPr="00705F47" w14:paraId="64AB4177" w14:textId="77777777" w:rsidTr="00F640A2">
        <w:trPr>
          <w:cantSplit/>
        </w:trPr>
        <w:tc>
          <w:tcPr>
            <w:tcW w:w="1271" w:type="dxa"/>
            <w:tcBorders>
              <w:top w:val="single" w:sz="4" w:space="0" w:color="A6A6A6" w:themeColor="background1" w:themeShade="A6"/>
              <w:bottom w:val="single" w:sz="4" w:space="0" w:color="A6A6A6" w:themeColor="background1" w:themeShade="A6"/>
            </w:tcBorders>
            <w:shd w:val="clear" w:color="auto" w:fill="auto"/>
            <w:noWrap/>
            <w:hideMark/>
          </w:tcPr>
          <w:p w14:paraId="40548720" w14:textId="77777777" w:rsidR="00AD2DF9" w:rsidRPr="00705F47" w:rsidRDefault="00AD2DF9" w:rsidP="00F640A2">
            <w:pPr>
              <w:pStyle w:val="TableText"/>
              <w:rPr>
                <w:color w:val="000000"/>
                <w:lang w:eastAsia="en-NZ"/>
              </w:rPr>
            </w:pPr>
            <w:r w:rsidRPr="00705F47">
              <w:rPr>
                <w:color w:val="000000"/>
                <w:lang w:eastAsia="en-NZ"/>
              </w:rPr>
              <w:t>Missing</w:t>
            </w:r>
          </w:p>
        </w:tc>
        <w:tc>
          <w:tcPr>
            <w:tcW w:w="857" w:type="dxa"/>
            <w:tcBorders>
              <w:top w:val="single" w:sz="4" w:space="0" w:color="A6A6A6" w:themeColor="background1" w:themeShade="A6"/>
              <w:bottom w:val="single" w:sz="4" w:space="0" w:color="A6A6A6" w:themeColor="background1" w:themeShade="A6"/>
            </w:tcBorders>
            <w:shd w:val="clear" w:color="auto" w:fill="auto"/>
            <w:noWrap/>
            <w:hideMark/>
          </w:tcPr>
          <w:p w14:paraId="05D0A48E" w14:textId="77777777" w:rsidR="00AD2DF9" w:rsidRPr="00705F47" w:rsidRDefault="00AD2DF9" w:rsidP="00F640A2">
            <w:pPr>
              <w:pStyle w:val="TableText"/>
              <w:tabs>
                <w:tab w:val="decimal" w:pos="657"/>
              </w:tabs>
              <w:rPr>
                <w:lang w:eastAsia="en-NZ"/>
              </w:rPr>
            </w:pPr>
            <w:r w:rsidRPr="00705F47">
              <w:rPr>
                <w:lang w:eastAsia="en-NZ"/>
              </w:rPr>
              <w:t>3</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30458B77" w14:textId="77777777" w:rsidR="00AD2DF9" w:rsidRPr="00705F47" w:rsidRDefault="00AD2DF9" w:rsidP="00F640A2">
            <w:pPr>
              <w:pStyle w:val="TableText"/>
              <w:tabs>
                <w:tab w:val="decimal" w:pos="509"/>
              </w:tabs>
              <w:rPr>
                <w:lang w:eastAsia="en-NZ"/>
              </w:rPr>
            </w:pPr>
            <w:r w:rsidRPr="00705F47">
              <w:rPr>
                <w:lang w:eastAsia="en-NZ"/>
              </w:rPr>
              <w:t>2</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770430B0" w14:textId="77777777" w:rsidR="00AD2DF9" w:rsidRPr="00705F47" w:rsidRDefault="00AD2DF9" w:rsidP="00F640A2">
            <w:pPr>
              <w:pStyle w:val="TableText"/>
              <w:tabs>
                <w:tab w:val="decimal" w:pos="509"/>
              </w:tabs>
              <w:rPr>
                <w:lang w:eastAsia="en-NZ"/>
              </w:rPr>
            </w:pPr>
            <w:r w:rsidRPr="00705F47">
              <w:rPr>
                <w:lang w:eastAsia="en-NZ"/>
              </w:rPr>
              <w:t>1</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76CCD5AE" w14:textId="77777777" w:rsidR="00AD2DF9" w:rsidRPr="00705F47" w:rsidRDefault="00AD2DF9" w:rsidP="00F640A2">
            <w:pPr>
              <w:pStyle w:val="TableText"/>
              <w:tabs>
                <w:tab w:val="decimal" w:pos="509"/>
              </w:tabs>
              <w:rPr>
                <w:lang w:eastAsia="en-NZ"/>
              </w:rPr>
            </w:pPr>
            <w:r w:rsidRPr="00705F47">
              <w:rPr>
                <w:lang w:eastAsia="en-NZ"/>
              </w:rPr>
              <w:t>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2B2E7D42" w14:textId="77777777" w:rsidR="00AD2DF9" w:rsidRPr="00705F47" w:rsidRDefault="00AD2DF9" w:rsidP="00F640A2">
            <w:pPr>
              <w:pStyle w:val="TableText"/>
              <w:tabs>
                <w:tab w:val="decimal" w:pos="509"/>
              </w:tabs>
              <w:rPr>
                <w:lang w:eastAsia="en-NZ"/>
              </w:rPr>
            </w:pPr>
            <w:r w:rsidRPr="00705F47">
              <w:rPr>
                <w:lang w:eastAsia="en-NZ"/>
              </w:rPr>
              <w:t>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318808FF" w14:textId="77777777" w:rsidR="00AD2DF9" w:rsidRPr="00705F47" w:rsidRDefault="00AD2DF9" w:rsidP="00F640A2">
            <w:pPr>
              <w:pStyle w:val="TableText"/>
              <w:tabs>
                <w:tab w:val="decimal" w:pos="454"/>
              </w:tabs>
              <w:rPr>
                <w:lang w:eastAsia="en-NZ"/>
              </w:rPr>
            </w:pPr>
            <w:r w:rsidRPr="00705F47">
              <w:rPr>
                <w:lang w:eastAsia="en-NZ"/>
              </w:rPr>
              <w:t>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4ACDE512" w14:textId="77777777" w:rsidR="00AD2DF9" w:rsidRPr="00705F47" w:rsidRDefault="00AD2DF9" w:rsidP="00F640A2">
            <w:pPr>
              <w:pStyle w:val="TableText"/>
              <w:tabs>
                <w:tab w:val="decimal" w:pos="454"/>
              </w:tabs>
              <w:rPr>
                <w:lang w:eastAsia="en-NZ"/>
              </w:rPr>
            </w:pPr>
            <w:r w:rsidRPr="00705F47">
              <w:rPr>
                <w:lang w:eastAsia="en-NZ"/>
              </w:rPr>
              <w:t>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57D9B37D" w14:textId="77777777" w:rsidR="00AD2DF9" w:rsidRPr="00705F47" w:rsidRDefault="00AD2DF9" w:rsidP="00F640A2">
            <w:pPr>
              <w:pStyle w:val="TableText"/>
              <w:tabs>
                <w:tab w:val="decimal" w:pos="381"/>
              </w:tabs>
              <w:rPr>
                <w:lang w:eastAsia="en-NZ"/>
              </w:rPr>
            </w:pPr>
            <w:r w:rsidRPr="00705F47">
              <w:rPr>
                <w:lang w:eastAsia="en-NZ"/>
              </w:rPr>
              <w:t>0</w:t>
            </w:r>
          </w:p>
        </w:tc>
        <w:tc>
          <w:tcPr>
            <w:tcW w:w="744" w:type="dxa"/>
            <w:tcBorders>
              <w:top w:val="single" w:sz="4" w:space="0" w:color="A6A6A6" w:themeColor="background1" w:themeShade="A6"/>
              <w:bottom w:val="single" w:sz="4" w:space="0" w:color="A6A6A6" w:themeColor="background1" w:themeShade="A6"/>
            </w:tcBorders>
            <w:shd w:val="clear" w:color="auto" w:fill="auto"/>
            <w:noWrap/>
            <w:hideMark/>
          </w:tcPr>
          <w:p w14:paraId="55C794FB" w14:textId="77777777" w:rsidR="00AD2DF9" w:rsidRPr="00705F47" w:rsidRDefault="00AD2DF9" w:rsidP="00F640A2">
            <w:pPr>
              <w:pStyle w:val="TableText"/>
              <w:tabs>
                <w:tab w:val="decimal" w:pos="381"/>
              </w:tabs>
              <w:rPr>
                <w:lang w:eastAsia="en-NZ"/>
              </w:rPr>
            </w:pPr>
            <w:r w:rsidRPr="00705F47">
              <w:rPr>
                <w:lang w:eastAsia="en-NZ"/>
              </w:rPr>
              <w:t>0</w:t>
            </w:r>
          </w:p>
        </w:tc>
      </w:tr>
    </w:tbl>
    <w:p w14:paraId="18FB5BBB" w14:textId="77777777" w:rsidR="00AD2DF9" w:rsidRPr="00705F47" w:rsidRDefault="00AD2DF9" w:rsidP="00F640A2">
      <w:pPr>
        <w:rPr>
          <w:lang w:eastAsia="en-NZ"/>
        </w:rPr>
      </w:pPr>
    </w:p>
    <w:p w14:paraId="7DFAE52E" w14:textId="06E31D54" w:rsidR="00AD2DF9" w:rsidRDefault="00301720" w:rsidP="00301720">
      <w:pPr>
        <w:pStyle w:val="Figure"/>
        <w:rPr>
          <w:lang w:eastAsia="en-NZ"/>
        </w:rPr>
      </w:pPr>
      <w:bookmarkStart w:id="74" w:name="_Ref83004972"/>
      <w:bookmarkStart w:id="75" w:name="_Toc83037372"/>
      <w:bookmarkStart w:id="76" w:name="_Toc84419934"/>
      <w:r>
        <w:t>Figure </w:t>
      </w:r>
      <w:r w:rsidR="009E3B78">
        <w:fldChar w:fldCharType="begin"/>
      </w:r>
      <w:r w:rsidR="009E3B78">
        <w:instrText xml:space="preserve"> STYLEREF 2 \s </w:instrText>
      </w:r>
      <w:r w:rsidR="009E3B78">
        <w:fldChar w:fldCharType="separate"/>
      </w:r>
      <w:r w:rsidR="0090485D">
        <w:rPr>
          <w:noProof/>
        </w:rPr>
        <w:t>4</w:t>
      </w:r>
      <w:r w:rsidR="009E3B78">
        <w:rPr>
          <w:noProof/>
        </w:rPr>
        <w:fldChar w:fldCharType="end"/>
      </w:r>
      <w:r>
        <w:t>.</w:t>
      </w:r>
      <w:r w:rsidR="009E3B78">
        <w:fldChar w:fldCharType="begin"/>
      </w:r>
      <w:r w:rsidR="009E3B78">
        <w:instrText xml:space="preserve"> SEQ Figure \* ARABIC \s 2 </w:instrText>
      </w:r>
      <w:r w:rsidR="009E3B78">
        <w:fldChar w:fldCharType="separate"/>
      </w:r>
      <w:r w:rsidR="0090485D">
        <w:rPr>
          <w:noProof/>
        </w:rPr>
        <w:t>1</w:t>
      </w:r>
      <w:r w:rsidR="009E3B78">
        <w:rPr>
          <w:noProof/>
        </w:rPr>
        <w:fldChar w:fldCharType="end"/>
      </w:r>
      <w:bookmarkEnd w:id="74"/>
      <w:r w:rsidR="00AD2DF9" w:rsidRPr="00705F47">
        <w:rPr>
          <w:lang w:eastAsia="en-NZ"/>
        </w:rPr>
        <w:t>: Number of abortions by previous live births, 2010–2020</w:t>
      </w:r>
      <w:bookmarkEnd w:id="75"/>
      <w:bookmarkEnd w:id="76"/>
    </w:p>
    <w:p w14:paraId="1D370428" w14:textId="77777777" w:rsidR="00AD2DF9" w:rsidRPr="00533491" w:rsidRDefault="00983618" w:rsidP="00AD2DF9">
      <w:pPr>
        <w:rPr>
          <w:lang w:eastAsia="en-NZ"/>
        </w:rPr>
      </w:pPr>
      <w:r>
        <w:rPr>
          <w:noProof/>
          <w:lang w:eastAsia="en-NZ"/>
        </w:rPr>
        <w:drawing>
          <wp:inline distT="0" distB="0" distL="0" distR="0" wp14:anchorId="6F03749A" wp14:editId="729D3260">
            <wp:extent cx="5112327" cy="3119482"/>
            <wp:effectExtent l="0" t="0" r="0" b="5080"/>
            <wp:docPr id="14" name="Picture 14" title="Figure 4.1: Number of abortions by previous live births, 2010–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15305" cy="3121299"/>
                    </a:xfrm>
                    <a:prstGeom prst="rect">
                      <a:avLst/>
                    </a:prstGeom>
                    <a:noFill/>
                  </pic:spPr>
                </pic:pic>
              </a:graphicData>
            </a:graphic>
          </wp:inline>
        </w:drawing>
      </w:r>
    </w:p>
    <w:p w14:paraId="62A7427A" w14:textId="77777777" w:rsidR="00AD2DF9" w:rsidRPr="00705F47" w:rsidRDefault="00AD2DF9" w:rsidP="00DA1117">
      <w:pPr>
        <w:rPr>
          <w:lang w:eastAsia="en-NZ"/>
        </w:rPr>
      </w:pPr>
    </w:p>
    <w:p w14:paraId="45AE3B41" w14:textId="77777777" w:rsidR="00AD2DF9" w:rsidRPr="00705F47" w:rsidRDefault="00AD2DF9" w:rsidP="00983618">
      <w:pPr>
        <w:pStyle w:val="Heading2"/>
        <w:keepNext w:val="0"/>
        <w:pageBreakBefore/>
        <w:spacing w:before="0"/>
        <w:rPr>
          <w:lang w:eastAsia="en-NZ"/>
        </w:rPr>
      </w:pPr>
      <w:bookmarkStart w:id="77" w:name="_Toc83037212"/>
      <w:bookmarkStart w:id="78" w:name="_Toc84582312"/>
      <w:r w:rsidRPr="00705F47">
        <w:rPr>
          <w:lang w:eastAsia="en-NZ"/>
        </w:rPr>
        <w:lastRenderedPageBreak/>
        <w:t>Previous abortions</w:t>
      </w:r>
      <w:bookmarkEnd w:id="77"/>
      <w:bookmarkEnd w:id="78"/>
    </w:p>
    <w:p w14:paraId="48240CE5" w14:textId="3D813AE6" w:rsidR="00AD2DF9" w:rsidRDefault="00AD2DF9" w:rsidP="00301720">
      <w:pPr>
        <w:rPr>
          <w:lang w:eastAsia="en-NZ"/>
        </w:rPr>
      </w:pPr>
      <w:r w:rsidRPr="00705F47">
        <w:rPr>
          <w:lang w:eastAsia="en-NZ"/>
        </w:rPr>
        <w:t>In 2020, 64% of abortions were the person</w:t>
      </w:r>
      <w:r w:rsidR="000E4CE5">
        <w:rPr>
          <w:lang w:eastAsia="en-NZ"/>
        </w:rPr>
        <w:t>’</w:t>
      </w:r>
      <w:r w:rsidRPr="00705F47">
        <w:rPr>
          <w:lang w:eastAsia="en-NZ"/>
        </w:rPr>
        <w:t>s first abortion. This is consistent with trends in recent years (</w:t>
      </w:r>
      <w:r w:rsidRPr="00705F47">
        <w:rPr>
          <w:lang w:eastAsia="en-NZ"/>
        </w:rPr>
        <w:fldChar w:fldCharType="begin"/>
      </w:r>
      <w:r w:rsidRPr="00705F47">
        <w:rPr>
          <w:lang w:eastAsia="en-NZ"/>
        </w:rPr>
        <w:instrText xml:space="preserve"> REF _Ref83005850 \h </w:instrText>
      </w:r>
      <w:r w:rsidRPr="00705F47">
        <w:rPr>
          <w:lang w:eastAsia="en-NZ"/>
        </w:rPr>
      </w:r>
      <w:r w:rsidRPr="00705F47">
        <w:rPr>
          <w:lang w:eastAsia="en-NZ"/>
        </w:rPr>
        <w:fldChar w:fldCharType="separate"/>
      </w:r>
      <w:r w:rsidR="0090485D">
        <w:t>Figure </w:t>
      </w:r>
      <w:r w:rsidR="0090485D">
        <w:rPr>
          <w:noProof/>
        </w:rPr>
        <w:t>5</w:t>
      </w:r>
      <w:r w:rsidR="0090485D">
        <w:t>.</w:t>
      </w:r>
      <w:r w:rsidR="0090485D">
        <w:rPr>
          <w:noProof/>
        </w:rPr>
        <w:t>1</w:t>
      </w:r>
      <w:r w:rsidRPr="00705F47">
        <w:rPr>
          <w:lang w:eastAsia="en-NZ"/>
        </w:rPr>
        <w:fldChar w:fldCharType="end"/>
      </w:r>
      <w:r w:rsidRPr="00705F47">
        <w:rPr>
          <w:lang w:eastAsia="en-NZ"/>
        </w:rPr>
        <w:t>). Those in older age groups tended to be more likely to have had one or more previous abortions (</w:t>
      </w:r>
      <w:r w:rsidRPr="00705F47">
        <w:rPr>
          <w:lang w:eastAsia="en-NZ"/>
        </w:rPr>
        <w:fldChar w:fldCharType="begin"/>
      </w:r>
      <w:r w:rsidRPr="00705F47">
        <w:rPr>
          <w:lang w:eastAsia="en-NZ"/>
        </w:rPr>
        <w:instrText xml:space="preserve"> REF _Ref83005820 \h </w:instrText>
      </w:r>
      <w:r w:rsidRPr="00705F47">
        <w:rPr>
          <w:lang w:eastAsia="en-NZ"/>
        </w:rPr>
      </w:r>
      <w:r w:rsidRPr="00705F47">
        <w:rPr>
          <w:lang w:eastAsia="en-NZ"/>
        </w:rPr>
        <w:fldChar w:fldCharType="separate"/>
      </w:r>
      <w:r w:rsidR="0090485D">
        <w:t>Table </w:t>
      </w:r>
      <w:r w:rsidR="0090485D">
        <w:rPr>
          <w:noProof/>
        </w:rPr>
        <w:t>5</w:t>
      </w:r>
      <w:r w:rsidR="0090485D">
        <w:t>.</w:t>
      </w:r>
      <w:r w:rsidR="0090485D">
        <w:rPr>
          <w:noProof/>
        </w:rPr>
        <w:t>1</w:t>
      </w:r>
      <w:r w:rsidRPr="00705F47">
        <w:rPr>
          <w:lang w:eastAsia="en-NZ"/>
        </w:rPr>
        <w:fldChar w:fldCharType="end"/>
      </w:r>
      <w:r w:rsidRPr="00705F47">
        <w:rPr>
          <w:lang w:eastAsia="en-NZ"/>
        </w:rPr>
        <w:t>).</w:t>
      </w:r>
    </w:p>
    <w:p w14:paraId="2A0F96B1" w14:textId="77777777" w:rsidR="00301720" w:rsidRPr="00705F47" w:rsidRDefault="00301720" w:rsidP="00301720">
      <w:pPr>
        <w:rPr>
          <w:lang w:eastAsia="en-NZ"/>
        </w:rPr>
      </w:pPr>
    </w:p>
    <w:p w14:paraId="3314D48D" w14:textId="237EDED9" w:rsidR="00AD2DF9" w:rsidRPr="00705F47" w:rsidRDefault="00301720" w:rsidP="00301720">
      <w:pPr>
        <w:pStyle w:val="Table"/>
        <w:rPr>
          <w:lang w:eastAsia="en-NZ"/>
        </w:rPr>
      </w:pPr>
      <w:bookmarkStart w:id="79" w:name="_Ref83005820"/>
      <w:bookmarkStart w:id="80" w:name="_Toc83037704"/>
      <w:bookmarkStart w:id="81" w:name="_Toc83367099"/>
      <w:r>
        <w:t>Table </w:t>
      </w:r>
      <w:r w:rsidR="009E3B78">
        <w:fldChar w:fldCharType="begin"/>
      </w:r>
      <w:r w:rsidR="009E3B78">
        <w:instrText xml:space="preserve"> STYLEREF 2 \s </w:instrText>
      </w:r>
      <w:r w:rsidR="009E3B78">
        <w:fldChar w:fldCharType="separate"/>
      </w:r>
      <w:r w:rsidR="0090485D">
        <w:rPr>
          <w:noProof/>
        </w:rPr>
        <w:t>5</w:t>
      </w:r>
      <w:r w:rsidR="009E3B78">
        <w:rPr>
          <w:noProof/>
        </w:rPr>
        <w:fldChar w:fldCharType="end"/>
      </w:r>
      <w:r>
        <w:t>.</w:t>
      </w:r>
      <w:r w:rsidR="009E3B78">
        <w:fldChar w:fldCharType="begin"/>
      </w:r>
      <w:r w:rsidR="009E3B78">
        <w:instrText xml:space="preserve"> SEQ Table \* ARABIC \s 2 </w:instrText>
      </w:r>
      <w:r w:rsidR="009E3B78">
        <w:fldChar w:fldCharType="separate"/>
      </w:r>
      <w:r w:rsidR="0090485D">
        <w:rPr>
          <w:noProof/>
        </w:rPr>
        <w:t>1</w:t>
      </w:r>
      <w:r w:rsidR="009E3B78">
        <w:rPr>
          <w:noProof/>
        </w:rPr>
        <w:fldChar w:fldCharType="end"/>
      </w:r>
      <w:bookmarkEnd w:id="79"/>
      <w:r w:rsidR="00AD2DF9" w:rsidRPr="00705F47">
        <w:rPr>
          <w:lang w:eastAsia="en-NZ"/>
        </w:rPr>
        <w:t>: Number of abortions by age and number of previous abortions, 2020</w:t>
      </w:r>
      <w:bookmarkEnd w:id="80"/>
      <w:bookmarkEnd w:id="81"/>
    </w:p>
    <w:tbl>
      <w:tblPr>
        <w:tblW w:w="8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07"/>
        <w:gridCol w:w="840"/>
        <w:gridCol w:w="840"/>
        <w:gridCol w:w="840"/>
        <w:gridCol w:w="840"/>
        <w:gridCol w:w="840"/>
        <w:gridCol w:w="840"/>
        <w:gridCol w:w="841"/>
        <w:gridCol w:w="992"/>
      </w:tblGrid>
      <w:tr w:rsidR="00AD2DF9" w:rsidRPr="006F1FAC" w14:paraId="44A59859" w14:textId="77777777" w:rsidTr="006F1FAC">
        <w:trPr>
          <w:cantSplit/>
        </w:trPr>
        <w:tc>
          <w:tcPr>
            <w:tcW w:w="1207" w:type="dxa"/>
            <w:vMerge w:val="restart"/>
            <w:tcBorders>
              <w:top w:val="nil"/>
              <w:left w:val="nil"/>
              <w:bottom w:val="nil"/>
              <w:right w:val="nil"/>
            </w:tcBorders>
            <w:shd w:val="clear" w:color="auto" w:fill="D9D9D9" w:themeFill="background1" w:themeFillShade="D9"/>
            <w:hideMark/>
          </w:tcPr>
          <w:p w14:paraId="412AED4E" w14:textId="77777777" w:rsidR="00AD2DF9" w:rsidRPr="006F1FAC" w:rsidRDefault="00AD2DF9" w:rsidP="006F1FAC">
            <w:pPr>
              <w:pStyle w:val="TableText"/>
              <w:rPr>
                <w:b/>
                <w:lang w:eastAsia="en-NZ"/>
              </w:rPr>
            </w:pPr>
            <w:r w:rsidRPr="006F1FAC">
              <w:rPr>
                <w:b/>
                <w:lang w:eastAsia="en-NZ"/>
              </w:rPr>
              <w:t>Age group (years)</w:t>
            </w:r>
          </w:p>
        </w:tc>
        <w:tc>
          <w:tcPr>
            <w:tcW w:w="6873" w:type="dxa"/>
            <w:gridSpan w:val="8"/>
            <w:tcBorders>
              <w:top w:val="nil"/>
              <w:left w:val="nil"/>
              <w:bottom w:val="nil"/>
              <w:right w:val="nil"/>
            </w:tcBorders>
            <w:shd w:val="clear" w:color="auto" w:fill="D9D9D9" w:themeFill="background1" w:themeFillShade="D9"/>
            <w:noWrap/>
            <w:hideMark/>
          </w:tcPr>
          <w:p w14:paraId="26DE9923" w14:textId="77777777" w:rsidR="00AD2DF9" w:rsidRPr="006F1FAC" w:rsidRDefault="00AD2DF9" w:rsidP="006F1FAC">
            <w:pPr>
              <w:pStyle w:val="TableText"/>
              <w:spacing w:after="0"/>
              <w:jc w:val="center"/>
              <w:rPr>
                <w:b/>
                <w:lang w:eastAsia="en-NZ"/>
              </w:rPr>
            </w:pPr>
            <w:r w:rsidRPr="006F1FAC">
              <w:rPr>
                <w:b/>
                <w:lang w:eastAsia="en-NZ"/>
              </w:rPr>
              <w:t>Number of previous abortions</w:t>
            </w:r>
          </w:p>
        </w:tc>
      </w:tr>
      <w:tr w:rsidR="00AD2DF9" w:rsidRPr="006F1FAC" w14:paraId="00E1DF6B" w14:textId="77777777" w:rsidTr="006F1FAC">
        <w:trPr>
          <w:cantSplit/>
        </w:trPr>
        <w:tc>
          <w:tcPr>
            <w:tcW w:w="1207" w:type="dxa"/>
            <w:vMerge/>
            <w:tcBorders>
              <w:top w:val="nil"/>
              <w:left w:val="nil"/>
              <w:bottom w:val="nil"/>
              <w:right w:val="nil"/>
            </w:tcBorders>
            <w:shd w:val="clear" w:color="auto" w:fill="D9D9D9" w:themeFill="background1" w:themeFillShade="D9"/>
            <w:hideMark/>
          </w:tcPr>
          <w:p w14:paraId="1FD276DC" w14:textId="77777777" w:rsidR="00AD2DF9" w:rsidRPr="006F1FAC" w:rsidRDefault="00AD2DF9" w:rsidP="006F1FAC">
            <w:pPr>
              <w:pStyle w:val="TableText"/>
              <w:rPr>
                <w:b/>
                <w:lang w:eastAsia="en-NZ"/>
              </w:rPr>
            </w:pPr>
          </w:p>
        </w:tc>
        <w:tc>
          <w:tcPr>
            <w:tcW w:w="840" w:type="dxa"/>
            <w:tcBorders>
              <w:top w:val="nil"/>
              <w:left w:val="nil"/>
              <w:bottom w:val="nil"/>
              <w:right w:val="nil"/>
            </w:tcBorders>
            <w:shd w:val="clear" w:color="auto" w:fill="D9D9D9" w:themeFill="background1" w:themeFillShade="D9"/>
            <w:hideMark/>
          </w:tcPr>
          <w:p w14:paraId="6826984E" w14:textId="77777777" w:rsidR="00AD2DF9" w:rsidRPr="006F1FAC" w:rsidRDefault="00AD2DF9" w:rsidP="006F1FAC">
            <w:pPr>
              <w:pStyle w:val="TableText"/>
              <w:spacing w:before="0"/>
              <w:jc w:val="center"/>
              <w:rPr>
                <w:b/>
                <w:lang w:eastAsia="en-NZ"/>
              </w:rPr>
            </w:pPr>
            <w:r w:rsidRPr="006F1FAC">
              <w:rPr>
                <w:b/>
                <w:lang w:eastAsia="en-NZ"/>
              </w:rPr>
              <w:t>Total</w:t>
            </w:r>
          </w:p>
        </w:tc>
        <w:tc>
          <w:tcPr>
            <w:tcW w:w="840" w:type="dxa"/>
            <w:tcBorders>
              <w:top w:val="nil"/>
              <w:left w:val="nil"/>
              <w:bottom w:val="nil"/>
              <w:right w:val="nil"/>
            </w:tcBorders>
            <w:shd w:val="clear" w:color="auto" w:fill="D9D9D9" w:themeFill="background1" w:themeFillShade="D9"/>
            <w:noWrap/>
            <w:hideMark/>
          </w:tcPr>
          <w:p w14:paraId="2BADE5FE" w14:textId="77777777" w:rsidR="00AD2DF9" w:rsidRPr="006F1FAC" w:rsidRDefault="00AD2DF9" w:rsidP="006F1FAC">
            <w:pPr>
              <w:pStyle w:val="TableText"/>
              <w:spacing w:before="0"/>
              <w:jc w:val="center"/>
              <w:rPr>
                <w:b/>
                <w:color w:val="000000"/>
                <w:lang w:eastAsia="en-NZ"/>
              </w:rPr>
            </w:pPr>
            <w:r w:rsidRPr="006F1FAC">
              <w:rPr>
                <w:b/>
                <w:color w:val="000000"/>
                <w:lang w:eastAsia="en-NZ"/>
              </w:rPr>
              <w:t>0</w:t>
            </w:r>
          </w:p>
        </w:tc>
        <w:tc>
          <w:tcPr>
            <w:tcW w:w="840" w:type="dxa"/>
            <w:tcBorders>
              <w:top w:val="nil"/>
              <w:left w:val="nil"/>
              <w:bottom w:val="nil"/>
              <w:right w:val="nil"/>
            </w:tcBorders>
            <w:shd w:val="clear" w:color="auto" w:fill="D9D9D9" w:themeFill="background1" w:themeFillShade="D9"/>
            <w:noWrap/>
            <w:hideMark/>
          </w:tcPr>
          <w:p w14:paraId="495D0C34" w14:textId="77777777" w:rsidR="00AD2DF9" w:rsidRPr="006F1FAC" w:rsidRDefault="00AD2DF9" w:rsidP="006F1FAC">
            <w:pPr>
              <w:pStyle w:val="TableText"/>
              <w:spacing w:before="0"/>
              <w:jc w:val="center"/>
              <w:rPr>
                <w:b/>
                <w:color w:val="000000"/>
                <w:lang w:eastAsia="en-NZ"/>
              </w:rPr>
            </w:pPr>
            <w:r w:rsidRPr="006F1FAC">
              <w:rPr>
                <w:b/>
                <w:color w:val="000000"/>
                <w:lang w:eastAsia="en-NZ"/>
              </w:rPr>
              <w:t>1</w:t>
            </w:r>
          </w:p>
        </w:tc>
        <w:tc>
          <w:tcPr>
            <w:tcW w:w="840" w:type="dxa"/>
            <w:tcBorders>
              <w:top w:val="nil"/>
              <w:left w:val="nil"/>
              <w:bottom w:val="nil"/>
              <w:right w:val="nil"/>
            </w:tcBorders>
            <w:shd w:val="clear" w:color="auto" w:fill="D9D9D9" w:themeFill="background1" w:themeFillShade="D9"/>
            <w:noWrap/>
            <w:hideMark/>
          </w:tcPr>
          <w:p w14:paraId="11A9F2F2" w14:textId="77777777" w:rsidR="00AD2DF9" w:rsidRPr="006F1FAC" w:rsidRDefault="00AD2DF9" w:rsidP="006F1FAC">
            <w:pPr>
              <w:pStyle w:val="TableText"/>
              <w:spacing w:before="0"/>
              <w:jc w:val="center"/>
              <w:rPr>
                <w:b/>
                <w:color w:val="000000"/>
                <w:lang w:eastAsia="en-NZ"/>
              </w:rPr>
            </w:pPr>
            <w:r w:rsidRPr="006F1FAC">
              <w:rPr>
                <w:b/>
                <w:color w:val="000000"/>
                <w:lang w:eastAsia="en-NZ"/>
              </w:rPr>
              <w:t>2</w:t>
            </w:r>
          </w:p>
        </w:tc>
        <w:tc>
          <w:tcPr>
            <w:tcW w:w="840" w:type="dxa"/>
            <w:tcBorders>
              <w:top w:val="nil"/>
              <w:left w:val="nil"/>
              <w:bottom w:val="nil"/>
              <w:right w:val="nil"/>
            </w:tcBorders>
            <w:shd w:val="clear" w:color="auto" w:fill="D9D9D9" w:themeFill="background1" w:themeFillShade="D9"/>
            <w:noWrap/>
            <w:hideMark/>
          </w:tcPr>
          <w:p w14:paraId="3FD9EF67" w14:textId="77777777" w:rsidR="00AD2DF9" w:rsidRPr="006F1FAC" w:rsidRDefault="00AD2DF9" w:rsidP="006F1FAC">
            <w:pPr>
              <w:pStyle w:val="TableText"/>
              <w:spacing w:before="0"/>
              <w:jc w:val="center"/>
              <w:rPr>
                <w:b/>
                <w:color w:val="000000"/>
                <w:lang w:eastAsia="en-NZ"/>
              </w:rPr>
            </w:pPr>
            <w:r w:rsidRPr="006F1FAC">
              <w:rPr>
                <w:b/>
                <w:color w:val="000000"/>
                <w:lang w:eastAsia="en-NZ"/>
              </w:rPr>
              <w:t>3</w:t>
            </w:r>
          </w:p>
        </w:tc>
        <w:tc>
          <w:tcPr>
            <w:tcW w:w="840" w:type="dxa"/>
            <w:tcBorders>
              <w:top w:val="nil"/>
              <w:left w:val="nil"/>
              <w:bottom w:val="nil"/>
              <w:right w:val="nil"/>
            </w:tcBorders>
            <w:shd w:val="clear" w:color="auto" w:fill="D9D9D9" w:themeFill="background1" w:themeFillShade="D9"/>
            <w:noWrap/>
            <w:hideMark/>
          </w:tcPr>
          <w:p w14:paraId="26C212D1" w14:textId="77777777" w:rsidR="00AD2DF9" w:rsidRPr="006F1FAC" w:rsidRDefault="00AD2DF9" w:rsidP="006F1FAC">
            <w:pPr>
              <w:pStyle w:val="TableText"/>
              <w:spacing w:before="0"/>
              <w:jc w:val="center"/>
              <w:rPr>
                <w:b/>
                <w:color w:val="000000"/>
                <w:lang w:eastAsia="en-NZ"/>
              </w:rPr>
            </w:pPr>
            <w:r w:rsidRPr="006F1FAC">
              <w:rPr>
                <w:b/>
                <w:color w:val="000000"/>
                <w:lang w:eastAsia="en-NZ"/>
              </w:rPr>
              <w:t>4</w:t>
            </w:r>
          </w:p>
        </w:tc>
        <w:tc>
          <w:tcPr>
            <w:tcW w:w="841" w:type="dxa"/>
            <w:tcBorders>
              <w:top w:val="nil"/>
              <w:left w:val="nil"/>
              <w:bottom w:val="nil"/>
              <w:right w:val="nil"/>
            </w:tcBorders>
            <w:shd w:val="clear" w:color="auto" w:fill="D9D9D9" w:themeFill="background1" w:themeFillShade="D9"/>
            <w:noWrap/>
            <w:hideMark/>
          </w:tcPr>
          <w:p w14:paraId="7E58B1F1" w14:textId="77777777" w:rsidR="00AD2DF9" w:rsidRPr="006F1FAC" w:rsidRDefault="00AD2DF9" w:rsidP="006F1FAC">
            <w:pPr>
              <w:pStyle w:val="TableText"/>
              <w:spacing w:before="0"/>
              <w:jc w:val="center"/>
              <w:rPr>
                <w:b/>
                <w:color w:val="000000"/>
                <w:lang w:eastAsia="en-NZ"/>
              </w:rPr>
            </w:pPr>
            <w:r w:rsidRPr="006F1FAC">
              <w:rPr>
                <w:b/>
                <w:color w:val="000000"/>
                <w:lang w:eastAsia="en-NZ"/>
              </w:rPr>
              <w:t>5</w:t>
            </w:r>
          </w:p>
        </w:tc>
        <w:tc>
          <w:tcPr>
            <w:tcW w:w="992" w:type="dxa"/>
            <w:tcBorders>
              <w:top w:val="nil"/>
              <w:left w:val="nil"/>
              <w:bottom w:val="nil"/>
              <w:right w:val="nil"/>
            </w:tcBorders>
            <w:shd w:val="clear" w:color="auto" w:fill="D9D9D9" w:themeFill="background1" w:themeFillShade="D9"/>
            <w:noWrap/>
            <w:hideMark/>
          </w:tcPr>
          <w:p w14:paraId="2BAF5879" w14:textId="77777777" w:rsidR="00AD2DF9" w:rsidRPr="006F1FAC" w:rsidRDefault="00AD2DF9" w:rsidP="006F1FAC">
            <w:pPr>
              <w:pStyle w:val="TableText"/>
              <w:spacing w:before="0"/>
              <w:jc w:val="center"/>
              <w:rPr>
                <w:b/>
                <w:color w:val="000000"/>
                <w:lang w:eastAsia="en-NZ"/>
              </w:rPr>
            </w:pPr>
            <w:r w:rsidRPr="006F1FAC">
              <w:rPr>
                <w:b/>
                <w:color w:val="000000"/>
                <w:lang w:eastAsia="en-NZ"/>
              </w:rPr>
              <w:t>6 or more</w:t>
            </w:r>
          </w:p>
        </w:tc>
      </w:tr>
      <w:tr w:rsidR="00AD2DF9" w:rsidRPr="006F1FAC" w14:paraId="14CFCEAA" w14:textId="77777777" w:rsidTr="006F1FAC">
        <w:trPr>
          <w:cantSplit/>
        </w:trPr>
        <w:tc>
          <w:tcPr>
            <w:tcW w:w="1207" w:type="dxa"/>
            <w:tcBorders>
              <w:top w:val="nil"/>
              <w:left w:val="nil"/>
              <w:bottom w:val="single" w:sz="4" w:space="0" w:color="A6A6A6" w:themeColor="background1" w:themeShade="A6"/>
              <w:right w:val="nil"/>
            </w:tcBorders>
            <w:shd w:val="clear" w:color="auto" w:fill="auto"/>
            <w:noWrap/>
            <w:hideMark/>
          </w:tcPr>
          <w:p w14:paraId="7444CDF4" w14:textId="77777777" w:rsidR="00AD2DF9" w:rsidRPr="006F1FAC" w:rsidRDefault="00AD2DF9" w:rsidP="006F1FAC">
            <w:pPr>
              <w:pStyle w:val="TableText"/>
              <w:rPr>
                <w:b/>
                <w:bCs/>
                <w:color w:val="000000"/>
                <w:lang w:eastAsia="en-NZ"/>
              </w:rPr>
            </w:pPr>
            <w:r w:rsidRPr="006F1FAC">
              <w:rPr>
                <w:b/>
                <w:bCs/>
                <w:color w:val="000000"/>
                <w:lang w:eastAsia="en-NZ"/>
              </w:rPr>
              <w:t>All ages</w:t>
            </w:r>
          </w:p>
        </w:tc>
        <w:tc>
          <w:tcPr>
            <w:tcW w:w="840" w:type="dxa"/>
            <w:tcBorders>
              <w:top w:val="nil"/>
              <w:left w:val="nil"/>
              <w:bottom w:val="single" w:sz="4" w:space="0" w:color="A6A6A6" w:themeColor="background1" w:themeShade="A6"/>
              <w:right w:val="nil"/>
            </w:tcBorders>
            <w:shd w:val="clear" w:color="auto" w:fill="auto"/>
            <w:noWrap/>
            <w:hideMark/>
          </w:tcPr>
          <w:p w14:paraId="0E9E11CA" w14:textId="77777777" w:rsidR="00AD2DF9" w:rsidRPr="006F1FAC" w:rsidRDefault="00AD2DF9" w:rsidP="006F1FAC">
            <w:pPr>
              <w:pStyle w:val="TableText"/>
              <w:tabs>
                <w:tab w:val="decimal" w:pos="579"/>
              </w:tabs>
              <w:rPr>
                <w:b/>
                <w:bCs/>
                <w:color w:val="000000"/>
                <w:lang w:eastAsia="en-NZ"/>
              </w:rPr>
            </w:pPr>
            <w:r w:rsidRPr="006F1FAC">
              <w:rPr>
                <w:b/>
                <w:bCs/>
                <w:color w:val="000000"/>
                <w:lang w:eastAsia="en-NZ"/>
              </w:rPr>
              <w:t>13,246</w:t>
            </w:r>
          </w:p>
        </w:tc>
        <w:tc>
          <w:tcPr>
            <w:tcW w:w="840" w:type="dxa"/>
            <w:tcBorders>
              <w:top w:val="nil"/>
              <w:left w:val="nil"/>
              <w:bottom w:val="single" w:sz="4" w:space="0" w:color="A6A6A6" w:themeColor="background1" w:themeShade="A6"/>
              <w:right w:val="nil"/>
            </w:tcBorders>
            <w:shd w:val="clear" w:color="auto" w:fill="auto"/>
            <w:noWrap/>
            <w:hideMark/>
          </w:tcPr>
          <w:p w14:paraId="611D330B" w14:textId="77777777" w:rsidR="00AD2DF9" w:rsidRPr="006F1FAC" w:rsidRDefault="00AD2DF9" w:rsidP="006F1FAC">
            <w:pPr>
              <w:pStyle w:val="TableText"/>
              <w:tabs>
                <w:tab w:val="decimal" w:pos="540"/>
              </w:tabs>
              <w:rPr>
                <w:b/>
                <w:bCs/>
                <w:color w:val="000000"/>
                <w:lang w:eastAsia="en-NZ"/>
              </w:rPr>
            </w:pPr>
            <w:r w:rsidRPr="006F1FAC">
              <w:rPr>
                <w:b/>
                <w:bCs/>
                <w:color w:val="000000"/>
                <w:lang w:eastAsia="en-NZ"/>
              </w:rPr>
              <w:t>8,505</w:t>
            </w:r>
          </w:p>
        </w:tc>
        <w:tc>
          <w:tcPr>
            <w:tcW w:w="840" w:type="dxa"/>
            <w:tcBorders>
              <w:top w:val="nil"/>
              <w:left w:val="nil"/>
              <w:bottom w:val="single" w:sz="4" w:space="0" w:color="A6A6A6" w:themeColor="background1" w:themeShade="A6"/>
              <w:right w:val="nil"/>
            </w:tcBorders>
            <w:shd w:val="clear" w:color="auto" w:fill="auto"/>
            <w:noWrap/>
            <w:hideMark/>
          </w:tcPr>
          <w:p w14:paraId="383C23D5" w14:textId="77777777" w:rsidR="00AD2DF9" w:rsidRPr="006F1FAC" w:rsidRDefault="00AD2DF9" w:rsidP="006F1FAC">
            <w:pPr>
              <w:pStyle w:val="TableText"/>
              <w:tabs>
                <w:tab w:val="decimal" w:pos="540"/>
              </w:tabs>
              <w:rPr>
                <w:b/>
                <w:bCs/>
                <w:color w:val="000000"/>
                <w:lang w:eastAsia="en-NZ"/>
              </w:rPr>
            </w:pPr>
            <w:r w:rsidRPr="006F1FAC">
              <w:rPr>
                <w:b/>
                <w:bCs/>
                <w:color w:val="000000"/>
                <w:lang w:eastAsia="en-NZ"/>
              </w:rPr>
              <w:t>3,099</w:t>
            </w:r>
          </w:p>
        </w:tc>
        <w:tc>
          <w:tcPr>
            <w:tcW w:w="840" w:type="dxa"/>
            <w:tcBorders>
              <w:top w:val="nil"/>
              <w:left w:val="nil"/>
              <w:bottom w:val="single" w:sz="4" w:space="0" w:color="A6A6A6" w:themeColor="background1" w:themeShade="A6"/>
              <w:right w:val="nil"/>
            </w:tcBorders>
            <w:shd w:val="clear" w:color="auto" w:fill="auto"/>
            <w:noWrap/>
            <w:hideMark/>
          </w:tcPr>
          <w:p w14:paraId="76377F5D" w14:textId="77777777" w:rsidR="00AD2DF9" w:rsidRPr="006F1FAC" w:rsidRDefault="00AD2DF9" w:rsidP="006F1FAC">
            <w:pPr>
              <w:pStyle w:val="TableText"/>
              <w:tabs>
                <w:tab w:val="decimal" w:pos="540"/>
              </w:tabs>
              <w:rPr>
                <w:b/>
                <w:bCs/>
                <w:color w:val="000000"/>
                <w:lang w:eastAsia="en-NZ"/>
              </w:rPr>
            </w:pPr>
            <w:r w:rsidRPr="006F1FAC">
              <w:rPr>
                <w:b/>
                <w:bCs/>
                <w:color w:val="000000"/>
                <w:lang w:eastAsia="en-NZ"/>
              </w:rPr>
              <w:t>1,093</w:t>
            </w:r>
          </w:p>
        </w:tc>
        <w:tc>
          <w:tcPr>
            <w:tcW w:w="840" w:type="dxa"/>
            <w:tcBorders>
              <w:top w:val="nil"/>
              <w:left w:val="nil"/>
              <w:bottom w:val="single" w:sz="4" w:space="0" w:color="A6A6A6" w:themeColor="background1" w:themeShade="A6"/>
              <w:right w:val="nil"/>
            </w:tcBorders>
            <w:shd w:val="clear" w:color="auto" w:fill="auto"/>
            <w:noWrap/>
            <w:hideMark/>
          </w:tcPr>
          <w:p w14:paraId="4A1DFC95" w14:textId="77777777" w:rsidR="00AD2DF9" w:rsidRPr="006F1FAC" w:rsidRDefault="00AD2DF9" w:rsidP="006F1FAC">
            <w:pPr>
              <w:pStyle w:val="TableText"/>
              <w:tabs>
                <w:tab w:val="decimal" w:pos="479"/>
              </w:tabs>
              <w:rPr>
                <w:b/>
                <w:bCs/>
                <w:color w:val="000000"/>
                <w:lang w:eastAsia="en-NZ"/>
              </w:rPr>
            </w:pPr>
            <w:r w:rsidRPr="006F1FAC">
              <w:rPr>
                <w:b/>
                <w:bCs/>
                <w:color w:val="000000"/>
                <w:lang w:eastAsia="en-NZ"/>
              </w:rPr>
              <w:t>335</w:t>
            </w:r>
          </w:p>
        </w:tc>
        <w:tc>
          <w:tcPr>
            <w:tcW w:w="840" w:type="dxa"/>
            <w:tcBorders>
              <w:top w:val="nil"/>
              <w:left w:val="nil"/>
              <w:bottom w:val="single" w:sz="4" w:space="0" w:color="A6A6A6" w:themeColor="background1" w:themeShade="A6"/>
              <w:right w:val="nil"/>
            </w:tcBorders>
            <w:shd w:val="clear" w:color="auto" w:fill="auto"/>
            <w:noWrap/>
            <w:hideMark/>
          </w:tcPr>
          <w:p w14:paraId="7B6FCC3F" w14:textId="77777777" w:rsidR="00AD2DF9" w:rsidRPr="006F1FAC" w:rsidRDefault="00AD2DF9" w:rsidP="006F1FAC">
            <w:pPr>
              <w:pStyle w:val="TableText"/>
              <w:tabs>
                <w:tab w:val="decimal" w:pos="479"/>
              </w:tabs>
              <w:rPr>
                <w:b/>
                <w:bCs/>
                <w:color w:val="000000"/>
                <w:lang w:eastAsia="en-NZ"/>
              </w:rPr>
            </w:pPr>
            <w:r w:rsidRPr="006F1FAC">
              <w:rPr>
                <w:b/>
                <w:bCs/>
                <w:color w:val="000000"/>
                <w:lang w:eastAsia="en-NZ"/>
              </w:rPr>
              <w:t>116</w:t>
            </w:r>
          </w:p>
        </w:tc>
        <w:tc>
          <w:tcPr>
            <w:tcW w:w="841" w:type="dxa"/>
            <w:tcBorders>
              <w:top w:val="nil"/>
              <w:left w:val="nil"/>
              <w:bottom w:val="single" w:sz="4" w:space="0" w:color="A6A6A6" w:themeColor="background1" w:themeShade="A6"/>
              <w:right w:val="nil"/>
            </w:tcBorders>
            <w:shd w:val="clear" w:color="auto" w:fill="auto"/>
            <w:noWrap/>
            <w:hideMark/>
          </w:tcPr>
          <w:p w14:paraId="0AFB9137" w14:textId="77777777" w:rsidR="00AD2DF9" w:rsidRPr="006F1FAC" w:rsidRDefault="00AD2DF9" w:rsidP="006F1FAC">
            <w:pPr>
              <w:pStyle w:val="TableText"/>
              <w:tabs>
                <w:tab w:val="decimal" w:pos="425"/>
              </w:tabs>
              <w:rPr>
                <w:b/>
                <w:bCs/>
                <w:color w:val="000000"/>
                <w:lang w:eastAsia="en-NZ"/>
              </w:rPr>
            </w:pPr>
            <w:r w:rsidRPr="006F1FAC">
              <w:rPr>
                <w:b/>
                <w:bCs/>
                <w:color w:val="000000"/>
                <w:lang w:eastAsia="en-NZ"/>
              </w:rPr>
              <w:t>54</w:t>
            </w:r>
          </w:p>
        </w:tc>
        <w:tc>
          <w:tcPr>
            <w:tcW w:w="992" w:type="dxa"/>
            <w:tcBorders>
              <w:top w:val="nil"/>
              <w:left w:val="nil"/>
              <w:bottom w:val="single" w:sz="4" w:space="0" w:color="A6A6A6" w:themeColor="background1" w:themeShade="A6"/>
              <w:right w:val="nil"/>
            </w:tcBorders>
            <w:shd w:val="clear" w:color="auto" w:fill="auto"/>
            <w:noWrap/>
            <w:hideMark/>
          </w:tcPr>
          <w:p w14:paraId="6FFE9610" w14:textId="77777777" w:rsidR="00AD2DF9" w:rsidRPr="006F1FAC" w:rsidRDefault="00AD2DF9" w:rsidP="006F1FAC">
            <w:pPr>
              <w:pStyle w:val="TableText"/>
              <w:tabs>
                <w:tab w:val="decimal" w:pos="425"/>
              </w:tabs>
              <w:rPr>
                <w:b/>
                <w:bCs/>
                <w:color w:val="000000"/>
                <w:lang w:eastAsia="en-NZ"/>
              </w:rPr>
            </w:pPr>
            <w:r w:rsidRPr="006F1FAC">
              <w:rPr>
                <w:b/>
                <w:bCs/>
                <w:color w:val="000000"/>
                <w:lang w:eastAsia="en-NZ"/>
              </w:rPr>
              <w:t>44</w:t>
            </w:r>
          </w:p>
        </w:tc>
      </w:tr>
      <w:tr w:rsidR="00AD2DF9" w:rsidRPr="00705F47" w14:paraId="7F8DD100" w14:textId="77777777" w:rsidTr="006F1FAC">
        <w:trPr>
          <w:cantSplit/>
        </w:trPr>
        <w:tc>
          <w:tcPr>
            <w:tcW w:w="12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3380423" w14:textId="77777777" w:rsidR="00AD2DF9" w:rsidRPr="00705F47" w:rsidRDefault="00AD2DF9" w:rsidP="006F1FAC">
            <w:pPr>
              <w:pStyle w:val="TableText"/>
              <w:rPr>
                <w:color w:val="000000"/>
                <w:lang w:eastAsia="en-NZ"/>
              </w:rPr>
            </w:pPr>
            <w:r w:rsidRPr="00705F47">
              <w:rPr>
                <w:color w:val="000000"/>
                <w:lang w:eastAsia="en-NZ"/>
              </w:rPr>
              <w:t>Under 15</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70364EB" w14:textId="77777777" w:rsidR="00AD2DF9" w:rsidRPr="00705F47" w:rsidRDefault="00AD2DF9" w:rsidP="006F1FAC">
            <w:pPr>
              <w:pStyle w:val="TableText"/>
              <w:tabs>
                <w:tab w:val="decimal" w:pos="579"/>
              </w:tabs>
              <w:rPr>
                <w:color w:val="000000"/>
                <w:lang w:eastAsia="en-NZ"/>
              </w:rPr>
            </w:pPr>
            <w:r w:rsidRPr="00705F47">
              <w:rPr>
                <w:color w:val="000000"/>
                <w:lang w:eastAsia="en-NZ"/>
              </w:rPr>
              <w:t>26</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84359AC" w14:textId="77777777" w:rsidR="00AD2DF9" w:rsidRPr="00705F47" w:rsidRDefault="00AD2DF9" w:rsidP="006F1FAC">
            <w:pPr>
              <w:pStyle w:val="TableText"/>
              <w:tabs>
                <w:tab w:val="decimal" w:pos="540"/>
              </w:tabs>
              <w:rPr>
                <w:lang w:eastAsia="en-NZ"/>
              </w:rPr>
            </w:pPr>
            <w:r w:rsidRPr="00705F47">
              <w:rPr>
                <w:lang w:eastAsia="en-NZ"/>
              </w:rPr>
              <w:t>26</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AD40535" w14:textId="77777777" w:rsidR="00AD2DF9" w:rsidRPr="00705F47" w:rsidRDefault="00AD2DF9" w:rsidP="006F1FAC">
            <w:pPr>
              <w:pStyle w:val="TableText"/>
              <w:tabs>
                <w:tab w:val="decimal" w:pos="540"/>
              </w:tabs>
              <w:rPr>
                <w:lang w:eastAsia="en-NZ"/>
              </w:rPr>
            </w:pPr>
            <w:r w:rsidRPr="00705F47">
              <w:rPr>
                <w:lang w:eastAsia="en-NZ"/>
              </w:rPr>
              <w:t>0</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2D8A77B" w14:textId="77777777" w:rsidR="00AD2DF9" w:rsidRPr="00705F47" w:rsidRDefault="00AD2DF9" w:rsidP="006F1FAC">
            <w:pPr>
              <w:pStyle w:val="TableText"/>
              <w:tabs>
                <w:tab w:val="decimal" w:pos="540"/>
              </w:tabs>
              <w:rPr>
                <w:lang w:eastAsia="en-NZ"/>
              </w:rPr>
            </w:pPr>
            <w:r w:rsidRPr="00705F47">
              <w:rPr>
                <w:lang w:eastAsia="en-NZ"/>
              </w:rPr>
              <w:t>0</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C9E02BD" w14:textId="77777777" w:rsidR="00AD2DF9" w:rsidRPr="00705F47" w:rsidRDefault="00AD2DF9" w:rsidP="006F1FAC">
            <w:pPr>
              <w:pStyle w:val="TableText"/>
              <w:tabs>
                <w:tab w:val="decimal" w:pos="479"/>
              </w:tabs>
              <w:rPr>
                <w:lang w:eastAsia="en-NZ"/>
              </w:rPr>
            </w:pPr>
            <w:r w:rsidRPr="00705F47">
              <w:rPr>
                <w:lang w:eastAsia="en-NZ"/>
              </w:rPr>
              <w:t>0</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4DBB31A" w14:textId="77777777" w:rsidR="00AD2DF9" w:rsidRPr="00705F47" w:rsidRDefault="00AD2DF9" w:rsidP="006F1FAC">
            <w:pPr>
              <w:pStyle w:val="TableText"/>
              <w:tabs>
                <w:tab w:val="decimal" w:pos="479"/>
              </w:tabs>
              <w:rPr>
                <w:lang w:eastAsia="en-NZ"/>
              </w:rPr>
            </w:pPr>
            <w:r w:rsidRPr="00705F47">
              <w:rPr>
                <w:lang w:eastAsia="en-NZ"/>
              </w:rPr>
              <w:t>0</w:t>
            </w:r>
          </w:p>
        </w:tc>
        <w:tc>
          <w:tcPr>
            <w:tcW w:w="84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B72A6E4" w14:textId="77777777" w:rsidR="00AD2DF9" w:rsidRPr="00705F47" w:rsidRDefault="00AD2DF9" w:rsidP="006F1FAC">
            <w:pPr>
              <w:pStyle w:val="TableText"/>
              <w:tabs>
                <w:tab w:val="decimal" w:pos="425"/>
              </w:tabs>
              <w:rPr>
                <w:lang w:eastAsia="en-NZ"/>
              </w:rPr>
            </w:pPr>
            <w:r w:rsidRPr="00705F47">
              <w:rPr>
                <w:lang w:eastAsia="en-NZ"/>
              </w:rPr>
              <w:t>0</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8794662" w14:textId="77777777" w:rsidR="00AD2DF9" w:rsidRPr="00705F47" w:rsidRDefault="00AD2DF9" w:rsidP="006F1FAC">
            <w:pPr>
              <w:pStyle w:val="TableText"/>
              <w:tabs>
                <w:tab w:val="decimal" w:pos="425"/>
              </w:tabs>
              <w:rPr>
                <w:lang w:eastAsia="en-NZ"/>
              </w:rPr>
            </w:pPr>
            <w:r w:rsidRPr="00705F47">
              <w:rPr>
                <w:lang w:eastAsia="en-NZ"/>
              </w:rPr>
              <w:t>0</w:t>
            </w:r>
          </w:p>
        </w:tc>
      </w:tr>
      <w:tr w:rsidR="00AD2DF9" w:rsidRPr="00705F47" w14:paraId="6C3C4C0C" w14:textId="77777777" w:rsidTr="006F1FAC">
        <w:trPr>
          <w:cantSplit/>
        </w:trPr>
        <w:tc>
          <w:tcPr>
            <w:tcW w:w="12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E97DE10" w14:textId="77777777" w:rsidR="00AD2DF9" w:rsidRPr="00705F47" w:rsidRDefault="00AD2DF9" w:rsidP="006F1FAC">
            <w:pPr>
              <w:pStyle w:val="TableText"/>
              <w:rPr>
                <w:color w:val="000000"/>
                <w:lang w:eastAsia="en-NZ"/>
              </w:rPr>
            </w:pPr>
            <w:r w:rsidRPr="00705F47">
              <w:rPr>
                <w:color w:val="000000"/>
                <w:lang w:eastAsia="en-NZ"/>
              </w:rPr>
              <w:t>15–19</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32F0FC3" w14:textId="77777777" w:rsidR="00AD2DF9" w:rsidRPr="00705F47" w:rsidRDefault="00AD2DF9" w:rsidP="006F1FAC">
            <w:pPr>
              <w:pStyle w:val="TableText"/>
              <w:tabs>
                <w:tab w:val="decimal" w:pos="579"/>
              </w:tabs>
              <w:rPr>
                <w:color w:val="000000"/>
                <w:lang w:eastAsia="en-NZ"/>
              </w:rPr>
            </w:pPr>
            <w:r w:rsidRPr="00705F47">
              <w:rPr>
                <w:color w:val="000000"/>
                <w:lang w:eastAsia="en-NZ"/>
              </w:rPr>
              <w:t>1,227</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F7C80BB" w14:textId="77777777" w:rsidR="00AD2DF9" w:rsidRPr="00705F47" w:rsidRDefault="00AD2DF9" w:rsidP="006F1FAC">
            <w:pPr>
              <w:pStyle w:val="TableText"/>
              <w:tabs>
                <w:tab w:val="decimal" w:pos="540"/>
              </w:tabs>
              <w:rPr>
                <w:lang w:eastAsia="en-NZ"/>
              </w:rPr>
            </w:pPr>
            <w:r w:rsidRPr="00705F47">
              <w:rPr>
                <w:lang w:eastAsia="en-NZ"/>
              </w:rPr>
              <w:t>1,132</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6637E6B" w14:textId="77777777" w:rsidR="00AD2DF9" w:rsidRPr="00705F47" w:rsidRDefault="00AD2DF9" w:rsidP="006F1FAC">
            <w:pPr>
              <w:pStyle w:val="TableText"/>
              <w:tabs>
                <w:tab w:val="decimal" w:pos="540"/>
              </w:tabs>
              <w:rPr>
                <w:lang w:eastAsia="en-NZ"/>
              </w:rPr>
            </w:pPr>
            <w:r w:rsidRPr="00705F47">
              <w:rPr>
                <w:lang w:eastAsia="en-NZ"/>
              </w:rPr>
              <w:t>83</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1F5ABB4" w14:textId="77777777" w:rsidR="00AD2DF9" w:rsidRPr="00705F47" w:rsidRDefault="00AD2DF9" w:rsidP="006F1FAC">
            <w:pPr>
              <w:pStyle w:val="TableText"/>
              <w:tabs>
                <w:tab w:val="decimal" w:pos="540"/>
              </w:tabs>
              <w:rPr>
                <w:lang w:eastAsia="en-NZ"/>
              </w:rPr>
            </w:pPr>
            <w:r w:rsidRPr="00705F47">
              <w:rPr>
                <w:lang w:eastAsia="en-NZ"/>
              </w:rPr>
              <w:t>9</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8C91A9D" w14:textId="77777777" w:rsidR="00AD2DF9" w:rsidRPr="00705F47" w:rsidRDefault="00AD2DF9" w:rsidP="006F1FAC">
            <w:pPr>
              <w:pStyle w:val="TableText"/>
              <w:tabs>
                <w:tab w:val="decimal" w:pos="479"/>
              </w:tabs>
              <w:rPr>
                <w:lang w:eastAsia="en-NZ"/>
              </w:rPr>
            </w:pPr>
            <w:r w:rsidRPr="00705F47">
              <w:rPr>
                <w:lang w:eastAsia="en-NZ"/>
              </w:rPr>
              <w:t>2</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60EED8C" w14:textId="77777777" w:rsidR="00AD2DF9" w:rsidRPr="00705F47" w:rsidRDefault="00AD2DF9" w:rsidP="006F1FAC">
            <w:pPr>
              <w:pStyle w:val="TableText"/>
              <w:tabs>
                <w:tab w:val="decimal" w:pos="479"/>
              </w:tabs>
              <w:rPr>
                <w:lang w:eastAsia="en-NZ"/>
              </w:rPr>
            </w:pPr>
            <w:r w:rsidRPr="00705F47">
              <w:rPr>
                <w:lang w:eastAsia="en-NZ"/>
              </w:rPr>
              <w:t>0</w:t>
            </w:r>
          </w:p>
        </w:tc>
        <w:tc>
          <w:tcPr>
            <w:tcW w:w="84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5BBFF16" w14:textId="77777777" w:rsidR="00AD2DF9" w:rsidRPr="00705F47" w:rsidRDefault="00AD2DF9" w:rsidP="006F1FAC">
            <w:pPr>
              <w:pStyle w:val="TableText"/>
              <w:tabs>
                <w:tab w:val="decimal" w:pos="425"/>
              </w:tabs>
              <w:rPr>
                <w:lang w:eastAsia="en-NZ"/>
              </w:rPr>
            </w:pPr>
            <w:r w:rsidRPr="00705F47">
              <w:rPr>
                <w:lang w:eastAsia="en-NZ"/>
              </w:rPr>
              <w:t>0</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359FB2" w14:textId="77777777" w:rsidR="00AD2DF9" w:rsidRPr="00705F47" w:rsidRDefault="00AD2DF9" w:rsidP="006F1FAC">
            <w:pPr>
              <w:pStyle w:val="TableText"/>
              <w:tabs>
                <w:tab w:val="decimal" w:pos="425"/>
              </w:tabs>
              <w:rPr>
                <w:lang w:eastAsia="en-NZ"/>
              </w:rPr>
            </w:pPr>
            <w:r w:rsidRPr="00705F47">
              <w:rPr>
                <w:lang w:eastAsia="en-NZ"/>
              </w:rPr>
              <w:t>1</w:t>
            </w:r>
          </w:p>
        </w:tc>
      </w:tr>
      <w:tr w:rsidR="00AD2DF9" w:rsidRPr="00705F47" w14:paraId="0B8CB5F6" w14:textId="77777777" w:rsidTr="006F1FAC">
        <w:trPr>
          <w:cantSplit/>
        </w:trPr>
        <w:tc>
          <w:tcPr>
            <w:tcW w:w="12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03E6723" w14:textId="77777777" w:rsidR="00AD2DF9" w:rsidRPr="00705F47" w:rsidRDefault="00AD2DF9" w:rsidP="006F1FAC">
            <w:pPr>
              <w:pStyle w:val="TableText"/>
              <w:rPr>
                <w:color w:val="000000"/>
                <w:lang w:eastAsia="en-NZ"/>
              </w:rPr>
            </w:pPr>
            <w:r w:rsidRPr="00705F47">
              <w:rPr>
                <w:color w:val="000000"/>
                <w:lang w:eastAsia="en-NZ"/>
              </w:rPr>
              <w:t>20–24</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5079071" w14:textId="77777777" w:rsidR="00AD2DF9" w:rsidRPr="00705F47" w:rsidRDefault="00AD2DF9" w:rsidP="006F1FAC">
            <w:pPr>
              <w:pStyle w:val="TableText"/>
              <w:tabs>
                <w:tab w:val="decimal" w:pos="579"/>
              </w:tabs>
              <w:rPr>
                <w:color w:val="000000"/>
                <w:lang w:eastAsia="en-NZ"/>
              </w:rPr>
            </w:pPr>
            <w:r w:rsidRPr="00705F47">
              <w:rPr>
                <w:color w:val="000000"/>
                <w:lang w:eastAsia="en-NZ"/>
              </w:rPr>
              <w:t>3,204</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E3D1A04" w14:textId="77777777" w:rsidR="00AD2DF9" w:rsidRPr="00705F47" w:rsidRDefault="00AD2DF9" w:rsidP="006F1FAC">
            <w:pPr>
              <w:pStyle w:val="TableText"/>
              <w:tabs>
                <w:tab w:val="decimal" w:pos="540"/>
              </w:tabs>
              <w:rPr>
                <w:lang w:eastAsia="en-NZ"/>
              </w:rPr>
            </w:pPr>
            <w:r w:rsidRPr="00705F47">
              <w:rPr>
                <w:lang w:eastAsia="en-NZ"/>
              </w:rPr>
              <w:t>2,371</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91BD290" w14:textId="77777777" w:rsidR="00AD2DF9" w:rsidRPr="00705F47" w:rsidRDefault="00AD2DF9" w:rsidP="006F1FAC">
            <w:pPr>
              <w:pStyle w:val="TableText"/>
              <w:tabs>
                <w:tab w:val="decimal" w:pos="540"/>
              </w:tabs>
              <w:rPr>
                <w:lang w:eastAsia="en-NZ"/>
              </w:rPr>
            </w:pPr>
            <w:r w:rsidRPr="00705F47">
              <w:rPr>
                <w:lang w:eastAsia="en-NZ"/>
              </w:rPr>
              <w:t>657</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B69A040" w14:textId="77777777" w:rsidR="00AD2DF9" w:rsidRPr="00705F47" w:rsidRDefault="00AD2DF9" w:rsidP="006F1FAC">
            <w:pPr>
              <w:pStyle w:val="TableText"/>
              <w:tabs>
                <w:tab w:val="decimal" w:pos="540"/>
              </w:tabs>
              <w:rPr>
                <w:lang w:eastAsia="en-NZ"/>
              </w:rPr>
            </w:pPr>
            <w:r w:rsidRPr="00705F47">
              <w:rPr>
                <w:lang w:eastAsia="en-NZ"/>
              </w:rPr>
              <w:t>140</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E358B19" w14:textId="77777777" w:rsidR="00AD2DF9" w:rsidRPr="00705F47" w:rsidRDefault="00AD2DF9" w:rsidP="006F1FAC">
            <w:pPr>
              <w:pStyle w:val="TableText"/>
              <w:tabs>
                <w:tab w:val="decimal" w:pos="479"/>
              </w:tabs>
              <w:rPr>
                <w:lang w:eastAsia="en-NZ"/>
              </w:rPr>
            </w:pPr>
            <w:r w:rsidRPr="00705F47">
              <w:rPr>
                <w:lang w:eastAsia="en-NZ"/>
              </w:rPr>
              <w:t>28</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725FB60" w14:textId="77777777" w:rsidR="00AD2DF9" w:rsidRPr="00705F47" w:rsidRDefault="00AD2DF9" w:rsidP="006F1FAC">
            <w:pPr>
              <w:pStyle w:val="TableText"/>
              <w:tabs>
                <w:tab w:val="decimal" w:pos="479"/>
              </w:tabs>
              <w:rPr>
                <w:lang w:eastAsia="en-NZ"/>
              </w:rPr>
            </w:pPr>
            <w:r w:rsidRPr="00705F47">
              <w:rPr>
                <w:lang w:eastAsia="en-NZ"/>
              </w:rPr>
              <w:t>5</w:t>
            </w:r>
          </w:p>
        </w:tc>
        <w:tc>
          <w:tcPr>
            <w:tcW w:w="84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7295BAE" w14:textId="77777777" w:rsidR="00AD2DF9" w:rsidRPr="00705F47" w:rsidRDefault="00AD2DF9" w:rsidP="006F1FAC">
            <w:pPr>
              <w:pStyle w:val="TableText"/>
              <w:tabs>
                <w:tab w:val="decimal" w:pos="425"/>
              </w:tabs>
              <w:rPr>
                <w:lang w:eastAsia="en-NZ"/>
              </w:rPr>
            </w:pPr>
            <w:r w:rsidRPr="00705F47">
              <w:rPr>
                <w:lang w:eastAsia="en-NZ"/>
              </w:rPr>
              <w:t>2</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8AEF8D5" w14:textId="77777777" w:rsidR="00AD2DF9" w:rsidRPr="00705F47" w:rsidRDefault="00AD2DF9" w:rsidP="006F1FAC">
            <w:pPr>
              <w:pStyle w:val="TableText"/>
              <w:tabs>
                <w:tab w:val="decimal" w:pos="425"/>
              </w:tabs>
              <w:rPr>
                <w:lang w:eastAsia="en-NZ"/>
              </w:rPr>
            </w:pPr>
            <w:r w:rsidRPr="00705F47">
              <w:rPr>
                <w:lang w:eastAsia="en-NZ"/>
              </w:rPr>
              <w:t>1</w:t>
            </w:r>
          </w:p>
        </w:tc>
      </w:tr>
      <w:tr w:rsidR="00AD2DF9" w:rsidRPr="00705F47" w14:paraId="738BFF96" w14:textId="77777777" w:rsidTr="006F1FAC">
        <w:trPr>
          <w:cantSplit/>
        </w:trPr>
        <w:tc>
          <w:tcPr>
            <w:tcW w:w="12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02D42C9" w14:textId="77777777" w:rsidR="00AD2DF9" w:rsidRPr="00705F47" w:rsidRDefault="00AD2DF9" w:rsidP="006F1FAC">
            <w:pPr>
              <w:pStyle w:val="TableText"/>
              <w:rPr>
                <w:color w:val="000000"/>
                <w:lang w:eastAsia="en-NZ"/>
              </w:rPr>
            </w:pPr>
            <w:r w:rsidRPr="00705F47">
              <w:rPr>
                <w:color w:val="000000"/>
                <w:lang w:eastAsia="en-NZ"/>
              </w:rPr>
              <w:t>25–29</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367D722" w14:textId="77777777" w:rsidR="00AD2DF9" w:rsidRPr="00705F47" w:rsidRDefault="00AD2DF9" w:rsidP="006F1FAC">
            <w:pPr>
              <w:pStyle w:val="TableText"/>
              <w:tabs>
                <w:tab w:val="decimal" w:pos="579"/>
              </w:tabs>
              <w:rPr>
                <w:color w:val="000000"/>
                <w:lang w:eastAsia="en-NZ"/>
              </w:rPr>
            </w:pPr>
            <w:r w:rsidRPr="00705F47">
              <w:rPr>
                <w:color w:val="000000"/>
                <w:lang w:eastAsia="en-NZ"/>
              </w:rPr>
              <w:t>3,488</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1B52372" w14:textId="77777777" w:rsidR="00AD2DF9" w:rsidRPr="00705F47" w:rsidRDefault="00AD2DF9" w:rsidP="006F1FAC">
            <w:pPr>
              <w:pStyle w:val="TableText"/>
              <w:tabs>
                <w:tab w:val="decimal" w:pos="540"/>
              </w:tabs>
              <w:rPr>
                <w:lang w:eastAsia="en-NZ"/>
              </w:rPr>
            </w:pPr>
            <w:r w:rsidRPr="00705F47">
              <w:rPr>
                <w:lang w:eastAsia="en-NZ"/>
              </w:rPr>
              <w:t>2,134</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D1D9C10" w14:textId="77777777" w:rsidR="00AD2DF9" w:rsidRPr="00705F47" w:rsidRDefault="00AD2DF9" w:rsidP="006F1FAC">
            <w:pPr>
              <w:pStyle w:val="TableText"/>
              <w:tabs>
                <w:tab w:val="decimal" w:pos="540"/>
              </w:tabs>
              <w:rPr>
                <w:lang w:eastAsia="en-NZ"/>
              </w:rPr>
            </w:pPr>
            <w:r w:rsidRPr="00705F47">
              <w:rPr>
                <w:lang w:eastAsia="en-NZ"/>
              </w:rPr>
              <w:t>906</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3F8EEDF" w14:textId="77777777" w:rsidR="00AD2DF9" w:rsidRPr="00705F47" w:rsidRDefault="00AD2DF9" w:rsidP="006F1FAC">
            <w:pPr>
              <w:pStyle w:val="TableText"/>
              <w:tabs>
                <w:tab w:val="decimal" w:pos="540"/>
              </w:tabs>
              <w:rPr>
                <w:lang w:eastAsia="en-NZ"/>
              </w:rPr>
            </w:pPr>
            <w:r w:rsidRPr="00705F47">
              <w:rPr>
                <w:lang w:eastAsia="en-NZ"/>
              </w:rPr>
              <w:t>301</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FF0D1C7" w14:textId="77777777" w:rsidR="00AD2DF9" w:rsidRPr="00705F47" w:rsidRDefault="00AD2DF9" w:rsidP="006F1FAC">
            <w:pPr>
              <w:pStyle w:val="TableText"/>
              <w:tabs>
                <w:tab w:val="decimal" w:pos="479"/>
              </w:tabs>
              <w:rPr>
                <w:lang w:eastAsia="en-NZ"/>
              </w:rPr>
            </w:pPr>
            <w:r w:rsidRPr="00705F47">
              <w:rPr>
                <w:lang w:eastAsia="en-NZ"/>
              </w:rPr>
              <w:t>90</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4ACA74B" w14:textId="77777777" w:rsidR="00AD2DF9" w:rsidRPr="00705F47" w:rsidRDefault="00AD2DF9" w:rsidP="006F1FAC">
            <w:pPr>
              <w:pStyle w:val="TableText"/>
              <w:tabs>
                <w:tab w:val="decimal" w:pos="479"/>
              </w:tabs>
              <w:rPr>
                <w:lang w:eastAsia="en-NZ"/>
              </w:rPr>
            </w:pPr>
            <w:r w:rsidRPr="00705F47">
              <w:rPr>
                <w:lang w:eastAsia="en-NZ"/>
              </w:rPr>
              <w:t>28</w:t>
            </w:r>
          </w:p>
        </w:tc>
        <w:tc>
          <w:tcPr>
            <w:tcW w:w="84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E9AC694" w14:textId="77777777" w:rsidR="00AD2DF9" w:rsidRPr="00705F47" w:rsidRDefault="00AD2DF9" w:rsidP="006F1FAC">
            <w:pPr>
              <w:pStyle w:val="TableText"/>
              <w:tabs>
                <w:tab w:val="decimal" w:pos="425"/>
              </w:tabs>
              <w:rPr>
                <w:lang w:eastAsia="en-NZ"/>
              </w:rPr>
            </w:pPr>
            <w:r w:rsidRPr="00705F47">
              <w:rPr>
                <w:lang w:eastAsia="en-NZ"/>
              </w:rPr>
              <w:t>15</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2C10FE7" w14:textId="77777777" w:rsidR="00AD2DF9" w:rsidRPr="00705F47" w:rsidRDefault="00AD2DF9" w:rsidP="006F1FAC">
            <w:pPr>
              <w:pStyle w:val="TableText"/>
              <w:tabs>
                <w:tab w:val="decimal" w:pos="425"/>
              </w:tabs>
              <w:rPr>
                <w:lang w:eastAsia="en-NZ"/>
              </w:rPr>
            </w:pPr>
            <w:r w:rsidRPr="00705F47">
              <w:rPr>
                <w:lang w:eastAsia="en-NZ"/>
              </w:rPr>
              <w:t>14</w:t>
            </w:r>
          </w:p>
        </w:tc>
      </w:tr>
      <w:tr w:rsidR="00AD2DF9" w:rsidRPr="00705F47" w14:paraId="68A99B3C" w14:textId="77777777" w:rsidTr="006F1FAC">
        <w:trPr>
          <w:cantSplit/>
        </w:trPr>
        <w:tc>
          <w:tcPr>
            <w:tcW w:w="12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CD90245" w14:textId="77777777" w:rsidR="00AD2DF9" w:rsidRPr="00705F47" w:rsidRDefault="00AD2DF9" w:rsidP="006F1FAC">
            <w:pPr>
              <w:pStyle w:val="TableText"/>
              <w:rPr>
                <w:color w:val="000000"/>
                <w:lang w:eastAsia="en-NZ"/>
              </w:rPr>
            </w:pPr>
            <w:r w:rsidRPr="00705F47">
              <w:rPr>
                <w:color w:val="000000"/>
                <w:lang w:eastAsia="en-NZ"/>
              </w:rPr>
              <w:t>30–34</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C38F6BF" w14:textId="77777777" w:rsidR="00AD2DF9" w:rsidRPr="00705F47" w:rsidRDefault="00AD2DF9" w:rsidP="006F1FAC">
            <w:pPr>
              <w:pStyle w:val="TableText"/>
              <w:tabs>
                <w:tab w:val="decimal" w:pos="579"/>
              </w:tabs>
              <w:rPr>
                <w:color w:val="000000"/>
                <w:lang w:eastAsia="en-NZ"/>
              </w:rPr>
            </w:pPr>
            <w:r w:rsidRPr="00705F47">
              <w:rPr>
                <w:color w:val="000000"/>
                <w:lang w:eastAsia="en-NZ"/>
              </w:rPr>
              <w:t>2,795</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05EC386" w14:textId="77777777" w:rsidR="00AD2DF9" w:rsidRPr="00705F47" w:rsidRDefault="00AD2DF9" w:rsidP="006F1FAC">
            <w:pPr>
              <w:pStyle w:val="TableText"/>
              <w:tabs>
                <w:tab w:val="decimal" w:pos="540"/>
              </w:tabs>
              <w:rPr>
                <w:lang w:eastAsia="en-NZ"/>
              </w:rPr>
            </w:pPr>
            <w:r w:rsidRPr="00705F47">
              <w:rPr>
                <w:lang w:eastAsia="en-NZ"/>
              </w:rPr>
              <w:t>1,538</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E7F9FC1" w14:textId="77777777" w:rsidR="00AD2DF9" w:rsidRPr="00705F47" w:rsidRDefault="00AD2DF9" w:rsidP="006F1FAC">
            <w:pPr>
              <w:pStyle w:val="TableText"/>
              <w:tabs>
                <w:tab w:val="decimal" w:pos="540"/>
              </w:tabs>
              <w:rPr>
                <w:lang w:eastAsia="en-NZ"/>
              </w:rPr>
            </w:pPr>
            <w:r w:rsidRPr="00705F47">
              <w:rPr>
                <w:lang w:eastAsia="en-NZ"/>
              </w:rPr>
              <w:t>762</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120922C" w14:textId="77777777" w:rsidR="00AD2DF9" w:rsidRPr="00705F47" w:rsidRDefault="00AD2DF9" w:rsidP="006F1FAC">
            <w:pPr>
              <w:pStyle w:val="TableText"/>
              <w:tabs>
                <w:tab w:val="decimal" w:pos="540"/>
              </w:tabs>
              <w:rPr>
                <w:lang w:eastAsia="en-NZ"/>
              </w:rPr>
            </w:pPr>
            <w:r w:rsidRPr="00705F47">
              <w:rPr>
                <w:lang w:eastAsia="en-NZ"/>
              </w:rPr>
              <w:t>319</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99468CB" w14:textId="77777777" w:rsidR="00AD2DF9" w:rsidRPr="00705F47" w:rsidRDefault="00AD2DF9" w:rsidP="006F1FAC">
            <w:pPr>
              <w:pStyle w:val="TableText"/>
              <w:tabs>
                <w:tab w:val="decimal" w:pos="479"/>
              </w:tabs>
              <w:rPr>
                <w:lang w:eastAsia="en-NZ"/>
              </w:rPr>
            </w:pPr>
            <w:r w:rsidRPr="00705F47">
              <w:rPr>
                <w:lang w:eastAsia="en-NZ"/>
              </w:rPr>
              <w:t>113</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85002C" w14:textId="77777777" w:rsidR="00AD2DF9" w:rsidRPr="00705F47" w:rsidRDefault="00AD2DF9" w:rsidP="006F1FAC">
            <w:pPr>
              <w:pStyle w:val="TableText"/>
              <w:tabs>
                <w:tab w:val="decimal" w:pos="479"/>
              </w:tabs>
              <w:rPr>
                <w:lang w:eastAsia="en-NZ"/>
              </w:rPr>
            </w:pPr>
            <w:r w:rsidRPr="00705F47">
              <w:rPr>
                <w:lang w:eastAsia="en-NZ"/>
              </w:rPr>
              <w:t>34</w:t>
            </w:r>
          </w:p>
        </w:tc>
        <w:tc>
          <w:tcPr>
            <w:tcW w:w="84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2647C51" w14:textId="77777777" w:rsidR="00AD2DF9" w:rsidRPr="00705F47" w:rsidRDefault="00AD2DF9" w:rsidP="006F1FAC">
            <w:pPr>
              <w:pStyle w:val="TableText"/>
              <w:tabs>
                <w:tab w:val="decimal" w:pos="425"/>
              </w:tabs>
              <w:rPr>
                <w:lang w:eastAsia="en-NZ"/>
              </w:rPr>
            </w:pPr>
            <w:r w:rsidRPr="00705F47">
              <w:rPr>
                <w:lang w:eastAsia="en-NZ"/>
              </w:rPr>
              <w:t>16</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401EB38" w14:textId="77777777" w:rsidR="00AD2DF9" w:rsidRPr="00705F47" w:rsidRDefault="00AD2DF9" w:rsidP="006F1FAC">
            <w:pPr>
              <w:pStyle w:val="TableText"/>
              <w:tabs>
                <w:tab w:val="decimal" w:pos="425"/>
              </w:tabs>
              <w:rPr>
                <w:lang w:eastAsia="en-NZ"/>
              </w:rPr>
            </w:pPr>
            <w:r w:rsidRPr="00705F47">
              <w:rPr>
                <w:lang w:eastAsia="en-NZ"/>
              </w:rPr>
              <w:t>13</w:t>
            </w:r>
          </w:p>
        </w:tc>
      </w:tr>
      <w:tr w:rsidR="00AD2DF9" w:rsidRPr="00705F47" w14:paraId="3C1955F4" w14:textId="77777777" w:rsidTr="006F1FAC">
        <w:trPr>
          <w:cantSplit/>
        </w:trPr>
        <w:tc>
          <w:tcPr>
            <w:tcW w:w="12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DB5291C" w14:textId="77777777" w:rsidR="00AD2DF9" w:rsidRPr="00705F47" w:rsidRDefault="00AD2DF9" w:rsidP="006F1FAC">
            <w:pPr>
              <w:pStyle w:val="TableText"/>
              <w:rPr>
                <w:color w:val="000000"/>
                <w:lang w:eastAsia="en-NZ"/>
              </w:rPr>
            </w:pPr>
            <w:r w:rsidRPr="00705F47">
              <w:rPr>
                <w:color w:val="000000"/>
                <w:lang w:eastAsia="en-NZ"/>
              </w:rPr>
              <w:t>35–39</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9F6E89F" w14:textId="77777777" w:rsidR="00AD2DF9" w:rsidRPr="00705F47" w:rsidRDefault="00AD2DF9" w:rsidP="006F1FAC">
            <w:pPr>
              <w:pStyle w:val="TableText"/>
              <w:tabs>
                <w:tab w:val="decimal" w:pos="579"/>
              </w:tabs>
              <w:rPr>
                <w:color w:val="000000"/>
                <w:lang w:eastAsia="en-NZ"/>
              </w:rPr>
            </w:pPr>
            <w:r w:rsidRPr="00705F47">
              <w:rPr>
                <w:color w:val="000000"/>
                <w:lang w:eastAsia="en-NZ"/>
              </w:rPr>
              <w:t>1,784</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046E03F" w14:textId="77777777" w:rsidR="00AD2DF9" w:rsidRPr="00705F47" w:rsidRDefault="00AD2DF9" w:rsidP="006F1FAC">
            <w:pPr>
              <w:pStyle w:val="TableText"/>
              <w:tabs>
                <w:tab w:val="decimal" w:pos="540"/>
              </w:tabs>
              <w:rPr>
                <w:lang w:eastAsia="en-NZ"/>
              </w:rPr>
            </w:pPr>
            <w:r w:rsidRPr="00705F47">
              <w:rPr>
                <w:lang w:eastAsia="en-NZ"/>
              </w:rPr>
              <w:t>946</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A15AB7A" w14:textId="77777777" w:rsidR="00AD2DF9" w:rsidRPr="00705F47" w:rsidRDefault="00AD2DF9" w:rsidP="006F1FAC">
            <w:pPr>
              <w:pStyle w:val="TableText"/>
              <w:tabs>
                <w:tab w:val="decimal" w:pos="540"/>
              </w:tabs>
              <w:rPr>
                <w:lang w:eastAsia="en-NZ"/>
              </w:rPr>
            </w:pPr>
            <w:r w:rsidRPr="00705F47">
              <w:rPr>
                <w:lang w:eastAsia="en-NZ"/>
              </w:rPr>
              <w:t>491</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C6031F3" w14:textId="77777777" w:rsidR="00AD2DF9" w:rsidRPr="00705F47" w:rsidRDefault="00AD2DF9" w:rsidP="006F1FAC">
            <w:pPr>
              <w:pStyle w:val="TableText"/>
              <w:tabs>
                <w:tab w:val="decimal" w:pos="540"/>
              </w:tabs>
              <w:rPr>
                <w:lang w:eastAsia="en-NZ"/>
              </w:rPr>
            </w:pPr>
            <w:r w:rsidRPr="00705F47">
              <w:rPr>
                <w:lang w:eastAsia="en-NZ"/>
              </w:rPr>
              <w:t>222</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1690DD2" w14:textId="77777777" w:rsidR="00AD2DF9" w:rsidRPr="00705F47" w:rsidRDefault="00AD2DF9" w:rsidP="006F1FAC">
            <w:pPr>
              <w:pStyle w:val="TableText"/>
              <w:tabs>
                <w:tab w:val="decimal" w:pos="479"/>
              </w:tabs>
              <w:rPr>
                <w:lang w:eastAsia="en-NZ"/>
              </w:rPr>
            </w:pPr>
            <w:r w:rsidRPr="00705F47">
              <w:rPr>
                <w:lang w:eastAsia="en-NZ"/>
              </w:rPr>
              <w:t>69</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6440343" w14:textId="77777777" w:rsidR="00AD2DF9" w:rsidRPr="00705F47" w:rsidRDefault="00AD2DF9" w:rsidP="006F1FAC">
            <w:pPr>
              <w:pStyle w:val="TableText"/>
              <w:tabs>
                <w:tab w:val="decimal" w:pos="479"/>
              </w:tabs>
              <w:rPr>
                <w:lang w:eastAsia="en-NZ"/>
              </w:rPr>
            </w:pPr>
            <w:r w:rsidRPr="00705F47">
              <w:rPr>
                <w:lang w:eastAsia="en-NZ"/>
              </w:rPr>
              <w:t>30</w:t>
            </w:r>
          </w:p>
        </w:tc>
        <w:tc>
          <w:tcPr>
            <w:tcW w:w="84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A3DF03D" w14:textId="77777777" w:rsidR="00AD2DF9" w:rsidRPr="00705F47" w:rsidRDefault="00AD2DF9" w:rsidP="006F1FAC">
            <w:pPr>
              <w:pStyle w:val="TableText"/>
              <w:tabs>
                <w:tab w:val="decimal" w:pos="425"/>
              </w:tabs>
              <w:rPr>
                <w:lang w:eastAsia="en-NZ"/>
              </w:rPr>
            </w:pPr>
            <w:r w:rsidRPr="00705F47">
              <w:rPr>
                <w:lang w:eastAsia="en-NZ"/>
              </w:rPr>
              <w:t>14</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5363843" w14:textId="77777777" w:rsidR="00AD2DF9" w:rsidRPr="00705F47" w:rsidRDefault="00AD2DF9" w:rsidP="006F1FAC">
            <w:pPr>
              <w:pStyle w:val="TableText"/>
              <w:tabs>
                <w:tab w:val="decimal" w:pos="425"/>
              </w:tabs>
              <w:rPr>
                <w:lang w:eastAsia="en-NZ"/>
              </w:rPr>
            </w:pPr>
            <w:r w:rsidRPr="00705F47">
              <w:rPr>
                <w:lang w:eastAsia="en-NZ"/>
              </w:rPr>
              <w:t>12</w:t>
            </w:r>
          </w:p>
        </w:tc>
      </w:tr>
      <w:tr w:rsidR="00AD2DF9" w:rsidRPr="00705F47" w14:paraId="6BE0AAB2" w14:textId="77777777" w:rsidTr="006F1FAC">
        <w:trPr>
          <w:cantSplit/>
        </w:trPr>
        <w:tc>
          <w:tcPr>
            <w:tcW w:w="12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30355F9" w14:textId="77777777" w:rsidR="00AD2DF9" w:rsidRPr="00705F47" w:rsidRDefault="00AD2DF9" w:rsidP="006F1FAC">
            <w:pPr>
              <w:pStyle w:val="TableText"/>
              <w:rPr>
                <w:color w:val="000000"/>
                <w:lang w:eastAsia="en-NZ"/>
              </w:rPr>
            </w:pPr>
            <w:r w:rsidRPr="00705F47">
              <w:rPr>
                <w:color w:val="000000"/>
                <w:lang w:eastAsia="en-NZ"/>
              </w:rPr>
              <w:t>40–44</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205ED41" w14:textId="77777777" w:rsidR="00AD2DF9" w:rsidRPr="00705F47" w:rsidRDefault="00AD2DF9" w:rsidP="006F1FAC">
            <w:pPr>
              <w:pStyle w:val="TableText"/>
              <w:tabs>
                <w:tab w:val="decimal" w:pos="579"/>
              </w:tabs>
              <w:rPr>
                <w:color w:val="000000"/>
                <w:lang w:eastAsia="en-NZ"/>
              </w:rPr>
            </w:pPr>
            <w:r w:rsidRPr="00705F47">
              <w:rPr>
                <w:color w:val="000000"/>
                <w:lang w:eastAsia="en-NZ"/>
              </w:rPr>
              <w:t>649</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86B8824" w14:textId="77777777" w:rsidR="00AD2DF9" w:rsidRPr="00705F47" w:rsidRDefault="00AD2DF9" w:rsidP="006F1FAC">
            <w:pPr>
              <w:pStyle w:val="TableText"/>
              <w:tabs>
                <w:tab w:val="decimal" w:pos="540"/>
              </w:tabs>
              <w:rPr>
                <w:lang w:eastAsia="en-NZ"/>
              </w:rPr>
            </w:pPr>
            <w:r w:rsidRPr="00705F47">
              <w:rPr>
                <w:lang w:eastAsia="en-NZ"/>
              </w:rPr>
              <w:t>315</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052A964" w14:textId="77777777" w:rsidR="00AD2DF9" w:rsidRPr="00705F47" w:rsidRDefault="00AD2DF9" w:rsidP="006F1FAC">
            <w:pPr>
              <w:pStyle w:val="TableText"/>
              <w:tabs>
                <w:tab w:val="decimal" w:pos="540"/>
              </w:tabs>
              <w:rPr>
                <w:lang w:eastAsia="en-NZ"/>
              </w:rPr>
            </w:pPr>
            <w:r w:rsidRPr="00705F47">
              <w:rPr>
                <w:lang w:eastAsia="en-NZ"/>
              </w:rPr>
              <w:t>186</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E3932C6" w14:textId="77777777" w:rsidR="00AD2DF9" w:rsidRPr="00705F47" w:rsidRDefault="00AD2DF9" w:rsidP="006F1FAC">
            <w:pPr>
              <w:pStyle w:val="TableText"/>
              <w:tabs>
                <w:tab w:val="decimal" w:pos="540"/>
              </w:tabs>
              <w:rPr>
                <w:lang w:eastAsia="en-NZ"/>
              </w:rPr>
            </w:pPr>
            <w:r w:rsidRPr="00705F47">
              <w:rPr>
                <w:lang w:eastAsia="en-NZ"/>
              </w:rPr>
              <w:t>91</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35DC0C8" w14:textId="77777777" w:rsidR="00AD2DF9" w:rsidRPr="00705F47" w:rsidRDefault="00AD2DF9" w:rsidP="006F1FAC">
            <w:pPr>
              <w:pStyle w:val="TableText"/>
              <w:tabs>
                <w:tab w:val="decimal" w:pos="479"/>
              </w:tabs>
              <w:rPr>
                <w:lang w:eastAsia="en-NZ"/>
              </w:rPr>
            </w:pPr>
            <w:r w:rsidRPr="00705F47">
              <w:rPr>
                <w:lang w:eastAsia="en-NZ"/>
              </w:rPr>
              <w:t>31</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EB96D08" w14:textId="77777777" w:rsidR="00AD2DF9" w:rsidRPr="00705F47" w:rsidRDefault="00AD2DF9" w:rsidP="006F1FAC">
            <w:pPr>
              <w:pStyle w:val="TableText"/>
              <w:tabs>
                <w:tab w:val="decimal" w:pos="479"/>
              </w:tabs>
              <w:rPr>
                <w:lang w:eastAsia="en-NZ"/>
              </w:rPr>
            </w:pPr>
            <w:r w:rsidRPr="00705F47">
              <w:rPr>
                <w:lang w:eastAsia="en-NZ"/>
              </w:rPr>
              <w:t>17</w:t>
            </w:r>
          </w:p>
        </w:tc>
        <w:tc>
          <w:tcPr>
            <w:tcW w:w="84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A98A47A" w14:textId="77777777" w:rsidR="00AD2DF9" w:rsidRPr="00705F47" w:rsidRDefault="00AD2DF9" w:rsidP="006F1FAC">
            <w:pPr>
              <w:pStyle w:val="TableText"/>
              <w:tabs>
                <w:tab w:val="decimal" w:pos="425"/>
              </w:tabs>
              <w:rPr>
                <w:lang w:eastAsia="en-NZ"/>
              </w:rPr>
            </w:pPr>
            <w:r w:rsidRPr="00705F47">
              <w:rPr>
                <w:lang w:eastAsia="en-NZ"/>
              </w:rPr>
              <w:t>6</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CEA8442" w14:textId="77777777" w:rsidR="00AD2DF9" w:rsidRPr="00705F47" w:rsidRDefault="00AD2DF9" w:rsidP="006F1FAC">
            <w:pPr>
              <w:pStyle w:val="TableText"/>
              <w:tabs>
                <w:tab w:val="decimal" w:pos="425"/>
              </w:tabs>
              <w:rPr>
                <w:lang w:eastAsia="en-NZ"/>
              </w:rPr>
            </w:pPr>
            <w:r w:rsidRPr="00705F47">
              <w:rPr>
                <w:lang w:eastAsia="en-NZ"/>
              </w:rPr>
              <w:t>3</w:t>
            </w:r>
          </w:p>
        </w:tc>
      </w:tr>
      <w:tr w:rsidR="00AD2DF9" w:rsidRPr="00705F47" w14:paraId="6BFC7AC5" w14:textId="77777777" w:rsidTr="006F1FAC">
        <w:trPr>
          <w:cantSplit/>
        </w:trPr>
        <w:tc>
          <w:tcPr>
            <w:tcW w:w="12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5015CE3" w14:textId="77777777" w:rsidR="00AD2DF9" w:rsidRPr="00705F47" w:rsidRDefault="00AD2DF9" w:rsidP="006F1FAC">
            <w:pPr>
              <w:pStyle w:val="TableText"/>
              <w:rPr>
                <w:color w:val="000000"/>
                <w:lang w:eastAsia="en-NZ"/>
              </w:rPr>
            </w:pPr>
            <w:r w:rsidRPr="00705F47">
              <w:rPr>
                <w:color w:val="000000"/>
                <w:lang w:eastAsia="en-NZ"/>
              </w:rPr>
              <w:t>45 and over</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0552B6F" w14:textId="77777777" w:rsidR="00AD2DF9" w:rsidRPr="00705F47" w:rsidRDefault="00AD2DF9" w:rsidP="006F1FAC">
            <w:pPr>
              <w:pStyle w:val="TableText"/>
              <w:tabs>
                <w:tab w:val="decimal" w:pos="579"/>
              </w:tabs>
              <w:rPr>
                <w:color w:val="000000"/>
                <w:lang w:eastAsia="en-NZ"/>
              </w:rPr>
            </w:pPr>
            <w:r w:rsidRPr="00705F47">
              <w:rPr>
                <w:color w:val="000000"/>
                <w:lang w:eastAsia="en-NZ"/>
              </w:rPr>
              <w:t>70</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E70194B" w14:textId="77777777" w:rsidR="00AD2DF9" w:rsidRPr="00705F47" w:rsidRDefault="00AD2DF9" w:rsidP="006F1FAC">
            <w:pPr>
              <w:pStyle w:val="TableText"/>
              <w:tabs>
                <w:tab w:val="decimal" w:pos="540"/>
              </w:tabs>
              <w:rPr>
                <w:lang w:eastAsia="en-NZ"/>
              </w:rPr>
            </w:pPr>
            <w:r w:rsidRPr="00705F47">
              <w:rPr>
                <w:lang w:eastAsia="en-NZ"/>
              </w:rPr>
              <w:t>40</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D870F2A" w14:textId="77777777" w:rsidR="00AD2DF9" w:rsidRPr="00705F47" w:rsidRDefault="00AD2DF9" w:rsidP="006F1FAC">
            <w:pPr>
              <w:pStyle w:val="TableText"/>
              <w:tabs>
                <w:tab w:val="decimal" w:pos="540"/>
              </w:tabs>
              <w:rPr>
                <w:lang w:eastAsia="en-NZ"/>
              </w:rPr>
            </w:pPr>
            <w:r w:rsidRPr="00705F47">
              <w:rPr>
                <w:lang w:eastAsia="en-NZ"/>
              </w:rPr>
              <w:t>14</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15D8B95" w14:textId="77777777" w:rsidR="00AD2DF9" w:rsidRPr="00705F47" w:rsidRDefault="00AD2DF9" w:rsidP="006F1FAC">
            <w:pPr>
              <w:pStyle w:val="TableText"/>
              <w:tabs>
                <w:tab w:val="decimal" w:pos="540"/>
              </w:tabs>
              <w:rPr>
                <w:lang w:eastAsia="en-NZ"/>
              </w:rPr>
            </w:pPr>
            <w:r w:rsidRPr="00705F47">
              <w:rPr>
                <w:lang w:eastAsia="en-NZ"/>
              </w:rPr>
              <w:t>11</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CC0BE5B" w14:textId="77777777" w:rsidR="00AD2DF9" w:rsidRPr="00705F47" w:rsidRDefault="00AD2DF9" w:rsidP="006F1FAC">
            <w:pPr>
              <w:pStyle w:val="TableText"/>
              <w:tabs>
                <w:tab w:val="decimal" w:pos="479"/>
              </w:tabs>
              <w:rPr>
                <w:lang w:eastAsia="en-NZ"/>
              </w:rPr>
            </w:pPr>
            <w:r w:rsidRPr="00705F47">
              <w:rPr>
                <w:lang w:eastAsia="en-NZ"/>
              </w:rPr>
              <w:t>2</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95359C3" w14:textId="77777777" w:rsidR="00AD2DF9" w:rsidRPr="00705F47" w:rsidRDefault="00AD2DF9" w:rsidP="006F1FAC">
            <w:pPr>
              <w:pStyle w:val="TableText"/>
              <w:tabs>
                <w:tab w:val="decimal" w:pos="479"/>
              </w:tabs>
              <w:rPr>
                <w:lang w:eastAsia="en-NZ"/>
              </w:rPr>
            </w:pPr>
            <w:r w:rsidRPr="00705F47">
              <w:rPr>
                <w:lang w:eastAsia="en-NZ"/>
              </w:rPr>
              <w:t>2</w:t>
            </w:r>
          </w:p>
        </w:tc>
        <w:tc>
          <w:tcPr>
            <w:tcW w:w="84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DA76A39" w14:textId="77777777" w:rsidR="00AD2DF9" w:rsidRPr="00705F47" w:rsidRDefault="00AD2DF9" w:rsidP="006F1FAC">
            <w:pPr>
              <w:pStyle w:val="TableText"/>
              <w:tabs>
                <w:tab w:val="decimal" w:pos="425"/>
              </w:tabs>
              <w:rPr>
                <w:lang w:eastAsia="en-NZ"/>
              </w:rPr>
            </w:pPr>
            <w:r w:rsidRPr="00705F47">
              <w:rPr>
                <w:lang w:eastAsia="en-NZ"/>
              </w:rPr>
              <w:t>1</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AA30B7C" w14:textId="77777777" w:rsidR="00AD2DF9" w:rsidRPr="00705F47" w:rsidRDefault="00AD2DF9" w:rsidP="006F1FAC">
            <w:pPr>
              <w:pStyle w:val="TableText"/>
              <w:tabs>
                <w:tab w:val="decimal" w:pos="425"/>
              </w:tabs>
              <w:rPr>
                <w:lang w:eastAsia="en-NZ"/>
              </w:rPr>
            </w:pPr>
            <w:r w:rsidRPr="00705F47">
              <w:rPr>
                <w:lang w:eastAsia="en-NZ"/>
              </w:rPr>
              <w:t>0</w:t>
            </w:r>
          </w:p>
        </w:tc>
      </w:tr>
      <w:tr w:rsidR="00AD2DF9" w:rsidRPr="00705F47" w14:paraId="44A8CEC6" w14:textId="77777777" w:rsidTr="006F1FAC">
        <w:trPr>
          <w:cantSplit/>
        </w:trPr>
        <w:tc>
          <w:tcPr>
            <w:tcW w:w="12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FFED8E4" w14:textId="77777777" w:rsidR="00AD2DF9" w:rsidRPr="00705F47" w:rsidRDefault="00AD2DF9" w:rsidP="006F1FAC">
            <w:pPr>
              <w:pStyle w:val="TableText"/>
              <w:rPr>
                <w:color w:val="000000"/>
                <w:lang w:eastAsia="en-NZ"/>
              </w:rPr>
            </w:pPr>
            <w:r w:rsidRPr="00705F47">
              <w:rPr>
                <w:color w:val="000000"/>
                <w:lang w:eastAsia="en-NZ"/>
              </w:rPr>
              <w:t>Missing</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ED39072" w14:textId="77777777" w:rsidR="00AD2DF9" w:rsidRPr="00705F47" w:rsidRDefault="00AD2DF9" w:rsidP="006F1FAC">
            <w:pPr>
              <w:pStyle w:val="TableText"/>
              <w:tabs>
                <w:tab w:val="decimal" w:pos="579"/>
              </w:tabs>
              <w:rPr>
                <w:color w:val="000000"/>
                <w:lang w:eastAsia="en-NZ"/>
              </w:rPr>
            </w:pPr>
            <w:r w:rsidRPr="00705F47">
              <w:rPr>
                <w:color w:val="000000"/>
                <w:lang w:eastAsia="en-NZ"/>
              </w:rPr>
              <w:t>3</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5595BA7" w14:textId="77777777" w:rsidR="00AD2DF9" w:rsidRPr="00705F47" w:rsidRDefault="00AD2DF9" w:rsidP="006F1FAC">
            <w:pPr>
              <w:pStyle w:val="TableText"/>
              <w:tabs>
                <w:tab w:val="decimal" w:pos="540"/>
              </w:tabs>
              <w:rPr>
                <w:lang w:eastAsia="en-NZ"/>
              </w:rPr>
            </w:pPr>
            <w:r w:rsidRPr="00705F47">
              <w:rPr>
                <w:lang w:eastAsia="en-NZ"/>
              </w:rPr>
              <w:t>3</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01DE16C" w14:textId="77777777" w:rsidR="00AD2DF9" w:rsidRPr="00705F47" w:rsidRDefault="00AD2DF9" w:rsidP="006F1FAC">
            <w:pPr>
              <w:pStyle w:val="TableText"/>
              <w:tabs>
                <w:tab w:val="decimal" w:pos="540"/>
              </w:tabs>
              <w:rPr>
                <w:lang w:eastAsia="en-NZ"/>
              </w:rPr>
            </w:pPr>
            <w:r w:rsidRPr="00705F47">
              <w:rPr>
                <w:lang w:eastAsia="en-NZ"/>
              </w:rPr>
              <w:t>0</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55DB836" w14:textId="77777777" w:rsidR="00AD2DF9" w:rsidRPr="00705F47" w:rsidRDefault="00AD2DF9" w:rsidP="006F1FAC">
            <w:pPr>
              <w:pStyle w:val="TableText"/>
              <w:tabs>
                <w:tab w:val="decimal" w:pos="540"/>
              </w:tabs>
              <w:rPr>
                <w:lang w:eastAsia="en-NZ"/>
              </w:rPr>
            </w:pPr>
            <w:r w:rsidRPr="00705F47">
              <w:rPr>
                <w:lang w:eastAsia="en-NZ"/>
              </w:rPr>
              <w:t>0</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770D07F" w14:textId="77777777" w:rsidR="00AD2DF9" w:rsidRPr="00705F47" w:rsidRDefault="00AD2DF9" w:rsidP="006F1FAC">
            <w:pPr>
              <w:pStyle w:val="TableText"/>
              <w:tabs>
                <w:tab w:val="decimal" w:pos="479"/>
              </w:tabs>
              <w:rPr>
                <w:lang w:eastAsia="en-NZ"/>
              </w:rPr>
            </w:pPr>
            <w:r w:rsidRPr="00705F47">
              <w:rPr>
                <w:lang w:eastAsia="en-NZ"/>
              </w:rPr>
              <w:t>0</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DFB9304" w14:textId="77777777" w:rsidR="00AD2DF9" w:rsidRPr="00705F47" w:rsidRDefault="00AD2DF9" w:rsidP="006F1FAC">
            <w:pPr>
              <w:pStyle w:val="TableText"/>
              <w:tabs>
                <w:tab w:val="decimal" w:pos="479"/>
              </w:tabs>
              <w:rPr>
                <w:lang w:eastAsia="en-NZ"/>
              </w:rPr>
            </w:pPr>
            <w:r w:rsidRPr="00705F47">
              <w:rPr>
                <w:lang w:eastAsia="en-NZ"/>
              </w:rPr>
              <w:t>0</w:t>
            </w:r>
          </w:p>
        </w:tc>
        <w:tc>
          <w:tcPr>
            <w:tcW w:w="84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743FC75" w14:textId="77777777" w:rsidR="00AD2DF9" w:rsidRPr="00705F47" w:rsidRDefault="00AD2DF9" w:rsidP="006F1FAC">
            <w:pPr>
              <w:pStyle w:val="TableText"/>
              <w:tabs>
                <w:tab w:val="decimal" w:pos="425"/>
              </w:tabs>
              <w:rPr>
                <w:lang w:eastAsia="en-NZ"/>
              </w:rPr>
            </w:pPr>
            <w:r w:rsidRPr="00705F47">
              <w:rPr>
                <w:lang w:eastAsia="en-NZ"/>
              </w:rPr>
              <w:t>0</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6390605" w14:textId="77777777" w:rsidR="00AD2DF9" w:rsidRPr="00705F47" w:rsidRDefault="00AD2DF9" w:rsidP="006F1FAC">
            <w:pPr>
              <w:pStyle w:val="TableText"/>
              <w:tabs>
                <w:tab w:val="decimal" w:pos="425"/>
              </w:tabs>
              <w:rPr>
                <w:lang w:eastAsia="en-NZ"/>
              </w:rPr>
            </w:pPr>
            <w:r w:rsidRPr="00705F47">
              <w:rPr>
                <w:lang w:eastAsia="en-NZ"/>
              </w:rPr>
              <w:t>0</w:t>
            </w:r>
          </w:p>
        </w:tc>
      </w:tr>
    </w:tbl>
    <w:p w14:paraId="1B115D6B" w14:textId="77777777" w:rsidR="00AD2DF9" w:rsidRPr="00705F47" w:rsidRDefault="00AD2DF9" w:rsidP="006F1FAC">
      <w:pPr>
        <w:rPr>
          <w:lang w:eastAsia="en-NZ"/>
        </w:rPr>
      </w:pPr>
    </w:p>
    <w:p w14:paraId="0439A366" w14:textId="73E369E6" w:rsidR="00AD2DF9" w:rsidRDefault="00301720" w:rsidP="00301720">
      <w:pPr>
        <w:pStyle w:val="Figure"/>
        <w:rPr>
          <w:lang w:eastAsia="en-NZ"/>
        </w:rPr>
      </w:pPr>
      <w:bookmarkStart w:id="82" w:name="_Ref83005850"/>
      <w:bookmarkStart w:id="83" w:name="_Toc83037324"/>
      <w:bookmarkStart w:id="84" w:name="_Toc84419935"/>
      <w:r>
        <w:t>Figure </w:t>
      </w:r>
      <w:r w:rsidR="009E3B78">
        <w:fldChar w:fldCharType="begin"/>
      </w:r>
      <w:r w:rsidR="009E3B78">
        <w:instrText xml:space="preserve"> STYLEREF 2 \s </w:instrText>
      </w:r>
      <w:r w:rsidR="009E3B78">
        <w:fldChar w:fldCharType="separate"/>
      </w:r>
      <w:r w:rsidR="0090485D">
        <w:rPr>
          <w:noProof/>
        </w:rPr>
        <w:t>5</w:t>
      </w:r>
      <w:r w:rsidR="009E3B78">
        <w:rPr>
          <w:noProof/>
        </w:rPr>
        <w:fldChar w:fldCharType="end"/>
      </w:r>
      <w:r>
        <w:t>.</w:t>
      </w:r>
      <w:r w:rsidR="009E3B78">
        <w:fldChar w:fldCharType="begin"/>
      </w:r>
      <w:r w:rsidR="009E3B78">
        <w:instrText xml:space="preserve"> SEQ Figure \* ARABIC \s 2 </w:instrText>
      </w:r>
      <w:r w:rsidR="009E3B78">
        <w:fldChar w:fldCharType="separate"/>
      </w:r>
      <w:r w:rsidR="0090485D">
        <w:rPr>
          <w:noProof/>
        </w:rPr>
        <w:t>1</w:t>
      </w:r>
      <w:r w:rsidR="009E3B78">
        <w:rPr>
          <w:noProof/>
        </w:rPr>
        <w:fldChar w:fldCharType="end"/>
      </w:r>
      <w:bookmarkEnd w:id="82"/>
      <w:r>
        <w:t>:</w:t>
      </w:r>
      <w:r w:rsidR="00AD2DF9" w:rsidRPr="00705F47">
        <w:rPr>
          <w:lang w:eastAsia="en-NZ"/>
        </w:rPr>
        <w:t xml:space="preserve"> Number of abortions by number of previous abortions, 2010–2020</w:t>
      </w:r>
      <w:bookmarkEnd w:id="83"/>
      <w:bookmarkEnd w:id="84"/>
    </w:p>
    <w:p w14:paraId="323E2525" w14:textId="77777777" w:rsidR="00AD2DF9" w:rsidRPr="00B21722" w:rsidRDefault="00942054" w:rsidP="00942054">
      <w:pPr>
        <w:rPr>
          <w:lang w:eastAsia="en-NZ"/>
        </w:rPr>
      </w:pPr>
      <w:r>
        <w:rPr>
          <w:noProof/>
          <w:lang w:eastAsia="en-NZ"/>
        </w:rPr>
        <w:drawing>
          <wp:inline distT="0" distB="0" distL="0" distR="0" wp14:anchorId="13A28596" wp14:editId="4888C673">
            <wp:extent cx="5137265" cy="3134698"/>
            <wp:effectExtent l="0" t="0" r="6350" b="8890"/>
            <wp:docPr id="15" name="Picture 15" descr="Graph shows number of abortions by number of previous abortions from 2010-2020 with no previous abortions, one previous abortion and two or more previous abortions all declining in the time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 shows number of abortions by number of previous abortions from 2010-2020 with no previous abortions, one previous abortion and two or more previous abortions all declining in the time perio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40349" cy="3136580"/>
                    </a:xfrm>
                    <a:prstGeom prst="rect">
                      <a:avLst/>
                    </a:prstGeom>
                    <a:noFill/>
                  </pic:spPr>
                </pic:pic>
              </a:graphicData>
            </a:graphic>
          </wp:inline>
        </w:drawing>
      </w:r>
    </w:p>
    <w:p w14:paraId="1523D2E9" w14:textId="77777777" w:rsidR="00AD2DF9" w:rsidRPr="00705F47" w:rsidRDefault="00AD2DF9" w:rsidP="00942054">
      <w:pPr>
        <w:rPr>
          <w:lang w:eastAsia="en-NZ"/>
        </w:rPr>
      </w:pPr>
    </w:p>
    <w:p w14:paraId="1A5EFFA6" w14:textId="77777777" w:rsidR="00AD2DF9" w:rsidRPr="00705F47" w:rsidRDefault="00AD2DF9" w:rsidP="00DE2E54">
      <w:pPr>
        <w:pStyle w:val="Heading2"/>
        <w:keepNext w:val="0"/>
        <w:pageBreakBefore/>
        <w:spacing w:before="0"/>
        <w:rPr>
          <w:lang w:eastAsia="en-NZ"/>
        </w:rPr>
      </w:pPr>
      <w:bookmarkStart w:id="85" w:name="_Toc83037213"/>
      <w:bookmarkStart w:id="86" w:name="_Toc84582313"/>
      <w:r w:rsidRPr="00705F47">
        <w:rPr>
          <w:lang w:eastAsia="en-NZ"/>
        </w:rPr>
        <w:lastRenderedPageBreak/>
        <w:t>Ethnic group</w:t>
      </w:r>
      <w:bookmarkEnd w:id="85"/>
      <w:bookmarkEnd w:id="86"/>
    </w:p>
    <w:p w14:paraId="49825653" w14:textId="10A779BE" w:rsidR="00AD2DF9" w:rsidRPr="00705F47" w:rsidRDefault="00AD2DF9" w:rsidP="00301720">
      <w:pPr>
        <w:rPr>
          <w:lang w:eastAsia="en-NZ"/>
        </w:rPr>
      </w:pPr>
      <w:r w:rsidRPr="00705F47">
        <w:rPr>
          <w:lang w:eastAsia="en-NZ"/>
        </w:rPr>
        <w:t>Among the patients who had an abortion in 2020, the percentages of those identifying as New Zealand European (54.2%) or Asian (21.6%) were like those in the previous year. However, the percentages decreased for those identifying as M</w:t>
      </w:r>
      <w:r w:rsidRPr="006265C5">
        <w:t>ā</w:t>
      </w:r>
      <w:r w:rsidRPr="00705F47">
        <w:rPr>
          <w:lang w:eastAsia="en-NZ"/>
        </w:rPr>
        <w:t>ori or Pacific peoples in 2020 (</w:t>
      </w:r>
      <w:r w:rsidRPr="00705F47">
        <w:rPr>
          <w:lang w:eastAsia="en-NZ"/>
        </w:rPr>
        <w:fldChar w:fldCharType="begin"/>
      </w:r>
      <w:r w:rsidRPr="00705F47">
        <w:rPr>
          <w:lang w:eastAsia="en-NZ"/>
        </w:rPr>
        <w:instrText xml:space="preserve"> REF _Ref83007288 \h </w:instrText>
      </w:r>
      <w:r w:rsidRPr="00705F47">
        <w:rPr>
          <w:lang w:eastAsia="en-NZ"/>
        </w:rPr>
      </w:r>
      <w:r w:rsidRPr="00705F47">
        <w:rPr>
          <w:lang w:eastAsia="en-NZ"/>
        </w:rPr>
        <w:fldChar w:fldCharType="separate"/>
      </w:r>
      <w:r w:rsidR="0090485D">
        <w:t>Figure </w:t>
      </w:r>
      <w:r w:rsidR="0090485D">
        <w:rPr>
          <w:noProof/>
        </w:rPr>
        <w:t>6</w:t>
      </w:r>
      <w:r w:rsidR="0090485D">
        <w:t>.</w:t>
      </w:r>
      <w:r w:rsidR="0090485D">
        <w:rPr>
          <w:noProof/>
        </w:rPr>
        <w:t>1</w:t>
      </w:r>
      <w:r w:rsidRPr="00705F47">
        <w:rPr>
          <w:lang w:eastAsia="en-NZ"/>
        </w:rPr>
        <w:fldChar w:fldCharType="end"/>
      </w:r>
      <w:r w:rsidRPr="00705F47">
        <w:rPr>
          <w:lang w:eastAsia="en-NZ"/>
        </w:rPr>
        <w:t>). Specifically, in 2020:</w:t>
      </w:r>
    </w:p>
    <w:p w14:paraId="283691E2" w14:textId="77777777" w:rsidR="00AD2DF9" w:rsidRPr="00705F47" w:rsidRDefault="00AD2DF9" w:rsidP="00301720">
      <w:pPr>
        <w:pStyle w:val="Bullet"/>
        <w:rPr>
          <w:lang w:eastAsia="en-NZ"/>
        </w:rPr>
      </w:pPr>
      <w:r w:rsidRPr="00705F47">
        <w:rPr>
          <w:lang w:eastAsia="en-NZ"/>
        </w:rPr>
        <w:t>21.7% (2,875) of those having an abortion identified as Māori, compared with 23.1% in 2019</w:t>
      </w:r>
    </w:p>
    <w:p w14:paraId="50875BE0" w14:textId="1597F27D" w:rsidR="00AD2DF9" w:rsidRPr="00705F47" w:rsidRDefault="00AD2DF9" w:rsidP="00301720">
      <w:pPr>
        <w:pStyle w:val="Bullet"/>
        <w:rPr>
          <w:lang w:eastAsia="en-NZ"/>
        </w:rPr>
      </w:pPr>
      <w:r w:rsidRPr="00705F47">
        <w:rPr>
          <w:lang w:eastAsia="en-NZ"/>
        </w:rPr>
        <w:t>8% (1,053) of those having an abortion identified as Pacific, compared with 9.8% in 2019 (</w:t>
      </w:r>
      <w:r w:rsidRPr="00705F47">
        <w:rPr>
          <w:lang w:eastAsia="en-NZ"/>
        </w:rPr>
        <w:fldChar w:fldCharType="begin"/>
      </w:r>
      <w:r w:rsidRPr="00705F47">
        <w:rPr>
          <w:lang w:eastAsia="en-NZ"/>
        </w:rPr>
        <w:instrText xml:space="preserve"> REF _Ref83007413 \h </w:instrText>
      </w:r>
      <w:r w:rsidRPr="00705F47">
        <w:rPr>
          <w:lang w:eastAsia="en-NZ"/>
        </w:rPr>
      </w:r>
      <w:r w:rsidRPr="00705F47">
        <w:rPr>
          <w:lang w:eastAsia="en-NZ"/>
        </w:rPr>
        <w:fldChar w:fldCharType="separate"/>
      </w:r>
      <w:r w:rsidR="0090485D">
        <w:t>Figure </w:t>
      </w:r>
      <w:r w:rsidR="0090485D">
        <w:rPr>
          <w:noProof/>
        </w:rPr>
        <w:t>6</w:t>
      </w:r>
      <w:r w:rsidR="0090485D">
        <w:t>.</w:t>
      </w:r>
      <w:r w:rsidR="0090485D">
        <w:rPr>
          <w:noProof/>
        </w:rPr>
        <w:t>2</w:t>
      </w:r>
      <w:r w:rsidRPr="00705F47">
        <w:rPr>
          <w:lang w:eastAsia="en-NZ"/>
        </w:rPr>
        <w:fldChar w:fldCharType="end"/>
      </w:r>
      <w:r w:rsidRPr="00705F47">
        <w:rPr>
          <w:lang w:eastAsia="en-NZ"/>
        </w:rPr>
        <w:t>).</w:t>
      </w:r>
    </w:p>
    <w:p w14:paraId="73DC72DE" w14:textId="77777777" w:rsidR="00301720" w:rsidRDefault="00301720" w:rsidP="00301720">
      <w:pPr>
        <w:rPr>
          <w:lang w:eastAsia="en-NZ"/>
        </w:rPr>
      </w:pPr>
    </w:p>
    <w:p w14:paraId="6B2FAE53" w14:textId="7E32E511" w:rsidR="00AD2DF9" w:rsidRDefault="00AD2DF9" w:rsidP="00301720">
      <w:pPr>
        <w:rPr>
          <w:lang w:eastAsia="en-NZ"/>
        </w:rPr>
      </w:pPr>
      <w:r w:rsidRPr="00705F47">
        <w:rPr>
          <w:lang w:eastAsia="en-NZ"/>
        </w:rPr>
        <w:t>Reasons for the reduction in Māori and Pacific abortions in 2020 are not known. This</w:t>
      </w:r>
      <w:r w:rsidR="00BB7D42">
        <w:rPr>
          <w:lang w:eastAsia="en-NZ"/>
        </w:rPr>
        <w:t xml:space="preserve"> requires </w:t>
      </w:r>
      <w:r w:rsidR="00D235C0">
        <w:rPr>
          <w:lang w:eastAsia="en-NZ"/>
        </w:rPr>
        <w:t xml:space="preserve">close </w:t>
      </w:r>
      <w:r w:rsidRPr="00705F47">
        <w:rPr>
          <w:lang w:eastAsia="en-NZ"/>
        </w:rPr>
        <w:t>monitoring to ensure Māori or Pacific are not experiencing barriers to accessing abortion services.</w:t>
      </w:r>
    </w:p>
    <w:p w14:paraId="1F3F93C6" w14:textId="77777777" w:rsidR="00301720" w:rsidRPr="00705F47" w:rsidRDefault="00301720" w:rsidP="00301720">
      <w:pPr>
        <w:rPr>
          <w:lang w:eastAsia="en-NZ"/>
        </w:rPr>
      </w:pPr>
    </w:p>
    <w:p w14:paraId="6514E2E0" w14:textId="37517E45" w:rsidR="00AD2DF9" w:rsidRDefault="00301720" w:rsidP="00301720">
      <w:pPr>
        <w:pStyle w:val="Figure"/>
      </w:pPr>
      <w:bookmarkStart w:id="87" w:name="_Ref83007288"/>
      <w:bookmarkStart w:id="88" w:name="_Toc83037341"/>
      <w:bookmarkStart w:id="89" w:name="_Toc84419936"/>
      <w:r>
        <w:t>Figure </w:t>
      </w:r>
      <w:r w:rsidR="009E3B78">
        <w:fldChar w:fldCharType="begin"/>
      </w:r>
      <w:r w:rsidR="009E3B78">
        <w:instrText xml:space="preserve"> STYLEREF 2 \s </w:instrText>
      </w:r>
      <w:r w:rsidR="009E3B78">
        <w:fldChar w:fldCharType="separate"/>
      </w:r>
      <w:r w:rsidR="0090485D">
        <w:rPr>
          <w:noProof/>
        </w:rPr>
        <w:t>6</w:t>
      </w:r>
      <w:r w:rsidR="009E3B78">
        <w:rPr>
          <w:noProof/>
        </w:rPr>
        <w:fldChar w:fldCharType="end"/>
      </w:r>
      <w:r>
        <w:t>.</w:t>
      </w:r>
      <w:r w:rsidR="009E3B78">
        <w:fldChar w:fldCharType="begin"/>
      </w:r>
      <w:r w:rsidR="009E3B78">
        <w:instrText xml:space="preserve"> SEQ Figure \* ARABIC \s 2 </w:instrText>
      </w:r>
      <w:r w:rsidR="009E3B78">
        <w:fldChar w:fldCharType="separate"/>
      </w:r>
      <w:r w:rsidR="0090485D">
        <w:rPr>
          <w:noProof/>
        </w:rPr>
        <w:t>1</w:t>
      </w:r>
      <w:r w:rsidR="009E3B78">
        <w:rPr>
          <w:noProof/>
        </w:rPr>
        <w:fldChar w:fldCharType="end"/>
      </w:r>
      <w:bookmarkEnd w:id="87"/>
      <w:r w:rsidR="00AD2DF9" w:rsidRPr="00705F47">
        <w:t>: Number of abortions by total response ethnicity, 2020</w:t>
      </w:r>
      <w:bookmarkEnd w:id="88"/>
      <w:bookmarkEnd w:id="89"/>
    </w:p>
    <w:p w14:paraId="6D50A44F" w14:textId="77777777" w:rsidR="00AD2DF9" w:rsidRPr="009C540A" w:rsidRDefault="00DE2E54" w:rsidP="00DE2E54">
      <w:r>
        <w:rPr>
          <w:noProof/>
          <w:lang w:eastAsia="en-NZ"/>
        </w:rPr>
        <w:drawing>
          <wp:inline distT="0" distB="0" distL="0" distR="0" wp14:anchorId="550A9861" wp14:editId="27B99BF6">
            <wp:extent cx="5120640" cy="3124554"/>
            <wp:effectExtent l="0" t="0" r="3810" b="0"/>
            <wp:docPr id="16" name="Picture 16" descr="Graph shows number of abortions by total response ethnicity in 2020 with NZ European (7,184), Māori (2,875), Pacific ethnicity (1,053), Asian (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 shows number of abortions by total response ethnicity in 2020 with NZ European (7,184), Māori (2,875), Pacific ethnicity (1,053), Asian (2,85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21000" cy="3124774"/>
                    </a:xfrm>
                    <a:prstGeom prst="rect">
                      <a:avLst/>
                    </a:prstGeom>
                    <a:noFill/>
                  </pic:spPr>
                </pic:pic>
              </a:graphicData>
            </a:graphic>
          </wp:inline>
        </w:drawing>
      </w:r>
    </w:p>
    <w:p w14:paraId="49BC4AFB" w14:textId="77777777" w:rsidR="00AD2DF9" w:rsidRPr="00705F47" w:rsidRDefault="00AD2DF9" w:rsidP="00301720">
      <w:pPr>
        <w:pStyle w:val="Note"/>
      </w:pPr>
      <w:r w:rsidRPr="00705F47">
        <w:t xml:space="preserve">Note: Each abortion has been included in every ethnic group that a person stated that they identified with. For this reason, some abortions are counted more than once. The figure does not show the data for the </w:t>
      </w:r>
      <w:r w:rsidR="000E4CE5">
        <w:t>‘</w:t>
      </w:r>
      <w:r w:rsidRPr="00705F47">
        <w:t>other</w:t>
      </w:r>
      <w:r w:rsidR="000E4CE5">
        <w:t>’</w:t>
      </w:r>
      <w:r w:rsidRPr="00705F47">
        <w:t xml:space="preserve"> ethnic group (number less than 5) and the 41 people whose ethnic group was not stated.</w:t>
      </w:r>
    </w:p>
    <w:p w14:paraId="579568C2" w14:textId="77777777" w:rsidR="00AD2DF9" w:rsidRPr="00705F47" w:rsidRDefault="00AD2DF9" w:rsidP="00301720">
      <w:pPr>
        <w:pStyle w:val="Note"/>
      </w:pPr>
      <w:r w:rsidRPr="00705F47">
        <w:t>MELAA = Middle Eastern, Latin American and African.</w:t>
      </w:r>
    </w:p>
    <w:p w14:paraId="19E0B1B2" w14:textId="77777777" w:rsidR="00AD2DF9" w:rsidRPr="00705F47" w:rsidRDefault="00AD2DF9" w:rsidP="00301720"/>
    <w:p w14:paraId="5C0DBD9F" w14:textId="3F722ADA" w:rsidR="00AD2DF9" w:rsidRDefault="00301720" w:rsidP="00301720">
      <w:pPr>
        <w:pStyle w:val="Figure"/>
        <w:rPr>
          <w:lang w:eastAsia="en-NZ"/>
        </w:rPr>
      </w:pPr>
      <w:bookmarkStart w:id="90" w:name="_Ref83007413"/>
      <w:bookmarkStart w:id="91" w:name="_Toc83037342"/>
      <w:bookmarkStart w:id="92" w:name="_Toc84419937"/>
      <w:r>
        <w:lastRenderedPageBreak/>
        <w:t>Figure </w:t>
      </w:r>
      <w:r w:rsidR="009E3B78">
        <w:fldChar w:fldCharType="begin"/>
      </w:r>
      <w:r w:rsidR="009E3B78">
        <w:instrText xml:space="preserve"> STYLEREF 2 \s </w:instrText>
      </w:r>
      <w:r w:rsidR="009E3B78">
        <w:fldChar w:fldCharType="separate"/>
      </w:r>
      <w:r w:rsidR="0090485D">
        <w:rPr>
          <w:noProof/>
        </w:rPr>
        <w:t>6</w:t>
      </w:r>
      <w:r w:rsidR="009E3B78">
        <w:rPr>
          <w:noProof/>
        </w:rPr>
        <w:fldChar w:fldCharType="end"/>
      </w:r>
      <w:r>
        <w:t>.</w:t>
      </w:r>
      <w:r w:rsidR="009E3B78">
        <w:fldChar w:fldCharType="begin"/>
      </w:r>
      <w:r w:rsidR="009E3B78">
        <w:instrText xml:space="preserve"> SEQ Figure \* ARABIC \s 2 </w:instrText>
      </w:r>
      <w:r w:rsidR="009E3B78">
        <w:fldChar w:fldCharType="separate"/>
      </w:r>
      <w:r w:rsidR="0090485D">
        <w:rPr>
          <w:noProof/>
        </w:rPr>
        <w:t>2</w:t>
      </w:r>
      <w:r w:rsidR="009E3B78">
        <w:rPr>
          <w:noProof/>
        </w:rPr>
        <w:fldChar w:fldCharType="end"/>
      </w:r>
      <w:bookmarkEnd w:id="90"/>
      <w:r w:rsidR="00AD2DF9" w:rsidRPr="00705F47">
        <w:rPr>
          <w:lang w:eastAsia="en-NZ"/>
        </w:rPr>
        <w:t>: Number of abortions by ethnic group, 2010–2020</w:t>
      </w:r>
      <w:bookmarkEnd w:id="91"/>
      <w:bookmarkEnd w:id="92"/>
    </w:p>
    <w:p w14:paraId="1630734D" w14:textId="77777777" w:rsidR="00AD2DF9" w:rsidRPr="002D234E" w:rsidRDefault="00DE2E54" w:rsidP="00DE2E54">
      <w:pPr>
        <w:rPr>
          <w:lang w:eastAsia="en-NZ"/>
        </w:rPr>
      </w:pPr>
      <w:r>
        <w:rPr>
          <w:noProof/>
          <w:lang w:eastAsia="en-NZ"/>
        </w:rPr>
        <w:drawing>
          <wp:inline distT="0" distB="0" distL="0" distR="0" wp14:anchorId="07C4B755" wp14:editId="20B9F53F">
            <wp:extent cx="5128953" cy="3129627"/>
            <wp:effectExtent l="0" t="0" r="0" b="0"/>
            <wp:docPr id="18" name="Picture 18" title="Figure 6.2: Number of abortions by ethnic group, 2010–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31496" cy="3131179"/>
                    </a:xfrm>
                    <a:prstGeom prst="rect">
                      <a:avLst/>
                    </a:prstGeom>
                    <a:noFill/>
                  </pic:spPr>
                </pic:pic>
              </a:graphicData>
            </a:graphic>
          </wp:inline>
        </w:drawing>
      </w:r>
    </w:p>
    <w:p w14:paraId="5BC41215" w14:textId="77777777" w:rsidR="00AD2DF9" w:rsidRPr="00705F47" w:rsidRDefault="00AD2DF9" w:rsidP="00301720"/>
    <w:p w14:paraId="0BF6A9EA" w14:textId="77777777" w:rsidR="00AD2DF9" w:rsidRPr="00705F47" w:rsidRDefault="00AD2DF9" w:rsidP="00DE2E54">
      <w:pPr>
        <w:pStyle w:val="Heading2"/>
        <w:keepNext w:val="0"/>
        <w:pageBreakBefore/>
        <w:spacing w:before="0"/>
        <w:rPr>
          <w:lang w:eastAsia="en-NZ"/>
        </w:rPr>
      </w:pPr>
      <w:bookmarkStart w:id="93" w:name="_Toc83037214"/>
      <w:bookmarkStart w:id="94" w:name="_Toc84582314"/>
      <w:r w:rsidRPr="00705F47">
        <w:rPr>
          <w:lang w:eastAsia="en-NZ"/>
        </w:rPr>
        <w:lastRenderedPageBreak/>
        <w:t>Duration of pregnancy</w:t>
      </w:r>
      <w:bookmarkEnd w:id="93"/>
      <w:bookmarkEnd w:id="94"/>
    </w:p>
    <w:p w14:paraId="10E13A45" w14:textId="421CCD3C" w:rsidR="00AD2DF9" w:rsidRDefault="00AD2DF9" w:rsidP="00301720">
      <w:pPr>
        <w:rPr>
          <w:rFonts w:eastAsia="Segoe UI"/>
        </w:rPr>
      </w:pPr>
      <w:r w:rsidRPr="00705F47">
        <w:rPr>
          <w:rFonts w:eastAsia="Segoe UI"/>
        </w:rPr>
        <w:t>In 2020, 45% of abortions (5,965 abortions) were accessed before eight weeks</w:t>
      </w:r>
      <w:r w:rsidR="000E4CE5">
        <w:rPr>
          <w:rFonts w:eastAsia="Segoe UI"/>
        </w:rPr>
        <w:t>’</w:t>
      </w:r>
      <w:r w:rsidRPr="00705F47">
        <w:rPr>
          <w:rFonts w:eastAsia="Segoe UI"/>
        </w:rPr>
        <w:t xml:space="preserve"> gestation, compared with only 27% of patients in 2019 (</w:t>
      </w:r>
      <w:r w:rsidRPr="00705F47">
        <w:rPr>
          <w:rFonts w:eastAsia="Segoe UI"/>
        </w:rPr>
        <w:fldChar w:fldCharType="begin"/>
      </w:r>
      <w:r w:rsidRPr="00705F47">
        <w:rPr>
          <w:rFonts w:eastAsia="Segoe UI"/>
        </w:rPr>
        <w:instrText xml:space="preserve"> REF _Ref83016295 \h </w:instrText>
      </w:r>
      <w:r w:rsidRPr="00705F47">
        <w:rPr>
          <w:rFonts w:eastAsia="Segoe UI"/>
        </w:rPr>
      </w:r>
      <w:r w:rsidRPr="00705F47">
        <w:rPr>
          <w:rFonts w:eastAsia="Segoe UI"/>
        </w:rPr>
        <w:fldChar w:fldCharType="separate"/>
      </w:r>
      <w:r w:rsidR="0090485D">
        <w:t>Table </w:t>
      </w:r>
      <w:r w:rsidR="0090485D">
        <w:rPr>
          <w:noProof/>
        </w:rPr>
        <w:t>7</w:t>
      </w:r>
      <w:r w:rsidR="0090485D">
        <w:t>.</w:t>
      </w:r>
      <w:r w:rsidR="0090485D">
        <w:rPr>
          <w:noProof/>
        </w:rPr>
        <w:t>1</w:t>
      </w:r>
      <w:r w:rsidRPr="00705F47">
        <w:rPr>
          <w:rFonts w:eastAsia="Segoe UI"/>
        </w:rPr>
        <w:fldChar w:fldCharType="end"/>
      </w:r>
      <w:r w:rsidRPr="00705F47">
        <w:rPr>
          <w:rFonts w:eastAsia="Segoe UI"/>
        </w:rPr>
        <w:t xml:space="preserve"> and </w:t>
      </w:r>
      <w:r w:rsidRPr="00705F47">
        <w:rPr>
          <w:rFonts w:eastAsia="Segoe UI"/>
        </w:rPr>
        <w:fldChar w:fldCharType="begin"/>
      </w:r>
      <w:r w:rsidRPr="00705F47">
        <w:rPr>
          <w:rFonts w:eastAsia="Segoe UI"/>
        </w:rPr>
        <w:instrText xml:space="preserve"> REF _Ref83016365 \h </w:instrText>
      </w:r>
      <w:r w:rsidRPr="00705F47">
        <w:rPr>
          <w:rFonts w:eastAsia="Segoe UI"/>
        </w:rPr>
      </w:r>
      <w:r w:rsidRPr="00705F47">
        <w:rPr>
          <w:rFonts w:eastAsia="Segoe UI"/>
        </w:rPr>
        <w:fldChar w:fldCharType="separate"/>
      </w:r>
      <w:r w:rsidR="0090485D">
        <w:t>Figure </w:t>
      </w:r>
      <w:r w:rsidR="0090485D">
        <w:rPr>
          <w:noProof/>
        </w:rPr>
        <w:t>7</w:t>
      </w:r>
      <w:r w:rsidR="0090485D">
        <w:t>.</w:t>
      </w:r>
      <w:r w:rsidR="0090485D">
        <w:rPr>
          <w:noProof/>
        </w:rPr>
        <w:t>1</w:t>
      </w:r>
      <w:r w:rsidRPr="00705F47">
        <w:rPr>
          <w:rFonts w:eastAsia="Segoe UI"/>
        </w:rPr>
        <w:fldChar w:fldCharType="end"/>
      </w:r>
      <w:r w:rsidRPr="00705F47">
        <w:rPr>
          <w:rFonts w:eastAsia="Segoe UI"/>
        </w:rPr>
        <w:t>). Rangatahi aged under 20 years tended to access abortion slightly later than other age groups. Only 39% of those aged under 20 years accessed abortion before eight weeks; however, this is a significant improvement compared with 2019 when only 24% accessed abortion in that timeframe. While this may be an early indication that changes such as self-referral are improving access, we will continue to monitor trends over the coming years and hope to see continued earlier access to abortion.</w:t>
      </w:r>
    </w:p>
    <w:p w14:paraId="2B852EC0" w14:textId="77777777" w:rsidR="00301720" w:rsidRPr="00705F47" w:rsidRDefault="00301720" w:rsidP="006F1FAC">
      <w:pPr>
        <w:rPr>
          <w:rFonts w:eastAsia="Segoe UI"/>
        </w:rPr>
      </w:pPr>
    </w:p>
    <w:p w14:paraId="2F5F52BE" w14:textId="216EEB75" w:rsidR="00AD2DF9" w:rsidRPr="00705F47" w:rsidRDefault="00301720" w:rsidP="00301720">
      <w:pPr>
        <w:pStyle w:val="Table"/>
        <w:rPr>
          <w:lang w:eastAsia="en-NZ"/>
        </w:rPr>
      </w:pPr>
      <w:bookmarkStart w:id="95" w:name="_Ref83016295"/>
      <w:bookmarkStart w:id="96" w:name="_Toc83037708"/>
      <w:bookmarkStart w:id="97" w:name="_Toc83367100"/>
      <w:r>
        <w:t>Table </w:t>
      </w:r>
      <w:r w:rsidR="009E3B78">
        <w:fldChar w:fldCharType="begin"/>
      </w:r>
      <w:r w:rsidR="009E3B78">
        <w:instrText xml:space="preserve"> STYLEREF 2 \s </w:instrText>
      </w:r>
      <w:r w:rsidR="009E3B78">
        <w:fldChar w:fldCharType="separate"/>
      </w:r>
      <w:r w:rsidR="0090485D">
        <w:rPr>
          <w:noProof/>
        </w:rPr>
        <w:t>7</w:t>
      </w:r>
      <w:r w:rsidR="009E3B78">
        <w:rPr>
          <w:noProof/>
        </w:rPr>
        <w:fldChar w:fldCharType="end"/>
      </w:r>
      <w:r>
        <w:t>.</w:t>
      </w:r>
      <w:r w:rsidR="009E3B78">
        <w:fldChar w:fldCharType="begin"/>
      </w:r>
      <w:r w:rsidR="009E3B78">
        <w:instrText xml:space="preserve"> SEQ Table \* ARABIC \s 2 </w:instrText>
      </w:r>
      <w:r w:rsidR="009E3B78">
        <w:fldChar w:fldCharType="separate"/>
      </w:r>
      <w:r w:rsidR="0090485D">
        <w:rPr>
          <w:noProof/>
        </w:rPr>
        <w:t>1</w:t>
      </w:r>
      <w:r w:rsidR="009E3B78">
        <w:rPr>
          <w:noProof/>
        </w:rPr>
        <w:fldChar w:fldCharType="end"/>
      </w:r>
      <w:bookmarkEnd w:id="95"/>
      <w:r w:rsidR="00AD2DF9" w:rsidRPr="00705F47">
        <w:rPr>
          <w:lang w:eastAsia="en-NZ"/>
        </w:rPr>
        <w:t>: Number of abortions by age group and duration of pregnancy, 2020</w:t>
      </w:r>
      <w:bookmarkEnd w:id="96"/>
      <w:bookmarkEnd w:id="97"/>
    </w:p>
    <w:tbl>
      <w:tblPr>
        <w:tblW w:w="8080" w:type="dxa"/>
        <w:tblInd w:w="57" w:type="dxa"/>
        <w:tblLayout w:type="fixed"/>
        <w:tblCellMar>
          <w:left w:w="57" w:type="dxa"/>
          <w:right w:w="57" w:type="dxa"/>
        </w:tblCellMar>
        <w:tblLook w:val="04A0" w:firstRow="1" w:lastRow="0" w:firstColumn="1" w:lastColumn="0" w:noHBand="0" w:noVBand="1"/>
      </w:tblPr>
      <w:tblGrid>
        <w:gridCol w:w="1097"/>
        <w:gridCol w:w="997"/>
        <w:gridCol w:w="998"/>
        <w:gridCol w:w="997"/>
        <w:gridCol w:w="998"/>
        <w:gridCol w:w="997"/>
        <w:gridCol w:w="1146"/>
        <w:gridCol w:w="850"/>
      </w:tblGrid>
      <w:tr w:rsidR="00AD2DF9" w:rsidRPr="00705F47" w14:paraId="6008F7EB" w14:textId="77777777" w:rsidTr="006F1FAC">
        <w:trPr>
          <w:cantSplit/>
        </w:trPr>
        <w:tc>
          <w:tcPr>
            <w:tcW w:w="1097" w:type="dxa"/>
            <w:vMerge w:val="restart"/>
            <w:shd w:val="clear" w:color="auto" w:fill="D9D9D9" w:themeFill="background1" w:themeFillShade="D9"/>
            <w:hideMark/>
          </w:tcPr>
          <w:p w14:paraId="76F61870" w14:textId="77777777" w:rsidR="00AD2DF9" w:rsidRPr="006F1FAC" w:rsidRDefault="00AD2DF9" w:rsidP="00DE2E54">
            <w:pPr>
              <w:pStyle w:val="TableText"/>
              <w:rPr>
                <w:b/>
                <w:lang w:eastAsia="en-NZ"/>
              </w:rPr>
            </w:pPr>
            <w:r w:rsidRPr="006F1FAC">
              <w:rPr>
                <w:b/>
                <w:lang w:eastAsia="en-NZ"/>
              </w:rPr>
              <w:t>Age (years)</w:t>
            </w:r>
          </w:p>
        </w:tc>
        <w:tc>
          <w:tcPr>
            <w:tcW w:w="6983" w:type="dxa"/>
            <w:gridSpan w:val="7"/>
            <w:shd w:val="clear" w:color="auto" w:fill="D9D9D9" w:themeFill="background1" w:themeFillShade="D9"/>
            <w:noWrap/>
            <w:hideMark/>
          </w:tcPr>
          <w:p w14:paraId="5A148396" w14:textId="77777777" w:rsidR="00AD2DF9" w:rsidRPr="006F1FAC" w:rsidRDefault="00AD2DF9" w:rsidP="00DE2E54">
            <w:pPr>
              <w:pStyle w:val="TableText"/>
              <w:spacing w:after="0"/>
              <w:jc w:val="center"/>
              <w:rPr>
                <w:b/>
                <w:lang w:eastAsia="en-NZ"/>
              </w:rPr>
            </w:pPr>
            <w:r w:rsidRPr="006F1FAC">
              <w:rPr>
                <w:b/>
                <w:lang w:eastAsia="en-NZ"/>
              </w:rPr>
              <w:t>Duration of pregnancy (weeks)</w:t>
            </w:r>
          </w:p>
        </w:tc>
      </w:tr>
      <w:tr w:rsidR="00AD2DF9" w:rsidRPr="00705F47" w14:paraId="6FD8E50C" w14:textId="77777777" w:rsidTr="006F1FAC">
        <w:trPr>
          <w:cantSplit/>
        </w:trPr>
        <w:tc>
          <w:tcPr>
            <w:tcW w:w="1097" w:type="dxa"/>
            <w:vMerge/>
            <w:shd w:val="clear" w:color="auto" w:fill="D9D9D9" w:themeFill="background1" w:themeFillShade="D9"/>
            <w:hideMark/>
          </w:tcPr>
          <w:p w14:paraId="531BD7D3" w14:textId="77777777" w:rsidR="00AD2DF9" w:rsidRPr="006F1FAC" w:rsidRDefault="00AD2DF9" w:rsidP="00DE2E54">
            <w:pPr>
              <w:pStyle w:val="TableText"/>
              <w:rPr>
                <w:b/>
                <w:lang w:eastAsia="en-NZ"/>
              </w:rPr>
            </w:pPr>
          </w:p>
        </w:tc>
        <w:tc>
          <w:tcPr>
            <w:tcW w:w="997" w:type="dxa"/>
            <w:shd w:val="clear" w:color="auto" w:fill="D9D9D9" w:themeFill="background1" w:themeFillShade="D9"/>
            <w:hideMark/>
          </w:tcPr>
          <w:p w14:paraId="6E33913E" w14:textId="77777777" w:rsidR="00AD2DF9" w:rsidRPr="006F1FAC" w:rsidRDefault="00AD2DF9" w:rsidP="00DE2E54">
            <w:pPr>
              <w:pStyle w:val="TableText"/>
              <w:spacing w:before="0"/>
              <w:jc w:val="center"/>
              <w:rPr>
                <w:b/>
                <w:lang w:eastAsia="en-NZ"/>
              </w:rPr>
            </w:pPr>
            <w:r w:rsidRPr="006F1FAC">
              <w:rPr>
                <w:b/>
                <w:lang w:eastAsia="en-NZ"/>
              </w:rPr>
              <w:t>Total</w:t>
            </w:r>
          </w:p>
        </w:tc>
        <w:tc>
          <w:tcPr>
            <w:tcW w:w="998" w:type="dxa"/>
            <w:shd w:val="clear" w:color="auto" w:fill="D9D9D9" w:themeFill="background1" w:themeFillShade="D9"/>
            <w:hideMark/>
          </w:tcPr>
          <w:p w14:paraId="4B57DE53" w14:textId="77777777" w:rsidR="00AD2DF9" w:rsidRPr="006F1FAC" w:rsidRDefault="00AD2DF9" w:rsidP="00DE2E54">
            <w:pPr>
              <w:pStyle w:val="TableText"/>
              <w:spacing w:before="0"/>
              <w:jc w:val="center"/>
              <w:rPr>
                <w:b/>
                <w:lang w:eastAsia="en-NZ"/>
              </w:rPr>
            </w:pPr>
            <w:r w:rsidRPr="006F1FAC">
              <w:rPr>
                <w:b/>
                <w:lang w:eastAsia="en-NZ"/>
              </w:rPr>
              <w:t>Under 8</w:t>
            </w:r>
          </w:p>
        </w:tc>
        <w:tc>
          <w:tcPr>
            <w:tcW w:w="997" w:type="dxa"/>
            <w:shd w:val="clear" w:color="auto" w:fill="D9D9D9" w:themeFill="background1" w:themeFillShade="D9"/>
            <w:hideMark/>
          </w:tcPr>
          <w:p w14:paraId="04F8F816" w14:textId="77777777" w:rsidR="00AD2DF9" w:rsidRPr="006F1FAC" w:rsidRDefault="00AD2DF9" w:rsidP="00DE2E54">
            <w:pPr>
              <w:pStyle w:val="TableText"/>
              <w:spacing w:before="0"/>
              <w:jc w:val="center"/>
              <w:rPr>
                <w:b/>
                <w:lang w:eastAsia="en-NZ"/>
              </w:rPr>
            </w:pPr>
            <w:r w:rsidRPr="006F1FAC">
              <w:rPr>
                <w:b/>
                <w:lang w:eastAsia="en-NZ"/>
              </w:rPr>
              <w:t>8–12</w:t>
            </w:r>
          </w:p>
        </w:tc>
        <w:tc>
          <w:tcPr>
            <w:tcW w:w="998" w:type="dxa"/>
            <w:shd w:val="clear" w:color="auto" w:fill="D9D9D9" w:themeFill="background1" w:themeFillShade="D9"/>
            <w:hideMark/>
          </w:tcPr>
          <w:p w14:paraId="5E5226FA" w14:textId="77777777" w:rsidR="00AD2DF9" w:rsidRPr="006F1FAC" w:rsidRDefault="00AD2DF9" w:rsidP="00DE2E54">
            <w:pPr>
              <w:pStyle w:val="TableText"/>
              <w:spacing w:before="0"/>
              <w:jc w:val="center"/>
              <w:rPr>
                <w:b/>
                <w:lang w:eastAsia="en-NZ"/>
              </w:rPr>
            </w:pPr>
            <w:r w:rsidRPr="006F1FAC">
              <w:rPr>
                <w:b/>
                <w:lang w:eastAsia="en-NZ"/>
              </w:rPr>
              <w:t>13–16</w:t>
            </w:r>
          </w:p>
        </w:tc>
        <w:tc>
          <w:tcPr>
            <w:tcW w:w="997" w:type="dxa"/>
            <w:shd w:val="clear" w:color="auto" w:fill="D9D9D9" w:themeFill="background1" w:themeFillShade="D9"/>
            <w:hideMark/>
          </w:tcPr>
          <w:p w14:paraId="10AE2D80" w14:textId="77777777" w:rsidR="00AD2DF9" w:rsidRPr="006F1FAC" w:rsidRDefault="00AD2DF9" w:rsidP="00DE2E54">
            <w:pPr>
              <w:pStyle w:val="TableText"/>
              <w:spacing w:before="0"/>
              <w:jc w:val="center"/>
              <w:rPr>
                <w:b/>
                <w:lang w:eastAsia="en-NZ"/>
              </w:rPr>
            </w:pPr>
            <w:r w:rsidRPr="006F1FAC">
              <w:rPr>
                <w:b/>
                <w:lang w:eastAsia="en-NZ"/>
              </w:rPr>
              <w:t>17–20</w:t>
            </w:r>
          </w:p>
        </w:tc>
        <w:tc>
          <w:tcPr>
            <w:tcW w:w="1146" w:type="dxa"/>
            <w:shd w:val="clear" w:color="auto" w:fill="D9D9D9" w:themeFill="background1" w:themeFillShade="D9"/>
            <w:hideMark/>
          </w:tcPr>
          <w:p w14:paraId="05143177" w14:textId="77777777" w:rsidR="00AD2DF9" w:rsidRPr="006F1FAC" w:rsidRDefault="00AD2DF9" w:rsidP="00DE2E54">
            <w:pPr>
              <w:pStyle w:val="TableText"/>
              <w:spacing w:before="0"/>
              <w:jc w:val="center"/>
              <w:rPr>
                <w:b/>
                <w:lang w:eastAsia="en-NZ"/>
              </w:rPr>
            </w:pPr>
            <w:r w:rsidRPr="006F1FAC">
              <w:rPr>
                <w:b/>
                <w:lang w:eastAsia="en-NZ"/>
              </w:rPr>
              <w:t>21 and over</w:t>
            </w:r>
          </w:p>
        </w:tc>
        <w:tc>
          <w:tcPr>
            <w:tcW w:w="850" w:type="dxa"/>
            <w:shd w:val="clear" w:color="auto" w:fill="D9D9D9" w:themeFill="background1" w:themeFillShade="D9"/>
            <w:noWrap/>
            <w:hideMark/>
          </w:tcPr>
          <w:p w14:paraId="72BA4AEA" w14:textId="77777777" w:rsidR="00AD2DF9" w:rsidRPr="006F1FAC" w:rsidRDefault="00AD2DF9" w:rsidP="00DE2E54">
            <w:pPr>
              <w:pStyle w:val="TableText"/>
              <w:spacing w:before="0"/>
              <w:jc w:val="center"/>
              <w:rPr>
                <w:b/>
                <w:lang w:eastAsia="en-NZ"/>
              </w:rPr>
            </w:pPr>
            <w:r w:rsidRPr="006F1FAC">
              <w:rPr>
                <w:b/>
                <w:lang w:eastAsia="en-NZ"/>
              </w:rPr>
              <w:t>Missing</w:t>
            </w:r>
          </w:p>
        </w:tc>
      </w:tr>
      <w:tr w:rsidR="00AD2DF9" w:rsidRPr="006F1FAC" w14:paraId="49E96302" w14:textId="77777777" w:rsidTr="006F1FAC">
        <w:trPr>
          <w:cantSplit/>
        </w:trPr>
        <w:tc>
          <w:tcPr>
            <w:tcW w:w="1097" w:type="dxa"/>
            <w:tcBorders>
              <w:bottom w:val="single" w:sz="4" w:space="0" w:color="A6A6A6" w:themeColor="background1" w:themeShade="A6"/>
            </w:tcBorders>
            <w:shd w:val="clear" w:color="auto" w:fill="auto"/>
            <w:hideMark/>
          </w:tcPr>
          <w:p w14:paraId="6ED7E8E1" w14:textId="77777777" w:rsidR="00AD2DF9" w:rsidRPr="006F1FAC" w:rsidRDefault="00AD2DF9" w:rsidP="00DE2E54">
            <w:pPr>
              <w:pStyle w:val="TableText"/>
              <w:rPr>
                <w:b/>
                <w:bCs/>
                <w:lang w:eastAsia="en-NZ"/>
              </w:rPr>
            </w:pPr>
            <w:r w:rsidRPr="006F1FAC">
              <w:rPr>
                <w:b/>
                <w:bCs/>
                <w:lang w:eastAsia="en-NZ"/>
              </w:rPr>
              <w:t>All ages</w:t>
            </w:r>
          </w:p>
        </w:tc>
        <w:tc>
          <w:tcPr>
            <w:tcW w:w="997" w:type="dxa"/>
            <w:tcBorders>
              <w:bottom w:val="single" w:sz="4" w:space="0" w:color="A6A6A6" w:themeColor="background1" w:themeShade="A6"/>
            </w:tcBorders>
            <w:shd w:val="clear" w:color="auto" w:fill="auto"/>
            <w:noWrap/>
            <w:hideMark/>
          </w:tcPr>
          <w:p w14:paraId="6C0DF2C0" w14:textId="77777777" w:rsidR="00AD2DF9" w:rsidRPr="006F1FAC" w:rsidRDefault="00AD2DF9" w:rsidP="00DE2E54">
            <w:pPr>
              <w:pStyle w:val="TableText"/>
              <w:tabs>
                <w:tab w:val="decimal" w:pos="689"/>
              </w:tabs>
              <w:rPr>
                <w:b/>
                <w:bCs/>
                <w:lang w:eastAsia="en-NZ"/>
              </w:rPr>
            </w:pPr>
            <w:r w:rsidRPr="006F1FAC">
              <w:rPr>
                <w:b/>
                <w:bCs/>
                <w:lang w:eastAsia="en-NZ"/>
              </w:rPr>
              <w:t>13,246</w:t>
            </w:r>
          </w:p>
        </w:tc>
        <w:tc>
          <w:tcPr>
            <w:tcW w:w="998" w:type="dxa"/>
            <w:tcBorders>
              <w:bottom w:val="single" w:sz="4" w:space="0" w:color="A6A6A6" w:themeColor="background1" w:themeShade="A6"/>
            </w:tcBorders>
            <w:shd w:val="clear" w:color="auto" w:fill="auto"/>
            <w:noWrap/>
            <w:hideMark/>
          </w:tcPr>
          <w:p w14:paraId="6E26A90E" w14:textId="77777777" w:rsidR="00AD2DF9" w:rsidRPr="006F1FAC" w:rsidRDefault="00AD2DF9" w:rsidP="00DE2E54">
            <w:pPr>
              <w:pStyle w:val="TableText"/>
              <w:tabs>
                <w:tab w:val="decimal" w:pos="684"/>
              </w:tabs>
              <w:rPr>
                <w:b/>
                <w:bCs/>
                <w:lang w:eastAsia="en-NZ"/>
              </w:rPr>
            </w:pPr>
            <w:r w:rsidRPr="006F1FAC">
              <w:rPr>
                <w:b/>
                <w:bCs/>
                <w:lang w:eastAsia="en-NZ"/>
              </w:rPr>
              <w:t>5,965</w:t>
            </w:r>
          </w:p>
        </w:tc>
        <w:tc>
          <w:tcPr>
            <w:tcW w:w="997" w:type="dxa"/>
            <w:tcBorders>
              <w:bottom w:val="single" w:sz="4" w:space="0" w:color="A6A6A6" w:themeColor="background1" w:themeShade="A6"/>
            </w:tcBorders>
            <w:shd w:val="clear" w:color="auto" w:fill="auto"/>
            <w:noWrap/>
            <w:hideMark/>
          </w:tcPr>
          <w:p w14:paraId="5C308149" w14:textId="77777777" w:rsidR="00AD2DF9" w:rsidRPr="006F1FAC" w:rsidRDefault="00AD2DF9" w:rsidP="00DE2E54">
            <w:pPr>
              <w:pStyle w:val="TableText"/>
              <w:tabs>
                <w:tab w:val="decimal" w:pos="684"/>
              </w:tabs>
              <w:rPr>
                <w:b/>
                <w:bCs/>
                <w:lang w:eastAsia="en-NZ"/>
              </w:rPr>
            </w:pPr>
            <w:r w:rsidRPr="006F1FAC">
              <w:rPr>
                <w:b/>
                <w:bCs/>
                <w:lang w:eastAsia="en-NZ"/>
              </w:rPr>
              <w:t>6,272</w:t>
            </w:r>
          </w:p>
        </w:tc>
        <w:tc>
          <w:tcPr>
            <w:tcW w:w="998" w:type="dxa"/>
            <w:tcBorders>
              <w:bottom w:val="single" w:sz="4" w:space="0" w:color="A6A6A6" w:themeColor="background1" w:themeShade="A6"/>
            </w:tcBorders>
            <w:shd w:val="clear" w:color="auto" w:fill="auto"/>
            <w:noWrap/>
            <w:hideMark/>
          </w:tcPr>
          <w:p w14:paraId="4BDCA975" w14:textId="77777777" w:rsidR="00AD2DF9" w:rsidRPr="006F1FAC" w:rsidRDefault="00AD2DF9" w:rsidP="00DE2E54">
            <w:pPr>
              <w:pStyle w:val="TableText"/>
              <w:tabs>
                <w:tab w:val="decimal" w:pos="553"/>
              </w:tabs>
              <w:rPr>
                <w:b/>
                <w:bCs/>
                <w:lang w:eastAsia="en-NZ"/>
              </w:rPr>
            </w:pPr>
            <w:r w:rsidRPr="006F1FAC">
              <w:rPr>
                <w:b/>
                <w:bCs/>
                <w:lang w:eastAsia="en-NZ"/>
              </w:rPr>
              <w:t>698</w:t>
            </w:r>
          </w:p>
        </w:tc>
        <w:tc>
          <w:tcPr>
            <w:tcW w:w="997" w:type="dxa"/>
            <w:tcBorders>
              <w:bottom w:val="single" w:sz="4" w:space="0" w:color="A6A6A6" w:themeColor="background1" w:themeShade="A6"/>
            </w:tcBorders>
            <w:shd w:val="clear" w:color="auto" w:fill="auto"/>
            <w:noWrap/>
            <w:hideMark/>
          </w:tcPr>
          <w:p w14:paraId="6B5DC278" w14:textId="77777777" w:rsidR="00AD2DF9" w:rsidRPr="006F1FAC" w:rsidRDefault="00AD2DF9" w:rsidP="00DE2E54">
            <w:pPr>
              <w:pStyle w:val="TableText"/>
              <w:tabs>
                <w:tab w:val="decimal" w:pos="553"/>
              </w:tabs>
              <w:rPr>
                <w:b/>
                <w:bCs/>
                <w:lang w:eastAsia="en-NZ"/>
              </w:rPr>
            </w:pPr>
            <w:r w:rsidRPr="006F1FAC">
              <w:rPr>
                <w:b/>
                <w:bCs/>
                <w:lang w:eastAsia="en-NZ"/>
              </w:rPr>
              <w:t>208</w:t>
            </w:r>
          </w:p>
        </w:tc>
        <w:tc>
          <w:tcPr>
            <w:tcW w:w="1146" w:type="dxa"/>
            <w:tcBorders>
              <w:bottom w:val="single" w:sz="4" w:space="0" w:color="A6A6A6" w:themeColor="background1" w:themeShade="A6"/>
            </w:tcBorders>
            <w:shd w:val="clear" w:color="auto" w:fill="auto"/>
            <w:noWrap/>
            <w:hideMark/>
          </w:tcPr>
          <w:p w14:paraId="06FA750D" w14:textId="77777777" w:rsidR="00AD2DF9" w:rsidRPr="006F1FAC" w:rsidRDefault="00AD2DF9" w:rsidP="00DE2E54">
            <w:pPr>
              <w:pStyle w:val="TableText"/>
              <w:tabs>
                <w:tab w:val="decimal" w:pos="601"/>
              </w:tabs>
              <w:rPr>
                <w:b/>
                <w:bCs/>
                <w:lang w:eastAsia="en-NZ"/>
              </w:rPr>
            </w:pPr>
            <w:r w:rsidRPr="006F1FAC">
              <w:rPr>
                <w:b/>
                <w:bCs/>
                <w:lang w:eastAsia="en-NZ"/>
              </w:rPr>
              <w:t>102</w:t>
            </w:r>
          </w:p>
        </w:tc>
        <w:tc>
          <w:tcPr>
            <w:tcW w:w="850" w:type="dxa"/>
            <w:tcBorders>
              <w:bottom w:val="single" w:sz="4" w:space="0" w:color="A6A6A6" w:themeColor="background1" w:themeShade="A6"/>
            </w:tcBorders>
            <w:shd w:val="clear" w:color="auto" w:fill="auto"/>
            <w:hideMark/>
          </w:tcPr>
          <w:p w14:paraId="51692626" w14:textId="77777777" w:rsidR="00AD2DF9" w:rsidRPr="006F1FAC" w:rsidRDefault="00AD2DF9" w:rsidP="00DE2E54">
            <w:pPr>
              <w:pStyle w:val="TableText"/>
              <w:jc w:val="center"/>
              <w:rPr>
                <w:b/>
                <w:bCs/>
                <w:lang w:eastAsia="en-NZ"/>
              </w:rPr>
            </w:pPr>
            <w:r w:rsidRPr="006F1FAC">
              <w:rPr>
                <w:b/>
                <w:bCs/>
                <w:lang w:eastAsia="en-NZ"/>
              </w:rPr>
              <w:t>1</w:t>
            </w:r>
          </w:p>
        </w:tc>
      </w:tr>
      <w:tr w:rsidR="00AD2DF9" w:rsidRPr="00705F47" w14:paraId="2772E9AC" w14:textId="77777777" w:rsidTr="006F1FAC">
        <w:trPr>
          <w:cantSplit/>
        </w:trPr>
        <w:tc>
          <w:tcPr>
            <w:tcW w:w="1097" w:type="dxa"/>
            <w:tcBorders>
              <w:top w:val="single" w:sz="4" w:space="0" w:color="A6A6A6" w:themeColor="background1" w:themeShade="A6"/>
              <w:bottom w:val="single" w:sz="4" w:space="0" w:color="A6A6A6" w:themeColor="background1" w:themeShade="A6"/>
            </w:tcBorders>
            <w:shd w:val="clear" w:color="auto" w:fill="auto"/>
            <w:hideMark/>
          </w:tcPr>
          <w:p w14:paraId="19883073" w14:textId="77777777" w:rsidR="00AD2DF9" w:rsidRPr="00705F47" w:rsidRDefault="00AD2DF9" w:rsidP="00DE2E54">
            <w:pPr>
              <w:pStyle w:val="TableText"/>
              <w:rPr>
                <w:lang w:eastAsia="en-NZ"/>
              </w:rPr>
            </w:pPr>
            <w:r w:rsidRPr="00705F47">
              <w:rPr>
                <w:lang w:eastAsia="en-NZ"/>
              </w:rPr>
              <w:t>Under 20</w:t>
            </w:r>
          </w:p>
        </w:tc>
        <w:tc>
          <w:tcPr>
            <w:tcW w:w="997" w:type="dxa"/>
            <w:tcBorders>
              <w:top w:val="single" w:sz="4" w:space="0" w:color="A6A6A6" w:themeColor="background1" w:themeShade="A6"/>
              <w:bottom w:val="single" w:sz="4" w:space="0" w:color="A6A6A6" w:themeColor="background1" w:themeShade="A6"/>
            </w:tcBorders>
            <w:shd w:val="clear" w:color="auto" w:fill="auto"/>
            <w:noWrap/>
            <w:hideMark/>
          </w:tcPr>
          <w:p w14:paraId="18B774C3" w14:textId="77777777" w:rsidR="00AD2DF9" w:rsidRPr="00705F47" w:rsidRDefault="00AD2DF9" w:rsidP="00DE2E54">
            <w:pPr>
              <w:pStyle w:val="TableText"/>
              <w:tabs>
                <w:tab w:val="decimal" w:pos="689"/>
              </w:tabs>
              <w:rPr>
                <w:lang w:eastAsia="en-NZ"/>
              </w:rPr>
            </w:pPr>
            <w:r w:rsidRPr="00705F47">
              <w:rPr>
                <w:lang w:eastAsia="en-NZ"/>
              </w:rPr>
              <w:t>1,253</w:t>
            </w:r>
          </w:p>
        </w:tc>
        <w:tc>
          <w:tcPr>
            <w:tcW w:w="998" w:type="dxa"/>
            <w:tcBorders>
              <w:top w:val="single" w:sz="4" w:space="0" w:color="A6A6A6" w:themeColor="background1" w:themeShade="A6"/>
              <w:bottom w:val="single" w:sz="4" w:space="0" w:color="A6A6A6" w:themeColor="background1" w:themeShade="A6"/>
            </w:tcBorders>
            <w:shd w:val="clear" w:color="auto" w:fill="auto"/>
            <w:noWrap/>
            <w:hideMark/>
          </w:tcPr>
          <w:p w14:paraId="51070D2B" w14:textId="77777777" w:rsidR="00AD2DF9" w:rsidRPr="00705F47" w:rsidRDefault="00AD2DF9" w:rsidP="00DE2E54">
            <w:pPr>
              <w:pStyle w:val="TableText"/>
              <w:tabs>
                <w:tab w:val="decimal" w:pos="684"/>
              </w:tabs>
              <w:rPr>
                <w:lang w:eastAsia="en-NZ"/>
              </w:rPr>
            </w:pPr>
            <w:r w:rsidRPr="00705F47">
              <w:rPr>
                <w:lang w:eastAsia="en-NZ"/>
              </w:rPr>
              <w:t>489</w:t>
            </w:r>
          </w:p>
        </w:tc>
        <w:tc>
          <w:tcPr>
            <w:tcW w:w="997" w:type="dxa"/>
            <w:tcBorders>
              <w:top w:val="single" w:sz="4" w:space="0" w:color="A6A6A6" w:themeColor="background1" w:themeShade="A6"/>
              <w:bottom w:val="single" w:sz="4" w:space="0" w:color="A6A6A6" w:themeColor="background1" w:themeShade="A6"/>
            </w:tcBorders>
            <w:shd w:val="clear" w:color="auto" w:fill="auto"/>
            <w:noWrap/>
            <w:hideMark/>
          </w:tcPr>
          <w:p w14:paraId="16910A88" w14:textId="77777777" w:rsidR="00AD2DF9" w:rsidRPr="00705F47" w:rsidRDefault="00AD2DF9" w:rsidP="00DE2E54">
            <w:pPr>
              <w:pStyle w:val="TableText"/>
              <w:tabs>
                <w:tab w:val="decimal" w:pos="684"/>
              </w:tabs>
              <w:rPr>
                <w:lang w:eastAsia="en-NZ"/>
              </w:rPr>
            </w:pPr>
            <w:r w:rsidRPr="00705F47">
              <w:rPr>
                <w:lang w:eastAsia="en-NZ"/>
              </w:rPr>
              <w:t>661</w:t>
            </w:r>
          </w:p>
        </w:tc>
        <w:tc>
          <w:tcPr>
            <w:tcW w:w="998" w:type="dxa"/>
            <w:tcBorders>
              <w:top w:val="single" w:sz="4" w:space="0" w:color="A6A6A6" w:themeColor="background1" w:themeShade="A6"/>
              <w:bottom w:val="single" w:sz="4" w:space="0" w:color="A6A6A6" w:themeColor="background1" w:themeShade="A6"/>
            </w:tcBorders>
            <w:shd w:val="clear" w:color="auto" w:fill="auto"/>
            <w:noWrap/>
            <w:hideMark/>
          </w:tcPr>
          <w:p w14:paraId="554DCA10" w14:textId="77777777" w:rsidR="00AD2DF9" w:rsidRPr="00705F47" w:rsidRDefault="00AD2DF9" w:rsidP="00DE2E54">
            <w:pPr>
              <w:pStyle w:val="TableText"/>
              <w:tabs>
                <w:tab w:val="decimal" w:pos="553"/>
              </w:tabs>
              <w:rPr>
                <w:lang w:eastAsia="en-NZ"/>
              </w:rPr>
            </w:pPr>
            <w:r w:rsidRPr="00705F47">
              <w:rPr>
                <w:lang w:eastAsia="en-NZ"/>
              </w:rPr>
              <w:t>82</w:t>
            </w:r>
          </w:p>
        </w:tc>
        <w:tc>
          <w:tcPr>
            <w:tcW w:w="997" w:type="dxa"/>
            <w:tcBorders>
              <w:top w:val="single" w:sz="4" w:space="0" w:color="A6A6A6" w:themeColor="background1" w:themeShade="A6"/>
              <w:bottom w:val="single" w:sz="4" w:space="0" w:color="A6A6A6" w:themeColor="background1" w:themeShade="A6"/>
            </w:tcBorders>
            <w:shd w:val="clear" w:color="auto" w:fill="auto"/>
            <w:noWrap/>
            <w:hideMark/>
          </w:tcPr>
          <w:p w14:paraId="244DACAB" w14:textId="77777777" w:rsidR="00AD2DF9" w:rsidRPr="00705F47" w:rsidRDefault="00AD2DF9" w:rsidP="00DE2E54">
            <w:pPr>
              <w:pStyle w:val="TableText"/>
              <w:tabs>
                <w:tab w:val="decimal" w:pos="553"/>
              </w:tabs>
              <w:rPr>
                <w:lang w:eastAsia="en-NZ"/>
              </w:rPr>
            </w:pPr>
            <w:r w:rsidRPr="00705F47">
              <w:rPr>
                <w:lang w:eastAsia="en-NZ"/>
              </w:rPr>
              <w:t>16</w:t>
            </w:r>
          </w:p>
        </w:tc>
        <w:tc>
          <w:tcPr>
            <w:tcW w:w="1146" w:type="dxa"/>
            <w:tcBorders>
              <w:top w:val="single" w:sz="4" w:space="0" w:color="A6A6A6" w:themeColor="background1" w:themeShade="A6"/>
              <w:bottom w:val="single" w:sz="4" w:space="0" w:color="A6A6A6" w:themeColor="background1" w:themeShade="A6"/>
            </w:tcBorders>
            <w:shd w:val="clear" w:color="auto" w:fill="auto"/>
            <w:noWrap/>
            <w:hideMark/>
          </w:tcPr>
          <w:p w14:paraId="52E5E254" w14:textId="77777777" w:rsidR="00AD2DF9" w:rsidRPr="00705F47" w:rsidRDefault="00AD2DF9" w:rsidP="00DE2E54">
            <w:pPr>
              <w:pStyle w:val="TableText"/>
              <w:tabs>
                <w:tab w:val="decimal" w:pos="601"/>
              </w:tabs>
              <w:rPr>
                <w:lang w:eastAsia="en-NZ"/>
              </w:rPr>
            </w:pPr>
            <w:r w:rsidRPr="00705F47">
              <w:rPr>
                <w:lang w:eastAsia="en-NZ"/>
              </w:rPr>
              <w:t>5</w:t>
            </w:r>
          </w:p>
        </w:tc>
        <w:tc>
          <w:tcPr>
            <w:tcW w:w="850" w:type="dxa"/>
            <w:tcBorders>
              <w:top w:val="single" w:sz="4" w:space="0" w:color="A6A6A6" w:themeColor="background1" w:themeShade="A6"/>
              <w:bottom w:val="single" w:sz="4" w:space="0" w:color="A6A6A6" w:themeColor="background1" w:themeShade="A6"/>
            </w:tcBorders>
            <w:shd w:val="clear" w:color="auto" w:fill="auto"/>
            <w:noWrap/>
            <w:hideMark/>
          </w:tcPr>
          <w:p w14:paraId="582891EC" w14:textId="77777777" w:rsidR="00AD2DF9" w:rsidRPr="00705F47" w:rsidRDefault="00AD2DF9" w:rsidP="00DE2E54">
            <w:pPr>
              <w:pStyle w:val="TableText"/>
              <w:jc w:val="center"/>
              <w:rPr>
                <w:lang w:eastAsia="en-NZ"/>
              </w:rPr>
            </w:pPr>
            <w:r w:rsidRPr="00705F47">
              <w:rPr>
                <w:lang w:eastAsia="en-NZ"/>
              </w:rPr>
              <w:t>0</w:t>
            </w:r>
          </w:p>
        </w:tc>
      </w:tr>
      <w:tr w:rsidR="00AD2DF9" w:rsidRPr="00705F47" w14:paraId="294958E2" w14:textId="77777777" w:rsidTr="006F1FAC">
        <w:trPr>
          <w:cantSplit/>
        </w:trPr>
        <w:tc>
          <w:tcPr>
            <w:tcW w:w="1097" w:type="dxa"/>
            <w:tcBorders>
              <w:top w:val="single" w:sz="4" w:space="0" w:color="A6A6A6" w:themeColor="background1" w:themeShade="A6"/>
              <w:bottom w:val="single" w:sz="4" w:space="0" w:color="A6A6A6" w:themeColor="background1" w:themeShade="A6"/>
            </w:tcBorders>
            <w:shd w:val="clear" w:color="auto" w:fill="auto"/>
            <w:hideMark/>
          </w:tcPr>
          <w:p w14:paraId="7E7B2447" w14:textId="77777777" w:rsidR="00AD2DF9" w:rsidRPr="00705F47" w:rsidRDefault="00AD2DF9" w:rsidP="00DE2E54">
            <w:pPr>
              <w:pStyle w:val="TableText"/>
              <w:rPr>
                <w:lang w:eastAsia="en-NZ"/>
              </w:rPr>
            </w:pPr>
            <w:r w:rsidRPr="00705F47">
              <w:rPr>
                <w:lang w:eastAsia="en-NZ"/>
              </w:rPr>
              <w:t>20–24</w:t>
            </w:r>
          </w:p>
        </w:tc>
        <w:tc>
          <w:tcPr>
            <w:tcW w:w="997" w:type="dxa"/>
            <w:tcBorders>
              <w:top w:val="single" w:sz="4" w:space="0" w:color="A6A6A6" w:themeColor="background1" w:themeShade="A6"/>
              <w:bottom w:val="single" w:sz="4" w:space="0" w:color="A6A6A6" w:themeColor="background1" w:themeShade="A6"/>
            </w:tcBorders>
            <w:shd w:val="clear" w:color="auto" w:fill="auto"/>
            <w:hideMark/>
          </w:tcPr>
          <w:p w14:paraId="552BABDB" w14:textId="77777777" w:rsidR="00AD2DF9" w:rsidRPr="00705F47" w:rsidRDefault="00AD2DF9" w:rsidP="00DE2E54">
            <w:pPr>
              <w:pStyle w:val="TableText"/>
              <w:tabs>
                <w:tab w:val="decimal" w:pos="689"/>
              </w:tabs>
              <w:rPr>
                <w:lang w:eastAsia="en-NZ"/>
              </w:rPr>
            </w:pPr>
            <w:r w:rsidRPr="00705F47">
              <w:rPr>
                <w:lang w:eastAsia="en-NZ"/>
              </w:rPr>
              <w:t>3,204</w:t>
            </w:r>
          </w:p>
        </w:tc>
        <w:tc>
          <w:tcPr>
            <w:tcW w:w="998" w:type="dxa"/>
            <w:tcBorders>
              <w:top w:val="single" w:sz="4" w:space="0" w:color="A6A6A6" w:themeColor="background1" w:themeShade="A6"/>
              <w:bottom w:val="single" w:sz="4" w:space="0" w:color="A6A6A6" w:themeColor="background1" w:themeShade="A6"/>
            </w:tcBorders>
            <w:shd w:val="clear" w:color="auto" w:fill="auto"/>
            <w:noWrap/>
            <w:hideMark/>
          </w:tcPr>
          <w:p w14:paraId="076CD857" w14:textId="77777777" w:rsidR="00AD2DF9" w:rsidRPr="00705F47" w:rsidRDefault="00AD2DF9" w:rsidP="00DE2E54">
            <w:pPr>
              <w:pStyle w:val="TableText"/>
              <w:tabs>
                <w:tab w:val="decimal" w:pos="684"/>
              </w:tabs>
              <w:rPr>
                <w:lang w:eastAsia="en-NZ"/>
              </w:rPr>
            </w:pPr>
            <w:r w:rsidRPr="00705F47">
              <w:rPr>
                <w:lang w:eastAsia="en-NZ"/>
              </w:rPr>
              <w:t>1,456</w:t>
            </w:r>
          </w:p>
        </w:tc>
        <w:tc>
          <w:tcPr>
            <w:tcW w:w="997" w:type="dxa"/>
            <w:tcBorders>
              <w:top w:val="single" w:sz="4" w:space="0" w:color="A6A6A6" w:themeColor="background1" w:themeShade="A6"/>
              <w:bottom w:val="single" w:sz="4" w:space="0" w:color="A6A6A6" w:themeColor="background1" w:themeShade="A6"/>
            </w:tcBorders>
            <w:shd w:val="clear" w:color="auto" w:fill="auto"/>
            <w:noWrap/>
            <w:hideMark/>
          </w:tcPr>
          <w:p w14:paraId="75B424AB" w14:textId="77777777" w:rsidR="00AD2DF9" w:rsidRPr="00705F47" w:rsidRDefault="00AD2DF9" w:rsidP="00DE2E54">
            <w:pPr>
              <w:pStyle w:val="TableText"/>
              <w:tabs>
                <w:tab w:val="decimal" w:pos="684"/>
              </w:tabs>
              <w:rPr>
                <w:lang w:eastAsia="en-NZ"/>
              </w:rPr>
            </w:pPr>
            <w:r w:rsidRPr="00705F47">
              <w:rPr>
                <w:lang w:eastAsia="en-NZ"/>
              </w:rPr>
              <w:t>1,561</w:t>
            </w:r>
          </w:p>
        </w:tc>
        <w:tc>
          <w:tcPr>
            <w:tcW w:w="998" w:type="dxa"/>
            <w:tcBorders>
              <w:top w:val="single" w:sz="4" w:space="0" w:color="A6A6A6" w:themeColor="background1" w:themeShade="A6"/>
              <w:bottom w:val="single" w:sz="4" w:space="0" w:color="A6A6A6" w:themeColor="background1" w:themeShade="A6"/>
            </w:tcBorders>
            <w:shd w:val="clear" w:color="auto" w:fill="auto"/>
            <w:noWrap/>
            <w:hideMark/>
          </w:tcPr>
          <w:p w14:paraId="1AEFB4A0" w14:textId="77777777" w:rsidR="00AD2DF9" w:rsidRPr="00705F47" w:rsidRDefault="00AD2DF9" w:rsidP="00DE2E54">
            <w:pPr>
              <w:pStyle w:val="TableText"/>
              <w:tabs>
                <w:tab w:val="decimal" w:pos="553"/>
              </w:tabs>
              <w:rPr>
                <w:lang w:eastAsia="en-NZ"/>
              </w:rPr>
            </w:pPr>
            <w:r w:rsidRPr="00705F47">
              <w:rPr>
                <w:lang w:eastAsia="en-NZ"/>
              </w:rPr>
              <w:t>133</w:t>
            </w:r>
          </w:p>
        </w:tc>
        <w:tc>
          <w:tcPr>
            <w:tcW w:w="997" w:type="dxa"/>
            <w:tcBorders>
              <w:top w:val="single" w:sz="4" w:space="0" w:color="A6A6A6" w:themeColor="background1" w:themeShade="A6"/>
              <w:bottom w:val="single" w:sz="4" w:space="0" w:color="A6A6A6" w:themeColor="background1" w:themeShade="A6"/>
            </w:tcBorders>
            <w:shd w:val="clear" w:color="auto" w:fill="auto"/>
            <w:noWrap/>
            <w:hideMark/>
          </w:tcPr>
          <w:p w14:paraId="78F12561" w14:textId="77777777" w:rsidR="00AD2DF9" w:rsidRPr="00705F47" w:rsidRDefault="00AD2DF9" w:rsidP="00DE2E54">
            <w:pPr>
              <w:pStyle w:val="TableText"/>
              <w:tabs>
                <w:tab w:val="decimal" w:pos="553"/>
              </w:tabs>
              <w:rPr>
                <w:lang w:eastAsia="en-NZ"/>
              </w:rPr>
            </w:pPr>
            <w:r w:rsidRPr="00705F47">
              <w:rPr>
                <w:lang w:eastAsia="en-NZ"/>
              </w:rPr>
              <w:t>45</w:t>
            </w:r>
          </w:p>
        </w:tc>
        <w:tc>
          <w:tcPr>
            <w:tcW w:w="1146" w:type="dxa"/>
            <w:tcBorders>
              <w:top w:val="single" w:sz="4" w:space="0" w:color="A6A6A6" w:themeColor="background1" w:themeShade="A6"/>
              <w:bottom w:val="single" w:sz="4" w:space="0" w:color="A6A6A6" w:themeColor="background1" w:themeShade="A6"/>
            </w:tcBorders>
            <w:shd w:val="clear" w:color="auto" w:fill="auto"/>
            <w:noWrap/>
            <w:hideMark/>
          </w:tcPr>
          <w:p w14:paraId="5633F079" w14:textId="77777777" w:rsidR="00AD2DF9" w:rsidRPr="00705F47" w:rsidRDefault="00AD2DF9" w:rsidP="00DE2E54">
            <w:pPr>
              <w:pStyle w:val="TableText"/>
              <w:tabs>
                <w:tab w:val="decimal" w:pos="601"/>
              </w:tabs>
              <w:rPr>
                <w:lang w:eastAsia="en-NZ"/>
              </w:rPr>
            </w:pPr>
            <w:r w:rsidRPr="00705F47">
              <w:rPr>
                <w:lang w:eastAsia="en-NZ"/>
              </w:rPr>
              <w:t>9</w:t>
            </w:r>
          </w:p>
        </w:tc>
        <w:tc>
          <w:tcPr>
            <w:tcW w:w="850" w:type="dxa"/>
            <w:tcBorders>
              <w:top w:val="single" w:sz="4" w:space="0" w:color="A6A6A6" w:themeColor="background1" w:themeShade="A6"/>
              <w:bottom w:val="single" w:sz="4" w:space="0" w:color="A6A6A6" w:themeColor="background1" w:themeShade="A6"/>
            </w:tcBorders>
            <w:shd w:val="clear" w:color="auto" w:fill="auto"/>
            <w:noWrap/>
            <w:hideMark/>
          </w:tcPr>
          <w:p w14:paraId="219D4413" w14:textId="77777777" w:rsidR="00AD2DF9" w:rsidRPr="00705F47" w:rsidRDefault="00AD2DF9" w:rsidP="00DE2E54">
            <w:pPr>
              <w:pStyle w:val="TableText"/>
              <w:jc w:val="center"/>
              <w:rPr>
                <w:lang w:eastAsia="en-NZ"/>
              </w:rPr>
            </w:pPr>
            <w:r w:rsidRPr="00705F47">
              <w:rPr>
                <w:lang w:eastAsia="en-NZ"/>
              </w:rPr>
              <w:t>0</w:t>
            </w:r>
          </w:p>
        </w:tc>
      </w:tr>
      <w:tr w:rsidR="00AD2DF9" w:rsidRPr="00705F47" w14:paraId="48C98BA6" w14:textId="77777777" w:rsidTr="006F1FAC">
        <w:trPr>
          <w:cantSplit/>
        </w:trPr>
        <w:tc>
          <w:tcPr>
            <w:tcW w:w="1097" w:type="dxa"/>
            <w:tcBorders>
              <w:top w:val="single" w:sz="4" w:space="0" w:color="A6A6A6" w:themeColor="background1" w:themeShade="A6"/>
              <w:bottom w:val="single" w:sz="4" w:space="0" w:color="A6A6A6" w:themeColor="background1" w:themeShade="A6"/>
            </w:tcBorders>
            <w:shd w:val="clear" w:color="auto" w:fill="auto"/>
            <w:hideMark/>
          </w:tcPr>
          <w:p w14:paraId="7DE3909E" w14:textId="77777777" w:rsidR="00AD2DF9" w:rsidRPr="00705F47" w:rsidRDefault="00AD2DF9" w:rsidP="00DE2E54">
            <w:pPr>
              <w:pStyle w:val="TableText"/>
              <w:rPr>
                <w:lang w:eastAsia="en-NZ"/>
              </w:rPr>
            </w:pPr>
            <w:r w:rsidRPr="00705F47">
              <w:rPr>
                <w:lang w:eastAsia="en-NZ"/>
              </w:rPr>
              <w:t>25–29</w:t>
            </w:r>
          </w:p>
        </w:tc>
        <w:tc>
          <w:tcPr>
            <w:tcW w:w="997" w:type="dxa"/>
            <w:tcBorders>
              <w:top w:val="single" w:sz="4" w:space="0" w:color="A6A6A6" w:themeColor="background1" w:themeShade="A6"/>
              <w:bottom w:val="single" w:sz="4" w:space="0" w:color="A6A6A6" w:themeColor="background1" w:themeShade="A6"/>
            </w:tcBorders>
            <w:shd w:val="clear" w:color="auto" w:fill="auto"/>
            <w:hideMark/>
          </w:tcPr>
          <w:p w14:paraId="1E2FF849" w14:textId="77777777" w:rsidR="00AD2DF9" w:rsidRPr="00705F47" w:rsidRDefault="00AD2DF9" w:rsidP="00DE2E54">
            <w:pPr>
              <w:pStyle w:val="TableText"/>
              <w:tabs>
                <w:tab w:val="decimal" w:pos="689"/>
              </w:tabs>
              <w:rPr>
                <w:lang w:eastAsia="en-NZ"/>
              </w:rPr>
            </w:pPr>
            <w:r w:rsidRPr="00705F47">
              <w:rPr>
                <w:lang w:eastAsia="en-NZ"/>
              </w:rPr>
              <w:t>3,488</w:t>
            </w:r>
          </w:p>
        </w:tc>
        <w:tc>
          <w:tcPr>
            <w:tcW w:w="998" w:type="dxa"/>
            <w:tcBorders>
              <w:top w:val="single" w:sz="4" w:space="0" w:color="A6A6A6" w:themeColor="background1" w:themeShade="A6"/>
              <w:bottom w:val="single" w:sz="4" w:space="0" w:color="A6A6A6" w:themeColor="background1" w:themeShade="A6"/>
            </w:tcBorders>
            <w:shd w:val="clear" w:color="auto" w:fill="auto"/>
            <w:noWrap/>
            <w:hideMark/>
          </w:tcPr>
          <w:p w14:paraId="3154B7CD" w14:textId="77777777" w:rsidR="00AD2DF9" w:rsidRPr="00705F47" w:rsidRDefault="00AD2DF9" w:rsidP="00DE2E54">
            <w:pPr>
              <w:pStyle w:val="TableText"/>
              <w:tabs>
                <w:tab w:val="decimal" w:pos="684"/>
              </w:tabs>
              <w:rPr>
                <w:lang w:eastAsia="en-NZ"/>
              </w:rPr>
            </w:pPr>
            <w:r w:rsidRPr="00705F47">
              <w:rPr>
                <w:lang w:eastAsia="en-NZ"/>
              </w:rPr>
              <w:t>1,624</w:t>
            </w:r>
          </w:p>
        </w:tc>
        <w:tc>
          <w:tcPr>
            <w:tcW w:w="997" w:type="dxa"/>
            <w:tcBorders>
              <w:top w:val="single" w:sz="4" w:space="0" w:color="A6A6A6" w:themeColor="background1" w:themeShade="A6"/>
              <w:bottom w:val="single" w:sz="4" w:space="0" w:color="A6A6A6" w:themeColor="background1" w:themeShade="A6"/>
            </w:tcBorders>
            <w:shd w:val="clear" w:color="auto" w:fill="auto"/>
            <w:noWrap/>
            <w:hideMark/>
          </w:tcPr>
          <w:p w14:paraId="1A1BFE8E" w14:textId="77777777" w:rsidR="00AD2DF9" w:rsidRPr="00705F47" w:rsidRDefault="00AD2DF9" w:rsidP="00DE2E54">
            <w:pPr>
              <w:pStyle w:val="TableText"/>
              <w:tabs>
                <w:tab w:val="decimal" w:pos="684"/>
              </w:tabs>
              <w:rPr>
                <w:lang w:eastAsia="en-NZ"/>
              </w:rPr>
            </w:pPr>
            <w:r w:rsidRPr="00705F47">
              <w:rPr>
                <w:lang w:eastAsia="en-NZ"/>
              </w:rPr>
              <w:t>1,629</w:t>
            </w:r>
          </w:p>
        </w:tc>
        <w:tc>
          <w:tcPr>
            <w:tcW w:w="998" w:type="dxa"/>
            <w:tcBorders>
              <w:top w:val="single" w:sz="4" w:space="0" w:color="A6A6A6" w:themeColor="background1" w:themeShade="A6"/>
              <w:bottom w:val="single" w:sz="4" w:space="0" w:color="A6A6A6" w:themeColor="background1" w:themeShade="A6"/>
            </w:tcBorders>
            <w:shd w:val="clear" w:color="auto" w:fill="auto"/>
            <w:noWrap/>
            <w:hideMark/>
          </w:tcPr>
          <w:p w14:paraId="3F014136" w14:textId="77777777" w:rsidR="00AD2DF9" w:rsidRPr="00705F47" w:rsidRDefault="00AD2DF9" w:rsidP="00DE2E54">
            <w:pPr>
              <w:pStyle w:val="TableText"/>
              <w:tabs>
                <w:tab w:val="decimal" w:pos="553"/>
              </w:tabs>
              <w:rPr>
                <w:lang w:eastAsia="en-NZ"/>
              </w:rPr>
            </w:pPr>
            <w:r w:rsidRPr="00705F47">
              <w:rPr>
                <w:lang w:eastAsia="en-NZ"/>
              </w:rPr>
              <w:t>164</w:t>
            </w:r>
          </w:p>
        </w:tc>
        <w:tc>
          <w:tcPr>
            <w:tcW w:w="997" w:type="dxa"/>
            <w:tcBorders>
              <w:top w:val="single" w:sz="4" w:space="0" w:color="A6A6A6" w:themeColor="background1" w:themeShade="A6"/>
              <w:bottom w:val="single" w:sz="4" w:space="0" w:color="A6A6A6" w:themeColor="background1" w:themeShade="A6"/>
            </w:tcBorders>
            <w:shd w:val="clear" w:color="auto" w:fill="auto"/>
            <w:noWrap/>
            <w:hideMark/>
          </w:tcPr>
          <w:p w14:paraId="2E2F943A" w14:textId="77777777" w:rsidR="00AD2DF9" w:rsidRPr="00705F47" w:rsidRDefault="00AD2DF9" w:rsidP="00DE2E54">
            <w:pPr>
              <w:pStyle w:val="TableText"/>
              <w:tabs>
                <w:tab w:val="decimal" w:pos="553"/>
              </w:tabs>
              <w:rPr>
                <w:lang w:eastAsia="en-NZ"/>
              </w:rPr>
            </w:pPr>
            <w:r w:rsidRPr="00705F47">
              <w:rPr>
                <w:lang w:eastAsia="en-NZ"/>
              </w:rPr>
              <w:t>52</w:t>
            </w:r>
          </w:p>
        </w:tc>
        <w:tc>
          <w:tcPr>
            <w:tcW w:w="1146" w:type="dxa"/>
            <w:tcBorders>
              <w:top w:val="single" w:sz="4" w:space="0" w:color="A6A6A6" w:themeColor="background1" w:themeShade="A6"/>
              <w:bottom w:val="single" w:sz="4" w:space="0" w:color="A6A6A6" w:themeColor="background1" w:themeShade="A6"/>
            </w:tcBorders>
            <w:shd w:val="clear" w:color="auto" w:fill="auto"/>
            <w:noWrap/>
            <w:hideMark/>
          </w:tcPr>
          <w:p w14:paraId="72564637" w14:textId="77777777" w:rsidR="00AD2DF9" w:rsidRPr="00705F47" w:rsidRDefault="00AD2DF9" w:rsidP="00DE2E54">
            <w:pPr>
              <w:pStyle w:val="TableText"/>
              <w:tabs>
                <w:tab w:val="decimal" w:pos="601"/>
              </w:tabs>
              <w:rPr>
                <w:lang w:eastAsia="en-NZ"/>
              </w:rPr>
            </w:pPr>
            <w:r w:rsidRPr="00705F47">
              <w:rPr>
                <w:lang w:eastAsia="en-NZ"/>
              </w:rPr>
              <w:t>18</w:t>
            </w:r>
          </w:p>
        </w:tc>
        <w:tc>
          <w:tcPr>
            <w:tcW w:w="850" w:type="dxa"/>
            <w:tcBorders>
              <w:top w:val="single" w:sz="4" w:space="0" w:color="A6A6A6" w:themeColor="background1" w:themeShade="A6"/>
              <w:bottom w:val="single" w:sz="4" w:space="0" w:color="A6A6A6" w:themeColor="background1" w:themeShade="A6"/>
            </w:tcBorders>
            <w:shd w:val="clear" w:color="auto" w:fill="auto"/>
            <w:noWrap/>
            <w:hideMark/>
          </w:tcPr>
          <w:p w14:paraId="72D0A151" w14:textId="77777777" w:rsidR="00AD2DF9" w:rsidRPr="00705F47" w:rsidRDefault="00AD2DF9" w:rsidP="00DE2E54">
            <w:pPr>
              <w:pStyle w:val="TableText"/>
              <w:jc w:val="center"/>
              <w:rPr>
                <w:lang w:eastAsia="en-NZ"/>
              </w:rPr>
            </w:pPr>
            <w:r w:rsidRPr="00705F47">
              <w:rPr>
                <w:lang w:eastAsia="en-NZ"/>
              </w:rPr>
              <w:t>1</w:t>
            </w:r>
          </w:p>
        </w:tc>
      </w:tr>
      <w:tr w:rsidR="00AD2DF9" w:rsidRPr="00705F47" w14:paraId="02076C7D" w14:textId="77777777" w:rsidTr="006F1FAC">
        <w:trPr>
          <w:cantSplit/>
        </w:trPr>
        <w:tc>
          <w:tcPr>
            <w:tcW w:w="1097" w:type="dxa"/>
            <w:tcBorders>
              <w:top w:val="single" w:sz="4" w:space="0" w:color="A6A6A6" w:themeColor="background1" w:themeShade="A6"/>
              <w:bottom w:val="single" w:sz="4" w:space="0" w:color="A6A6A6" w:themeColor="background1" w:themeShade="A6"/>
            </w:tcBorders>
            <w:shd w:val="clear" w:color="auto" w:fill="auto"/>
            <w:hideMark/>
          </w:tcPr>
          <w:p w14:paraId="76FF3671" w14:textId="77777777" w:rsidR="00AD2DF9" w:rsidRPr="00705F47" w:rsidRDefault="00AD2DF9" w:rsidP="00DE2E54">
            <w:pPr>
              <w:pStyle w:val="TableText"/>
              <w:rPr>
                <w:lang w:eastAsia="en-NZ"/>
              </w:rPr>
            </w:pPr>
            <w:r w:rsidRPr="00705F47">
              <w:rPr>
                <w:lang w:eastAsia="en-NZ"/>
              </w:rPr>
              <w:t>30–34</w:t>
            </w:r>
          </w:p>
        </w:tc>
        <w:tc>
          <w:tcPr>
            <w:tcW w:w="997" w:type="dxa"/>
            <w:tcBorders>
              <w:top w:val="single" w:sz="4" w:space="0" w:color="A6A6A6" w:themeColor="background1" w:themeShade="A6"/>
              <w:bottom w:val="single" w:sz="4" w:space="0" w:color="A6A6A6" w:themeColor="background1" w:themeShade="A6"/>
            </w:tcBorders>
            <w:shd w:val="clear" w:color="auto" w:fill="auto"/>
            <w:hideMark/>
          </w:tcPr>
          <w:p w14:paraId="37D896C5" w14:textId="77777777" w:rsidR="00AD2DF9" w:rsidRPr="00705F47" w:rsidRDefault="00AD2DF9" w:rsidP="00DE2E54">
            <w:pPr>
              <w:pStyle w:val="TableText"/>
              <w:tabs>
                <w:tab w:val="decimal" w:pos="689"/>
              </w:tabs>
              <w:rPr>
                <w:lang w:eastAsia="en-NZ"/>
              </w:rPr>
            </w:pPr>
            <w:r w:rsidRPr="00705F47">
              <w:rPr>
                <w:lang w:eastAsia="en-NZ"/>
              </w:rPr>
              <w:t>2,795</w:t>
            </w:r>
          </w:p>
        </w:tc>
        <w:tc>
          <w:tcPr>
            <w:tcW w:w="998" w:type="dxa"/>
            <w:tcBorders>
              <w:top w:val="single" w:sz="4" w:space="0" w:color="A6A6A6" w:themeColor="background1" w:themeShade="A6"/>
              <w:bottom w:val="single" w:sz="4" w:space="0" w:color="A6A6A6" w:themeColor="background1" w:themeShade="A6"/>
            </w:tcBorders>
            <w:shd w:val="clear" w:color="auto" w:fill="auto"/>
            <w:noWrap/>
            <w:hideMark/>
          </w:tcPr>
          <w:p w14:paraId="0B1CD804" w14:textId="77777777" w:rsidR="00AD2DF9" w:rsidRPr="00705F47" w:rsidRDefault="00AD2DF9" w:rsidP="00DE2E54">
            <w:pPr>
              <w:pStyle w:val="TableText"/>
              <w:tabs>
                <w:tab w:val="decimal" w:pos="684"/>
              </w:tabs>
              <w:rPr>
                <w:lang w:eastAsia="en-NZ"/>
              </w:rPr>
            </w:pPr>
            <w:r w:rsidRPr="00705F47">
              <w:rPr>
                <w:lang w:eastAsia="en-NZ"/>
              </w:rPr>
              <w:t>1,293</w:t>
            </w:r>
          </w:p>
        </w:tc>
        <w:tc>
          <w:tcPr>
            <w:tcW w:w="997" w:type="dxa"/>
            <w:tcBorders>
              <w:top w:val="single" w:sz="4" w:space="0" w:color="A6A6A6" w:themeColor="background1" w:themeShade="A6"/>
              <w:bottom w:val="single" w:sz="4" w:space="0" w:color="A6A6A6" w:themeColor="background1" w:themeShade="A6"/>
            </w:tcBorders>
            <w:shd w:val="clear" w:color="auto" w:fill="auto"/>
            <w:noWrap/>
            <w:hideMark/>
          </w:tcPr>
          <w:p w14:paraId="6C97B9C3" w14:textId="77777777" w:rsidR="00AD2DF9" w:rsidRPr="00705F47" w:rsidRDefault="00AD2DF9" w:rsidP="00DE2E54">
            <w:pPr>
              <w:pStyle w:val="TableText"/>
              <w:tabs>
                <w:tab w:val="decimal" w:pos="684"/>
              </w:tabs>
              <w:rPr>
                <w:lang w:eastAsia="en-NZ"/>
              </w:rPr>
            </w:pPr>
            <w:r w:rsidRPr="00705F47">
              <w:rPr>
                <w:lang w:eastAsia="en-NZ"/>
              </w:rPr>
              <w:t>1,242</w:t>
            </w:r>
          </w:p>
        </w:tc>
        <w:tc>
          <w:tcPr>
            <w:tcW w:w="998" w:type="dxa"/>
            <w:tcBorders>
              <w:top w:val="single" w:sz="4" w:space="0" w:color="A6A6A6" w:themeColor="background1" w:themeShade="A6"/>
              <w:bottom w:val="single" w:sz="4" w:space="0" w:color="A6A6A6" w:themeColor="background1" w:themeShade="A6"/>
            </w:tcBorders>
            <w:shd w:val="clear" w:color="auto" w:fill="auto"/>
            <w:noWrap/>
            <w:hideMark/>
          </w:tcPr>
          <w:p w14:paraId="13BE6368" w14:textId="77777777" w:rsidR="00AD2DF9" w:rsidRPr="00705F47" w:rsidRDefault="00AD2DF9" w:rsidP="00DE2E54">
            <w:pPr>
              <w:pStyle w:val="TableText"/>
              <w:tabs>
                <w:tab w:val="decimal" w:pos="553"/>
              </w:tabs>
              <w:rPr>
                <w:lang w:eastAsia="en-NZ"/>
              </w:rPr>
            </w:pPr>
            <w:r w:rsidRPr="00705F47">
              <w:rPr>
                <w:lang w:eastAsia="en-NZ"/>
              </w:rPr>
              <w:t>170</w:t>
            </w:r>
          </w:p>
        </w:tc>
        <w:tc>
          <w:tcPr>
            <w:tcW w:w="997" w:type="dxa"/>
            <w:tcBorders>
              <w:top w:val="single" w:sz="4" w:space="0" w:color="A6A6A6" w:themeColor="background1" w:themeShade="A6"/>
              <w:bottom w:val="single" w:sz="4" w:space="0" w:color="A6A6A6" w:themeColor="background1" w:themeShade="A6"/>
            </w:tcBorders>
            <w:shd w:val="clear" w:color="auto" w:fill="auto"/>
            <w:noWrap/>
            <w:hideMark/>
          </w:tcPr>
          <w:p w14:paraId="09F8401C" w14:textId="77777777" w:rsidR="00AD2DF9" w:rsidRPr="00705F47" w:rsidRDefault="00AD2DF9" w:rsidP="00DE2E54">
            <w:pPr>
              <w:pStyle w:val="TableText"/>
              <w:tabs>
                <w:tab w:val="decimal" w:pos="553"/>
              </w:tabs>
              <w:rPr>
                <w:lang w:eastAsia="en-NZ"/>
              </w:rPr>
            </w:pPr>
            <w:r w:rsidRPr="00705F47">
              <w:rPr>
                <w:lang w:eastAsia="en-NZ"/>
              </w:rPr>
              <w:t>48</w:t>
            </w:r>
          </w:p>
        </w:tc>
        <w:tc>
          <w:tcPr>
            <w:tcW w:w="1146" w:type="dxa"/>
            <w:tcBorders>
              <w:top w:val="single" w:sz="4" w:space="0" w:color="A6A6A6" w:themeColor="background1" w:themeShade="A6"/>
              <w:bottom w:val="single" w:sz="4" w:space="0" w:color="A6A6A6" w:themeColor="background1" w:themeShade="A6"/>
            </w:tcBorders>
            <w:shd w:val="clear" w:color="auto" w:fill="auto"/>
            <w:noWrap/>
            <w:hideMark/>
          </w:tcPr>
          <w:p w14:paraId="13C035E9" w14:textId="77777777" w:rsidR="00AD2DF9" w:rsidRPr="00705F47" w:rsidRDefault="00AD2DF9" w:rsidP="00DE2E54">
            <w:pPr>
              <w:pStyle w:val="TableText"/>
              <w:tabs>
                <w:tab w:val="decimal" w:pos="601"/>
              </w:tabs>
              <w:rPr>
                <w:lang w:eastAsia="en-NZ"/>
              </w:rPr>
            </w:pPr>
            <w:r w:rsidRPr="00705F47">
              <w:rPr>
                <w:lang w:eastAsia="en-NZ"/>
              </w:rPr>
              <w:t>42</w:t>
            </w:r>
          </w:p>
        </w:tc>
        <w:tc>
          <w:tcPr>
            <w:tcW w:w="850" w:type="dxa"/>
            <w:tcBorders>
              <w:top w:val="single" w:sz="4" w:space="0" w:color="A6A6A6" w:themeColor="background1" w:themeShade="A6"/>
              <w:bottom w:val="single" w:sz="4" w:space="0" w:color="A6A6A6" w:themeColor="background1" w:themeShade="A6"/>
            </w:tcBorders>
            <w:shd w:val="clear" w:color="auto" w:fill="auto"/>
            <w:noWrap/>
            <w:hideMark/>
          </w:tcPr>
          <w:p w14:paraId="4FE0E6EA" w14:textId="77777777" w:rsidR="00AD2DF9" w:rsidRPr="00705F47" w:rsidRDefault="00AD2DF9" w:rsidP="00DE2E54">
            <w:pPr>
              <w:pStyle w:val="TableText"/>
              <w:jc w:val="center"/>
              <w:rPr>
                <w:lang w:eastAsia="en-NZ"/>
              </w:rPr>
            </w:pPr>
            <w:r w:rsidRPr="00705F47">
              <w:rPr>
                <w:lang w:eastAsia="en-NZ"/>
              </w:rPr>
              <w:t>0</w:t>
            </w:r>
          </w:p>
        </w:tc>
      </w:tr>
      <w:tr w:rsidR="00AD2DF9" w:rsidRPr="00705F47" w14:paraId="38E493C3" w14:textId="77777777" w:rsidTr="006F1FAC">
        <w:trPr>
          <w:cantSplit/>
        </w:trPr>
        <w:tc>
          <w:tcPr>
            <w:tcW w:w="1097" w:type="dxa"/>
            <w:tcBorders>
              <w:top w:val="single" w:sz="4" w:space="0" w:color="A6A6A6" w:themeColor="background1" w:themeShade="A6"/>
              <w:bottom w:val="single" w:sz="4" w:space="0" w:color="A6A6A6" w:themeColor="background1" w:themeShade="A6"/>
            </w:tcBorders>
            <w:shd w:val="clear" w:color="auto" w:fill="auto"/>
            <w:hideMark/>
          </w:tcPr>
          <w:p w14:paraId="71D9A3D7" w14:textId="77777777" w:rsidR="00AD2DF9" w:rsidRPr="00705F47" w:rsidRDefault="00AD2DF9" w:rsidP="00DE2E54">
            <w:pPr>
              <w:pStyle w:val="TableText"/>
              <w:rPr>
                <w:lang w:eastAsia="en-NZ"/>
              </w:rPr>
            </w:pPr>
            <w:r w:rsidRPr="00705F47">
              <w:rPr>
                <w:lang w:eastAsia="en-NZ"/>
              </w:rPr>
              <w:t>35–39</w:t>
            </w:r>
          </w:p>
        </w:tc>
        <w:tc>
          <w:tcPr>
            <w:tcW w:w="997" w:type="dxa"/>
            <w:tcBorders>
              <w:top w:val="single" w:sz="4" w:space="0" w:color="A6A6A6" w:themeColor="background1" w:themeShade="A6"/>
              <w:bottom w:val="single" w:sz="4" w:space="0" w:color="A6A6A6" w:themeColor="background1" w:themeShade="A6"/>
            </w:tcBorders>
            <w:shd w:val="clear" w:color="auto" w:fill="auto"/>
            <w:hideMark/>
          </w:tcPr>
          <w:p w14:paraId="456F644C" w14:textId="77777777" w:rsidR="00AD2DF9" w:rsidRPr="00705F47" w:rsidRDefault="00AD2DF9" w:rsidP="00DE2E54">
            <w:pPr>
              <w:pStyle w:val="TableText"/>
              <w:tabs>
                <w:tab w:val="decimal" w:pos="689"/>
              </w:tabs>
              <w:rPr>
                <w:lang w:eastAsia="en-NZ"/>
              </w:rPr>
            </w:pPr>
            <w:r w:rsidRPr="00705F47">
              <w:rPr>
                <w:lang w:eastAsia="en-NZ"/>
              </w:rPr>
              <w:t>1,784</w:t>
            </w:r>
          </w:p>
        </w:tc>
        <w:tc>
          <w:tcPr>
            <w:tcW w:w="998" w:type="dxa"/>
            <w:tcBorders>
              <w:top w:val="single" w:sz="4" w:space="0" w:color="A6A6A6" w:themeColor="background1" w:themeShade="A6"/>
              <w:bottom w:val="single" w:sz="4" w:space="0" w:color="A6A6A6" w:themeColor="background1" w:themeShade="A6"/>
            </w:tcBorders>
            <w:shd w:val="clear" w:color="auto" w:fill="auto"/>
            <w:noWrap/>
            <w:hideMark/>
          </w:tcPr>
          <w:p w14:paraId="5D678575" w14:textId="77777777" w:rsidR="00AD2DF9" w:rsidRPr="00705F47" w:rsidRDefault="00AD2DF9" w:rsidP="00DE2E54">
            <w:pPr>
              <w:pStyle w:val="TableText"/>
              <w:tabs>
                <w:tab w:val="decimal" w:pos="684"/>
              </w:tabs>
              <w:rPr>
                <w:lang w:eastAsia="en-NZ"/>
              </w:rPr>
            </w:pPr>
            <w:r w:rsidRPr="00705F47">
              <w:rPr>
                <w:lang w:eastAsia="en-NZ"/>
              </w:rPr>
              <w:t>762</w:t>
            </w:r>
          </w:p>
        </w:tc>
        <w:tc>
          <w:tcPr>
            <w:tcW w:w="997" w:type="dxa"/>
            <w:tcBorders>
              <w:top w:val="single" w:sz="4" w:space="0" w:color="A6A6A6" w:themeColor="background1" w:themeShade="A6"/>
              <w:bottom w:val="single" w:sz="4" w:space="0" w:color="A6A6A6" w:themeColor="background1" w:themeShade="A6"/>
            </w:tcBorders>
            <w:shd w:val="clear" w:color="auto" w:fill="auto"/>
            <w:noWrap/>
            <w:hideMark/>
          </w:tcPr>
          <w:p w14:paraId="6777CF24" w14:textId="77777777" w:rsidR="00AD2DF9" w:rsidRPr="00705F47" w:rsidRDefault="00AD2DF9" w:rsidP="00DE2E54">
            <w:pPr>
              <w:pStyle w:val="TableText"/>
              <w:tabs>
                <w:tab w:val="decimal" w:pos="684"/>
              </w:tabs>
              <w:rPr>
                <w:lang w:eastAsia="en-NZ"/>
              </w:rPr>
            </w:pPr>
            <w:r w:rsidRPr="00705F47">
              <w:rPr>
                <w:lang w:eastAsia="en-NZ"/>
              </w:rPr>
              <w:t>862</w:t>
            </w:r>
          </w:p>
        </w:tc>
        <w:tc>
          <w:tcPr>
            <w:tcW w:w="998" w:type="dxa"/>
            <w:tcBorders>
              <w:top w:val="single" w:sz="4" w:space="0" w:color="A6A6A6" w:themeColor="background1" w:themeShade="A6"/>
              <w:bottom w:val="single" w:sz="4" w:space="0" w:color="A6A6A6" w:themeColor="background1" w:themeShade="A6"/>
            </w:tcBorders>
            <w:shd w:val="clear" w:color="auto" w:fill="auto"/>
            <w:noWrap/>
            <w:hideMark/>
          </w:tcPr>
          <w:p w14:paraId="7A5278A8" w14:textId="77777777" w:rsidR="00AD2DF9" w:rsidRPr="00705F47" w:rsidRDefault="00AD2DF9" w:rsidP="00DE2E54">
            <w:pPr>
              <w:pStyle w:val="TableText"/>
              <w:tabs>
                <w:tab w:val="decimal" w:pos="553"/>
              </w:tabs>
              <w:rPr>
                <w:lang w:eastAsia="en-NZ"/>
              </w:rPr>
            </w:pPr>
            <w:r w:rsidRPr="00705F47">
              <w:rPr>
                <w:lang w:eastAsia="en-NZ"/>
              </w:rPr>
              <w:t>103</w:t>
            </w:r>
          </w:p>
        </w:tc>
        <w:tc>
          <w:tcPr>
            <w:tcW w:w="997" w:type="dxa"/>
            <w:tcBorders>
              <w:top w:val="single" w:sz="4" w:space="0" w:color="A6A6A6" w:themeColor="background1" w:themeShade="A6"/>
              <w:bottom w:val="single" w:sz="4" w:space="0" w:color="A6A6A6" w:themeColor="background1" w:themeShade="A6"/>
            </w:tcBorders>
            <w:shd w:val="clear" w:color="auto" w:fill="auto"/>
            <w:noWrap/>
            <w:hideMark/>
          </w:tcPr>
          <w:p w14:paraId="48EBCA67" w14:textId="77777777" w:rsidR="00AD2DF9" w:rsidRPr="00705F47" w:rsidRDefault="00AD2DF9" w:rsidP="00DE2E54">
            <w:pPr>
              <w:pStyle w:val="TableText"/>
              <w:tabs>
                <w:tab w:val="decimal" w:pos="553"/>
              </w:tabs>
              <w:rPr>
                <w:lang w:eastAsia="en-NZ"/>
              </w:rPr>
            </w:pPr>
            <w:r w:rsidRPr="00705F47">
              <w:rPr>
                <w:lang w:eastAsia="en-NZ"/>
              </w:rPr>
              <w:t>34</w:t>
            </w:r>
          </w:p>
        </w:tc>
        <w:tc>
          <w:tcPr>
            <w:tcW w:w="1146" w:type="dxa"/>
            <w:tcBorders>
              <w:top w:val="single" w:sz="4" w:space="0" w:color="A6A6A6" w:themeColor="background1" w:themeShade="A6"/>
              <w:bottom w:val="single" w:sz="4" w:space="0" w:color="A6A6A6" w:themeColor="background1" w:themeShade="A6"/>
            </w:tcBorders>
            <w:shd w:val="clear" w:color="auto" w:fill="auto"/>
            <w:noWrap/>
            <w:hideMark/>
          </w:tcPr>
          <w:p w14:paraId="18C0B78C" w14:textId="77777777" w:rsidR="00AD2DF9" w:rsidRPr="00705F47" w:rsidRDefault="00AD2DF9" w:rsidP="00DE2E54">
            <w:pPr>
              <w:pStyle w:val="TableText"/>
              <w:tabs>
                <w:tab w:val="decimal" w:pos="601"/>
              </w:tabs>
              <w:rPr>
                <w:lang w:eastAsia="en-NZ"/>
              </w:rPr>
            </w:pPr>
            <w:r w:rsidRPr="00705F47">
              <w:rPr>
                <w:lang w:eastAsia="en-NZ"/>
              </w:rPr>
              <w:t>23</w:t>
            </w:r>
          </w:p>
        </w:tc>
        <w:tc>
          <w:tcPr>
            <w:tcW w:w="850" w:type="dxa"/>
            <w:tcBorders>
              <w:top w:val="single" w:sz="4" w:space="0" w:color="A6A6A6" w:themeColor="background1" w:themeShade="A6"/>
              <w:bottom w:val="single" w:sz="4" w:space="0" w:color="A6A6A6" w:themeColor="background1" w:themeShade="A6"/>
            </w:tcBorders>
            <w:shd w:val="clear" w:color="auto" w:fill="auto"/>
            <w:noWrap/>
            <w:hideMark/>
          </w:tcPr>
          <w:p w14:paraId="344E3F71" w14:textId="77777777" w:rsidR="00AD2DF9" w:rsidRPr="00705F47" w:rsidRDefault="00AD2DF9" w:rsidP="00DE2E54">
            <w:pPr>
              <w:pStyle w:val="TableText"/>
              <w:jc w:val="center"/>
              <w:rPr>
                <w:lang w:eastAsia="en-NZ"/>
              </w:rPr>
            </w:pPr>
            <w:r w:rsidRPr="00705F47">
              <w:rPr>
                <w:lang w:eastAsia="en-NZ"/>
              </w:rPr>
              <w:t>0</w:t>
            </w:r>
          </w:p>
        </w:tc>
      </w:tr>
      <w:tr w:rsidR="00AD2DF9" w:rsidRPr="00705F47" w14:paraId="332A71EC" w14:textId="77777777" w:rsidTr="006F1FAC">
        <w:trPr>
          <w:cantSplit/>
        </w:trPr>
        <w:tc>
          <w:tcPr>
            <w:tcW w:w="1097" w:type="dxa"/>
            <w:tcBorders>
              <w:top w:val="single" w:sz="4" w:space="0" w:color="A6A6A6" w:themeColor="background1" w:themeShade="A6"/>
              <w:bottom w:val="single" w:sz="4" w:space="0" w:color="A6A6A6" w:themeColor="background1" w:themeShade="A6"/>
            </w:tcBorders>
            <w:shd w:val="clear" w:color="auto" w:fill="auto"/>
            <w:hideMark/>
          </w:tcPr>
          <w:p w14:paraId="34058525" w14:textId="77777777" w:rsidR="00AD2DF9" w:rsidRPr="00705F47" w:rsidRDefault="00AD2DF9" w:rsidP="00DE2E54">
            <w:pPr>
              <w:pStyle w:val="TableText"/>
              <w:rPr>
                <w:lang w:eastAsia="en-NZ"/>
              </w:rPr>
            </w:pPr>
            <w:r w:rsidRPr="00705F47">
              <w:rPr>
                <w:lang w:eastAsia="en-NZ"/>
              </w:rPr>
              <w:t>40–44</w:t>
            </w:r>
          </w:p>
        </w:tc>
        <w:tc>
          <w:tcPr>
            <w:tcW w:w="997" w:type="dxa"/>
            <w:tcBorders>
              <w:top w:val="single" w:sz="4" w:space="0" w:color="A6A6A6" w:themeColor="background1" w:themeShade="A6"/>
              <w:bottom w:val="single" w:sz="4" w:space="0" w:color="A6A6A6" w:themeColor="background1" w:themeShade="A6"/>
            </w:tcBorders>
            <w:shd w:val="clear" w:color="auto" w:fill="auto"/>
            <w:hideMark/>
          </w:tcPr>
          <w:p w14:paraId="52D1A618" w14:textId="77777777" w:rsidR="00AD2DF9" w:rsidRPr="00705F47" w:rsidRDefault="00AD2DF9" w:rsidP="00DE2E54">
            <w:pPr>
              <w:pStyle w:val="TableText"/>
              <w:tabs>
                <w:tab w:val="decimal" w:pos="689"/>
              </w:tabs>
              <w:rPr>
                <w:lang w:eastAsia="en-NZ"/>
              </w:rPr>
            </w:pPr>
            <w:r w:rsidRPr="00705F47">
              <w:rPr>
                <w:lang w:eastAsia="en-NZ"/>
              </w:rPr>
              <w:t>649</w:t>
            </w:r>
          </w:p>
        </w:tc>
        <w:tc>
          <w:tcPr>
            <w:tcW w:w="998" w:type="dxa"/>
            <w:tcBorders>
              <w:top w:val="single" w:sz="4" w:space="0" w:color="A6A6A6" w:themeColor="background1" w:themeShade="A6"/>
              <w:bottom w:val="single" w:sz="4" w:space="0" w:color="A6A6A6" w:themeColor="background1" w:themeShade="A6"/>
            </w:tcBorders>
            <w:shd w:val="clear" w:color="auto" w:fill="auto"/>
            <w:noWrap/>
            <w:hideMark/>
          </w:tcPr>
          <w:p w14:paraId="4FDDD5C3" w14:textId="77777777" w:rsidR="00AD2DF9" w:rsidRPr="00705F47" w:rsidRDefault="00AD2DF9" w:rsidP="00DE2E54">
            <w:pPr>
              <w:pStyle w:val="TableText"/>
              <w:tabs>
                <w:tab w:val="decimal" w:pos="684"/>
              </w:tabs>
              <w:rPr>
                <w:lang w:eastAsia="en-NZ"/>
              </w:rPr>
            </w:pPr>
            <w:r w:rsidRPr="00705F47">
              <w:rPr>
                <w:lang w:eastAsia="en-NZ"/>
              </w:rPr>
              <w:t>302</w:t>
            </w:r>
          </w:p>
        </w:tc>
        <w:tc>
          <w:tcPr>
            <w:tcW w:w="997" w:type="dxa"/>
            <w:tcBorders>
              <w:top w:val="single" w:sz="4" w:space="0" w:color="A6A6A6" w:themeColor="background1" w:themeShade="A6"/>
              <w:bottom w:val="single" w:sz="4" w:space="0" w:color="A6A6A6" w:themeColor="background1" w:themeShade="A6"/>
            </w:tcBorders>
            <w:shd w:val="clear" w:color="auto" w:fill="auto"/>
            <w:noWrap/>
            <w:hideMark/>
          </w:tcPr>
          <w:p w14:paraId="0C5E7B06" w14:textId="77777777" w:rsidR="00AD2DF9" w:rsidRPr="00705F47" w:rsidRDefault="00AD2DF9" w:rsidP="00DE2E54">
            <w:pPr>
              <w:pStyle w:val="TableText"/>
              <w:tabs>
                <w:tab w:val="decimal" w:pos="684"/>
              </w:tabs>
              <w:rPr>
                <w:lang w:eastAsia="en-NZ"/>
              </w:rPr>
            </w:pPr>
            <w:r w:rsidRPr="00705F47">
              <w:rPr>
                <w:lang w:eastAsia="en-NZ"/>
              </w:rPr>
              <w:t>288</w:t>
            </w:r>
          </w:p>
        </w:tc>
        <w:tc>
          <w:tcPr>
            <w:tcW w:w="998" w:type="dxa"/>
            <w:tcBorders>
              <w:top w:val="single" w:sz="4" w:space="0" w:color="A6A6A6" w:themeColor="background1" w:themeShade="A6"/>
              <w:bottom w:val="single" w:sz="4" w:space="0" w:color="A6A6A6" w:themeColor="background1" w:themeShade="A6"/>
            </w:tcBorders>
            <w:shd w:val="clear" w:color="auto" w:fill="auto"/>
            <w:noWrap/>
            <w:hideMark/>
          </w:tcPr>
          <w:p w14:paraId="1FA25F36" w14:textId="77777777" w:rsidR="00AD2DF9" w:rsidRPr="00705F47" w:rsidRDefault="00AD2DF9" w:rsidP="00DE2E54">
            <w:pPr>
              <w:pStyle w:val="TableText"/>
              <w:tabs>
                <w:tab w:val="decimal" w:pos="553"/>
              </w:tabs>
              <w:rPr>
                <w:lang w:eastAsia="en-NZ"/>
              </w:rPr>
            </w:pPr>
            <w:r w:rsidRPr="00705F47">
              <w:rPr>
                <w:lang w:eastAsia="en-NZ"/>
              </w:rPr>
              <w:t>45</w:t>
            </w:r>
          </w:p>
        </w:tc>
        <w:tc>
          <w:tcPr>
            <w:tcW w:w="997" w:type="dxa"/>
            <w:tcBorders>
              <w:top w:val="single" w:sz="4" w:space="0" w:color="A6A6A6" w:themeColor="background1" w:themeShade="A6"/>
              <w:bottom w:val="single" w:sz="4" w:space="0" w:color="A6A6A6" w:themeColor="background1" w:themeShade="A6"/>
            </w:tcBorders>
            <w:shd w:val="clear" w:color="auto" w:fill="auto"/>
            <w:noWrap/>
            <w:hideMark/>
          </w:tcPr>
          <w:p w14:paraId="332B5FC7" w14:textId="77777777" w:rsidR="00AD2DF9" w:rsidRPr="00705F47" w:rsidRDefault="00AD2DF9" w:rsidP="00DE2E54">
            <w:pPr>
              <w:pStyle w:val="TableText"/>
              <w:tabs>
                <w:tab w:val="decimal" w:pos="553"/>
              </w:tabs>
              <w:rPr>
                <w:lang w:eastAsia="en-NZ"/>
              </w:rPr>
            </w:pPr>
            <w:r w:rsidRPr="00705F47">
              <w:rPr>
                <w:lang w:eastAsia="en-NZ"/>
              </w:rPr>
              <w:t>12</w:t>
            </w:r>
          </w:p>
        </w:tc>
        <w:tc>
          <w:tcPr>
            <w:tcW w:w="1146" w:type="dxa"/>
            <w:tcBorders>
              <w:top w:val="single" w:sz="4" w:space="0" w:color="A6A6A6" w:themeColor="background1" w:themeShade="A6"/>
              <w:bottom w:val="single" w:sz="4" w:space="0" w:color="A6A6A6" w:themeColor="background1" w:themeShade="A6"/>
            </w:tcBorders>
            <w:shd w:val="clear" w:color="auto" w:fill="auto"/>
            <w:noWrap/>
            <w:hideMark/>
          </w:tcPr>
          <w:p w14:paraId="220621DF" w14:textId="77777777" w:rsidR="00AD2DF9" w:rsidRPr="00705F47" w:rsidRDefault="00AD2DF9" w:rsidP="00DE2E54">
            <w:pPr>
              <w:pStyle w:val="TableText"/>
              <w:tabs>
                <w:tab w:val="decimal" w:pos="601"/>
              </w:tabs>
              <w:rPr>
                <w:lang w:eastAsia="en-NZ"/>
              </w:rPr>
            </w:pPr>
            <w:r w:rsidRPr="00705F47">
              <w:rPr>
                <w:lang w:eastAsia="en-NZ"/>
              </w:rPr>
              <w:t>2</w:t>
            </w:r>
          </w:p>
        </w:tc>
        <w:tc>
          <w:tcPr>
            <w:tcW w:w="850" w:type="dxa"/>
            <w:tcBorders>
              <w:top w:val="single" w:sz="4" w:space="0" w:color="A6A6A6" w:themeColor="background1" w:themeShade="A6"/>
              <w:bottom w:val="single" w:sz="4" w:space="0" w:color="A6A6A6" w:themeColor="background1" w:themeShade="A6"/>
            </w:tcBorders>
            <w:shd w:val="clear" w:color="auto" w:fill="auto"/>
            <w:noWrap/>
            <w:hideMark/>
          </w:tcPr>
          <w:p w14:paraId="604E33EA" w14:textId="77777777" w:rsidR="00AD2DF9" w:rsidRPr="00705F47" w:rsidRDefault="00AD2DF9" w:rsidP="00DE2E54">
            <w:pPr>
              <w:pStyle w:val="TableText"/>
              <w:jc w:val="center"/>
              <w:rPr>
                <w:lang w:eastAsia="en-NZ"/>
              </w:rPr>
            </w:pPr>
            <w:r w:rsidRPr="00705F47">
              <w:rPr>
                <w:lang w:eastAsia="en-NZ"/>
              </w:rPr>
              <w:t>0</w:t>
            </w:r>
          </w:p>
        </w:tc>
      </w:tr>
      <w:tr w:rsidR="00AD2DF9" w:rsidRPr="00705F47" w14:paraId="598F7DEE" w14:textId="77777777" w:rsidTr="006F1FAC">
        <w:trPr>
          <w:cantSplit/>
        </w:trPr>
        <w:tc>
          <w:tcPr>
            <w:tcW w:w="1097" w:type="dxa"/>
            <w:tcBorders>
              <w:top w:val="single" w:sz="4" w:space="0" w:color="A6A6A6" w:themeColor="background1" w:themeShade="A6"/>
              <w:bottom w:val="single" w:sz="4" w:space="0" w:color="A6A6A6" w:themeColor="background1" w:themeShade="A6"/>
            </w:tcBorders>
            <w:shd w:val="clear" w:color="auto" w:fill="auto"/>
            <w:hideMark/>
          </w:tcPr>
          <w:p w14:paraId="7E61435F" w14:textId="77777777" w:rsidR="00AD2DF9" w:rsidRPr="00705F47" w:rsidRDefault="00AD2DF9" w:rsidP="00DE2E54">
            <w:pPr>
              <w:pStyle w:val="TableText"/>
              <w:rPr>
                <w:lang w:eastAsia="en-NZ"/>
              </w:rPr>
            </w:pPr>
            <w:r w:rsidRPr="00705F47">
              <w:rPr>
                <w:lang w:eastAsia="en-NZ"/>
              </w:rPr>
              <w:t>45 and over</w:t>
            </w:r>
          </w:p>
        </w:tc>
        <w:tc>
          <w:tcPr>
            <w:tcW w:w="997" w:type="dxa"/>
            <w:tcBorders>
              <w:top w:val="single" w:sz="4" w:space="0" w:color="A6A6A6" w:themeColor="background1" w:themeShade="A6"/>
              <w:bottom w:val="single" w:sz="4" w:space="0" w:color="A6A6A6" w:themeColor="background1" w:themeShade="A6"/>
            </w:tcBorders>
            <w:shd w:val="clear" w:color="auto" w:fill="auto"/>
            <w:hideMark/>
          </w:tcPr>
          <w:p w14:paraId="74628F24" w14:textId="77777777" w:rsidR="00AD2DF9" w:rsidRPr="00705F47" w:rsidRDefault="00AD2DF9" w:rsidP="00DE2E54">
            <w:pPr>
              <w:pStyle w:val="TableText"/>
              <w:tabs>
                <w:tab w:val="decimal" w:pos="689"/>
              </w:tabs>
              <w:rPr>
                <w:lang w:eastAsia="en-NZ"/>
              </w:rPr>
            </w:pPr>
            <w:r w:rsidRPr="00705F47">
              <w:rPr>
                <w:lang w:eastAsia="en-NZ"/>
              </w:rPr>
              <w:t>70</w:t>
            </w:r>
          </w:p>
        </w:tc>
        <w:tc>
          <w:tcPr>
            <w:tcW w:w="998" w:type="dxa"/>
            <w:tcBorders>
              <w:top w:val="single" w:sz="4" w:space="0" w:color="A6A6A6" w:themeColor="background1" w:themeShade="A6"/>
              <w:bottom w:val="single" w:sz="4" w:space="0" w:color="A6A6A6" w:themeColor="background1" w:themeShade="A6"/>
            </w:tcBorders>
            <w:shd w:val="clear" w:color="auto" w:fill="auto"/>
            <w:noWrap/>
            <w:hideMark/>
          </w:tcPr>
          <w:p w14:paraId="041A4D32" w14:textId="77777777" w:rsidR="00AD2DF9" w:rsidRPr="00705F47" w:rsidRDefault="00AD2DF9" w:rsidP="00DE2E54">
            <w:pPr>
              <w:pStyle w:val="TableText"/>
              <w:tabs>
                <w:tab w:val="decimal" w:pos="684"/>
              </w:tabs>
              <w:rPr>
                <w:lang w:eastAsia="en-NZ"/>
              </w:rPr>
            </w:pPr>
            <w:r w:rsidRPr="00705F47">
              <w:rPr>
                <w:lang w:eastAsia="en-NZ"/>
              </w:rPr>
              <w:t>36</w:t>
            </w:r>
          </w:p>
        </w:tc>
        <w:tc>
          <w:tcPr>
            <w:tcW w:w="997" w:type="dxa"/>
            <w:tcBorders>
              <w:top w:val="single" w:sz="4" w:space="0" w:color="A6A6A6" w:themeColor="background1" w:themeShade="A6"/>
              <w:bottom w:val="single" w:sz="4" w:space="0" w:color="A6A6A6" w:themeColor="background1" w:themeShade="A6"/>
            </w:tcBorders>
            <w:shd w:val="clear" w:color="auto" w:fill="auto"/>
            <w:noWrap/>
            <w:hideMark/>
          </w:tcPr>
          <w:p w14:paraId="0010270C" w14:textId="77777777" w:rsidR="00AD2DF9" w:rsidRPr="00705F47" w:rsidRDefault="00AD2DF9" w:rsidP="00DE2E54">
            <w:pPr>
              <w:pStyle w:val="TableText"/>
              <w:tabs>
                <w:tab w:val="decimal" w:pos="684"/>
              </w:tabs>
              <w:rPr>
                <w:lang w:eastAsia="en-NZ"/>
              </w:rPr>
            </w:pPr>
            <w:r w:rsidRPr="00705F47">
              <w:rPr>
                <w:lang w:eastAsia="en-NZ"/>
              </w:rPr>
              <w:t>29</w:t>
            </w:r>
          </w:p>
        </w:tc>
        <w:tc>
          <w:tcPr>
            <w:tcW w:w="998" w:type="dxa"/>
            <w:tcBorders>
              <w:top w:val="single" w:sz="4" w:space="0" w:color="A6A6A6" w:themeColor="background1" w:themeShade="A6"/>
              <w:bottom w:val="single" w:sz="4" w:space="0" w:color="A6A6A6" w:themeColor="background1" w:themeShade="A6"/>
            </w:tcBorders>
            <w:shd w:val="clear" w:color="auto" w:fill="auto"/>
            <w:noWrap/>
            <w:hideMark/>
          </w:tcPr>
          <w:p w14:paraId="06B6AD76" w14:textId="77777777" w:rsidR="00AD2DF9" w:rsidRPr="00705F47" w:rsidRDefault="00AD2DF9" w:rsidP="00DE2E54">
            <w:pPr>
              <w:pStyle w:val="TableText"/>
              <w:tabs>
                <w:tab w:val="decimal" w:pos="553"/>
              </w:tabs>
              <w:rPr>
                <w:lang w:eastAsia="en-NZ"/>
              </w:rPr>
            </w:pPr>
            <w:r w:rsidRPr="00705F47">
              <w:rPr>
                <w:lang w:eastAsia="en-NZ"/>
              </w:rPr>
              <w:t>1</w:t>
            </w:r>
          </w:p>
        </w:tc>
        <w:tc>
          <w:tcPr>
            <w:tcW w:w="997" w:type="dxa"/>
            <w:tcBorders>
              <w:top w:val="single" w:sz="4" w:space="0" w:color="A6A6A6" w:themeColor="background1" w:themeShade="A6"/>
              <w:bottom w:val="single" w:sz="4" w:space="0" w:color="A6A6A6" w:themeColor="background1" w:themeShade="A6"/>
            </w:tcBorders>
            <w:shd w:val="clear" w:color="auto" w:fill="auto"/>
            <w:noWrap/>
            <w:hideMark/>
          </w:tcPr>
          <w:p w14:paraId="292940E4" w14:textId="77777777" w:rsidR="00AD2DF9" w:rsidRPr="00705F47" w:rsidRDefault="00AD2DF9" w:rsidP="00DE2E54">
            <w:pPr>
              <w:pStyle w:val="TableText"/>
              <w:tabs>
                <w:tab w:val="decimal" w:pos="553"/>
              </w:tabs>
              <w:rPr>
                <w:lang w:eastAsia="en-NZ"/>
              </w:rPr>
            </w:pPr>
            <w:r w:rsidRPr="00705F47">
              <w:rPr>
                <w:lang w:eastAsia="en-NZ"/>
              </w:rPr>
              <w:t>1</w:t>
            </w:r>
          </w:p>
        </w:tc>
        <w:tc>
          <w:tcPr>
            <w:tcW w:w="1146" w:type="dxa"/>
            <w:tcBorders>
              <w:top w:val="single" w:sz="4" w:space="0" w:color="A6A6A6" w:themeColor="background1" w:themeShade="A6"/>
              <w:bottom w:val="single" w:sz="4" w:space="0" w:color="A6A6A6" w:themeColor="background1" w:themeShade="A6"/>
            </w:tcBorders>
            <w:shd w:val="clear" w:color="auto" w:fill="auto"/>
            <w:noWrap/>
            <w:hideMark/>
          </w:tcPr>
          <w:p w14:paraId="2EAB34BA" w14:textId="77777777" w:rsidR="00AD2DF9" w:rsidRPr="00705F47" w:rsidRDefault="00AD2DF9" w:rsidP="00DE2E54">
            <w:pPr>
              <w:pStyle w:val="TableText"/>
              <w:tabs>
                <w:tab w:val="decimal" w:pos="601"/>
              </w:tabs>
              <w:rPr>
                <w:lang w:eastAsia="en-NZ"/>
              </w:rPr>
            </w:pPr>
            <w:r w:rsidRPr="00705F47">
              <w:rPr>
                <w:lang w:eastAsia="en-NZ"/>
              </w:rPr>
              <w:t>3</w:t>
            </w:r>
          </w:p>
        </w:tc>
        <w:tc>
          <w:tcPr>
            <w:tcW w:w="850" w:type="dxa"/>
            <w:tcBorders>
              <w:top w:val="single" w:sz="4" w:space="0" w:color="A6A6A6" w:themeColor="background1" w:themeShade="A6"/>
              <w:bottom w:val="single" w:sz="4" w:space="0" w:color="A6A6A6" w:themeColor="background1" w:themeShade="A6"/>
            </w:tcBorders>
            <w:shd w:val="clear" w:color="auto" w:fill="auto"/>
            <w:noWrap/>
            <w:hideMark/>
          </w:tcPr>
          <w:p w14:paraId="79129949" w14:textId="77777777" w:rsidR="00AD2DF9" w:rsidRPr="00705F47" w:rsidRDefault="00AD2DF9" w:rsidP="00DE2E54">
            <w:pPr>
              <w:pStyle w:val="TableText"/>
              <w:jc w:val="center"/>
              <w:rPr>
                <w:lang w:eastAsia="en-NZ"/>
              </w:rPr>
            </w:pPr>
            <w:r w:rsidRPr="00705F47">
              <w:rPr>
                <w:lang w:eastAsia="en-NZ"/>
              </w:rPr>
              <w:t>0</w:t>
            </w:r>
          </w:p>
        </w:tc>
      </w:tr>
      <w:tr w:rsidR="00AD2DF9" w:rsidRPr="00705F47" w14:paraId="5886CCAC" w14:textId="77777777" w:rsidTr="006F1FAC">
        <w:trPr>
          <w:cantSplit/>
        </w:trPr>
        <w:tc>
          <w:tcPr>
            <w:tcW w:w="1097" w:type="dxa"/>
            <w:tcBorders>
              <w:top w:val="single" w:sz="4" w:space="0" w:color="A6A6A6" w:themeColor="background1" w:themeShade="A6"/>
              <w:bottom w:val="single" w:sz="4" w:space="0" w:color="A6A6A6" w:themeColor="background1" w:themeShade="A6"/>
            </w:tcBorders>
            <w:shd w:val="clear" w:color="auto" w:fill="auto"/>
            <w:hideMark/>
          </w:tcPr>
          <w:p w14:paraId="70DEE967" w14:textId="77777777" w:rsidR="00AD2DF9" w:rsidRPr="00705F47" w:rsidRDefault="00AD2DF9" w:rsidP="006F1FAC">
            <w:pPr>
              <w:pStyle w:val="TableText"/>
              <w:rPr>
                <w:lang w:eastAsia="en-NZ"/>
              </w:rPr>
            </w:pPr>
            <w:r w:rsidRPr="00705F47">
              <w:rPr>
                <w:lang w:eastAsia="en-NZ"/>
              </w:rPr>
              <w:t>Missing</w:t>
            </w:r>
          </w:p>
        </w:tc>
        <w:tc>
          <w:tcPr>
            <w:tcW w:w="997" w:type="dxa"/>
            <w:tcBorders>
              <w:top w:val="single" w:sz="4" w:space="0" w:color="A6A6A6" w:themeColor="background1" w:themeShade="A6"/>
              <w:bottom w:val="single" w:sz="4" w:space="0" w:color="A6A6A6" w:themeColor="background1" w:themeShade="A6"/>
            </w:tcBorders>
            <w:shd w:val="clear" w:color="auto" w:fill="auto"/>
            <w:hideMark/>
          </w:tcPr>
          <w:p w14:paraId="32ACFB5F" w14:textId="77777777" w:rsidR="00AD2DF9" w:rsidRPr="00705F47" w:rsidRDefault="00AD2DF9" w:rsidP="006F1FAC">
            <w:pPr>
              <w:pStyle w:val="TableText"/>
              <w:tabs>
                <w:tab w:val="decimal" w:pos="689"/>
              </w:tabs>
              <w:rPr>
                <w:lang w:eastAsia="en-NZ"/>
              </w:rPr>
            </w:pPr>
            <w:r w:rsidRPr="00705F47">
              <w:rPr>
                <w:lang w:eastAsia="en-NZ"/>
              </w:rPr>
              <w:t>3</w:t>
            </w:r>
          </w:p>
        </w:tc>
        <w:tc>
          <w:tcPr>
            <w:tcW w:w="998" w:type="dxa"/>
            <w:tcBorders>
              <w:top w:val="single" w:sz="4" w:space="0" w:color="A6A6A6" w:themeColor="background1" w:themeShade="A6"/>
              <w:bottom w:val="single" w:sz="4" w:space="0" w:color="A6A6A6" w:themeColor="background1" w:themeShade="A6"/>
            </w:tcBorders>
            <w:shd w:val="clear" w:color="auto" w:fill="auto"/>
            <w:noWrap/>
            <w:hideMark/>
          </w:tcPr>
          <w:p w14:paraId="3134352B" w14:textId="77777777" w:rsidR="00AD2DF9" w:rsidRPr="00705F47" w:rsidRDefault="00AD2DF9" w:rsidP="006F1FAC">
            <w:pPr>
              <w:pStyle w:val="TableText"/>
              <w:tabs>
                <w:tab w:val="decimal" w:pos="684"/>
              </w:tabs>
              <w:rPr>
                <w:rFonts w:ascii="Calibri" w:hAnsi="Calibri"/>
                <w:color w:val="000000"/>
                <w:szCs w:val="22"/>
                <w:lang w:eastAsia="en-NZ"/>
              </w:rPr>
            </w:pPr>
            <w:r w:rsidRPr="00705F47">
              <w:rPr>
                <w:rFonts w:ascii="Calibri" w:hAnsi="Calibri"/>
                <w:color w:val="000000"/>
                <w:szCs w:val="22"/>
                <w:lang w:eastAsia="en-NZ"/>
              </w:rPr>
              <w:t>3</w:t>
            </w:r>
          </w:p>
        </w:tc>
        <w:tc>
          <w:tcPr>
            <w:tcW w:w="997" w:type="dxa"/>
            <w:tcBorders>
              <w:top w:val="single" w:sz="4" w:space="0" w:color="A6A6A6" w:themeColor="background1" w:themeShade="A6"/>
              <w:bottom w:val="single" w:sz="4" w:space="0" w:color="A6A6A6" w:themeColor="background1" w:themeShade="A6"/>
            </w:tcBorders>
            <w:shd w:val="clear" w:color="auto" w:fill="auto"/>
            <w:noWrap/>
            <w:hideMark/>
          </w:tcPr>
          <w:p w14:paraId="3AE87B4D" w14:textId="77777777" w:rsidR="00AD2DF9" w:rsidRPr="00705F47" w:rsidRDefault="00AD2DF9" w:rsidP="006F1FAC">
            <w:pPr>
              <w:pStyle w:val="TableText"/>
              <w:tabs>
                <w:tab w:val="decimal" w:pos="684"/>
              </w:tabs>
              <w:rPr>
                <w:rFonts w:ascii="Calibri" w:hAnsi="Calibri"/>
                <w:color w:val="000000"/>
                <w:szCs w:val="22"/>
                <w:lang w:eastAsia="en-NZ"/>
              </w:rPr>
            </w:pPr>
            <w:r w:rsidRPr="00705F47">
              <w:rPr>
                <w:rFonts w:ascii="Calibri" w:hAnsi="Calibri"/>
                <w:color w:val="000000"/>
                <w:szCs w:val="22"/>
                <w:lang w:eastAsia="en-NZ"/>
              </w:rPr>
              <w:t>0</w:t>
            </w:r>
          </w:p>
        </w:tc>
        <w:tc>
          <w:tcPr>
            <w:tcW w:w="998" w:type="dxa"/>
            <w:tcBorders>
              <w:top w:val="single" w:sz="4" w:space="0" w:color="A6A6A6" w:themeColor="background1" w:themeShade="A6"/>
              <w:bottom w:val="single" w:sz="4" w:space="0" w:color="A6A6A6" w:themeColor="background1" w:themeShade="A6"/>
            </w:tcBorders>
            <w:shd w:val="clear" w:color="auto" w:fill="auto"/>
            <w:noWrap/>
            <w:hideMark/>
          </w:tcPr>
          <w:p w14:paraId="03CF1A29" w14:textId="77777777" w:rsidR="00AD2DF9" w:rsidRPr="00705F47" w:rsidRDefault="00AD2DF9" w:rsidP="006F1FAC">
            <w:pPr>
              <w:pStyle w:val="TableText"/>
              <w:tabs>
                <w:tab w:val="decimal" w:pos="553"/>
              </w:tabs>
              <w:rPr>
                <w:rFonts w:ascii="Calibri" w:hAnsi="Calibri"/>
                <w:color w:val="000000"/>
                <w:szCs w:val="22"/>
                <w:lang w:eastAsia="en-NZ"/>
              </w:rPr>
            </w:pPr>
            <w:r w:rsidRPr="00705F47">
              <w:rPr>
                <w:rFonts w:ascii="Calibri" w:hAnsi="Calibri"/>
                <w:color w:val="000000"/>
                <w:szCs w:val="22"/>
                <w:lang w:eastAsia="en-NZ"/>
              </w:rPr>
              <w:t>0</w:t>
            </w:r>
          </w:p>
        </w:tc>
        <w:tc>
          <w:tcPr>
            <w:tcW w:w="997" w:type="dxa"/>
            <w:tcBorders>
              <w:top w:val="single" w:sz="4" w:space="0" w:color="A6A6A6" w:themeColor="background1" w:themeShade="A6"/>
              <w:bottom w:val="single" w:sz="4" w:space="0" w:color="A6A6A6" w:themeColor="background1" w:themeShade="A6"/>
            </w:tcBorders>
            <w:shd w:val="clear" w:color="auto" w:fill="auto"/>
            <w:noWrap/>
            <w:hideMark/>
          </w:tcPr>
          <w:p w14:paraId="3B2B3A90" w14:textId="77777777" w:rsidR="00AD2DF9" w:rsidRPr="00705F47" w:rsidRDefault="00AD2DF9" w:rsidP="006F1FAC">
            <w:pPr>
              <w:pStyle w:val="TableText"/>
              <w:tabs>
                <w:tab w:val="decimal" w:pos="553"/>
              </w:tabs>
              <w:rPr>
                <w:rFonts w:ascii="Calibri" w:hAnsi="Calibri"/>
                <w:color w:val="000000"/>
                <w:szCs w:val="22"/>
                <w:lang w:eastAsia="en-NZ"/>
              </w:rPr>
            </w:pPr>
            <w:r w:rsidRPr="00705F47">
              <w:rPr>
                <w:rFonts w:ascii="Calibri" w:hAnsi="Calibri"/>
                <w:color w:val="000000"/>
                <w:szCs w:val="22"/>
                <w:lang w:eastAsia="en-NZ"/>
              </w:rPr>
              <w:t>0</w:t>
            </w:r>
          </w:p>
        </w:tc>
        <w:tc>
          <w:tcPr>
            <w:tcW w:w="1146" w:type="dxa"/>
            <w:tcBorders>
              <w:top w:val="single" w:sz="4" w:space="0" w:color="A6A6A6" w:themeColor="background1" w:themeShade="A6"/>
              <w:bottom w:val="single" w:sz="4" w:space="0" w:color="A6A6A6" w:themeColor="background1" w:themeShade="A6"/>
            </w:tcBorders>
            <w:shd w:val="clear" w:color="auto" w:fill="auto"/>
            <w:noWrap/>
            <w:hideMark/>
          </w:tcPr>
          <w:p w14:paraId="04726B7A" w14:textId="77777777" w:rsidR="00AD2DF9" w:rsidRPr="00705F47" w:rsidRDefault="00AD2DF9" w:rsidP="006F1FAC">
            <w:pPr>
              <w:pStyle w:val="TableText"/>
              <w:tabs>
                <w:tab w:val="decimal" w:pos="601"/>
              </w:tabs>
              <w:rPr>
                <w:rFonts w:ascii="Calibri" w:hAnsi="Calibri"/>
                <w:color w:val="000000"/>
                <w:szCs w:val="22"/>
                <w:lang w:eastAsia="en-NZ"/>
              </w:rPr>
            </w:pPr>
            <w:r w:rsidRPr="00705F47">
              <w:rPr>
                <w:rFonts w:ascii="Calibri" w:hAnsi="Calibri"/>
                <w:color w:val="000000"/>
                <w:szCs w:val="22"/>
                <w:lang w:eastAsia="en-NZ"/>
              </w:rPr>
              <w:t>0</w:t>
            </w:r>
          </w:p>
        </w:tc>
        <w:tc>
          <w:tcPr>
            <w:tcW w:w="850" w:type="dxa"/>
            <w:tcBorders>
              <w:top w:val="single" w:sz="4" w:space="0" w:color="A6A6A6" w:themeColor="background1" w:themeShade="A6"/>
              <w:bottom w:val="single" w:sz="4" w:space="0" w:color="A6A6A6" w:themeColor="background1" w:themeShade="A6"/>
            </w:tcBorders>
            <w:shd w:val="clear" w:color="auto" w:fill="auto"/>
            <w:noWrap/>
            <w:hideMark/>
          </w:tcPr>
          <w:p w14:paraId="3491CD89" w14:textId="77777777" w:rsidR="00AD2DF9" w:rsidRPr="00705F47" w:rsidRDefault="00AD2DF9" w:rsidP="006F1FAC">
            <w:pPr>
              <w:pStyle w:val="TableText"/>
              <w:jc w:val="center"/>
              <w:rPr>
                <w:lang w:eastAsia="en-NZ"/>
              </w:rPr>
            </w:pPr>
            <w:r w:rsidRPr="00705F47">
              <w:rPr>
                <w:lang w:eastAsia="en-NZ"/>
              </w:rPr>
              <w:t>0</w:t>
            </w:r>
          </w:p>
        </w:tc>
      </w:tr>
    </w:tbl>
    <w:p w14:paraId="4666BC66" w14:textId="77777777" w:rsidR="00AD2DF9" w:rsidRPr="00705F47" w:rsidRDefault="00AD2DF9" w:rsidP="006F1FAC"/>
    <w:p w14:paraId="6E566DB1" w14:textId="59243D8E" w:rsidR="00AD2DF9" w:rsidRDefault="00301720" w:rsidP="00301720">
      <w:pPr>
        <w:pStyle w:val="Figure"/>
      </w:pPr>
      <w:bookmarkStart w:id="98" w:name="_Ref83016365"/>
      <w:bookmarkStart w:id="99" w:name="_Toc83037386"/>
      <w:bookmarkStart w:id="100" w:name="_Toc84419938"/>
      <w:r>
        <w:t>Figure </w:t>
      </w:r>
      <w:r w:rsidR="009E3B78">
        <w:fldChar w:fldCharType="begin"/>
      </w:r>
      <w:r w:rsidR="009E3B78">
        <w:instrText xml:space="preserve"> STYLEREF 2 \s </w:instrText>
      </w:r>
      <w:r w:rsidR="009E3B78">
        <w:fldChar w:fldCharType="separate"/>
      </w:r>
      <w:r w:rsidR="0090485D">
        <w:rPr>
          <w:noProof/>
        </w:rPr>
        <w:t>7</w:t>
      </w:r>
      <w:r w:rsidR="009E3B78">
        <w:rPr>
          <w:noProof/>
        </w:rPr>
        <w:fldChar w:fldCharType="end"/>
      </w:r>
      <w:r>
        <w:t>.</w:t>
      </w:r>
      <w:r w:rsidR="009E3B78">
        <w:fldChar w:fldCharType="begin"/>
      </w:r>
      <w:r w:rsidR="009E3B78">
        <w:instrText xml:space="preserve"> SEQ Figure \* ARABIC \s 2 </w:instrText>
      </w:r>
      <w:r w:rsidR="009E3B78">
        <w:fldChar w:fldCharType="separate"/>
      </w:r>
      <w:r w:rsidR="0090485D">
        <w:rPr>
          <w:noProof/>
        </w:rPr>
        <w:t>1</w:t>
      </w:r>
      <w:r w:rsidR="009E3B78">
        <w:rPr>
          <w:noProof/>
        </w:rPr>
        <w:fldChar w:fldCharType="end"/>
      </w:r>
      <w:bookmarkEnd w:id="98"/>
      <w:r w:rsidR="00AD2DF9" w:rsidRPr="00FE2143">
        <w:t>: Percentage of abortions by duration of pregnancy, 2010–2020</w:t>
      </w:r>
      <w:bookmarkEnd w:id="99"/>
      <w:bookmarkEnd w:id="100"/>
    </w:p>
    <w:p w14:paraId="04BB1AF0" w14:textId="77777777" w:rsidR="00AD2DF9" w:rsidRPr="00FE2143" w:rsidRDefault="00DE2E54" w:rsidP="00DE2E54">
      <w:r>
        <w:rPr>
          <w:noProof/>
          <w:lang w:eastAsia="en-NZ"/>
        </w:rPr>
        <w:drawing>
          <wp:inline distT="0" distB="0" distL="0" distR="0" wp14:anchorId="190242AA" wp14:editId="3CA9ED53">
            <wp:extent cx="5120640" cy="3124555"/>
            <wp:effectExtent l="0" t="0" r="3810" b="0"/>
            <wp:docPr id="19" name="Picture 19" descr="Graph showing percentage of abortions by duration of pregnancy from 2010 to 2020 with approximately 80% taking place at 11 weeks to under 8 weeks over the time period. In 2020 more abortions took place under 8 weeks than in other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 showing percentage of abortions by duration of pregnancy from 2010 to 2020 with approximately 80% taking place at 11 weeks to under 8 weeks over the time period. In 2020 more abortions took place under 8 weeks than in other year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22113" cy="3125454"/>
                    </a:xfrm>
                    <a:prstGeom prst="rect">
                      <a:avLst/>
                    </a:prstGeom>
                    <a:noFill/>
                  </pic:spPr>
                </pic:pic>
              </a:graphicData>
            </a:graphic>
          </wp:inline>
        </w:drawing>
      </w:r>
    </w:p>
    <w:p w14:paraId="19051194" w14:textId="77777777" w:rsidR="00DE2E54" w:rsidRPr="00705F47" w:rsidRDefault="00DE2E54" w:rsidP="00301720">
      <w:pPr>
        <w:rPr>
          <w:lang w:eastAsia="en-NZ"/>
        </w:rPr>
      </w:pPr>
    </w:p>
    <w:p w14:paraId="72800A91" w14:textId="77777777" w:rsidR="00AD2DF9" w:rsidRPr="00705F47" w:rsidRDefault="00AD2DF9" w:rsidP="00DE2E54">
      <w:pPr>
        <w:pStyle w:val="Heading2"/>
        <w:keepNext w:val="0"/>
        <w:pageBreakBefore/>
        <w:spacing w:before="0"/>
        <w:rPr>
          <w:lang w:eastAsia="en-NZ"/>
        </w:rPr>
      </w:pPr>
      <w:bookmarkStart w:id="101" w:name="_Toc83037215"/>
      <w:bookmarkStart w:id="102" w:name="_Toc84582315"/>
      <w:r w:rsidRPr="00705F47">
        <w:rPr>
          <w:lang w:eastAsia="en-NZ"/>
        </w:rPr>
        <w:lastRenderedPageBreak/>
        <w:t>Procedure</w:t>
      </w:r>
      <w:bookmarkEnd w:id="101"/>
      <w:bookmarkEnd w:id="102"/>
    </w:p>
    <w:p w14:paraId="35225889" w14:textId="330AAFE8" w:rsidR="00AD2DF9" w:rsidRPr="00705F47" w:rsidRDefault="00AD2DF9" w:rsidP="00301720">
      <w:pPr>
        <w:rPr>
          <w:rFonts w:eastAsia="Segoe UI"/>
        </w:rPr>
      </w:pPr>
      <w:r w:rsidRPr="00705F47">
        <w:rPr>
          <w:rFonts w:eastAsia="Segoe UI"/>
        </w:rPr>
        <w:t>In line with the finding that more patients accessed abortion earlier, 2020 also saw a large increase in early medical abortion. In total, 36% (4,774) of patients had an EMA up to nine weeks</w:t>
      </w:r>
      <w:r w:rsidR="000E4CE5">
        <w:rPr>
          <w:rFonts w:eastAsia="Segoe UI"/>
        </w:rPr>
        <w:t>’</w:t>
      </w:r>
      <w:r w:rsidRPr="00705F47">
        <w:rPr>
          <w:rFonts w:eastAsia="Segoe UI"/>
        </w:rPr>
        <w:t xml:space="preserve"> gestation in 2020 (</w:t>
      </w:r>
      <w:r w:rsidRPr="00705F47">
        <w:rPr>
          <w:rFonts w:eastAsia="Segoe UI"/>
        </w:rPr>
        <w:fldChar w:fldCharType="begin"/>
      </w:r>
      <w:r w:rsidRPr="00705F47">
        <w:rPr>
          <w:rFonts w:eastAsia="Segoe UI"/>
        </w:rPr>
        <w:instrText xml:space="preserve"> REF _Ref83017059 \h </w:instrText>
      </w:r>
      <w:r w:rsidRPr="00705F47">
        <w:rPr>
          <w:rFonts w:eastAsia="Segoe UI"/>
        </w:rPr>
      </w:r>
      <w:r w:rsidRPr="00705F47">
        <w:rPr>
          <w:rFonts w:eastAsia="Segoe UI"/>
        </w:rPr>
        <w:fldChar w:fldCharType="separate"/>
      </w:r>
      <w:r w:rsidR="0090485D">
        <w:t>Table </w:t>
      </w:r>
      <w:r w:rsidR="0090485D">
        <w:rPr>
          <w:noProof/>
        </w:rPr>
        <w:t>8</w:t>
      </w:r>
      <w:r w:rsidR="0090485D">
        <w:t>.</w:t>
      </w:r>
      <w:r w:rsidR="0090485D">
        <w:rPr>
          <w:noProof/>
        </w:rPr>
        <w:t>1</w:t>
      </w:r>
      <w:r w:rsidRPr="00705F47">
        <w:rPr>
          <w:rFonts w:eastAsia="Segoe UI"/>
        </w:rPr>
        <w:fldChar w:fldCharType="end"/>
      </w:r>
      <w:r w:rsidRPr="00705F47">
        <w:rPr>
          <w:rFonts w:eastAsia="Segoe UI"/>
        </w:rPr>
        <w:t>), compared with only 22% in 2019.</w:t>
      </w:r>
    </w:p>
    <w:p w14:paraId="01AB3CFD" w14:textId="77777777" w:rsidR="000E4CE5" w:rsidRDefault="00AD2DF9" w:rsidP="00AD2DF9">
      <w:pPr>
        <w:rPr>
          <w:rFonts w:eastAsia="Segoe UI"/>
        </w:rPr>
      </w:pPr>
      <w:r w:rsidRPr="00705F47">
        <w:rPr>
          <w:rFonts w:eastAsia="Segoe UI"/>
        </w:rPr>
        <w:t>Surgical abortion decreased in 2020, accounting for 59% (7,802) of total abortions compared with 72% in 2019.</w:t>
      </w:r>
    </w:p>
    <w:p w14:paraId="214F78C0" w14:textId="77777777" w:rsidR="00301720" w:rsidRDefault="00301720" w:rsidP="00301720">
      <w:pPr>
        <w:rPr>
          <w:rFonts w:eastAsia="Segoe UI"/>
        </w:rPr>
      </w:pPr>
    </w:p>
    <w:p w14:paraId="00D81222" w14:textId="3D26FCA4" w:rsidR="00AD2DF9" w:rsidRDefault="00AD2DF9" w:rsidP="00301720">
      <w:pPr>
        <w:rPr>
          <w:rFonts w:eastAsia="Segoe UI"/>
        </w:rPr>
      </w:pPr>
      <w:r w:rsidRPr="00705F47">
        <w:rPr>
          <w:rFonts w:eastAsia="Segoe UI"/>
        </w:rPr>
        <w:t>Later medical abortion decreased slightly in 2020, accounting for 4% of total abortions, compared with 6% in 2019 (</w:t>
      </w:r>
      <w:r w:rsidRPr="00705F47">
        <w:rPr>
          <w:rFonts w:eastAsia="Segoe UI"/>
        </w:rPr>
        <w:fldChar w:fldCharType="begin"/>
      </w:r>
      <w:r w:rsidRPr="00705F47">
        <w:rPr>
          <w:rFonts w:eastAsia="Segoe UI"/>
        </w:rPr>
        <w:instrText xml:space="preserve"> REF _Ref83017097 \h </w:instrText>
      </w:r>
      <w:r w:rsidRPr="00705F47">
        <w:rPr>
          <w:rFonts w:eastAsia="Segoe UI"/>
        </w:rPr>
      </w:r>
      <w:r w:rsidRPr="00705F47">
        <w:rPr>
          <w:rFonts w:eastAsia="Segoe UI"/>
        </w:rPr>
        <w:fldChar w:fldCharType="separate"/>
      </w:r>
      <w:r w:rsidR="0090485D">
        <w:t>Figure </w:t>
      </w:r>
      <w:r w:rsidR="0090485D">
        <w:rPr>
          <w:noProof/>
        </w:rPr>
        <w:t>8</w:t>
      </w:r>
      <w:r w:rsidR="0090485D">
        <w:t>.</w:t>
      </w:r>
      <w:r w:rsidR="0090485D">
        <w:rPr>
          <w:noProof/>
        </w:rPr>
        <w:t>1</w:t>
      </w:r>
      <w:r w:rsidRPr="00705F47">
        <w:rPr>
          <w:rFonts w:eastAsia="Segoe UI"/>
        </w:rPr>
        <w:fldChar w:fldCharType="end"/>
      </w:r>
      <w:r w:rsidRPr="00705F47">
        <w:rPr>
          <w:rFonts w:eastAsia="Segoe UI"/>
        </w:rPr>
        <w:t>).</w:t>
      </w:r>
    </w:p>
    <w:p w14:paraId="7C3C4531" w14:textId="77777777" w:rsidR="00301720" w:rsidRPr="00705F47" w:rsidRDefault="00301720" w:rsidP="00301720">
      <w:pPr>
        <w:rPr>
          <w:rFonts w:eastAsia="Segoe UI"/>
        </w:rPr>
      </w:pPr>
    </w:p>
    <w:p w14:paraId="2F375466" w14:textId="4557A41E" w:rsidR="00AD2DF9" w:rsidRPr="00705F47" w:rsidRDefault="00301720" w:rsidP="00301720">
      <w:pPr>
        <w:pStyle w:val="Table"/>
        <w:rPr>
          <w:lang w:eastAsia="en-NZ"/>
        </w:rPr>
      </w:pPr>
      <w:bookmarkStart w:id="103" w:name="_Ref83017059"/>
      <w:bookmarkStart w:id="104" w:name="_Toc83037713"/>
      <w:bookmarkStart w:id="105" w:name="_Toc83367101"/>
      <w:r>
        <w:t>Table </w:t>
      </w:r>
      <w:r w:rsidR="009E3B78">
        <w:fldChar w:fldCharType="begin"/>
      </w:r>
      <w:r w:rsidR="009E3B78">
        <w:instrText xml:space="preserve"> STYLEREF 2 \s </w:instrText>
      </w:r>
      <w:r w:rsidR="009E3B78">
        <w:fldChar w:fldCharType="separate"/>
      </w:r>
      <w:r w:rsidR="0090485D">
        <w:rPr>
          <w:noProof/>
        </w:rPr>
        <w:t>8</w:t>
      </w:r>
      <w:r w:rsidR="009E3B78">
        <w:rPr>
          <w:noProof/>
        </w:rPr>
        <w:fldChar w:fldCharType="end"/>
      </w:r>
      <w:r>
        <w:t>.</w:t>
      </w:r>
      <w:r w:rsidR="009E3B78">
        <w:fldChar w:fldCharType="begin"/>
      </w:r>
      <w:r w:rsidR="009E3B78">
        <w:instrText xml:space="preserve"> SEQ Table \* ARABIC \s 2 </w:instrText>
      </w:r>
      <w:r w:rsidR="009E3B78">
        <w:fldChar w:fldCharType="separate"/>
      </w:r>
      <w:r w:rsidR="0090485D">
        <w:rPr>
          <w:noProof/>
        </w:rPr>
        <w:t>1</w:t>
      </w:r>
      <w:r w:rsidR="009E3B78">
        <w:rPr>
          <w:noProof/>
        </w:rPr>
        <w:fldChar w:fldCharType="end"/>
      </w:r>
      <w:bookmarkEnd w:id="103"/>
      <w:r w:rsidR="00AD2DF9" w:rsidRPr="00705F47">
        <w:rPr>
          <w:lang w:eastAsia="en-NZ"/>
        </w:rPr>
        <w:t>: Number of abortions by procedure and duration of pregnancy, 2020</w:t>
      </w:r>
      <w:bookmarkEnd w:id="104"/>
      <w:bookmarkEnd w:id="105"/>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544"/>
        <w:gridCol w:w="1134"/>
        <w:gridCol w:w="1134"/>
        <w:gridCol w:w="1134"/>
        <w:gridCol w:w="1134"/>
      </w:tblGrid>
      <w:tr w:rsidR="00AD2DF9" w:rsidRPr="006F1FAC" w14:paraId="7D51AE33" w14:textId="77777777" w:rsidTr="006F1FAC">
        <w:trPr>
          <w:cantSplit/>
        </w:trPr>
        <w:tc>
          <w:tcPr>
            <w:tcW w:w="3544" w:type="dxa"/>
            <w:tcBorders>
              <w:top w:val="nil"/>
              <w:bottom w:val="nil"/>
            </w:tcBorders>
            <w:shd w:val="clear" w:color="auto" w:fill="D9D9D9" w:themeFill="background1" w:themeFillShade="D9"/>
            <w:hideMark/>
          </w:tcPr>
          <w:p w14:paraId="78ADAC23" w14:textId="77777777" w:rsidR="00AD2DF9" w:rsidRPr="006F1FAC" w:rsidRDefault="00AD2DF9" w:rsidP="006F1FAC">
            <w:pPr>
              <w:pStyle w:val="TableText"/>
              <w:rPr>
                <w:b/>
                <w:lang w:eastAsia="en-NZ"/>
              </w:rPr>
            </w:pPr>
            <w:r w:rsidRPr="006F1FAC">
              <w:rPr>
                <w:b/>
                <w:lang w:eastAsia="en-NZ"/>
              </w:rPr>
              <w:t>Procedure</w:t>
            </w:r>
          </w:p>
        </w:tc>
        <w:tc>
          <w:tcPr>
            <w:tcW w:w="1134" w:type="dxa"/>
            <w:tcBorders>
              <w:top w:val="nil"/>
              <w:bottom w:val="nil"/>
            </w:tcBorders>
            <w:shd w:val="clear" w:color="auto" w:fill="D9D9D9" w:themeFill="background1" w:themeFillShade="D9"/>
            <w:noWrap/>
            <w:hideMark/>
          </w:tcPr>
          <w:p w14:paraId="39B1A7D0" w14:textId="77777777" w:rsidR="00AD2DF9" w:rsidRPr="006F1FAC" w:rsidRDefault="00AD2DF9" w:rsidP="006F1FAC">
            <w:pPr>
              <w:pStyle w:val="TableText"/>
              <w:jc w:val="center"/>
              <w:rPr>
                <w:b/>
                <w:lang w:eastAsia="en-NZ"/>
              </w:rPr>
            </w:pPr>
            <w:r w:rsidRPr="006F1FAC">
              <w:rPr>
                <w:b/>
                <w:lang w:eastAsia="en-NZ"/>
              </w:rPr>
              <w:t>Under 9 weeks</w:t>
            </w:r>
          </w:p>
        </w:tc>
        <w:tc>
          <w:tcPr>
            <w:tcW w:w="1134" w:type="dxa"/>
            <w:tcBorders>
              <w:top w:val="nil"/>
              <w:bottom w:val="nil"/>
            </w:tcBorders>
            <w:shd w:val="clear" w:color="auto" w:fill="D9D9D9" w:themeFill="background1" w:themeFillShade="D9"/>
            <w:noWrap/>
            <w:hideMark/>
          </w:tcPr>
          <w:p w14:paraId="6F7F9C05" w14:textId="77777777" w:rsidR="00AD2DF9" w:rsidRPr="006F1FAC" w:rsidRDefault="00AD2DF9" w:rsidP="006F1FAC">
            <w:pPr>
              <w:pStyle w:val="TableText"/>
              <w:jc w:val="center"/>
              <w:rPr>
                <w:b/>
                <w:lang w:eastAsia="en-NZ"/>
              </w:rPr>
            </w:pPr>
            <w:r w:rsidRPr="006F1FAC">
              <w:rPr>
                <w:b/>
                <w:lang w:eastAsia="en-NZ"/>
              </w:rPr>
              <w:t>9th week and over</w:t>
            </w:r>
          </w:p>
        </w:tc>
        <w:tc>
          <w:tcPr>
            <w:tcW w:w="1134" w:type="dxa"/>
            <w:tcBorders>
              <w:top w:val="nil"/>
              <w:bottom w:val="nil"/>
            </w:tcBorders>
            <w:shd w:val="clear" w:color="auto" w:fill="D9D9D9" w:themeFill="background1" w:themeFillShade="D9"/>
            <w:noWrap/>
            <w:hideMark/>
          </w:tcPr>
          <w:p w14:paraId="0D915445" w14:textId="77777777" w:rsidR="00AD2DF9" w:rsidRPr="006F1FAC" w:rsidRDefault="00AD2DF9" w:rsidP="006F1FAC">
            <w:pPr>
              <w:pStyle w:val="TableText"/>
              <w:jc w:val="center"/>
              <w:rPr>
                <w:b/>
                <w:lang w:eastAsia="en-NZ"/>
              </w:rPr>
            </w:pPr>
            <w:r w:rsidRPr="006F1FAC">
              <w:rPr>
                <w:b/>
                <w:lang w:eastAsia="en-NZ"/>
              </w:rPr>
              <w:t>Unknown</w:t>
            </w:r>
          </w:p>
        </w:tc>
        <w:tc>
          <w:tcPr>
            <w:tcW w:w="1134" w:type="dxa"/>
            <w:tcBorders>
              <w:top w:val="nil"/>
              <w:bottom w:val="nil"/>
            </w:tcBorders>
            <w:shd w:val="clear" w:color="auto" w:fill="D9D9D9" w:themeFill="background1" w:themeFillShade="D9"/>
            <w:noWrap/>
            <w:hideMark/>
          </w:tcPr>
          <w:p w14:paraId="1B5A96A3" w14:textId="77777777" w:rsidR="00AD2DF9" w:rsidRPr="006F1FAC" w:rsidRDefault="00AD2DF9" w:rsidP="006F1FAC">
            <w:pPr>
              <w:pStyle w:val="TableText"/>
              <w:jc w:val="center"/>
              <w:rPr>
                <w:b/>
                <w:lang w:eastAsia="en-NZ"/>
              </w:rPr>
            </w:pPr>
            <w:r w:rsidRPr="006F1FAC">
              <w:rPr>
                <w:b/>
                <w:lang w:eastAsia="en-NZ"/>
              </w:rPr>
              <w:t>Total</w:t>
            </w:r>
          </w:p>
        </w:tc>
      </w:tr>
      <w:tr w:rsidR="00AD2DF9" w:rsidRPr="006F1FAC" w14:paraId="478B072B" w14:textId="77777777" w:rsidTr="006F1FAC">
        <w:trPr>
          <w:cantSplit/>
        </w:trPr>
        <w:tc>
          <w:tcPr>
            <w:tcW w:w="3544" w:type="dxa"/>
            <w:tcBorders>
              <w:top w:val="nil"/>
            </w:tcBorders>
            <w:shd w:val="clear" w:color="auto" w:fill="auto"/>
            <w:hideMark/>
          </w:tcPr>
          <w:p w14:paraId="4194C334" w14:textId="77777777" w:rsidR="00AD2DF9" w:rsidRPr="006F1FAC" w:rsidRDefault="00AD2DF9" w:rsidP="006F1FAC">
            <w:pPr>
              <w:pStyle w:val="TableText"/>
              <w:rPr>
                <w:b/>
                <w:bCs/>
                <w:lang w:eastAsia="en-NZ"/>
              </w:rPr>
            </w:pPr>
            <w:r w:rsidRPr="006F1FAC">
              <w:rPr>
                <w:b/>
                <w:bCs/>
                <w:lang w:eastAsia="en-NZ"/>
              </w:rPr>
              <w:t>Total</w:t>
            </w:r>
          </w:p>
        </w:tc>
        <w:tc>
          <w:tcPr>
            <w:tcW w:w="1134" w:type="dxa"/>
            <w:tcBorders>
              <w:top w:val="nil"/>
            </w:tcBorders>
            <w:shd w:val="clear" w:color="auto" w:fill="auto"/>
            <w:noWrap/>
            <w:hideMark/>
          </w:tcPr>
          <w:p w14:paraId="0311724B" w14:textId="77777777" w:rsidR="00AD2DF9" w:rsidRPr="006F1FAC" w:rsidRDefault="00AD2DF9" w:rsidP="006F1FAC">
            <w:pPr>
              <w:pStyle w:val="TableText"/>
              <w:tabs>
                <w:tab w:val="decimal" w:pos="745"/>
              </w:tabs>
              <w:rPr>
                <w:b/>
                <w:bCs/>
                <w:lang w:eastAsia="en-NZ"/>
              </w:rPr>
            </w:pPr>
            <w:r w:rsidRPr="006F1FAC">
              <w:rPr>
                <w:b/>
                <w:bCs/>
                <w:lang w:eastAsia="en-NZ"/>
              </w:rPr>
              <w:t>8,455</w:t>
            </w:r>
          </w:p>
        </w:tc>
        <w:tc>
          <w:tcPr>
            <w:tcW w:w="1134" w:type="dxa"/>
            <w:tcBorders>
              <w:top w:val="nil"/>
            </w:tcBorders>
            <w:shd w:val="clear" w:color="auto" w:fill="auto"/>
            <w:noWrap/>
            <w:hideMark/>
          </w:tcPr>
          <w:p w14:paraId="4F5A56E6" w14:textId="77777777" w:rsidR="00AD2DF9" w:rsidRPr="006F1FAC" w:rsidRDefault="00AD2DF9" w:rsidP="006F1FAC">
            <w:pPr>
              <w:pStyle w:val="TableText"/>
              <w:tabs>
                <w:tab w:val="decimal" w:pos="745"/>
              </w:tabs>
              <w:rPr>
                <w:b/>
                <w:bCs/>
                <w:lang w:eastAsia="en-NZ"/>
              </w:rPr>
            </w:pPr>
            <w:r w:rsidRPr="006F1FAC">
              <w:rPr>
                <w:b/>
                <w:bCs/>
                <w:lang w:eastAsia="en-NZ"/>
              </w:rPr>
              <w:t>4,790</w:t>
            </w:r>
          </w:p>
        </w:tc>
        <w:tc>
          <w:tcPr>
            <w:tcW w:w="1134" w:type="dxa"/>
            <w:tcBorders>
              <w:top w:val="nil"/>
            </w:tcBorders>
            <w:shd w:val="clear" w:color="auto" w:fill="auto"/>
            <w:noWrap/>
            <w:hideMark/>
          </w:tcPr>
          <w:p w14:paraId="57C4A37A" w14:textId="77777777" w:rsidR="00AD2DF9" w:rsidRPr="006F1FAC" w:rsidRDefault="00AD2DF9" w:rsidP="006F1FAC">
            <w:pPr>
              <w:pStyle w:val="TableText"/>
              <w:jc w:val="center"/>
              <w:rPr>
                <w:b/>
                <w:bCs/>
                <w:lang w:eastAsia="en-NZ"/>
              </w:rPr>
            </w:pPr>
            <w:r w:rsidRPr="006F1FAC">
              <w:rPr>
                <w:b/>
                <w:bCs/>
                <w:lang w:eastAsia="en-NZ"/>
              </w:rPr>
              <w:t>1</w:t>
            </w:r>
          </w:p>
        </w:tc>
        <w:tc>
          <w:tcPr>
            <w:tcW w:w="1134" w:type="dxa"/>
            <w:tcBorders>
              <w:top w:val="nil"/>
            </w:tcBorders>
            <w:shd w:val="clear" w:color="auto" w:fill="auto"/>
            <w:noWrap/>
            <w:hideMark/>
          </w:tcPr>
          <w:p w14:paraId="2DC05BB5" w14:textId="77777777" w:rsidR="00AD2DF9" w:rsidRPr="006F1FAC" w:rsidRDefault="00AD2DF9" w:rsidP="006F1FAC">
            <w:pPr>
              <w:pStyle w:val="TableText"/>
              <w:tabs>
                <w:tab w:val="decimal" w:pos="799"/>
              </w:tabs>
              <w:rPr>
                <w:b/>
                <w:bCs/>
                <w:lang w:eastAsia="en-NZ"/>
              </w:rPr>
            </w:pPr>
            <w:r w:rsidRPr="006F1FAC">
              <w:rPr>
                <w:b/>
                <w:bCs/>
                <w:lang w:eastAsia="en-NZ"/>
              </w:rPr>
              <w:t>13,246</w:t>
            </w:r>
          </w:p>
        </w:tc>
      </w:tr>
      <w:tr w:rsidR="00AD2DF9" w:rsidRPr="00705F47" w14:paraId="13D01C28" w14:textId="77777777" w:rsidTr="006F1FAC">
        <w:trPr>
          <w:cantSplit/>
        </w:trPr>
        <w:tc>
          <w:tcPr>
            <w:tcW w:w="3544" w:type="dxa"/>
            <w:shd w:val="clear" w:color="auto" w:fill="auto"/>
            <w:hideMark/>
          </w:tcPr>
          <w:p w14:paraId="3B9EE359" w14:textId="77777777" w:rsidR="00AD2DF9" w:rsidRPr="00705F47" w:rsidRDefault="00AD2DF9" w:rsidP="006F1FAC">
            <w:pPr>
              <w:pStyle w:val="TableText"/>
              <w:rPr>
                <w:lang w:eastAsia="en-NZ"/>
              </w:rPr>
            </w:pPr>
            <w:bookmarkStart w:id="106" w:name="RANGE!A8:E14"/>
            <w:bookmarkStart w:id="107" w:name="RANGE!A8:E8"/>
            <w:bookmarkEnd w:id="106"/>
            <w:bookmarkEnd w:id="107"/>
            <w:r w:rsidRPr="00705F47">
              <w:rPr>
                <w:lang w:eastAsia="en-NZ"/>
              </w:rPr>
              <w:t>Surgical</w:t>
            </w:r>
          </w:p>
        </w:tc>
        <w:tc>
          <w:tcPr>
            <w:tcW w:w="1134" w:type="dxa"/>
            <w:shd w:val="clear" w:color="auto" w:fill="auto"/>
            <w:noWrap/>
            <w:hideMark/>
          </w:tcPr>
          <w:p w14:paraId="5984A84B" w14:textId="77777777" w:rsidR="00AD2DF9" w:rsidRPr="00705F47" w:rsidRDefault="00AD2DF9" w:rsidP="006F1FAC">
            <w:pPr>
              <w:pStyle w:val="TableText"/>
              <w:tabs>
                <w:tab w:val="decimal" w:pos="745"/>
              </w:tabs>
              <w:rPr>
                <w:lang w:eastAsia="en-NZ"/>
              </w:rPr>
            </w:pPr>
            <w:r w:rsidRPr="00705F47">
              <w:rPr>
                <w:lang w:eastAsia="en-NZ"/>
              </w:rPr>
              <w:t>3624</w:t>
            </w:r>
          </w:p>
        </w:tc>
        <w:tc>
          <w:tcPr>
            <w:tcW w:w="1134" w:type="dxa"/>
            <w:shd w:val="clear" w:color="auto" w:fill="auto"/>
            <w:noWrap/>
            <w:hideMark/>
          </w:tcPr>
          <w:p w14:paraId="513932B7" w14:textId="77777777" w:rsidR="00AD2DF9" w:rsidRPr="00705F47" w:rsidRDefault="00AD2DF9" w:rsidP="006F1FAC">
            <w:pPr>
              <w:pStyle w:val="TableText"/>
              <w:tabs>
                <w:tab w:val="decimal" w:pos="745"/>
              </w:tabs>
              <w:rPr>
                <w:lang w:eastAsia="en-NZ"/>
              </w:rPr>
            </w:pPr>
            <w:r w:rsidRPr="00705F47">
              <w:rPr>
                <w:lang w:eastAsia="en-NZ"/>
              </w:rPr>
              <w:t>4178</w:t>
            </w:r>
          </w:p>
        </w:tc>
        <w:tc>
          <w:tcPr>
            <w:tcW w:w="1134" w:type="dxa"/>
            <w:shd w:val="clear" w:color="auto" w:fill="auto"/>
            <w:noWrap/>
            <w:hideMark/>
          </w:tcPr>
          <w:p w14:paraId="1A5B7EC9" w14:textId="77777777" w:rsidR="00AD2DF9" w:rsidRPr="00705F47" w:rsidRDefault="00AD2DF9" w:rsidP="006F1FAC">
            <w:pPr>
              <w:pStyle w:val="TableText"/>
              <w:jc w:val="center"/>
              <w:rPr>
                <w:lang w:eastAsia="en-NZ"/>
              </w:rPr>
            </w:pPr>
            <w:r w:rsidRPr="00705F47">
              <w:rPr>
                <w:lang w:eastAsia="en-NZ"/>
              </w:rPr>
              <w:t>0</w:t>
            </w:r>
          </w:p>
        </w:tc>
        <w:tc>
          <w:tcPr>
            <w:tcW w:w="1134" w:type="dxa"/>
            <w:shd w:val="clear" w:color="auto" w:fill="auto"/>
            <w:hideMark/>
          </w:tcPr>
          <w:p w14:paraId="431B9280" w14:textId="77777777" w:rsidR="00AD2DF9" w:rsidRPr="00705F47" w:rsidRDefault="00AD2DF9" w:rsidP="006F1FAC">
            <w:pPr>
              <w:pStyle w:val="TableText"/>
              <w:tabs>
                <w:tab w:val="decimal" w:pos="799"/>
              </w:tabs>
              <w:rPr>
                <w:lang w:eastAsia="en-NZ"/>
              </w:rPr>
            </w:pPr>
            <w:r w:rsidRPr="00705F47">
              <w:rPr>
                <w:lang w:eastAsia="en-NZ"/>
              </w:rPr>
              <w:t>7,802</w:t>
            </w:r>
          </w:p>
        </w:tc>
      </w:tr>
      <w:tr w:rsidR="00AD2DF9" w:rsidRPr="00705F47" w14:paraId="00DCD6FB" w14:textId="77777777" w:rsidTr="006F1FAC">
        <w:trPr>
          <w:cantSplit/>
        </w:trPr>
        <w:tc>
          <w:tcPr>
            <w:tcW w:w="3544" w:type="dxa"/>
            <w:shd w:val="clear" w:color="auto" w:fill="auto"/>
            <w:hideMark/>
          </w:tcPr>
          <w:p w14:paraId="31D4F456" w14:textId="77777777" w:rsidR="00AD2DF9" w:rsidRPr="00705F47" w:rsidRDefault="00AD2DF9" w:rsidP="006F1FAC">
            <w:pPr>
              <w:pStyle w:val="TableText"/>
              <w:rPr>
                <w:lang w:eastAsia="en-NZ"/>
              </w:rPr>
            </w:pPr>
            <w:r w:rsidRPr="00705F47">
              <w:rPr>
                <w:lang w:eastAsia="en-NZ"/>
              </w:rPr>
              <w:t>Medical only (no surgery)</w:t>
            </w:r>
          </w:p>
        </w:tc>
        <w:tc>
          <w:tcPr>
            <w:tcW w:w="1134" w:type="dxa"/>
            <w:shd w:val="clear" w:color="auto" w:fill="auto"/>
            <w:noWrap/>
            <w:hideMark/>
          </w:tcPr>
          <w:p w14:paraId="51AE5DDC" w14:textId="77777777" w:rsidR="00AD2DF9" w:rsidRPr="00705F47" w:rsidRDefault="00AD2DF9" w:rsidP="006F1FAC">
            <w:pPr>
              <w:pStyle w:val="TableText"/>
              <w:tabs>
                <w:tab w:val="decimal" w:pos="745"/>
              </w:tabs>
              <w:rPr>
                <w:lang w:eastAsia="en-NZ"/>
              </w:rPr>
            </w:pPr>
            <w:r w:rsidRPr="00705F47">
              <w:rPr>
                <w:lang w:eastAsia="en-NZ"/>
              </w:rPr>
              <w:t>4774</w:t>
            </w:r>
          </w:p>
        </w:tc>
        <w:tc>
          <w:tcPr>
            <w:tcW w:w="1134" w:type="dxa"/>
            <w:shd w:val="clear" w:color="auto" w:fill="auto"/>
            <w:noWrap/>
            <w:hideMark/>
          </w:tcPr>
          <w:p w14:paraId="295399DD" w14:textId="77777777" w:rsidR="00AD2DF9" w:rsidRPr="00705F47" w:rsidRDefault="00AD2DF9" w:rsidP="006F1FAC">
            <w:pPr>
              <w:pStyle w:val="TableText"/>
              <w:tabs>
                <w:tab w:val="decimal" w:pos="745"/>
              </w:tabs>
              <w:rPr>
                <w:lang w:eastAsia="en-NZ"/>
              </w:rPr>
            </w:pPr>
            <w:r w:rsidRPr="00705F47">
              <w:rPr>
                <w:lang w:eastAsia="en-NZ"/>
              </w:rPr>
              <w:t>567</w:t>
            </w:r>
          </w:p>
        </w:tc>
        <w:tc>
          <w:tcPr>
            <w:tcW w:w="1134" w:type="dxa"/>
            <w:shd w:val="clear" w:color="auto" w:fill="auto"/>
            <w:noWrap/>
            <w:hideMark/>
          </w:tcPr>
          <w:p w14:paraId="07427E11" w14:textId="77777777" w:rsidR="00AD2DF9" w:rsidRPr="00705F47" w:rsidRDefault="00AD2DF9" w:rsidP="006F1FAC">
            <w:pPr>
              <w:pStyle w:val="TableText"/>
              <w:jc w:val="center"/>
              <w:rPr>
                <w:lang w:eastAsia="en-NZ"/>
              </w:rPr>
            </w:pPr>
            <w:r w:rsidRPr="00705F47">
              <w:rPr>
                <w:lang w:eastAsia="en-NZ"/>
              </w:rPr>
              <w:t>1</w:t>
            </w:r>
          </w:p>
        </w:tc>
        <w:tc>
          <w:tcPr>
            <w:tcW w:w="1134" w:type="dxa"/>
            <w:shd w:val="clear" w:color="auto" w:fill="auto"/>
            <w:hideMark/>
          </w:tcPr>
          <w:p w14:paraId="1CEB104B" w14:textId="77777777" w:rsidR="00AD2DF9" w:rsidRPr="00705F47" w:rsidRDefault="00AD2DF9" w:rsidP="006F1FAC">
            <w:pPr>
              <w:pStyle w:val="TableText"/>
              <w:tabs>
                <w:tab w:val="decimal" w:pos="799"/>
              </w:tabs>
              <w:rPr>
                <w:lang w:eastAsia="en-NZ"/>
              </w:rPr>
            </w:pPr>
            <w:r w:rsidRPr="00705F47">
              <w:rPr>
                <w:lang w:eastAsia="en-NZ"/>
              </w:rPr>
              <w:t>5,342</w:t>
            </w:r>
          </w:p>
        </w:tc>
      </w:tr>
      <w:tr w:rsidR="00AD2DF9" w:rsidRPr="00705F47" w14:paraId="668D6441" w14:textId="77777777" w:rsidTr="006F1FAC">
        <w:trPr>
          <w:cantSplit/>
        </w:trPr>
        <w:tc>
          <w:tcPr>
            <w:tcW w:w="3544" w:type="dxa"/>
            <w:shd w:val="clear" w:color="auto" w:fill="auto"/>
            <w:hideMark/>
          </w:tcPr>
          <w:p w14:paraId="33300478" w14:textId="77777777" w:rsidR="00AD2DF9" w:rsidRPr="00705F47" w:rsidRDefault="00AD2DF9" w:rsidP="006F1FAC">
            <w:pPr>
              <w:pStyle w:val="TableText"/>
              <w:rPr>
                <w:lang w:eastAsia="en-NZ"/>
              </w:rPr>
            </w:pPr>
            <w:r w:rsidRPr="00705F47">
              <w:rPr>
                <w:lang w:eastAsia="en-NZ"/>
              </w:rPr>
              <w:t>Failed medical only followed by surgical</w:t>
            </w:r>
          </w:p>
        </w:tc>
        <w:tc>
          <w:tcPr>
            <w:tcW w:w="1134" w:type="dxa"/>
            <w:shd w:val="clear" w:color="auto" w:fill="auto"/>
            <w:noWrap/>
            <w:hideMark/>
          </w:tcPr>
          <w:p w14:paraId="54284CA8" w14:textId="77777777" w:rsidR="00AD2DF9" w:rsidRPr="00705F47" w:rsidRDefault="00AD2DF9" w:rsidP="006F1FAC">
            <w:pPr>
              <w:pStyle w:val="TableText"/>
              <w:tabs>
                <w:tab w:val="decimal" w:pos="745"/>
              </w:tabs>
              <w:rPr>
                <w:lang w:eastAsia="en-NZ"/>
              </w:rPr>
            </w:pPr>
            <w:r w:rsidRPr="00705F47">
              <w:rPr>
                <w:lang w:eastAsia="en-NZ"/>
              </w:rPr>
              <w:t>37</w:t>
            </w:r>
          </w:p>
        </w:tc>
        <w:tc>
          <w:tcPr>
            <w:tcW w:w="1134" w:type="dxa"/>
            <w:shd w:val="clear" w:color="auto" w:fill="auto"/>
            <w:noWrap/>
            <w:hideMark/>
          </w:tcPr>
          <w:p w14:paraId="29119EF0" w14:textId="77777777" w:rsidR="00AD2DF9" w:rsidRPr="00705F47" w:rsidRDefault="00AD2DF9" w:rsidP="006F1FAC">
            <w:pPr>
              <w:pStyle w:val="TableText"/>
              <w:tabs>
                <w:tab w:val="decimal" w:pos="745"/>
              </w:tabs>
              <w:rPr>
                <w:lang w:eastAsia="en-NZ"/>
              </w:rPr>
            </w:pPr>
            <w:r w:rsidRPr="00705F47">
              <w:rPr>
                <w:lang w:eastAsia="en-NZ"/>
              </w:rPr>
              <w:t>28</w:t>
            </w:r>
          </w:p>
        </w:tc>
        <w:tc>
          <w:tcPr>
            <w:tcW w:w="1134" w:type="dxa"/>
            <w:shd w:val="clear" w:color="auto" w:fill="auto"/>
            <w:noWrap/>
            <w:hideMark/>
          </w:tcPr>
          <w:p w14:paraId="240B2D83" w14:textId="77777777" w:rsidR="00AD2DF9" w:rsidRPr="00705F47" w:rsidRDefault="00AD2DF9" w:rsidP="006F1FAC">
            <w:pPr>
              <w:pStyle w:val="TableText"/>
              <w:jc w:val="center"/>
              <w:rPr>
                <w:lang w:eastAsia="en-NZ"/>
              </w:rPr>
            </w:pPr>
            <w:r w:rsidRPr="00705F47">
              <w:rPr>
                <w:lang w:eastAsia="en-NZ"/>
              </w:rPr>
              <w:t>0</w:t>
            </w:r>
          </w:p>
        </w:tc>
        <w:tc>
          <w:tcPr>
            <w:tcW w:w="1134" w:type="dxa"/>
            <w:shd w:val="clear" w:color="auto" w:fill="auto"/>
            <w:hideMark/>
          </w:tcPr>
          <w:p w14:paraId="5BDDC9A3" w14:textId="77777777" w:rsidR="00AD2DF9" w:rsidRPr="00705F47" w:rsidRDefault="00AD2DF9" w:rsidP="006F1FAC">
            <w:pPr>
              <w:pStyle w:val="TableText"/>
              <w:tabs>
                <w:tab w:val="decimal" w:pos="799"/>
              </w:tabs>
              <w:rPr>
                <w:lang w:eastAsia="en-NZ"/>
              </w:rPr>
            </w:pPr>
            <w:r w:rsidRPr="00705F47">
              <w:rPr>
                <w:lang w:eastAsia="en-NZ"/>
              </w:rPr>
              <w:t>65</w:t>
            </w:r>
          </w:p>
        </w:tc>
      </w:tr>
      <w:tr w:rsidR="00AD2DF9" w:rsidRPr="00705F47" w14:paraId="73DF4780" w14:textId="77777777" w:rsidTr="006F1FAC">
        <w:trPr>
          <w:cantSplit/>
        </w:trPr>
        <w:tc>
          <w:tcPr>
            <w:tcW w:w="3544" w:type="dxa"/>
            <w:shd w:val="clear" w:color="auto" w:fill="auto"/>
            <w:hideMark/>
          </w:tcPr>
          <w:p w14:paraId="594BFCFC" w14:textId="77777777" w:rsidR="00AD2DF9" w:rsidRPr="00705F47" w:rsidRDefault="00AD2DF9" w:rsidP="006F1FAC">
            <w:pPr>
              <w:pStyle w:val="TableText"/>
              <w:rPr>
                <w:lang w:eastAsia="en-NZ"/>
              </w:rPr>
            </w:pPr>
            <w:r w:rsidRPr="00705F47">
              <w:rPr>
                <w:lang w:eastAsia="en-NZ"/>
              </w:rPr>
              <w:t>Failed surgical followed by medical</w:t>
            </w:r>
          </w:p>
        </w:tc>
        <w:tc>
          <w:tcPr>
            <w:tcW w:w="1134" w:type="dxa"/>
            <w:shd w:val="clear" w:color="auto" w:fill="auto"/>
            <w:noWrap/>
            <w:hideMark/>
          </w:tcPr>
          <w:p w14:paraId="5335348D" w14:textId="77777777" w:rsidR="00AD2DF9" w:rsidRPr="00705F47" w:rsidRDefault="00AD2DF9" w:rsidP="006F1FAC">
            <w:pPr>
              <w:pStyle w:val="TableText"/>
              <w:tabs>
                <w:tab w:val="decimal" w:pos="745"/>
              </w:tabs>
              <w:rPr>
                <w:lang w:eastAsia="en-NZ"/>
              </w:rPr>
            </w:pPr>
            <w:r w:rsidRPr="00705F47">
              <w:rPr>
                <w:lang w:eastAsia="en-NZ"/>
              </w:rPr>
              <w:t>4</w:t>
            </w:r>
          </w:p>
        </w:tc>
        <w:tc>
          <w:tcPr>
            <w:tcW w:w="1134" w:type="dxa"/>
            <w:shd w:val="clear" w:color="auto" w:fill="auto"/>
            <w:noWrap/>
            <w:hideMark/>
          </w:tcPr>
          <w:p w14:paraId="3B2DD95E" w14:textId="77777777" w:rsidR="00AD2DF9" w:rsidRPr="00705F47" w:rsidRDefault="00AD2DF9" w:rsidP="006F1FAC">
            <w:pPr>
              <w:pStyle w:val="TableText"/>
              <w:tabs>
                <w:tab w:val="decimal" w:pos="745"/>
              </w:tabs>
              <w:rPr>
                <w:lang w:eastAsia="en-NZ"/>
              </w:rPr>
            </w:pPr>
            <w:r w:rsidRPr="00705F47">
              <w:rPr>
                <w:lang w:eastAsia="en-NZ"/>
              </w:rPr>
              <w:t>1</w:t>
            </w:r>
          </w:p>
        </w:tc>
        <w:tc>
          <w:tcPr>
            <w:tcW w:w="1134" w:type="dxa"/>
            <w:shd w:val="clear" w:color="auto" w:fill="auto"/>
            <w:noWrap/>
            <w:hideMark/>
          </w:tcPr>
          <w:p w14:paraId="68F8C450" w14:textId="77777777" w:rsidR="00AD2DF9" w:rsidRPr="00705F47" w:rsidRDefault="00AD2DF9" w:rsidP="006F1FAC">
            <w:pPr>
              <w:pStyle w:val="TableText"/>
              <w:jc w:val="center"/>
              <w:rPr>
                <w:lang w:eastAsia="en-NZ"/>
              </w:rPr>
            </w:pPr>
            <w:r w:rsidRPr="00705F47">
              <w:rPr>
                <w:lang w:eastAsia="en-NZ"/>
              </w:rPr>
              <w:t>0</w:t>
            </w:r>
          </w:p>
        </w:tc>
        <w:tc>
          <w:tcPr>
            <w:tcW w:w="1134" w:type="dxa"/>
            <w:shd w:val="clear" w:color="auto" w:fill="auto"/>
            <w:hideMark/>
          </w:tcPr>
          <w:p w14:paraId="2A9010BF" w14:textId="77777777" w:rsidR="00AD2DF9" w:rsidRPr="00705F47" w:rsidRDefault="00AD2DF9" w:rsidP="006F1FAC">
            <w:pPr>
              <w:pStyle w:val="TableText"/>
              <w:tabs>
                <w:tab w:val="decimal" w:pos="799"/>
              </w:tabs>
              <w:rPr>
                <w:lang w:eastAsia="en-NZ"/>
              </w:rPr>
            </w:pPr>
            <w:r w:rsidRPr="00705F47">
              <w:rPr>
                <w:lang w:eastAsia="en-NZ"/>
              </w:rPr>
              <w:t>5</w:t>
            </w:r>
          </w:p>
        </w:tc>
      </w:tr>
      <w:tr w:rsidR="00AD2DF9" w:rsidRPr="00705F47" w14:paraId="2305E2BA" w14:textId="77777777" w:rsidTr="006F1FAC">
        <w:trPr>
          <w:cantSplit/>
        </w:trPr>
        <w:tc>
          <w:tcPr>
            <w:tcW w:w="3544" w:type="dxa"/>
            <w:shd w:val="clear" w:color="auto" w:fill="auto"/>
            <w:hideMark/>
          </w:tcPr>
          <w:p w14:paraId="57C6EAB7" w14:textId="77777777" w:rsidR="00AD2DF9" w:rsidRPr="00705F47" w:rsidRDefault="00AD2DF9" w:rsidP="006F1FAC">
            <w:pPr>
              <w:pStyle w:val="TableText"/>
              <w:rPr>
                <w:lang w:eastAsia="en-NZ"/>
              </w:rPr>
            </w:pPr>
            <w:r w:rsidRPr="00705F47">
              <w:rPr>
                <w:lang w:eastAsia="en-NZ"/>
              </w:rPr>
              <w:t>Other</w:t>
            </w:r>
          </w:p>
        </w:tc>
        <w:tc>
          <w:tcPr>
            <w:tcW w:w="1134" w:type="dxa"/>
            <w:shd w:val="clear" w:color="auto" w:fill="auto"/>
            <w:noWrap/>
            <w:hideMark/>
          </w:tcPr>
          <w:p w14:paraId="05275A02" w14:textId="77777777" w:rsidR="00AD2DF9" w:rsidRPr="00705F47" w:rsidRDefault="00AD2DF9" w:rsidP="006F1FAC">
            <w:pPr>
              <w:pStyle w:val="TableText"/>
              <w:tabs>
                <w:tab w:val="decimal" w:pos="745"/>
              </w:tabs>
              <w:rPr>
                <w:lang w:eastAsia="en-NZ"/>
              </w:rPr>
            </w:pPr>
            <w:r w:rsidRPr="00705F47">
              <w:rPr>
                <w:lang w:eastAsia="en-NZ"/>
              </w:rPr>
              <w:t>0</w:t>
            </w:r>
          </w:p>
        </w:tc>
        <w:tc>
          <w:tcPr>
            <w:tcW w:w="1134" w:type="dxa"/>
            <w:shd w:val="clear" w:color="auto" w:fill="auto"/>
            <w:noWrap/>
            <w:hideMark/>
          </w:tcPr>
          <w:p w14:paraId="51B4A4F0" w14:textId="77777777" w:rsidR="00AD2DF9" w:rsidRPr="00705F47" w:rsidRDefault="00AD2DF9" w:rsidP="006F1FAC">
            <w:pPr>
              <w:pStyle w:val="TableText"/>
              <w:tabs>
                <w:tab w:val="decimal" w:pos="745"/>
              </w:tabs>
              <w:rPr>
                <w:lang w:eastAsia="en-NZ"/>
              </w:rPr>
            </w:pPr>
            <w:r w:rsidRPr="00705F47">
              <w:rPr>
                <w:lang w:eastAsia="en-NZ"/>
              </w:rPr>
              <w:t>2</w:t>
            </w:r>
          </w:p>
        </w:tc>
        <w:tc>
          <w:tcPr>
            <w:tcW w:w="1134" w:type="dxa"/>
            <w:shd w:val="clear" w:color="auto" w:fill="auto"/>
            <w:noWrap/>
            <w:hideMark/>
          </w:tcPr>
          <w:p w14:paraId="1A287D75" w14:textId="77777777" w:rsidR="00AD2DF9" w:rsidRPr="00705F47" w:rsidRDefault="00AD2DF9" w:rsidP="006F1FAC">
            <w:pPr>
              <w:pStyle w:val="TableText"/>
              <w:jc w:val="center"/>
              <w:rPr>
                <w:lang w:eastAsia="en-NZ"/>
              </w:rPr>
            </w:pPr>
            <w:r w:rsidRPr="00705F47">
              <w:rPr>
                <w:lang w:eastAsia="en-NZ"/>
              </w:rPr>
              <w:t>0</w:t>
            </w:r>
          </w:p>
        </w:tc>
        <w:tc>
          <w:tcPr>
            <w:tcW w:w="1134" w:type="dxa"/>
            <w:shd w:val="clear" w:color="auto" w:fill="auto"/>
            <w:hideMark/>
          </w:tcPr>
          <w:p w14:paraId="1E61A50F" w14:textId="77777777" w:rsidR="00AD2DF9" w:rsidRPr="00705F47" w:rsidRDefault="00AD2DF9" w:rsidP="006F1FAC">
            <w:pPr>
              <w:pStyle w:val="TableText"/>
              <w:tabs>
                <w:tab w:val="decimal" w:pos="799"/>
              </w:tabs>
              <w:rPr>
                <w:lang w:eastAsia="en-NZ"/>
              </w:rPr>
            </w:pPr>
            <w:r w:rsidRPr="00705F47">
              <w:rPr>
                <w:lang w:eastAsia="en-NZ"/>
              </w:rPr>
              <w:t>2</w:t>
            </w:r>
          </w:p>
        </w:tc>
      </w:tr>
      <w:tr w:rsidR="00AD2DF9" w:rsidRPr="00705F47" w14:paraId="756BD7EA" w14:textId="77777777" w:rsidTr="006F1FAC">
        <w:trPr>
          <w:cantSplit/>
        </w:trPr>
        <w:tc>
          <w:tcPr>
            <w:tcW w:w="3544" w:type="dxa"/>
            <w:shd w:val="clear" w:color="auto" w:fill="auto"/>
            <w:hideMark/>
          </w:tcPr>
          <w:p w14:paraId="33D7CED7" w14:textId="77777777" w:rsidR="00AD2DF9" w:rsidRPr="00705F47" w:rsidRDefault="00AD2DF9" w:rsidP="006F1FAC">
            <w:pPr>
              <w:pStyle w:val="TableText"/>
              <w:rPr>
                <w:lang w:eastAsia="en-NZ"/>
              </w:rPr>
            </w:pPr>
            <w:r w:rsidRPr="00705F47">
              <w:rPr>
                <w:lang w:eastAsia="en-NZ"/>
              </w:rPr>
              <w:t>Missing</w:t>
            </w:r>
          </w:p>
        </w:tc>
        <w:tc>
          <w:tcPr>
            <w:tcW w:w="1134" w:type="dxa"/>
            <w:shd w:val="clear" w:color="auto" w:fill="auto"/>
            <w:noWrap/>
            <w:hideMark/>
          </w:tcPr>
          <w:p w14:paraId="7926DCB4" w14:textId="77777777" w:rsidR="00AD2DF9" w:rsidRPr="00705F47" w:rsidRDefault="00AD2DF9" w:rsidP="006F1FAC">
            <w:pPr>
              <w:pStyle w:val="TableText"/>
              <w:tabs>
                <w:tab w:val="decimal" w:pos="745"/>
              </w:tabs>
              <w:rPr>
                <w:lang w:eastAsia="en-NZ"/>
              </w:rPr>
            </w:pPr>
            <w:r w:rsidRPr="00705F47">
              <w:rPr>
                <w:lang w:eastAsia="en-NZ"/>
              </w:rPr>
              <w:t>16</w:t>
            </w:r>
          </w:p>
        </w:tc>
        <w:tc>
          <w:tcPr>
            <w:tcW w:w="1134" w:type="dxa"/>
            <w:shd w:val="clear" w:color="auto" w:fill="auto"/>
            <w:noWrap/>
            <w:hideMark/>
          </w:tcPr>
          <w:p w14:paraId="62EDD3FC" w14:textId="77777777" w:rsidR="00AD2DF9" w:rsidRPr="00705F47" w:rsidRDefault="00AD2DF9" w:rsidP="006F1FAC">
            <w:pPr>
              <w:pStyle w:val="TableText"/>
              <w:tabs>
                <w:tab w:val="decimal" w:pos="745"/>
              </w:tabs>
              <w:rPr>
                <w:lang w:eastAsia="en-NZ"/>
              </w:rPr>
            </w:pPr>
            <w:r w:rsidRPr="00705F47">
              <w:rPr>
                <w:lang w:eastAsia="en-NZ"/>
              </w:rPr>
              <w:t>14</w:t>
            </w:r>
          </w:p>
        </w:tc>
        <w:tc>
          <w:tcPr>
            <w:tcW w:w="1134" w:type="dxa"/>
            <w:shd w:val="clear" w:color="auto" w:fill="auto"/>
            <w:noWrap/>
            <w:hideMark/>
          </w:tcPr>
          <w:p w14:paraId="58EA4848" w14:textId="77777777" w:rsidR="00AD2DF9" w:rsidRPr="00705F47" w:rsidRDefault="00AD2DF9" w:rsidP="006F1FAC">
            <w:pPr>
              <w:pStyle w:val="TableText"/>
              <w:jc w:val="center"/>
              <w:rPr>
                <w:lang w:eastAsia="en-NZ"/>
              </w:rPr>
            </w:pPr>
            <w:r w:rsidRPr="00705F47">
              <w:rPr>
                <w:lang w:eastAsia="en-NZ"/>
              </w:rPr>
              <w:t>0</w:t>
            </w:r>
          </w:p>
        </w:tc>
        <w:tc>
          <w:tcPr>
            <w:tcW w:w="1134" w:type="dxa"/>
            <w:shd w:val="clear" w:color="auto" w:fill="auto"/>
            <w:hideMark/>
          </w:tcPr>
          <w:p w14:paraId="2EE3D4EA" w14:textId="77777777" w:rsidR="00AD2DF9" w:rsidRPr="00705F47" w:rsidRDefault="00AD2DF9" w:rsidP="006F1FAC">
            <w:pPr>
              <w:pStyle w:val="TableText"/>
              <w:tabs>
                <w:tab w:val="decimal" w:pos="799"/>
              </w:tabs>
              <w:rPr>
                <w:lang w:eastAsia="en-NZ"/>
              </w:rPr>
            </w:pPr>
            <w:r w:rsidRPr="00705F47">
              <w:rPr>
                <w:lang w:eastAsia="en-NZ"/>
              </w:rPr>
              <w:t>30</w:t>
            </w:r>
          </w:p>
        </w:tc>
      </w:tr>
    </w:tbl>
    <w:p w14:paraId="45473414" w14:textId="77777777" w:rsidR="00AD2DF9" w:rsidRPr="00705F47" w:rsidRDefault="00AD2DF9" w:rsidP="006F1FAC">
      <w:pPr>
        <w:rPr>
          <w:rFonts w:eastAsia="Segoe UI"/>
        </w:rPr>
      </w:pPr>
    </w:p>
    <w:p w14:paraId="57A5B7B5" w14:textId="1345B33D" w:rsidR="00AD2DF9" w:rsidRDefault="00301720" w:rsidP="00301720">
      <w:pPr>
        <w:pStyle w:val="Figure"/>
        <w:rPr>
          <w:lang w:eastAsia="en-NZ"/>
        </w:rPr>
      </w:pPr>
      <w:bookmarkStart w:id="108" w:name="_Ref83017097"/>
      <w:bookmarkStart w:id="109" w:name="_Toc83037503"/>
      <w:bookmarkStart w:id="110" w:name="_Toc84419939"/>
      <w:r>
        <w:t>Figure </w:t>
      </w:r>
      <w:r w:rsidR="009E3B78">
        <w:fldChar w:fldCharType="begin"/>
      </w:r>
      <w:r w:rsidR="009E3B78">
        <w:instrText xml:space="preserve"> STYLEREF 2 \s </w:instrText>
      </w:r>
      <w:r w:rsidR="009E3B78">
        <w:fldChar w:fldCharType="separate"/>
      </w:r>
      <w:r w:rsidR="0090485D">
        <w:rPr>
          <w:noProof/>
        </w:rPr>
        <w:t>8</w:t>
      </w:r>
      <w:r w:rsidR="009E3B78">
        <w:rPr>
          <w:noProof/>
        </w:rPr>
        <w:fldChar w:fldCharType="end"/>
      </w:r>
      <w:r>
        <w:t>.</w:t>
      </w:r>
      <w:r w:rsidR="009E3B78">
        <w:fldChar w:fldCharType="begin"/>
      </w:r>
      <w:r w:rsidR="009E3B78">
        <w:instrText xml:space="preserve"> SEQ Figure \* ARABIC \s 2 </w:instrText>
      </w:r>
      <w:r w:rsidR="009E3B78">
        <w:fldChar w:fldCharType="separate"/>
      </w:r>
      <w:r w:rsidR="0090485D">
        <w:rPr>
          <w:noProof/>
        </w:rPr>
        <w:t>1</w:t>
      </w:r>
      <w:r w:rsidR="009E3B78">
        <w:rPr>
          <w:noProof/>
        </w:rPr>
        <w:fldChar w:fldCharType="end"/>
      </w:r>
      <w:bookmarkEnd w:id="108"/>
      <w:r w:rsidR="00AD2DF9" w:rsidRPr="00705F47">
        <w:rPr>
          <w:lang w:eastAsia="en-NZ"/>
        </w:rPr>
        <w:t>: Number of abortions by procedure, 2016–2020</w:t>
      </w:r>
      <w:bookmarkEnd w:id="109"/>
      <w:bookmarkEnd w:id="110"/>
    </w:p>
    <w:p w14:paraId="0B858FCC" w14:textId="77777777" w:rsidR="00AD2DF9" w:rsidRDefault="00B76F91" w:rsidP="00B76F91">
      <w:pPr>
        <w:rPr>
          <w:lang w:eastAsia="en-NZ"/>
        </w:rPr>
      </w:pPr>
      <w:r>
        <w:rPr>
          <w:noProof/>
          <w:lang w:eastAsia="en-NZ"/>
        </w:rPr>
        <w:drawing>
          <wp:inline distT="0" distB="0" distL="0" distR="0" wp14:anchorId="2D084725" wp14:editId="03CE396A">
            <wp:extent cx="5087389" cy="3104265"/>
            <wp:effectExtent l="0" t="0" r="0" b="1270"/>
            <wp:docPr id="20" name="Picture 20" descr="Number of abortions by procedure from 2016 to 2020 shows an increase in medical less than 9 weeks from 2,838 in 2019 to 4,774 in 2020. Surgical greater or equal to 9 weeks has decreased from 7,442 in 2016 to 4,178 in 2020. Surgical less than 9 weeks remains approximately the same over the time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Number of abortions by procedure from 2016 to 2020 shows an increase in medical less than 9 weeks from 2,838 in 2019 to 4,774 in 2020. Surgical greater or equal to 9 weeks has decreased from 7,442 in 2016 to 4,178 in 2020. Surgical less than 9 weeks remains approximately the same over the time perio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96765" cy="3109986"/>
                    </a:xfrm>
                    <a:prstGeom prst="rect">
                      <a:avLst/>
                    </a:prstGeom>
                    <a:noFill/>
                  </pic:spPr>
                </pic:pic>
              </a:graphicData>
            </a:graphic>
          </wp:inline>
        </w:drawing>
      </w:r>
    </w:p>
    <w:p w14:paraId="1DEA2DF3" w14:textId="77777777" w:rsidR="00AD2DF9" w:rsidRPr="00705F47" w:rsidRDefault="00AD2DF9" w:rsidP="00301720">
      <w:pPr>
        <w:rPr>
          <w:lang w:eastAsia="en-NZ"/>
        </w:rPr>
      </w:pPr>
    </w:p>
    <w:p w14:paraId="3BF17687" w14:textId="77777777" w:rsidR="00AD2DF9" w:rsidRPr="00705F47" w:rsidRDefault="00AD2DF9" w:rsidP="00B76F91">
      <w:pPr>
        <w:pStyle w:val="Heading2"/>
        <w:keepNext w:val="0"/>
        <w:pageBreakBefore/>
        <w:spacing w:before="0"/>
        <w:rPr>
          <w:lang w:eastAsia="en-NZ"/>
        </w:rPr>
      </w:pPr>
      <w:bookmarkStart w:id="111" w:name="_Toc83037216"/>
      <w:bookmarkStart w:id="112" w:name="_Toc84582316"/>
      <w:r w:rsidRPr="00705F47">
        <w:rPr>
          <w:lang w:eastAsia="en-NZ"/>
        </w:rPr>
        <w:lastRenderedPageBreak/>
        <w:t>Complications</w:t>
      </w:r>
      <w:bookmarkEnd w:id="111"/>
      <w:bookmarkEnd w:id="112"/>
    </w:p>
    <w:p w14:paraId="395CFC2D" w14:textId="6739C142" w:rsidR="00AD2DF9" w:rsidRDefault="00AD2DF9" w:rsidP="00301720">
      <w:pPr>
        <w:rPr>
          <w:lang w:eastAsia="en-NZ"/>
        </w:rPr>
      </w:pPr>
      <w:r w:rsidRPr="00705F47">
        <w:rPr>
          <w:lang w:eastAsia="en-NZ"/>
        </w:rPr>
        <w:t>Abortion is a relatively safe procedure, as the data reflects: 99% of abortions in 2020 did not result in any complications prior to patient discharge (</w:t>
      </w:r>
      <w:r w:rsidRPr="00705F47">
        <w:rPr>
          <w:lang w:eastAsia="en-NZ"/>
        </w:rPr>
        <w:fldChar w:fldCharType="begin"/>
      </w:r>
      <w:r w:rsidRPr="00705F47">
        <w:rPr>
          <w:lang w:eastAsia="en-NZ"/>
        </w:rPr>
        <w:instrText xml:space="preserve"> REF _Ref83018000 \h </w:instrText>
      </w:r>
      <w:r w:rsidRPr="00705F47">
        <w:rPr>
          <w:lang w:eastAsia="en-NZ"/>
        </w:rPr>
      </w:r>
      <w:r w:rsidRPr="00705F47">
        <w:rPr>
          <w:lang w:eastAsia="en-NZ"/>
        </w:rPr>
        <w:fldChar w:fldCharType="separate"/>
      </w:r>
      <w:r w:rsidR="0090485D">
        <w:t>Table </w:t>
      </w:r>
      <w:r w:rsidR="0090485D">
        <w:rPr>
          <w:noProof/>
        </w:rPr>
        <w:t>9</w:t>
      </w:r>
      <w:r w:rsidR="0090485D">
        <w:t>.</w:t>
      </w:r>
      <w:r w:rsidR="0090485D">
        <w:rPr>
          <w:noProof/>
        </w:rPr>
        <w:t>1</w:t>
      </w:r>
      <w:r w:rsidRPr="00705F47">
        <w:rPr>
          <w:lang w:eastAsia="en-NZ"/>
        </w:rPr>
        <w:fldChar w:fldCharType="end"/>
      </w:r>
      <w:r w:rsidRPr="00705F47">
        <w:rPr>
          <w:lang w:eastAsia="en-NZ"/>
        </w:rPr>
        <w:t>). The most frequent complications were retained placenta/products of pregnancy (0.6%) and haemorrhage (0.3%). The rate of retained placenta/products of pregnancy in 2020 was slightly above that in 2019 and 2018 (both had a rate of 0.2%), which is likely to be due to the increase in medical procedures and drop in surgical procedures in 2020.</w:t>
      </w:r>
    </w:p>
    <w:p w14:paraId="3F4309BD" w14:textId="77777777" w:rsidR="00301720" w:rsidRPr="00705F47" w:rsidRDefault="00301720" w:rsidP="00301720">
      <w:pPr>
        <w:rPr>
          <w:rFonts w:eastAsia="Segoe UI"/>
        </w:rPr>
      </w:pPr>
    </w:p>
    <w:p w14:paraId="09D964C4" w14:textId="3C3F3212" w:rsidR="00AD2DF9" w:rsidRPr="00705F47" w:rsidRDefault="00301720" w:rsidP="00301720">
      <w:pPr>
        <w:pStyle w:val="Table"/>
        <w:rPr>
          <w:lang w:eastAsia="en-NZ"/>
        </w:rPr>
      </w:pPr>
      <w:bookmarkStart w:id="113" w:name="_Ref83018000"/>
      <w:bookmarkStart w:id="114" w:name="_Toc83023019"/>
      <w:bookmarkStart w:id="115" w:name="_Toc83367102"/>
      <w:r>
        <w:t>Table </w:t>
      </w:r>
      <w:r w:rsidR="009E3B78">
        <w:fldChar w:fldCharType="begin"/>
      </w:r>
      <w:r w:rsidR="009E3B78">
        <w:instrText xml:space="preserve"> STYLEREF 2 \s </w:instrText>
      </w:r>
      <w:r w:rsidR="009E3B78">
        <w:fldChar w:fldCharType="separate"/>
      </w:r>
      <w:r w:rsidR="0090485D">
        <w:rPr>
          <w:noProof/>
        </w:rPr>
        <w:t>9</w:t>
      </w:r>
      <w:r w:rsidR="009E3B78">
        <w:rPr>
          <w:noProof/>
        </w:rPr>
        <w:fldChar w:fldCharType="end"/>
      </w:r>
      <w:r>
        <w:t>.</w:t>
      </w:r>
      <w:r w:rsidR="009E3B78">
        <w:fldChar w:fldCharType="begin"/>
      </w:r>
      <w:r w:rsidR="009E3B78">
        <w:instrText xml:space="preserve"> SEQ Table \* ARABIC \s 2 </w:instrText>
      </w:r>
      <w:r w:rsidR="009E3B78">
        <w:fldChar w:fldCharType="separate"/>
      </w:r>
      <w:r w:rsidR="0090485D">
        <w:rPr>
          <w:noProof/>
        </w:rPr>
        <w:t>1</w:t>
      </w:r>
      <w:r w:rsidR="009E3B78">
        <w:rPr>
          <w:noProof/>
        </w:rPr>
        <w:fldChar w:fldCharType="end"/>
      </w:r>
      <w:bookmarkEnd w:id="113"/>
      <w:r w:rsidR="00AD2DF9" w:rsidRPr="00705F47">
        <w:rPr>
          <w:lang w:eastAsia="en-NZ"/>
        </w:rPr>
        <w:t>: Number and percentage of abortions by complication, 2020</w:t>
      </w:r>
      <w:bookmarkEnd w:id="114"/>
      <w:bookmarkEnd w:id="115"/>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969"/>
        <w:gridCol w:w="2055"/>
        <w:gridCol w:w="2056"/>
      </w:tblGrid>
      <w:tr w:rsidR="00AD2DF9" w:rsidRPr="00516E06" w14:paraId="30B85357" w14:textId="77777777" w:rsidTr="00516E06">
        <w:trPr>
          <w:cantSplit/>
        </w:trPr>
        <w:tc>
          <w:tcPr>
            <w:tcW w:w="3969" w:type="dxa"/>
            <w:tcBorders>
              <w:top w:val="nil"/>
              <w:bottom w:val="nil"/>
            </w:tcBorders>
            <w:shd w:val="clear" w:color="auto" w:fill="D9D9D9" w:themeFill="background1" w:themeFillShade="D9"/>
            <w:noWrap/>
            <w:vAlign w:val="bottom"/>
            <w:hideMark/>
          </w:tcPr>
          <w:p w14:paraId="73FB6328" w14:textId="77777777" w:rsidR="00AD2DF9" w:rsidRPr="00516E06" w:rsidRDefault="00AD2DF9" w:rsidP="00516E06">
            <w:pPr>
              <w:pStyle w:val="TableText"/>
              <w:rPr>
                <w:b/>
                <w:lang w:eastAsia="en-NZ"/>
              </w:rPr>
            </w:pPr>
            <w:r w:rsidRPr="00516E06">
              <w:rPr>
                <w:b/>
                <w:lang w:eastAsia="en-NZ"/>
              </w:rPr>
              <w:t>Reported complication*</w:t>
            </w:r>
          </w:p>
        </w:tc>
        <w:tc>
          <w:tcPr>
            <w:tcW w:w="2055" w:type="dxa"/>
            <w:tcBorders>
              <w:top w:val="nil"/>
              <w:bottom w:val="nil"/>
            </w:tcBorders>
            <w:shd w:val="clear" w:color="auto" w:fill="D9D9D9" w:themeFill="background1" w:themeFillShade="D9"/>
            <w:hideMark/>
          </w:tcPr>
          <w:p w14:paraId="0E17D8F7" w14:textId="77777777" w:rsidR="00AD2DF9" w:rsidRPr="00516E06" w:rsidRDefault="00AD2DF9" w:rsidP="00516E06">
            <w:pPr>
              <w:pStyle w:val="TableText"/>
              <w:jc w:val="center"/>
              <w:rPr>
                <w:rFonts w:cs="Arial"/>
                <w:b/>
                <w:lang w:eastAsia="en-NZ"/>
              </w:rPr>
            </w:pPr>
            <w:r w:rsidRPr="00516E06">
              <w:rPr>
                <w:rFonts w:cs="Arial"/>
                <w:b/>
                <w:lang w:eastAsia="en-NZ"/>
              </w:rPr>
              <w:t>Number</w:t>
            </w:r>
          </w:p>
        </w:tc>
        <w:tc>
          <w:tcPr>
            <w:tcW w:w="2056" w:type="dxa"/>
            <w:tcBorders>
              <w:top w:val="nil"/>
              <w:bottom w:val="nil"/>
            </w:tcBorders>
            <w:shd w:val="clear" w:color="auto" w:fill="D9D9D9" w:themeFill="background1" w:themeFillShade="D9"/>
            <w:noWrap/>
            <w:vAlign w:val="bottom"/>
            <w:hideMark/>
          </w:tcPr>
          <w:p w14:paraId="43EB30B4" w14:textId="77777777" w:rsidR="00AD2DF9" w:rsidRPr="00516E06" w:rsidRDefault="00AD2DF9" w:rsidP="00516E06">
            <w:pPr>
              <w:pStyle w:val="TableText"/>
              <w:jc w:val="center"/>
              <w:rPr>
                <w:rFonts w:cs="Arial"/>
                <w:b/>
                <w:lang w:eastAsia="en-NZ"/>
              </w:rPr>
            </w:pPr>
            <w:r w:rsidRPr="00516E06">
              <w:rPr>
                <w:rFonts w:cs="Arial"/>
                <w:b/>
                <w:lang w:eastAsia="en-NZ"/>
              </w:rPr>
              <w:t>Percentage</w:t>
            </w:r>
          </w:p>
        </w:tc>
      </w:tr>
      <w:tr w:rsidR="00AD2DF9" w:rsidRPr="00516E06" w14:paraId="27C4CF34" w14:textId="77777777" w:rsidTr="00516E06">
        <w:trPr>
          <w:cantSplit/>
        </w:trPr>
        <w:tc>
          <w:tcPr>
            <w:tcW w:w="3969" w:type="dxa"/>
            <w:tcBorders>
              <w:top w:val="nil"/>
            </w:tcBorders>
            <w:shd w:val="clear" w:color="auto" w:fill="auto"/>
            <w:hideMark/>
          </w:tcPr>
          <w:p w14:paraId="2A62044D" w14:textId="77777777" w:rsidR="00AD2DF9" w:rsidRPr="00516E06" w:rsidRDefault="00AD2DF9" w:rsidP="00516E06">
            <w:pPr>
              <w:pStyle w:val="TableText"/>
              <w:rPr>
                <w:rFonts w:cs="Arial"/>
                <w:b/>
                <w:bCs/>
                <w:lang w:eastAsia="en-NZ"/>
              </w:rPr>
            </w:pPr>
            <w:r w:rsidRPr="00516E06">
              <w:rPr>
                <w:rFonts w:cs="Arial"/>
                <w:b/>
                <w:bCs/>
                <w:lang w:eastAsia="en-NZ"/>
              </w:rPr>
              <w:t>Total</w:t>
            </w:r>
          </w:p>
        </w:tc>
        <w:tc>
          <w:tcPr>
            <w:tcW w:w="2055" w:type="dxa"/>
            <w:tcBorders>
              <w:top w:val="nil"/>
            </w:tcBorders>
            <w:shd w:val="clear" w:color="auto" w:fill="auto"/>
            <w:noWrap/>
            <w:vAlign w:val="center"/>
            <w:hideMark/>
          </w:tcPr>
          <w:p w14:paraId="0D4BD3B2" w14:textId="77777777" w:rsidR="00AD2DF9" w:rsidRPr="00516E06" w:rsidRDefault="00AD2DF9" w:rsidP="00516E06">
            <w:pPr>
              <w:pStyle w:val="TableText"/>
              <w:tabs>
                <w:tab w:val="decimal" w:pos="1219"/>
              </w:tabs>
              <w:rPr>
                <w:rFonts w:cs="Arial"/>
                <w:b/>
                <w:bCs/>
                <w:lang w:eastAsia="en-NZ"/>
              </w:rPr>
            </w:pPr>
            <w:r w:rsidRPr="00516E06">
              <w:rPr>
                <w:rFonts w:cs="Arial"/>
                <w:b/>
                <w:bCs/>
                <w:lang w:eastAsia="en-NZ"/>
              </w:rPr>
              <w:t>13,246</w:t>
            </w:r>
          </w:p>
        </w:tc>
        <w:tc>
          <w:tcPr>
            <w:tcW w:w="2056" w:type="dxa"/>
            <w:tcBorders>
              <w:top w:val="nil"/>
            </w:tcBorders>
            <w:shd w:val="clear" w:color="auto" w:fill="auto"/>
            <w:vAlign w:val="center"/>
            <w:hideMark/>
          </w:tcPr>
          <w:p w14:paraId="3104FF59" w14:textId="77777777" w:rsidR="00AD2DF9" w:rsidRPr="00516E06" w:rsidRDefault="00AD2DF9" w:rsidP="00516E06">
            <w:pPr>
              <w:pStyle w:val="TableText"/>
              <w:tabs>
                <w:tab w:val="decimal" w:pos="1007"/>
              </w:tabs>
              <w:rPr>
                <w:rFonts w:cs="Arial"/>
                <w:b/>
                <w:bCs/>
                <w:lang w:eastAsia="en-NZ"/>
              </w:rPr>
            </w:pPr>
            <w:r w:rsidRPr="00516E06">
              <w:rPr>
                <w:rFonts w:cs="Arial"/>
                <w:b/>
                <w:bCs/>
                <w:lang w:eastAsia="en-NZ"/>
              </w:rPr>
              <w:t>100.0</w:t>
            </w:r>
          </w:p>
        </w:tc>
      </w:tr>
      <w:tr w:rsidR="00AD2DF9" w:rsidRPr="00705F47" w14:paraId="052ED324" w14:textId="77777777" w:rsidTr="00516E06">
        <w:trPr>
          <w:cantSplit/>
        </w:trPr>
        <w:tc>
          <w:tcPr>
            <w:tcW w:w="3969" w:type="dxa"/>
            <w:shd w:val="clear" w:color="auto" w:fill="auto"/>
            <w:hideMark/>
          </w:tcPr>
          <w:p w14:paraId="444DB783" w14:textId="77777777" w:rsidR="00AD2DF9" w:rsidRPr="00705F47" w:rsidRDefault="00AD2DF9" w:rsidP="00516E06">
            <w:pPr>
              <w:pStyle w:val="TableText"/>
              <w:rPr>
                <w:lang w:eastAsia="en-NZ"/>
              </w:rPr>
            </w:pPr>
            <w:r w:rsidRPr="00705F47">
              <w:rPr>
                <w:lang w:eastAsia="en-NZ"/>
              </w:rPr>
              <w:t>None</w:t>
            </w:r>
          </w:p>
        </w:tc>
        <w:tc>
          <w:tcPr>
            <w:tcW w:w="2055" w:type="dxa"/>
            <w:shd w:val="clear" w:color="auto" w:fill="auto"/>
            <w:noWrap/>
            <w:vAlign w:val="center"/>
            <w:hideMark/>
          </w:tcPr>
          <w:p w14:paraId="7485EA36" w14:textId="77777777" w:rsidR="00AD2DF9" w:rsidRPr="00705F47" w:rsidRDefault="00AD2DF9" w:rsidP="00516E06">
            <w:pPr>
              <w:pStyle w:val="TableText"/>
              <w:tabs>
                <w:tab w:val="decimal" w:pos="1219"/>
              </w:tabs>
              <w:rPr>
                <w:rFonts w:cs="Arial"/>
                <w:lang w:eastAsia="en-NZ"/>
              </w:rPr>
            </w:pPr>
            <w:r w:rsidRPr="00705F47">
              <w:rPr>
                <w:rFonts w:cs="Arial"/>
                <w:lang w:eastAsia="en-NZ"/>
              </w:rPr>
              <w:t>13,110</w:t>
            </w:r>
          </w:p>
        </w:tc>
        <w:tc>
          <w:tcPr>
            <w:tcW w:w="2056" w:type="dxa"/>
            <w:shd w:val="clear" w:color="auto" w:fill="auto"/>
            <w:vAlign w:val="center"/>
            <w:hideMark/>
          </w:tcPr>
          <w:p w14:paraId="507720B6" w14:textId="77777777" w:rsidR="00AD2DF9" w:rsidRPr="00705F47" w:rsidRDefault="00AD2DF9" w:rsidP="00516E06">
            <w:pPr>
              <w:pStyle w:val="TableText"/>
              <w:tabs>
                <w:tab w:val="decimal" w:pos="1007"/>
              </w:tabs>
              <w:rPr>
                <w:rFonts w:cs="Arial"/>
                <w:lang w:eastAsia="en-NZ"/>
              </w:rPr>
            </w:pPr>
            <w:r w:rsidRPr="00705F47">
              <w:rPr>
                <w:rFonts w:cs="Arial"/>
                <w:lang w:eastAsia="en-NZ"/>
              </w:rPr>
              <w:t>99.0</w:t>
            </w:r>
          </w:p>
        </w:tc>
      </w:tr>
      <w:tr w:rsidR="00AD2DF9" w:rsidRPr="00705F47" w14:paraId="3CB4D70D" w14:textId="77777777" w:rsidTr="00516E06">
        <w:trPr>
          <w:cantSplit/>
        </w:trPr>
        <w:tc>
          <w:tcPr>
            <w:tcW w:w="3969" w:type="dxa"/>
            <w:shd w:val="clear" w:color="auto" w:fill="auto"/>
            <w:hideMark/>
          </w:tcPr>
          <w:p w14:paraId="7066CA91" w14:textId="77777777" w:rsidR="00AD2DF9" w:rsidRPr="00705F47" w:rsidRDefault="00AD2DF9" w:rsidP="00516E06">
            <w:pPr>
              <w:pStyle w:val="TableText"/>
              <w:rPr>
                <w:rFonts w:cs="Arial"/>
                <w:lang w:eastAsia="en-NZ"/>
              </w:rPr>
            </w:pPr>
            <w:r w:rsidRPr="00705F47">
              <w:rPr>
                <w:rFonts w:cs="Arial"/>
                <w:lang w:eastAsia="en-NZ"/>
              </w:rPr>
              <w:t>Haemorrhage (500 mL or more)</w:t>
            </w:r>
          </w:p>
        </w:tc>
        <w:tc>
          <w:tcPr>
            <w:tcW w:w="2055" w:type="dxa"/>
            <w:shd w:val="clear" w:color="auto" w:fill="auto"/>
            <w:noWrap/>
            <w:vAlign w:val="center"/>
            <w:hideMark/>
          </w:tcPr>
          <w:p w14:paraId="3276093F" w14:textId="77777777" w:rsidR="00AD2DF9" w:rsidRPr="00705F47" w:rsidRDefault="00AD2DF9" w:rsidP="00516E06">
            <w:pPr>
              <w:pStyle w:val="TableText"/>
              <w:tabs>
                <w:tab w:val="decimal" w:pos="1219"/>
              </w:tabs>
              <w:rPr>
                <w:rFonts w:cs="Arial"/>
                <w:lang w:eastAsia="en-NZ"/>
              </w:rPr>
            </w:pPr>
            <w:r w:rsidRPr="00705F47">
              <w:rPr>
                <w:rFonts w:cs="Arial"/>
                <w:lang w:eastAsia="en-NZ"/>
              </w:rPr>
              <w:t>41</w:t>
            </w:r>
          </w:p>
        </w:tc>
        <w:tc>
          <w:tcPr>
            <w:tcW w:w="2056" w:type="dxa"/>
            <w:shd w:val="clear" w:color="auto" w:fill="auto"/>
            <w:vAlign w:val="center"/>
            <w:hideMark/>
          </w:tcPr>
          <w:p w14:paraId="754D975E" w14:textId="77777777" w:rsidR="00AD2DF9" w:rsidRPr="00705F47" w:rsidRDefault="00AD2DF9" w:rsidP="00516E06">
            <w:pPr>
              <w:pStyle w:val="TableText"/>
              <w:tabs>
                <w:tab w:val="decimal" w:pos="1007"/>
              </w:tabs>
              <w:rPr>
                <w:rFonts w:cs="Arial"/>
                <w:lang w:eastAsia="en-NZ"/>
              </w:rPr>
            </w:pPr>
            <w:r w:rsidRPr="00705F47">
              <w:rPr>
                <w:rFonts w:cs="Arial"/>
                <w:lang w:eastAsia="en-NZ"/>
              </w:rPr>
              <w:t>0.3</w:t>
            </w:r>
          </w:p>
        </w:tc>
      </w:tr>
      <w:tr w:rsidR="00AD2DF9" w:rsidRPr="00705F47" w14:paraId="2EE1501F" w14:textId="77777777" w:rsidTr="00516E06">
        <w:trPr>
          <w:cantSplit/>
        </w:trPr>
        <w:tc>
          <w:tcPr>
            <w:tcW w:w="3969" w:type="dxa"/>
            <w:shd w:val="clear" w:color="auto" w:fill="auto"/>
            <w:hideMark/>
          </w:tcPr>
          <w:p w14:paraId="00AAE8C4" w14:textId="77777777" w:rsidR="00AD2DF9" w:rsidRPr="00705F47" w:rsidRDefault="00AD2DF9" w:rsidP="00516E06">
            <w:pPr>
              <w:pStyle w:val="TableText"/>
              <w:rPr>
                <w:rFonts w:cs="Arial"/>
                <w:lang w:eastAsia="en-NZ"/>
              </w:rPr>
            </w:pPr>
            <w:r w:rsidRPr="00705F47">
              <w:rPr>
                <w:rFonts w:cs="Arial"/>
                <w:lang w:eastAsia="en-NZ"/>
              </w:rPr>
              <w:t>Retained placenta/products</w:t>
            </w:r>
          </w:p>
        </w:tc>
        <w:tc>
          <w:tcPr>
            <w:tcW w:w="2055" w:type="dxa"/>
            <w:shd w:val="clear" w:color="auto" w:fill="auto"/>
            <w:noWrap/>
            <w:vAlign w:val="center"/>
            <w:hideMark/>
          </w:tcPr>
          <w:p w14:paraId="37B04EEA" w14:textId="77777777" w:rsidR="00AD2DF9" w:rsidRPr="00705F47" w:rsidRDefault="00AD2DF9" w:rsidP="00516E06">
            <w:pPr>
              <w:pStyle w:val="TableText"/>
              <w:tabs>
                <w:tab w:val="decimal" w:pos="1219"/>
              </w:tabs>
              <w:rPr>
                <w:rFonts w:cs="Arial"/>
                <w:lang w:eastAsia="en-NZ"/>
              </w:rPr>
            </w:pPr>
            <w:r w:rsidRPr="00705F47">
              <w:rPr>
                <w:rFonts w:cs="Arial"/>
                <w:lang w:eastAsia="en-NZ"/>
              </w:rPr>
              <w:t>75</w:t>
            </w:r>
          </w:p>
        </w:tc>
        <w:tc>
          <w:tcPr>
            <w:tcW w:w="2056" w:type="dxa"/>
            <w:shd w:val="clear" w:color="auto" w:fill="auto"/>
            <w:vAlign w:val="center"/>
            <w:hideMark/>
          </w:tcPr>
          <w:p w14:paraId="01D04B31" w14:textId="77777777" w:rsidR="00AD2DF9" w:rsidRPr="00705F47" w:rsidRDefault="00AD2DF9" w:rsidP="00516E06">
            <w:pPr>
              <w:pStyle w:val="TableText"/>
              <w:tabs>
                <w:tab w:val="decimal" w:pos="1007"/>
              </w:tabs>
              <w:rPr>
                <w:rFonts w:cs="Arial"/>
                <w:lang w:eastAsia="en-NZ"/>
              </w:rPr>
            </w:pPr>
            <w:r w:rsidRPr="00705F47">
              <w:rPr>
                <w:rFonts w:cs="Arial"/>
                <w:lang w:eastAsia="en-NZ"/>
              </w:rPr>
              <w:t>0.6</w:t>
            </w:r>
          </w:p>
        </w:tc>
      </w:tr>
      <w:tr w:rsidR="00AD2DF9" w:rsidRPr="00705F47" w14:paraId="62F71EE0" w14:textId="77777777" w:rsidTr="00516E06">
        <w:trPr>
          <w:cantSplit/>
        </w:trPr>
        <w:tc>
          <w:tcPr>
            <w:tcW w:w="3969" w:type="dxa"/>
            <w:shd w:val="clear" w:color="auto" w:fill="auto"/>
            <w:hideMark/>
          </w:tcPr>
          <w:p w14:paraId="14CB8D62" w14:textId="77777777" w:rsidR="00AD2DF9" w:rsidRPr="00705F47" w:rsidRDefault="00AD2DF9" w:rsidP="00516E06">
            <w:pPr>
              <w:pStyle w:val="TableText"/>
              <w:rPr>
                <w:rFonts w:cs="Arial"/>
                <w:lang w:eastAsia="en-NZ"/>
              </w:rPr>
            </w:pPr>
            <w:r w:rsidRPr="00705F47">
              <w:rPr>
                <w:rFonts w:cs="Arial"/>
                <w:lang w:eastAsia="en-NZ"/>
              </w:rPr>
              <w:t>Haemorrhage and retained placenta/products</w:t>
            </w:r>
          </w:p>
        </w:tc>
        <w:tc>
          <w:tcPr>
            <w:tcW w:w="2055" w:type="dxa"/>
            <w:shd w:val="clear" w:color="auto" w:fill="auto"/>
            <w:noWrap/>
            <w:vAlign w:val="center"/>
            <w:hideMark/>
          </w:tcPr>
          <w:p w14:paraId="5FFBA418" w14:textId="77777777" w:rsidR="00AD2DF9" w:rsidRPr="00705F47" w:rsidRDefault="00AD2DF9" w:rsidP="00516E06">
            <w:pPr>
              <w:pStyle w:val="TableText"/>
              <w:tabs>
                <w:tab w:val="decimal" w:pos="1219"/>
              </w:tabs>
              <w:rPr>
                <w:rFonts w:cs="Arial"/>
                <w:lang w:eastAsia="en-NZ"/>
              </w:rPr>
            </w:pPr>
            <w:r w:rsidRPr="00705F47">
              <w:rPr>
                <w:rFonts w:cs="Arial"/>
                <w:lang w:eastAsia="en-NZ"/>
              </w:rPr>
              <w:t>9</w:t>
            </w:r>
          </w:p>
        </w:tc>
        <w:tc>
          <w:tcPr>
            <w:tcW w:w="2056" w:type="dxa"/>
            <w:shd w:val="clear" w:color="auto" w:fill="auto"/>
            <w:vAlign w:val="center"/>
            <w:hideMark/>
          </w:tcPr>
          <w:p w14:paraId="53D30F19" w14:textId="77777777" w:rsidR="00AD2DF9" w:rsidRPr="00705F47" w:rsidRDefault="00AD2DF9" w:rsidP="00516E06">
            <w:pPr>
              <w:pStyle w:val="TableText"/>
              <w:tabs>
                <w:tab w:val="decimal" w:pos="1007"/>
              </w:tabs>
              <w:rPr>
                <w:rFonts w:cs="Arial"/>
                <w:lang w:eastAsia="en-NZ"/>
              </w:rPr>
            </w:pPr>
            <w:r w:rsidRPr="00705F47">
              <w:rPr>
                <w:rFonts w:cs="Arial"/>
                <w:lang w:eastAsia="en-NZ"/>
              </w:rPr>
              <w:t>&gt;0.1</w:t>
            </w:r>
          </w:p>
        </w:tc>
      </w:tr>
      <w:tr w:rsidR="00AD2DF9" w:rsidRPr="00705F47" w14:paraId="7245D6B9" w14:textId="77777777" w:rsidTr="00516E06">
        <w:trPr>
          <w:cantSplit/>
        </w:trPr>
        <w:tc>
          <w:tcPr>
            <w:tcW w:w="3969" w:type="dxa"/>
            <w:shd w:val="clear" w:color="auto" w:fill="auto"/>
            <w:hideMark/>
          </w:tcPr>
          <w:p w14:paraId="3D686DB0" w14:textId="77777777" w:rsidR="00AD2DF9" w:rsidRPr="00705F47" w:rsidRDefault="00AD2DF9" w:rsidP="00516E06">
            <w:pPr>
              <w:pStyle w:val="TableText"/>
              <w:rPr>
                <w:rFonts w:cs="Arial"/>
                <w:lang w:eastAsia="en-NZ"/>
              </w:rPr>
            </w:pPr>
            <w:r w:rsidRPr="00705F47">
              <w:rPr>
                <w:rFonts w:cs="Arial"/>
                <w:lang w:eastAsia="en-NZ"/>
              </w:rPr>
              <w:t>Other</w:t>
            </w:r>
          </w:p>
        </w:tc>
        <w:tc>
          <w:tcPr>
            <w:tcW w:w="2055" w:type="dxa"/>
            <w:shd w:val="clear" w:color="auto" w:fill="auto"/>
            <w:noWrap/>
            <w:vAlign w:val="center"/>
            <w:hideMark/>
          </w:tcPr>
          <w:p w14:paraId="6A44CB82" w14:textId="77777777" w:rsidR="00AD2DF9" w:rsidRPr="00705F47" w:rsidRDefault="00AD2DF9" w:rsidP="00516E06">
            <w:pPr>
              <w:pStyle w:val="TableText"/>
              <w:tabs>
                <w:tab w:val="decimal" w:pos="1219"/>
              </w:tabs>
              <w:rPr>
                <w:rFonts w:cs="Arial"/>
                <w:lang w:eastAsia="en-NZ"/>
              </w:rPr>
            </w:pPr>
            <w:r w:rsidRPr="00705F47">
              <w:rPr>
                <w:rFonts w:cs="Arial"/>
                <w:lang w:eastAsia="en-NZ"/>
              </w:rPr>
              <w:t>11</w:t>
            </w:r>
          </w:p>
        </w:tc>
        <w:tc>
          <w:tcPr>
            <w:tcW w:w="2056" w:type="dxa"/>
            <w:shd w:val="clear" w:color="auto" w:fill="auto"/>
            <w:vAlign w:val="center"/>
            <w:hideMark/>
          </w:tcPr>
          <w:p w14:paraId="6C401A82" w14:textId="77777777" w:rsidR="00AD2DF9" w:rsidRPr="00705F47" w:rsidRDefault="00AD2DF9" w:rsidP="00516E06">
            <w:pPr>
              <w:pStyle w:val="TableText"/>
              <w:tabs>
                <w:tab w:val="decimal" w:pos="1007"/>
              </w:tabs>
              <w:rPr>
                <w:rFonts w:cs="Arial"/>
                <w:lang w:eastAsia="en-NZ"/>
              </w:rPr>
            </w:pPr>
            <w:r w:rsidRPr="00705F47">
              <w:rPr>
                <w:rFonts w:cs="Arial"/>
                <w:lang w:eastAsia="en-NZ"/>
              </w:rPr>
              <w:t>&gt;0.1</w:t>
            </w:r>
          </w:p>
        </w:tc>
      </w:tr>
    </w:tbl>
    <w:p w14:paraId="7C4B6DD1" w14:textId="77777777" w:rsidR="00AD2DF9" w:rsidRDefault="00AD2DF9" w:rsidP="00516E06">
      <w:pPr>
        <w:pStyle w:val="Note"/>
        <w:rPr>
          <w:lang w:eastAsia="en-NZ"/>
        </w:rPr>
      </w:pPr>
      <w:r w:rsidRPr="00705F47">
        <w:rPr>
          <w:lang w:eastAsia="en-NZ"/>
        </w:rPr>
        <w:t>Note: * Reported complications before discharge</w:t>
      </w:r>
      <w:r>
        <w:rPr>
          <w:lang w:eastAsia="en-NZ"/>
        </w:rPr>
        <w:t xml:space="preserve"> from abortion provider</w:t>
      </w:r>
      <w:r w:rsidRPr="00705F47">
        <w:rPr>
          <w:lang w:eastAsia="en-NZ"/>
        </w:rPr>
        <w:t>.</w:t>
      </w:r>
    </w:p>
    <w:p w14:paraId="74C0D971" w14:textId="77777777" w:rsidR="00301720" w:rsidRPr="00301720" w:rsidRDefault="00301720" w:rsidP="00516E06">
      <w:pPr>
        <w:rPr>
          <w:lang w:eastAsia="en-NZ"/>
        </w:rPr>
      </w:pPr>
    </w:p>
    <w:p w14:paraId="2562C142" w14:textId="77777777" w:rsidR="00AD2DF9" w:rsidRPr="00705F47" w:rsidRDefault="00AD2DF9" w:rsidP="00B76F91">
      <w:pPr>
        <w:pStyle w:val="Heading2"/>
        <w:keepNext w:val="0"/>
        <w:pageBreakBefore/>
        <w:spacing w:before="0"/>
      </w:pPr>
      <w:bookmarkStart w:id="116" w:name="_Toc83037217"/>
      <w:bookmarkStart w:id="117" w:name="_Toc84582317"/>
      <w:r w:rsidRPr="00705F47">
        <w:lastRenderedPageBreak/>
        <w:t>Contraception</w:t>
      </w:r>
      <w:bookmarkEnd w:id="116"/>
      <w:bookmarkEnd w:id="117"/>
    </w:p>
    <w:p w14:paraId="589CC888" w14:textId="77777777" w:rsidR="00AD2DF9" w:rsidRPr="00705F47" w:rsidRDefault="00AD2DF9" w:rsidP="00301720">
      <w:pPr>
        <w:pStyle w:val="Heading3"/>
      </w:pPr>
      <w:r w:rsidRPr="00705F47">
        <w:t>Contraception used at the time of conception</w:t>
      </w:r>
    </w:p>
    <w:p w14:paraId="11C5F528" w14:textId="4109FAEE" w:rsidR="00AD2DF9" w:rsidRDefault="00AD2DF9" w:rsidP="00301720">
      <w:r w:rsidRPr="00705F47">
        <w:t>Reported contraception use at the time of conception in 2020 was similar to previous years for both contraception type (</w:t>
      </w:r>
      <w:r w:rsidRPr="00705F47">
        <w:fldChar w:fldCharType="begin"/>
      </w:r>
      <w:r w:rsidRPr="00705F47">
        <w:instrText xml:space="preserve"> REF _Ref83018577 \h </w:instrText>
      </w:r>
      <w:r w:rsidRPr="00705F47">
        <w:fldChar w:fldCharType="separate"/>
      </w:r>
      <w:r w:rsidR="0090485D">
        <w:t>Table </w:t>
      </w:r>
      <w:r w:rsidR="0090485D">
        <w:rPr>
          <w:noProof/>
        </w:rPr>
        <w:t>10</w:t>
      </w:r>
      <w:r w:rsidR="0090485D">
        <w:t>.</w:t>
      </w:r>
      <w:r w:rsidR="0090485D">
        <w:rPr>
          <w:noProof/>
        </w:rPr>
        <w:t>1</w:t>
      </w:r>
      <w:r w:rsidRPr="00705F47">
        <w:fldChar w:fldCharType="end"/>
      </w:r>
      <w:r w:rsidRPr="00705F47">
        <w:t>) and whether or not contraception was used by age (</w:t>
      </w:r>
      <w:r w:rsidR="00301720">
        <w:fldChar w:fldCharType="begin"/>
      </w:r>
      <w:r w:rsidR="00301720">
        <w:instrText xml:space="preserve"> REF _Ref83366883 \h </w:instrText>
      </w:r>
      <w:r w:rsidR="00301720">
        <w:fldChar w:fldCharType="separate"/>
      </w:r>
      <w:r w:rsidR="0090485D">
        <w:t>Table </w:t>
      </w:r>
      <w:r w:rsidR="0090485D">
        <w:rPr>
          <w:noProof/>
        </w:rPr>
        <w:t>10</w:t>
      </w:r>
      <w:r w:rsidR="0090485D">
        <w:t>.</w:t>
      </w:r>
      <w:r w:rsidR="0090485D">
        <w:rPr>
          <w:noProof/>
        </w:rPr>
        <w:t>2</w:t>
      </w:r>
      <w:r w:rsidR="00301720">
        <w:fldChar w:fldCharType="end"/>
      </w:r>
      <w:r w:rsidRPr="00705F47">
        <w:t xml:space="preserve"> and </w:t>
      </w:r>
      <w:r w:rsidRPr="00705F47">
        <w:fldChar w:fldCharType="begin"/>
      </w:r>
      <w:r w:rsidRPr="00705F47">
        <w:instrText xml:space="preserve"> REF _Ref83019278 \h </w:instrText>
      </w:r>
      <w:r w:rsidRPr="00705F47">
        <w:fldChar w:fldCharType="separate"/>
      </w:r>
      <w:r w:rsidR="0090485D">
        <w:t>Figure </w:t>
      </w:r>
      <w:r w:rsidR="0090485D">
        <w:rPr>
          <w:noProof/>
        </w:rPr>
        <w:t>10</w:t>
      </w:r>
      <w:r w:rsidR="0090485D">
        <w:t>.</w:t>
      </w:r>
      <w:r w:rsidR="0090485D">
        <w:rPr>
          <w:noProof/>
        </w:rPr>
        <w:t>1</w:t>
      </w:r>
      <w:r w:rsidRPr="00705F47">
        <w:fldChar w:fldCharType="end"/>
      </w:r>
      <w:r w:rsidRPr="00705F47">
        <w:t>).</w:t>
      </w:r>
    </w:p>
    <w:p w14:paraId="725ABAA6" w14:textId="77777777" w:rsidR="00301720" w:rsidRPr="00705F47" w:rsidRDefault="00301720" w:rsidP="008D2F8E"/>
    <w:p w14:paraId="1DB75836" w14:textId="46A75B06" w:rsidR="00AD2DF9" w:rsidRPr="00705F47" w:rsidRDefault="00301720" w:rsidP="00301720">
      <w:pPr>
        <w:pStyle w:val="Table"/>
        <w:rPr>
          <w:lang w:eastAsia="en-NZ"/>
        </w:rPr>
      </w:pPr>
      <w:bookmarkStart w:id="118" w:name="_Ref83018577"/>
      <w:bookmarkStart w:id="119" w:name="_Toc83037718"/>
      <w:bookmarkStart w:id="120" w:name="_Toc83367103"/>
      <w:r>
        <w:t>Table </w:t>
      </w:r>
      <w:r w:rsidR="009E3B78">
        <w:fldChar w:fldCharType="begin"/>
      </w:r>
      <w:r w:rsidR="009E3B78">
        <w:instrText xml:space="preserve"> STYLEREF 2 \s </w:instrText>
      </w:r>
      <w:r w:rsidR="009E3B78">
        <w:fldChar w:fldCharType="separate"/>
      </w:r>
      <w:r w:rsidR="0090485D">
        <w:rPr>
          <w:noProof/>
        </w:rPr>
        <w:t>10</w:t>
      </w:r>
      <w:r w:rsidR="009E3B78">
        <w:rPr>
          <w:noProof/>
        </w:rPr>
        <w:fldChar w:fldCharType="end"/>
      </w:r>
      <w:r>
        <w:t>.</w:t>
      </w:r>
      <w:r w:rsidR="009E3B78">
        <w:fldChar w:fldCharType="begin"/>
      </w:r>
      <w:r w:rsidR="009E3B78">
        <w:instrText xml:space="preserve"> SEQ Table \* ARABIC \s 2 </w:instrText>
      </w:r>
      <w:r w:rsidR="009E3B78">
        <w:fldChar w:fldCharType="separate"/>
      </w:r>
      <w:r w:rsidR="0090485D">
        <w:rPr>
          <w:noProof/>
        </w:rPr>
        <w:t>1</w:t>
      </w:r>
      <w:r w:rsidR="009E3B78">
        <w:rPr>
          <w:noProof/>
        </w:rPr>
        <w:fldChar w:fldCharType="end"/>
      </w:r>
      <w:bookmarkEnd w:id="118"/>
      <w:r w:rsidR="00AD2DF9" w:rsidRPr="00705F47">
        <w:rPr>
          <w:lang w:eastAsia="en-NZ"/>
        </w:rPr>
        <w:t>: Number and percentage of abortions by type of contraception used at time of conception, 2020</w:t>
      </w:r>
      <w:bookmarkEnd w:id="119"/>
      <w:bookmarkEnd w:id="120"/>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544"/>
        <w:gridCol w:w="2268"/>
        <w:gridCol w:w="2268"/>
      </w:tblGrid>
      <w:tr w:rsidR="00AD2DF9" w:rsidRPr="008D2F8E" w14:paraId="5CE3CE50" w14:textId="77777777" w:rsidTr="008D2F8E">
        <w:trPr>
          <w:cantSplit/>
        </w:trPr>
        <w:tc>
          <w:tcPr>
            <w:tcW w:w="3544" w:type="dxa"/>
            <w:tcBorders>
              <w:top w:val="nil"/>
              <w:bottom w:val="nil"/>
            </w:tcBorders>
            <w:shd w:val="clear" w:color="auto" w:fill="D9D9D9" w:themeFill="background1" w:themeFillShade="D9"/>
            <w:noWrap/>
            <w:vAlign w:val="bottom"/>
            <w:hideMark/>
          </w:tcPr>
          <w:p w14:paraId="1DBFC44B" w14:textId="77777777" w:rsidR="00AD2DF9" w:rsidRPr="008D2F8E" w:rsidRDefault="00AD2DF9" w:rsidP="00B76F91">
            <w:pPr>
              <w:pStyle w:val="TableText"/>
              <w:rPr>
                <w:b/>
                <w:lang w:eastAsia="en-NZ"/>
              </w:rPr>
            </w:pPr>
            <w:r w:rsidRPr="008D2F8E">
              <w:rPr>
                <w:b/>
                <w:lang w:eastAsia="en-NZ"/>
              </w:rPr>
              <w:t>Type of contraception used</w:t>
            </w:r>
          </w:p>
        </w:tc>
        <w:tc>
          <w:tcPr>
            <w:tcW w:w="2268" w:type="dxa"/>
            <w:tcBorders>
              <w:top w:val="nil"/>
              <w:bottom w:val="nil"/>
            </w:tcBorders>
            <w:shd w:val="clear" w:color="auto" w:fill="D9D9D9" w:themeFill="background1" w:themeFillShade="D9"/>
            <w:hideMark/>
          </w:tcPr>
          <w:p w14:paraId="60DA3F52" w14:textId="77777777" w:rsidR="00AD2DF9" w:rsidRPr="008D2F8E" w:rsidRDefault="00AD2DF9" w:rsidP="00B76F91">
            <w:pPr>
              <w:pStyle w:val="TableText"/>
              <w:jc w:val="center"/>
              <w:rPr>
                <w:b/>
                <w:lang w:eastAsia="en-NZ"/>
              </w:rPr>
            </w:pPr>
            <w:r w:rsidRPr="008D2F8E">
              <w:rPr>
                <w:b/>
                <w:lang w:eastAsia="en-NZ"/>
              </w:rPr>
              <w:t>Number</w:t>
            </w:r>
          </w:p>
        </w:tc>
        <w:tc>
          <w:tcPr>
            <w:tcW w:w="2268" w:type="dxa"/>
            <w:tcBorders>
              <w:top w:val="nil"/>
              <w:bottom w:val="nil"/>
            </w:tcBorders>
            <w:shd w:val="clear" w:color="auto" w:fill="D9D9D9" w:themeFill="background1" w:themeFillShade="D9"/>
            <w:hideMark/>
          </w:tcPr>
          <w:p w14:paraId="2FBC10F8" w14:textId="77777777" w:rsidR="00AD2DF9" w:rsidRPr="008D2F8E" w:rsidRDefault="00AD2DF9" w:rsidP="00B76F91">
            <w:pPr>
              <w:pStyle w:val="TableText"/>
              <w:jc w:val="center"/>
              <w:rPr>
                <w:b/>
                <w:lang w:eastAsia="en-NZ"/>
              </w:rPr>
            </w:pPr>
            <w:r w:rsidRPr="008D2F8E">
              <w:rPr>
                <w:b/>
                <w:lang w:eastAsia="en-NZ"/>
              </w:rPr>
              <w:t>Percentage</w:t>
            </w:r>
          </w:p>
        </w:tc>
      </w:tr>
      <w:tr w:rsidR="00AD2DF9" w:rsidRPr="008D2F8E" w14:paraId="0CDA6539" w14:textId="77777777" w:rsidTr="008D2F8E">
        <w:trPr>
          <w:cantSplit/>
        </w:trPr>
        <w:tc>
          <w:tcPr>
            <w:tcW w:w="3544" w:type="dxa"/>
            <w:tcBorders>
              <w:top w:val="nil"/>
            </w:tcBorders>
            <w:shd w:val="clear" w:color="auto" w:fill="auto"/>
            <w:hideMark/>
          </w:tcPr>
          <w:p w14:paraId="2A6EB332" w14:textId="77777777" w:rsidR="00AD2DF9" w:rsidRPr="008D2F8E" w:rsidRDefault="00AD2DF9" w:rsidP="00B76F91">
            <w:pPr>
              <w:pStyle w:val="TableText"/>
              <w:rPr>
                <w:b/>
                <w:bCs/>
                <w:lang w:eastAsia="en-NZ"/>
              </w:rPr>
            </w:pPr>
            <w:r w:rsidRPr="008D2F8E">
              <w:rPr>
                <w:b/>
                <w:bCs/>
                <w:lang w:eastAsia="en-NZ"/>
              </w:rPr>
              <w:t>Total</w:t>
            </w:r>
          </w:p>
        </w:tc>
        <w:tc>
          <w:tcPr>
            <w:tcW w:w="2268" w:type="dxa"/>
            <w:tcBorders>
              <w:top w:val="nil"/>
            </w:tcBorders>
            <w:shd w:val="clear" w:color="auto" w:fill="auto"/>
            <w:vAlign w:val="center"/>
            <w:hideMark/>
          </w:tcPr>
          <w:p w14:paraId="73DD60B9" w14:textId="77777777" w:rsidR="00AD2DF9" w:rsidRPr="008D2F8E" w:rsidRDefault="00AD2DF9" w:rsidP="00B76F91">
            <w:pPr>
              <w:pStyle w:val="TableText"/>
              <w:tabs>
                <w:tab w:val="decimal" w:pos="1361"/>
              </w:tabs>
              <w:rPr>
                <w:b/>
                <w:bCs/>
                <w:lang w:eastAsia="en-NZ"/>
              </w:rPr>
            </w:pPr>
            <w:r w:rsidRPr="008D2F8E">
              <w:rPr>
                <w:b/>
                <w:bCs/>
                <w:lang w:eastAsia="en-NZ"/>
              </w:rPr>
              <w:t>13,350</w:t>
            </w:r>
          </w:p>
        </w:tc>
        <w:tc>
          <w:tcPr>
            <w:tcW w:w="2268" w:type="dxa"/>
            <w:tcBorders>
              <w:top w:val="nil"/>
            </w:tcBorders>
            <w:shd w:val="clear" w:color="auto" w:fill="auto"/>
            <w:noWrap/>
            <w:vAlign w:val="bottom"/>
            <w:hideMark/>
          </w:tcPr>
          <w:p w14:paraId="0ED49810" w14:textId="77777777" w:rsidR="00AD2DF9" w:rsidRPr="008D2F8E" w:rsidRDefault="00AD2DF9" w:rsidP="00B76F91">
            <w:pPr>
              <w:pStyle w:val="TableText"/>
              <w:tabs>
                <w:tab w:val="decimal" w:pos="1219"/>
              </w:tabs>
              <w:rPr>
                <w:b/>
                <w:bCs/>
                <w:lang w:eastAsia="en-NZ"/>
              </w:rPr>
            </w:pPr>
            <w:r w:rsidRPr="008D2F8E">
              <w:rPr>
                <w:b/>
                <w:bCs/>
                <w:lang w:eastAsia="en-NZ"/>
              </w:rPr>
              <w:t>100%</w:t>
            </w:r>
          </w:p>
        </w:tc>
      </w:tr>
      <w:tr w:rsidR="00AD2DF9" w:rsidRPr="00705F47" w14:paraId="16A53A44" w14:textId="77777777" w:rsidTr="008D2F8E">
        <w:trPr>
          <w:cantSplit/>
        </w:trPr>
        <w:tc>
          <w:tcPr>
            <w:tcW w:w="3544" w:type="dxa"/>
            <w:shd w:val="clear" w:color="auto" w:fill="auto"/>
            <w:noWrap/>
            <w:vAlign w:val="bottom"/>
            <w:hideMark/>
          </w:tcPr>
          <w:p w14:paraId="3169F328" w14:textId="77777777" w:rsidR="00AD2DF9" w:rsidRPr="00705F47" w:rsidRDefault="00AD2DF9" w:rsidP="00B76F91">
            <w:pPr>
              <w:pStyle w:val="TableText"/>
              <w:rPr>
                <w:lang w:eastAsia="en-NZ"/>
              </w:rPr>
            </w:pPr>
            <w:r w:rsidRPr="00705F47">
              <w:rPr>
                <w:lang w:eastAsia="en-NZ"/>
              </w:rPr>
              <w:t>None</w:t>
            </w:r>
          </w:p>
        </w:tc>
        <w:tc>
          <w:tcPr>
            <w:tcW w:w="2268" w:type="dxa"/>
            <w:shd w:val="clear" w:color="auto" w:fill="auto"/>
            <w:noWrap/>
            <w:vAlign w:val="bottom"/>
            <w:hideMark/>
          </w:tcPr>
          <w:p w14:paraId="48A208E4" w14:textId="77777777" w:rsidR="00AD2DF9" w:rsidRPr="00705F47" w:rsidRDefault="00AD2DF9" w:rsidP="00B76F91">
            <w:pPr>
              <w:pStyle w:val="TableText"/>
              <w:tabs>
                <w:tab w:val="decimal" w:pos="1361"/>
              </w:tabs>
              <w:rPr>
                <w:lang w:eastAsia="en-NZ"/>
              </w:rPr>
            </w:pPr>
            <w:r w:rsidRPr="00705F47">
              <w:rPr>
                <w:lang w:eastAsia="en-NZ"/>
              </w:rPr>
              <w:t>8,648</w:t>
            </w:r>
          </w:p>
        </w:tc>
        <w:tc>
          <w:tcPr>
            <w:tcW w:w="2268" w:type="dxa"/>
            <w:shd w:val="clear" w:color="auto" w:fill="auto"/>
            <w:noWrap/>
            <w:vAlign w:val="bottom"/>
            <w:hideMark/>
          </w:tcPr>
          <w:p w14:paraId="0B3BF7FC" w14:textId="77777777" w:rsidR="00AD2DF9" w:rsidRPr="00705F47" w:rsidRDefault="00AD2DF9" w:rsidP="00B76F91">
            <w:pPr>
              <w:pStyle w:val="TableText"/>
              <w:tabs>
                <w:tab w:val="decimal" w:pos="1219"/>
              </w:tabs>
              <w:rPr>
                <w:lang w:eastAsia="en-NZ"/>
              </w:rPr>
            </w:pPr>
            <w:r w:rsidRPr="00705F47">
              <w:rPr>
                <w:lang w:eastAsia="en-NZ"/>
              </w:rPr>
              <w:t>64.8%</w:t>
            </w:r>
          </w:p>
        </w:tc>
      </w:tr>
      <w:tr w:rsidR="00AD2DF9" w:rsidRPr="00705F47" w14:paraId="412F1A30" w14:textId="77777777" w:rsidTr="008D2F8E">
        <w:trPr>
          <w:cantSplit/>
        </w:trPr>
        <w:tc>
          <w:tcPr>
            <w:tcW w:w="3544" w:type="dxa"/>
            <w:shd w:val="clear" w:color="auto" w:fill="auto"/>
            <w:noWrap/>
            <w:vAlign w:val="bottom"/>
            <w:hideMark/>
          </w:tcPr>
          <w:p w14:paraId="5BB913A0" w14:textId="77777777" w:rsidR="00AD2DF9" w:rsidRPr="00705F47" w:rsidRDefault="00AD2DF9" w:rsidP="00B76F91">
            <w:pPr>
              <w:pStyle w:val="TableText"/>
              <w:rPr>
                <w:lang w:eastAsia="en-NZ"/>
              </w:rPr>
            </w:pPr>
            <w:r w:rsidRPr="00705F47">
              <w:rPr>
                <w:lang w:eastAsia="en-NZ"/>
              </w:rPr>
              <w:t>Condoms</w:t>
            </w:r>
          </w:p>
        </w:tc>
        <w:tc>
          <w:tcPr>
            <w:tcW w:w="2268" w:type="dxa"/>
            <w:shd w:val="clear" w:color="auto" w:fill="auto"/>
            <w:noWrap/>
            <w:vAlign w:val="bottom"/>
            <w:hideMark/>
          </w:tcPr>
          <w:p w14:paraId="6632C18E" w14:textId="77777777" w:rsidR="00AD2DF9" w:rsidRPr="00705F47" w:rsidRDefault="00AD2DF9" w:rsidP="00B76F91">
            <w:pPr>
              <w:pStyle w:val="TableText"/>
              <w:tabs>
                <w:tab w:val="decimal" w:pos="1361"/>
              </w:tabs>
              <w:rPr>
                <w:lang w:eastAsia="en-NZ"/>
              </w:rPr>
            </w:pPr>
            <w:r w:rsidRPr="00705F47">
              <w:rPr>
                <w:lang w:eastAsia="en-NZ"/>
              </w:rPr>
              <w:t>2,495</w:t>
            </w:r>
          </w:p>
        </w:tc>
        <w:tc>
          <w:tcPr>
            <w:tcW w:w="2268" w:type="dxa"/>
            <w:shd w:val="clear" w:color="auto" w:fill="auto"/>
            <w:noWrap/>
            <w:vAlign w:val="bottom"/>
            <w:hideMark/>
          </w:tcPr>
          <w:p w14:paraId="44385C06" w14:textId="77777777" w:rsidR="00AD2DF9" w:rsidRPr="00705F47" w:rsidRDefault="00AD2DF9" w:rsidP="00B76F91">
            <w:pPr>
              <w:pStyle w:val="TableText"/>
              <w:tabs>
                <w:tab w:val="decimal" w:pos="1219"/>
              </w:tabs>
              <w:rPr>
                <w:lang w:eastAsia="en-NZ"/>
              </w:rPr>
            </w:pPr>
            <w:r w:rsidRPr="00705F47">
              <w:rPr>
                <w:lang w:eastAsia="en-NZ"/>
              </w:rPr>
              <w:t>18.7%</w:t>
            </w:r>
          </w:p>
        </w:tc>
      </w:tr>
      <w:tr w:rsidR="00AD2DF9" w:rsidRPr="00705F47" w14:paraId="242507F6" w14:textId="77777777" w:rsidTr="008D2F8E">
        <w:trPr>
          <w:cantSplit/>
        </w:trPr>
        <w:tc>
          <w:tcPr>
            <w:tcW w:w="3544" w:type="dxa"/>
            <w:shd w:val="clear" w:color="auto" w:fill="auto"/>
            <w:noWrap/>
            <w:vAlign w:val="bottom"/>
            <w:hideMark/>
          </w:tcPr>
          <w:p w14:paraId="470C6C45" w14:textId="77777777" w:rsidR="00AD2DF9" w:rsidRPr="00705F47" w:rsidRDefault="00AD2DF9" w:rsidP="00B76F91">
            <w:pPr>
              <w:pStyle w:val="TableText"/>
              <w:rPr>
                <w:lang w:eastAsia="en-NZ"/>
              </w:rPr>
            </w:pPr>
            <w:r w:rsidRPr="00705F47">
              <w:rPr>
                <w:lang w:eastAsia="en-NZ"/>
              </w:rPr>
              <w:t>Combined oral contraceptive</w:t>
            </w:r>
          </w:p>
        </w:tc>
        <w:tc>
          <w:tcPr>
            <w:tcW w:w="2268" w:type="dxa"/>
            <w:shd w:val="clear" w:color="auto" w:fill="auto"/>
            <w:noWrap/>
            <w:vAlign w:val="bottom"/>
            <w:hideMark/>
          </w:tcPr>
          <w:p w14:paraId="42A25BD2" w14:textId="77777777" w:rsidR="00AD2DF9" w:rsidRPr="00705F47" w:rsidRDefault="00AD2DF9" w:rsidP="00B76F91">
            <w:pPr>
              <w:pStyle w:val="TableText"/>
              <w:tabs>
                <w:tab w:val="decimal" w:pos="1361"/>
              </w:tabs>
              <w:rPr>
                <w:lang w:eastAsia="en-NZ"/>
              </w:rPr>
            </w:pPr>
            <w:r w:rsidRPr="00705F47">
              <w:rPr>
                <w:lang w:eastAsia="en-NZ"/>
              </w:rPr>
              <w:t>982</w:t>
            </w:r>
          </w:p>
        </w:tc>
        <w:tc>
          <w:tcPr>
            <w:tcW w:w="2268" w:type="dxa"/>
            <w:shd w:val="clear" w:color="auto" w:fill="auto"/>
            <w:noWrap/>
            <w:vAlign w:val="bottom"/>
            <w:hideMark/>
          </w:tcPr>
          <w:p w14:paraId="69A96F70" w14:textId="77777777" w:rsidR="00AD2DF9" w:rsidRPr="00705F47" w:rsidRDefault="00AD2DF9" w:rsidP="00B76F91">
            <w:pPr>
              <w:pStyle w:val="TableText"/>
              <w:tabs>
                <w:tab w:val="decimal" w:pos="1219"/>
              </w:tabs>
              <w:rPr>
                <w:lang w:eastAsia="en-NZ"/>
              </w:rPr>
            </w:pPr>
            <w:r w:rsidRPr="00705F47">
              <w:rPr>
                <w:lang w:eastAsia="en-NZ"/>
              </w:rPr>
              <w:t>7.4%</w:t>
            </w:r>
          </w:p>
        </w:tc>
      </w:tr>
      <w:tr w:rsidR="00AD2DF9" w:rsidRPr="00705F47" w14:paraId="7C3907AF" w14:textId="77777777" w:rsidTr="008D2F8E">
        <w:trPr>
          <w:cantSplit/>
        </w:trPr>
        <w:tc>
          <w:tcPr>
            <w:tcW w:w="3544" w:type="dxa"/>
            <w:shd w:val="clear" w:color="auto" w:fill="auto"/>
            <w:noWrap/>
            <w:vAlign w:val="bottom"/>
            <w:hideMark/>
          </w:tcPr>
          <w:p w14:paraId="3BAF2DE7" w14:textId="77777777" w:rsidR="00AD2DF9" w:rsidRPr="00705F47" w:rsidRDefault="00AD2DF9" w:rsidP="00B76F91">
            <w:pPr>
              <w:pStyle w:val="TableText"/>
              <w:rPr>
                <w:lang w:eastAsia="en-NZ"/>
              </w:rPr>
            </w:pPr>
            <w:r w:rsidRPr="00705F47">
              <w:rPr>
                <w:lang w:eastAsia="en-NZ"/>
              </w:rPr>
              <w:t>Progesterone-only contraceptive</w:t>
            </w:r>
          </w:p>
        </w:tc>
        <w:tc>
          <w:tcPr>
            <w:tcW w:w="2268" w:type="dxa"/>
            <w:shd w:val="clear" w:color="auto" w:fill="auto"/>
            <w:noWrap/>
            <w:vAlign w:val="bottom"/>
            <w:hideMark/>
          </w:tcPr>
          <w:p w14:paraId="4A80BFF9" w14:textId="77777777" w:rsidR="00AD2DF9" w:rsidRPr="00705F47" w:rsidRDefault="00AD2DF9" w:rsidP="00B76F91">
            <w:pPr>
              <w:pStyle w:val="TableText"/>
              <w:tabs>
                <w:tab w:val="decimal" w:pos="1361"/>
              </w:tabs>
              <w:rPr>
                <w:lang w:eastAsia="en-NZ"/>
              </w:rPr>
            </w:pPr>
            <w:r w:rsidRPr="00705F47">
              <w:rPr>
                <w:lang w:eastAsia="en-NZ"/>
              </w:rPr>
              <w:t>416</w:t>
            </w:r>
          </w:p>
        </w:tc>
        <w:tc>
          <w:tcPr>
            <w:tcW w:w="2268" w:type="dxa"/>
            <w:shd w:val="clear" w:color="auto" w:fill="auto"/>
            <w:noWrap/>
            <w:vAlign w:val="bottom"/>
            <w:hideMark/>
          </w:tcPr>
          <w:p w14:paraId="4851911E" w14:textId="77777777" w:rsidR="00AD2DF9" w:rsidRPr="00705F47" w:rsidRDefault="00AD2DF9" w:rsidP="00B76F91">
            <w:pPr>
              <w:pStyle w:val="TableText"/>
              <w:tabs>
                <w:tab w:val="decimal" w:pos="1219"/>
              </w:tabs>
              <w:rPr>
                <w:lang w:eastAsia="en-NZ"/>
              </w:rPr>
            </w:pPr>
            <w:r w:rsidRPr="00705F47">
              <w:rPr>
                <w:lang w:eastAsia="en-NZ"/>
              </w:rPr>
              <w:t>3.1%</w:t>
            </w:r>
          </w:p>
        </w:tc>
      </w:tr>
      <w:tr w:rsidR="00AD2DF9" w:rsidRPr="00705F47" w14:paraId="76A6E897" w14:textId="77777777" w:rsidTr="008D2F8E">
        <w:trPr>
          <w:cantSplit/>
        </w:trPr>
        <w:tc>
          <w:tcPr>
            <w:tcW w:w="3544" w:type="dxa"/>
            <w:shd w:val="clear" w:color="auto" w:fill="auto"/>
            <w:noWrap/>
            <w:vAlign w:val="bottom"/>
            <w:hideMark/>
          </w:tcPr>
          <w:p w14:paraId="32E8B1F8" w14:textId="77777777" w:rsidR="00AD2DF9" w:rsidRPr="00705F47" w:rsidRDefault="00AD2DF9" w:rsidP="00B76F91">
            <w:pPr>
              <w:pStyle w:val="TableText"/>
              <w:rPr>
                <w:lang w:eastAsia="en-NZ"/>
              </w:rPr>
            </w:pPr>
            <w:r w:rsidRPr="00705F47">
              <w:rPr>
                <w:lang w:eastAsia="en-NZ"/>
              </w:rPr>
              <w:t>Natural family planning</w:t>
            </w:r>
          </w:p>
        </w:tc>
        <w:tc>
          <w:tcPr>
            <w:tcW w:w="2268" w:type="dxa"/>
            <w:shd w:val="clear" w:color="auto" w:fill="auto"/>
            <w:noWrap/>
            <w:vAlign w:val="bottom"/>
            <w:hideMark/>
          </w:tcPr>
          <w:p w14:paraId="2400586D" w14:textId="77777777" w:rsidR="00AD2DF9" w:rsidRPr="00705F47" w:rsidRDefault="00AD2DF9" w:rsidP="00B76F91">
            <w:pPr>
              <w:pStyle w:val="TableText"/>
              <w:tabs>
                <w:tab w:val="decimal" w:pos="1361"/>
              </w:tabs>
              <w:rPr>
                <w:lang w:eastAsia="en-NZ"/>
              </w:rPr>
            </w:pPr>
            <w:r w:rsidRPr="00705F47">
              <w:rPr>
                <w:lang w:eastAsia="en-NZ"/>
              </w:rPr>
              <w:t>254</w:t>
            </w:r>
          </w:p>
        </w:tc>
        <w:tc>
          <w:tcPr>
            <w:tcW w:w="2268" w:type="dxa"/>
            <w:shd w:val="clear" w:color="auto" w:fill="auto"/>
            <w:noWrap/>
            <w:vAlign w:val="bottom"/>
            <w:hideMark/>
          </w:tcPr>
          <w:p w14:paraId="3C4D2590" w14:textId="77777777" w:rsidR="00AD2DF9" w:rsidRPr="00705F47" w:rsidRDefault="00AD2DF9" w:rsidP="00B76F91">
            <w:pPr>
              <w:pStyle w:val="TableText"/>
              <w:tabs>
                <w:tab w:val="decimal" w:pos="1219"/>
              </w:tabs>
              <w:rPr>
                <w:lang w:eastAsia="en-NZ"/>
              </w:rPr>
            </w:pPr>
            <w:r w:rsidRPr="00705F47">
              <w:rPr>
                <w:lang w:eastAsia="en-NZ"/>
              </w:rPr>
              <w:t>1.9%</w:t>
            </w:r>
          </w:p>
        </w:tc>
      </w:tr>
      <w:tr w:rsidR="00AD2DF9" w:rsidRPr="00705F47" w14:paraId="05E60EE8" w14:textId="77777777" w:rsidTr="008D2F8E">
        <w:trPr>
          <w:cantSplit/>
        </w:trPr>
        <w:tc>
          <w:tcPr>
            <w:tcW w:w="3544" w:type="dxa"/>
            <w:shd w:val="clear" w:color="auto" w:fill="auto"/>
            <w:noWrap/>
            <w:vAlign w:val="bottom"/>
            <w:hideMark/>
          </w:tcPr>
          <w:p w14:paraId="7C35DC8B" w14:textId="77777777" w:rsidR="00AD2DF9" w:rsidRPr="00705F47" w:rsidRDefault="00AD2DF9" w:rsidP="00B76F91">
            <w:pPr>
              <w:pStyle w:val="TableText"/>
              <w:rPr>
                <w:lang w:eastAsia="en-NZ"/>
              </w:rPr>
            </w:pPr>
            <w:r w:rsidRPr="00705F47">
              <w:rPr>
                <w:lang w:eastAsia="en-NZ"/>
              </w:rPr>
              <w:t>Emergency contraception</w:t>
            </w:r>
          </w:p>
        </w:tc>
        <w:tc>
          <w:tcPr>
            <w:tcW w:w="2268" w:type="dxa"/>
            <w:shd w:val="clear" w:color="auto" w:fill="auto"/>
            <w:noWrap/>
            <w:vAlign w:val="bottom"/>
            <w:hideMark/>
          </w:tcPr>
          <w:p w14:paraId="395AABB8" w14:textId="77777777" w:rsidR="00AD2DF9" w:rsidRPr="00705F47" w:rsidRDefault="00AD2DF9" w:rsidP="00B76F91">
            <w:pPr>
              <w:pStyle w:val="TableText"/>
              <w:tabs>
                <w:tab w:val="decimal" w:pos="1361"/>
              </w:tabs>
              <w:rPr>
                <w:lang w:eastAsia="en-NZ"/>
              </w:rPr>
            </w:pPr>
            <w:r w:rsidRPr="00705F47">
              <w:rPr>
                <w:lang w:eastAsia="en-NZ"/>
              </w:rPr>
              <w:t>223</w:t>
            </w:r>
          </w:p>
        </w:tc>
        <w:tc>
          <w:tcPr>
            <w:tcW w:w="2268" w:type="dxa"/>
            <w:shd w:val="clear" w:color="auto" w:fill="auto"/>
            <w:noWrap/>
            <w:vAlign w:val="bottom"/>
            <w:hideMark/>
          </w:tcPr>
          <w:p w14:paraId="667A88FC" w14:textId="77777777" w:rsidR="00AD2DF9" w:rsidRPr="00705F47" w:rsidRDefault="00AD2DF9" w:rsidP="00B76F91">
            <w:pPr>
              <w:pStyle w:val="TableText"/>
              <w:tabs>
                <w:tab w:val="decimal" w:pos="1219"/>
              </w:tabs>
              <w:rPr>
                <w:lang w:eastAsia="en-NZ"/>
              </w:rPr>
            </w:pPr>
            <w:r w:rsidRPr="00705F47">
              <w:rPr>
                <w:lang w:eastAsia="en-NZ"/>
              </w:rPr>
              <w:t>1.7%</w:t>
            </w:r>
          </w:p>
        </w:tc>
      </w:tr>
      <w:tr w:rsidR="00AD2DF9" w:rsidRPr="00705F47" w14:paraId="6CF46175" w14:textId="77777777" w:rsidTr="008D2F8E">
        <w:trPr>
          <w:cantSplit/>
        </w:trPr>
        <w:tc>
          <w:tcPr>
            <w:tcW w:w="3544" w:type="dxa"/>
            <w:shd w:val="clear" w:color="auto" w:fill="auto"/>
            <w:noWrap/>
            <w:vAlign w:val="bottom"/>
            <w:hideMark/>
          </w:tcPr>
          <w:p w14:paraId="65D68836" w14:textId="77777777" w:rsidR="00AD2DF9" w:rsidRPr="00705F47" w:rsidRDefault="00AD2DF9" w:rsidP="00B76F91">
            <w:pPr>
              <w:pStyle w:val="TableText"/>
              <w:rPr>
                <w:lang w:eastAsia="en-NZ"/>
              </w:rPr>
            </w:pPr>
            <w:r w:rsidRPr="00705F47">
              <w:rPr>
                <w:lang w:eastAsia="en-NZ"/>
              </w:rPr>
              <w:t>IUCD</w:t>
            </w:r>
          </w:p>
        </w:tc>
        <w:tc>
          <w:tcPr>
            <w:tcW w:w="2268" w:type="dxa"/>
            <w:shd w:val="clear" w:color="auto" w:fill="auto"/>
            <w:noWrap/>
            <w:vAlign w:val="bottom"/>
            <w:hideMark/>
          </w:tcPr>
          <w:p w14:paraId="723466B7" w14:textId="77777777" w:rsidR="00AD2DF9" w:rsidRPr="00705F47" w:rsidRDefault="00AD2DF9" w:rsidP="00B76F91">
            <w:pPr>
              <w:pStyle w:val="TableText"/>
              <w:tabs>
                <w:tab w:val="decimal" w:pos="1361"/>
              </w:tabs>
              <w:rPr>
                <w:lang w:eastAsia="en-NZ"/>
              </w:rPr>
            </w:pPr>
            <w:r w:rsidRPr="00705F47">
              <w:rPr>
                <w:lang w:eastAsia="en-NZ"/>
              </w:rPr>
              <w:t>146</w:t>
            </w:r>
          </w:p>
        </w:tc>
        <w:tc>
          <w:tcPr>
            <w:tcW w:w="2268" w:type="dxa"/>
            <w:shd w:val="clear" w:color="auto" w:fill="auto"/>
            <w:noWrap/>
            <w:vAlign w:val="bottom"/>
            <w:hideMark/>
          </w:tcPr>
          <w:p w14:paraId="5F557849" w14:textId="77777777" w:rsidR="00AD2DF9" w:rsidRPr="00705F47" w:rsidRDefault="00AD2DF9" w:rsidP="00B76F91">
            <w:pPr>
              <w:pStyle w:val="TableText"/>
              <w:tabs>
                <w:tab w:val="decimal" w:pos="1219"/>
              </w:tabs>
              <w:rPr>
                <w:lang w:eastAsia="en-NZ"/>
              </w:rPr>
            </w:pPr>
            <w:r w:rsidRPr="00705F47">
              <w:rPr>
                <w:lang w:eastAsia="en-NZ"/>
              </w:rPr>
              <w:t>1.1%</w:t>
            </w:r>
          </w:p>
        </w:tc>
      </w:tr>
      <w:tr w:rsidR="00AD2DF9" w:rsidRPr="00705F47" w14:paraId="0DF13B09" w14:textId="77777777" w:rsidTr="008D2F8E">
        <w:trPr>
          <w:cantSplit/>
        </w:trPr>
        <w:tc>
          <w:tcPr>
            <w:tcW w:w="3544" w:type="dxa"/>
            <w:shd w:val="clear" w:color="auto" w:fill="auto"/>
            <w:noWrap/>
            <w:vAlign w:val="bottom"/>
            <w:hideMark/>
          </w:tcPr>
          <w:p w14:paraId="764BB6A5" w14:textId="77777777" w:rsidR="00AD2DF9" w:rsidRPr="00705F47" w:rsidRDefault="00AD2DF9" w:rsidP="00B76F91">
            <w:pPr>
              <w:pStyle w:val="TableText"/>
              <w:rPr>
                <w:lang w:eastAsia="en-NZ"/>
              </w:rPr>
            </w:pPr>
            <w:r w:rsidRPr="00705F47">
              <w:rPr>
                <w:lang w:eastAsia="en-NZ"/>
              </w:rPr>
              <w:t>Depo provera injection</w:t>
            </w:r>
          </w:p>
        </w:tc>
        <w:tc>
          <w:tcPr>
            <w:tcW w:w="2268" w:type="dxa"/>
            <w:shd w:val="clear" w:color="auto" w:fill="auto"/>
            <w:noWrap/>
            <w:vAlign w:val="bottom"/>
            <w:hideMark/>
          </w:tcPr>
          <w:p w14:paraId="51AABC92" w14:textId="77777777" w:rsidR="00AD2DF9" w:rsidRPr="00705F47" w:rsidRDefault="00AD2DF9" w:rsidP="00B76F91">
            <w:pPr>
              <w:pStyle w:val="TableText"/>
              <w:tabs>
                <w:tab w:val="decimal" w:pos="1361"/>
              </w:tabs>
              <w:rPr>
                <w:lang w:eastAsia="en-NZ"/>
              </w:rPr>
            </w:pPr>
            <w:r w:rsidRPr="00705F47">
              <w:rPr>
                <w:lang w:eastAsia="en-NZ"/>
              </w:rPr>
              <w:t>119</w:t>
            </w:r>
          </w:p>
        </w:tc>
        <w:tc>
          <w:tcPr>
            <w:tcW w:w="2268" w:type="dxa"/>
            <w:shd w:val="clear" w:color="auto" w:fill="auto"/>
            <w:noWrap/>
            <w:vAlign w:val="bottom"/>
            <w:hideMark/>
          </w:tcPr>
          <w:p w14:paraId="1E1104C8" w14:textId="77777777" w:rsidR="00AD2DF9" w:rsidRPr="00705F47" w:rsidRDefault="00AD2DF9" w:rsidP="00B76F91">
            <w:pPr>
              <w:pStyle w:val="TableText"/>
              <w:tabs>
                <w:tab w:val="decimal" w:pos="1219"/>
              </w:tabs>
              <w:rPr>
                <w:lang w:eastAsia="en-NZ"/>
              </w:rPr>
            </w:pPr>
            <w:r w:rsidRPr="00705F47">
              <w:rPr>
                <w:lang w:eastAsia="en-NZ"/>
              </w:rPr>
              <w:t>0.9%</w:t>
            </w:r>
          </w:p>
        </w:tc>
      </w:tr>
      <w:tr w:rsidR="00AD2DF9" w:rsidRPr="00705F47" w14:paraId="16EB3DEE" w14:textId="77777777" w:rsidTr="008D2F8E">
        <w:trPr>
          <w:cantSplit/>
        </w:trPr>
        <w:tc>
          <w:tcPr>
            <w:tcW w:w="3544" w:type="dxa"/>
            <w:shd w:val="clear" w:color="auto" w:fill="auto"/>
            <w:noWrap/>
            <w:vAlign w:val="bottom"/>
            <w:hideMark/>
          </w:tcPr>
          <w:p w14:paraId="7A727B98" w14:textId="77777777" w:rsidR="00AD2DF9" w:rsidRPr="00705F47" w:rsidRDefault="00AD2DF9" w:rsidP="00B76F91">
            <w:pPr>
              <w:pStyle w:val="TableText"/>
              <w:rPr>
                <w:lang w:eastAsia="en-NZ"/>
              </w:rPr>
            </w:pPr>
            <w:r w:rsidRPr="00705F47">
              <w:rPr>
                <w:lang w:eastAsia="en-NZ"/>
              </w:rPr>
              <w:t>Unknown</w:t>
            </w:r>
          </w:p>
        </w:tc>
        <w:tc>
          <w:tcPr>
            <w:tcW w:w="2268" w:type="dxa"/>
            <w:shd w:val="clear" w:color="auto" w:fill="auto"/>
            <w:noWrap/>
            <w:vAlign w:val="bottom"/>
            <w:hideMark/>
          </w:tcPr>
          <w:p w14:paraId="14FC6052" w14:textId="77777777" w:rsidR="00AD2DF9" w:rsidRPr="00705F47" w:rsidRDefault="00AD2DF9" w:rsidP="00B76F91">
            <w:pPr>
              <w:pStyle w:val="TableText"/>
              <w:tabs>
                <w:tab w:val="decimal" w:pos="1361"/>
              </w:tabs>
              <w:rPr>
                <w:lang w:eastAsia="en-NZ"/>
              </w:rPr>
            </w:pPr>
            <w:r w:rsidRPr="00705F47">
              <w:rPr>
                <w:lang w:eastAsia="en-NZ"/>
              </w:rPr>
              <w:t>28</w:t>
            </w:r>
          </w:p>
        </w:tc>
        <w:tc>
          <w:tcPr>
            <w:tcW w:w="2268" w:type="dxa"/>
            <w:shd w:val="clear" w:color="auto" w:fill="auto"/>
            <w:noWrap/>
            <w:vAlign w:val="bottom"/>
            <w:hideMark/>
          </w:tcPr>
          <w:p w14:paraId="3107E50F" w14:textId="77777777" w:rsidR="00AD2DF9" w:rsidRPr="00705F47" w:rsidRDefault="00AD2DF9" w:rsidP="00B76F91">
            <w:pPr>
              <w:pStyle w:val="TableText"/>
              <w:tabs>
                <w:tab w:val="decimal" w:pos="1219"/>
              </w:tabs>
              <w:rPr>
                <w:lang w:eastAsia="en-NZ"/>
              </w:rPr>
            </w:pPr>
            <w:r w:rsidRPr="00705F47">
              <w:rPr>
                <w:lang w:eastAsia="en-NZ"/>
              </w:rPr>
              <w:t>0.2%</w:t>
            </w:r>
          </w:p>
        </w:tc>
      </w:tr>
      <w:tr w:rsidR="00AD2DF9" w:rsidRPr="00705F47" w14:paraId="19E4EB3B" w14:textId="77777777" w:rsidTr="008D2F8E">
        <w:trPr>
          <w:cantSplit/>
        </w:trPr>
        <w:tc>
          <w:tcPr>
            <w:tcW w:w="3544" w:type="dxa"/>
            <w:shd w:val="clear" w:color="auto" w:fill="auto"/>
            <w:noWrap/>
            <w:vAlign w:val="bottom"/>
            <w:hideMark/>
          </w:tcPr>
          <w:p w14:paraId="59B37FE4" w14:textId="77777777" w:rsidR="00AD2DF9" w:rsidRPr="00705F47" w:rsidRDefault="00AD2DF9" w:rsidP="00B76F91">
            <w:pPr>
              <w:pStyle w:val="TableText"/>
              <w:rPr>
                <w:lang w:eastAsia="en-NZ"/>
              </w:rPr>
            </w:pPr>
            <w:r w:rsidRPr="00705F47">
              <w:rPr>
                <w:lang w:eastAsia="en-NZ"/>
              </w:rPr>
              <w:t>Other*</w:t>
            </w:r>
          </w:p>
        </w:tc>
        <w:tc>
          <w:tcPr>
            <w:tcW w:w="2268" w:type="dxa"/>
            <w:shd w:val="clear" w:color="auto" w:fill="auto"/>
            <w:noWrap/>
            <w:vAlign w:val="bottom"/>
            <w:hideMark/>
          </w:tcPr>
          <w:p w14:paraId="563E4304" w14:textId="77777777" w:rsidR="00AD2DF9" w:rsidRPr="00705F47" w:rsidRDefault="00AD2DF9" w:rsidP="00B76F91">
            <w:pPr>
              <w:pStyle w:val="TableText"/>
              <w:tabs>
                <w:tab w:val="decimal" w:pos="1361"/>
              </w:tabs>
              <w:rPr>
                <w:lang w:eastAsia="en-NZ"/>
              </w:rPr>
            </w:pPr>
            <w:r w:rsidRPr="00705F47">
              <w:rPr>
                <w:lang w:eastAsia="en-NZ"/>
              </w:rPr>
              <w:t>20</w:t>
            </w:r>
          </w:p>
        </w:tc>
        <w:tc>
          <w:tcPr>
            <w:tcW w:w="2268" w:type="dxa"/>
            <w:shd w:val="clear" w:color="auto" w:fill="auto"/>
            <w:noWrap/>
            <w:vAlign w:val="bottom"/>
            <w:hideMark/>
          </w:tcPr>
          <w:p w14:paraId="2D9DCD97" w14:textId="77777777" w:rsidR="00AD2DF9" w:rsidRPr="00705F47" w:rsidRDefault="00AD2DF9" w:rsidP="00B76F91">
            <w:pPr>
              <w:pStyle w:val="TableText"/>
              <w:tabs>
                <w:tab w:val="decimal" w:pos="1219"/>
              </w:tabs>
              <w:rPr>
                <w:lang w:eastAsia="en-NZ"/>
              </w:rPr>
            </w:pPr>
            <w:r w:rsidRPr="00705F47">
              <w:rPr>
                <w:lang w:eastAsia="en-NZ"/>
              </w:rPr>
              <w:t>0.1%</w:t>
            </w:r>
          </w:p>
        </w:tc>
      </w:tr>
      <w:tr w:rsidR="00AD2DF9" w:rsidRPr="00705F47" w14:paraId="748CD052" w14:textId="77777777" w:rsidTr="008D2F8E">
        <w:trPr>
          <w:cantSplit/>
        </w:trPr>
        <w:tc>
          <w:tcPr>
            <w:tcW w:w="3544" w:type="dxa"/>
            <w:shd w:val="clear" w:color="auto" w:fill="auto"/>
            <w:noWrap/>
            <w:vAlign w:val="bottom"/>
            <w:hideMark/>
          </w:tcPr>
          <w:p w14:paraId="7E20F3F2" w14:textId="77777777" w:rsidR="00AD2DF9" w:rsidRPr="00705F47" w:rsidRDefault="00AD2DF9" w:rsidP="00B76F91">
            <w:pPr>
              <w:pStyle w:val="TableText"/>
              <w:rPr>
                <w:lang w:eastAsia="en-NZ"/>
              </w:rPr>
            </w:pPr>
            <w:r w:rsidRPr="00705F47">
              <w:rPr>
                <w:lang w:eastAsia="en-NZ"/>
              </w:rPr>
              <w:t>Subdermal implant</w:t>
            </w:r>
          </w:p>
        </w:tc>
        <w:tc>
          <w:tcPr>
            <w:tcW w:w="2268" w:type="dxa"/>
            <w:shd w:val="clear" w:color="auto" w:fill="auto"/>
            <w:noWrap/>
            <w:vAlign w:val="bottom"/>
            <w:hideMark/>
          </w:tcPr>
          <w:p w14:paraId="513B8FFC" w14:textId="77777777" w:rsidR="00AD2DF9" w:rsidRPr="00705F47" w:rsidRDefault="00AD2DF9" w:rsidP="00B76F91">
            <w:pPr>
              <w:pStyle w:val="TableText"/>
              <w:tabs>
                <w:tab w:val="decimal" w:pos="1361"/>
              </w:tabs>
              <w:rPr>
                <w:lang w:eastAsia="en-NZ"/>
              </w:rPr>
            </w:pPr>
            <w:r w:rsidRPr="00705F47">
              <w:rPr>
                <w:lang w:eastAsia="en-NZ"/>
              </w:rPr>
              <w:t>19</w:t>
            </w:r>
          </w:p>
        </w:tc>
        <w:tc>
          <w:tcPr>
            <w:tcW w:w="2268" w:type="dxa"/>
            <w:shd w:val="clear" w:color="auto" w:fill="auto"/>
            <w:noWrap/>
            <w:vAlign w:val="bottom"/>
            <w:hideMark/>
          </w:tcPr>
          <w:p w14:paraId="750FA729" w14:textId="77777777" w:rsidR="00AD2DF9" w:rsidRPr="00705F47" w:rsidRDefault="00AD2DF9" w:rsidP="00B76F91">
            <w:pPr>
              <w:pStyle w:val="TableText"/>
              <w:tabs>
                <w:tab w:val="decimal" w:pos="1219"/>
              </w:tabs>
              <w:rPr>
                <w:lang w:eastAsia="en-NZ"/>
              </w:rPr>
            </w:pPr>
            <w:r w:rsidRPr="00705F47">
              <w:rPr>
                <w:lang w:eastAsia="en-NZ"/>
              </w:rPr>
              <w:t>0.1%</w:t>
            </w:r>
          </w:p>
        </w:tc>
      </w:tr>
    </w:tbl>
    <w:p w14:paraId="5920C084" w14:textId="77777777" w:rsidR="00AD2DF9" w:rsidRDefault="00AD2DF9" w:rsidP="00B76F91">
      <w:pPr>
        <w:pStyle w:val="Note"/>
      </w:pPr>
      <w:r w:rsidRPr="00705F47">
        <w:rPr>
          <w:lang w:eastAsia="en-NZ"/>
        </w:rPr>
        <w:t>Note: 105 of the 13,246 patients were reported to be using more than one contraception type at the time of conception so these</w:t>
      </w:r>
      <w:r w:rsidRPr="00705F47">
        <w:t xml:space="preserve"> patients are counted more than once.</w:t>
      </w:r>
    </w:p>
    <w:p w14:paraId="588662FD" w14:textId="77777777" w:rsidR="00AD2DF9" w:rsidRPr="00705F47" w:rsidRDefault="00AD2DF9" w:rsidP="00B76F91">
      <w:pPr>
        <w:pStyle w:val="Note"/>
        <w:ind w:left="284" w:hanging="284"/>
        <w:rPr>
          <w:lang w:eastAsia="en-NZ"/>
        </w:rPr>
      </w:pPr>
      <w:r w:rsidRPr="00705F47">
        <w:rPr>
          <w:lang w:eastAsia="en-NZ"/>
        </w:rPr>
        <w:t>*</w:t>
      </w:r>
      <w:r w:rsidR="00301720">
        <w:rPr>
          <w:lang w:eastAsia="en-NZ"/>
        </w:rPr>
        <w:tab/>
      </w:r>
      <w:r w:rsidR="000E4CE5">
        <w:rPr>
          <w:lang w:eastAsia="en-NZ"/>
        </w:rPr>
        <w:t>‘</w:t>
      </w:r>
      <w:r w:rsidRPr="00705F47">
        <w:rPr>
          <w:lang w:eastAsia="en-NZ"/>
        </w:rPr>
        <w:t>Other</w:t>
      </w:r>
      <w:r w:rsidR="000E4CE5">
        <w:rPr>
          <w:lang w:eastAsia="en-NZ"/>
        </w:rPr>
        <w:t>’</w:t>
      </w:r>
      <w:r w:rsidRPr="00705F47">
        <w:rPr>
          <w:lang w:eastAsia="en-NZ"/>
        </w:rPr>
        <w:t xml:space="preserve"> category includes other, patient sterilisation and partner sterilisation responses.</w:t>
      </w:r>
    </w:p>
    <w:p w14:paraId="3690785A" w14:textId="77777777" w:rsidR="00301720" w:rsidRDefault="00301720" w:rsidP="00B76F91">
      <w:pPr>
        <w:rPr>
          <w:lang w:eastAsia="en-NZ"/>
        </w:rPr>
      </w:pPr>
      <w:bookmarkStart w:id="121" w:name="_Ref83018588"/>
      <w:bookmarkStart w:id="122" w:name="_Toc83037719"/>
    </w:p>
    <w:p w14:paraId="5F65D282" w14:textId="53DFDA23" w:rsidR="00AD2DF9" w:rsidRPr="00705F47" w:rsidRDefault="00301720" w:rsidP="00301720">
      <w:pPr>
        <w:pStyle w:val="Table"/>
        <w:rPr>
          <w:lang w:eastAsia="en-NZ"/>
        </w:rPr>
      </w:pPr>
      <w:bookmarkStart w:id="123" w:name="_Ref83366883"/>
      <w:bookmarkStart w:id="124" w:name="_Toc83367104"/>
      <w:r>
        <w:t>Table </w:t>
      </w:r>
      <w:r w:rsidR="009E3B78">
        <w:fldChar w:fldCharType="begin"/>
      </w:r>
      <w:r w:rsidR="009E3B78">
        <w:instrText xml:space="preserve"> STYLEREF 2 \s </w:instrText>
      </w:r>
      <w:r w:rsidR="009E3B78">
        <w:fldChar w:fldCharType="separate"/>
      </w:r>
      <w:r w:rsidR="0090485D">
        <w:rPr>
          <w:noProof/>
        </w:rPr>
        <w:t>10</w:t>
      </w:r>
      <w:r w:rsidR="009E3B78">
        <w:rPr>
          <w:noProof/>
        </w:rPr>
        <w:fldChar w:fldCharType="end"/>
      </w:r>
      <w:r>
        <w:t>.</w:t>
      </w:r>
      <w:r w:rsidR="009E3B78">
        <w:fldChar w:fldCharType="begin"/>
      </w:r>
      <w:r w:rsidR="009E3B78">
        <w:instrText xml:space="preserve"> SEQ Table \* ARABIC \s 2 </w:instrText>
      </w:r>
      <w:r w:rsidR="009E3B78">
        <w:fldChar w:fldCharType="separate"/>
      </w:r>
      <w:r w:rsidR="0090485D">
        <w:rPr>
          <w:noProof/>
        </w:rPr>
        <w:t>2</w:t>
      </w:r>
      <w:r w:rsidR="009E3B78">
        <w:rPr>
          <w:noProof/>
        </w:rPr>
        <w:fldChar w:fldCharType="end"/>
      </w:r>
      <w:bookmarkEnd w:id="121"/>
      <w:bookmarkEnd w:id="123"/>
      <w:r w:rsidR="00AD2DF9" w:rsidRPr="00705F47">
        <w:rPr>
          <w:lang w:eastAsia="en-NZ"/>
        </w:rPr>
        <w:t>: Number of abortions by age group and contraception use at time of conception, 2020</w:t>
      </w:r>
      <w:bookmarkEnd w:id="122"/>
      <w:bookmarkEnd w:id="12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043"/>
        <w:gridCol w:w="1359"/>
        <w:gridCol w:w="1843"/>
        <w:gridCol w:w="1417"/>
        <w:gridCol w:w="1418"/>
      </w:tblGrid>
      <w:tr w:rsidR="00AD2DF9" w:rsidRPr="008D2F8E" w14:paraId="1772E9DC" w14:textId="77777777" w:rsidTr="00F34B17">
        <w:trPr>
          <w:cantSplit/>
        </w:trPr>
        <w:tc>
          <w:tcPr>
            <w:tcW w:w="2043" w:type="dxa"/>
            <w:tcBorders>
              <w:top w:val="nil"/>
              <w:bottom w:val="nil"/>
            </w:tcBorders>
            <w:shd w:val="clear" w:color="auto" w:fill="D9D9D9" w:themeFill="background1" w:themeFillShade="D9"/>
            <w:hideMark/>
          </w:tcPr>
          <w:p w14:paraId="6049BFCF" w14:textId="77777777" w:rsidR="00AD2DF9" w:rsidRPr="008D2F8E" w:rsidRDefault="00AD2DF9" w:rsidP="00F34B17">
            <w:pPr>
              <w:pStyle w:val="TableText"/>
              <w:rPr>
                <w:b/>
                <w:lang w:eastAsia="en-NZ"/>
              </w:rPr>
            </w:pPr>
            <w:r w:rsidRPr="008D2F8E">
              <w:rPr>
                <w:b/>
                <w:lang w:eastAsia="en-NZ"/>
              </w:rPr>
              <w:t>Age group (years)</w:t>
            </w:r>
          </w:p>
        </w:tc>
        <w:tc>
          <w:tcPr>
            <w:tcW w:w="1359" w:type="dxa"/>
            <w:tcBorders>
              <w:top w:val="nil"/>
              <w:bottom w:val="nil"/>
            </w:tcBorders>
            <w:shd w:val="clear" w:color="auto" w:fill="D9D9D9" w:themeFill="background1" w:themeFillShade="D9"/>
            <w:hideMark/>
          </w:tcPr>
          <w:p w14:paraId="08504856" w14:textId="77777777" w:rsidR="00AD2DF9" w:rsidRPr="008D2F8E" w:rsidRDefault="00AD2DF9" w:rsidP="00F34B17">
            <w:pPr>
              <w:pStyle w:val="TableText"/>
              <w:jc w:val="center"/>
              <w:rPr>
                <w:b/>
                <w:lang w:eastAsia="en-NZ"/>
              </w:rPr>
            </w:pPr>
            <w:r w:rsidRPr="008D2F8E">
              <w:rPr>
                <w:b/>
                <w:lang w:eastAsia="en-NZ"/>
              </w:rPr>
              <w:t>Total</w:t>
            </w:r>
          </w:p>
        </w:tc>
        <w:tc>
          <w:tcPr>
            <w:tcW w:w="1843" w:type="dxa"/>
            <w:tcBorders>
              <w:top w:val="nil"/>
              <w:bottom w:val="nil"/>
            </w:tcBorders>
            <w:shd w:val="clear" w:color="auto" w:fill="D9D9D9" w:themeFill="background1" w:themeFillShade="D9"/>
            <w:hideMark/>
          </w:tcPr>
          <w:p w14:paraId="0AF3C072" w14:textId="77777777" w:rsidR="00AD2DF9" w:rsidRPr="008D2F8E" w:rsidRDefault="00AD2DF9" w:rsidP="00F34B17">
            <w:pPr>
              <w:pStyle w:val="TableText"/>
              <w:jc w:val="center"/>
              <w:rPr>
                <w:b/>
                <w:lang w:eastAsia="en-NZ"/>
              </w:rPr>
            </w:pPr>
            <w:r w:rsidRPr="008D2F8E">
              <w:rPr>
                <w:b/>
                <w:lang w:eastAsia="en-NZ"/>
              </w:rPr>
              <w:t>No contraception used</w:t>
            </w:r>
          </w:p>
        </w:tc>
        <w:tc>
          <w:tcPr>
            <w:tcW w:w="1417" w:type="dxa"/>
            <w:tcBorders>
              <w:top w:val="nil"/>
              <w:bottom w:val="nil"/>
            </w:tcBorders>
            <w:shd w:val="clear" w:color="auto" w:fill="D9D9D9" w:themeFill="background1" w:themeFillShade="D9"/>
            <w:hideMark/>
          </w:tcPr>
          <w:p w14:paraId="442A878B" w14:textId="77777777" w:rsidR="00AD2DF9" w:rsidRPr="008D2F8E" w:rsidRDefault="00AD2DF9" w:rsidP="00F34B17">
            <w:pPr>
              <w:pStyle w:val="TableText"/>
              <w:jc w:val="center"/>
              <w:rPr>
                <w:b/>
                <w:lang w:eastAsia="en-NZ"/>
              </w:rPr>
            </w:pPr>
            <w:r w:rsidRPr="008D2F8E">
              <w:rPr>
                <w:b/>
                <w:lang w:eastAsia="en-NZ"/>
              </w:rPr>
              <w:t>Contraception used</w:t>
            </w:r>
          </w:p>
        </w:tc>
        <w:tc>
          <w:tcPr>
            <w:tcW w:w="1418" w:type="dxa"/>
            <w:tcBorders>
              <w:top w:val="nil"/>
              <w:bottom w:val="nil"/>
            </w:tcBorders>
            <w:shd w:val="clear" w:color="auto" w:fill="D9D9D9" w:themeFill="background1" w:themeFillShade="D9"/>
            <w:noWrap/>
            <w:hideMark/>
          </w:tcPr>
          <w:p w14:paraId="2E9EA6D4" w14:textId="77777777" w:rsidR="00AD2DF9" w:rsidRPr="008D2F8E" w:rsidRDefault="00AD2DF9" w:rsidP="00F34B17">
            <w:pPr>
              <w:pStyle w:val="TableText"/>
              <w:jc w:val="center"/>
              <w:rPr>
                <w:b/>
                <w:lang w:eastAsia="en-NZ"/>
              </w:rPr>
            </w:pPr>
            <w:r w:rsidRPr="008D2F8E">
              <w:rPr>
                <w:b/>
                <w:lang w:eastAsia="en-NZ"/>
              </w:rPr>
              <w:t>Unknown</w:t>
            </w:r>
          </w:p>
        </w:tc>
      </w:tr>
      <w:tr w:rsidR="00AD2DF9" w:rsidRPr="008D2F8E" w14:paraId="2D071375" w14:textId="77777777" w:rsidTr="00F34B17">
        <w:trPr>
          <w:cantSplit/>
        </w:trPr>
        <w:tc>
          <w:tcPr>
            <w:tcW w:w="2043" w:type="dxa"/>
            <w:tcBorders>
              <w:top w:val="nil"/>
            </w:tcBorders>
            <w:shd w:val="clear" w:color="auto" w:fill="auto"/>
            <w:hideMark/>
          </w:tcPr>
          <w:p w14:paraId="2E826468" w14:textId="77777777" w:rsidR="00AD2DF9" w:rsidRPr="008D2F8E" w:rsidRDefault="00AD2DF9" w:rsidP="00F34B17">
            <w:pPr>
              <w:pStyle w:val="TableText"/>
              <w:rPr>
                <w:b/>
                <w:bCs/>
                <w:lang w:eastAsia="en-NZ"/>
              </w:rPr>
            </w:pPr>
            <w:r w:rsidRPr="008D2F8E">
              <w:rPr>
                <w:b/>
                <w:bCs/>
                <w:lang w:eastAsia="en-NZ"/>
              </w:rPr>
              <w:t>All ages</w:t>
            </w:r>
          </w:p>
        </w:tc>
        <w:tc>
          <w:tcPr>
            <w:tcW w:w="1359" w:type="dxa"/>
            <w:tcBorders>
              <w:top w:val="nil"/>
            </w:tcBorders>
            <w:shd w:val="clear" w:color="auto" w:fill="auto"/>
            <w:hideMark/>
          </w:tcPr>
          <w:p w14:paraId="5B52A832" w14:textId="77777777" w:rsidR="00AD2DF9" w:rsidRPr="008D2F8E" w:rsidRDefault="00AD2DF9" w:rsidP="00F34B17">
            <w:pPr>
              <w:pStyle w:val="TableText"/>
              <w:tabs>
                <w:tab w:val="decimal" w:pos="877"/>
              </w:tabs>
              <w:rPr>
                <w:b/>
                <w:bCs/>
                <w:lang w:eastAsia="en-NZ"/>
              </w:rPr>
            </w:pPr>
            <w:r w:rsidRPr="008D2F8E">
              <w:rPr>
                <w:b/>
                <w:bCs/>
                <w:lang w:eastAsia="en-NZ"/>
              </w:rPr>
              <w:t>13,246</w:t>
            </w:r>
          </w:p>
        </w:tc>
        <w:tc>
          <w:tcPr>
            <w:tcW w:w="1843" w:type="dxa"/>
            <w:tcBorders>
              <w:top w:val="nil"/>
            </w:tcBorders>
            <w:shd w:val="clear" w:color="auto" w:fill="auto"/>
            <w:hideMark/>
          </w:tcPr>
          <w:p w14:paraId="0D0B6BC5" w14:textId="77777777" w:rsidR="00AD2DF9" w:rsidRPr="008D2F8E" w:rsidRDefault="00AD2DF9" w:rsidP="00F34B17">
            <w:pPr>
              <w:pStyle w:val="TableText"/>
              <w:tabs>
                <w:tab w:val="decimal" w:pos="1110"/>
              </w:tabs>
              <w:rPr>
                <w:b/>
                <w:bCs/>
                <w:lang w:eastAsia="en-NZ"/>
              </w:rPr>
            </w:pPr>
            <w:r w:rsidRPr="008D2F8E">
              <w:rPr>
                <w:b/>
                <w:bCs/>
                <w:lang w:eastAsia="en-NZ"/>
              </w:rPr>
              <w:t>8,645</w:t>
            </w:r>
          </w:p>
        </w:tc>
        <w:tc>
          <w:tcPr>
            <w:tcW w:w="1417" w:type="dxa"/>
            <w:tcBorders>
              <w:top w:val="nil"/>
            </w:tcBorders>
            <w:shd w:val="clear" w:color="auto" w:fill="auto"/>
            <w:hideMark/>
          </w:tcPr>
          <w:p w14:paraId="0A3223BC" w14:textId="77777777" w:rsidR="00AD2DF9" w:rsidRPr="008D2F8E" w:rsidRDefault="00AD2DF9" w:rsidP="00F34B17">
            <w:pPr>
              <w:pStyle w:val="TableText"/>
              <w:tabs>
                <w:tab w:val="decimal" w:pos="890"/>
              </w:tabs>
              <w:rPr>
                <w:b/>
                <w:bCs/>
                <w:lang w:eastAsia="en-NZ"/>
              </w:rPr>
            </w:pPr>
            <w:r w:rsidRPr="008D2F8E">
              <w:rPr>
                <w:b/>
                <w:bCs/>
                <w:lang w:eastAsia="en-NZ"/>
              </w:rPr>
              <w:t>4,598</w:t>
            </w:r>
          </w:p>
        </w:tc>
        <w:tc>
          <w:tcPr>
            <w:tcW w:w="1418" w:type="dxa"/>
            <w:tcBorders>
              <w:top w:val="nil"/>
            </w:tcBorders>
            <w:shd w:val="clear" w:color="auto" w:fill="auto"/>
            <w:hideMark/>
          </w:tcPr>
          <w:p w14:paraId="40919B7E" w14:textId="77777777" w:rsidR="00AD2DF9" w:rsidRPr="008D2F8E" w:rsidRDefault="00AD2DF9" w:rsidP="00F34B17">
            <w:pPr>
              <w:pStyle w:val="TableText"/>
              <w:jc w:val="center"/>
              <w:rPr>
                <w:b/>
                <w:bCs/>
                <w:lang w:eastAsia="en-NZ"/>
              </w:rPr>
            </w:pPr>
            <w:r w:rsidRPr="008D2F8E">
              <w:rPr>
                <w:b/>
                <w:bCs/>
                <w:lang w:eastAsia="en-NZ"/>
              </w:rPr>
              <w:t>3</w:t>
            </w:r>
          </w:p>
        </w:tc>
      </w:tr>
      <w:tr w:rsidR="00AD2DF9" w:rsidRPr="00705F47" w14:paraId="254433CE" w14:textId="77777777" w:rsidTr="00F34B17">
        <w:trPr>
          <w:cantSplit/>
        </w:trPr>
        <w:tc>
          <w:tcPr>
            <w:tcW w:w="2043" w:type="dxa"/>
            <w:shd w:val="clear" w:color="auto" w:fill="auto"/>
            <w:hideMark/>
          </w:tcPr>
          <w:p w14:paraId="03822B73" w14:textId="77777777" w:rsidR="00AD2DF9" w:rsidRPr="00705F47" w:rsidRDefault="00AD2DF9" w:rsidP="00F34B17">
            <w:pPr>
              <w:pStyle w:val="TableText"/>
              <w:rPr>
                <w:lang w:eastAsia="en-NZ"/>
              </w:rPr>
            </w:pPr>
            <w:r w:rsidRPr="00705F47">
              <w:rPr>
                <w:lang w:eastAsia="en-NZ"/>
              </w:rPr>
              <w:t>Under 20</w:t>
            </w:r>
          </w:p>
        </w:tc>
        <w:tc>
          <w:tcPr>
            <w:tcW w:w="1359" w:type="dxa"/>
            <w:shd w:val="clear" w:color="auto" w:fill="auto"/>
            <w:noWrap/>
            <w:hideMark/>
          </w:tcPr>
          <w:p w14:paraId="33C99A3E" w14:textId="77777777" w:rsidR="00AD2DF9" w:rsidRPr="00705F47" w:rsidRDefault="00AD2DF9" w:rsidP="00F34B17">
            <w:pPr>
              <w:pStyle w:val="TableText"/>
              <w:tabs>
                <w:tab w:val="decimal" w:pos="877"/>
              </w:tabs>
              <w:rPr>
                <w:lang w:eastAsia="en-NZ"/>
              </w:rPr>
            </w:pPr>
            <w:r w:rsidRPr="00705F47">
              <w:rPr>
                <w:lang w:eastAsia="en-NZ"/>
              </w:rPr>
              <w:t>1,253</w:t>
            </w:r>
          </w:p>
        </w:tc>
        <w:tc>
          <w:tcPr>
            <w:tcW w:w="1843" w:type="dxa"/>
            <w:shd w:val="clear" w:color="auto" w:fill="auto"/>
            <w:noWrap/>
            <w:hideMark/>
          </w:tcPr>
          <w:p w14:paraId="582F1098" w14:textId="77777777" w:rsidR="00AD2DF9" w:rsidRPr="00705F47" w:rsidRDefault="00AD2DF9" w:rsidP="00F34B17">
            <w:pPr>
              <w:pStyle w:val="TableText"/>
              <w:tabs>
                <w:tab w:val="decimal" w:pos="1110"/>
              </w:tabs>
              <w:rPr>
                <w:lang w:eastAsia="en-NZ"/>
              </w:rPr>
            </w:pPr>
            <w:r w:rsidRPr="00705F47">
              <w:rPr>
                <w:lang w:eastAsia="en-NZ"/>
              </w:rPr>
              <w:t>850</w:t>
            </w:r>
          </w:p>
        </w:tc>
        <w:tc>
          <w:tcPr>
            <w:tcW w:w="1417" w:type="dxa"/>
            <w:shd w:val="clear" w:color="auto" w:fill="auto"/>
            <w:noWrap/>
            <w:hideMark/>
          </w:tcPr>
          <w:p w14:paraId="209C696B" w14:textId="77777777" w:rsidR="00AD2DF9" w:rsidRPr="00705F47" w:rsidRDefault="00AD2DF9" w:rsidP="00F34B17">
            <w:pPr>
              <w:pStyle w:val="TableText"/>
              <w:tabs>
                <w:tab w:val="decimal" w:pos="890"/>
              </w:tabs>
              <w:rPr>
                <w:lang w:eastAsia="en-NZ"/>
              </w:rPr>
            </w:pPr>
            <w:r w:rsidRPr="00705F47">
              <w:rPr>
                <w:lang w:eastAsia="en-NZ"/>
              </w:rPr>
              <w:t>403</w:t>
            </w:r>
          </w:p>
        </w:tc>
        <w:tc>
          <w:tcPr>
            <w:tcW w:w="1418" w:type="dxa"/>
            <w:shd w:val="clear" w:color="auto" w:fill="auto"/>
            <w:noWrap/>
            <w:hideMark/>
          </w:tcPr>
          <w:p w14:paraId="2B84EB50" w14:textId="77777777" w:rsidR="00AD2DF9" w:rsidRPr="00705F47" w:rsidRDefault="00AD2DF9" w:rsidP="00F34B17">
            <w:pPr>
              <w:pStyle w:val="TableText"/>
              <w:jc w:val="center"/>
              <w:rPr>
                <w:lang w:eastAsia="en-NZ"/>
              </w:rPr>
            </w:pPr>
            <w:r w:rsidRPr="00705F47">
              <w:rPr>
                <w:lang w:eastAsia="en-NZ"/>
              </w:rPr>
              <w:t>0</w:t>
            </w:r>
          </w:p>
        </w:tc>
      </w:tr>
      <w:tr w:rsidR="00AD2DF9" w:rsidRPr="00705F47" w14:paraId="5A05F77A" w14:textId="77777777" w:rsidTr="00F34B17">
        <w:trPr>
          <w:cantSplit/>
        </w:trPr>
        <w:tc>
          <w:tcPr>
            <w:tcW w:w="2043" w:type="dxa"/>
            <w:shd w:val="clear" w:color="auto" w:fill="auto"/>
            <w:hideMark/>
          </w:tcPr>
          <w:p w14:paraId="44843436" w14:textId="77777777" w:rsidR="00AD2DF9" w:rsidRPr="00705F47" w:rsidRDefault="00AD2DF9" w:rsidP="00F34B17">
            <w:pPr>
              <w:pStyle w:val="TableText"/>
              <w:rPr>
                <w:lang w:eastAsia="en-NZ"/>
              </w:rPr>
            </w:pPr>
            <w:r w:rsidRPr="00705F47">
              <w:rPr>
                <w:lang w:eastAsia="en-NZ"/>
              </w:rPr>
              <w:t>20–24</w:t>
            </w:r>
          </w:p>
        </w:tc>
        <w:tc>
          <w:tcPr>
            <w:tcW w:w="1359" w:type="dxa"/>
            <w:shd w:val="clear" w:color="auto" w:fill="auto"/>
            <w:noWrap/>
            <w:hideMark/>
          </w:tcPr>
          <w:p w14:paraId="1ED3D54F" w14:textId="77777777" w:rsidR="00AD2DF9" w:rsidRPr="00705F47" w:rsidRDefault="00AD2DF9" w:rsidP="00F34B17">
            <w:pPr>
              <w:pStyle w:val="TableText"/>
              <w:tabs>
                <w:tab w:val="decimal" w:pos="877"/>
              </w:tabs>
              <w:rPr>
                <w:lang w:eastAsia="en-NZ"/>
              </w:rPr>
            </w:pPr>
            <w:r w:rsidRPr="00705F47">
              <w:rPr>
                <w:lang w:eastAsia="en-NZ"/>
              </w:rPr>
              <w:t>3,204</w:t>
            </w:r>
          </w:p>
        </w:tc>
        <w:tc>
          <w:tcPr>
            <w:tcW w:w="1843" w:type="dxa"/>
            <w:shd w:val="clear" w:color="auto" w:fill="auto"/>
            <w:noWrap/>
            <w:hideMark/>
          </w:tcPr>
          <w:p w14:paraId="3FAAFB6F" w14:textId="77777777" w:rsidR="00AD2DF9" w:rsidRPr="00705F47" w:rsidRDefault="00AD2DF9" w:rsidP="00F34B17">
            <w:pPr>
              <w:pStyle w:val="TableText"/>
              <w:tabs>
                <w:tab w:val="decimal" w:pos="1110"/>
              </w:tabs>
              <w:rPr>
                <w:lang w:eastAsia="en-NZ"/>
              </w:rPr>
            </w:pPr>
            <w:r w:rsidRPr="00705F47">
              <w:rPr>
                <w:lang w:eastAsia="en-NZ"/>
              </w:rPr>
              <w:t>2,110</w:t>
            </w:r>
          </w:p>
        </w:tc>
        <w:tc>
          <w:tcPr>
            <w:tcW w:w="1417" w:type="dxa"/>
            <w:shd w:val="clear" w:color="auto" w:fill="auto"/>
            <w:noWrap/>
            <w:hideMark/>
          </w:tcPr>
          <w:p w14:paraId="1D7CB2F5" w14:textId="77777777" w:rsidR="00AD2DF9" w:rsidRPr="00705F47" w:rsidRDefault="00AD2DF9" w:rsidP="00F34B17">
            <w:pPr>
              <w:pStyle w:val="TableText"/>
              <w:tabs>
                <w:tab w:val="decimal" w:pos="890"/>
              </w:tabs>
              <w:rPr>
                <w:lang w:eastAsia="en-NZ"/>
              </w:rPr>
            </w:pPr>
            <w:r w:rsidRPr="00705F47">
              <w:rPr>
                <w:lang w:eastAsia="en-NZ"/>
              </w:rPr>
              <w:t>1,094</w:t>
            </w:r>
          </w:p>
        </w:tc>
        <w:tc>
          <w:tcPr>
            <w:tcW w:w="1418" w:type="dxa"/>
            <w:shd w:val="clear" w:color="auto" w:fill="auto"/>
            <w:noWrap/>
            <w:hideMark/>
          </w:tcPr>
          <w:p w14:paraId="53EA2E7B" w14:textId="77777777" w:rsidR="00AD2DF9" w:rsidRPr="00705F47" w:rsidRDefault="00AD2DF9" w:rsidP="00F34B17">
            <w:pPr>
              <w:pStyle w:val="TableText"/>
              <w:jc w:val="center"/>
              <w:rPr>
                <w:lang w:eastAsia="en-NZ"/>
              </w:rPr>
            </w:pPr>
            <w:r w:rsidRPr="00705F47">
              <w:rPr>
                <w:lang w:eastAsia="en-NZ"/>
              </w:rPr>
              <w:t>0</w:t>
            </w:r>
          </w:p>
        </w:tc>
      </w:tr>
      <w:tr w:rsidR="00AD2DF9" w:rsidRPr="00705F47" w14:paraId="03C20899" w14:textId="77777777" w:rsidTr="00F34B17">
        <w:trPr>
          <w:cantSplit/>
        </w:trPr>
        <w:tc>
          <w:tcPr>
            <w:tcW w:w="2043" w:type="dxa"/>
            <w:shd w:val="clear" w:color="auto" w:fill="auto"/>
            <w:hideMark/>
          </w:tcPr>
          <w:p w14:paraId="31F3F882" w14:textId="77777777" w:rsidR="00AD2DF9" w:rsidRPr="00705F47" w:rsidRDefault="00AD2DF9" w:rsidP="00F34B17">
            <w:pPr>
              <w:pStyle w:val="TableText"/>
              <w:rPr>
                <w:lang w:eastAsia="en-NZ"/>
              </w:rPr>
            </w:pPr>
            <w:r w:rsidRPr="00705F47">
              <w:rPr>
                <w:lang w:eastAsia="en-NZ"/>
              </w:rPr>
              <w:t>25–29</w:t>
            </w:r>
          </w:p>
        </w:tc>
        <w:tc>
          <w:tcPr>
            <w:tcW w:w="1359" w:type="dxa"/>
            <w:shd w:val="clear" w:color="auto" w:fill="auto"/>
            <w:noWrap/>
            <w:hideMark/>
          </w:tcPr>
          <w:p w14:paraId="7791705C" w14:textId="77777777" w:rsidR="00AD2DF9" w:rsidRPr="00705F47" w:rsidRDefault="00AD2DF9" w:rsidP="00F34B17">
            <w:pPr>
              <w:pStyle w:val="TableText"/>
              <w:tabs>
                <w:tab w:val="decimal" w:pos="877"/>
              </w:tabs>
              <w:rPr>
                <w:lang w:eastAsia="en-NZ"/>
              </w:rPr>
            </w:pPr>
            <w:r w:rsidRPr="00705F47">
              <w:rPr>
                <w:lang w:eastAsia="en-NZ"/>
              </w:rPr>
              <w:t>3,488</w:t>
            </w:r>
          </w:p>
        </w:tc>
        <w:tc>
          <w:tcPr>
            <w:tcW w:w="1843" w:type="dxa"/>
            <w:shd w:val="clear" w:color="auto" w:fill="auto"/>
            <w:noWrap/>
            <w:hideMark/>
          </w:tcPr>
          <w:p w14:paraId="21907129" w14:textId="77777777" w:rsidR="00AD2DF9" w:rsidRPr="00705F47" w:rsidRDefault="00AD2DF9" w:rsidP="00F34B17">
            <w:pPr>
              <w:pStyle w:val="TableText"/>
              <w:tabs>
                <w:tab w:val="decimal" w:pos="1110"/>
              </w:tabs>
              <w:rPr>
                <w:lang w:eastAsia="en-NZ"/>
              </w:rPr>
            </w:pPr>
            <w:r w:rsidRPr="00705F47">
              <w:rPr>
                <w:lang w:eastAsia="en-NZ"/>
              </w:rPr>
              <w:t>2,224</w:t>
            </w:r>
          </w:p>
        </w:tc>
        <w:tc>
          <w:tcPr>
            <w:tcW w:w="1417" w:type="dxa"/>
            <w:shd w:val="clear" w:color="auto" w:fill="auto"/>
            <w:noWrap/>
            <w:hideMark/>
          </w:tcPr>
          <w:p w14:paraId="3D51EF90" w14:textId="77777777" w:rsidR="00AD2DF9" w:rsidRPr="00705F47" w:rsidRDefault="00AD2DF9" w:rsidP="00F34B17">
            <w:pPr>
              <w:pStyle w:val="TableText"/>
              <w:tabs>
                <w:tab w:val="decimal" w:pos="890"/>
              </w:tabs>
              <w:rPr>
                <w:lang w:eastAsia="en-NZ"/>
              </w:rPr>
            </w:pPr>
            <w:r w:rsidRPr="00705F47">
              <w:rPr>
                <w:lang w:eastAsia="en-NZ"/>
              </w:rPr>
              <w:t>1,264</w:t>
            </w:r>
          </w:p>
        </w:tc>
        <w:tc>
          <w:tcPr>
            <w:tcW w:w="1418" w:type="dxa"/>
            <w:shd w:val="clear" w:color="auto" w:fill="auto"/>
            <w:noWrap/>
            <w:hideMark/>
          </w:tcPr>
          <w:p w14:paraId="0B602D99" w14:textId="77777777" w:rsidR="00AD2DF9" w:rsidRPr="00705F47" w:rsidRDefault="00AD2DF9" w:rsidP="00F34B17">
            <w:pPr>
              <w:pStyle w:val="TableText"/>
              <w:jc w:val="center"/>
              <w:rPr>
                <w:lang w:eastAsia="en-NZ"/>
              </w:rPr>
            </w:pPr>
            <w:r w:rsidRPr="00705F47">
              <w:rPr>
                <w:lang w:eastAsia="en-NZ"/>
              </w:rPr>
              <w:t>0</w:t>
            </w:r>
          </w:p>
        </w:tc>
      </w:tr>
      <w:tr w:rsidR="00AD2DF9" w:rsidRPr="00705F47" w14:paraId="2502159C" w14:textId="77777777" w:rsidTr="00F34B17">
        <w:trPr>
          <w:cantSplit/>
        </w:trPr>
        <w:tc>
          <w:tcPr>
            <w:tcW w:w="2043" w:type="dxa"/>
            <w:shd w:val="clear" w:color="auto" w:fill="auto"/>
            <w:hideMark/>
          </w:tcPr>
          <w:p w14:paraId="45D08A08" w14:textId="77777777" w:rsidR="00AD2DF9" w:rsidRPr="00705F47" w:rsidRDefault="00AD2DF9" w:rsidP="00F34B17">
            <w:pPr>
              <w:pStyle w:val="TableText"/>
              <w:rPr>
                <w:lang w:eastAsia="en-NZ"/>
              </w:rPr>
            </w:pPr>
            <w:r w:rsidRPr="00705F47">
              <w:rPr>
                <w:lang w:eastAsia="en-NZ"/>
              </w:rPr>
              <w:t>30–34</w:t>
            </w:r>
          </w:p>
        </w:tc>
        <w:tc>
          <w:tcPr>
            <w:tcW w:w="1359" w:type="dxa"/>
            <w:shd w:val="clear" w:color="auto" w:fill="auto"/>
            <w:noWrap/>
            <w:hideMark/>
          </w:tcPr>
          <w:p w14:paraId="6C4C3470" w14:textId="77777777" w:rsidR="00AD2DF9" w:rsidRPr="00705F47" w:rsidRDefault="00AD2DF9" w:rsidP="00F34B17">
            <w:pPr>
              <w:pStyle w:val="TableText"/>
              <w:tabs>
                <w:tab w:val="decimal" w:pos="877"/>
              </w:tabs>
              <w:rPr>
                <w:lang w:eastAsia="en-NZ"/>
              </w:rPr>
            </w:pPr>
            <w:r w:rsidRPr="00705F47">
              <w:rPr>
                <w:lang w:eastAsia="en-NZ"/>
              </w:rPr>
              <w:t>2,795</w:t>
            </w:r>
          </w:p>
        </w:tc>
        <w:tc>
          <w:tcPr>
            <w:tcW w:w="1843" w:type="dxa"/>
            <w:shd w:val="clear" w:color="auto" w:fill="auto"/>
            <w:noWrap/>
            <w:hideMark/>
          </w:tcPr>
          <w:p w14:paraId="42849D3B" w14:textId="77777777" w:rsidR="00AD2DF9" w:rsidRPr="00705F47" w:rsidRDefault="00AD2DF9" w:rsidP="00F34B17">
            <w:pPr>
              <w:pStyle w:val="TableText"/>
              <w:tabs>
                <w:tab w:val="decimal" w:pos="1110"/>
              </w:tabs>
              <w:rPr>
                <w:lang w:eastAsia="en-NZ"/>
              </w:rPr>
            </w:pPr>
            <w:r w:rsidRPr="00705F47">
              <w:rPr>
                <w:lang w:eastAsia="en-NZ"/>
              </w:rPr>
              <w:t>1,818</w:t>
            </w:r>
          </w:p>
        </w:tc>
        <w:tc>
          <w:tcPr>
            <w:tcW w:w="1417" w:type="dxa"/>
            <w:shd w:val="clear" w:color="auto" w:fill="auto"/>
            <w:noWrap/>
            <w:hideMark/>
          </w:tcPr>
          <w:p w14:paraId="7490B3AD" w14:textId="77777777" w:rsidR="00AD2DF9" w:rsidRPr="00705F47" w:rsidRDefault="00AD2DF9" w:rsidP="00F34B17">
            <w:pPr>
              <w:pStyle w:val="TableText"/>
              <w:tabs>
                <w:tab w:val="decimal" w:pos="890"/>
              </w:tabs>
              <w:rPr>
                <w:lang w:eastAsia="en-NZ"/>
              </w:rPr>
            </w:pPr>
            <w:r w:rsidRPr="00705F47">
              <w:rPr>
                <w:lang w:eastAsia="en-NZ"/>
              </w:rPr>
              <w:t>977</w:t>
            </w:r>
          </w:p>
        </w:tc>
        <w:tc>
          <w:tcPr>
            <w:tcW w:w="1418" w:type="dxa"/>
            <w:shd w:val="clear" w:color="auto" w:fill="auto"/>
            <w:noWrap/>
            <w:hideMark/>
          </w:tcPr>
          <w:p w14:paraId="6E49EC7B" w14:textId="77777777" w:rsidR="00AD2DF9" w:rsidRPr="00705F47" w:rsidRDefault="00AD2DF9" w:rsidP="00F34B17">
            <w:pPr>
              <w:pStyle w:val="TableText"/>
              <w:jc w:val="center"/>
              <w:rPr>
                <w:lang w:eastAsia="en-NZ"/>
              </w:rPr>
            </w:pPr>
            <w:r w:rsidRPr="00705F47">
              <w:rPr>
                <w:lang w:eastAsia="en-NZ"/>
              </w:rPr>
              <w:t>0</w:t>
            </w:r>
          </w:p>
        </w:tc>
      </w:tr>
      <w:tr w:rsidR="00AD2DF9" w:rsidRPr="00705F47" w14:paraId="7531BF87" w14:textId="77777777" w:rsidTr="00F34B17">
        <w:trPr>
          <w:cantSplit/>
        </w:trPr>
        <w:tc>
          <w:tcPr>
            <w:tcW w:w="2043" w:type="dxa"/>
            <w:shd w:val="clear" w:color="auto" w:fill="auto"/>
            <w:hideMark/>
          </w:tcPr>
          <w:p w14:paraId="5C03BCF0" w14:textId="77777777" w:rsidR="00AD2DF9" w:rsidRPr="00705F47" w:rsidRDefault="00AD2DF9" w:rsidP="00F34B17">
            <w:pPr>
              <w:pStyle w:val="TableText"/>
              <w:rPr>
                <w:lang w:eastAsia="en-NZ"/>
              </w:rPr>
            </w:pPr>
            <w:r w:rsidRPr="00705F47">
              <w:rPr>
                <w:lang w:eastAsia="en-NZ"/>
              </w:rPr>
              <w:t>35–39</w:t>
            </w:r>
          </w:p>
        </w:tc>
        <w:tc>
          <w:tcPr>
            <w:tcW w:w="1359" w:type="dxa"/>
            <w:shd w:val="clear" w:color="auto" w:fill="auto"/>
            <w:noWrap/>
            <w:hideMark/>
          </w:tcPr>
          <w:p w14:paraId="16743708" w14:textId="77777777" w:rsidR="00AD2DF9" w:rsidRPr="00705F47" w:rsidRDefault="00AD2DF9" w:rsidP="00F34B17">
            <w:pPr>
              <w:pStyle w:val="TableText"/>
              <w:tabs>
                <w:tab w:val="decimal" w:pos="877"/>
              </w:tabs>
              <w:rPr>
                <w:lang w:eastAsia="en-NZ"/>
              </w:rPr>
            </w:pPr>
            <w:r w:rsidRPr="00705F47">
              <w:rPr>
                <w:lang w:eastAsia="en-NZ"/>
              </w:rPr>
              <w:t>1,784</w:t>
            </w:r>
          </w:p>
        </w:tc>
        <w:tc>
          <w:tcPr>
            <w:tcW w:w="1843" w:type="dxa"/>
            <w:shd w:val="clear" w:color="auto" w:fill="auto"/>
            <w:noWrap/>
            <w:hideMark/>
          </w:tcPr>
          <w:p w14:paraId="036FDA58" w14:textId="77777777" w:rsidR="00AD2DF9" w:rsidRPr="00705F47" w:rsidRDefault="00AD2DF9" w:rsidP="00F34B17">
            <w:pPr>
              <w:pStyle w:val="TableText"/>
              <w:tabs>
                <w:tab w:val="decimal" w:pos="1110"/>
              </w:tabs>
              <w:rPr>
                <w:lang w:eastAsia="en-NZ"/>
              </w:rPr>
            </w:pPr>
            <w:r w:rsidRPr="00705F47">
              <w:rPr>
                <w:lang w:eastAsia="en-NZ"/>
              </w:rPr>
              <w:t>1,164</w:t>
            </w:r>
          </w:p>
        </w:tc>
        <w:tc>
          <w:tcPr>
            <w:tcW w:w="1417" w:type="dxa"/>
            <w:shd w:val="clear" w:color="auto" w:fill="auto"/>
            <w:noWrap/>
            <w:hideMark/>
          </w:tcPr>
          <w:p w14:paraId="75180A6D" w14:textId="77777777" w:rsidR="00AD2DF9" w:rsidRPr="00705F47" w:rsidRDefault="00AD2DF9" w:rsidP="00F34B17">
            <w:pPr>
              <w:pStyle w:val="TableText"/>
              <w:tabs>
                <w:tab w:val="decimal" w:pos="890"/>
              </w:tabs>
              <w:rPr>
                <w:lang w:eastAsia="en-NZ"/>
              </w:rPr>
            </w:pPr>
            <w:r w:rsidRPr="00705F47">
              <w:rPr>
                <w:lang w:eastAsia="en-NZ"/>
              </w:rPr>
              <w:t>620</w:t>
            </w:r>
          </w:p>
        </w:tc>
        <w:tc>
          <w:tcPr>
            <w:tcW w:w="1418" w:type="dxa"/>
            <w:shd w:val="clear" w:color="auto" w:fill="auto"/>
            <w:noWrap/>
            <w:hideMark/>
          </w:tcPr>
          <w:p w14:paraId="3654FB19" w14:textId="77777777" w:rsidR="00AD2DF9" w:rsidRPr="00705F47" w:rsidRDefault="00AD2DF9" w:rsidP="00F34B17">
            <w:pPr>
              <w:pStyle w:val="TableText"/>
              <w:jc w:val="center"/>
              <w:rPr>
                <w:lang w:eastAsia="en-NZ"/>
              </w:rPr>
            </w:pPr>
            <w:r w:rsidRPr="00705F47">
              <w:rPr>
                <w:lang w:eastAsia="en-NZ"/>
              </w:rPr>
              <w:t>0</w:t>
            </w:r>
          </w:p>
        </w:tc>
      </w:tr>
      <w:tr w:rsidR="00AD2DF9" w:rsidRPr="00705F47" w14:paraId="31E8EBBB" w14:textId="77777777" w:rsidTr="00F34B17">
        <w:trPr>
          <w:cantSplit/>
        </w:trPr>
        <w:tc>
          <w:tcPr>
            <w:tcW w:w="2043" w:type="dxa"/>
            <w:shd w:val="clear" w:color="auto" w:fill="auto"/>
            <w:hideMark/>
          </w:tcPr>
          <w:p w14:paraId="108D88E5" w14:textId="77777777" w:rsidR="00AD2DF9" w:rsidRPr="00705F47" w:rsidRDefault="00AD2DF9" w:rsidP="00F34B17">
            <w:pPr>
              <w:pStyle w:val="TableText"/>
              <w:rPr>
                <w:lang w:eastAsia="en-NZ"/>
              </w:rPr>
            </w:pPr>
            <w:r w:rsidRPr="00705F47">
              <w:rPr>
                <w:lang w:eastAsia="en-NZ"/>
              </w:rPr>
              <w:t>40 and over</w:t>
            </w:r>
          </w:p>
        </w:tc>
        <w:tc>
          <w:tcPr>
            <w:tcW w:w="1359" w:type="dxa"/>
            <w:shd w:val="clear" w:color="auto" w:fill="auto"/>
            <w:noWrap/>
            <w:hideMark/>
          </w:tcPr>
          <w:p w14:paraId="20C96D92" w14:textId="77777777" w:rsidR="00AD2DF9" w:rsidRPr="00705F47" w:rsidRDefault="00AD2DF9" w:rsidP="00F34B17">
            <w:pPr>
              <w:pStyle w:val="TableText"/>
              <w:tabs>
                <w:tab w:val="decimal" w:pos="877"/>
              </w:tabs>
              <w:rPr>
                <w:lang w:eastAsia="en-NZ"/>
              </w:rPr>
            </w:pPr>
            <w:r w:rsidRPr="00705F47">
              <w:rPr>
                <w:lang w:eastAsia="en-NZ"/>
              </w:rPr>
              <w:t>719</w:t>
            </w:r>
          </w:p>
        </w:tc>
        <w:tc>
          <w:tcPr>
            <w:tcW w:w="1843" w:type="dxa"/>
            <w:shd w:val="clear" w:color="auto" w:fill="auto"/>
            <w:noWrap/>
            <w:hideMark/>
          </w:tcPr>
          <w:p w14:paraId="6A7D2C3D" w14:textId="77777777" w:rsidR="00AD2DF9" w:rsidRPr="00705F47" w:rsidRDefault="00AD2DF9" w:rsidP="00F34B17">
            <w:pPr>
              <w:pStyle w:val="TableText"/>
              <w:tabs>
                <w:tab w:val="decimal" w:pos="1110"/>
              </w:tabs>
              <w:rPr>
                <w:lang w:eastAsia="en-NZ"/>
              </w:rPr>
            </w:pPr>
            <w:r w:rsidRPr="00705F47">
              <w:rPr>
                <w:lang w:eastAsia="en-NZ"/>
              </w:rPr>
              <w:t>479</w:t>
            </w:r>
          </w:p>
        </w:tc>
        <w:tc>
          <w:tcPr>
            <w:tcW w:w="1417" w:type="dxa"/>
            <w:shd w:val="clear" w:color="auto" w:fill="auto"/>
            <w:noWrap/>
            <w:hideMark/>
          </w:tcPr>
          <w:p w14:paraId="5F1714D2" w14:textId="77777777" w:rsidR="00AD2DF9" w:rsidRPr="00705F47" w:rsidRDefault="00AD2DF9" w:rsidP="00F34B17">
            <w:pPr>
              <w:pStyle w:val="TableText"/>
              <w:tabs>
                <w:tab w:val="decimal" w:pos="890"/>
              </w:tabs>
              <w:rPr>
                <w:lang w:eastAsia="en-NZ"/>
              </w:rPr>
            </w:pPr>
            <w:r w:rsidRPr="00705F47">
              <w:rPr>
                <w:lang w:eastAsia="en-NZ"/>
              </w:rPr>
              <w:t>240</w:t>
            </w:r>
          </w:p>
        </w:tc>
        <w:tc>
          <w:tcPr>
            <w:tcW w:w="1418" w:type="dxa"/>
            <w:shd w:val="clear" w:color="auto" w:fill="auto"/>
            <w:noWrap/>
            <w:hideMark/>
          </w:tcPr>
          <w:p w14:paraId="1386B560" w14:textId="77777777" w:rsidR="00AD2DF9" w:rsidRPr="00705F47" w:rsidRDefault="00AD2DF9" w:rsidP="00F34B17">
            <w:pPr>
              <w:pStyle w:val="TableText"/>
              <w:jc w:val="center"/>
              <w:rPr>
                <w:lang w:eastAsia="en-NZ"/>
              </w:rPr>
            </w:pPr>
            <w:r w:rsidRPr="00705F47">
              <w:rPr>
                <w:lang w:eastAsia="en-NZ"/>
              </w:rPr>
              <w:t>0</w:t>
            </w:r>
          </w:p>
        </w:tc>
      </w:tr>
      <w:tr w:rsidR="00AD2DF9" w:rsidRPr="00705F47" w14:paraId="1A5A39EC" w14:textId="77777777" w:rsidTr="00F34B17">
        <w:trPr>
          <w:cantSplit/>
        </w:trPr>
        <w:tc>
          <w:tcPr>
            <w:tcW w:w="2043" w:type="dxa"/>
            <w:shd w:val="clear" w:color="auto" w:fill="auto"/>
            <w:hideMark/>
          </w:tcPr>
          <w:p w14:paraId="4FA84631" w14:textId="77777777" w:rsidR="00AD2DF9" w:rsidRPr="00705F47" w:rsidRDefault="00AD2DF9" w:rsidP="00F34B17">
            <w:pPr>
              <w:pStyle w:val="TableText"/>
              <w:rPr>
                <w:lang w:eastAsia="en-NZ"/>
              </w:rPr>
            </w:pPr>
            <w:r w:rsidRPr="00705F47">
              <w:rPr>
                <w:lang w:eastAsia="en-NZ"/>
              </w:rPr>
              <w:t>Missing</w:t>
            </w:r>
          </w:p>
        </w:tc>
        <w:tc>
          <w:tcPr>
            <w:tcW w:w="1359" w:type="dxa"/>
            <w:shd w:val="clear" w:color="auto" w:fill="auto"/>
            <w:noWrap/>
            <w:hideMark/>
          </w:tcPr>
          <w:p w14:paraId="059996CD" w14:textId="77777777" w:rsidR="00AD2DF9" w:rsidRPr="00705F47" w:rsidRDefault="00AD2DF9" w:rsidP="00F34B17">
            <w:pPr>
              <w:pStyle w:val="TableText"/>
              <w:tabs>
                <w:tab w:val="decimal" w:pos="877"/>
              </w:tabs>
              <w:rPr>
                <w:lang w:eastAsia="en-NZ"/>
              </w:rPr>
            </w:pPr>
            <w:r w:rsidRPr="00705F47">
              <w:rPr>
                <w:lang w:eastAsia="en-NZ"/>
              </w:rPr>
              <w:t>3</w:t>
            </w:r>
          </w:p>
        </w:tc>
        <w:tc>
          <w:tcPr>
            <w:tcW w:w="1843" w:type="dxa"/>
            <w:shd w:val="clear" w:color="auto" w:fill="auto"/>
            <w:hideMark/>
          </w:tcPr>
          <w:p w14:paraId="703AF782" w14:textId="77777777" w:rsidR="00AD2DF9" w:rsidRPr="00705F47" w:rsidRDefault="00AD2DF9" w:rsidP="00F34B17">
            <w:pPr>
              <w:pStyle w:val="TableText"/>
              <w:tabs>
                <w:tab w:val="decimal" w:pos="1110"/>
              </w:tabs>
              <w:rPr>
                <w:lang w:eastAsia="en-NZ"/>
              </w:rPr>
            </w:pPr>
            <w:r w:rsidRPr="00705F47">
              <w:rPr>
                <w:lang w:eastAsia="en-NZ"/>
              </w:rPr>
              <w:t>–</w:t>
            </w:r>
          </w:p>
        </w:tc>
        <w:tc>
          <w:tcPr>
            <w:tcW w:w="1417" w:type="dxa"/>
            <w:shd w:val="clear" w:color="auto" w:fill="auto"/>
            <w:hideMark/>
          </w:tcPr>
          <w:p w14:paraId="2136298B" w14:textId="77777777" w:rsidR="00AD2DF9" w:rsidRPr="00705F47" w:rsidRDefault="00AD2DF9" w:rsidP="00F34B17">
            <w:pPr>
              <w:pStyle w:val="TableText"/>
              <w:tabs>
                <w:tab w:val="decimal" w:pos="890"/>
              </w:tabs>
              <w:rPr>
                <w:lang w:eastAsia="en-NZ"/>
              </w:rPr>
            </w:pPr>
            <w:r w:rsidRPr="00705F47">
              <w:rPr>
                <w:lang w:eastAsia="en-NZ"/>
              </w:rPr>
              <w:t>–</w:t>
            </w:r>
          </w:p>
        </w:tc>
        <w:tc>
          <w:tcPr>
            <w:tcW w:w="1418" w:type="dxa"/>
            <w:shd w:val="clear" w:color="auto" w:fill="auto"/>
            <w:hideMark/>
          </w:tcPr>
          <w:p w14:paraId="35E481F4" w14:textId="77777777" w:rsidR="00AD2DF9" w:rsidRPr="00705F47" w:rsidRDefault="00AD2DF9" w:rsidP="00F34B17">
            <w:pPr>
              <w:pStyle w:val="TableText"/>
              <w:jc w:val="center"/>
              <w:rPr>
                <w:lang w:eastAsia="en-NZ"/>
              </w:rPr>
            </w:pPr>
            <w:r w:rsidRPr="00705F47">
              <w:rPr>
                <w:lang w:eastAsia="en-NZ"/>
              </w:rPr>
              <w:t>3</w:t>
            </w:r>
          </w:p>
        </w:tc>
      </w:tr>
    </w:tbl>
    <w:p w14:paraId="126CC2C4" w14:textId="3662C5D4" w:rsidR="00AD2DF9" w:rsidRDefault="00301720" w:rsidP="00B76F91">
      <w:pPr>
        <w:pStyle w:val="Figure"/>
        <w:spacing w:before="360"/>
        <w:rPr>
          <w:lang w:eastAsia="en-NZ"/>
        </w:rPr>
      </w:pPr>
      <w:bookmarkStart w:id="125" w:name="_Ref83019278"/>
      <w:bookmarkStart w:id="126" w:name="_Toc83022626"/>
      <w:bookmarkStart w:id="127" w:name="_Toc84419940"/>
      <w:r>
        <w:lastRenderedPageBreak/>
        <w:t>Figure </w:t>
      </w:r>
      <w:r w:rsidR="009E3B78">
        <w:fldChar w:fldCharType="begin"/>
      </w:r>
      <w:r w:rsidR="009E3B78">
        <w:instrText xml:space="preserve"> STYLEREF 2 \s </w:instrText>
      </w:r>
      <w:r w:rsidR="009E3B78">
        <w:fldChar w:fldCharType="separate"/>
      </w:r>
      <w:r w:rsidR="0090485D">
        <w:rPr>
          <w:noProof/>
        </w:rPr>
        <w:t>10</w:t>
      </w:r>
      <w:r w:rsidR="009E3B78">
        <w:rPr>
          <w:noProof/>
        </w:rPr>
        <w:fldChar w:fldCharType="end"/>
      </w:r>
      <w:r>
        <w:t>.</w:t>
      </w:r>
      <w:r w:rsidR="009E3B78">
        <w:fldChar w:fldCharType="begin"/>
      </w:r>
      <w:r w:rsidR="009E3B78">
        <w:instrText xml:space="preserve"> SEQ Figure \* ARABIC \s 2 </w:instrText>
      </w:r>
      <w:r w:rsidR="009E3B78">
        <w:fldChar w:fldCharType="separate"/>
      </w:r>
      <w:r w:rsidR="0090485D">
        <w:rPr>
          <w:noProof/>
        </w:rPr>
        <w:t>1</w:t>
      </w:r>
      <w:r w:rsidR="009E3B78">
        <w:rPr>
          <w:noProof/>
        </w:rPr>
        <w:fldChar w:fldCharType="end"/>
      </w:r>
      <w:bookmarkEnd w:id="125"/>
      <w:r w:rsidR="00AD2DF9" w:rsidRPr="00705F47">
        <w:rPr>
          <w:lang w:eastAsia="en-NZ"/>
        </w:rPr>
        <w:t>: Percentage of abortions where contraception was not used at the time of conception by age group, 2020</w:t>
      </w:r>
      <w:bookmarkEnd w:id="126"/>
      <w:bookmarkEnd w:id="127"/>
    </w:p>
    <w:p w14:paraId="71789D3C" w14:textId="77777777" w:rsidR="00AD2DF9" w:rsidRPr="00B55EC8" w:rsidRDefault="00A4699B" w:rsidP="00A4699B">
      <w:pPr>
        <w:rPr>
          <w:lang w:eastAsia="en-NZ"/>
        </w:rPr>
      </w:pPr>
      <w:r>
        <w:rPr>
          <w:noProof/>
          <w:lang w:eastAsia="en-NZ"/>
        </w:rPr>
        <w:drawing>
          <wp:inline distT="0" distB="0" distL="0" distR="0" wp14:anchorId="19E62BE7" wp14:editId="2E2F0886">
            <wp:extent cx="5120640" cy="3124554"/>
            <wp:effectExtent l="0" t="0" r="3810" b="0"/>
            <wp:docPr id="22" name="Picture 22" title="Figure 10.1: Percentage of abortions where contraception was not used at the time of conception by age group,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24242" cy="3126752"/>
                    </a:xfrm>
                    <a:prstGeom prst="rect">
                      <a:avLst/>
                    </a:prstGeom>
                    <a:noFill/>
                  </pic:spPr>
                </pic:pic>
              </a:graphicData>
            </a:graphic>
          </wp:inline>
        </w:drawing>
      </w:r>
    </w:p>
    <w:p w14:paraId="3B35044D" w14:textId="77777777" w:rsidR="00AD2DF9" w:rsidRPr="00705F47" w:rsidRDefault="00AD2DF9" w:rsidP="00A4699B">
      <w:pPr>
        <w:rPr>
          <w:lang w:eastAsia="en-NZ"/>
        </w:rPr>
      </w:pPr>
    </w:p>
    <w:p w14:paraId="7BF2E166" w14:textId="77777777" w:rsidR="00AD2DF9" w:rsidRPr="00705F47" w:rsidRDefault="00AD2DF9" w:rsidP="00301720">
      <w:pPr>
        <w:pStyle w:val="Heading3"/>
        <w:rPr>
          <w:lang w:eastAsia="en-NZ"/>
        </w:rPr>
      </w:pPr>
      <w:r w:rsidRPr="00705F47">
        <w:rPr>
          <w:lang w:eastAsia="en-NZ"/>
        </w:rPr>
        <w:t>Contraception provided at the time of the abortion procedure</w:t>
      </w:r>
    </w:p>
    <w:p w14:paraId="2FBE07AF" w14:textId="77777777" w:rsidR="00AD2DF9" w:rsidRPr="00705F47" w:rsidRDefault="00AD2DF9" w:rsidP="00301720">
      <w:r w:rsidRPr="00705F47">
        <w:t>Marked differences were noted in contraception provided at the time of the abortion procedure in 2020 compared with 2019.</w:t>
      </w:r>
    </w:p>
    <w:p w14:paraId="28398158" w14:textId="77777777" w:rsidR="00301720" w:rsidRDefault="00301720" w:rsidP="00301720"/>
    <w:p w14:paraId="4123CC5C" w14:textId="22CEB73D" w:rsidR="000E4CE5" w:rsidRDefault="00AD2DF9" w:rsidP="00301720">
      <w:r w:rsidRPr="00705F47">
        <w:t>In 2020, 24.1% of patients were not provided contraception at the time of the abortion procedure (</w:t>
      </w:r>
      <w:r w:rsidRPr="00705F47">
        <w:fldChar w:fldCharType="begin"/>
      </w:r>
      <w:r w:rsidRPr="00705F47">
        <w:instrText xml:space="preserve"> REF _Ref83019771 \h </w:instrText>
      </w:r>
      <w:r w:rsidRPr="00705F47">
        <w:fldChar w:fldCharType="separate"/>
      </w:r>
      <w:r w:rsidR="0090485D">
        <w:t>Table </w:t>
      </w:r>
      <w:r w:rsidR="0090485D">
        <w:rPr>
          <w:noProof/>
        </w:rPr>
        <w:t>10</w:t>
      </w:r>
      <w:r w:rsidR="0090485D">
        <w:t>.</w:t>
      </w:r>
      <w:r w:rsidR="0090485D">
        <w:rPr>
          <w:noProof/>
        </w:rPr>
        <w:t>3</w:t>
      </w:r>
      <w:r w:rsidRPr="00705F47">
        <w:fldChar w:fldCharType="end"/>
      </w:r>
      <w:r w:rsidRPr="00705F47">
        <w:t>), compared with only 12.6% in 2019. Reductions were evident across most contraception types.</w:t>
      </w:r>
    </w:p>
    <w:p w14:paraId="1563B287" w14:textId="77777777" w:rsidR="00301720" w:rsidRDefault="00301720" w:rsidP="00301720"/>
    <w:p w14:paraId="2CC49500" w14:textId="0CA7A6E9" w:rsidR="00AD2DF9" w:rsidRPr="00705F47" w:rsidRDefault="00AD2DF9" w:rsidP="00301720">
      <w:r w:rsidRPr="00705F47">
        <w:t>One reason for the changes seen in 2020 may be that provision of contraception fell during the COVID-19 Alert Levels 3 and 4 in that year, when more abortions were delivered virtually via telehealth. An additional reason may be related to the finding that more patients had EMA and fewer had a surgical abortion, because EMA requires more patients to attend a follow-up appointment for contraception but this is not necessary for surgical procedures so they may be more likely to receive contraception at the time of the abortion.</w:t>
      </w:r>
    </w:p>
    <w:p w14:paraId="0C94DE12" w14:textId="77777777" w:rsidR="00301720" w:rsidRDefault="00301720" w:rsidP="00301720"/>
    <w:p w14:paraId="46180D70" w14:textId="66C261B8" w:rsidR="00AD2DF9" w:rsidRDefault="00AD2DF9" w:rsidP="00301720">
      <w:r w:rsidRPr="00705F47">
        <w:t>The abortion notification form w</w:t>
      </w:r>
      <w:r w:rsidR="0041779A">
        <w:t>as</w:t>
      </w:r>
      <w:r w:rsidRPr="00705F47">
        <w:t xml:space="preserve"> modified in September 2021 to include an option to record when patients are booked for a follow-up contraception </w:t>
      </w:r>
      <w:r w:rsidR="00805C22" w:rsidRPr="00705F47">
        <w:t>appointment,</w:t>
      </w:r>
      <w:r w:rsidRPr="00705F47">
        <w:t xml:space="preserve"> so it captures this information. We will continue to monitor contraception provision at the time of abortion to ensure contraception is provided to those who are using abortion services when they require contraception to prevent future preg</w:t>
      </w:r>
      <w:r>
        <w:t>n</w:t>
      </w:r>
      <w:r w:rsidRPr="00705F47">
        <w:t>ancy.</w:t>
      </w:r>
    </w:p>
    <w:p w14:paraId="23C864AB" w14:textId="77777777" w:rsidR="00301720" w:rsidRPr="00705F47" w:rsidRDefault="00301720" w:rsidP="00301720"/>
    <w:p w14:paraId="59CACBF0" w14:textId="3D5A9C74" w:rsidR="00AD2DF9" w:rsidRPr="00705F47" w:rsidRDefault="00301720" w:rsidP="00301720">
      <w:pPr>
        <w:pStyle w:val="Table"/>
        <w:rPr>
          <w:lang w:eastAsia="en-NZ"/>
        </w:rPr>
      </w:pPr>
      <w:bookmarkStart w:id="128" w:name="_Ref83019771"/>
      <w:bookmarkStart w:id="129" w:name="_Toc83037720"/>
      <w:bookmarkStart w:id="130" w:name="_Toc83367105"/>
      <w:r>
        <w:lastRenderedPageBreak/>
        <w:t>Table </w:t>
      </w:r>
      <w:r w:rsidR="009E3B78">
        <w:fldChar w:fldCharType="begin"/>
      </w:r>
      <w:r w:rsidR="009E3B78">
        <w:instrText xml:space="preserve"> STYLEREF 2 \s </w:instrText>
      </w:r>
      <w:r w:rsidR="009E3B78">
        <w:fldChar w:fldCharType="separate"/>
      </w:r>
      <w:r w:rsidR="0090485D">
        <w:rPr>
          <w:noProof/>
        </w:rPr>
        <w:t>10</w:t>
      </w:r>
      <w:r w:rsidR="009E3B78">
        <w:rPr>
          <w:noProof/>
        </w:rPr>
        <w:fldChar w:fldCharType="end"/>
      </w:r>
      <w:r>
        <w:t>.</w:t>
      </w:r>
      <w:r w:rsidR="009E3B78">
        <w:fldChar w:fldCharType="begin"/>
      </w:r>
      <w:r w:rsidR="009E3B78">
        <w:instrText xml:space="preserve"> SEQ Table \* ARABIC \s 2 </w:instrText>
      </w:r>
      <w:r w:rsidR="009E3B78">
        <w:fldChar w:fldCharType="separate"/>
      </w:r>
      <w:r w:rsidR="0090485D">
        <w:rPr>
          <w:noProof/>
        </w:rPr>
        <w:t>3</w:t>
      </w:r>
      <w:r w:rsidR="009E3B78">
        <w:rPr>
          <w:noProof/>
        </w:rPr>
        <w:fldChar w:fldCharType="end"/>
      </w:r>
      <w:bookmarkEnd w:id="128"/>
      <w:r w:rsidR="00AD2DF9" w:rsidRPr="00705F47">
        <w:rPr>
          <w:lang w:eastAsia="en-NZ"/>
        </w:rPr>
        <w:t>: Contraception provided at the time of the abortion by type, 2020</w:t>
      </w:r>
      <w:bookmarkEnd w:id="129"/>
      <w:bookmarkEnd w:id="130"/>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544"/>
        <w:gridCol w:w="2268"/>
        <w:gridCol w:w="2268"/>
      </w:tblGrid>
      <w:tr w:rsidR="00AD2DF9" w:rsidRPr="000B769F" w14:paraId="1E8DB793" w14:textId="77777777" w:rsidTr="000B769F">
        <w:trPr>
          <w:cantSplit/>
        </w:trPr>
        <w:tc>
          <w:tcPr>
            <w:tcW w:w="3544" w:type="dxa"/>
            <w:tcBorders>
              <w:top w:val="nil"/>
              <w:bottom w:val="nil"/>
            </w:tcBorders>
            <w:shd w:val="clear" w:color="auto" w:fill="D9D9D9" w:themeFill="background1" w:themeFillShade="D9"/>
            <w:noWrap/>
            <w:hideMark/>
          </w:tcPr>
          <w:p w14:paraId="53FE8B88" w14:textId="77777777" w:rsidR="00AD2DF9" w:rsidRPr="000B769F" w:rsidRDefault="00AD2DF9" w:rsidP="00A4699B">
            <w:pPr>
              <w:pStyle w:val="TableText"/>
              <w:keepNext/>
              <w:rPr>
                <w:b/>
                <w:lang w:eastAsia="en-NZ"/>
              </w:rPr>
            </w:pPr>
            <w:r w:rsidRPr="000B769F">
              <w:rPr>
                <w:b/>
                <w:lang w:eastAsia="en-NZ"/>
              </w:rPr>
              <w:t>Type of contraception provided</w:t>
            </w:r>
          </w:p>
        </w:tc>
        <w:tc>
          <w:tcPr>
            <w:tcW w:w="2268" w:type="dxa"/>
            <w:tcBorders>
              <w:top w:val="nil"/>
              <w:bottom w:val="nil"/>
            </w:tcBorders>
            <w:shd w:val="clear" w:color="auto" w:fill="D9D9D9" w:themeFill="background1" w:themeFillShade="D9"/>
            <w:hideMark/>
          </w:tcPr>
          <w:p w14:paraId="673BB5F9" w14:textId="77777777" w:rsidR="00AD2DF9" w:rsidRPr="000B769F" w:rsidRDefault="00AD2DF9" w:rsidP="00A4699B">
            <w:pPr>
              <w:pStyle w:val="TableText"/>
              <w:keepNext/>
              <w:jc w:val="center"/>
              <w:rPr>
                <w:b/>
                <w:lang w:eastAsia="en-NZ"/>
              </w:rPr>
            </w:pPr>
            <w:r w:rsidRPr="000B769F">
              <w:rPr>
                <w:b/>
                <w:lang w:eastAsia="en-NZ"/>
              </w:rPr>
              <w:t>Number</w:t>
            </w:r>
          </w:p>
        </w:tc>
        <w:tc>
          <w:tcPr>
            <w:tcW w:w="2268" w:type="dxa"/>
            <w:tcBorders>
              <w:top w:val="nil"/>
              <w:bottom w:val="nil"/>
            </w:tcBorders>
            <w:shd w:val="clear" w:color="auto" w:fill="D9D9D9" w:themeFill="background1" w:themeFillShade="D9"/>
            <w:hideMark/>
          </w:tcPr>
          <w:p w14:paraId="78C0FBED" w14:textId="77777777" w:rsidR="00AD2DF9" w:rsidRPr="000B769F" w:rsidRDefault="00AD2DF9" w:rsidP="00A4699B">
            <w:pPr>
              <w:pStyle w:val="TableText"/>
              <w:keepNext/>
              <w:jc w:val="center"/>
              <w:rPr>
                <w:b/>
                <w:lang w:eastAsia="en-NZ"/>
              </w:rPr>
            </w:pPr>
            <w:r w:rsidRPr="000B769F">
              <w:rPr>
                <w:b/>
                <w:lang w:eastAsia="en-NZ"/>
              </w:rPr>
              <w:t>Percentage</w:t>
            </w:r>
          </w:p>
        </w:tc>
      </w:tr>
      <w:tr w:rsidR="00AD2DF9" w:rsidRPr="000B769F" w14:paraId="57179F98" w14:textId="77777777" w:rsidTr="000B769F">
        <w:trPr>
          <w:cantSplit/>
        </w:trPr>
        <w:tc>
          <w:tcPr>
            <w:tcW w:w="3544" w:type="dxa"/>
            <w:tcBorders>
              <w:top w:val="nil"/>
            </w:tcBorders>
            <w:shd w:val="clear" w:color="auto" w:fill="auto"/>
            <w:hideMark/>
          </w:tcPr>
          <w:p w14:paraId="3DC83B46" w14:textId="77777777" w:rsidR="00AD2DF9" w:rsidRPr="000B769F" w:rsidRDefault="00AD2DF9" w:rsidP="000B769F">
            <w:pPr>
              <w:pStyle w:val="TableText"/>
              <w:rPr>
                <w:b/>
                <w:bCs/>
                <w:lang w:eastAsia="en-NZ"/>
              </w:rPr>
            </w:pPr>
            <w:bookmarkStart w:id="131" w:name="RANGE!A7:B7"/>
            <w:bookmarkEnd w:id="131"/>
            <w:r w:rsidRPr="000B769F">
              <w:rPr>
                <w:b/>
                <w:bCs/>
                <w:lang w:eastAsia="en-NZ"/>
              </w:rPr>
              <w:t>Total</w:t>
            </w:r>
          </w:p>
        </w:tc>
        <w:tc>
          <w:tcPr>
            <w:tcW w:w="2268" w:type="dxa"/>
            <w:tcBorders>
              <w:top w:val="nil"/>
            </w:tcBorders>
            <w:shd w:val="clear" w:color="auto" w:fill="auto"/>
            <w:hideMark/>
          </w:tcPr>
          <w:p w14:paraId="4596C119" w14:textId="77777777" w:rsidR="00AD2DF9" w:rsidRPr="000B769F" w:rsidRDefault="00AD2DF9" w:rsidP="000B769F">
            <w:pPr>
              <w:pStyle w:val="TableText"/>
              <w:tabs>
                <w:tab w:val="decimal" w:pos="1361"/>
              </w:tabs>
              <w:rPr>
                <w:b/>
                <w:bCs/>
                <w:lang w:eastAsia="en-NZ"/>
              </w:rPr>
            </w:pPr>
            <w:r w:rsidRPr="000B769F">
              <w:rPr>
                <w:b/>
                <w:bCs/>
                <w:lang w:eastAsia="en-NZ"/>
              </w:rPr>
              <w:t>13,477</w:t>
            </w:r>
          </w:p>
        </w:tc>
        <w:tc>
          <w:tcPr>
            <w:tcW w:w="2268" w:type="dxa"/>
            <w:tcBorders>
              <w:top w:val="nil"/>
            </w:tcBorders>
            <w:shd w:val="clear" w:color="auto" w:fill="auto"/>
            <w:noWrap/>
            <w:hideMark/>
          </w:tcPr>
          <w:p w14:paraId="437ABFA9" w14:textId="77777777" w:rsidR="00AD2DF9" w:rsidRPr="000B769F" w:rsidRDefault="00AD2DF9" w:rsidP="000B769F">
            <w:pPr>
              <w:pStyle w:val="TableText"/>
              <w:tabs>
                <w:tab w:val="decimal" w:pos="1077"/>
              </w:tabs>
              <w:rPr>
                <w:b/>
                <w:bCs/>
                <w:lang w:eastAsia="en-NZ"/>
              </w:rPr>
            </w:pPr>
            <w:r w:rsidRPr="000B769F">
              <w:rPr>
                <w:b/>
                <w:bCs/>
                <w:lang w:eastAsia="en-NZ"/>
              </w:rPr>
              <w:t>100%</w:t>
            </w:r>
          </w:p>
        </w:tc>
      </w:tr>
      <w:tr w:rsidR="00AD2DF9" w:rsidRPr="00705F47" w14:paraId="49E5AA53" w14:textId="77777777" w:rsidTr="000B769F">
        <w:trPr>
          <w:cantSplit/>
        </w:trPr>
        <w:tc>
          <w:tcPr>
            <w:tcW w:w="3544" w:type="dxa"/>
            <w:shd w:val="clear" w:color="auto" w:fill="auto"/>
            <w:noWrap/>
            <w:hideMark/>
          </w:tcPr>
          <w:p w14:paraId="405264F5" w14:textId="77777777" w:rsidR="00AD2DF9" w:rsidRPr="00705F47" w:rsidRDefault="00AD2DF9" w:rsidP="000B769F">
            <w:pPr>
              <w:pStyle w:val="TableText"/>
              <w:rPr>
                <w:lang w:eastAsia="en-NZ"/>
              </w:rPr>
            </w:pPr>
            <w:r w:rsidRPr="00705F47">
              <w:rPr>
                <w:lang w:eastAsia="en-NZ"/>
              </w:rPr>
              <w:t>None*</w:t>
            </w:r>
          </w:p>
        </w:tc>
        <w:tc>
          <w:tcPr>
            <w:tcW w:w="2268" w:type="dxa"/>
            <w:shd w:val="clear" w:color="auto" w:fill="auto"/>
            <w:noWrap/>
            <w:hideMark/>
          </w:tcPr>
          <w:p w14:paraId="33F7E392" w14:textId="77777777" w:rsidR="00AD2DF9" w:rsidRPr="00705F47" w:rsidRDefault="00AD2DF9" w:rsidP="000B769F">
            <w:pPr>
              <w:pStyle w:val="TableText"/>
              <w:tabs>
                <w:tab w:val="decimal" w:pos="1361"/>
              </w:tabs>
              <w:rPr>
                <w:lang w:eastAsia="en-NZ"/>
              </w:rPr>
            </w:pPr>
            <w:r w:rsidRPr="00705F47">
              <w:rPr>
                <w:lang w:eastAsia="en-NZ"/>
              </w:rPr>
              <w:t>3,243</w:t>
            </w:r>
          </w:p>
        </w:tc>
        <w:tc>
          <w:tcPr>
            <w:tcW w:w="2268" w:type="dxa"/>
            <w:shd w:val="clear" w:color="auto" w:fill="auto"/>
            <w:noWrap/>
            <w:hideMark/>
          </w:tcPr>
          <w:p w14:paraId="47E22657" w14:textId="77777777" w:rsidR="00AD2DF9" w:rsidRPr="00705F47" w:rsidRDefault="00AD2DF9" w:rsidP="000B769F">
            <w:pPr>
              <w:pStyle w:val="TableText"/>
              <w:tabs>
                <w:tab w:val="decimal" w:pos="1077"/>
              </w:tabs>
              <w:rPr>
                <w:lang w:eastAsia="en-NZ"/>
              </w:rPr>
            </w:pPr>
            <w:r>
              <w:t>24.1%</w:t>
            </w:r>
          </w:p>
        </w:tc>
      </w:tr>
      <w:tr w:rsidR="00AD2DF9" w:rsidRPr="00705F47" w14:paraId="00CF1EB8" w14:textId="77777777" w:rsidTr="000B769F">
        <w:trPr>
          <w:cantSplit/>
        </w:trPr>
        <w:tc>
          <w:tcPr>
            <w:tcW w:w="3544" w:type="dxa"/>
            <w:shd w:val="clear" w:color="auto" w:fill="auto"/>
            <w:noWrap/>
            <w:hideMark/>
          </w:tcPr>
          <w:p w14:paraId="0AC42060" w14:textId="77777777" w:rsidR="00AD2DF9" w:rsidRPr="00705F47" w:rsidRDefault="00AD2DF9" w:rsidP="000B769F">
            <w:pPr>
              <w:pStyle w:val="TableText"/>
              <w:rPr>
                <w:lang w:eastAsia="en-NZ"/>
              </w:rPr>
            </w:pPr>
            <w:r w:rsidRPr="00705F47">
              <w:rPr>
                <w:lang w:eastAsia="en-NZ"/>
              </w:rPr>
              <w:t>IUCD insertion</w:t>
            </w:r>
          </w:p>
        </w:tc>
        <w:tc>
          <w:tcPr>
            <w:tcW w:w="2268" w:type="dxa"/>
            <w:shd w:val="clear" w:color="auto" w:fill="auto"/>
            <w:noWrap/>
            <w:hideMark/>
          </w:tcPr>
          <w:p w14:paraId="211ABDC5" w14:textId="77777777" w:rsidR="00AD2DF9" w:rsidRPr="00705F47" w:rsidRDefault="00AD2DF9" w:rsidP="000B769F">
            <w:pPr>
              <w:pStyle w:val="TableText"/>
              <w:tabs>
                <w:tab w:val="decimal" w:pos="1361"/>
              </w:tabs>
              <w:rPr>
                <w:lang w:eastAsia="en-NZ"/>
              </w:rPr>
            </w:pPr>
            <w:r w:rsidRPr="00705F47">
              <w:rPr>
                <w:lang w:eastAsia="en-NZ"/>
              </w:rPr>
              <w:t>4,174</w:t>
            </w:r>
          </w:p>
        </w:tc>
        <w:tc>
          <w:tcPr>
            <w:tcW w:w="2268" w:type="dxa"/>
            <w:shd w:val="clear" w:color="auto" w:fill="auto"/>
            <w:noWrap/>
            <w:hideMark/>
          </w:tcPr>
          <w:p w14:paraId="19EEFF91" w14:textId="77777777" w:rsidR="00AD2DF9" w:rsidRPr="00705F47" w:rsidRDefault="00AD2DF9" w:rsidP="000B769F">
            <w:pPr>
              <w:pStyle w:val="TableText"/>
              <w:tabs>
                <w:tab w:val="decimal" w:pos="1077"/>
              </w:tabs>
              <w:rPr>
                <w:lang w:eastAsia="en-NZ"/>
              </w:rPr>
            </w:pPr>
            <w:r>
              <w:t>31.0%</w:t>
            </w:r>
          </w:p>
        </w:tc>
      </w:tr>
      <w:tr w:rsidR="00AD2DF9" w:rsidRPr="00705F47" w14:paraId="2B198283" w14:textId="77777777" w:rsidTr="000B769F">
        <w:trPr>
          <w:cantSplit/>
        </w:trPr>
        <w:tc>
          <w:tcPr>
            <w:tcW w:w="3544" w:type="dxa"/>
            <w:shd w:val="clear" w:color="auto" w:fill="auto"/>
            <w:noWrap/>
            <w:hideMark/>
          </w:tcPr>
          <w:p w14:paraId="24DA1F6F" w14:textId="77777777" w:rsidR="00AD2DF9" w:rsidRPr="00705F47" w:rsidRDefault="00AD2DF9" w:rsidP="000B769F">
            <w:pPr>
              <w:pStyle w:val="TableText"/>
              <w:rPr>
                <w:lang w:eastAsia="en-NZ"/>
              </w:rPr>
            </w:pPr>
            <w:r w:rsidRPr="00705F47">
              <w:rPr>
                <w:lang w:eastAsia="en-NZ"/>
              </w:rPr>
              <w:t>Combined oral contraceptives</w:t>
            </w:r>
          </w:p>
        </w:tc>
        <w:tc>
          <w:tcPr>
            <w:tcW w:w="2268" w:type="dxa"/>
            <w:shd w:val="clear" w:color="auto" w:fill="auto"/>
            <w:noWrap/>
            <w:hideMark/>
          </w:tcPr>
          <w:p w14:paraId="5EF4ADB4" w14:textId="77777777" w:rsidR="00AD2DF9" w:rsidRPr="00705F47" w:rsidRDefault="00AD2DF9" w:rsidP="000B769F">
            <w:pPr>
              <w:pStyle w:val="TableText"/>
              <w:tabs>
                <w:tab w:val="decimal" w:pos="1361"/>
              </w:tabs>
              <w:rPr>
                <w:lang w:eastAsia="en-NZ"/>
              </w:rPr>
            </w:pPr>
            <w:r w:rsidRPr="00705F47">
              <w:rPr>
                <w:lang w:eastAsia="en-NZ"/>
              </w:rPr>
              <w:t>1,896</w:t>
            </w:r>
          </w:p>
        </w:tc>
        <w:tc>
          <w:tcPr>
            <w:tcW w:w="2268" w:type="dxa"/>
            <w:shd w:val="clear" w:color="auto" w:fill="auto"/>
            <w:noWrap/>
            <w:hideMark/>
          </w:tcPr>
          <w:p w14:paraId="6BB8C990" w14:textId="77777777" w:rsidR="00AD2DF9" w:rsidRPr="00705F47" w:rsidRDefault="00AD2DF9" w:rsidP="000B769F">
            <w:pPr>
              <w:pStyle w:val="TableText"/>
              <w:tabs>
                <w:tab w:val="decimal" w:pos="1077"/>
              </w:tabs>
              <w:rPr>
                <w:lang w:eastAsia="en-NZ"/>
              </w:rPr>
            </w:pPr>
            <w:r>
              <w:t>14.1%</w:t>
            </w:r>
          </w:p>
        </w:tc>
      </w:tr>
      <w:tr w:rsidR="00AD2DF9" w:rsidRPr="00705F47" w14:paraId="7C9C7941" w14:textId="77777777" w:rsidTr="000B769F">
        <w:trPr>
          <w:cantSplit/>
        </w:trPr>
        <w:tc>
          <w:tcPr>
            <w:tcW w:w="3544" w:type="dxa"/>
            <w:shd w:val="clear" w:color="auto" w:fill="auto"/>
            <w:noWrap/>
            <w:hideMark/>
          </w:tcPr>
          <w:p w14:paraId="0CB0B655" w14:textId="77777777" w:rsidR="00AD2DF9" w:rsidRPr="00705F47" w:rsidRDefault="00AD2DF9" w:rsidP="000B769F">
            <w:pPr>
              <w:pStyle w:val="TableText"/>
              <w:rPr>
                <w:lang w:eastAsia="en-NZ"/>
              </w:rPr>
            </w:pPr>
            <w:r w:rsidRPr="00705F47">
              <w:rPr>
                <w:lang w:eastAsia="en-NZ"/>
              </w:rPr>
              <w:t>Condoms</w:t>
            </w:r>
          </w:p>
        </w:tc>
        <w:tc>
          <w:tcPr>
            <w:tcW w:w="2268" w:type="dxa"/>
            <w:shd w:val="clear" w:color="auto" w:fill="auto"/>
            <w:noWrap/>
            <w:hideMark/>
          </w:tcPr>
          <w:p w14:paraId="724F8D14" w14:textId="77777777" w:rsidR="00AD2DF9" w:rsidRPr="00705F47" w:rsidRDefault="00AD2DF9" w:rsidP="000B769F">
            <w:pPr>
              <w:pStyle w:val="TableText"/>
              <w:tabs>
                <w:tab w:val="decimal" w:pos="1361"/>
              </w:tabs>
              <w:rPr>
                <w:lang w:eastAsia="en-NZ"/>
              </w:rPr>
            </w:pPr>
            <w:r w:rsidRPr="00705F47">
              <w:rPr>
                <w:lang w:eastAsia="en-NZ"/>
              </w:rPr>
              <w:t>1,688</w:t>
            </w:r>
          </w:p>
        </w:tc>
        <w:tc>
          <w:tcPr>
            <w:tcW w:w="2268" w:type="dxa"/>
            <w:shd w:val="clear" w:color="auto" w:fill="auto"/>
            <w:noWrap/>
            <w:hideMark/>
          </w:tcPr>
          <w:p w14:paraId="70E42CED" w14:textId="77777777" w:rsidR="00AD2DF9" w:rsidRPr="00705F47" w:rsidRDefault="00AD2DF9" w:rsidP="000B769F">
            <w:pPr>
              <w:pStyle w:val="TableText"/>
              <w:tabs>
                <w:tab w:val="decimal" w:pos="1077"/>
              </w:tabs>
              <w:rPr>
                <w:lang w:eastAsia="en-NZ"/>
              </w:rPr>
            </w:pPr>
            <w:r>
              <w:t>12.5%</w:t>
            </w:r>
          </w:p>
        </w:tc>
      </w:tr>
      <w:tr w:rsidR="00AD2DF9" w:rsidRPr="00705F47" w14:paraId="3E5BADF8" w14:textId="77777777" w:rsidTr="000B769F">
        <w:trPr>
          <w:cantSplit/>
        </w:trPr>
        <w:tc>
          <w:tcPr>
            <w:tcW w:w="3544" w:type="dxa"/>
            <w:shd w:val="clear" w:color="auto" w:fill="auto"/>
            <w:noWrap/>
            <w:hideMark/>
          </w:tcPr>
          <w:p w14:paraId="19E4A7E1" w14:textId="77777777" w:rsidR="00AD2DF9" w:rsidRPr="00705F47" w:rsidRDefault="00AD2DF9" w:rsidP="000B769F">
            <w:pPr>
              <w:pStyle w:val="TableText"/>
              <w:rPr>
                <w:lang w:eastAsia="en-NZ"/>
              </w:rPr>
            </w:pPr>
            <w:r w:rsidRPr="00705F47">
              <w:rPr>
                <w:lang w:eastAsia="en-NZ"/>
              </w:rPr>
              <w:t>Subdermal implant insertion</w:t>
            </w:r>
          </w:p>
        </w:tc>
        <w:tc>
          <w:tcPr>
            <w:tcW w:w="2268" w:type="dxa"/>
            <w:shd w:val="clear" w:color="auto" w:fill="auto"/>
            <w:noWrap/>
            <w:hideMark/>
          </w:tcPr>
          <w:p w14:paraId="7409208D" w14:textId="77777777" w:rsidR="00AD2DF9" w:rsidRPr="00705F47" w:rsidRDefault="00AD2DF9" w:rsidP="000B769F">
            <w:pPr>
              <w:pStyle w:val="TableText"/>
              <w:tabs>
                <w:tab w:val="decimal" w:pos="1361"/>
              </w:tabs>
              <w:rPr>
                <w:lang w:eastAsia="en-NZ"/>
              </w:rPr>
            </w:pPr>
            <w:r w:rsidRPr="00705F47">
              <w:rPr>
                <w:lang w:eastAsia="en-NZ"/>
              </w:rPr>
              <w:t>1,028</w:t>
            </w:r>
          </w:p>
        </w:tc>
        <w:tc>
          <w:tcPr>
            <w:tcW w:w="2268" w:type="dxa"/>
            <w:shd w:val="clear" w:color="auto" w:fill="auto"/>
            <w:noWrap/>
            <w:hideMark/>
          </w:tcPr>
          <w:p w14:paraId="1D32BBCF" w14:textId="77777777" w:rsidR="00AD2DF9" w:rsidRPr="00705F47" w:rsidRDefault="00AD2DF9" w:rsidP="000B769F">
            <w:pPr>
              <w:pStyle w:val="TableText"/>
              <w:tabs>
                <w:tab w:val="decimal" w:pos="1077"/>
              </w:tabs>
              <w:rPr>
                <w:lang w:eastAsia="en-NZ"/>
              </w:rPr>
            </w:pPr>
            <w:r>
              <w:t>7.6%</w:t>
            </w:r>
          </w:p>
        </w:tc>
      </w:tr>
      <w:tr w:rsidR="00AD2DF9" w:rsidRPr="00705F47" w14:paraId="1A8578EF" w14:textId="77777777" w:rsidTr="000B769F">
        <w:trPr>
          <w:cantSplit/>
        </w:trPr>
        <w:tc>
          <w:tcPr>
            <w:tcW w:w="3544" w:type="dxa"/>
            <w:shd w:val="clear" w:color="auto" w:fill="auto"/>
            <w:noWrap/>
            <w:hideMark/>
          </w:tcPr>
          <w:p w14:paraId="5E2DDEA8" w14:textId="77777777" w:rsidR="00AD2DF9" w:rsidRPr="00705F47" w:rsidRDefault="00AD2DF9" w:rsidP="000B769F">
            <w:pPr>
              <w:pStyle w:val="TableText"/>
              <w:rPr>
                <w:lang w:eastAsia="en-NZ"/>
              </w:rPr>
            </w:pPr>
            <w:r w:rsidRPr="00705F47">
              <w:rPr>
                <w:lang w:eastAsia="en-NZ"/>
              </w:rPr>
              <w:t>Depo provera injection</w:t>
            </w:r>
          </w:p>
        </w:tc>
        <w:tc>
          <w:tcPr>
            <w:tcW w:w="2268" w:type="dxa"/>
            <w:shd w:val="clear" w:color="auto" w:fill="auto"/>
            <w:noWrap/>
            <w:hideMark/>
          </w:tcPr>
          <w:p w14:paraId="20C3AB86" w14:textId="77777777" w:rsidR="00AD2DF9" w:rsidRPr="00705F47" w:rsidRDefault="00AD2DF9" w:rsidP="000B769F">
            <w:pPr>
              <w:pStyle w:val="TableText"/>
              <w:tabs>
                <w:tab w:val="decimal" w:pos="1361"/>
              </w:tabs>
              <w:rPr>
                <w:lang w:eastAsia="en-NZ"/>
              </w:rPr>
            </w:pPr>
            <w:r w:rsidRPr="00705F47">
              <w:rPr>
                <w:lang w:eastAsia="en-NZ"/>
              </w:rPr>
              <w:t>756</w:t>
            </w:r>
          </w:p>
        </w:tc>
        <w:tc>
          <w:tcPr>
            <w:tcW w:w="2268" w:type="dxa"/>
            <w:shd w:val="clear" w:color="auto" w:fill="auto"/>
            <w:noWrap/>
            <w:hideMark/>
          </w:tcPr>
          <w:p w14:paraId="0D97FB04" w14:textId="77777777" w:rsidR="00AD2DF9" w:rsidRPr="00705F47" w:rsidRDefault="00AD2DF9" w:rsidP="000B769F">
            <w:pPr>
              <w:pStyle w:val="TableText"/>
              <w:tabs>
                <w:tab w:val="decimal" w:pos="1077"/>
              </w:tabs>
              <w:rPr>
                <w:lang w:eastAsia="en-NZ"/>
              </w:rPr>
            </w:pPr>
            <w:r>
              <w:t>5.6%</w:t>
            </w:r>
          </w:p>
        </w:tc>
      </w:tr>
      <w:tr w:rsidR="00AD2DF9" w:rsidRPr="00705F47" w14:paraId="37C9973E" w14:textId="77777777" w:rsidTr="000B769F">
        <w:trPr>
          <w:cantSplit/>
        </w:trPr>
        <w:tc>
          <w:tcPr>
            <w:tcW w:w="3544" w:type="dxa"/>
            <w:shd w:val="clear" w:color="auto" w:fill="auto"/>
            <w:noWrap/>
            <w:hideMark/>
          </w:tcPr>
          <w:p w14:paraId="0D7D304F" w14:textId="77777777" w:rsidR="00AD2DF9" w:rsidRPr="00705F47" w:rsidRDefault="00AD2DF9" w:rsidP="000B769F">
            <w:pPr>
              <w:pStyle w:val="TableText"/>
              <w:rPr>
                <w:lang w:eastAsia="en-NZ"/>
              </w:rPr>
            </w:pPr>
            <w:r w:rsidRPr="00705F47">
              <w:rPr>
                <w:lang w:eastAsia="en-NZ"/>
              </w:rPr>
              <w:t>Progesterone-only contraceptives</w:t>
            </w:r>
          </w:p>
        </w:tc>
        <w:tc>
          <w:tcPr>
            <w:tcW w:w="2268" w:type="dxa"/>
            <w:shd w:val="clear" w:color="auto" w:fill="auto"/>
            <w:noWrap/>
            <w:hideMark/>
          </w:tcPr>
          <w:p w14:paraId="16B3051E" w14:textId="77777777" w:rsidR="00AD2DF9" w:rsidRPr="00705F47" w:rsidRDefault="00AD2DF9" w:rsidP="000B769F">
            <w:pPr>
              <w:pStyle w:val="TableText"/>
              <w:tabs>
                <w:tab w:val="decimal" w:pos="1361"/>
              </w:tabs>
              <w:rPr>
                <w:lang w:eastAsia="en-NZ"/>
              </w:rPr>
            </w:pPr>
            <w:r w:rsidRPr="00705F47">
              <w:rPr>
                <w:lang w:eastAsia="en-NZ"/>
              </w:rPr>
              <w:t>536</w:t>
            </w:r>
          </w:p>
        </w:tc>
        <w:tc>
          <w:tcPr>
            <w:tcW w:w="2268" w:type="dxa"/>
            <w:shd w:val="clear" w:color="auto" w:fill="auto"/>
            <w:noWrap/>
            <w:hideMark/>
          </w:tcPr>
          <w:p w14:paraId="6CD80F23" w14:textId="77777777" w:rsidR="00AD2DF9" w:rsidRPr="00705F47" w:rsidRDefault="00AD2DF9" w:rsidP="000B769F">
            <w:pPr>
              <w:pStyle w:val="TableText"/>
              <w:tabs>
                <w:tab w:val="decimal" w:pos="1077"/>
              </w:tabs>
              <w:rPr>
                <w:lang w:eastAsia="en-NZ"/>
              </w:rPr>
            </w:pPr>
            <w:r>
              <w:t>4.0%</w:t>
            </w:r>
          </w:p>
        </w:tc>
      </w:tr>
      <w:tr w:rsidR="00AD2DF9" w:rsidRPr="00705F47" w14:paraId="5914ED64" w14:textId="77777777" w:rsidTr="000B769F">
        <w:trPr>
          <w:cantSplit/>
        </w:trPr>
        <w:tc>
          <w:tcPr>
            <w:tcW w:w="3544" w:type="dxa"/>
            <w:shd w:val="clear" w:color="auto" w:fill="auto"/>
            <w:noWrap/>
            <w:hideMark/>
          </w:tcPr>
          <w:p w14:paraId="4BBC0428" w14:textId="77777777" w:rsidR="00AD2DF9" w:rsidRPr="00705F47" w:rsidRDefault="00AD2DF9" w:rsidP="000B769F">
            <w:pPr>
              <w:pStyle w:val="TableText"/>
              <w:rPr>
                <w:lang w:eastAsia="en-NZ"/>
              </w:rPr>
            </w:pPr>
            <w:r w:rsidRPr="00705F47">
              <w:rPr>
                <w:lang w:eastAsia="en-NZ"/>
              </w:rPr>
              <w:t>Emergency contraceptive pill</w:t>
            </w:r>
          </w:p>
        </w:tc>
        <w:tc>
          <w:tcPr>
            <w:tcW w:w="2268" w:type="dxa"/>
            <w:shd w:val="clear" w:color="auto" w:fill="auto"/>
            <w:noWrap/>
            <w:hideMark/>
          </w:tcPr>
          <w:p w14:paraId="06F85C2F" w14:textId="77777777" w:rsidR="00AD2DF9" w:rsidRPr="00705F47" w:rsidRDefault="00AD2DF9" w:rsidP="000B769F">
            <w:pPr>
              <w:pStyle w:val="TableText"/>
              <w:tabs>
                <w:tab w:val="decimal" w:pos="1361"/>
              </w:tabs>
              <w:rPr>
                <w:lang w:eastAsia="en-NZ"/>
              </w:rPr>
            </w:pPr>
            <w:r w:rsidRPr="00705F47">
              <w:rPr>
                <w:lang w:eastAsia="en-NZ"/>
              </w:rPr>
              <w:t>110</w:t>
            </w:r>
          </w:p>
        </w:tc>
        <w:tc>
          <w:tcPr>
            <w:tcW w:w="2268" w:type="dxa"/>
            <w:shd w:val="clear" w:color="auto" w:fill="auto"/>
            <w:noWrap/>
            <w:hideMark/>
          </w:tcPr>
          <w:p w14:paraId="00F52EE6" w14:textId="77777777" w:rsidR="00AD2DF9" w:rsidRPr="00705F47" w:rsidRDefault="00AD2DF9" w:rsidP="000B769F">
            <w:pPr>
              <w:pStyle w:val="TableText"/>
              <w:tabs>
                <w:tab w:val="decimal" w:pos="1077"/>
              </w:tabs>
              <w:rPr>
                <w:lang w:eastAsia="en-NZ"/>
              </w:rPr>
            </w:pPr>
            <w:r>
              <w:t>0.8%</w:t>
            </w:r>
          </w:p>
        </w:tc>
      </w:tr>
      <w:tr w:rsidR="00AD2DF9" w:rsidRPr="00705F47" w14:paraId="53AA5762" w14:textId="77777777" w:rsidTr="000B769F">
        <w:trPr>
          <w:cantSplit/>
        </w:trPr>
        <w:tc>
          <w:tcPr>
            <w:tcW w:w="3544" w:type="dxa"/>
            <w:shd w:val="clear" w:color="auto" w:fill="auto"/>
            <w:noWrap/>
            <w:hideMark/>
          </w:tcPr>
          <w:p w14:paraId="12E40C3E" w14:textId="77777777" w:rsidR="00AD2DF9" w:rsidRPr="00705F47" w:rsidRDefault="00AD2DF9" w:rsidP="000B769F">
            <w:pPr>
              <w:pStyle w:val="TableText"/>
              <w:rPr>
                <w:lang w:eastAsia="en-NZ"/>
              </w:rPr>
            </w:pPr>
            <w:r w:rsidRPr="00705F47">
              <w:rPr>
                <w:lang w:eastAsia="en-NZ"/>
              </w:rPr>
              <w:t>Other**</w:t>
            </w:r>
          </w:p>
        </w:tc>
        <w:tc>
          <w:tcPr>
            <w:tcW w:w="2268" w:type="dxa"/>
            <w:shd w:val="clear" w:color="auto" w:fill="auto"/>
            <w:noWrap/>
            <w:hideMark/>
          </w:tcPr>
          <w:p w14:paraId="51B66F94" w14:textId="77777777" w:rsidR="00AD2DF9" w:rsidRPr="00705F47" w:rsidRDefault="00AD2DF9" w:rsidP="000B769F">
            <w:pPr>
              <w:pStyle w:val="TableText"/>
              <w:tabs>
                <w:tab w:val="decimal" w:pos="1361"/>
              </w:tabs>
              <w:rPr>
                <w:lang w:eastAsia="en-NZ"/>
              </w:rPr>
            </w:pPr>
            <w:r w:rsidRPr="00705F47">
              <w:rPr>
                <w:lang w:eastAsia="en-NZ"/>
              </w:rPr>
              <w:t>40</w:t>
            </w:r>
          </w:p>
        </w:tc>
        <w:tc>
          <w:tcPr>
            <w:tcW w:w="2268" w:type="dxa"/>
            <w:shd w:val="clear" w:color="auto" w:fill="auto"/>
            <w:noWrap/>
            <w:hideMark/>
          </w:tcPr>
          <w:p w14:paraId="5EE35E6D" w14:textId="77777777" w:rsidR="00AD2DF9" w:rsidRPr="00705F47" w:rsidRDefault="00AD2DF9" w:rsidP="000B769F">
            <w:pPr>
              <w:pStyle w:val="TableText"/>
              <w:tabs>
                <w:tab w:val="decimal" w:pos="1077"/>
              </w:tabs>
              <w:rPr>
                <w:lang w:eastAsia="en-NZ"/>
              </w:rPr>
            </w:pPr>
            <w:r>
              <w:t>0.3%</w:t>
            </w:r>
          </w:p>
        </w:tc>
      </w:tr>
      <w:tr w:rsidR="00AD2DF9" w:rsidRPr="00705F47" w14:paraId="0919FEBC" w14:textId="77777777" w:rsidTr="000B769F">
        <w:trPr>
          <w:cantSplit/>
        </w:trPr>
        <w:tc>
          <w:tcPr>
            <w:tcW w:w="3544" w:type="dxa"/>
            <w:shd w:val="clear" w:color="auto" w:fill="auto"/>
            <w:noWrap/>
            <w:hideMark/>
          </w:tcPr>
          <w:p w14:paraId="48E737FF" w14:textId="77777777" w:rsidR="00AD2DF9" w:rsidRPr="00705F47" w:rsidRDefault="00AD2DF9" w:rsidP="000B769F">
            <w:pPr>
              <w:pStyle w:val="TableText"/>
              <w:rPr>
                <w:lang w:eastAsia="en-NZ"/>
              </w:rPr>
            </w:pPr>
            <w:r w:rsidRPr="00705F47">
              <w:rPr>
                <w:lang w:eastAsia="en-NZ"/>
              </w:rPr>
              <w:t>Natural family planning advice</w:t>
            </w:r>
          </w:p>
        </w:tc>
        <w:tc>
          <w:tcPr>
            <w:tcW w:w="2268" w:type="dxa"/>
            <w:shd w:val="clear" w:color="auto" w:fill="auto"/>
            <w:noWrap/>
            <w:hideMark/>
          </w:tcPr>
          <w:p w14:paraId="695C12F7" w14:textId="77777777" w:rsidR="00AD2DF9" w:rsidRPr="00705F47" w:rsidRDefault="00AD2DF9" w:rsidP="000B769F">
            <w:pPr>
              <w:pStyle w:val="TableText"/>
              <w:tabs>
                <w:tab w:val="decimal" w:pos="1361"/>
              </w:tabs>
              <w:rPr>
                <w:lang w:eastAsia="en-NZ"/>
              </w:rPr>
            </w:pPr>
            <w:r w:rsidRPr="00705F47">
              <w:rPr>
                <w:lang w:eastAsia="en-NZ"/>
              </w:rPr>
              <w:t>6</w:t>
            </w:r>
          </w:p>
        </w:tc>
        <w:tc>
          <w:tcPr>
            <w:tcW w:w="2268" w:type="dxa"/>
            <w:shd w:val="clear" w:color="auto" w:fill="auto"/>
            <w:noWrap/>
            <w:hideMark/>
          </w:tcPr>
          <w:p w14:paraId="0C508C10" w14:textId="77777777" w:rsidR="00AD2DF9" w:rsidRPr="00705F47" w:rsidRDefault="00AD2DF9" w:rsidP="000B769F">
            <w:pPr>
              <w:pStyle w:val="TableText"/>
              <w:tabs>
                <w:tab w:val="decimal" w:pos="1077"/>
              </w:tabs>
              <w:rPr>
                <w:lang w:eastAsia="en-NZ"/>
              </w:rPr>
            </w:pPr>
            <w:r>
              <w:t>0.0%</w:t>
            </w:r>
          </w:p>
        </w:tc>
      </w:tr>
    </w:tbl>
    <w:p w14:paraId="454E1942" w14:textId="77777777" w:rsidR="000E4CE5" w:rsidRDefault="00AD2DF9" w:rsidP="00301720">
      <w:pPr>
        <w:pStyle w:val="Note"/>
        <w:rPr>
          <w:lang w:eastAsia="en-NZ"/>
        </w:rPr>
      </w:pPr>
      <w:r w:rsidRPr="00705F47">
        <w:rPr>
          <w:lang w:eastAsia="en-NZ"/>
        </w:rPr>
        <w:t>Note: 230 of the 13,246 patients were provided more than one contraceptive type so these</w:t>
      </w:r>
      <w:r w:rsidRPr="00705F47">
        <w:t xml:space="preserve"> patients are counted more than once</w:t>
      </w:r>
      <w:r w:rsidRPr="00705F47">
        <w:rPr>
          <w:lang w:eastAsia="en-NZ"/>
        </w:rPr>
        <w:t>.</w:t>
      </w:r>
    </w:p>
    <w:p w14:paraId="602BE433" w14:textId="77777777" w:rsidR="00AD2DF9" w:rsidRPr="00705F47" w:rsidRDefault="00AD2DF9" w:rsidP="00301720">
      <w:pPr>
        <w:pStyle w:val="Note"/>
        <w:ind w:left="284" w:hanging="284"/>
        <w:rPr>
          <w:lang w:eastAsia="en-NZ"/>
        </w:rPr>
      </w:pPr>
      <w:r w:rsidRPr="00705F47">
        <w:rPr>
          <w:lang w:eastAsia="en-NZ"/>
        </w:rPr>
        <w:t>*</w:t>
      </w:r>
      <w:r w:rsidR="00301720">
        <w:rPr>
          <w:lang w:eastAsia="en-NZ"/>
        </w:rPr>
        <w:tab/>
      </w:r>
      <w:r w:rsidR="000E4CE5">
        <w:rPr>
          <w:lang w:eastAsia="en-NZ"/>
        </w:rPr>
        <w:t>‘</w:t>
      </w:r>
      <w:r w:rsidRPr="00705F47">
        <w:rPr>
          <w:lang w:eastAsia="en-NZ"/>
        </w:rPr>
        <w:t>None</w:t>
      </w:r>
      <w:r w:rsidR="000E4CE5">
        <w:rPr>
          <w:lang w:eastAsia="en-NZ"/>
        </w:rPr>
        <w:t>’</w:t>
      </w:r>
      <w:r w:rsidRPr="00705F47">
        <w:rPr>
          <w:lang w:eastAsia="en-NZ"/>
        </w:rPr>
        <w:t xml:space="preserve"> category includes none, declined, patient already has contraception and all </w:t>
      </w:r>
      <w:r w:rsidR="000E4CE5">
        <w:rPr>
          <w:lang w:eastAsia="en-NZ"/>
        </w:rPr>
        <w:t>‘</w:t>
      </w:r>
      <w:r w:rsidRPr="00705F47">
        <w:rPr>
          <w:lang w:eastAsia="en-NZ"/>
        </w:rPr>
        <w:t xml:space="preserve">patient referred to GP, Family Planning or </w:t>
      </w:r>
      <w:r>
        <w:rPr>
          <w:lang w:eastAsia="en-NZ"/>
        </w:rPr>
        <w:t>contraceptive c</w:t>
      </w:r>
      <w:r w:rsidRPr="00705F47">
        <w:rPr>
          <w:lang w:eastAsia="en-NZ"/>
        </w:rPr>
        <w:t>linic</w:t>
      </w:r>
      <w:r w:rsidR="000E4CE5">
        <w:rPr>
          <w:lang w:eastAsia="en-NZ"/>
        </w:rPr>
        <w:t>’</w:t>
      </w:r>
      <w:r w:rsidRPr="00705F47">
        <w:rPr>
          <w:lang w:eastAsia="en-NZ"/>
        </w:rPr>
        <w:t xml:space="preserve"> responses.</w:t>
      </w:r>
    </w:p>
    <w:p w14:paraId="0EDE4F99" w14:textId="77777777" w:rsidR="00AD2DF9" w:rsidRDefault="00AD2DF9" w:rsidP="00301720">
      <w:pPr>
        <w:pStyle w:val="Note"/>
        <w:ind w:left="284" w:hanging="284"/>
        <w:rPr>
          <w:lang w:eastAsia="en-NZ"/>
        </w:rPr>
      </w:pPr>
      <w:r w:rsidRPr="00705F47">
        <w:rPr>
          <w:lang w:eastAsia="en-NZ"/>
        </w:rPr>
        <w:t>**</w:t>
      </w:r>
      <w:r w:rsidR="00301720">
        <w:rPr>
          <w:lang w:eastAsia="en-NZ"/>
        </w:rPr>
        <w:tab/>
      </w:r>
      <w:r w:rsidR="000E4CE5">
        <w:rPr>
          <w:lang w:eastAsia="en-NZ"/>
        </w:rPr>
        <w:t>‘</w:t>
      </w:r>
      <w:r w:rsidRPr="00705F47">
        <w:rPr>
          <w:lang w:eastAsia="en-NZ"/>
        </w:rPr>
        <w:t>Other</w:t>
      </w:r>
      <w:r w:rsidR="000E4CE5">
        <w:rPr>
          <w:lang w:eastAsia="en-NZ"/>
        </w:rPr>
        <w:t>’</w:t>
      </w:r>
      <w:r w:rsidRPr="00705F47">
        <w:rPr>
          <w:lang w:eastAsia="en-NZ"/>
        </w:rPr>
        <w:t xml:space="preserve"> category includes other, patient sterilisation and partner sterilisation responses.</w:t>
      </w:r>
    </w:p>
    <w:p w14:paraId="01A0569C" w14:textId="77777777" w:rsidR="00301720" w:rsidRPr="00301720" w:rsidRDefault="00301720" w:rsidP="000B769F">
      <w:pPr>
        <w:rPr>
          <w:lang w:eastAsia="en-NZ"/>
        </w:rPr>
      </w:pPr>
    </w:p>
    <w:p w14:paraId="7F2750B8" w14:textId="77777777" w:rsidR="00AD2DF9" w:rsidRPr="00705F47" w:rsidRDefault="00AD2DF9" w:rsidP="00301720">
      <w:pPr>
        <w:pStyle w:val="Heading1"/>
        <w:rPr>
          <w:rFonts w:eastAsia="Segoe UI"/>
          <w:lang w:eastAsia="en-NZ"/>
        </w:rPr>
      </w:pPr>
      <w:bookmarkStart w:id="132" w:name="_Toc83037218"/>
      <w:bookmarkStart w:id="133" w:name="_Toc84582318"/>
      <w:r w:rsidRPr="00705F47">
        <w:rPr>
          <w:rFonts w:eastAsia="Segoe UI"/>
          <w:lang w:eastAsia="en-NZ"/>
        </w:rPr>
        <w:lastRenderedPageBreak/>
        <w:t>Methodology</w:t>
      </w:r>
      <w:bookmarkEnd w:id="132"/>
      <w:bookmarkEnd w:id="133"/>
    </w:p>
    <w:p w14:paraId="2250AFF0" w14:textId="77777777" w:rsidR="000E4CE5" w:rsidRDefault="00AD2DF9" w:rsidP="00301720">
      <w:pPr>
        <w:rPr>
          <w:rFonts w:eastAsia="Segoe UI"/>
        </w:rPr>
      </w:pPr>
      <w:r w:rsidRPr="00705F47">
        <w:rPr>
          <w:rFonts w:eastAsia="Segoe UI"/>
        </w:rPr>
        <w:t>For every abortion carried out in New Zealand, as approved under the Contraception, Sterilisation and Abortion Act 1977, the provider must complete an electronic notification of abortion within one month of the abortion.</w:t>
      </w:r>
    </w:p>
    <w:p w14:paraId="0C7A4A68" w14:textId="77777777" w:rsidR="00301720" w:rsidRDefault="00301720" w:rsidP="00301720">
      <w:pPr>
        <w:rPr>
          <w:rFonts w:eastAsia="Segoe UI"/>
        </w:rPr>
      </w:pPr>
    </w:p>
    <w:p w14:paraId="4A851E72" w14:textId="77777777" w:rsidR="00AD2DF9" w:rsidRDefault="00AD2DF9" w:rsidP="00C71F08">
      <w:pPr>
        <w:rPr>
          <w:rFonts w:eastAsia="Segoe UI"/>
        </w:rPr>
      </w:pPr>
      <w:r w:rsidRPr="00705F47">
        <w:rPr>
          <w:rFonts w:eastAsia="Segoe UI"/>
        </w:rPr>
        <w:t>Providers send their forms to the Ministry of Health, which collates the data. The Ministry relies on providers submitting accurate data. Any clear errors or omissions on abortion notifications are referred to providers for correction.</w:t>
      </w:r>
    </w:p>
    <w:p w14:paraId="6FEDCAC3" w14:textId="77777777" w:rsidR="00C71F08" w:rsidRPr="00705F47" w:rsidRDefault="00C71F08" w:rsidP="00C71F08">
      <w:pPr>
        <w:rPr>
          <w:rFonts w:eastAsia="Segoe UI"/>
        </w:rPr>
      </w:pPr>
    </w:p>
    <w:p w14:paraId="10888265" w14:textId="77777777" w:rsidR="000E4CE5" w:rsidRDefault="00AD2DF9" w:rsidP="00C71F08">
      <w:pPr>
        <w:rPr>
          <w:rFonts w:eastAsia="Segoe UI"/>
        </w:rPr>
      </w:pPr>
      <w:r w:rsidRPr="00705F47">
        <w:rPr>
          <w:rFonts w:eastAsia="Segoe UI"/>
        </w:rPr>
        <w:t>Abortion data included in this annual report covers the period 1 January to 31</w:t>
      </w:r>
      <w:r w:rsidR="00C71F08">
        <w:rPr>
          <w:rFonts w:eastAsia="Segoe UI"/>
        </w:rPr>
        <w:t> </w:t>
      </w:r>
      <w:r w:rsidRPr="00705F47">
        <w:rPr>
          <w:rFonts w:eastAsia="Segoe UI"/>
        </w:rPr>
        <w:t>December 2020.</w:t>
      </w:r>
    </w:p>
    <w:p w14:paraId="5FFF115D" w14:textId="77777777" w:rsidR="00C71F08" w:rsidRDefault="00C71F08" w:rsidP="00C71F08">
      <w:pPr>
        <w:rPr>
          <w:rFonts w:eastAsia="Segoe UI"/>
        </w:rPr>
      </w:pPr>
    </w:p>
    <w:p w14:paraId="574A1139" w14:textId="77777777" w:rsidR="00AD2DF9" w:rsidRPr="00705F47" w:rsidRDefault="00AD2DF9" w:rsidP="00C71F08">
      <w:pPr>
        <w:pStyle w:val="Heading1"/>
        <w:rPr>
          <w:rFonts w:eastAsia="Segoe UI"/>
        </w:rPr>
      </w:pPr>
      <w:bookmarkStart w:id="134" w:name="_Toc83037219"/>
      <w:bookmarkStart w:id="135" w:name="_Toc84582319"/>
      <w:r w:rsidRPr="00705F47">
        <w:rPr>
          <w:rFonts w:eastAsia="Segoe UI"/>
        </w:rPr>
        <w:lastRenderedPageBreak/>
        <w:t>Data definitions</w:t>
      </w:r>
      <w:bookmarkEnd w:id="134"/>
      <w:bookmarkEnd w:id="135"/>
    </w:p>
    <w:p w14:paraId="4F839BE3" w14:textId="77777777" w:rsidR="00AD2DF9" w:rsidRPr="00C71F08" w:rsidRDefault="00AD2DF9" w:rsidP="00C71F08">
      <w:pPr>
        <w:rPr>
          <w:rFonts w:eastAsia="Segoe UI"/>
        </w:rPr>
      </w:pPr>
      <w:r w:rsidRPr="00705F47">
        <w:rPr>
          <w:rFonts w:eastAsia="Segoe UI"/>
          <w:b/>
          <w:bCs/>
        </w:rPr>
        <w:t>Abortion population</w:t>
      </w:r>
      <w:r w:rsidRPr="00705F47">
        <w:rPr>
          <w:rFonts w:eastAsia="Segoe UI"/>
        </w:rPr>
        <w:t>: All abortions notified to the Ministry of Health by abortion providers in New Zealand.</w:t>
      </w:r>
    </w:p>
    <w:p w14:paraId="070027B0" w14:textId="77777777" w:rsidR="000E4CE5" w:rsidRDefault="00AD2DF9" w:rsidP="00C71F08">
      <w:pPr>
        <w:spacing w:before="240"/>
        <w:rPr>
          <w:rFonts w:eastAsia="Segoe UI"/>
        </w:rPr>
      </w:pPr>
      <w:r w:rsidRPr="00705F47">
        <w:rPr>
          <w:rFonts w:eastAsia="Segoe UI"/>
          <w:b/>
          <w:bCs/>
        </w:rPr>
        <w:t>Abortion ratio</w:t>
      </w:r>
      <w:r w:rsidRPr="00705F47">
        <w:rPr>
          <w:rFonts w:eastAsia="Segoe UI"/>
        </w:rPr>
        <w:t>: The proportion of pregnancies terminated by abortions. The standard for abortion ratios used was the number of induced abortions per 1,000 known pregnancies (live births, stillbirths and abortions combined). Tatauranga Aotearoa Statistics New Zealand uses this same standard.</w:t>
      </w:r>
    </w:p>
    <w:p w14:paraId="2BFF44B5" w14:textId="77777777" w:rsidR="00AD2DF9" w:rsidRDefault="00AD2DF9" w:rsidP="00C71F08">
      <w:pPr>
        <w:spacing w:before="240"/>
        <w:rPr>
          <w:rFonts w:eastAsia="Segoe UI"/>
        </w:rPr>
      </w:pPr>
      <w:r w:rsidRPr="00705F47">
        <w:rPr>
          <w:rFonts w:eastAsia="Segoe UI"/>
          <w:b/>
          <w:bCs/>
        </w:rPr>
        <w:t>General abortion rate:</w:t>
      </w:r>
      <w:r w:rsidRPr="00705F47">
        <w:rPr>
          <w:rFonts w:eastAsia="Segoe UI"/>
        </w:rPr>
        <w:t xml:space="preserve"> Total abortions per 1,000 women aged 15–44 years based on Tatauranga Aotearoa Statistics New Zealand</w:t>
      </w:r>
      <w:r w:rsidR="000E4CE5">
        <w:rPr>
          <w:rFonts w:eastAsia="Segoe UI"/>
        </w:rPr>
        <w:t>’</w:t>
      </w:r>
      <w:r w:rsidRPr="00705F47">
        <w:rPr>
          <w:rFonts w:eastAsia="Segoe UI"/>
        </w:rPr>
        <w:t>s population estimates, mean year ended 31</w:t>
      </w:r>
      <w:r w:rsidR="00C71F08">
        <w:rPr>
          <w:rFonts w:eastAsia="Segoe UI"/>
        </w:rPr>
        <w:t> </w:t>
      </w:r>
      <w:r w:rsidRPr="00705F47">
        <w:rPr>
          <w:rFonts w:eastAsia="Segoe UI"/>
        </w:rPr>
        <w:t>December 2020, Census 2018 base.</w:t>
      </w:r>
    </w:p>
    <w:p w14:paraId="7AFBAF50" w14:textId="77777777" w:rsidR="00C71F08" w:rsidRPr="00705F47" w:rsidRDefault="00C71F08" w:rsidP="00C71F08">
      <w:pPr>
        <w:rPr>
          <w:rFonts w:eastAsia="Segoe UI"/>
        </w:rPr>
      </w:pPr>
    </w:p>
    <w:p w14:paraId="24818EEB" w14:textId="77777777" w:rsidR="00AD2DF9" w:rsidRPr="00705F47" w:rsidRDefault="00AD2DF9" w:rsidP="00C71F08">
      <w:pPr>
        <w:pStyle w:val="Heading1"/>
      </w:pPr>
      <w:bookmarkStart w:id="136" w:name="_Toc2753224"/>
      <w:bookmarkStart w:id="137" w:name="_Toc83037220"/>
      <w:bookmarkStart w:id="138" w:name="_Toc84582320"/>
      <w:r w:rsidRPr="00705F47">
        <w:lastRenderedPageBreak/>
        <w:t>References</w:t>
      </w:r>
      <w:bookmarkEnd w:id="136"/>
      <w:bookmarkEnd w:id="137"/>
      <w:bookmarkEnd w:id="138"/>
    </w:p>
    <w:p w14:paraId="195494C8" w14:textId="77777777" w:rsidR="00AD2DF9" w:rsidRPr="00705F47" w:rsidRDefault="00AD2DF9" w:rsidP="00C71F08">
      <w:pPr>
        <w:pStyle w:val="References"/>
      </w:pPr>
      <w:r w:rsidRPr="00705F47">
        <w:t xml:space="preserve">ASC. 2020. </w:t>
      </w:r>
      <w:r w:rsidRPr="00FF59A5">
        <w:rPr>
          <w:i/>
        </w:rPr>
        <w:t>Report of the Abortion Supervisory Committee 2020</w:t>
      </w:r>
      <w:r w:rsidRPr="00705F47">
        <w:t xml:space="preserve">. Wellington: Abortion Supervisory Committee. URL: </w:t>
      </w:r>
      <w:hyperlink r:id="rId36" w:history="1">
        <w:r w:rsidRPr="00705F47">
          <w:rPr>
            <w:rStyle w:val="Hyperlink"/>
            <w:rFonts w:cs="Segoe UI"/>
            <w:szCs w:val="22"/>
          </w:rPr>
          <w:t>https://www.justice.govt.nz/assets/Documents/Publications/ASC-Annual-Report-2020.pdf</w:t>
        </w:r>
      </w:hyperlink>
      <w:r w:rsidRPr="00705F47">
        <w:t xml:space="preserve"> (accessed 5 September 2021).</w:t>
      </w:r>
    </w:p>
    <w:p w14:paraId="5CDC741A" w14:textId="77777777" w:rsidR="00AD2DF9" w:rsidRPr="00705F47" w:rsidRDefault="00AD2DF9" w:rsidP="00C71F08">
      <w:pPr>
        <w:pStyle w:val="References"/>
      </w:pPr>
      <w:bookmarkStart w:id="139" w:name="_Hlk81750153"/>
      <w:r w:rsidRPr="00705F47">
        <w:t xml:space="preserve">Ministry of Health. 2021. </w:t>
      </w:r>
      <w:r w:rsidRPr="0038181A">
        <w:rPr>
          <w:rFonts w:cs="Segoe UI"/>
          <w:i/>
          <w:szCs w:val="22"/>
        </w:rPr>
        <w:t>New Zealand Aotearoa Abortion Clinical Guideline</w:t>
      </w:r>
      <w:r w:rsidRPr="00705F47">
        <w:rPr>
          <w:rFonts w:cs="Segoe UI"/>
          <w:szCs w:val="22"/>
        </w:rPr>
        <w:t>. Wellington: Ministry of Health.</w:t>
      </w:r>
    </w:p>
    <w:p w14:paraId="105EF32C" w14:textId="77777777" w:rsidR="00AD2DF9" w:rsidRDefault="00AD2DF9" w:rsidP="00C71F08">
      <w:pPr>
        <w:pStyle w:val="References"/>
      </w:pPr>
      <w:bookmarkStart w:id="140" w:name="_Toc2753225"/>
      <w:bookmarkEnd w:id="139"/>
      <w:r w:rsidRPr="00705F47">
        <w:rPr>
          <w:w w:val="105"/>
        </w:rPr>
        <w:t xml:space="preserve">Statistics New Zealand. 2020. Abortion statistics. Retrieved from </w:t>
      </w:r>
      <w:hyperlink r:id="rId37" w:history="1">
        <w:r w:rsidRPr="00705F47">
          <w:rPr>
            <w:rStyle w:val="Hyperlink"/>
            <w:rFonts w:cs="Segoe UI"/>
            <w:szCs w:val="22"/>
          </w:rPr>
          <w:t>https://www.stats.govt.nz/topics/abortions</w:t>
        </w:r>
      </w:hyperlink>
      <w:r w:rsidRPr="00705F47">
        <w:t xml:space="preserve"> (accessed 5 September 2021)</w:t>
      </w:r>
      <w:bookmarkEnd w:id="140"/>
      <w:r w:rsidRPr="00705F47">
        <w:t>.</w:t>
      </w:r>
    </w:p>
    <w:p w14:paraId="25A39DC7" w14:textId="77777777" w:rsidR="00C71F08" w:rsidRPr="00705F47" w:rsidRDefault="00C71F08" w:rsidP="00C71F08"/>
    <w:p w14:paraId="10E89704" w14:textId="77777777" w:rsidR="00AD2DF9" w:rsidRPr="00705F47" w:rsidRDefault="00AD2DF9" w:rsidP="00E26841">
      <w:pPr>
        <w:pStyle w:val="Heading1"/>
        <w:rPr>
          <w:w w:val="105"/>
        </w:rPr>
      </w:pPr>
      <w:bookmarkStart w:id="141" w:name="_Toc83037221"/>
      <w:bookmarkStart w:id="142" w:name="_Toc84582321"/>
      <w:r w:rsidRPr="00705F47">
        <w:rPr>
          <w:w w:val="105"/>
        </w:rPr>
        <w:lastRenderedPageBreak/>
        <w:t>Related legislation</w:t>
      </w:r>
      <w:bookmarkEnd w:id="141"/>
      <w:bookmarkEnd w:id="142"/>
    </w:p>
    <w:p w14:paraId="45F61F03" w14:textId="77777777" w:rsidR="00AD2DF9" w:rsidRPr="00705F47" w:rsidRDefault="00AD2DF9" w:rsidP="00E26841">
      <w:pPr>
        <w:pStyle w:val="References"/>
      </w:pPr>
      <w:r w:rsidRPr="00705F47">
        <w:t>Contraception, Sterilisation and Abortion Act 1977.</w:t>
      </w:r>
      <w:r w:rsidR="000E4CE5">
        <w:t xml:space="preserve"> </w:t>
      </w:r>
      <w:r w:rsidRPr="00705F47">
        <w:t xml:space="preserve">Retrieved from </w:t>
      </w:r>
      <w:hyperlink r:id="rId38" w:history="1">
        <w:r w:rsidRPr="00705F47">
          <w:rPr>
            <w:rStyle w:val="Hyperlink"/>
            <w:rFonts w:cs="Segoe UI"/>
            <w:szCs w:val="22"/>
          </w:rPr>
          <w:t>https://www.legislation.govt.nz/act/public/1977/0112/latest/DLM17680.html</w:t>
        </w:r>
      </w:hyperlink>
      <w:r w:rsidRPr="00705F47">
        <w:t xml:space="preserve"> (accessed 5 September 2021).</w:t>
      </w:r>
    </w:p>
    <w:p w14:paraId="0E109687" w14:textId="77777777" w:rsidR="00AD2DF9" w:rsidRPr="00705F47" w:rsidRDefault="00AD2DF9" w:rsidP="00E26841">
      <w:pPr>
        <w:pStyle w:val="References"/>
      </w:pPr>
      <w:r w:rsidRPr="00705F47">
        <w:t>Contraception, Sterilisation and Abortion (Safe Areas) Amendment Bill 310-1 (2020).</w:t>
      </w:r>
      <w:r w:rsidR="000E4CE5">
        <w:t xml:space="preserve"> </w:t>
      </w:r>
      <w:r w:rsidRPr="00705F47">
        <w:t xml:space="preserve">Retrieved from </w:t>
      </w:r>
      <w:hyperlink r:id="rId39" w:anchor="LMS378596" w:history="1">
        <w:r w:rsidRPr="00705F47">
          <w:rPr>
            <w:rStyle w:val="Hyperlink"/>
            <w:rFonts w:cs="Segoe UI"/>
            <w:szCs w:val="22"/>
          </w:rPr>
          <w:t>Contraception, Sterilisation, and Abortion (Safe Areas) Amendment Bill 310-1 (2020), Members Bill – New Zealand Legislation</w:t>
        </w:r>
      </w:hyperlink>
      <w:r w:rsidRPr="00705F47">
        <w:t xml:space="preserve"> (accessed 5</w:t>
      </w:r>
      <w:r w:rsidR="00E26841">
        <w:t> </w:t>
      </w:r>
      <w:r w:rsidRPr="00705F47">
        <w:t>September 2021).</w:t>
      </w:r>
    </w:p>
    <w:p w14:paraId="2D6B63C1" w14:textId="77777777" w:rsidR="00AD2DF9" w:rsidRPr="00705F47" w:rsidRDefault="00AD2DF9" w:rsidP="00E26841">
      <w:pPr>
        <w:pStyle w:val="References"/>
      </w:pPr>
      <w:r w:rsidRPr="00705F47">
        <w:t xml:space="preserve">Crimes Act 1961. Retrieved from </w:t>
      </w:r>
      <w:hyperlink r:id="rId40" w:history="1">
        <w:r w:rsidRPr="00705F47">
          <w:rPr>
            <w:rStyle w:val="Hyperlink"/>
            <w:rFonts w:cs="Segoe UI"/>
            <w:szCs w:val="22"/>
          </w:rPr>
          <w:t>https://www.legislation.govt.nz/act/public/1961/0043/latest/DLM327382.html</w:t>
        </w:r>
      </w:hyperlink>
      <w:r w:rsidRPr="00705F47">
        <w:t xml:space="preserve"> (accessed 5 September 2021).</w:t>
      </w:r>
    </w:p>
    <w:p w14:paraId="0BDEAB1F" w14:textId="77777777" w:rsidR="0082081A" w:rsidRDefault="0082081A" w:rsidP="00E26841"/>
    <w:sectPr w:rsidR="0082081A" w:rsidSect="002B7BEC">
      <w:footerReference w:type="even" r:id="rId41"/>
      <w:footerReference w:type="default" r:id="rId42"/>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14B01" w14:textId="77777777" w:rsidR="009E3B78" w:rsidRDefault="009E3B78">
      <w:r>
        <w:separator/>
      </w:r>
    </w:p>
    <w:p w14:paraId="0537516A" w14:textId="77777777" w:rsidR="009E3B78" w:rsidRDefault="009E3B78"/>
  </w:endnote>
  <w:endnote w:type="continuationSeparator" w:id="0">
    <w:p w14:paraId="1086D3E1" w14:textId="77777777" w:rsidR="009E3B78" w:rsidRDefault="009E3B78">
      <w:r>
        <w:continuationSeparator/>
      </w:r>
    </w:p>
    <w:p w14:paraId="1F7B0CAC" w14:textId="77777777" w:rsidR="009E3B78" w:rsidRDefault="009E3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6705" w14:textId="77777777" w:rsidR="001C1DD1" w:rsidRPr="00581136" w:rsidRDefault="001C1DD1"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737D1596" w14:textId="77777777" w:rsidR="001C1DD1" w:rsidRPr="005A79E5" w:rsidRDefault="001C1DD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B811" w14:textId="77777777" w:rsidR="001C1DD1" w:rsidRDefault="001C1DD1"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2D566" w14:textId="77777777" w:rsidR="001C1DD1" w:rsidRDefault="001C1D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C1DD1" w14:paraId="157FE88C" w14:textId="77777777" w:rsidTr="00D662F8">
      <w:trPr>
        <w:cantSplit/>
      </w:trPr>
      <w:tc>
        <w:tcPr>
          <w:tcW w:w="709" w:type="dxa"/>
          <w:vAlign w:val="center"/>
        </w:tcPr>
        <w:p w14:paraId="53969F4F" w14:textId="77777777" w:rsidR="001C1DD1" w:rsidRPr="00931466" w:rsidRDefault="001C1DD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74746">
            <w:rPr>
              <w:rStyle w:val="PageNumber"/>
              <w:noProof/>
            </w:rPr>
            <w:t>iv</w:t>
          </w:r>
          <w:r w:rsidRPr="00931466">
            <w:rPr>
              <w:rStyle w:val="PageNumber"/>
            </w:rPr>
            <w:fldChar w:fldCharType="end"/>
          </w:r>
        </w:p>
      </w:tc>
      <w:tc>
        <w:tcPr>
          <w:tcW w:w="8080" w:type="dxa"/>
          <w:vAlign w:val="center"/>
        </w:tcPr>
        <w:p w14:paraId="546A8512" w14:textId="77777777" w:rsidR="001C1DD1" w:rsidRDefault="001C1DD1" w:rsidP="00E82C4D">
          <w:pPr>
            <w:pStyle w:val="RectoFooter"/>
            <w:jc w:val="left"/>
          </w:pPr>
          <w:r>
            <w:t>abortion services aotearoa new zealand: annual report</w:t>
          </w:r>
        </w:p>
      </w:tc>
    </w:tr>
  </w:tbl>
  <w:p w14:paraId="6708F0A3" w14:textId="77777777" w:rsidR="001C1DD1" w:rsidRPr="00571223" w:rsidRDefault="001C1DD1"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C1DD1" w14:paraId="67C214DD" w14:textId="77777777" w:rsidTr="006E2886">
      <w:trPr>
        <w:cantSplit/>
      </w:trPr>
      <w:tc>
        <w:tcPr>
          <w:tcW w:w="8080" w:type="dxa"/>
          <w:vAlign w:val="center"/>
        </w:tcPr>
        <w:p w14:paraId="14FE04B6" w14:textId="77777777" w:rsidR="001C1DD1" w:rsidRDefault="001C1DD1" w:rsidP="00677FDE">
          <w:pPr>
            <w:pStyle w:val="RectoFooter"/>
          </w:pPr>
          <w:r>
            <w:t>abortion services aotearoa new zealand: annual report</w:t>
          </w:r>
        </w:p>
      </w:tc>
      <w:tc>
        <w:tcPr>
          <w:tcW w:w="709" w:type="dxa"/>
          <w:vAlign w:val="center"/>
        </w:tcPr>
        <w:p w14:paraId="70076BDE" w14:textId="77777777" w:rsidR="001C1DD1" w:rsidRPr="00931466" w:rsidRDefault="001C1DD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74746">
            <w:rPr>
              <w:rStyle w:val="PageNumber"/>
              <w:noProof/>
            </w:rPr>
            <w:t>iii</w:t>
          </w:r>
          <w:r w:rsidRPr="00931466">
            <w:rPr>
              <w:rStyle w:val="PageNumber"/>
            </w:rPr>
            <w:fldChar w:fldCharType="end"/>
          </w:r>
        </w:p>
      </w:tc>
    </w:tr>
  </w:tbl>
  <w:p w14:paraId="1BA74DCF" w14:textId="77777777" w:rsidR="001C1DD1" w:rsidRPr="00581EB8" w:rsidRDefault="001C1DD1"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1C1DD1" w14:paraId="2D56AFC7" w14:textId="77777777" w:rsidTr="006E2886">
      <w:trPr>
        <w:cantSplit/>
      </w:trPr>
      <w:tc>
        <w:tcPr>
          <w:tcW w:w="675" w:type="dxa"/>
          <w:vAlign w:val="center"/>
        </w:tcPr>
        <w:p w14:paraId="28500032" w14:textId="77777777" w:rsidR="001C1DD1" w:rsidRPr="00931466" w:rsidRDefault="001C1DD1"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74746">
            <w:rPr>
              <w:rStyle w:val="PageNumber"/>
              <w:noProof/>
            </w:rPr>
            <w:t>30</w:t>
          </w:r>
          <w:r w:rsidRPr="00931466">
            <w:rPr>
              <w:rStyle w:val="PageNumber"/>
            </w:rPr>
            <w:fldChar w:fldCharType="end"/>
          </w:r>
        </w:p>
      </w:tc>
      <w:tc>
        <w:tcPr>
          <w:tcW w:w="9072" w:type="dxa"/>
          <w:vAlign w:val="center"/>
        </w:tcPr>
        <w:p w14:paraId="20245828" w14:textId="77777777" w:rsidR="001C1DD1" w:rsidRDefault="001C1DD1" w:rsidP="00677FDE">
          <w:pPr>
            <w:pStyle w:val="RectoFooter"/>
            <w:ind w:left="-108"/>
            <w:jc w:val="left"/>
          </w:pPr>
          <w:r>
            <w:t>abortion services aotearoa new zealand: annual report</w:t>
          </w:r>
        </w:p>
      </w:tc>
    </w:tr>
  </w:tbl>
  <w:p w14:paraId="71A23670" w14:textId="77777777" w:rsidR="001C1DD1" w:rsidRPr="00571223" w:rsidRDefault="001C1DD1"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C1DD1" w14:paraId="2E1EA44E" w14:textId="77777777" w:rsidTr="006E2886">
      <w:trPr>
        <w:cantSplit/>
      </w:trPr>
      <w:tc>
        <w:tcPr>
          <w:tcW w:w="8080" w:type="dxa"/>
          <w:vAlign w:val="center"/>
        </w:tcPr>
        <w:p w14:paraId="234A3D67" w14:textId="77777777" w:rsidR="001C1DD1" w:rsidRDefault="001C1DD1" w:rsidP="00677FDE">
          <w:pPr>
            <w:pStyle w:val="RectoFooter"/>
          </w:pPr>
          <w:r>
            <w:t>abortion services aotearoa new zealand: annual report</w:t>
          </w:r>
        </w:p>
      </w:tc>
      <w:tc>
        <w:tcPr>
          <w:tcW w:w="709" w:type="dxa"/>
          <w:vAlign w:val="center"/>
        </w:tcPr>
        <w:p w14:paraId="72226F8F" w14:textId="77777777" w:rsidR="001C1DD1" w:rsidRPr="00931466" w:rsidRDefault="001C1DD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74746">
            <w:rPr>
              <w:rStyle w:val="PageNumber"/>
              <w:noProof/>
            </w:rPr>
            <w:t>29</w:t>
          </w:r>
          <w:r w:rsidRPr="00931466">
            <w:rPr>
              <w:rStyle w:val="PageNumber"/>
            </w:rPr>
            <w:fldChar w:fldCharType="end"/>
          </w:r>
        </w:p>
      </w:tc>
    </w:tr>
  </w:tbl>
  <w:p w14:paraId="689218C7" w14:textId="77777777" w:rsidR="001C1DD1" w:rsidRPr="00581EB8" w:rsidRDefault="001C1DD1"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0291A" w14:textId="77777777" w:rsidR="009E3B78" w:rsidRPr="00A26E6B" w:rsidRDefault="009E3B78" w:rsidP="00A26E6B"/>
  </w:footnote>
  <w:footnote w:type="continuationSeparator" w:id="0">
    <w:p w14:paraId="16D80130" w14:textId="77777777" w:rsidR="009E3B78" w:rsidRDefault="009E3B78">
      <w:r>
        <w:continuationSeparator/>
      </w:r>
    </w:p>
    <w:p w14:paraId="77B2467B" w14:textId="77777777" w:rsidR="009E3B78" w:rsidRDefault="009E3B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1C1DD1" w14:paraId="7F47FCF2" w14:textId="77777777" w:rsidTr="005A79E5">
      <w:trPr>
        <w:cantSplit/>
      </w:trPr>
      <w:tc>
        <w:tcPr>
          <w:tcW w:w="5210" w:type="dxa"/>
        </w:tcPr>
        <w:p w14:paraId="04CFA60B" w14:textId="77777777" w:rsidR="001C1DD1" w:rsidRDefault="001C1DD1" w:rsidP="008814E8">
          <w:pPr>
            <w:pStyle w:val="Header"/>
          </w:pPr>
          <w:r>
            <w:rPr>
              <w:noProof/>
              <w:lang w:eastAsia="en-NZ"/>
            </w:rPr>
            <w:drawing>
              <wp:inline distT="0" distB="0" distL="0" distR="0" wp14:anchorId="163B6BE2" wp14:editId="55D5E624">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2D21A873" w14:textId="77777777" w:rsidR="001C1DD1" w:rsidRDefault="001C1DD1" w:rsidP="008814E8">
          <w:pPr>
            <w:pStyle w:val="Header"/>
            <w:jc w:val="right"/>
          </w:pPr>
          <w:r>
            <w:rPr>
              <w:noProof/>
              <w:lang w:eastAsia="en-NZ"/>
            </w:rPr>
            <w:drawing>
              <wp:inline distT="0" distB="0" distL="0" distR="0" wp14:anchorId="0D9E1F68" wp14:editId="13CB8AA4">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07BFC076" w14:textId="77777777" w:rsidR="001C1DD1" w:rsidRDefault="001C1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7357" w14:textId="77777777" w:rsidR="001C1DD1" w:rsidRDefault="001C1DD1"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4FF22" w14:textId="77777777" w:rsidR="001C1DD1" w:rsidRDefault="001C1DD1"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0761BE"/>
    <w:multiLevelType w:val="multilevel"/>
    <w:tmpl w:val="0C3808B8"/>
    <w:lvl w:ilvl="0">
      <w:start w:val="1"/>
      <w:numFmt w:val="none"/>
      <w:pStyle w:val="Heading1"/>
      <w:suff w:val="nothing"/>
      <w:lvlText w:val="%1"/>
      <w:lvlJc w:val="left"/>
      <w:pPr>
        <w:ind w:left="0" w:firstLine="0"/>
      </w:pPr>
      <w:rPr>
        <w:rFonts w:hint="default"/>
      </w:rPr>
    </w:lvl>
    <w:lvl w:ilvl="1">
      <w:start w:val="1"/>
      <w:numFmt w:val="decimal"/>
      <w:pStyle w:val="Heading2"/>
      <w:lvlText w:val="%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2"/>
  </w:num>
  <w:num w:numId="3">
    <w:abstractNumId w:val="4"/>
  </w:num>
  <w:num w:numId="4">
    <w:abstractNumId w:val="1"/>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11DB0"/>
    <w:rsid w:val="00025A6F"/>
    <w:rsid w:val="0002618D"/>
    <w:rsid w:val="00026427"/>
    <w:rsid w:val="00030B26"/>
    <w:rsid w:val="00030E84"/>
    <w:rsid w:val="00032C0A"/>
    <w:rsid w:val="00035257"/>
    <w:rsid w:val="00035D68"/>
    <w:rsid w:val="00036027"/>
    <w:rsid w:val="000419A9"/>
    <w:rsid w:val="00042E4E"/>
    <w:rsid w:val="00045613"/>
    <w:rsid w:val="00047899"/>
    <w:rsid w:val="00053921"/>
    <w:rsid w:val="00054B44"/>
    <w:rsid w:val="0006006B"/>
    <w:rsid w:val="00060E51"/>
    <w:rsid w:val="0006228D"/>
    <w:rsid w:val="00072BD6"/>
    <w:rsid w:val="00075B78"/>
    <w:rsid w:val="000763E9"/>
    <w:rsid w:val="00082CD6"/>
    <w:rsid w:val="0008437D"/>
    <w:rsid w:val="00085AFE"/>
    <w:rsid w:val="00094800"/>
    <w:rsid w:val="000A0158"/>
    <w:rsid w:val="000A373D"/>
    <w:rsid w:val="000A41ED"/>
    <w:rsid w:val="000B0730"/>
    <w:rsid w:val="000B769F"/>
    <w:rsid w:val="000D19F4"/>
    <w:rsid w:val="000D58DD"/>
    <w:rsid w:val="000E355B"/>
    <w:rsid w:val="000E4CE5"/>
    <w:rsid w:val="000F1F42"/>
    <w:rsid w:val="000F2AE2"/>
    <w:rsid w:val="000F2BFF"/>
    <w:rsid w:val="00102063"/>
    <w:rsid w:val="0010541C"/>
    <w:rsid w:val="00105770"/>
    <w:rsid w:val="00106F93"/>
    <w:rsid w:val="00111D50"/>
    <w:rsid w:val="00113B8E"/>
    <w:rsid w:val="00117F59"/>
    <w:rsid w:val="0012053C"/>
    <w:rsid w:val="00122363"/>
    <w:rsid w:val="00125D45"/>
    <w:rsid w:val="00131D9E"/>
    <w:rsid w:val="001342C7"/>
    <w:rsid w:val="0013585C"/>
    <w:rsid w:val="00142261"/>
    <w:rsid w:val="00142954"/>
    <w:rsid w:val="001460E0"/>
    <w:rsid w:val="001472F0"/>
    <w:rsid w:val="00147F71"/>
    <w:rsid w:val="00150A6E"/>
    <w:rsid w:val="00156936"/>
    <w:rsid w:val="0016304B"/>
    <w:rsid w:val="0016318F"/>
    <w:rsid w:val="0016468A"/>
    <w:rsid w:val="0017070E"/>
    <w:rsid w:val="00174F02"/>
    <w:rsid w:val="0018376C"/>
    <w:rsid w:val="0018662D"/>
    <w:rsid w:val="00197427"/>
    <w:rsid w:val="001A21B4"/>
    <w:rsid w:val="001A5CF5"/>
    <w:rsid w:val="001B39D2"/>
    <w:rsid w:val="001B4BF8"/>
    <w:rsid w:val="001B7B14"/>
    <w:rsid w:val="001C1DD1"/>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2E9F"/>
    <w:rsid w:val="00233846"/>
    <w:rsid w:val="00234154"/>
    <w:rsid w:val="002408C3"/>
    <w:rsid w:val="00245748"/>
    <w:rsid w:val="00246DB1"/>
    <w:rsid w:val="002476B5"/>
    <w:rsid w:val="002520CC"/>
    <w:rsid w:val="00253ECF"/>
    <w:rsid w:val="00254044"/>
    <w:rsid w:val="002546A1"/>
    <w:rsid w:val="00256C70"/>
    <w:rsid w:val="002575E8"/>
    <w:rsid w:val="00257EF1"/>
    <w:rsid w:val="002628F4"/>
    <w:rsid w:val="00275D08"/>
    <w:rsid w:val="0027618D"/>
    <w:rsid w:val="002839AF"/>
    <w:rsid w:val="002858E3"/>
    <w:rsid w:val="0029190A"/>
    <w:rsid w:val="00292C5A"/>
    <w:rsid w:val="00295241"/>
    <w:rsid w:val="002A4DFC"/>
    <w:rsid w:val="002B047D"/>
    <w:rsid w:val="002B732B"/>
    <w:rsid w:val="002B76A7"/>
    <w:rsid w:val="002B7BEC"/>
    <w:rsid w:val="002C2219"/>
    <w:rsid w:val="002C2552"/>
    <w:rsid w:val="002C380A"/>
    <w:rsid w:val="002C6D18"/>
    <w:rsid w:val="002D0DF2"/>
    <w:rsid w:val="002D23BD"/>
    <w:rsid w:val="002D3F07"/>
    <w:rsid w:val="002E0B47"/>
    <w:rsid w:val="002E3D87"/>
    <w:rsid w:val="002F3A0D"/>
    <w:rsid w:val="002F4685"/>
    <w:rsid w:val="002F7213"/>
    <w:rsid w:val="00301720"/>
    <w:rsid w:val="0030382F"/>
    <w:rsid w:val="0030408D"/>
    <w:rsid w:val="003060E4"/>
    <w:rsid w:val="00312CA5"/>
    <w:rsid w:val="003160E7"/>
    <w:rsid w:val="0031739E"/>
    <w:rsid w:val="00317DA3"/>
    <w:rsid w:val="003212F4"/>
    <w:rsid w:val="00321381"/>
    <w:rsid w:val="003235C6"/>
    <w:rsid w:val="003309CA"/>
    <w:rsid w:val="003325AB"/>
    <w:rsid w:val="003332D1"/>
    <w:rsid w:val="0033412B"/>
    <w:rsid w:val="0033448B"/>
    <w:rsid w:val="00341161"/>
    <w:rsid w:val="00342653"/>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B2919"/>
    <w:rsid w:val="003C12CA"/>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2F96"/>
    <w:rsid w:val="00413021"/>
    <w:rsid w:val="00414C35"/>
    <w:rsid w:val="0041676E"/>
    <w:rsid w:val="004171B7"/>
    <w:rsid w:val="0041779A"/>
    <w:rsid w:val="004301C6"/>
    <w:rsid w:val="0043091A"/>
    <w:rsid w:val="0043478F"/>
    <w:rsid w:val="0043602B"/>
    <w:rsid w:val="004367D2"/>
    <w:rsid w:val="00440BE0"/>
    <w:rsid w:val="00442695"/>
    <w:rsid w:val="00442A06"/>
    <w:rsid w:val="00442C1C"/>
    <w:rsid w:val="00444765"/>
    <w:rsid w:val="0044584B"/>
    <w:rsid w:val="00447CB7"/>
    <w:rsid w:val="00455CC9"/>
    <w:rsid w:val="00460826"/>
    <w:rsid w:val="00460B1E"/>
    <w:rsid w:val="00460EA7"/>
    <w:rsid w:val="0046195B"/>
    <w:rsid w:val="0046362D"/>
    <w:rsid w:val="0046596D"/>
    <w:rsid w:val="00465F63"/>
    <w:rsid w:val="00476B21"/>
    <w:rsid w:val="004852AB"/>
    <w:rsid w:val="00486859"/>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51C2"/>
    <w:rsid w:val="00516E06"/>
    <w:rsid w:val="005275E8"/>
    <w:rsid w:val="005309FE"/>
    <w:rsid w:val="0053199F"/>
    <w:rsid w:val="00531E12"/>
    <w:rsid w:val="00533B90"/>
    <w:rsid w:val="005410F8"/>
    <w:rsid w:val="005448EC"/>
    <w:rsid w:val="00545963"/>
    <w:rsid w:val="00550256"/>
    <w:rsid w:val="00553165"/>
    <w:rsid w:val="00553958"/>
    <w:rsid w:val="00556BB7"/>
    <w:rsid w:val="0055763D"/>
    <w:rsid w:val="00557A10"/>
    <w:rsid w:val="00561516"/>
    <w:rsid w:val="005621F2"/>
    <w:rsid w:val="00567B58"/>
    <w:rsid w:val="00571223"/>
    <w:rsid w:val="005763E0"/>
    <w:rsid w:val="00581136"/>
    <w:rsid w:val="00581EB8"/>
    <w:rsid w:val="005839E7"/>
    <w:rsid w:val="0058437F"/>
    <w:rsid w:val="005A27CA"/>
    <w:rsid w:val="005A43BD"/>
    <w:rsid w:val="005A79E5"/>
    <w:rsid w:val="005C3173"/>
    <w:rsid w:val="005D034C"/>
    <w:rsid w:val="005E226E"/>
    <w:rsid w:val="005E2636"/>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2B95"/>
    <w:rsid w:val="00663EDC"/>
    <w:rsid w:val="00671078"/>
    <w:rsid w:val="006758CA"/>
    <w:rsid w:val="00677FDE"/>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1FAC"/>
    <w:rsid w:val="006F38B4"/>
    <w:rsid w:val="006F4D9C"/>
    <w:rsid w:val="0070091D"/>
    <w:rsid w:val="00702854"/>
    <w:rsid w:val="0071741C"/>
    <w:rsid w:val="00727EDC"/>
    <w:rsid w:val="00742B70"/>
    <w:rsid w:val="00742B90"/>
    <w:rsid w:val="0074434D"/>
    <w:rsid w:val="00752E53"/>
    <w:rsid w:val="007570C4"/>
    <w:rsid w:val="007605B8"/>
    <w:rsid w:val="00771B1E"/>
    <w:rsid w:val="00773C95"/>
    <w:rsid w:val="0078171E"/>
    <w:rsid w:val="0078658E"/>
    <w:rsid w:val="007909FF"/>
    <w:rsid w:val="007920E2"/>
    <w:rsid w:val="0079566E"/>
    <w:rsid w:val="00795B34"/>
    <w:rsid w:val="007A067F"/>
    <w:rsid w:val="007B1770"/>
    <w:rsid w:val="007B4D3E"/>
    <w:rsid w:val="007B7C70"/>
    <w:rsid w:val="007B7DEB"/>
    <w:rsid w:val="007C0449"/>
    <w:rsid w:val="007C43B6"/>
    <w:rsid w:val="007C6A95"/>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05C22"/>
    <w:rsid w:val="00811EEB"/>
    <w:rsid w:val="0082081A"/>
    <w:rsid w:val="00822F2C"/>
    <w:rsid w:val="00823DEE"/>
    <w:rsid w:val="008305E8"/>
    <w:rsid w:val="00834A7B"/>
    <w:rsid w:val="00836165"/>
    <w:rsid w:val="008365B2"/>
    <w:rsid w:val="0084640C"/>
    <w:rsid w:val="00856088"/>
    <w:rsid w:val="00860826"/>
    <w:rsid w:val="00860E21"/>
    <w:rsid w:val="00863117"/>
    <w:rsid w:val="0086388B"/>
    <w:rsid w:val="008642E5"/>
    <w:rsid w:val="00864488"/>
    <w:rsid w:val="00870A36"/>
    <w:rsid w:val="00872D93"/>
    <w:rsid w:val="00874746"/>
    <w:rsid w:val="00880470"/>
    <w:rsid w:val="00880D94"/>
    <w:rsid w:val="008814E8"/>
    <w:rsid w:val="00886F64"/>
    <w:rsid w:val="008924DE"/>
    <w:rsid w:val="0089337A"/>
    <w:rsid w:val="008A3755"/>
    <w:rsid w:val="008B19DC"/>
    <w:rsid w:val="008B264F"/>
    <w:rsid w:val="008B3460"/>
    <w:rsid w:val="008B48BD"/>
    <w:rsid w:val="008B6F83"/>
    <w:rsid w:val="008B7FD8"/>
    <w:rsid w:val="008C2973"/>
    <w:rsid w:val="008C6324"/>
    <w:rsid w:val="008C64C4"/>
    <w:rsid w:val="008D2CDD"/>
    <w:rsid w:val="008D2F8E"/>
    <w:rsid w:val="008D74D5"/>
    <w:rsid w:val="008D7C9F"/>
    <w:rsid w:val="008E04BA"/>
    <w:rsid w:val="008E0ED1"/>
    <w:rsid w:val="008E2083"/>
    <w:rsid w:val="008E3A07"/>
    <w:rsid w:val="008E537B"/>
    <w:rsid w:val="008E53F2"/>
    <w:rsid w:val="008F29BE"/>
    <w:rsid w:val="008F4AE5"/>
    <w:rsid w:val="008F51EB"/>
    <w:rsid w:val="00900197"/>
    <w:rsid w:val="00900D44"/>
    <w:rsid w:val="00902F55"/>
    <w:rsid w:val="0090485D"/>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054"/>
    <w:rsid w:val="009427FA"/>
    <w:rsid w:val="00944647"/>
    <w:rsid w:val="009469E2"/>
    <w:rsid w:val="0095565C"/>
    <w:rsid w:val="00964AB6"/>
    <w:rsid w:val="00966F9A"/>
    <w:rsid w:val="00974EFE"/>
    <w:rsid w:val="00977B8A"/>
    <w:rsid w:val="00982971"/>
    <w:rsid w:val="00983618"/>
    <w:rsid w:val="009845AD"/>
    <w:rsid w:val="00984835"/>
    <w:rsid w:val="00990DC9"/>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B78"/>
    <w:rsid w:val="009E3C8C"/>
    <w:rsid w:val="009E6B77"/>
    <w:rsid w:val="009F4372"/>
    <w:rsid w:val="009F460A"/>
    <w:rsid w:val="00A00A8C"/>
    <w:rsid w:val="00A043FB"/>
    <w:rsid w:val="00A06BE4"/>
    <w:rsid w:val="00A0729C"/>
    <w:rsid w:val="00A073CF"/>
    <w:rsid w:val="00A07779"/>
    <w:rsid w:val="00A1166A"/>
    <w:rsid w:val="00A20B2E"/>
    <w:rsid w:val="00A24F33"/>
    <w:rsid w:val="00A25069"/>
    <w:rsid w:val="00A26E6B"/>
    <w:rsid w:val="00A30127"/>
    <w:rsid w:val="00A3068F"/>
    <w:rsid w:val="00A3145B"/>
    <w:rsid w:val="00A32EF4"/>
    <w:rsid w:val="00A339D0"/>
    <w:rsid w:val="00A3415C"/>
    <w:rsid w:val="00A41002"/>
    <w:rsid w:val="00A4201A"/>
    <w:rsid w:val="00A4699B"/>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B5F66"/>
    <w:rsid w:val="00AB769F"/>
    <w:rsid w:val="00AC101C"/>
    <w:rsid w:val="00AD2DF9"/>
    <w:rsid w:val="00AD4CF1"/>
    <w:rsid w:val="00AD5988"/>
    <w:rsid w:val="00AD6293"/>
    <w:rsid w:val="00AE1643"/>
    <w:rsid w:val="00AE16AF"/>
    <w:rsid w:val="00AE41DD"/>
    <w:rsid w:val="00AF372E"/>
    <w:rsid w:val="00AF7800"/>
    <w:rsid w:val="00B00CF5"/>
    <w:rsid w:val="00B072E0"/>
    <w:rsid w:val="00B1007E"/>
    <w:rsid w:val="00B13D41"/>
    <w:rsid w:val="00B253F6"/>
    <w:rsid w:val="00B26675"/>
    <w:rsid w:val="00B305DB"/>
    <w:rsid w:val="00B315E8"/>
    <w:rsid w:val="00B332F8"/>
    <w:rsid w:val="00B3492B"/>
    <w:rsid w:val="00B37F24"/>
    <w:rsid w:val="00B4646F"/>
    <w:rsid w:val="00B55C7D"/>
    <w:rsid w:val="00B57896"/>
    <w:rsid w:val="00B63038"/>
    <w:rsid w:val="00B64BD8"/>
    <w:rsid w:val="00B701D1"/>
    <w:rsid w:val="00B73AF2"/>
    <w:rsid w:val="00B73D79"/>
    <w:rsid w:val="00B7551A"/>
    <w:rsid w:val="00B76F91"/>
    <w:rsid w:val="00B773F1"/>
    <w:rsid w:val="00B86AB1"/>
    <w:rsid w:val="00B87726"/>
    <w:rsid w:val="00B91B22"/>
    <w:rsid w:val="00BA7EBA"/>
    <w:rsid w:val="00BB2A06"/>
    <w:rsid w:val="00BB2CBB"/>
    <w:rsid w:val="00BB4198"/>
    <w:rsid w:val="00BB7D42"/>
    <w:rsid w:val="00BC03EE"/>
    <w:rsid w:val="00BC59F1"/>
    <w:rsid w:val="00BD488E"/>
    <w:rsid w:val="00BE5C4A"/>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031C"/>
    <w:rsid w:val="00C55BEF"/>
    <w:rsid w:val="00C57C00"/>
    <w:rsid w:val="00C601AF"/>
    <w:rsid w:val="00C61A63"/>
    <w:rsid w:val="00C66296"/>
    <w:rsid w:val="00C71F08"/>
    <w:rsid w:val="00C7394D"/>
    <w:rsid w:val="00C756B7"/>
    <w:rsid w:val="00C77282"/>
    <w:rsid w:val="00C84DE5"/>
    <w:rsid w:val="00C86248"/>
    <w:rsid w:val="00C90B31"/>
    <w:rsid w:val="00CA0D6F"/>
    <w:rsid w:val="00CA4C33"/>
    <w:rsid w:val="00CA6F4A"/>
    <w:rsid w:val="00CB3483"/>
    <w:rsid w:val="00CB6427"/>
    <w:rsid w:val="00CC0279"/>
    <w:rsid w:val="00CC0FBE"/>
    <w:rsid w:val="00CD077C"/>
    <w:rsid w:val="00CD106C"/>
    <w:rsid w:val="00CD2119"/>
    <w:rsid w:val="00CD237A"/>
    <w:rsid w:val="00CD2CBA"/>
    <w:rsid w:val="00CD36AC"/>
    <w:rsid w:val="00CD6565"/>
    <w:rsid w:val="00CD6700"/>
    <w:rsid w:val="00CE13A3"/>
    <w:rsid w:val="00CE36BC"/>
    <w:rsid w:val="00CF0000"/>
    <w:rsid w:val="00CF1747"/>
    <w:rsid w:val="00CF60ED"/>
    <w:rsid w:val="00D05D74"/>
    <w:rsid w:val="00D20C59"/>
    <w:rsid w:val="00D23323"/>
    <w:rsid w:val="00D235C0"/>
    <w:rsid w:val="00D2392A"/>
    <w:rsid w:val="00D25FFE"/>
    <w:rsid w:val="00D27922"/>
    <w:rsid w:val="00D27A64"/>
    <w:rsid w:val="00D37D80"/>
    <w:rsid w:val="00D41344"/>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1117"/>
    <w:rsid w:val="00DA7F9E"/>
    <w:rsid w:val="00DB39CF"/>
    <w:rsid w:val="00DB7256"/>
    <w:rsid w:val="00DC0401"/>
    <w:rsid w:val="00DC20BD"/>
    <w:rsid w:val="00DC78B3"/>
    <w:rsid w:val="00DD0BCD"/>
    <w:rsid w:val="00DD447A"/>
    <w:rsid w:val="00DE24A4"/>
    <w:rsid w:val="00DE2E54"/>
    <w:rsid w:val="00DE38BE"/>
    <w:rsid w:val="00DE3B20"/>
    <w:rsid w:val="00DE6C94"/>
    <w:rsid w:val="00DE6FD7"/>
    <w:rsid w:val="00DF0C7C"/>
    <w:rsid w:val="00E10B18"/>
    <w:rsid w:val="00E23271"/>
    <w:rsid w:val="00E24F80"/>
    <w:rsid w:val="00E259F3"/>
    <w:rsid w:val="00E26841"/>
    <w:rsid w:val="00E271FE"/>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82C4D"/>
    <w:rsid w:val="00E90CC3"/>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4B17"/>
    <w:rsid w:val="00F37381"/>
    <w:rsid w:val="00F47B73"/>
    <w:rsid w:val="00F5180D"/>
    <w:rsid w:val="00F54E74"/>
    <w:rsid w:val="00F63781"/>
    <w:rsid w:val="00F640A2"/>
    <w:rsid w:val="00F67496"/>
    <w:rsid w:val="00F7003F"/>
    <w:rsid w:val="00F7421E"/>
    <w:rsid w:val="00F77FD4"/>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D7400"/>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3516F"/>
  <w15:docId w15:val="{5813C84D-88D5-4BB0-A435-B0BAD04E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3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DA7F9E"/>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412F96"/>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412F96"/>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E82C4D"/>
    <w:pPr>
      <w:tabs>
        <w:tab w:val="right" w:pos="8080"/>
      </w:tabs>
      <w:spacing w:before="60"/>
      <w:ind w:left="851" w:right="567" w:hanging="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A32EF4"/>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A32EF4"/>
    <w:pPr>
      <w:spacing w:after="240" w:line="216" w:lineRule="auto"/>
    </w:pPr>
    <w:rPr>
      <w:rFonts w:ascii="Segoe UI Light" w:hAnsi="Segoe UI Light"/>
      <w:color w:val="404040" w:themeColor="text1" w:themeTint="BF"/>
      <w:sz w:val="36"/>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0E4CE5"/>
    <w:pPr>
      <w:spacing w:after="200"/>
    </w:pPr>
    <w:rPr>
      <w:b/>
      <w:bCs/>
      <w:color w:val="4F81BD" w:themeColor="accent1"/>
      <w:sz w:val="18"/>
      <w:szCs w:val="18"/>
    </w:rPr>
  </w:style>
  <w:style w:type="table" w:styleId="TableGrid">
    <w:name w:val="Table Grid"/>
    <w:basedOn w:val="TableNormal"/>
    <w:uiPriority w:val="39"/>
    <w:rsid w:val="00AD2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AD2DF9"/>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sz w:val="22"/>
    </w:rPr>
  </w:style>
  <w:style w:type="paragraph" w:customStyle="1" w:styleId="Shadedboxtext">
    <w:name w:val="Shaded box text"/>
    <w:basedOn w:val="Normal"/>
    <w:qFormat/>
    <w:rsid w:val="00AD2DF9"/>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60" w:line="264" w:lineRule="auto"/>
      <w:ind w:left="284" w:right="284"/>
    </w:pPr>
    <w:rPr>
      <w:rFonts w:eastAsia="Arial Unicode MS"/>
    </w:rPr>
  </w:style>
  <w:style w:type="paragraph" w:customStyle="1" w:styleId="Heading2-notnumbered">
    <w:name w:val="Heading 2 - not numbered"/>
    <w:basedOn w:val="Heading2"/>
    <w:next w:val="Normal"/>
    <w:qFormat/>
    <w:rsid w:val="00026427"/>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10.png"/><Relationship Id="rId39" Type="http://schemas.openxmlformats.org/officeDocument/2006/relationships/hyperlink" Target="https://legislation.govt.nz/bill/member/2020/0310/latest/whole.html"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8.png"/><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hyperlink" Target="https://www.legislation.govt.nz/act/public/1977/0112/latest/DLM17680.htm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lawcom.govt.nz/abortion" TargetMode="External"/><Relationship Id="rId29" Type="http://schemas.openxmlformats.org/officeDocument/2006/relationships/image" Target="media/image13.png"/><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hyperlink" Target="https://www.health.govt.nz/your-health/healthy-living/sexual-health/considering-abortion/abortion-provider-locations" TargetMode="External"/><Relationship Id="rId32" Type="http://schemas.openxmlformats.org/officeDocument/2006/relationships/image" Target="media/image16.png"/><Relationship Id="rId37" Type="http://schemas.openxmlformats.org/officeDocument/2006/relationships/hyperlink" Target="https://www.stats.govt.nz/topics/abortions" TargetMode="External"/><Relationship Id="rId40" Type="http://schemas.openxmlformats.org/officeDocument/2006/relationships/hyperlink" Target="https://www.legislation.govt.nz/act/public/1961/0043/latest/DLM327382.htm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hyperlink" Target="https://www.justice.govt.nz/assets/Documents/Publications/ASC-Annual-Report-2020.pdf" TargetMode="Externa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image" Target="media/image15.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34C8-05EA-4ADE-B71B-FF46B49F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34</TotalTime>
  <Pages>34</Pages>
  <Words>6657</Words>
  <Characters>37949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Services Aotearoa New Zealand: Annual report</dc:title>
  <dc:creator>Ministry of Health</dc:creator>
  <cp:lastModifiedBy>Julianne Ryan</cp:lastModifiedBy>
  <cp:revision>33</cp:revision>
  <cp:lastPrinted>2021-10-07T21:49:00Z</cp:lastPrinted>
  <dcterms:created xsi:type="dcterms:W3CDTF">2021-10-07T21:09:00Z</dcterms:created>
  <dcterms:modified xsi:type="dcterms:W3CDTF">2021-10-07T21:49:00Z</dcterms:modified>
</cp:coreProperties>
</file>