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CC507" w14:textId="77777777" w:rsidR="00F45B28" w:rsidRDefault="00F45B28" w:rsidP="00F45B28">
      <w:pPr>
        <w:pStyle w:val="Title"/>
        <w:spacing w:after="120"/>
      </w:pPr>
      <w:bookmarkStart w:id="0" w:name="_Hlk128063623"/>
      <w:r>
        <w:t>Ao Mai te Rā</w:t>
      </w:r>
    </w:p>
    <w:p w14:paraId="11455161" w14:textId="633F925B" w:rsidR="00C86248" w:rsidRPr="00926083" w:rsidRDefault="00F45B28" w:rsidP="00F45B28">
      <w:pPr>
        <w:pStyle w:val="Title"/>
        <w:spacing w:after="120"/>
      </w:pPr>
      <w:r>
        <w:t>The Anti-Racism Kaupapa</w:t>
      </w:r>
    </w:p>
    <w:p w14:paraId="75A2AEDD" w14:textId="2B455991" w:rsidR="00F45B28" w:rsidRDefault="00181D0D" w:rsidP="00181D0D">
      <w:pPr>
        <w:pStyle w:val="Subhead"/>
        <w:rPr>
          <w:i/>
          <w:iCs/>
        </w:rPr>
      </w:pPr>
      <w:r w:rsidRPr="00181D0D">
        <w:t>Whiria te Muka</w:t>
      </w:r>
      <w:r w:rsidR="00B62C69">
        <w:t xml:space="preserve"> Tanga</w:t>
      </w:r>
      <w:r w:rsidR="001026C5">
        <w:t>t</w:t>
      </w:r>
      <w:r w:rsidR="00B62C69">
        <w:t>a</w:t>
      </w:r>
      <w:r>
        <w:t xml:space="preserve">. </w:t>
      </w:r>
      <w:r w:rsidRPr="00181D0D">
        <w:t>Anti-Racism Systems Change</w:t>
      </w:r>
      <w:r w:rsidR="00F45B28">
        <w:br/>
      </w:r>
      <w:r w:rsidR="00F45B28">
        <w:br/>
      </w:r>
      <w:r w:rsidRPr="00181D0D">
        <w:rPr>
          <w:i/>
          <w:iCs/>
        </w:rPr>
        <w:t>A Preliminary Model for the</w:t>
      </w:r>
      <w:r>
        <w:rPr>
          <w:i/>
          <w:iCs/>
        </w:rPr>
        <w:t xml:space="preserve"> </w:t>
      </w:r>
      <w:r w:rsidRPr="00181D0D">
        <w:rPr>
          <w:i/>
          <w:iCs/>
        </w:rPr>
        <w:t>Aotearoa New Zealand Health System</w:t>
      </w:r>
    </w:p>
    <w:p w14:paraId="2A961E80" w14:textId="48E12F00" w:rsidR="00531E12" w:rsidRPr="00531E12" w:rsidRDefault="00BE101B" w:rsidP="00F45B28">
      <w:pPr>
        <w:pStyle w:val="Year"/>
        <w:spacing w:before="240"/>
      </w:pPr>
      <w:r>
        <w:t xml:space="preserve">October </w:t>
      </w:r>
      <w:r w:rsidR="00F45B28">
        <w:t>2022</w:t>
      </w:r>
    </w:p>
    <w:bookmarkEnd w:id="0"/>
    <w:p w14:paraId="5C1CCC9F" w14:textId="77777777" w:rsidR="00C05132" w:rsidRDefault="00C05132" w:rsidP="00A06BE4"/>
    <w:p w14:paraId="57E2CB79" w14:textId="77777777" w:rsidR="00142954" w:rsidRPr="00142954" w:rsidRDefault="00142954" w:rsidP="00142954">
      <w:pPr>
        <w:sectPr w:rsidR="00142954" w:rsidRPr="00142954" w:rsidSect="005A79E5">
          <w:footerReference w:type="default" r:id="rId11"/>
          <w:pgSz w:w="11907" w:h="16834" w:code="9"/>
          <w:pgMar w:top="5670" w:right="1134" w:bottom="1134" w:left="1134" w:header="567" w:footer="851" w:gutter="0"/>
          <w:pgNumType w:start="1"/>
          <w:cols w:space="720"/>
        </w:sectPr>
      </w:pPr>
    </w:p>
    <w:p w14:paraId="358CE3BA" w14:textId="38AC9CD3" w:rsidR="00A80363" w:rsidRPr="00C05132" w:rsidRDefault="00A80363" w:rsidP="00181D0D">
      <w:pPr>
        <w:pStyle w:val="Imprint"/>
        <w:spacing w:before="1200"/>
        <w:rPr>
          <w:rFonts w:cs="Segoe UI"/>
        </w:rPr>
      </w:pPr>
      <w:bookmarkStart w:id="1" w:name="_Hlk128063672"/>
      <w:bookmarkStart w:id="2" w:name="_Hlk128204379"/>
      <w:r w:rsidRPr="00C05132">
        <w:rPr>
          <w:rFonts w:cs="Segoe UI"/>
        </w:rPr>
        <w:lastRenderedPageBreak/>
        <w:t xml:space="preserve">Citation: </w:t>
      </w:r>
      <w:r w:rsidR="00115B2A" w:rsidRPr="00115B2A">
        <w:rPr>
          <w:rFonts w:cs="Segoe UI"/>
        </w:rPr>
        <w:t>McMeeking S, Tarena E, Williams M et al</w:t>
      </w:r>
      <w:r w:rsidR="00442C1C" w:rsidRPr="00C05132">
        <w:rPr>
          <w:rFonts w:cs="Segoe UI"/>
        </w:rPr>
        <w:t xml:space="preserve">. </w:t>
      </w:r>
      <w:r w:rsidR="00F45B28">
        <w:rPr>
          <w:rFonts w:cs="Segoe UI"/>
        </w:rPr>
        <w:t>202</w:t>
      </w:r>
      <w:r w:rsidR="00115B2A">
        <w:rPr>
          <w:rFonts w:cs="Segoe UI"/>
        </w:rPr>
        <w:t>3</w:t>
      </w:r>
      <w:r w:rsidR="00442C1C" w:rsidRPr="00C05132">
        <w:rPr>
          <w:rFonts w:cs="Segoe UI"/>
        </w:rPr>
        <w:t xml:space="preserve">. </w:t>
      </w:r>
      <w:r w:rsidR="00181D0D" w:rsidRPr="00181D0D">
        <w:rPr>
          <w:rFonts w:cs="Segoe UI"/>
          <w:i/>
        </w:rPr>
        <w:t>Whiria te Muka</w:t>
      </w:r>
      <w:r w:rsidR="001026C5">
        <w:rPr>
          <w:rFonts w:cs="Segoe UI"/>
          <w:i/>
        </w:rPr>
        <w:t xml:space="preserve"> Tangat</w:t>
      </w:r>
      <w:r w:rsidR="001050AB">
        <w:rPr>
          <w:rFonts w:cs="Segoe UI"/>
          <w:i/>
        </w:rPr>
        <w:t>a</w:t>
      </w:r>
      <w:r w:rsidR="00F20FAB">
        <w:rPr>
          <w:rFonts w:cs="Segoe UI"/>
          <w:i/>
        </w:rPr>
        <w:t>:</w:t>
      </w:r>
      <w:r w:rsidR="00181D0D">
        <w:rPr>
          <w:rFonts w:cs="Segoe UI"/>
          <w:i/>
        </w:rPr>
        <w:t xml:space="preserve"> </w:t>
      </w:r>
      <w:r w:rsidR="00181D0D" w:rsidRPr="00181D0D">
        <w:rPr>
          <w:rFonts w:cs="Segoe UI"/>
          <w:i/>
        </w:rPr>
        <w:t>Anti-Racism Systems Change</w:t>
      </w:r>
      <w:r w:rsidR="00181D0D">
        <w:rPr>
          <w:rFonts w:cs="Segoe UI"/>
          <w:i/>
        </w:rPr>
        <w:t xml:space="preserve">. </w:t>
      </w:r>
      <w:r w:rsidR="00181D0D" w:rsidRPr="00181D0D">
        <w:rPr>
          <w:rFonts w:cs="Segoe UI"/>
          <w:i/>
        </w:rPr>
        <w:t>A Preliminary Model for the</w:t>
      </w:r>
      <w:r w:rsidR="00181D0D">
        <w:rPr>
          <w:rFonts w:cs="Segoe UI"/>
          <w:i/>
        </w:rPr>
        <w:t xml:space="preserve"> </w:t>
      </w:r>
      <w:r w:rsidR="00181D0D" w:rsidRPr="00181D0D">
        <w:rPr>
          <w:rFonts w:cs="Segoe UI"/>
          <w:i/>
        </w:rPr>
        <w:t>Aotearoa New Zealand Health System</w:t>
      </w:r>
      <w:r w:rsidR="00442C1C" w:rsidRPr="00C05132">
        <w:rPr>
          <w:rFonts w:cs="Segoe UI"/>
        </w:rPr>
        <w:t>. Wellington: Ministry of Health.</w:t>
      </w:r>
    </w:p>
    <w:p w14:paraId="7909192E" w14:textId="665C41C4" w:rsidR="00C86248" w:rsidRDefault="00C86248">
      <w:pPr>
        <w:pStyle w:val="Imprint"/>
      </w:pPr>
      <w:bookmarkStart w:id="3" w:name="_Hlk128063681"/>
      <w:bookmarkEnd w:id="1"/>
      <w:r>
        <w:t xml:space="preserve">Published in </w:t>
      </w:r>
      <w:r w:rsidR="00115B2A">
        <w:t>February 2023</w:t>
      </w:r>
      <w:r w:rsidR="00F45B28">
        <w:t xml:space="preserve"> </w:t>
      </w:r>
      <w:bookmarkEnd w:id="3"/>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66E56553" w:rsidR="00082CD6" w:rsidRPr="009C0F2D" w:rsidRDefault="00082CD6" w:rsidP="00082CD6">
      <w:pPr>
        <w:pStyle w:val="Imprint"/>
      </w:pPr>
      <w:r w:rsidRPr="00F20FAB">
        <w:t xml:space="preserve">HP </w:t>
      </w:r>
      <w:r w:rsidR="007047BC">
        <w:t>8710</w:t>
      </w:r>
    </w:p>
    <w:bookmarkEnd w:id="2"/>
    <w:p w14:paraId="48DBDA36" w14:textId="77777777" w:rsidR="00C86248" w:rsidRDefault="008C64C4" w:rsidP="00A63DFF">
      <w:r>
        <w:rPr>
          <w:noProof/>
          <w:lang w:eastAsia="en-NZ"/>
        </w:rPr>
        <w:drawing>
          <wp:inline distT="0" distB="0" distL="0" distR="0" wp14:anchorId="6EF4539D" wp14:editId="56E30E9A">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4"/>
          <w:footerReference w:type="default" r:id="rId15"/>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4" w:name="_Toc405792991"/>
      <w:bookmarkStart w:id="5" w:name="_Toc405793224"/>
      <w:r>
        <w:lastRenderedPageBreak/>
        <w:t>Contents</w:t>
      </w:r>
      <w:bookmarkEnd w:id="4"/>
      <w:bookmarkEnd w:id="5"/>
    </w:p>
    <w:p w14:paraId="132C8623" w14:textId="40F16559" w:rsidR="00D03E30" w:rsidRDefault="00D03E3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8745934" w:history="1">
        <w:r w:rsidRPr="00C65F68">
          <w:rPr>
            <w:rStyle w:val="Hyperlink"/>
            <w:noProof/>
          </w:rPr>
          <w:t xml:space="preserve">Kupu Whakataki | </w:t>
        </w:r>
        <w:r w:rsidRPr="00C65F68">
          <w:rPr>
            <w:rStyle w:val="Hyperlink"/>
            <w:bCs/>
            <w:noProof/>
          </w:rPr>
          <w:t>Introduction</w:t>
        </w:r>
        <w:r>
          <w:rPr>
            <w:noProof/>
            <w:webHidden/>
          </w:rPr>
          <w:tab/>
        </w:r>
        <w:r>
          <w:rPr>
            <w:noProof/>
            <w:webHidden/>
          </w:rPr>
          <w:fldChar w:fldCharType="begin"/>
        </w:r>
        <w:r>
          <w:rPr>
            <w:noProof/>
            <w:webHidden/>
          </w:rPr>
          <w:instrText xml:space="preserve"> PAGEREF _Toc128745934 \h </w:instrText>
        </w:r>
        <w:r>
          <w:rPr>
            <w:noProof/>
            <w:webHidden/>
          </w:rPr>
        </w:r>
        <w:r>
          <w:rPr>
            <w:noProof/>
            <w:webHidden/>
          </w:rPr>
          <w:fldChar w:fldCharType="separate"/>
        </w:r>
        <w:r>
          <w:rPr>
            <w:noProof/>
            <w:webHidden/>
          </w:rPr>
          <w:t>1</w:t>
        </w:r>
        <w:r>
          <w:rPr>
            <w:noProof/>
            <w:webHidden/>
          </w:rPr>
          <w:fldChar w:fldCharType="end"/>
        </w:r>
      </w:hyperlink>
    </w:p>
    <w:p w14:paraId="2E22ACC8" w14:textId="1D2D2428" w:rsidR="00D03E30" w:rsidRDefault="00D03E30">
      <w:pPr>
        <w:pStyle w:val="TOC1"/>
        <w:rPr>
          <w:rFonts w:asciiTheme="minorHAnsi" w:eastAsiaTheme="minorEastAsia" w:hAnsiTheme="minorHAnsi" w:cstheme="minorBidi"/>
          <w:noProof/>
          <w:sz w:val="22"/>
          <w:szCs w:val="22"/>
          <w:lang w:eastAsia="en-NZ"/>
        </w:rPr>
      </w:pPr>
      <w:hyperlink w:anchor="_Toc128745935" w:history="1">
        <w:r w:rsidRPr="00C65F68">
          <w:rPr>
            <w:rStyle w:val="Hyperlink"/>
            <w:rFonts w:eastAsia="Arial Unicode MS"/>
            <w:noProof/>
          </w:rPr>
          <w:t>Overview of Whiria Te Muka</w:t>
        </w:r>
        <w:r>
          <w:rPr>
            <w:noProof/>
            <w:webHidden/>
          </w:rPr>
          <w:tab/>
        </w:r>
        <w:r>
          <w:rPr>
            <w:noProof/>
            <w:webHidden/>
          </w:rPr>
          <w:fldChar w:fldCharType="begin"/>
        </w:r>
        <w:r>
          <w:rPr>
            <w:noProof/>
            <w:webHidden/>
          </w:rPr>
          <w:instrText xml:space="preserve"> PAGEREF _Toc128745935 \h </w:instrText>
        </w:r>
        <w:r>
          <w:rPr>
            <w:noProof/>
            <w:webHidden/>
          </w:rPr>
        </w:r>
        <w:r>
          <w:rPr>
            <w:noProof/>
            <w:webHidden/>
          </w:rPr>
          <w:fldChar w:fldCharType="separate"/>
        </w:r>
        <w:r>
          <w:rPr>
            <w:noProof/>
            <w:webHidden/>
          </w:rPr>
          <w:t>2</w:t>
        </w:r>
        <w:r>
          <w:rPr>
            <w:noProof/>
            <w:webHidden/>
          </w:rPr>
          <w:fldChar w:fldCharType="end"/>
        </w:r>
      </w:hyperlink>
    </w:p>
    <w:p w14:paraId="034B33C0" w14:textId="1B9A0578" w:rsidR="00D03E30" w:rsidRDefault="00D03E30">
      <w:pPr>
        <w:pStyle w:val="TOC2"/>
        <w:rPr>
          <w:rFonts w:asciiTheme="minorHAnsi" w:eastAsiaTheme="minorEastAsia" w:hAnsiTheme="minorHAnsi" w:cstheme="minorBidi"/>
          <w:noProof/>
          <w:szCs w:val="22"/>
          <w:lang w:eastAsia="en-NZ"/>
        </w:rPr>
      </w:pPr>
      <w:hyperlink w:anchor="_Toc128745936" w:history="1">
        <w:r w:rsidRPr="00C65F68">
          <w:rPr>
            <w:rStyle w:val="Hyperlink"/>
            <w:rFonts w:eastAsia="Arial Unicode MS"/>
            <w:noProof/>
          </w:rPr>
          <w:t xml:space="preserve">Kawa </w:t>
        </w:r>
        <w:r w:rsidRPr="00C65F68">
          <w:rPr>
            <w:rStyle w:val="Hyperlink"/>
            <w:rFonts w:eastAsia="Arial Unicode MS"/>
            <w:bCs/>
            <w:noProof/>
          </w:rPr>
          <w:t>Telling a New Story</w:t>
        </w:r>
        <w:r>
          <w:rPr>
            <w:noProof/>
            <w:webHidden/>
          </w:rPr>
          <w:tab/>
        </w:r>
        <w:r>
          <w:rPr>
            <w:noProof/>
            <w:webHidden/>
          </w:rPr>
          <w:fldChar w:fldCharType="begin"/>
        </w:r>
        <w:r>
          <w:rPr>
            <w:noProof/>
            <w:webHidden/>
          </w:rPr>
          <w:instrText xml:space="preserve"> PAGEREF _Toc128745936 \h </w:instrText>
        </w:r>
        <w:r>
          <w:rPr>
            <w:noProof/>
            <w:webHidden/>
          </w:rPr>
        </w:r>
        <w:r>
          <w:rPr>
            <w:noProof/>
            <w:webHidden/>
          </w:rPr>
          <w:fldChar w:fldCharType="separate"/>
        </w:r>
        <w:r>
          <w:rPr>
            <w:noProof/>
            <w:webHidden/>
          </w:rPr>
          <w:t>3</w:t>
        </w:r>
        <w:r>
          <w:rPr>
            <w:noProof/>
            <w:webHidden/>
          </w:rPr>
          <w:fldChar w:fldCharType="end"/>
        </w:r>
      </w:hyperlink>
    </w:p>
    <w:p w14:paraId="770CFDFA" w14:textId="0B54A9AF" w:rsidR="00D03E30" w:rsidRDefault="00D03E30">
      <w:pPr>
        <w:pStyle w:val="TOC2"/>
        <w:rPr>
          <w:rFonts w:asciiTheme="minorHAnsi" w:eastAsiaTheme="minorEastAsia" w:hAnsiTheme="minorHAnsi" w:cstheme="minorBidi"/>
          <w:noProof/>
          <w:szCs w:val="22"/>
          <w:lang w:eastAsia="en-NZ"/>
        </w:rPr>
      </w:pPr>
      <w:hyperlink w:anchor="_Toc128745937" w:history="1">
        <w:r w:rsidRPr="00C65F68">
          <w:rPr>
            <w:rStyle w:val="Hyperlink"/>
            <w:rFonts w:eastAsia="Arial Unicode MS"/>
            <w:noProof/>
          </w:rPr>
          <w:t xml:space="preserve">Tikanga </w:t>
        </w:r>
        <w:r w:rsidRPr="00C65F68">
          <w:rPr>
            <w:rStyle w:val="Hyperlink"/>
            <w:rFonts w:eastAsia="Arial Unicode MS"/>
            <w:bCs/>
            <w:noProof/>
          </w:rPr>
          <w:t>Creating a New Culture</w:t>
        </w:r>
        <w:r>
          <w:rPr>
            <w:noProof/>
            <w:webHidden/>
          </w:rPr>
          <w:tab/>
        </w:r>
        <w:r>
          <w:rPr>
            <w:noProof/>
            <w:webHidden/>
          </w:rPr>
          <w:fldChar w:fldCharType="begin"/>
        </w:r>
        <w:r>
          <w:rPr>
            <w:noProof/>
            <w:webHidden/>
          </w:rPr>
          <w:instrText xml:space="preserve"> PAGEREF _Toc128745937 \h </w:instrText>
        </w:r>
        <w:r>
          <w:rPr>
            <w:noProof/>
            <w:webHidden/>
          </w:rPr>
        </w:r>
        <w:r>
          <w:rPr>
            <w:noProof/>
            <w:webHidden/>
          </w:rPr>
          <w:fldChar w:fldCharType="separate"/>
        </w:r>
        <w:r>
          <w:rPr>
            <w:noProof/>
            <w:webHidden/>
          </w:rPr>
          <w:t>4</w:t>
        </w:r>
        <w:r>
          <w:rPr>
            <w:noProof/>
            <w:webHidden/>
          </w:rPr>
          <w:fldChar w:fldCharType="end"/>
        </w:r>
      </w:hyperlink>
    </w:p>
    <w:p w14:paraId="487846A0" w14:textId="73AA48FE" w:rsidR="00D03E30" w:rsidRDefault="00D03E30">
      <w:pPr>
        <w:pStyle w:val="TOC2"/>
        <w:rPr>
          <w:rFonts w:asciiTheme="minorHAnsi" w:eastAsiaTheme="minorEastAsia" w:hAnsiTheme="minorHAnsi" w:cstheme="minorBidi"/>
          <w:noProof/>
          <w:szCs w:val="22"/>
          <w:lang w:eastAsia="en-NZ"/>
        </w:rPr>
      </w:pPr>
      <w:hyperlink w:anchor="_Toc128745938" w:history="1">
        <w:r w:rsidRPr="00C65F68">
          <w:rPr>
            <w:rStyle w:val="Hyperlink"/>
            <w:rFonts w:eastAsia="Arial Unicode MS"/>
            <w:noProof/>
          </w:rPr>
          <w:t xml:space="preserve">Ritenga </w:t>
        </w:r>
        <w:r w:rsidRPr="00C65F68">
          <w:rPr>
            <w:rStyle w:val="Hyperlink"/>
            <w:rFonts w:eastAsia="Arial Unicode MS"/>
            <w:bCs/>
            <w:noProof/>
          </w:rPr>
          <w:t>Building New Capabilities</w:t>
        </w:r>
        <w:r>
          <w:rPr>
            <w:noProof/>
            <w:webHidden/>
          </w:rPr>
          <w:tab/>
        </w:r>
        <w:r>
          <w:rPr>
            <w:noProof/>
            <w:webHidden/>
          </w:rPr>
          <w:fldChar w:fldCharType="begin"/>
        </w:r>
        <w:r>
          <w:rPr>
            <w:noProof/>
            <w:webHidden/>
          </w:rPr>
          <w:instrText xml:space="preserve"> PAGEREF _Toc128745938 \h </w:instrText>
        </w:r>
        <w:r>
          <w:rPr>
            <w:noProof/>
            <w:webHidden/>
          </w:rPr>
        </w:r>
        <w:r>
          <w:rPr>
            <w:noProof/>
            <w:webHidden/>
          </w:rPr>
          <w:fldChar w:fldCharType="separate"/>
        </w:r>
        <w:r>
          <w:rPr>
            <w:noProof/>
            <w:webHidden/>
          </w:rPr>
          <w:t>5</w:t>
        </w:r>
        <w:r>
          <w:rPr>
            <w:noProof/>
            <w:webHidden/>
          </w:rPr>
          <w:fldChar w:fldCharType="end"/>
        </w:r>
      </w:hyperlink>
    </w:p>
    <w:p w14:paraId="493A3AC5" w14:textId="32FE0310" w:rsidR="00D03E30" w:rsidRDefault="00D03E30">
      <w:pPr>
        <w:pStyle w:val="TOC2"/>
        <w:rPr>
          <w:rFonts w:asciiTheme="minorHAnsi" w:eastAsiaTheme="minorEastAsia" w:hAnsiTheme="minorHAnsi" w:cstheme="minorBidi"/>
          <w:noProof/>
          <w:szCs w:val="22"/>
          <w:lang w:eastAsia="en-NZ"/>
        </w:rPr>
      </w:pPr>
      <w:hyperlink w:anchor="_Toc128745939" w:history="1">
        <w:r w:rsidRPr="00C65F68">
          <w:rPr>
            <w:rStyle w:val="Hyperlink"/>
            <w:rFonts w:eastAsia="Arial Unicode MS"/>
            <w:noProof/>
          </w:rPr>
          <w:t xml:space="preserve">Putanga </w:t>
        </w:r>
        <w:r w:rsidRPr="00C65F68">
          <w:rPr>
            <w:rStyle w:val="Hyperlink"/>
            <w:rFonts w:eastAsia="Arial Unicode MS"/>
            <w:bCs/>
            <w:noProof/>
          </w:rPr>
          <w:t>Delivering Equitable Outcomes</w:t>
        </w:r>
        <w:r>
          <w:rPr>
            <w:noProof/>
            <w:webHidden/>
          </w:rPr>
          <w:tab/>
        </w:r>
        <w:r>
          <w:rPr>
            <w:noProof/>
            <w:webHidden/>
          </w:rPr>
          <w:fldChar w:fldCharType="begin"/>
        </w:r>
        <w:r>
          <w:rPr>
            <w:noProof/>
            <w:webHidden/>
          </w:rPr>
          <w:instrText xml:space="preserve"> PAGEREF _Toc128745939 \h </w:instrText>
        </w:r>
        <w:r>
          <w:rPr>
            <w:noProof/>
            <w:webHidden/>
          </w:rPr>
        </w:r>
        <w:r>
          <w:rPr>
            <w:noProof/>
            <w:webHidden/>
          </w:rPr>
          <w:fldChar w:fldCharType="separate"/>
        </w:r>
        <w:r>
          <w:rPr>
            <w:noProof/>
            <w:webHidden/>
          </w:rPr>
          <w:t>6</w:t>
        </w:r>
        <w:r>
          <w:rPr>
            <w:noProof/>
            <w:webHidden/>
          </w:rPr>
          <w:fldChar w:fldCharType="end"/>
        </w:r>
      </w:hyperlink>
    </w:p>
    <w:p w14:paraId="59ED7ED1" w14:textId="22E01037" w:rsidR="00D03E30" w:rsidRDefault="00D03E30">
      <w:pPr>
        <w:pStyle w:val="TOC1"/>
        <w:rPr>
          <w:rFonts w:asciiTheme="minorHAnsi" w:eastAsiaTheme="minorEastAsia" w:hAnsiTheme="minorHAnsi" w:cstheme="minorBidi"/>
          <w:noProof/>
          <w:sz w:val="22"/>
          <w:szCs w:val="22"/>
          <w:lang w:eastAsia="en-NZ"/>
        </w:rPr>
      </w:pPr>
      <w:hyperlink w:anchor="_Toc128745940" w:history="1">
        <w:r w:rsidRPr="00C65F68">
          <w:rPr>
            <w:rStyle w:val="Hyperlink"/>
            <w:rFonts w:eastAsia="Arial Unicode MS"/>
            <w:noProof/>
          </w:rPr>
          <w:t>Interactions between the layers</w:t>
        </w:r>
        <w:r>
          <w:rPr>
            <w:noProof/>
            <w:webHidden/>
          </w:rPr>
          <w:tab/>
        </w:r>
        <w:r>
          <w:rPr>
            <w:noProof/>
            <w:webHidden/>
          </w:rPr>
          <w:fldChar w:fldCharType="begin"/>
        </w:r>
        <w:r>
          <w:rPr>
            <w:noProof/>
            <w:webHidden/>
          </w:rPr>
          <w:instrText xml:space="preserve"> PAGEREF _Toc128745940 \h </w:instrText>
        </w:r>
        <w:r>
          <w:rPr>
            <w:noProof/>
            <w:webHidden/>
          </w:rPr>
        </w:r>
        <w:r>
          <w:rPr>
            <w:noProof/>
            <w:webHidden/>
          </w:rPr>
          <w:fldChar w:fldCharType="separate"/>
        </w:r>
        <w:r>
          <w:rPr>
            <w:noProof/>
            <w:webHidden/>
          </w:rPr>
          <w:t>7</w:t>
        </w:r>
        <w:r>
          <w:rPr>
            <w:noProof/>
            <w:webHidden/>
          </w:rPr>
          <w:fldChar w:fldCharType="end"/>
        </w:r>
      </w:hyperlink>
    </w:p>
    <w:p w14:paraId="0726FD4F" w14:textId="1B32D5D1" w:rsidR="00D03E30" w:rsidRDefault="00D03E30">
      <w:pPr>
        <w:pStyle w:val="TOC2"/>
        <w:rPr>
          <w:rFonts w:asciiTheme="minorHAnsi" w:eastAsiaTheme="minorEastAsia" w:hAnsiTheme="minorHAnsi" w:cstheme="minorBidi"/>
          <w:noProof/>
          <w:szCs w:val="22"/>
          <w:lang w:eastAsia="en-NZ"/>
        </w:rPr>
      </w:pPr>
      <w:hyperlink w:anchor="_Toc128745941" w:history="1">
        <w:r w:rsidRPr="00C65F68">
          <w:rPr>
            <w:rStyle w:val="Hyperlink"/>
            <w:rFonts w:eastAsia="Arial Unicode MS"/>
            <w:noProof/>
          </w:rPr>
          <w:t>Terms within Whiria te Muka</w:t>
        </w:r>
        <w:r>
          <w:rPr>
            <w:noProof/>
            <w:webHidden/>
          </w:rPr>
          <w:tab/>
        </w:r>
        <w:r>
          <w:rPr>
            <w:noProof/>
            <w:webHidden/>
          </w:rPr>
          <w:fldChar w:fldCharType="begin"/>
        </w:r>
        <w:r>
          <w:rPr>
            <w:noProof/>
            <w:webHidden/>
          </w:rPr>
          <w:instrText xml:space="preserve"> PAGEREF _Toc128745941 \h </w:instrText>
        </w:r>
        <w:r>
          <w:rPr>
            <w:noProof/>
            <w:webHidden/>
          </w:rPr>
        </w:r>
        <w:r>
          <w:rPr>
            <w:noProof/>
            <w:webHidden/>
          </w:rPr>
          <w:fldChar w:fldCharType="separate"/>
        </w:r>
        <w:r>
          <w:rPr>
            <w:noProof/>
            <w:webHidden/>
          </w:rPr>
          <w:t>8</w:t>
        </w:r>
        <w:r>
          <w:rPr>
            <w:noProof/>
            <w:webHidden/>
          </w:rPr>
          <w:fldChar w:fldCharType="end"/>
        </w:r>
      </w:hyperlink>
    </w:p>
    <w:p w14:paraId="7DD069F5" w14:textId="593EE7E6" w:rsidR="00D03E30" w:rsidRDefault="00D03E30">
      <w:pPr>
        <w:pStyle w:val="TOC1"/>
        <w:rPr>
          <w:rFonts w:asciiTheme="minorHAnsi" w:eastAsiaTheme="minorEastAsia" w:hAnsiTheme="minorHAnsi" w:cstheme="minorBidi"/>
          <w:noProof/>
          <w:sz w:val="22"/>
          <w:szCs w:val="22"/>
          <w:lang w:eastAsia="en-NZ"/>
        </w:rPr>
      </w:pPr>
      <w:hyperlink w:anchor="_Toc128745942" w:history="1">
        <w:r w:rsidRPr="00C65F68">
          <w:rPr>
            <w:rStyle w:val="Hyperlink"/>
            <w:rFonts w:eastAsia="Arial Unicode MS"/>
            <w:noProof/>
          </w:rPr>
          <w:t>Implementing Whiria Te Muka</w:t>
        </w:r>
        <w:r>
          <w:rPr>
            <w:noProof/>
            <w:webHidden/>
          </w:rPr>
          <w:tab/>
        </w:r>
        <w:r>
          <w:rPr>
            <w:noProof/>
            <w:webHidden/>
          </w:rPr>
          <w:fldChar w:fldCharType="begin"/>
        </w:r>
        <w:r>
          <w:rPr>
            <w:noProof/>
            <w:webHidden/>
          </w:rPr>
          <w:instrText xml:space="preserve"> PAGEREF _Toc128745942 \h </w:instrText>
        </w:r>
        <w:r>
          <w:rPr>
            <w:noProof/>
            <w:webHidden/>
          </w:rPr>
        </w:r>
        <w:r>
          <w:rPr>
            <w:noProof/>
            <w:webHidden/>
          </w:rPr>
          <w:fldChar w:fldCharType="separate"/>
        </w:r>
        <w:r>
          <w:rPr>
            <w:noProof/>
            <w:webHidden/>
          </w:rPr>
          <w:t>14</w:t>
        </w:r>
        <w:r>
          <w:rPr>
            <w:noProof/>
            <w:webHidden/>
          </w:rPr>
          <w:fldChar w:fldCharType="end"/>
        </w:r>
      </w:hyperlink>
    </w:p>
    <w:p w14:paraId="3F7DC6ED" w14:textId="75A5EBA4" w:rsidR="00D03E30" w:rsidRDefault="00D03E30">
      <w:pPr>
        <w:pStyle w:val="TOC2"/>
        <w:rPr>
          <w:rFonts w:asciiTheme="minorHAnsi" w:eastAsiaTheme="minorEastAsia" w:hAnsiTheme="minorHAnsi" w:cstheme="minorBidi"/>
          <w:noProof/>
          <w:szCs w:val="22"/>
          <w:lang w:eastAsia="en-NZ"/>
        </w:rPr>
      </w:pPr>
      <w:hyperlink w:anchor="_Toc128745943" w:history="1">
        <w:r w:rsidRPr="00C65F68">
          <w:rPr>
            <w:rStyle w:val="Hyperlink"/>
            <w:rFonts w:eastAsia="Arial Unicode MS"/>
            <w:noProof/>
          </w:rPr>
          <w:t xml:space="preserve">Whakarite </w:t>
        </w:r>
        <w:r w:rsidRPr="00C65F68">
          <w:rPr>
            <w:rStyle w:val="Hyperlink"/>
            <w:rFonts w:eastAsia="Arial Unicode MS"/>
            <w:bCs/>
            <w:noProof/>
          </w:rPr>
          <w:t>Preparation</w:t>
        </w:r>
        <w:r>
          <w:rPr>
            <w:noProof/>
            <w:webHidden/>
          </w:rPr>
          <w:tab/>
        </w:r>
        <w:r>
          <w:rPr>
            <w:noProof/>
            <w:webHidden/>
          </w:rPr>
          <w:fldChar w:fldCharType="begin"/>
        </w:r>
        <w:r>
          <w:rPr>
            <w:noProof/>
            <w:webHidden/>
          </w:rPr>
          <w:instrText xml:space="preserve"> PAGEREF _Toc128745943 \h </w:instrText>
        </w:r>
        <w:r>
          <w:rPr>
            <w:noProof/>
            <w:webHidden/>
          </w:rPr>
        </w:r>
        <w:r>
          <w:rPr>
            <w:noProof/>
            <w:webHidden/>
          </w:rPr>
          <w:fldChar w:fldCharType="separate"/>
        </w:r>
        <w:r>
          <w:rPr>
            <w:noProof/>
            <w:webHidden/>
          </w:rPr>
          <w:t>15</w:t>
        </w:r>
        <w:r>
          <w:rPr>
            <w:noProof/>
            <w:webHidden/>
          </w:rPr>
          <w:fldChar w:fldCharType="end"/>
        </w:r>
      </w:hyperlink>
    </w:p>
    <w:p w14:paraId="574553BA" w14:textId="6549EFB8" w:rsidR="00D03E30" w:rsidRDefault="00D03E30">
      <w:pPr>
        <w:pStyle w:val="TOC2"/>
        <w:rPr>
          <w:rFonts w:asciiTheme="minorHAnsi" w:eastAsiaTheme="minorEastAsia" w:hAnsiTheme="minorHAnsi" w:cstheme="minorBidi"/>
          <w:noProof/>
          <w:szCs w:val="22"/>
          <w:lang w:eastAsia="en-NZ"/>
        </w:rPr>
      </w:pPr>
      <w:hyperlink w:anchor="_Toc128745944" w:history="1">
        <w:r w:rsidRPr="00C65F68">
          <w:rPr>
            <w:rStyle w:val="Hyperlink"/>
            <w:rFonts w:eastAsia="Arial Unicode MS"/>
            <w:noProof/>
          </w:rPr>
          <w:t xml:space="preserve">Whakahoahoa </w:t>
        </w:r>
        <w:r w:rsidRPr="00C65F68">
          <w:rPr>
            <w:rStyle w:val="Hyperlink"/>
            <w:rFonts w:eastAsia="Arial Unicode MS"/>
            <w:bCs/>
            <w:noProof/>
          </w:rPr>
          <w:t>Designing</w:t>
        </w:r>
        <w:r>
          <w:rPr>
            <w:noProof/>
            <w:webHidden/>
          </w:rPr>
          <w:tab/>
        </w:r>
        <w:r>
          <w:rPr>
            <w:noProof/>
            <w:webHidden/>
          </w:rPr>
          <w:fldChar w:fldCharType="begin"/>
        </w:r>
        <w:r>
          <w:rPr>
            <w:noProof/>
            <w:webHidden/>
          </w:rPr>
          <w:instrText xml:space="preserve"> PAGEREF _Toc128745944 \h </w:instrText>
        </w:r>
        <w:r>
          <w:rPr>
            <w:noProof/>
            <w:webHidden/>
          </w:rPr>
        </w:r>
        <w:r>
          <w:rPr>
            <w:noProof/>
            <w:webHidden/>
          </w:rPr>
          <w:fldChar w:fldCharType="separate"/>
        </w:r>
        <w:r>
          <w:rPr>
            <w:noProof/>
            <w:webHidden/>
          </w:rPr>
          <w:t>22</w:t>
        </w:r>
        <w:r>
          <w:rPr>
            <w:noProof/>
            <w:webHidden/>
          </w:rPr>
          <w:fldChar w:fldCharType="end"/>
        </w:r>
      </w:hyperlink>
    </w:p>
    <w:p w14:paraId="19A9FA6A" w14:textId="782833B2" w:rsidR="00D03E30" w:rsidRDefault="00D03E30">
      <w:pPr>
        <w:pStyle w:val="TOC2"/>
        <w:rPr>
          <w:rFonts w:asciiTheme="minorHAnsi" w:eastAsiaTheme="minorEastAsia" w:hAnsiTheme="minorHAnsi" w:cstheme="minorBidi"/>
          <w:noProof/>
          <w:szCs w:val="22"/>
          <w:lang w:eastAsia="en-NZ"/>
        </w:rPr>
      </w:pPr>
      <w:hyperlink w:anchor="_Toc128745945" w:history="1">
        <w:r w:rsidRPr="00C65F68">
          <w:rPr>
            <w:rStyle w:val="Hyperlink"/>
            <w:rFonts w:eastAsia="Arial Unicode MS"/>
            <w:noProof/>
          </w:rPr>
          <w:t xml:space="preserve">Te Aho Tapu </w:t>
        </w:r>
        <w:r w:rsidRPr="00C65F68">
          <w:rPr>
            <w:rStyle w:val="Hyperlink"/>
            <w:rFonts w:eastAsia="Arial Unicode MS"/>
            <w:bCs/>
            <w:noProof/>
          </w:rPr>
          <w:t>Starting</w:t>
        </w:r>
        <w:r>
          <w:rPr>
            <w:noProof/>
            <w:webHidden/>
          </w:rPr>
          <w:tab/>
        </w:r>
        <w:r>
          <w:rPr>
            <w:noProof/>
            <w:webHidden/>
          </w:rPr>
          <w:fldChar w:fldCharType="begin"/>
        </w:r>
        <w:r>
          <w:rPr>
            <w:noProof/>
            <w:webHidden/>
          </w:rPr>
          <w:instrText xml:space="preserve"> PAGEREF _Toc128745945 \h </w:instrText>
        </w:r>
        <w:r>
          <w:rPr>
            <w:noProof/>
            <w:webHidden/>
          </w:rPr>
        </w:r>
        <w:r>
          <w:rPr>
            <w:noProof/>
            <w:webHidden/>
          </w:rPr>
          <w:fldChar w:fldCharType="separate"/>
        </w:r>
        <w:r>
          <w:rPr>
            <w:noProof/>
            <w:webHidden/>
          </w:rPr>
          <w:t>27</w:t>
        </w:r>
        <w:r>
          <w:rPr>
            <w:noProof/>
            <w:webHidden/>
          </w:rPr>
          <w:fldChar w:fldCharType="end"/>
        </w:r>
      </w:hyperlink>
    </w:p>
    <w:p w14:paraId="28F860F1" w14:textId="79DE248F" w:rsidR="00D03E30" w:rsidRDefault="00D03E30">
      <w:pPr>
        <w:pStyle w:val="TOC1"/>
        <w:rPr>
          <w:rFonts w:asciiTheme="minorHAnsi" w:eastAsiaTheme="minorEastAsia" w:hAnsiTheme="minorHAnsi" w:cstheme="minorBidi"/>
          <w:noProof/>
          <w:sz w:val="22"/>
          <w:szCs w:val="22"/>
          <w:lang w:eastAsia="en-NZ"/>
        </w:rPr>
      </w:pPr>
      <w:hyperlink w:anchor="_Toc128745946" w:history="1">
        <w:r w:rsidRPr="00C65F68">
          <w:rPr>
            <w:rStyle w:val="Hyperlink"/>
            <w:rFonts w:eastAsia="Arial Unicode MS"/>
            <w:noProof/>
          </w:rPr>
          <w:t xml:space="preserve">Kupu Whakamutunga </w:t>
        </w:r>
        <w:r w:rsidRPr="00C65F68">
          <w:rPr>
            <w:rStyle w:val="Hyperlink"/>
            <w:noProof/>
          </w:rPr>
          <w:t xml:space="preserve">| </w:t>
        </w:r>
        <w:r w:rsidRPr="00C65F68">
          <w:rPr>
            <w:rStyle w:val="Hyperlink"/>
            <w:rFonts w:eastAsia="Arial Unicode MS"/>
            <w:noProof/>
          </w:rPr>
          <w:t>Conclusion</w:t>
        </w:r>
        <w:r>
          <w:rPr>
            <w:noProof/>
            <w:webHidden/>
          </w:rPr>
          <w:tab/>
        </w:r>
        <w:r>
          <w:rPr>
            <w:noProof/>
            <w:webHidden/>
          </w:rPr>
          <w:fldChar w:fldCharType="begin"/>
        </w:r>
        <w:r>
          <w:rPr>
            <w:noProof/>
            <w:webHidden/>
          </w:rPr>
          <w:instrText xml:space="preserve"> PAGEREF _Toc128745946 \h </w:instrText>
        </w:r>
        <w:r>
          <w:rPr>
            <w:noProof/>
            <w:webHidden/>
          </w:rPr>
        </w:r>
        <w:r>
          <w:rPr>
            <w:noProof/>
            <w:webHidden/>
          </w:rPr>
          <w:fldChar w:fldCharType="separate"/>
        </w:r>
        <w:r>
          <w:rPr>
            <w:noProof/>
            <w:webHidden/>
          </w:rPr>
          <w:t>28</w:t>
        </w:r>
        <w:r>
          <w:rPr>
            <w:noProof/>
            <w:webHidden/>
          </w:rPr>
          <w:fldChar w:fldCharType="end"/>
        </w:r>
      </w:hyperlink>
    </w:p>
    <w:p w14:paraId="5BABCC60" w14:textId="579BA134" w:rsidR="00D03E30" w:rsidRDefault="00D03E30">
      <w:pPr>
        <w:pStyle w:val="TOC1"/>
        <w:rPr>
          <w:rFonts w:asciiTheme="minorHAnsi" w:eastAsiaTheme="minorEastAsia" w:hAnsiTheme="minorHAnsi" w:cstheme="minorBidi"/>
          <w:noProof/>
          <w:sz w:val="22"/>
          <w:szCs w:val="22"/>
          <w:lang w:eastAsia="en-NZ"/>
        </w:rPr>
      </w:pPr>
      <w:hyperlink w:anchor="_Toc128745947" w:history="1">
        <w:r w:rsidRPr="00C65F68">
          <w:rPr>
            <w:rStyle w:val="Hyperlink"/>
            <w:rFonts w:eastAsia="Arial Unicode MS"/>
            <w:noProof/>
          </w:rPr>
          <w:t>Appendix A - Scoring Rubric</w:t>
        </w:r>
        <w:r>
          <w:rPr>
            <w:noProof/>
            <w:webHidden/>
          </w:rPr>
          <w:tab/>
        </w:r>
        <w:r>
          <w:rPr>
            <w:noProof/>
            <w:webHidden/>
          </w:rPr>
          <w:fldChar w:fldCharType="begin"/>
        </w:r>
        <w:r>
          <w:rPr>
            <w:noProof/>
            <w:webHidden/>
          </w:rPr>
          <w:instrText xml:space="preserve"> PAGEREF _Toc128745947 \h </w:instrText>
        </w:r>
        <w:r>
          <w:rPr>
            <w:noProof/>
            <w:webHidden/>
          </w:rPr>
        </w:r>
        <w:r>
          <w:rPr>
            <w:noProof/>
            <w:webHidden/>
          </w:rPr>
          <w:fldChar w:fldCharType="separate"/>
        </w:r>
        <w:r>
          <w:rPr>
            <w:noProof/>
            <w:webHidden/>
          </w:rPr>
          <w:t>29</w:t>
        </w:r>
        <w:r>
          <w:rPr>
            <w:noProof/>
            <w:webHidden/>
          </w:rPr>
          <w:fldChar w:fldCharType="end"/>
        </w:r>
      </w:hyperlink>
    </w:p>
    <w:p w14:paraId="68CC5C02" w14:textId="6C78977B" w:rsidR="00D03E30" w:rsidRDefault="00D03E30">
      <w:pPr>
        <w:pStyle w:val="TOC1"/>
        <w:rPr>
          <w:rFonts w:asciiTheme="minorHAnsi" w:eastAsiaTheme="minorEastAsia" w:hAnsiTheme="minorHAnsi" w:cstheme="minorBidi"/>
          <w:noProof/>
          <w:sz w:val="22"/>
          <w:szCs w:val="22"/>
          <w:lang w:eastAsia="en-NZ"/>
        </w:rPr>
      </w:pPr>
      <w:hyperlink w:anchor="_Toc128745948" w:history="1">
        <w:r w:rsidRPr="00C65F68">
          <w:rPr>
            <w:rStyle w:val="Hyperlink"/>
            <w:rFonts w:eastAsia="Lucida Sans Unicode"/>
            <w:noProof/>
          </w:rPr>
          <w:t>References</w:t>
        </w:r>
        <w:r>
          <w:rPr>
            <w:noProof/>
            <w:webHidden/>
          </w:rPr>
          <w:tab/>
        </w:r>
        <w:r>
          <w:rPr>
            <w:noProof/>
            <w:webHidden/>
          </w:rPr>
          <w:fldChar w:fldCharType="begin"/>
        </w:r>
        <w:r>
          <w:rPr>
            <w:noProof/>
            <w:webHidden/>
          </w:rPr>
          <w:instrText xml:space="preserve"> PAGEREF _Toc128745948 \h </w:instrText>
        </w:r>
        <w:r>
          <w:rPr>
            <w:noProof/>
            <w:webHidden/>
          </w:rPr>
        </w:r>
        <w:r>
          <w:rPr>
            <w:noProof/>
            <w:webHidden/>
          </w:rPr>
          <w:fldChar w:fldCharType="separate"/>
        </w:r>
        <w:r>
          <w:rPr>
            <w:noProof/>
            <w:webHidden/>
          </w:rPr>
          <w:t>32</w:t>
        </w:r>
        <w:r>
          <w:rPr>
            <w:noProof/>
            <w:webHidden/>
          </w:rPr>
          <w:fldChar w:fldCharType="end"/>
        </w:r>
      </w:hyperlink>
    </w:p>
    <w:p w14:paraId="133A9219" w14:textId="02F2B077" w:rsidR="00C86248" w:rsidRDefault="00D03E30">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14:paraId="114EC754" w14:textId="3A7B3F25" w:rsidR="00C67BC1" w:rsidRDefault="00C67BC1" w:rsidP="00C67BC1">
      <w:pPr>
        <w:pStyle w:val="Heading1"/>
        <w:spacing w:before="0"/>
      </w:pPr>
      <w:bookmarkStart w:id="6" w:name="_Toc128745934"/>
      <w:r w:rsidRPr="00C67BC1">
        <w:lastRenderedPageBreak/>
        <w:t>Kupu Whakataki</w:t>
      </w:r>
      <w:r>
        <w:t xml:space="preserve"> | </w:t>
      </w:r>
      <w:r w:rsidRPr="00C67BC1">
        <w:rPr>
          <w:b w:val="0"/>
          <w:bCs/>
        </w:rPr>
        <w:t>Introduction</w:t>
      </w:r>
      <w:bookmarkEnd w:id="6"/>
    </w:p>
    <w:p w14:paraId="71AD2054" w14:textId="63F78606" w:rsidR="00181D0D" w:rsidRPr="00181D0D" w:rsidRDefault="00181D0D" w:rsidP="00181D0D">
      <w:pPr>
        <w:rPr>
          <w:w w:val="105"/>
        </w:rPr>
      </w:pPr>
      <w:r w:rsidRPr="00181D0D">
        <w:rPr>
          <w:w w:val="105"/>
        </w:rPr>
        <w:t>This paper outlines a preliminary anti-racism systems change model for the Aotearoa New Zealand health system. The overarching question this paper seeks to answer is ‘what would a maturity model for anti-racism in the health system look like in Aotearoa?’.</w:t>
      </w:r>
    </w:p>
    <w:p w14:paraId="19BE1886" w14:textId="77777777" w:rsidR="00181D0D" w:rsidRPr="00181D0D" w:rsidRDefault="00181D0D" w:rsidP="00181D0D">
      <w:pPr>
        <w:rPr>
          <w:w w:val="105"/>
        </w:rPr>
      </w:pPr>
    </w:p>
    <w:p w14:paraId="2CBF96A3" w14:textId="77777777" w:rsidR="00181D0D" w:rsidRPr="00181D0D" w:rsidRDefault="00181D0D" w:rsidP="00181D0D">
      <w:pPr>
        <w:rPr>
          <w:w w:val="105"/>
        </w:rPr>
      </w:pPr>
      <w:r w:rsidRPr="00181D0D">
        <w:rPr>
          <w:w w:val="105"/>
        </w:rPr>
        <w:t>To reach this point, the papers draws on insights and recommendations outlined in three discrete components of research conducted as part of phase one of Ao Mai te Rā: the Anti-Racism Kaupapa.</w:t>
      </w:r>
    </w:p>
    <w:p w14:paraId="70FA3DDF" w14:textId="77777777" w:rsidR="00181D0D" w:rsidRDefault="00181D0D" w:rsidP="00181D0D">
      <w:pPr>
        <w:rPr>
          <w:w w:val="105"/>
        </w:rPr>
      </w:pPr>
    </w:p>
    <w:p w14:paraId="4034DC2B" w14:textId="635C8F81" w:rsidR="00C67BC1" w:rsidRDefault="00181D0D" w:rsidP="00181D0D">
      <w:pPr>
        <w:rPr>
          <w:rFonts w:eastAsia="Arial Unicode MS"/>
        </w:rPr>
      </w:pPr>
      <w:r w:rsidRPr="00181D0D">
        <w:rPr>
          <w:w w:val="105"/>
        </w:rPr>
        <w:t>This includes:</w:t>
      </w:r>
    </w:p>
    <w:p w14:paraId="522F6123" w14:textId="3CA3FA7F" w:rsidR="00181D0D" w:rsidRPr="00181D0D" w:rsidRDefault="00181D0D" w:rsidP="00181D0D">
      <w:pPr>
        <w:pStyle w:val="Bullet"/>
        <w:rPr>
          <w:rFonts w:eastAsia="Arial Unicode MS"/>
        </w:rPr>
      </w:pPr>
      <w:r w:rsidRPr="00181D0D">
        <w:rPr>
          <w:rFonts w:eastAsia="Arial Unicode MS"/>
        </w:rPr>
        <w:t>The definitions for racism and anti- racism drawn from the stage one Literature Review ‘</w:t>
      </w:r>
      <w:hyperlink r:id="rId20" w:history="1">
        <w:r w:rsidRPr="00181D0D">
          <w:rPr>
            <w:rStyle w:val="Hyperlink"/>
            <w:rFonts w:eastAsia="Arial Unicode MS"/>
          </w:rPr>
          <w:t>Evolution of Racism and Anti-Racism. Lessons for the Aotearoa New Zealand health system’</w:t>
        </w:r>
      </w:hyperlink>
      <w:r w:rsidRPr="00181D0D">
        <w:rPr>
          <w:rFonts w:eastAsia="Arial Unicode MS"/>
        </w:rPr>
        <w:t>.</w:t>
      </w:r>
    </w:p>
    <w:p w14:paraId="7EAE4A89" w14:textId="10309A43" w:rsidR="00181D0D" w:rsidRPr="00181D0D" w:rsidRDefault="00181D0D" w:rsidP="00181D0D">
      <w:pPr>
        <w:pStyle w:val="Bullet"/>
        <w:rPr>
          <w:rFonts w:eastAsia="Arial Unicode MS"/>
        </w:rPr>
      </w:pPr>
      <w:r w:rsidRPr="00181D0D">
        <w:rPr>
          <w:rFonts w:eastAsia="Arial Unicode MS"/>
        </w:rPr>
        <w:t>The key levers for change drawn from the stage two Literature Review ‘</w:t>
      </w:r>
      <w:hyperlink r:id="rId21" w:history="1">
        <w:r w:rsidRPr="00181D0D">
          <w:rPr>
            <w:rStyle w:val="Hyperlink"/>
            <w:rFonts w:eastAsia="Arial Unicode MS"/>
          </w:rPr>
          <w:t>Best Practices Approaches to Addressing Racism. Lessons for the Aotearoa New Zealand health system</w:t>
        </w:r>
      </w:hyperlink>
      <w:r w:rsidRPr="00181D0D">
        <w:rPr>
          <w:rFonts w:eastAsia="Arial Unicode MS"/>
        </w:rPr>
        <w:t>.’</w:t>
      </w:r>
    </w:p>
    <w:p w14:paraId="7F6E6D44" w14:textId="352A0B6C" w:rsidR="00181D0D" w:rsidRPr="00181D0D" w:rsidRDefault="00181D0D" w:rsidP="00181D0D">
      <w:pPr>
        <w:pStyle w:val="Bullet"/>
        <w:rPr>
          <w:rFonts w:eastAsia="Arial Unicode MS"/>
        </w:rPr>
      </w:pPr>
      <w:r w:rsidRPr="00181D0D">
        <w:rPr>
          <w:rFonts w:eastAsia="Arial Unicode MS"/>
        </w:rPr>
        <w:t>A model that draws on the concept of maturity as a basis for diagnosis, and integrates systems thinking and critical theory as mechanisms for anti-racism transformation. These insights are drawn from the stage three Literature Review ‘</w:t>
      </w:r>
      <w:hyperlink r:id="rId22" w:history="1">
        <w:r w:rsidRPr="00181D0D">
          <w:rPr>
            <w:rStyle w:val="Hyperlink"/>
            <w:rFonts w:eastAsia="Arial Unicode MS"/>
          </w:rPr>
          <w:t>Anti-Racism Maturity Models. Lessons for the Aotearoa New Zealand health system’</w:t>
        </w:r>
      </w:hyperlink>
    </w:p>
    <w:p w14:paraId="621F7535" w14:textId="3E69393A" w:rsidR="00C67BC1" w:rsidRDefault="00C67BC1" w:rsidP="00181D0D">
      <w:pPr>
        <w:rPr>
          <w:rFonts w:eastAsia="Arial Unicode MS"/>
        </w:rPr>
      </w:pPr>
    </w:p>
    <w:p w14:paraId="5B179214" w14:textId="27470B62" w:rsidR="00181D0D" w:rsidRPr="00181D0D" w:rsidRDefault="00181D0D" w:rsidP="00181D0D">
      <w:pPr>
        <w:rPr>
          <w:rFonts w:eastAsia="Arial Unicode MS"/>
        </w:rPr>
      </w:pPr>
      <w:r w:rsidRPr="00181D0D">
        <w:rPr>
          <w:rFonts w:eastAsia="Arial Unicode MS"/>
        </w:rPr>
        <w:t>Whiria te Muka is a preliminary systems change model developed to support the transformation of the Aotearoa health system towards an anti-racist future. An overview of the model is summarised in a companion document [</w:t>
      </w:r>
      <w:hyperlink r:id="rId23" w:history="1">
        <w:r w:rsidRPr="00181D0D">
          <w:rPr>
            <w:rStyle w:val="Hyperlink"/>
            <w:rFonts w:eastAsia="Arial Unicode MS"/>
          </w:rPr>
          <w:t>Summary Paper – Whiria te Muka. A preliminary model for the Aotearoa New Zealand health system</w:t>
        </w:r>
      </w:hyperlink>
      <w:r w:rsidRPr="00181D0D">
        <w:rPr>
          <w:rFonts w:eastAsia="Arial Unicode MS"/>
        </w:rPr>
        <w:t>].</w:t>
      </w:r>
    </w:p>
    <w:p w14:paraId="324BE654" w14:textId="77777777" w:rsidR="00181D0D" w:rsidRPr="00181D0D" w:rsidRDefault="00181D0D" w:rsidP="00181D0D">
      <w:pPr>
        <w:rPr>
          <w:rFonts w:eastAsia="Arial Unicode MS"/>
        </w:rPr>
      </w:pPr>
    </w:p>
    <w:p w14:paraId="580D955F" w14:textId="6B456C86" w:rsidR="00181D0D" w:rsidRPr="00181D0D" w:rsidRDefault="00181D0D" w:rsidP="00181D0D">
      <w:pPr>
        <w:rPr>
          <w:rFonts w:eastAsia="Arial Unicode MS"/>
        </w:rPr>
      </w:pPr>
      <w:r w:rsidRPr="00181D0D">
        <w:rPr>
          <w:rFonts w:eastAsia="Arial Unicode MS"/>
        </w:rPr>
        <w:t>This paper provides detail on a preliminary model that is designed to give us an organisational and systems view of anti- racism action in health and an evolutionary pathway of how we might achieve the vision mana tangata – where everyone who enters the health system, regardless of culture, background, identity, or race, is valued, respected and honoured for</w:t>
      </w:r>
      <w:r>
        <w:rPr>
          <w:rFonts w:eastAsia="Arial Unicode MS"/>
        </w:rPr>
        <w:t xml:space="preserve"> </w:t>
      </w:r>
      <w:r w:rsidRPr="00181D0D">
        <w:rPr>
          <w:rFonts w:eastAsia="Arial Unicode MS"/>
        </w:rPr>
        <w:t>who they are.</w:t>
      </w:r>
    </w:p>
    <w:p w14:paraId="1C283BD9" w14:textId="77777777" w:rsidR="00181D0D" w:rsidRPr="00181D0D" w:rsidRDefault="00181D0D" w:rsidP="00181D0D">
      <w:pPr>
        <w:rPr>
          <w:rFonts w:eastAsia="Arial Unicode MS"/>
        </w:rPr>
      </w:pPr>
    </w:p>
    <w:p w14:paraId="07DCD9ED" w14:textId="77777777" w:rsidR="00181D0D" w:rsidRDefault="00181D0D" w:rsidP="00181D0D">
      <w:pPr>
        <w:rPr>
          <w:rFonts w:eastAsia="Arial Unicode MS"/>
        </w:rPr>
        <w:sectPr w:rsidR="00181D0D" w:rsidSect="00E046D1">
          <w:footerReference w:type="even" r:id="rId24"/>
          <w:footerReference w:type="default" r:id="rId25"/>
          <w:pgSz w:w="11907" w:h="16840" w:code="9"/>
          <w:pgMar w:top="1418" w:right="1701" w:bottom="1134" w:left="1843" w:header="284" w:footer="425" w:gutter="284"/>
          <w:pgNumType w:start="1"/>
          <w:cols w:space="720"/>
        </w:sectPr>
      </w:pPr>
      <w:r w:rsidRPr="00181D0D">
        <w:rPr>
          <w:rFonts w:eastAsia="Arial Unicode MS"/>
        </w:rPr>
        <w:t>It’s important to note that Whiria te Muka is a preliminary model, there are some elements of the model that are yet to be developed and all aspects of the model require testing and iteration within the health system.</w:t>
      </w:r>
    </w:p>
    <w:p w14:paraId="5C6C5A11" w14:textId="21F96903" w:rsidR="00181D0D" w:rsidRPr="00181D0D" w:rsidRDefault="00181D0D" w:rsidP="00181D0D">
      <w:pPr>
        <w:pStyle w:val="Heading1"/>
        <w:spacing w:before="0"/>
        <w:rPr>
          <w:rFonts w:eastAsia="Arial Unicode MS"/>
        </w:rPr>
      </w:pPr>
      <w:bookmarkStart w:id="7" w:name="_Toc128745935"/>
      <w:r w:rsidRPr="00181D0D">
        <w:rPr>
          <w:rFonts w:eastAsia="Arial Unicode MS"/>
        </w:rPr>
        <w:lastRenderedPageBreak/>
        <w:t xml:space="preserve">Overview </w:t>
      </w:r>
      <w:r>
        <w:rPr>
          <w:rFonts w:eastAsia="Arial Unicode MS"/>
        </w:rPr>
        <w:t>o</w:t>
      </w:r>
      <w:r w:rsidRPr="00181D0D">
        <w:rPr>
          <w:rFonts w:eastAsia="Arial Unicode MS"/>
        </w:rPr>
        <w:t>f Whiria Te Muka</w:t>
      </w:r>
      <w:bookmarkEnd w:id="7"/>
    </w:p>
    <w:p w14:paraId="7139817F" w14:textId="77777777" w:rsidR="00181D0D" w:rsidRPr="00181D0D" w:rsidRDefault="00181D0D" w:rsidP="00181D0D">
      <w:pPr>
        <w:rPr>
          <w:rFonts w:eastAsia="Arial Unicode MS"/>
        </w:rPr>
      </w:pPr>
      <w:r w:rsidRPr="00181D0D">
        <w:rPr>
          <w:rFonts w:eastAsia="Arial Unicode MS"/>
        </w:rPr>
        <w:t>Systems change is growing in global prominence as a way to address complex, intractable problems. The key features of systems change include:</w:t>
      </w:r>
    </w:p>
    <w:p w14:paraId="4629E796" w14:textId="08BC7D40" w:rsidR="00181D0D" w:rsidRPr="00181D0D" w:rsidRDefault="00181D0D" w:rsidP="00181D0D">
      <w:pPr>
        <w:pStyle w:val="Bullet"/>
        <w:rPr>
          <w:rFonts w:eastAsia="Arial Unicode MS"/>
        </w:rPr>
      </w:pPr>
      <w:r w:rsidRPr="00181D0D">
        <w:rPr>
          <w:rFonts w:eastAsia="Arial Unicode MS"/>
        </w:rPr>
        <w:t>complex problems, where there are multiple factors contributing to the existence of a problem with visible and invisible inter-relationships;</w:t>
      </w:r>
    </w:p>
    <w:p w14:paraId="50A64879" w14:textId="063492E3" w:rsidR="00181D0D" w:rsidRPr="00181D0D" w:rsidRDefault="00181D0D" w:rsidP="00181D0D">
      <w:pPr>
        <w:pStyle w:val="Bullet"/>
        <w:rPr>
          <w:rFonts w:eastAsia="Arial Unicode MS"/>
        </w:rPr>
      </w:pPr>
      <w:r w:rsidRPr="00181D0D">
        <w:rPr>
          <w:rFonts w:eastAsia="Arial Unicode MS"/>
        </w:rPr>
        <w:t>the ability to examine, observe and understand the interaction of the multiple contributing factors, which means taking a system level view; and</w:t>
      </w:r>
    </w:p>
    <w:p w14:paraId="163721C7" w14:textId="08108478" w:rsidR="00181D0D" w:rsidRPr="00181D0D" w:rsidRDefault="00181D0D" w:rsidP="00181D0D">
      <w:pPr>
        <w:pStyle w:val="Bullet"/>
        <w:rPr>
          <w:rFonts w:eastAsia="Arial Unicode MS"/>
        </w:rPr>
      </w:pPr>
      <w:r w:rsidRPr="00181D0D">
        <w:rPr>
          <w:rFonts w:eastAsia="Arial Unicode MS"/>
        </w:rPr>
        <w:t>synchronised action, where tangible, meaningful and durable change will only be achieved if multiple levers are synchronised to create a solution ‘collage’.</w:t>
      </w:r>
    </w:p>
    <w:p w14:paraId="5C177E46" w14:textId="77777777" w:rsidR="00181D0D" w:rsidRPr="00181D0D" w:rsidRDefault="00181D0D" w:rsidP="00181D0D">
      <w:pPr>
        <w:rPr>
          <w:rFonts w:eastAsia="Arial Unicode MS"/>
        </w:rPr>
      </w:pPr>
    </w:p>
    <w:p w14:paraId="0C541900" w14:textId="77777777" w:rsidR="00181D0D" w:rsidRPr="00181D0D" w:rsidRDefault="00181D0D" w:rsidP="00181D0D">
      <w:pPr>
        <w:rPr>
          <w:rFonts w:eastAsia="Arial Unicode MS"/>
        </w:rPr>
      </w:pPr>
      <w:r w:rsidRPr="00181D0D">
        <w:rPr>
          <w:rFonts w:eastAsia="Arial Unicode MS"/>
        </w:rPr>
        <w:t>Taking a systems view requires us to move away from expectations that solutions can be mechanistic and linear: plugging gaps with well-intended micro-solutions will paper over the complexity of causation without producing real change. Designing a collage of solutions requires nuanced thinking about the network effect of multiple simultaneous or sequenced interventions, combined with strategic imagination that unlocks the potential of novel and/or non-linear style interventions.</w:t>
      </w:r>
    </w:p>
    <w:p w14:paraId="114FD91D" w14:textId="77777777" w:rsidR="00181D0D" w:rsidRPr="00181D0D" w:rsidRDefault="00181D0D" w:rsidP="00181D0D">
      <w:pPr>
        <w:rPr>
          <w:rFonts w:eastAsia="Arial Unicode MS"/>
        </w:rPr>
      </w:pPr>
    </w:p>
    <w:p w14:paraId="3F48E548" w14:textId="70462890" w:rsidR="00181D0D" w:rsidRPr="00181D0D" w:rsidRDefault="00181D0D" w:rsidP="00181D0D">
      <w:pPr>
        <w:rPr>
          <w:rFonts w:eastAsia="Arial Unicode MS"/>
        </w:rPr>
      </w:pPr>
      <w:r w:rsidRPr="00181D0D">
        <w:rPr>
          <w:rFonts w:eastAsia="Arial Unicode MS"/>
        </w:rPr>
        <w:t>Whiria Te Muka is a mātauranga Māori anchored approach to systems change that builds on the work of the late Professor Mānuka Henare. Professor Henare’s foundational work was developed for the Royal Commission on Social Policy,</w:t>
      </w:r>
      <w:r>
        <w:rPr>
          <w:rStyle w:val="FootnoteReference"/>
          <w:rFonts w:eastAsia="Arial Unicode MS"/>
        </w:rPr>
        <w:footnoteReference w:id="1"/>
      </w:r>
      <w:r w:rsidRPr="00181D0D">
        <w:rPr>
          <w:rFonts w:eastAsia="Arial Unicode MS"/>
        </w:rPr>
        <w:t xml:space="preserve"> and recommended that effective public policy should align across four dimensions: kawa, tikanga, ritenga and āhuatanga.</w:t>
      </w:r>
    </w:p>
    <w:p w14:paraId="6A90DA63" w14:textId="77777777" w:rsidR="00181D0D" w:rsidRPr="00181D0D" w:rsidRDefault="00181D0D" w:rsidP="00181D0D">
      <w:pPr>
        <w:rPr>
          <w:rFonts w:eastAsia="Arial Unicode MS"/>
        </w:rPr>
      </w:pPr>
      <w:r w:rsidRPr="00181D0D">
        <w:rPr>
          <w:rFonts w:eastAsia="Arial Unicode MS"/>
        </w:rPr>
        <w:t xml:space="preserve"> </w:t>
      </w:r>
    </w:p>
    <w:p w14:paraId="42F13A58" w14:textId="52FF76F6" w:rsidR="00181D0D" w:rsidRPr="00181D0D" w:rsidRDefault="00181D0D" w:rsidP="00181D0D">
      <w:pPr>
        <w:rPr>
          <w:rFonts w:eastAsia="Arial Unicode MS"/>
        </w:rPr>
      </w:pPr>
      <w:r w:rsidRPr="00181D0D">
        <w:rPr>
          <w:rFonts w:eastAsia="Arial Unicode MS"/>
        </w:rPr>
        <w:t>Professor Henare used traditional Ngā Puhi concepts to describe a philosophical ideal of a good life. In this example,</w:t>
      </w:r>
      <w:r>
        <w:rPr>
          <w:rFonts w:eastAsia="Arial Unicode MS"/>
        </w:rPr>
        <w:t xml:space="preserve"> </w:t>
      </w:r>
      <w:r w:rsidRPr="00181D0D">
        <w:rPr>
          <w:rFonts w:eastAsia="Arial Unicode MS"/>
        </w:rPr>
        <w:t>the kawa dimension is derived from Io Matua Kore, the supreme being, with kawa being a reverence for life. The tikanga dimension represents the forms of appropriate behaviour that reinforce</w:t>
      </w:r>
      <w:r>
        <w:rPr>
          <w:rFonts w:eastAsia="Arial Unicode MS"/>
        </w:rPr>
        <w:t xml:space="preserve"> </w:t>
      </w:r>
      <w:r w:rsidRPr="00181D0D">
        <w:rPr>
          <w:rFonts w:eastAsia="Arial Unicode MS"/>
        </w:rPr>
        <w:t>kawa and the prime values that determine what we do, think and feel. Outside of the tribal confines of mapped relationships, the kawa-tikanga-ritenga-āhuatanga framework displays a type of holistic relationality through the ethical intentions of a value system. Professor Henare</w:t>
      </w:r>
      <w:r>
        <w:rPr>
          <w:rFonts w:eastAsia="Arial Unicode MS"/>
        </w:rPr>
        <w:t xml:space="preserve"> </w:t>
      </w:r>
      <w:r w:rsidRPr="00181D0D">
        <w:rPr>
          <w:rFonts w:eastAsia="Arial Unicode MS"/>
        </w:rPr>
        <w:t>describes it as a matrix for ethical pluralism where values inform relationships, which continue to describe the good life and indicate the ultimate purpose of activity.</w:t>
      </w:r>
      <w:r>
        <w:rPr>
          <w:rStyle w:val="FootnoteReference"/>
          <w:rFonts w:eastAsia="Arial Unicode MS"/>
        </w:rPr>
        <w:footnoteReference w:id="2"/>
      </w:r>
      <w:r w:rsidRPr="00181D0D">
        <w:rPr>
          <w:rFonts w:eastAsia="Arial Unicode MS"/>
        </w:rPr>
        <w:t xml:space="preserve"> Professor Henare’s description of ethics</w:t>
      </w:r>
      <w:r>
        <w:rPr>
          <w:rFonts w:eastAsia="Arial Unicode MS"/>
        </w:rPr>
        <w:t xml:space="preserve"> </w:t>
      </w:r>
      <w:r w:rsidRPr="00181D0D">
        <w:rPr>
          <w:rFonts w:eastAsia="Arial Unicode MS"/>
        </w:rPr>
        <w:t>as a spiral constitutes a way of connecting humanity and the environment in a relationship of respect and reciprocity, as opposed to a hierarchical system.</w:t>
      </w:r>
      <w:r>
        <w:rPr>
          <w:rStyle w:val="FootnoteReference"/>
          <w:rFonts w:eastAsia="Arial Unicode MS"/>
        </w:rPr>
        <w:footnoteReference w:id="3"/>
      </w:r>
    </w:p>
    <w:p w14:paraId="78BAB923" w14:textId="77777777" w:rsidR="00181D0D" w:rsidRDefault="00181D0D" w:rsidP="00181D0D">
      <w:pPr>
        <w:rPr>
          <w:rFonts w:eastAsia="Arial Unicode MS"/>
        </w:rPr>
      </w:pPr>
    </w:p>
    <w:p w14:paraId="3B581BBC" w14:textId="22C19D42" w:rsidR="00181D0D" w:rsidRPr="00181D0D" w:rsidRDefault="00181D0D" w:rsidP="00181D0D">
      <w:pPr>
        <w:rPr>
          <w:rFonts w:eastAsia="Arial Unicode MS"/>
        </w:rPr>
      </w:pPr>
      <w:r w:rsidRPr="00181D0D">
        <w:rPr>
          <w:rFonts w:eastAsia="Arial Unicode MS"/>
        </w:rPr>
        <w:lastRenderedPageBreak/>
        <w:t>Whiria Te Muka extends Professor Henare’s model in a way we hope and believe honours his work and intellectual leadership. The extensions aim to order and reflect the inter-relationships between the causal factors for a complex problem, as well as to map existing interventions and possible solutions. The key adaptations made to Professor Henare’s model are:</w:t>
      </w:r>
    </w:p>
    <w:p w14:paraId="65C52D07" w14:textId="7578F919" w:rsidR="00181D0D" w:rsidRDefault="00181D0D" w:rsidP="00181D0D">
      <w:pPr>
        <w:pStyle w:val="Bullet"/>
        <w:rPr>
          <w:rFonts w:eastAsia="Arial Unicode MS"/>
        </w:rPr>
      </w:pPr>
      <w:r w:rsidRPr="00181D0D">
        <w:rPr>
          <w:rFonts w:eastAsia="Arial Unicode MS"/>
        </w:rPr>
        <w:t>substituting Āhuatanga with Putanga. We do this because we consider that Āhuatanga can be interpreted narrowly to capture ‘process outcomes’ rather than substantive impact outcomes; and</w:t>
      </w:r>
    </w:p>
    <w:p w14:paraId="29D4C3FA" w14:textId="77777777" w:rsidR="00181D0D" w:rsidRPr="00181D0D" w:rsidRDefault="00181D0D" w:rsidP="00181D0D">
      <w:pPr>
        <w:pStyle w:val="Bullet"/>
        <w:rPr>
          <w:rFonts w:eastAsia="Arial Unicode MS"/>
        </w:rPr>
      </w:pPr>
      <w:r w:rsidRPr="00181D0D">
        <w:rPr>
          <w:rFonts w:eastAsia="Arial Unicode MS"/>
        </w:rPr>
        <w:t>augmenting each of the layers within the model with a detailed itinerary of levers for change. Levers for change are the types of action that can be taken to create change.</w:t>
      </w:r>
    </w:p>
    <w:p w14:paraId="3CF9381B" w14:textId="283F867D" w:rsidR="00181D0D" w:rsidRDefault="00181D0D" w:rsidP="00181D0D">
      <w:pPr>
        <w:rPr>
          <w:rFonts w:eastAsia="Arial Unicode MS"/>
        </w:rPr>
      </w:pPr>
    </w:p>
    <w:p w14:paraId="2817413A" w14:textId="534B9C1D" w:rsidR="00181D0D" w:rsidRDefault="00181D0D" w:rsidP="00181D0D">
      <w:pPr>
        <w:rPr>
          <w:rFonts w:eastAsia="Arial Unicode MS"/>
        </w:rPr>
      </w:pPr>
      <w:r w:rsidRPr="00181D0D">
        <w:rPr>
          <w:rFonts w:eastAsia="Arial Unicode MS"/>
        </w:rPr>
        <w:t>The key levers for change draw from the companion document - the stage two Literature Review ‘</w:t>
      </w:r>
      <w:hyperlink r:id="rId26" w:history="1">
        <w:r w:rsidRPr="00F24805">
          <w:rPr>
            <w:rStyle w:val="Hyperlink"/>
            <w:rFonts w:eastAsia="Arial Unicode MS"/>
          </w:rPr>
          <w:t>Best practices Approaches to Addressing Racism. Lessons for the Aotearoa New Zealand health system’</w:t>
        </w:r>
      </w:hyperlink>
      <w:r w:rsidRPr="00181D0D">
        <w:rPr>
          <w:rFonts w:eastAsia="Arial Unicode MS"/>
        </w:rPr>
        <w:t>. The adaptations to Professor Henare’s model into Whiria te Muka is depicted and described below:</w:t>
      </w:r>
    </w:p>
    <w:p w14:paraId="2C3EB2DF" w14:textId="19977328" w:rsidR="00F24805" w:rsidRDefault="00F24805" w:rsidP="00F24805">
      <w:pPr>
        <w:pStyle w:val="Heading2"/>
        <w:rPr>
          <w:rFonts w:eastAsia="Arial Unicode MS"/>
          <w:b w:val="0"/>
          <w:bCs/>
        </w:rPr>
      </w:pPr>
      <w:bookmarkStart w:id="8" w:name="_Toc128745936"/>
      <w:r w:rsidRPr="00F24805">
        <w:rPr>
          <w:rFonts w:eastAsia="Arial Unicode MS"/>
        </w:rPr>
        <w:t xml:space="preserve">Kawa </w:t>
      </w:r>
      <w:r w:rsidRPr="00F24805">
        <w:rPr>
          <w:rFonts w:eastAsia="Arial Unicode MS"/>
          <w:b w:val="0"/>
          <w:bCs/>
        </w:rPr>
        <w:t>Telling a New Story</w:t>
      </w:r>
      <w:bookmarkEnd w:id="8"/>
    </w:p>
    <w:p w14:paraId="2B870CCC" w14:textId="4E05FAAE" w:rsidR="00F24805" w:rsidRDefault="00F24805" w:rsidP="00F24805">
      <w:pPr>
        <w:rPr>
          <w:rFonts w:eastAsia="Arial Unicode MS"/>
        </w:rPr>
      </w:pPr>
      <w:r>
        <w:rPr>
          <w:rFonts w:eastAsia="Arial Unicode MS"/>
          <w:noProof/>
        </w:rPr>
        <w:drawing>
          <wp:anchor distT="107950" distB="107950" distL="107950" distR="107950" simplePos="0" relativeHeight="251658240" behindDoc="1" locked="0" layoutInCell="1" allowOverlap="1" wp14:anchorId="47ADF682" wp14:editId="5FB40AD3">
            <wp:simplePos x="0" y="0"/>
            <wp:positionH relativeFrom="column">
              <wp:posOffset>2651125</wp:posOffset>
            </wp:positionH>
            <wp:positionV relativeFrom="page">
              <wp:posOffset>4721682</wp:posOffset>
            </wp:positionV>
            <wp:extent cx="2775600" cy="2808000"/>
            <wp:effectExtent l="0" t="0" r="571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5600" cy="2808000"/>
                    </a:xfrm>
                    <a:prstGeom prst="rect">
                      <a:avLst/>
                    </a:prstGeom>
                    <a:noFill/>
                  </pic:spPr>
                </pic:pic>
              </a:graphicData>
            </a:graphic>
            <wp14:sizeRelH relativeFrom="page">
              <wp14:pctWidth>0</wp14:pctWidth>
            </wp14:sizeRelH>
            <wp14:sizeRelV relativeFrom="page">
              <wp14:pctHeight>0</wp14:pctHeight>
            </wp14:sizeRelV>
          </wp:anchor>
        </w:drawing>
      </w:r>
      <w:r w:rsidRPr="00F24805">
        <w:rPr>
          <w:rFonts w:eastAsia="Arial Unicode MS"/>
        </w:rPr>
        <w:t>Professor Henare defines Kawa as the moral imperative, which reflects the paradigm framing for what is conceived as ‘good’ or ‘valued’. In simpler terms, Kawa encompasses the values and beliefs that shape what we believe as good, right or just.</w:t>
      </w:r>
    </w:p>
    <w:p w14:paraId="566EC44C" w14:textId="77777777" w:rsidR="00E046D1" w:rsidRPr="00F24805" w:rsidRDefault="00E046D1" w:rsidP="00F24805">
      <w:pPr>
        <w:rPr>
          <w:rFonts w:eastAsia="Arial Unicode MS"/>
        </w:rPr>
      </w:pPr>
    </w:p>
    <w:p w14:paraId="55DD62B2" w14:textId="77777777" w:rsidR="00F24805" w:rsidRDefault="00F24805" w:rsidP="00F24805">
      <w:pPr>
        <w:rPr>
          <w:rFonts w:eastAsia="Arial Unicode MS"/>
        </w:rPr>
      </w:pPr>
      <w:r w:rsidRPr="00F24805">
        <w:rPr>
          <w:rFonts w:eastAsia="Arial Unicode MS"/>
        </w:rPr>
        <w:t>Within Whiria Te Muka, Kawa encompasses the cognitive frames, mental models, values, and beliefs that contribute to a given problem. The two key levers which can support change within the Kawa dimension are:</w:t>
      </w:r>
    </w:p>
    <w:p w14:paraId="6628AE85" w14:textId="77777777" w:rsidR="00F24805" w:rsidRPr="00F24805" w:rsidRDefault="00F24805" w:rsidP="00F24805">
      <w:pPr>
        <w:pStyle w:val="Bullet"/>
        <w:rPr>
          <w:rFonts w:eastAsia="Arial Unicode MS"/>
        </w:rPr>
      </w:pPr>
      <w:r w:rsidRPr="00F24805">
        <w:rPr>
          <w:rFonts w:eastAsia="Arial Unicode MS"/>
          <w:b/>
          <w:bCs/>
        </w:rPr>
        <w:t>Leadership</w:t>
      </w:r>
      <w:r w:rsidRPr="00F24805">
        <w:rPr>
          <w:rFonts w:eastAsia="Arial Unicode MS"/>
        </w:rPr>
        <w:t xml:space="preserve"> – leaders are champions for change, they can influence cognitive frames/mental models, by embedding and modelling new values and beliefs that support a new direction of travel.</w:t>
      </w:r>
    </w:p>
    <w:p w14:paraId="41BC0D71" w14:textId="77777777" w:rsidR="00F24805" w:rsidRPr="00F24805" w:rsidRDefault="00F24805" w:rsidP="00F24805">
      <w:pPr>
        <w:pStyle w:val="Bullet"/>
        <w:rPr>
          <w:rFonts w:eastAsia="Arial Unicode MS"/>
        </w:rPr>
      </w:pPr>
      <w:r w:rsidRPr="00F24805">
        <w:rPr>
          <w:rFonts w:eastAsia="Arial Unicode MS"/>
          <w:b/>
          <w:bCs/>
        </w:rPr>
        <w:t>Narrative</w:t>
      </w:r>
      <w:r w:rsidRPr="00F24805">
        <w:rPr>
          <w:rFonts w:eastAsia="Arial Unicode MS"/>
        </w:rPr>
        <w:t xml:space="preserve"> – narrative stories are a recognised tool to influence cognitive frames/mental models, how we frame and talk about an issue can change how people think and act, and nudge the evolution of societal beliefs.</w:t>
      </w:r>
    </w:p>
    <w:p w14:paraId="050703FB" w14:textId="77777777" w:rsidR="00F24805" w:rsidRDefault="00F24805" w:rsidP="00F24805">
      <w:pPr>
        <w:rPr>
          <w:rFonts w:eastAsia="Arial Unicode MS"/>
        </w:rPr>
      </w:pPr>
    </w:p>
    <w:p w14:paraId="62297988" w14:textId="3B280AB8" w:rsidR="00F24805" w:rsidRDefault="00F24805" w:rsidP="00F24805">
      <w:pPr>
        <w:rPr>
          <w:rFonts w:eastAsia="Arial Unicode MS"/>
        </w:rPr>
      </w:pPr>
      <w:r w:rsidRPr="00F24805">
        <w:rPr>
          <w:rFonts w:eastAsia="Arial Unicode MS"/>
        </w:rPr>
        <w:t>These levers provide a directional coherence that can help people make sense of the desired change as well as inculcate motivation and build momentum.</w:t>
      </w:r>
    </w:p>
    <w:p w14:paraId="0A301535" w14:textId="71AA35FE" w:rsidR="00F24805" w:rsidRDefault="00F24805" w:rsidP="00F24805">
      <w:pPr>
        <w:rPr>
          <w:rFonts w:eastAsia="Arial Unicode MS"/>
        </w:rPr>
      </w:pPr>
    </w:p>
    <w:p w14:paraId="13608399" w14:textId="717D2847" w:rsidR="00F24805" w:rsidRPr="00F24805" w:rsidRDefault="00F24805" w:rsidP="00F24805">
      <w:pPr>
        <w:pStyle w:val="Heading2"/>
        <w:rPr>
          <w:rFonts w:eastAsia="Arial Unicode MS"/>
        </w:rPr>
      </w:pPr>
      <w:bookmarkStart w:id="9" w:name="_Toc128745937"/>
      <w:r w:rsidRPr="00F24805">
        <w:rPr>
          <w:rFonts w:eastAsia="Arial Unicode MS"/>
        </w:rPr>
        <w:lastRenderedPageBreak/>
        <w:t xml:space="preserve">Tikanga </w:t>
      </w:r>
      <w:r w:rsidRPr="00F24805">
        <w:rPr>
          <w:rFonts w:eastAsia="Arial Unicode MS"/>
          <w:b w:val="0"/>
          <w:bCs/>
        </w:rPr>
        <w:t>Creating a New Culture</w:t>
      </w:r>
      <w:bookmarkEnd w:id="9"/>
    </w:p>
    <w:p w14:paraId="75CBE476" w14:textId="697F2087" w:rsidR="00F24805" w:rsidRPr="00F24805" w:rsidRDefault="00F24805" w:rsidP="00F24805">
      <w:pPr>
        <w:rPr>
          <w:rFonts w:eastAsia="Arial Unicode MS"/>
        </w:rPr>
      </w:pPr>
      <w:r>
        <w:rPr>
          <w:noProof/>
        </w:rPr>
        <w:drawing>
          <wp:anchor distT="71755" distB="71755" distL="71755" distR="71755" simplePos="0" relativeHeight="251660288" behindDoc="1" locked="0" layoutInCell="1" allowOverlap="1" wp14:anchorId="2FEDFEAB" wp14:editId="19103B8A">
            <wp:simplePos x="0" y="0"/>
            <wp:positionH relativeFrom="page">
              <wp:posOffset>3933573</wp:posOffset>
            </wp:positionH>
            <wp:positionV relativeFrom="paragraph">
              <wp:posOffset>67945</wp:posOffset>
            </wp:positionV>
            <wp:extent cx="2772000" cy="2808000"/>
            <wp:effectExtent l="0" t="0" r="9525" b="0"/>
            <wp:wrapSquare wrapText="bothSides"/>
            <wp:docPr id="4"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772000" cy="2808000"/>
                    </a:xfrm>
                    <a:prstGeom prst="rect">
                      <a:avLst/>
                    </a:prstGeom>
                  </pic:spPr>
                </pic:pic>
              </a:graphicData>
            </a:graphic>
            <wp14:sizeRelH relativeFrom="margin">
              <wp14:pctWidth>0</wp14:pctWidth>
            </wp14:sizeRelH>
            <wp14:sizeRelV relativeFrom="margin">
              <wp14:pctHeight>0</wp14:pctHeight>
            </wp14:sizeRelV>
          </wp:anchor>
        </w:drawing>
      </w:r>
      <w:r w:rsidRPr="00F24805">
        <w:rPr>
          <w:rFonts w:eastAsia="Arial Unicode MS"/>
        </w:rPr>
        <w:t>Professor Henare defines tikanga as principles and ethics. Within Whiria Te Muka, Tikanga encompasses the</w:t>
      </w:r>
      <w:r>
        <w:rPr>
          <w:rFonts w:eastAsia="Arial Unicode MS"/>
        </w:rPr>
        <w:t xml:space="preserve"> </w:t>
      </w:r>
      <w:r w:rsidRPr="00F24805">
        <w:rPr>
          <w:rFonts w:eastAsia="Arial Unicode MS"/>
        </w:rPr>
        <w:t>mechanisms that specify or determine what is considered ‘right’ within an organisation, with specific regard to its systems, strategies and policies.</w:t>
      </w:r>
    </w:p>
    <w:p w14:paraId="2A0887DE" w14:textId="77777777" w:rsidR="00F24805" w:rsidRPr="00F24805" w:rsidRDefault="00F24805" w:rsidP="00F24805">
      <w:pPr>
        <w:rPr>
          <w:rFonts w:eastAsia="Arial Unicode MS"/>
        </w:rPr>
      </w:pPr>
    </w:p>
    <w:p w14:paraId="29E643C4" w14:textId="24C5B637" w:rsidR="00F24805" w:rsidRDefault="00F24805" w:rsidP="00F24805">
      <w:pPr>
        <w:rPr>
          <w:rFonts w:eastAsia="Arial Unicode MS"/>
        </w:rPr>
      </w:pPr>
      <w:r w:rsidRPr="00F24805">
        <w:rPr>
          <w:rFonts w:eastAsia="Arial Unicode MS"/>
        </w:rPr>
        <w:t>There are four key levers which can support change within the Tikanga dimension:</w:t>
      </w:r>
    </w:p>
    <w:p w14:paraId="7B1C9AFF" w14:textId="2E41A5AA" w:rsidR="00F24805" w:rsidRPr="00F24805" w:rsidRDefault="00F24805" w:rsidP="00F24805">
      <w:pPr>
        <w:pStyle w:val="Bullet"/>
        <w:rPr>
          <w:rFonts w:eastAsia="Arial Unicode MS"/>
        </w:rPr>
      </w:pPr>
      <w:r w:rsidRPr="00E046D1">
        <w:rPr>
          <w:rFonts w:eastAsia="Arial Unicode MS"/>
          <w:b/>
          <w:bCs/>
        </w:rPr>
        <w:t>Organisational Strategy and Goals</w:t>
      </w:r>
      <w:r w:rsidRPr="00F24805">
        <w:rPr>
          <w:rFonts w:eastAsia="Arial Unicode MS"/>
        </w:rPr>
        <w:t xml:space="preserve"> - organisations must have a clearly articulated anti-racism strategy that is integrated into its overarching business strategy with defined accountabilities and responsibilities.</w:t>
      </w:r>
    </w:p>
    <w:p w14:paraId="1373337B" w14:textId="77777777" w:rsidR="00F24805" w:rsidRPr="00F24805" w:rsidRDefault="00F24805" w:rsidP="00F24805">
      <w:pPr>
        <w:pStyle w:val="Bullet"/>
        <w:rPr>
          <w:rFonts w:eastAsia="Arial Unicode MS"/>
        </w:rPr>
      </w:pPr>
      <w:r w:rsidRPr="00E046D1">
        <w:rPr>
          <w:rFonts w:eastAsia="Arial Unicode MS"/>
          <w:b/>
          <w:bCs/>
        </w:rPr>
        <w:t>Power and Commitment</w:t>
      </w:r>
      <w:r w:rsidRPr="00F24805">
        <w:rPr>
          <w:rFonts w:eastAsia="Arial Unicode MS"/>
        </w:rPr>
        <w:t xml:space="preserve"> - organisations need to consider how they redistribute power and enable shared decision-making. This requires a new approach to power-sharing, high- trust partnerships and commitment of sufficient resources.</w:t>
      </w:r>
    </w:p>
    <w:p w14:paraId="2F24E67C" w14:textId="5EE6E82F" w:rsidR="00F24805" w:rsidRPr="00F24805" w:rsidRDefault="00F24805" w:rsidP="00F24805">
      <w:pPr>
        <w:pStyle w:val="Bullet"/>
        <w:rPr>
          <w:rFonts w:eastAsia="Arial Unicode MS"/>
        </w:rPr>
      </w:pPr>
      <w:r w:rsidRPr="00E046D1">
        <w:rPr>
          <w:rFonts w:eastAsia="Arial Unicode MS"/>
          <w:b/>
          <w:bCs/>
        </w:rPr>
        <w:t>Human Resource (HR) Policies</w:t>
      </w:r>
      <w:r w:rsidRPr="00F24805">
        <w:rPr>
          <w:rFonts w:eastAsia="Arial Unicode MS"/>
        </w:rPr>
        <w:t xml:space="preserve"> - organisations can make an impactful change in their HR policies, to ensure increased diversity at all levels and foster cultural change through clear and transparent behavioural expectations. Recruitment, promotion, incentives and disciplinary policies all have a contribution to make.</w:t>
      </w:r>
    </w:p>
    <w:p w14:paraId="35AAEDE7" w14:textId="77777777" w:rsidR="00F24805" w:rsidRPr="00F24805" w:rsidRDefault="00F24805" w:rsidP="00F24805">
      <w:pPr>
        <w:pStyle w:val="Bullet"/>
        <w:rPr>
          <w:rFonts w:eastAsia="Arial Unicode MS"/>
        </w:rPr>
      </w:pPr>
      <w:r w:rsidRPr="00E046D1">
        <w:rPr>
          <w:rFonts w:eastAsia="Arial Unicode MS"/>
          <w:b/>
          <w:bCs/>
        </w:rPr>
        <w:t>Products, Services and Design</w:t>
      </w:r>
      <w:r w:rsidRPr="00F24805">
        <w:rPr>
          <w:rFonts w:eastAsia="Arial Unicode MS"/>
        </w:rPr>
        <w:t xml:space="preserve"> - relates to the who, what, why, where and how a product or service is delivered by an organisation.</w:t>
      </w:r>
    </w:p>
    <w:p w14:paraId="4FEC160D" w14:textId="6F98B7D9" w:rsidR="00F24805" w:rsidRDefault="00F24805" w:rsidP="00F24805">
      <w:pPr>
        <w:rPr>
          <w:rFonts w:eastAsia="Arial Unicode MS"/>
        </w:rPr>
      </w:pPr>
    </w:p>
    <w:p w14:paraId="1BFAA996" w14:textId="77777777" w:rsidR="00F24805" w:rsidRPr="00F24805" w:rsidRDefault="00F24805" w:rsidP="00F24805">
      <w:pPr>
        <w:rPr>
          <w:rFonts w:eastAsia="Arial Unicode MS"/>
        </w:rPr>
      </w:pPr>
      <w:r w:rsidRPr="00F24805">
        <w:rPr>
          <w:rFonts w:eastAsia="Arial Unicode MS"/>
        </w:rPr>
        <w:t>Each of these levers act as mechanisms to promulgate the intangible values and</w:t>
      </w:r>
    </w:p>
    <w:p w14:paraId="50D1E283" w14:textId="5F356C5F" w:rsidR="00F24805" w:rsidRDefault="00F24805" w:rsidP="00F24805">
      <w:pPr>
        <w:rPr>
          <w:rFonts w:eastAsia="Arial Unicode MS"/>
        </w:rPr>
      </w:pPr>
      <w:r w:rsidRPr="00F24805">
        <w:rPr>
          <w:rFonts w:eastAsia="Arial Unicode MS"/>
        </w:rPr>
        <w:t>beliefs of an organisation. It is through the tikanga dimension that the kawa dimension is enacted.</w:t>
      </w:r>
    </w:p>
    <w:p w14:paraId="7C1D4250" w14:textId="77777777" w:rsidR="002F126B" w:rsidRDefault="002F126B" w:rsidP="00F24805">
      <w:pPr>
        <w:pStyle w:val="Heading2"/>
        <w:rPr>
          <w:rFonts w:eastAsia="Arial Unicode MS"/>
        </w:rPr>
        <w:sectPr w:rsidR="002F126B" w:rsidSect="00C67BC1">
          <w:pgSz w:w="11907" w:h="16840" w:code="9"/>
          <w:pgMar w:top="1418" w:right="1701" w:bottom="1134" w:left="1843" w:header="284" w:footer="425" w:gutter="284"/>
          <w:cols w:space="720"/>
        </w:sectPr>
      </w:pPr>
    </w:p>
    <w:p w14:paraId="655ADC1E" w14:textId="65E32481" w:rsidR="00F24805" w:rsidRPr="00F24805" w:rsidRDefault="00F24805" w:rsidP="002F126B">
      <w:pPr>
        <w:pStyle w:val="Heading2"/>
        <w:spacing w:before="0"/>
        <w:rPr>
          <w:rFonts w:eastAsia="Arial Unicode MS"/>
        </w:rPr>
      </w:pPr>
      <w:bookmarkStart w:id="10" w:name="_Toc128745938"/>
      <w:r w:rsidRPr="00F24805">
        <w:rPr>
          <w:rFonts w:eastAsia="Arial Unicode MS"/>
        </w:rPr>
        <w:lastRenderedPageBreak/>
        <w:t xml:space="preserve">Ritenga </w:t>
      </w:r>
      <w:r w:rsidRPr="00F24805">
        <w:rPr>
          <w:rFonts w:eastAsia="Arial Unicode MS"/>
          <w:b w:val="0"/>
          <w:bCs/>
        </w:rPr>
        <w:t>Building New Capabilities</w:t>
      </w:r>
      <w:bookmarkEnd w:id="10"/>
    </w:p>
    <w:p w14:paraId="69BB5ABA" w14:textId="55FC4ACB" w:rsidR="00F24805" w:rsidRDefault="002F126B" w:rsidP="00F24805">
      <w:pPr>
        <w:rPr>
          <w:rFonts w:eastAsia="Arial Unicode MS"/>
        </w:rPr>
      </w:pPr>
      <w:r>
        <w:rPr>
          <w:noProof/>
        </w:rPr>
        <w:drawing>
          <wp:anchor distT="107950" distB="107950" distL="107950" distR="107950" simplePos="0" relativeHeight="251663360" behindDoc="0" locked="0" layoutInCell="1" allowOverlap="1" wp14:anchorId="3CD66F6C" wp14:editId="1EC8CC6A">
            <wp:simplePos x="0" y="0"/>
            <wp:positionH relativeFrom="page">
              <wp:posOffset>3680518</wp:posOffset>
            </wp:positionH>
            <wp:positionV relativeFrom="paragraph">
              <wp:posOffset>40615</wp:posOffset>
            </wp:positionV>
            <wp:extent cx="2772000" cy="2808000"/>
            <wp:effectExtent l="0" t="0" r="9525" b="0"/>
            <wp:wrapSquare wrapText="bothSides"/>
            <wp:docPr id="9"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772000" cy="2808000"/>
                    </a:xfrm>
                    <a:prstGeom prst="rect">
                      <a:avLst/>
                    </a:prstGeom>
                  </pic:spPr>
                </pic:pic>
              </a:graphicData>
            </a:graphic>
            <wp14:sizeRelH relativeFrom="margin">
              <wp14:pctWidth>0</wp14:pctWidth>
            </wp14:sizeRelH>
            <wp14:sizeRelV relativeFrom="margin">
              <wp14:pctHeight>0</wp14:pctHeight>
            </wp14:sizeRelV>
          </wp:anchor>
        </w:drawing>
      </w:r>
      <w:r w:rsidR="00F24805" w:rsidRPr="00F24805">
        <w:rPr>
          <w:rFonts w:eastAsia="Arial Unicode MS"/>
        </w:rPr>
        <w:t>Professor Henare defines ritenga as behaviour and enactment. This definition has been maintained within Whiria Te Muka.</w:t>
      </w:r>
      <w:r w:rsidRPr="002F126B">
        <w:rPr>
          <w:noProof/>
        </w:rPr>
        <w:t xml:space="preserve"> </w:t>
      </w:r>
    </w:p>
    <w:p w14:paraId="003984C8" w14:textId="1B3BA598" w:rsidR="00F24805" w:rsidRPr="00F24805" w:rsidRDefault="00F24805" w:rsidP="00F24805">
      <w:pPr>
        <w:rPr>
          <w:rFonts w:eastAsia="Arial Unicode MS"/>
        </w:rPr>
      </w:pPr>
    </w:p>
    <w:p w14:paraId="1783EB02" w14:textId="240347AE" w:rsidR="00F24805" w:rsidRDefault="00F24805" w:rsidP="00F24805">
      <w:pPr>
        <w:rPr>
          <w:rFonts w:eastAsia="Arial Unicode MS"/>
        </w:rPr>
      </w:pPr>
      <w:r w:rsidRPr="00F24805">
        <w:rPr>
          <w:rFonts w:eastAsia="Arial Unicode MS"/>
        </w:rPr>
        <w:t>Ritenga is premised on building and creating habits (the things we do subconsciously, outside of our awareness) which tacitly reflect what is valued or considered good within an organisation.</w:t>
      </w:r>
      <w:r>
        <w:rPr>
          <w:rFonts w:eastAsia="Arial Unicode MS"/>
        </w:rPr>
        <w:t xml:space="preserve"> </w:t>
      </w:r>
      <w:r w:rsidRPr="00F24805">
        <w:rPr>
          <w:rFonts w:eastAsia="Arial Unicode MS"/>
        </w:rPr>
        <w:t>By corollary, if a habit is disrupted in some way, space is created to seed the desired</w:t>
      </w:r>
      <w:r>
        <w:rPr>
          <w:rFonts w:eastAsia="Arial Unicode MS"/>
        </w:rPr>
        <w:t xml:space="preserve"> </w:t>
      </w:r>
      <w:r w:rsidRPr="00F24805">
        <w:rPr>
          <w:rFonts w:eastAsia="Arial Unicode MS"/>
        </w:rPr>
        <w:t>change, and, where new habits are created,</w:t>
      </w:r>
      <w:r>
        <w:rPr>
          <w:rFonts w:eastAsia="Arial Unicode MS"/>
        </w:rPr>
        <w:t xml:space="preserve"> </w:t>
      </w:r>
      <w:r w:rsidRPr="00F24805">
        <w:rPr>
          <w:rFonts w:eastAsia="Arial Unicode MS"/>
        </w:rPr>
        <w:t>they can foster the formation of new cognitive frames/mental models as people act themselves into a new understanding or new way of thinking.</w:t>
      </w:r>
    </w:p>
    <w:p w14:paraId="2CE1AF82" w14:textId="77777777" w:rsidR="00F24805" w:rsidRPr="00F24805" w:rsidRDefault="00F24805" w:rsidP="00F24805">
      <w:pPr>
        <w:rPr>
          <w:rFonts w:eastAsia="Arial Unicode MS"/>
        </w:rPr>
      </w:pPr>
    </w:p>
    <w:p w14:paraId="2B590902" w14:textId="55C919B4" w:rsidR="00181D0D" w:rsidRDefault="00F24805" w:rsidP="00F24805">
      <w:pPr>
        <w:rPr>
          <w:rFonts w:eastAsia="Arial Unicode MS"/>
        </w:rPr>
      </w:pPr>
      <w:r w:rsidRPr="00F24805">
        <w:rPr>
          <w:rFonts w:eastAsia="Arial Unicode MS"/>
        </w:rPr>
        <w:t>There are two key levers which can support change within the Ritenga dimension:</w:t>
      </w:r>
    </w:p>
    <w:p w14:paraId="1DDE1E2C" w14:textId="77777777" w:rsidR="00F24805" w:rsidRPr="00F24805" w:rsidRDefault="00F24805" w:rsidP="00F24805">
      <w:pPr>
        <w:pStyle w:val="Bullet"/>
        <w:rPr>
          <w:rFonts w:eastAsia="Arial Unicode MS"/>
        </w:rPr>
      </w:pPr>
      <w:r w:rsidRPr="00F24805">
        <w:rPr>
          <w:rFonts w:eastAsia="Arial Unicode MS"/>
          <w:b/>
          <w:bCs/>
        </w:rPr>
        <w:t xml:space="preserve">Training </w:t>
      </w:r>
      <w:r w:rsidRPr="00F24805">
        <w:rPr>
          <w:rFonts w:eastAsia="Arial Unicode MS"/>
        </w:rPr>
        <w:t>- training and knowledge initiatives rely on the rationale that if people ‘know differently, they will act differently’, however, they can also be used to seed or promote narratives supporting the desired change or elicit empathy that supports a motivation to create change.</w:t>
      </w:r>
    </w:p>
    <w:p w14:paraId="05880D66" w14:textId="172925C1" w:rsidR="00F24805" w:rsidRDefault="00F24805" w:rsidP="00F24805">
      <w:pPr>
        <w:pStyle w:val="Bullet"/>
        <w:rPr>
          <w:rFonts w:eastAsia="Arial Unicode MS"/>
        </w:rPr>
      </w:pPr>
      <w:r w:rsidRPr="00F24805">
        <w:rPr>
          <w:rFonts w:eastAsia="Arial Unicode MS"/>
        </w:rPr>
        <w:t xml:space="preserve"> </w:t>
      </w:r>
      <w:r w:rsidRPr="00F24805">
        <w:rPr>
          <w:rFonts w:eastAsia="Arial Unicode MS"/>
          <w:b/>
          <w:bCs/>
        </w:rPr>
        <w:t xml:space="preserve">Practice </w:t>
      </w:r>
      <w:r w:rsidRPr="00F24805">
        <w:rPr>
          <w:rFonts w:eastAsia="Arial Unicode MS"/>
        </w:rPr>
        <w:t>- a set of defined practices that guide ways of being, speaking and working should be developed so behaviours are consistent with what anti-racist practice looks like in a health service setting. Practices are a soft way of encouraging people or organisations to question things that are taken for granted, and by creating that visibility, can lead to changes in what is done or decided.</w:t>
      </w:r>
    </w:p>
    <w:p w14:paraId="209A17EF" w14:textId="5294F5DA" w:rsidR="00F24805" w:rsidRDefault="00F24805" w:rsidP="00F24805">
      <w:pPr>
        <w:rPr>
          <w:rFonts w:eastAsia="Arial Unicode MS"/>
        </w:rPr>
      </w:pPr>
    </w:p>
    <w:p w14:paraId="37A897B8" w14:textId="4FAADCFA" w:rsidR="00F24805" w:rsidRDefault="00F24805" w:rsidP="00F24805">
      <w:pPr>
        <w:rPr>
          <w:rFonts w:eastAsia="Arial Unicode MS"/>
        </w:rPr>
      </w:pPr>
      <w:r w:rsidRPr="00F24805">
        <w:rPr>
          <w:rFonts w:eastAsia="Arial Unicode MS"/>
        </w:rPr>
        <w:t>It is recognised that while the levers within Ritenga are useful, on their own they have notable limitations, and are best deployed amongst a suite of companion levers to maintain habits that are conducive to anti- racism praxis in the long-term.</w:t>
      </w:r>
    </w:p>
    <w:p w14:paraId="2F1C7984" w14:textId="77777777" w:rsidR="002F126B" w:rsidRDefault="002F126B" w:rsidP="00F24805">
      <w:pPr>
        <w:pStyle w:val="Heading2"/>
        <w:rPr>
          <w:rFonts w:eastAsia="Arial Unicode MS"/>
        </w:rPr>
        <w:sectPr w:rsidR="002F126B" w:rsidSect="00C67BC1">
          <w:pgSz w:w="11907" w:h="16840" w:code="9"/>
          <w:pgMar w:top="1418" w:right="1701" w:bottom="1134" w:left="1843" w:header="284" w:footer="425" w:gutter="284"/>
          <w:cols w:space="720"/>
        </w:sectPr>
      </w:pPr>
    </w:p>
    <w:p w14:paraId="7F7173D8" w14:textId="76AF955B" w:rsidR="00F24805" w:rsidRPr="00F24805" w:rsidRDefault="002F126B" w:rsidP="002F126B">
      <w:pPr>
        <w:pStyle w:val="Heading2"/>
        <w:spacing w:before="0"/>
        <w:rPr>
          <w:rFonts w:eastAsia="Arial Unicode MS"/>
        </w:rPr>
      </w:pPr>
      <w:bookmarkStart w:id="11" w:name="_Toc128745939"/>
      <w:r>
        <w:rPr>
          <w:rFonts w:eastAsia="Arial Unicode MS"/>
          <w:noProof/>
        </w:rPr>
        <w:lastRenderedPageBreak/>
        <w:drawing>
          <wp:anchor distT="0" distB="107950" distL="114300" distR="114300" simplePos="0" relativeHeight="251665408" behindDoc="1" locked="0" layoutInCell="1" allowOverlap="1" wp14:anchorId="177C1CD8" wp14:editId="1856C997">
            <wp:simplePos x="0" y="0"/>
            <wp:positionH relativeFrom="column">
              <wp:posOffset>2599690</wp:posOffset>
            </wp:positionH>
            <wp:positionV relativeFrom="page">
              <wp:posOffset>1815465</wp:posOffset>
            </wp:positionV>
            <wp:extent cx="2775585" cy="2807970"/>
            <wp:effectExtent l="0" t="0" r="571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5585" cy="2807970"/>
                    </a:xfrm>
                    <a:prstGeom prst="rect">
                      <a:avLst/>
                    </a:prstGeom>
                    <a:noFill/>
                  </pic:spPr>
                </pic:pic>
              </a:graphicData>
            </a:graphic>
            <wp14:sizeRelH relativeFrom="page">
              <wp14:pctWidth>0</wp14:pctWidth>
            </wp14:sizeRelH>
            <wp14:sizeRelV relativeFrom="page">
              <wp14:pctHeight>0</wp14:pctHeight>
            </wp14:sizeRelV>
          </wp:anchor>
        </w:drawing>
      </w:r>
      <w:r w:rsidR="00F24805" w:rsidRPr="00F24805">
        <w:rPr>
          <w:rFonts w:eastAsia="Arial Unicode MS"/>
        </w:rPr>
        <w:t xml:space="preserve">Putanga </w:t>
      </w:r>
      <w:r w:rsidR="00F24805" w:rsidRPr="00F24805">
        <w:rPr>
          <w:rFonts w:eastAsia="Arial Unicode MS"/>
          <w:b w:val="0"/>
          <w:bCs/>
        </w:rPr>
        <w:t>Delivering Equitable Outcomes</w:t>
      </w:r>
      <w:bookmarkEnd w:id="11"/>
    </w:p>
    <w:p w14:paraId="3E761FE7" w14:textId="3AFC28A2" w:rsidR="00F24805" w:rsidRPr="00F24805" w:rsidRDefault="00F24805" w:rsidP="00F24805">
      <w:pPr>
        <w:rPr>
          <w:rFonts w:eastAsia="Arial Unicode MS"/>
        </w:rPr>
      </w:pPr>
      <w:r w:rsidRPr="00F24805">
        <w:rPr>
          <w:rFonts w:eastAsia="Arial Unicode MS"/>
        </w:rPr>
        <w:t>Putanga is an adaptation we have made to Professor Henare’s model. Putanga</w:t>
      </w:r>
    </w:p>
    <w:p w14:paraId="54B2B343" w14:textId="43B5F916" w:rsidR="00F24805" w:rsidRDefault="00F24805" w:rsidP="00F24805">
      <w:pPr>
        <w:rPr>
          <w:rFonts w:eastAsia="Arial Unicode MS"/>
        </w:rPr>
      </w:pPr>
      <w:r w:rsidRPr="00F24805">
        <w:rPr>
          <w:rFonts w:eastAsia="Arial Unicode MS"/>
        </w:rPr>
        <w:t>replaces Āhuatanga. Putanga is interpreted as substantive indicators that demonstrate of the desired change towards equitable outcomes.</w:t>
      </w:r>
    </w:p>
    <w:p w14:paraId="5BA91D1C" w14:textId="45649943" w:rsidR="00F24805" w:rsidRPr="00F24805" w:rsidRDefault="00F24805" w:rsidP="00F24805">
      <w:pPr>
        <w:rPr>
          <w:rFonts w:eastAsia="Arial Unicode MS"/>
        </w:rPr>
      </w:pPr>
    </w:p>
    <w:p w14:paraId="49A6C37B" w14:textId="2C5E7F32" w:rsidR="00F24805" w:rsidRPr="00F24805" w:rsidRDefault="00F24805" w:rsidP="00F24805">
      <w:pPr>
        <w:rPr>
          <w:rFonts w:eastAsia="Arial Unicode MS"/>
        </w:rPr>
      </w:pPr>
      <w:r w:rsidRPr="00F24805">
        <w:rPr>
          <w:rFonts w:eastAsia="Arial Unicode MS"/>
        </w:rPr>
        <w:t>The two key levers identified which can support change within the Putanga dimension:</w:t>
      </w:r>
    </w:p>
    <w:p w14:paraId="1FD017EA" w14:textId="78209F27" w:rsidR="00F24805" w:rsidRPr="00F24805" w:rsidRDefault="00F24805" w:rsidP="00F24805">
      <w:pPr>
        <w:pStyle w:val="Bullet"/>
        <w:rPr>
          <w:rFonts w:eastAsia="Arial Unicode MS"/>
        </w:rPr>
      </w:pPr>
      <w:r w:rsidRPr="00F24805">
        <w:rPr>
          <w:rFonts w:eastAsia="Arial Unicode MS"/>
          <w:b/>
          <w:bCs/>
        </w:rPr>
        <w:t>Data Collection</w:t>
      </w:r>
      <w:r w:rsidRPr="00F24805">
        <w:rPr>
          <w:rFonts w:eastAsia="Arial Unicode MS"/>
        </w:rPr>
        <w:t xml:space="preserve"> - a coherent, robust data collection approach that increases the visibility of underrepresented groups (particularly groups with historically suppressed data records), and includes equity specific metrics and indicators, that provide high-quality foundations for monitoring progress.</w:t>
      </w:r>
    </w:p>
    <w:p w14:paraId="0D3231EB" w14:textId="7A6A5750" w:rsidR="00F24805" w:rsidRPr="00F24805" w:rsidRDefault="00F24805" w:rsidP="00F24805">
      <w:pPr>
        <w:pStyle w:val="Bullet"/>
        <w:rPr>
          <w:rFonts w:eastAsia="Arial Unicode MS"/>
        </w:rPr>
      </w:pPr>
      <w:r w:rsidRPr="002F126B">
        <w:rPr>
          <w:rFonts w:eastAsia="Arial Unicode MS"/>
          <w:b/>
          <w:bCs/>
        </w:rPr>
        <w:t>Monitoring, Reporting &amp; Auditing</w:t>
      </w:r>
      <w:r w:rsidRPr="00F24805">
        <w:rPr>
          <w:rFonts w:eastAsia="Arial Unicode MS"/>
        </w:rPr>
        <w:t xml:space="preserve"> - ongoing analysis of progress and practice performance is an important part of ensuring the pattern being created is the one intended, how much work has been completed, and how much more is yet to do.</w:t>
      </w:r>
    </w:p>
    <w:p w14:paraId="24C67C78" w14:textId="444E34B0" w:rsidR="00F24805" w:rsidRDefault="00F24805" w:rsidP="002F126B">
      <w:pPr>
        <w:rPr>
          <w:rFonts w:eastAsia="Arial Unicode MS"/>
        </w:rPr>
      </w:pPr>
    </w:p>
    <w:p w14:paraId="594978A0" w14:textId="14D6C80D" w:rsidR="002F126B" w:rsidRDefault="002F126B" w:rsidP="002F126B">
      <w:pPr>
        <w:rPr>
          <w:rFonts w:eastAsia="Arial Unicode MS"/>
        </w:rPr>
      </w:pPr>
      <w:r w:rsidRPr="002F126B">
        <w:rPr>
          <w:rFonts w:eastAsia="Arial Unicode MS"/>
        </w:rPr>
        <w:t>Each of these levers help us to uncover the visible, tangible impacts and consequences of racial/ethnic health inequity – and provides a basis from which organisations can track progress and monitor for change over time.</w:t>
      </w:r>
    </w:p>
    <w:p w14:paraId="5D797297" w14:textId="77777777" w:rsidR="00F24805" w:rsidRDefault="00F24805" w:rsidP="00F24805">
      <w:pPr>
        <w:rPr>
          <w:rFonts w:eastAsia="Arial Unicode MS"/>
        </w:rPr>
      </w:pPr>
    </w:p>
    <w:p w14:paraId="490346D4" w14:textId="0B1B24A2" w:rsidR="00F24805" w:rsidRDefault="00F24805" w:rsidP="00F24805">
      <w:pPr>
        <w:rPr>
          <w:rFonts w:eastAsia="Arial Unicode MS"/>
        </w:rPr>
        <w:sectPr w:rsidR="00F24805" w:rsidSect="00C67BC1">
          <w:pgSz w:w="11907" w:h="16840" w:code="9"/>
          <w:pgMar w:top="1418" w:right="1701" w:bottom="1134" w:left="1843" w:header="284" w:footer="425" w:gutter="284"/>
          <w:cols w:space="720"/>
        </w:sectPr>
      </w:pPr>
    </w:p>
    <w:p w14:paraId="40C0324F" w14:textId="65ADD77F" w:rsidR="00C67BC1" w:rsidRDefault="002F126B" w:rsidP="002F126B">
      <w:pPr>
        <w:pStyle w:val="Heading1"/>
        <w:spacing w:before="0"/>
        <w:rPr>
          <w:rFonts w:eastAsia="Arial Unicode MS"/>
        </w:rPr>
      </w:pPr>
      <w:bookmarkStart w:id="12" w:name="_Toc128745940"/>
      <w:r w:rsidRPr="002F126B">
        <w:rPr>
          <w:rFonts w:eastAsia="Arial Unicode MS"/>
        </w:rPr>
        <w:lastRenderedPageBreak/>
        <w:t>Interactions between the layers</w:t>
      </w:r>
      <w:bookmarkEnd w:id="12"/>
    </w:p>
    <w:p w14:paraId="0F2E2129" w14:textId="77BACE8C" w:rsidR="002F126B" w:rsidRDefault="002F126B" w:rsidP="002F126B">
      <w:pPr>
        <w:rPr>
          <w:rFonts w:eastAsia="Arial Unicode MS"/>
        </w:rPr>
      </w:pPr>
      <w:r>
        <w:rPr>
          <w:noProof/>
        </w:rPr>
        <w:drawing>
          <wp:inline distT="0" distB="0" distL="0" distR="0" wp14:anchorId="0A1BC811" wp14:editId="4EDB4C28">
            <wp:extent cx="5130165" cy="299212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130165" cy="2992120"/>
                    </a:xfrm>
                    <a:prstGeom prst="rect">
                      <a:avLst/>
                    </a:prstGeom>
                  </pic:spPr>
                </pic:pic>
              </a:graphicData>
            </a:graphic>
          </wp:inline>
        </w:drawing>
      </w:r>
    </w:p>
    <w:p w14:paraId="7F0A97D5" w14:textId="77777777" w:rsidR="002F126B" w:rsidRDefault="002F126B" w:rsidP="002F126B">
      <w:pPr>
        <w:rPr>
          <w:rFonts w:eastAsia="Arial Unicode MS"/>
        </w:rPr>
      </w:pPr>
    </w:p>
    <w:p w14:paraId="4B50D2EC" w14:textId="5689C9AB" w:rsidR="002F126B" w:rsidRDefault="002F126B" w:rsidP="002F126B">
      <w:pPr>
        <w:rPr>
          <w:rFonts w:eastAsia="Arial Unicode MS"/>
        </w:rPr>
      </w:pPr>
      <w:r w:rsidRPr="002F126B">
        <w:rPr>
          <w:rFonts w:eastAsia="Arial Unicode MS"/>
        </w:rPr>
        <w:t xml:space="preserve">Whiria Te Muka is premised on interaction between all the dimensions – </w:t>
      </w:r>
      <w:r w:rsidRPr="00A1065F">
        <w:rPr>
          <w:rFonts w:eastAsia="Arial Unicode MS"/>
          <w:i/>
          <w:iCs/>
        </w:rPr>
        <w:t>Kawa, Tikanga, Ritenga, Putanga</w:t>
      </w:r>
      <w:r w:rsidRPr="002F126B">
        <w:rPr>
          <w:rFonts w:eastAsia="Arial Unicode MS"/>
        </w:rPr>
        <w:t xml:space="preserve"> – and in all directions. Any given problem will be caused by a complex network of</w:t>
      </w:r>
      <w:r>
        <w:rPr>
          <w:rFonts w:eastAsia="Arial Unicode MS"/>
        </w:rPr>
        <w:t xml:space="preserve"> </w:t>
      </w:r>
      <w:r w:rsidRPr="002F126B">
        <w:rPr>
          <w:rFonts w:eastAsia="Arial Unicode MS"/>
        </w:rPr>
        <w:t>interactions across the dimensions, and any effective solution will require the development of mutually reinforcing actions across all levels.</w:t>
      </w:r>
    </w:p>
    <w:p w14:paraId="1AC456C5" w14:textId="77777777" w:rsidR="002F126B" w:rsidRPr="002F126B" w:rsidRDefault="002F126B" w:rsidP="002F126B">
      <w:pPr>
        <w:rPr>
          <w:rFonts w:eastAsia="Arial Unicode MS"/>
        </w:rPr>
      </w:pPr>
    </w:p>
    <w:p w14:paraId="76B88817" w14:textId="77777777" w:rsidR="002F126B" w:rsidRPr="002F126B" w:rsidRDefault="002F126B" w:rsidP="002F126B">
      <w:pPr>
        <w:rPr>
          <w:rFonts w:eastAsia="Arial Unicode MS"/>
        </w:rPr>
      </w:pPr>
      <w:r w:rsidRPr="002F126B">
        <w:rPr>
          <w:rFonts w:eastAsia="Arial Unicode MS"/>
        </w:rPr>
        <w:t>There are two key types of interactions to be mindful of:</w:t>
      </w:r>
    </w:p>
    <w:p w14:paraId="2049CAD3" w14:textId="2C0E2164" w:rsidR="002F126B" w:rsidRPr="002F126B" w:rsidRDefault="002F126B" w:rsidP="002F126B">
      <w:pPr>
        <w:pStyle w:val="Bullet"/>
        <w:rPr>
          <w:rFonts w:eastAsia="Arial Unicode MS"/>
        </w:rPr>
      </w:pPr>
      <w:r w:rsidRPr="002F126B">
        <w:rPr>
          <w:rFonts w:eastAsia="Arial Unicode MS"/>
        </w:rPr>
        <w:t>Pull factors promote new cognitive frames and mental models, intersecting with existing values and beliefs, to inspire and catalyse motivation and action toward the desired change. Within the context of Whiria te Muka, ‘pull factors’ operate within the kawa layer and the relevant levers for change are leadership and visioning.</w:t>
      </w:r>
    </w:p>
    <w:p w14:paraId="484AEB28" w14:textId="35C2DFD6" w:rsidR="002F126B" w:rsidRPr="002F126B" w:rsidRDefault="002F126B" w:rsidP="002F126B">
      <w:pPr>
        <w:pStyle w:val="Bullet"/>
        <w:rPr>
          <w:rFonts w:eastAsia="Arial Unicode MS"/>
        </w:rPr>
      </w:pPr>
      <w:r w:rsidRPr="002F126B">
        <w:rPr>
          <w:rFonts w:eastAsia="Arial Unicode MS"/>
        </w:rPr>
        <w:t>Push factors create momentum toward the desired change. Within the</w:t>
      </w:r>
      <w:r>
        <w:rPr>
          <w:rFonts w:eastAsia="Arial Unicode MS"/>
        </w:rPr>
        <w:t xml:space="preserve"> </w:t>
      </w:r>
      <w:r w:rsidRPr="002F126B">
        <w:rPr>
          <w:rFonts w:eastAsia="Arial Unicode MS"/>
        </w:rPr>
        <w:t>context of Whiria te Muka, they are the activation or enactment of change that operates across tikanga, ritenga</w:t>
      </w:r>
      <w:r>
        <w:rPr>
          <w:rFonts w:eastAsia="Arial Unicode MS"/>
        </w:rPr>
        <w:t xml:space="preserve"> </w:t>
      </w:r>
      <w:r w:rsidRPr="002F126B">
        <w:rPr>
          <w:rFonts w:eastAsia="Arial Unicode MS"/>
        </w:rPr>
        <w:t>and putanga.</w:t>
      </w:r>
    </w:p>
    <w:p w14:paraId="7D2C4468" w14:textId="77777777" w:rsidR="002F126B" w:rsidRPr="002F126B" w:rsidRDefault="002F126B" w:rsidP="002F126B">
      <w:pPr>
        <w:rPr>
          <w:rFonts w:eastAsia="Arial Unicode MS"/>
        </w:rPr>
      </w:pPr>
    </w:p>
    <w:p w14:paraId="264932AF" w14:textId="77777777" w:rsidR="002F126B" w:rsidRPr="002F126B" w:rsidRDefault="002F126B" w:rsidP="002F126B">
      <w:pPr>
        <w:rPr>
          <w:rFonts w:eastAsia="Arial Unicode MS"/>
        </w:rPr>
      </w:pPr>
      <w:r w:rsidRPr="002F126B">
        <w:rPr>
          <w:rFonts w:eastAsia="Arial Unicode MS"/>
        </w:rPr>
        <w:t xml:space="preserve">To create change, it is considered necessary to have a combination of </w:t>
      </w:r>
      <w:r w:rsidRPr="00A1065F">
        <w:rPr>
          <w:rFonts w:eastAsia="Arial Unicode MS"/>
          <w:b/>
          <w:bCs/>
        </w:rPr>
        <w:t>pulling</w:t>
      </w:r>
      <w:r w:rsidRPr="002F126B">
        <w:rPr>
          <w:rFonts w:eastAsia="Arial Unicode MS"/>
        </w:rPr>
        <w:t xml:space="preserve"> people and organisations toward the new cognitive frame, as well as creating impetus for change by </w:t>
      </w:r>
      <w:r w:rsidRPr="00A1065F">
        <w:rPr>
          <w:rFonts w:eastAsia="Arial Unicode MS"/>
          <w:b/>
          <w:bCs/>
        </w:rPr>
        <w:t>pushing</w:t>
      </w:r>
      <w:r w:rsidRPr="002F126B">
        <w:rPr>
          <w:rFonts w:eastAsia="Arial Unicode MS"/>
        </w:rPr>
        <w:t xml:space="preserve"> people toward having the opportunity to ‘act themselves into’ the change sought which creates a momentum or velocity behind the desired change.</w:t>
      </w:r>
    </w:p>
    <w:p w14:paraId="612A2270" w14:textId="77777777" w:rsidR="002F126B" w:rsidRPr="002F126B" w:rsidRDefault="002F126B" w:rsidP="002F126B">
      <w:pPr>
        <w:rPr>
          <w:rFonts w:eastAsia="Arial Unicode MS"/>
        </w:rPr>
      </w:pPr>
    </w:p>
    <w:p w14:paraId="1A471509" w14:textId="2CEF22C3" w:rsidR="002F126B" w:rsidRDefault="002F126B" w:rsidP="002F126B">
      <w:pPr>
        <w:rPr>
          <w:rFonts w:eastAsia="Arial Unicode MS"/>
        </w:rPr>
      </w:pPr>
      <w:r w:rsidRPr="002F126B">
        <w:rPr>
          <w:rFonts w:eastAsia="Arial Unicode MS"/>
        </w:rPr>
        <w:t>Momentum in Whiria te Muka is critical: without a constant sense of movement, the health system will lapse back into the</w:t>
      </w:r>
      <w:r>
        <w:rPr>
          <w:rFonts w:eastAsia="Arial Unicode MS"/>
        </w:rPr>
        <w:t xml:space="preserve"> </w:t>
      </w:r>
      <w:r w:rsidRPr="002F126B">
        <w:rPr>
          <w:rFonts w:eastAsia="Arial Unicode MS"/>
        </w:rPr>
        <w:t>status quo that causes/embeds the problem of racial/ethnic health inequity. Any strategy or plan for change should carefully design intentional interaction between push and pull factors to be mutually reinforcing</w:t>
      </w:r>
      <w:r>
        <w:rPr>
          <w:rFonts w:eastAsia="Arial Unicode MS"/>
        </w:rPr>
        <w:t xml:space="preserve"> </w:t>
      </w:r>
      <w:r w:rsidRPr="002F126B">
        <w:rPr>
          <w:rFonts w:eastAsia="Arial Unicode MS"/>
        </w:rPr>
        <w:t>and consistently sustain, or build, the momentum toward change.</w:t>
      </w:r>
    </w:p>
    <w:p w14:paraId="741E517E" w14:textId="77777777" w:rsidR="00A1065F" w:rsidRPr="00A1065F" w:rsidRDefault="00A1065F" w:rsidP="00A1065F">
      <w:pPr>
        <w:pStyle w:val="Heading2"/>
        <w:rPr>
          <w:rFonts w:eastAsia="Arial Unicode MS"/>
        </w:rPr>
      </w:pPr>
      <w:bookmarkStart w:id="13" w:name="_Toc128745941"/>
      <w:r w:rsidRPr="00A1065F">
        <w:rPr>
          <w:rFonts w:eastAsia="Arial Unicode MS"/>
        </w:rPr>
        <w:lastRenderedPageBreak/>
        <w:t>Terms within Whiria te Muka</w:t>
      </w:r>
      <w:bookmarkEnd w:id="13"/>
    </w:p>
    <w:p w14:paraId="2DDBBDBD" w14:textId="77777777" w:rsidR="00A1065F" w:rsidRPr="00A1065F" w:rsidRDefault="00A1065F" w:rsidP="00A1065F">
      <w:pPr>
        <w:rPr>
          <w:rFonts w:eastAsia="Arial Unicode MS"/>
        </w:rPr>
      </w:pPr>
      <w:r w:rsidRPr="00A1065F">
        <w:rPr>
          <w:rFonts w:eastAsia="Arial Unicode MS"/>
        </w:rPr>
        <w:t>Whiria te Muka draws upon the metaphor of weaving to explain the change process. Racism has been woven into the tapestry of our nation. It has been here for so long it can be a struggle to see the patterns of racism in our structures, systems,</w:t>
      </w:r>
    </w:p>
    <w:p w14:paraId="620AC623" w14:textId="77777777" w:rsidR="00A1065F" w:rsidRPr="00A1065F" w:rsidRDefault="00A1065F" w:rsidP="00A1065F">
      <w:pPr>
        <w:rPr>
          <w:rFonts w:eastAsia="Arial Unicode MS"/>
        </w:rPr>
      </w:pPr>
      <w:r w:rsidRPr="00A1065F">
        <w:rPr>
          <w:rFonts w:eastAsia="Arial Unicode MS"/>
        </w:rPr>
        <w:t>and practices.</w:t>
      </w:r>
    </w:p>
    <w:p w14:paraId="52601BAF" w14:textId="77777777" w:rsidR="00A1065F" w:rsidRPr="00A1065F" w:rsidRDefault="00A1065F" w:rsidP="00A1065F">
      <w:pPr>
        <w:rPr>
          <w:rFonts w:eastAsia="Arial Unicode MS"/>
        </w:rPr>
      </w:pPr>
    </w:p>
    <w:p w14:paraId="4C12E2CA" w14:textId="77777777" w:rsidR="00A1065F" w:rsidRPr="00A1065F" w:rsidRDefault="00A1065F" w:rsidP="00A1065F">
      <w:pPr>
        <w:rPr>
          <w:rFonts w:eastAsia="Arial Unicode MS"/>
        </w:rPr>
      </w:pPr>
      <w:r w:rsidRPr="00A1065F">
        <w:rPr>
          <w:rFonts w:eastAsia="Arial Unicode MS"/>
        </w:rPr>
        <w:t>However, racism and inequity are not inevitable. Working together, we can weave a new reality. The process for transformation starts with un-weaving the threads so we can see the pattern and un- learn old ways of thinking and doing before re-weaving a new anti-racist pattern.</w:t>
      </w:r>
    </w:p>
    <w:p w14:paraId="0B932D89" w14:textId="77777777" w:rsidR="00A1065F" w:rsidRPr="00A1065F" w:rsidRDefault="00A1065F" w:rsidP="00A1065F">
      <w:pPr>
        <w:rPr>
          <w:rFonts w:eastAsia="Arial Unicode MS"/>
        </w:rPr>
      </w:pPr>
    </w:p>
    <w:p w14:paraId="2846A58E" w14:textId="77777777" w:rsidR="00A1065F" w:rsidRPr="00A1065F" w:rsidRDefault="00A1065F" w:rsidP="00A1065F">
      <w:pPr>
        <w:rPr>
          <w:rFonts w:eastAsia="Arial Unicode MS"/>
        </w:rPr>
      </w:pPr>
      <w:r w:rsidRPr="00A1065F">
        <w:rPr>
          <w:rFonts w:eastAsia="Arial Unicode MS"/>
        </w:rPr>
        <w:t>Whiria te Muka draws upon the following weaving terms:</w:t>
      </w:r>
    </w:p>
    <w:p w14:paraId="683C0214" w14:textId="63E399D4" w:rsidR="00A1065F" w:rsidRPr="00A1065F" w:rsidRDefault="00A1065F" w:rsidP="00A1065F">
      <w:pPr>
        <w:pStyle w:val="Bullet"/>
        <w:rPr>
          <w:rFonts w:eastAsia="Arial Unicode MS"/>
        </w:rPr>
      </w:pPr>
      <w:r w:rsidRPr="00A1065F">
        <w:rPr>
          <w:rFonts w:eastAsia="Arial Unicode MS"/>
        </w:rPr>
        <w:t>Whiri are the cords/rope used to describe the dimensions within the framework (e.g. kawa, tikanga, ritenga, putanga)</w:t>
      </w:r>
    </w:p>
    <w:p w14:paraId="6128B7AB" w14:textId="3AB239DD" w:rsidR="00A1065F" w:rsidRPr="00A1065F" w:rsidRDefault="00A1065F" w:rsidP="00A1065F">
      <w:pPr>
        <w:pStyle w:val="Bullet"/>
        <w:rPr>
          <w:rFonts w:eastAsia="Arial Unicode MS"/>
        </w:rPr>
      </w:pPr>
      <w:r w:rsidRPr="00A1065F">
        <w:rPr>
          <w:rFonts w:eastAsia="Arial Unicode MS"/>
        </w:rPr>
        <w:t>Aho are the key threads within each whiri that have been identified as key levers for change</w:t>
      </w:r>
    </w:p>
    <w:p w14:paraId="721B055E" w14:textId="7D8482B5" w:rsidR="00A1065F" w:rsidRPr="00A1065F" w:rsidRDefault="00A1065F" w:rsidP="00A1065F">
      <w:pPr>
        <w:pStyle w:val="Bullet"/>
        <w:rPr>
          <w:rFonts w:eastAsia="Arial Unicode MS"/>
        </w:rPr>
      </w:pPr>
      <w:r w:rsidRPr="00A1065F">
        <w:rPr>
          <w:rFonts w:eastAsia="Arial Unicode MS"/>
        </w:rPr>
        <w:t>Whenu are the key strands within each aho that have been identified as the micro-levers for change.</w:t>
      </w:r>
    </w:p>
    <w:p w14:paraId="11A9D6B8" w14:textId="77777777" w:rsidR="00A1065F" w:rsidRPr="00A1065F" w:rsidRDefault="00A1065F" w:rsidP="00A1065F">
      <w:pPr>
        <w:rPr>
          <w:rFonts w:eastAsia="Arial Unicode MS"/>
        </w:rPr>
      </w:pPr>
    </w:p>
    <w:p w14:paraId="3B9F1627" w14:textId="77777777" w:rsidR="00A1065F" w:rsidRPr="00A1065F" w:rsidRDefault="00A1065F" w:rsidP="00A1065F">
      <w:pPr>
        <w:rPr>
          <w:rFonts w:eastAsia="Arial Unicode MS"/>
        </w:rPr>
      </w:pPr>
      <w:r w:rsidRPr="00A1065F">
        <w:rPr>
          <w:rFonts w:eastAsia="Arial Unicode MS"/>
        </w:rPr>
        <w:t>Each whiri is part of a whole; it’s only when they are brought together by skillful hands that a woven picture emerges. The interlocking nature of each aho represents the dependencies between each the key levers. Individually the whiri and aho are easily broken. When woven together they become incredibly strong.</w:t>
      </w:r>
    </w:p>
    <w:p w14:paraId="6121B0AE" w14:textId="77777777" w:rsidR="00A1065F" w:rsidRPr="00A1065F" w:rsidRDefault="00A1065F" w:rsidP="00A1065F">
      <w:pPr>
        <w:rPr>
          <w:rFonts w:eastAsia="Arial Unicode MS"/>
        </w:rPr>
      </w:pPr>
    </w:p>
    <w:p w14:paraId="6D15535A" w14:textId="0D64AE27" w:rsidR="00A1065F" w:rsidRDefault="00A1065F" w:rsidP="00A1065F">
      <w:pPr>
        <w:rPr>
          <w:rFonts w:eastAsia="Arial Unicode MS"/>
        </w:rPr>
      </w:pPr>
      <w:r w:rsidRPr="00A1065F">
        <w:rPr>
          <w:rFonts w:eastAsia="Arial Unicode MS"/>
        </w:rPr>
        <w:t>The table below summarises the component parts of Whiria te Muka, with an additional section that identifies how the levers and micro-levers could be applied in a health system setting.</w:t>
      </w:r>
    </w:p>
    <w:p w14:paraId="6A79CE91" w14:textId="5DF6824E" w:rsidR="00920A83" w:rsidRDefault="00920A83" w:rsidP="00A1065F">
      <w:pPr>
        <w:rPr>
          <w:rFonts w:eastAsia="Arial Unicode MS"/>
        </w:rPr>
      </w:pPr>
    </w:p>
    <w:tbl>
      <w:tblPr>
        <w:tblStyle w:val="TableGrid"/>
        <w:tblW w:w="850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0"/>
        <w:gridCol w:w="1457"/>
        <w:gridCol w:w="2090"/>
        <w:gridCol w:w="3543"/>
      </w:tblGrid>
      <w:tr w:rsidR="00920A83" w14:paraId="4199852E" w14:textId="77777777" w:rsidTr="00E046D1">
        <w:trPr>
          <w:tblHeader/>
        </w:trPr>
        <w:tc>
          <w:tcPr>
            <w:tcW w:w="1410" w:type="dxa"/>
            <w:tcBorders>
              <w:top w:val="nil"/>
              <w:bottom w:val="nil"/>
            </w:tcBorders>
            <w:shd w:val="clear" w:color="auto" w:fill="D9D9D9" w:themeFill="background1" w:themeFillShade="D9"/>
          </w:tcPr>
          <w:p w14:paraId="49CA3361" w14:textId="18A4DEA4" w:rsidR="00920A83" w:rsidRPr="00A6777F" w:rsidRDefault="00920A83" w:rsidP="00920A83">
            <w:pPr>
              <w:pStyle w:val="TableText"/>
              <w:rPr>
                <w:rFonts w:eastAsia="Arial Unicode MS"/>
                <w:b/>
                <w:bCs/>
              </w:rPr>
            </w:pPr>
            <w:r w:rsidRPr="00A6777F">
              <w:rPr>
                <w:b/>
                <w:bCs/>
              </w:rPr>
              <w:t xml:space="preserve">Whiri </w:t>
            </w:r>
            <w:r w:rsidRPr="00A6777F">
              <w:rPr>
                <w:b/>
                <w:bCs/>
              </w:rPr>
              <w:br/>
              <w:t>(Dimension)</w:t>
            </w:r>
          </w:p>
        </w:tc>
        <w:tc>
          <w:tcPr>
            <w:tcW w:w="1457" w:type="dxa"/>
            <w:tcBorders>
              <w:top w:val="nil"/>
              <w:bottom w:val="nil"/>
            </w:tcBorders>
            <w:shd w:val="clear" w:color="auto" w:fill="D9D9D9" w:themeFill="background1" w:themeFillShade="D9"/>
          </w:tcPr>
          <w:p w14:paraId="6D21DB17" w14:textId="534672E5" w:rsidR="00920A83" w:rsidRPr="00A6777F" w:rsidRDefault="00920A83" w:rsidP="00920A83">
            <w:pPr>
              <w:pStyle w:val="TableText"/>
              <w:rPr>
                <w:rFonts w:eastAsia="Arial Unicode MS"/>
                <w:b/>
                <w:bCs/>
              </w:rPr>
            </w:pPr>
            <w:r w:rsidRPr="00A6777F">
              <w:rPr>
                <w:b/>
                <w:bCs/>
              </w:rPr>
              <w:t xml:space="preserve">Aho </w:t>
            </w:r>
            <w:r w:rsidRPr="00A6777F">
              <w:rPr>
                <w:b/>
                <w:bCs/>
              </w:rPr>
              <w:br/>
            </w:r>
            <w:r w:rsidRPr="00A6777F">
              <w:rPr>
                <w:rFonts w:eastAsia="Arial Unicode MS"/>
                <w:b/>
                <w:bCs/>
              </w:rPr>
              <w:t>(Lever for Change)</w:t>
            </w:r>
          </w:p>
        </w:tc>
        <w:tc>
          <w:tcPr>
            <w:tcW w:w="2090" w:type="dxa"/>
            <w:tcBorders>
              <w:top w:val="nil"/>
              <w:bottom w:val="nil"/>
            </w:tcBorders>
            <w:shd w:val="clear" w:color="auto" w:fill="D9D9D9" w:themeFill="background1" w:themeFillShade="D9"/>
          </w:tcPr>
          <w:p w14:paraId="46DEECCD" w14:textId="50B3B147" w:rsidR="00920A83" w:rsidRPr="00920A83" w:rsidRDefault="00920A83" w:rsidP="00920A83">
            <w:pPr>
              <w:pStyle w:val="TableText"/>
              <w:rPr>
                <w:rFonts w:eastAsia="Arial Unicode MS"/>
                <w:b/>
                <w:bCs/>
              </w:rPr>
            </w:pPr>
            <w:r w:rsidRPr="00920A83">
              <w:rPr>
                <w:rFonts w:eastAsia="Arial Unicode MS"/>
                <w:b/>
                <w:bCs/>
              </w:rPr>
              <w:t>Whenu</w:t>
            </w:r>
            <w:r w:rsidRPr="00920A83">
              <w:rPr>
                <w:rFonts w:eastAsia="Arial Unicode MS"/>
                <w:b/>
                <w:bCs/>
              </w:rPr>
              <w:br/>
              <w:t>(Micro-Levers)</w:t>
            </w:r>
          </w:p>
        </w:tc>
        <w:tc>
          <w:tcPr>
            <w:tcW w:w="3543" w:type="dxa"/>
            <w:tcBorders>
              <w:top w:val="nil"/>
              <w:bottom w:val="nil"/>
            </w:tcBorders>
            <w:shd w:val="clear" w:color="auto" w:fill="D9D9D9" w:themeFill="background1" w:themeFillShade="D9"/>
          </w:tcPr>
          <w:p w14:paraId="712F6097" w14:textId="7A4477B8" w:rsidR="00920A83" w:rsidRPr="00920A83" w:rsidRDefault="00920A83" w:rsidP="00920A83">
            <w:pPr>
              <w:pStyle w:val="TableText"/>
              <w:rPr>
                <w:rFonts w:eastAsia="Arial Unicode MS"/>
                <w:b/>
                <w:bCs/>
              </w:rPr>
            </w:pPr>
            <w:r w:rsidRPr="00920A83">
              <w:rPr>
                <w:rFonts w:eastAsia="Arial Unicode MS"/>
                <w:b/>
                <w:bCs/>
              </w:rPr>
              <w:t>Practical application in a health system setting</w:t>
            </w:r>
          </w:p>
        </w:tc>
      </w:tr>
      <w:tr w:rsidR="00A73796" w14:paraId="75AE625A" w14:textId="77777777" w:rsidTr="00E046D1">
        <w:tc>
          <w:tcPr>
            <w:tcW w:w="1410" w:type="dxa"/>
            <w:vMerge w:val="restart"/>
            <w:tcBorders>
              <w:top w:val="nil"/>
            </w:tcBorders>
            <w:shd w:val="clear" w:color="auto" w:fill="4E8AC9"/>
          </w:tcPr>
          <w:p w14:paraId="39970729" w14:textId="6D548A95" w:rsidR="00A73796" w:rsidRPr="00A73796" w:rsidRDefault="00A73796" w:rsidP="00920A83">
            <w:pPr>
              <w:pStyle w:val="TableText"/>
              <w:rPr>
                <w:rFonts w:eastAsia="Arial Unicode MS"/>
                <w:b/>
                <w:bCs/>
                <w:color w:val="FFFFFF" w:themeColor="background1"/>
              </w:rPr>
            </w:pPr>
            <w:r w:rsidRPr="00A73796">
              <w:rPr>
                <w:b/>
                <w:bCs/>
                <w:color w:val="FFFFFF" w:themeColor="background1"/>
              </w:rPr>
              <w:t>KAWA</w:t>
            </w:r>
          </w:p>
        </w:tc>
        <w:tc>
          <w:tcPr>
            <w:tcW w:w="1457" w:type="dxa"/>
            <w:tcBorders>
              <w:top w:val="nil"/>
            </w:tcBorders>
          </w:tcPr>
          <w:p w14:paraId="71FA7460" w14:textId="7F9240B2" w:rsidR="00A73796" w:rsidRPr="00A6777F" w:rsidRDefault="00A73796" w:rsidP="00920A83">
            <w:pPr>
              <w:pStyle w:val="TableText"/>
              <w:rPr>
                <w:rFonts w:eastAsia="Arial Unicode MS"/>
                <w:b/>
                <w:bCs/>
              </w:rPr>
            </w:pPr>
            <w:r w:rsidRPr="00A6777F">
              <w:rPr>
                <w:b/>
                <w:bCs/>
              </w:rPr>
              <w:t>Leadership</w:t>
            </w:r>
          </w:p>
        </w:tc>
        <w:tc>
          <w:tcPr>
            <w:tcW w:w="2090" w:type="dxa"/>
            <w:tcBorders>
              <w:top w:val="nil"/>
            </w:tcBorders>
          </w:tcPr>
          <w:p w14:paraId="28C8F962" w14:textId="77777777" w:rsidR="00A73796" w:rsidRDefault="00A73796" w:rsidP="00920A83">
            <w:pPr>
              <w:pStyle w:val="TableText"/>
              <w:ind w:left="57"/>
            </w:pPr>
            <w:r>
              <w:t>K1.1</w:t>
            </w:r>
            <w:r>
              <w:rPr>
                <w:spacing w:val="34"/>
              </w:rPr>
              <w:t xml:space="preserve"> </w:t>
            </w:r>
            <w:r>
              <w:t>Championing</w:t>
            </w:r>
            <w:r>
              <w:rPr>
                <w:spacing w:val="-6"/>
              </w:rPr>
              <w:t xml:space="preserve"> </w:t>
            </w:r>
            <w:r>
              <w:t>Mana</w:t>
            </w:r>
            <w:r>
              <w:rPr>
                <w:spacing w:val="-47"/>
              </w:rPr>
              <w:t xml:space="preserve"> </w:t>
            </w:r>
            <w:r>
              <w:t>Tangata</w:t>
            </w:r>
          </w:p>
          <w:p w14:paraId="4113F3CD" w14:textId="77777777" w:rsidR="00A73796" w:rsidRDefault="00A73796" w:rsidP="00920A83">
            <w:pPr>
              <w:pStyle w:val="TableText"/>
              <w:ind w:left="57"/>
            </w:pPr>
            <w:r>
              <w:t>K1.2</w:t>
            </w:r>
            <w:r>
              <w:rPr>
                <w:spacing w:val="22"/>
              </w:rPr>
              <w:t xml:space="preserve"> </w:t>
            </w:r>
            <w:r>
              <w:t>Building</w:t>
            </w:r>
            <w:r>
              <w:rPr>
                <w:spacing w:val="3"/>
              </w:rPr>
              <w:t xml:space="preserve"> </w:t>
            </w:r>
            <w:r>
              <w:t>relationships</w:t>
            </w:r>
            <w:r>
              <w:rPr>
                <w:spacing w:val="-47"/>
              </w:rPr>
              <w:t xml:space="preserve"> </w:t>
            </w:r>
            <w:r>
              <w:t>and</w:t>
            </w:r>
            <w:r>
              <w:rPr>
                <w:spacing w:val="-4"/>
              </w:rPr>
              <w:t xml:space="preserve"> </w:t>
            </w:r>
            <w:r>
              <w:t>alliances</w:t>
            </w:r>
          </w:p>
          <w:p w14:paraId="357CD916" w14:textId="42D174C3" w:rsidR="00A73796" w:rsidRDefault="00A73796" w:rsidP="00920A83">
            <w:pPr>
              <w:pStyle w:val="TableText"/>
              <w:ind w:left="57"/>
            </w:pPr>
            <w:r>
              <w:t>K1.3 Modelling transparency and accountability</w:t>
            </w:r>
          </w:p>
          <w:p w14:paraId="304F87D4" w14:textId="77777777" w:rsidR="00A73796" w:rsidRDefault="00A73796" w:rsidP="00920A83">
            <w:pPr>
              <w:pStyle w:val="TableText"/>
              <w:rPr>
                <w:rFonts w:eastAsia="Arial Unicode MS"/>
              </w:rPr>
            </w:pPr>
          </w:p>
        </w:tc>
        <w:tc>
          <w:tcPr>
            <w:tcW w:w="3543" w:type="dxa"/>
            <w:tcBorders>
              <w:top w:val="nil"/>
            </w:tcBorders>
          </w:tcPr>
          <w:p w14:paraId="5B0EAA33" w14:textId="77777777" w:rsidR="00A73796" w:rsidRDefault="00A73796" w:rsidP="00920A83">
            <w:pPr>
              <w:pStyle w:val="TableBullet"/>
            </w:pPr>
            <w:r>
              <w:t>Championing</w:t>
            </w:r>
            <w:r>
              <w:rPr>
                <w:spacing w:val="2"/>
              </w:rPr>
              <w:t xml:space="preserve"> </w:t>
            </w:r>
            <w:r>
              <w:t>mana</w:t>
            </w:r>
            <w:r>
              <w:rPr>
                <w:spacing w:val="2"/>
              </w:rPr>
              <w:t xml:space="preserve"> </w:t>
            </w:r>
            <w:r>
              <w:t>tangata</w:t>
            </w:r>
            <w:r>
              <w:rPr>
                <w:spacing w:val="2"/>
              </w:rPr>
              <w:t xml:space="preserve"> </w:t>
            </w:r>
            <w:r>
              <w:t>includes:</w:t>
            </w:r>
          </w:p>
          <w:p w14:paraId="5CA43E58" w14:textId="77777777" w:rsidR="00A73796" w:rsidRDefault="00A73796" w:rsidP="00920A83">
            <w:pPr>
              <w:pStyle w:val="TableDash"/>
            </w:pPr>
            <w:r>
              <w:t>Clear</w:t>
            </w:r>
            <w:r>
              <w:rPr>
                <w:spacing w:val="3"/>
              </w:rPr>
              <w:t xml:space="preserve"> </w:t>
            </w:r>
            <w:r>
              <w:t>and</w:t>
            </w:r>
            <w:r>
              <w:rPr>
                <w:spacing w:val="3"/>
              </w:rPr>
              <w:t xml:space="preserve"> </w:t>
            </w:r>
            <w:r>
              <w:t>consistent</w:t>
            </w:r>
            <w:r>
              <w:rPr>
                <w:spacing w:val="3"/>
              </w:rPr>
              <w:t xml:space="preserve"> </w:t>
            </w:r>
            <w:r>
              <w:t>position</w:t>
            </w:r>
            <w:r>
              <w:rPr>
                <w:spacing w:val="3"/>
              </w:rPr>
              <w:t xml:space="preserve"> </w:t>
            </w:r>
            <w:r>
              <w:t>that</w:t>
            </w:r>
            <w:r>
              <w:rPr>
                <w:spacing w:val="3"/>
              </w:rPr>
              <w:t xml:space="preserve"> </w:t>
            </w:r>
            <w:r>
              <w:t>anti-racism/</w:t>
            </w:r>
            <w:r>
              <w:rPr>
                <w:spacing w:val="-47"/>
              </w:rPr>
              <w:t xml:space="preserve"> </w:t>
            </w:r>
            <w:r>
              <w:t>equity</w:t>
            </w:r>
            <w:r>
              <w:rPr>
                <w:spacing w:val="2"/>
              </w:rPr>
              <w:t xml:space="preserve"> </w:t>
            </w:r>
            <w:r>
              <w:t>transformation</w:t>
            </w:r>
            <w:r>
              <w:rPr>
                <w:spacing w:val="2"/>
              </w:rPr>
              <w:t xml:space="preserve"> </w:t>
            </w:r>
            <w:r>
              <w:t>is</w:t>
            </w:r>
            <w:r>
              <w:rPr>
                <w:spacing w:val="2"/>
              </w:rPr>
              <w:t xml:space="preserve"> </w:t>
            </w:r>
            <w:r>
              <w:t>an</w:t>
            </w:r>
            <w:r>
              <w:rPr>
                <w:spacing w:val="3"/>
              </w:rPr>
              <w:t xml:space="preserve"> </w:t>
            </w:r>
            <w:r>
              <w:t>organizational</w:t>
            </w:r>
            <w:r>
              <w:rPr>
                <w:spacing w:val="1"/>
              </w:rPr>
              <w:t xml:space="preserve"> </w:t>
            </w:r>
            <w:r>
              <w:t xml:space="preserve">priority </w:t>
            </w:r>
          </w:p>
          <w:p w14:paraId="23F88B50" w14:textId="77777777" w:rsidR="00A73796" w:rsidRDefault="00A73796" w:rsidP="00920A83">
            <w:pPr>
              <w:pStyle w:val="TableDash"/>
            </w:pPr>
            <w:r>
              <w:t>Clear</w:t>
            </w:r>
            <w:r>
              <w:rPr>
                <w:spacing w:val="6"/>
              </w:rPr>
              <w:t xml:space="preserve"> </w:t>
            </w:r>
            <w:r>
              <w:t>and</w:t>
            </w:r>
            <w:r>
              <w:rPr>
                <w:spacing w:val="7"/>
              </w:rPr>
              <w:t xml:space="preserve"> </w:t>
            </w:r>
            <w:r>
              <w:t>consistent</w:t>
            </w:r>
            <w:r>
              <w:rPr>
                <w:spacing w:val="7"/>
              </w:rPr>
              <w:t xml:space="preserve"> </w:t>
            </w:r>
            <w:r>
              <w:t>position</w:t>
            </w:r>
            <w:r>
              <w:rPr>
                <w:spacing w:val="6"/>
              </w:rPr>
              <w:t xml:space="preserve"> </w:t>
            </w:r>
            <w:r>
              <w:t>that</w:t>
            </w:r>
            <w:r>
              <w:rPr>
                <w:spacing w:val="7"/>
              </w:rPr>
              <w:t xml:space="preserve"> </w:t>
            </w:r>
            <w:r>
              <w:t>organization</w:t>
            </w:r>
            <w:r>
              <w:rPr>
                <w:spacing w:val="-47"/>
              </w:rPr>
              <w:t xml:space="preserve"> </w:t>
            </w:r>
            <w:r>
              <w:rPr>
                <w:w w:val="105"/>
              </w:rPr>
              <w:t>will</w:t>
            </w:r>
            <w:r>
              <w:rPr>
                <w:spacing w:val="-7"/>
                <w:w w:val="105"/>
              </w:rPr>
              <w:t xml:space="preserve"> </w:t>
            </w:r>
            <w:r>
              <w:rPr>
                <w:w w:val="105"/>
              </w:rPr>
              <w:t>honour</w:t>
            </w:r>
            <w:r>
              <w:rPr>
                <w:spacing w:val="-7"/>
                <w:w w:val="105"/>
              </w:rPr>
              <w:t xml:space="preserve"> </w:t>
            </w:r>
            <w:r>
              <w:rPr>
                <w:w w:val="105"/>
              </w:rPr>
              <w:t>Te</w:t>
            </w:r>
            <w:r>
              <w:rPr>
                <w:spacing w:val="-6"/>
                <w:w w:val="105"/>
              </w:rPr>
              <w:t xml:space="preserve"> </w:t>
            </w:r>
            <w:r>
              <w:rPr>
                <w:w w:val="105"/>
              </w:rPr>
              <w:t>Tiriti</w:t>
            </w:r>
          </w:p>
          <w:p w14:paraId="110551A2" w14:textId="77777777" w:rsidR="00A73796" w:rsidRPr="00A1065F" w:rsidRDefault="00A73796" w:rsidP="00920A83">
            <w:pPr>
              <w:pStyle w:val="TableDash"/>
            </w:pPr>
            <w:r>
              <w:rPr>
                <w:w w:val="105"/>
              </w:rPr>
              <w:t>Building</w:t>
            </w:r>
            <w:r>
              <w:rPr>
                <w:spacing w:val="-5"/>
                <w:w w:val="105"/>
              </w:rPr>
              <w:t xml:space="preserve"> </w:t>
            </w:r>
            <w:r>
              <w:rPr>
                <w:w w:val="105"/>
              </w:rPr>
              <w:t>internal</w:t>
            </w:r>
            <w:r>
              <w:rPr>
                <w:spacing w:val="-5"/>
                <w:w w:val="105"/>
              </w:rPr>
              <w:t xml:space="preserve"> </w:t>
            </w:r>
            <w:r>
              <w:rPr>
                <w:w w:val="105"/>
              </w:rPr>
              <w:t>will</w:t>
            </w:r>
            <w:r>
              <w:rPr>
                <w:spacing w:val="-4"/>
                <w:w w:val="105"/>
              </w:rPr>
              <w:t xml:space="preserve"> </w:t>
            </w:r>
            <w:r>
              <w:rPr>
                <w:w w:val="105"/>
              </w:rPr>
              <w:t>&amp;</w:t>
            </w:r>
            <w:r>
              <w:rPr>
                <w:spacing w:val="-5"/>
                <w:w w:val="105"/>
              </w:rPr>
              <w:t xml:space="preserve"> </w:t>
            </w:r>
            <w:r>
              <w:rPr>
                <w:w w:val="105"/>
              </w:rPr>
              <w:t>commitment</w:t>
            </w:r>
            <w:r>
              <w:rPr>
                <w:spacing w:val="-4"/>
                <w:w w:val="105"/>
              </w:rPr>
              <w:t xml:space="preserve"> </w:t>
            </w:r>
            <w:r>
              <w:rPr>
                <w:w w:val="105"/>
              </w:rPr>
              <w:t>at</w:t>
            </w:r>
            <w:r>
              <w:rPr>
                <w:spacing w:val="-5"/>
                <w:w w:val="105"/>
              </w:rPr>
              <w:t xml:space="preserve"> </w:t>
            </w:r>
            <w:r>
              <w:rPr>
                <w:w w:val="105"/>
              </w:rPr>
              <w:t>all</w:t>
            </w:r>
            <w:r>
              <w:rPr>
                <w:spacing w:val="-5"/>
                <w:w w:val="105"/>
              </w:rPr>
              <w:t xml:space="preserve"> </w:t>
            </w:r>
            <w:r>
              <w:rPr>
                <w:w w:val="105"/>
              </w:rPr>
              <w:t>levels</w:t>
            </w:r>
            <w:r>
              <w:rPr>
                <w:spacing w:val="-49"/>
                <w:w w:val="105"/>
              </w:rPr>
              <w:t xml:space="preserve"> </w:t>
            </w:r>
            <w:r>
              <w:rPr>
                <w:w w:val="105"/>
              </w:rPr>
              <w:t>of</w:t>
            </w:r>
            <w:r>
              <w:rPr>
                <w:spacing w:val="-9"/>
                <w:w w:val="105"/>
              </w:rPr>
              <w:t xml:space="preserve"> </w:t>
            </w:r>
            <w:r>
              <w:rPr>
                <w:w w:val="105"/>
              </w:rPr>
              <w:t>leadership;</w:t>
            </w:r>
            <w:r>
              <w:rPr>
                <w:spacing w:val="-8"/>
                <w:w w:val="105"/>
              </w:rPr>
              <w:t xml:space="preserve"> </w:t>
            </w:r>
            <w:r>
              <w:rPr>
                <w:w w:val="105"/>
              </w:rPr>
              <w:t>top,</w:t>
            </w:r>
            <w:r>
              <w:rPr>
                <w:spacing w:val="-9"/>
                <w:w w:val="105"/>
              </w:rPr>
              <w:t xml:space="preserve"> </w:t>
            </w:r>
            <w:r>
              <w:rPr>
                <w:w w:val="105"/>
              </w:rPr>
              <w:t>middle</w:t>
            </w:r>
            <w:r>
              <w:rPr>
                <w:spacing w:val="-8"/>
                <w:w w:val="105"/>
              </w:rPr>
              <w:t xml:space="preserve"> </w:t>
            </w:r>
            <w:r>
              <w:rPr>
                <w:w w:val="105"/>
              </w:rPr>
              <w:t>&amp;</w:t>
            </w:r>
            <w:r>
              <w:rPr>
                <w:spacing w:val="-8"/>
                <w:w w:val="105"/>
              </w:rPr>
              <w:t xml:space="preserve"> </w:t>
            </w:r>
            <w:r>
              <w:rPr>
                <w:w w:val="105"/>
              </w:rPr>
              <w:t>bottom</w:t>
            </w:r>
          </w:p>
          <w:p w14:paraId="141977F7" w14:textId="77777777" w:rsidR="00A73796" w:rsidRDefault="00A73796" w:rsidP="00920A83">
            <w:pPr>
              <w:pStyle w:val="TableBullet"/>
            </w:pPr>
            <w:r w:rsidRPr="00A1065F">
              <w:t>Building relationships and alliances includes external advocacy &amp; movement building for change that contributes to leadership by creating visible accountability.</w:t>
            </w:r>
          </w:p>
          <w:p w14:paraId="761A9AB7" w14:textId="301BF67A" w:rsidR="00A73796" w:rsidRDefault="00A73796" w:rsidP="00920A83">
            <w:pPr>
              <w:pStyle w:val="TableBullet"/>
              <w:rPr>
                <w:rFonts w:eastAsia="Arial Unicode MS"/>
              </w:rPr>
            </w:pPr>
            <w:r w:rsidRPr="00A1065F">
              <w:t xml:space="preserve">Modelling transparency and accountability reflects a core principle </w:t>
            </w:r>
            <w:r w:rsidRPr="00A1065F">
              <w:lastRenderedPageBreak/>
              <w:t>of leadership to role model desired behaviour.</w:t>
            </w:r>
          </w:p>
        </w:tc>
      </w:tr>
      <w:tr w:rsidR="00A73796" w14:paraId="06233FA3" w14:textId="77777777" w:rsidTr="00E046D1">
        <w:tc>
          <w:tcPr>
            <w:tcW w:w="1410" w:type="dxa"/>
            <w:vMerge/>
            <w:shd w:val="clear" w:color="auto" w:fill="4E8AC9"/>
          </w:tcPr>
          <w:p w14:paraId="3E000AE9" w14:textId="77777777" w:rsidR="00A73796" w:rsidRPr="00A73796" w:rsidRDefault="00A73796" w:rsidP="00920A83">
            <w:pPr>
              <w:pStyle w:val="TableText"/>
              <w:rPr>
                <w:rFonts w:eastAsia="Arial Unicode MS"/>
                <w:b/>
                <w:bCs/>
                <w:color w:val="FFFFFF" w:themeColor="background1"/>
              </w:rPr>
            </w:pPr>
          </w:p>
        </w:tc>
        <w:tc>
          <w:tcPr>
            <w:tcW w:w="1457" w:type="dxa"/>
          </w:tcPr>
          <w:p w14:paraId="22AF5BFF" w14:textId="50A08CD4" w:rsidR="00A73796" w:rsidRPr="00A6777F" w:rsidRDefault="00A73796" w:rsidP="00920A83">
            <w:pPr>
              <w:pStyle w:val="TableText"/>
              <w:rPr>
                <w:rFonts w:eastAsia="Arial Unicode MS"/>
                <w:b/>
                <w:bCs/>
              </w:rPr>
            </w:pPr>
            <w:r w:rsidRPr="00A6777F">
              <w:rPr>
                <w:rFonts w:eastAsia="Arial Unicode MS"/>
                <w:b/>
                <w:bCs/>
              </w:rPr>
              <w:t>Narrative</w:t>
            </w:r>
          </w:p>
        </w:tc>
        <w:tc>
          <w:tcPr>
            <w:tcW w:w="2090" w:type="dxa"/>
          </w:tcPr>
          <w:p w14:paraId="605EF26E" w14:textId="77777777" w:rsidR="00A73796" w:rsidRPr="00920A83" w:rsidRDefault="00A73796" w:rsidP="00920A83">
            <w:pPr>
              <w:pStyle w:val="TableText"/>
              <w:rPr>
                <w:rFonts w:eastAsia="Arial Unicode MS"/>
              </w:rPr>
            </w:pPr>
            <w:r w:rsidRPr="00920A83">
              <w:rPr>
                <w:rFonts w:eastAsia="Arial Unicode MS"/>
              </w:rPr>
              <w:t>K2.1 Developing the Mana Tangata story</w:t>
            </w:r>
          </w:p>
          <w:p w14:paraId="24CEFD4C" w14:textId="78792598" w:rsidR="00A73796" w:rsidRPr="00920A83" w:rsidRDefault="00A73796" w:rsidP="00920A83">
            <w:pPr>
              <w:pStyle w:val="TableText"/>
              <w:rPr>
                <w:rFonts w:eastAsia="Arial Unicode MS"/>
              </w:rPr>
            </w:pPr>
            <w:r w:rsidRPr="00920A83">
              <w:rPr>
                <w:rFonts w:eastAsia="Arial Unicode MS"/>
              </w:rPr>
              <w:t>K2.2 Promoting</w:t>
            </w:r>
            <w:r>
              <w:rPr>
                <w:rFonts w:eastAsia="Arial Unicode MS"/>
              </w:rPr>
              <w:t xml:space="preserve"> </w:t>
            </w:r>
            <w:r w:rsidRPr="00920A83">
              <w:rPr>
                <w:rFonts w:eastAsia="Arial Unicode MS"/>
              </w:rPr>
              <w:t>accountability for history</w:t>
            </w:r>
          </w:p>
          <w:p w14:paraId="3C6906D3" w14:textId="33D80961" w:rsidR="00A73796" w:rsidRDefault="00A73796" w:rsidP="00920A83">
            <w:pPr>
              <w:pStyle w:val="TableText"/>
              <w:rPr>
                <w:rFonts w:eastAsia="Arial Unicode MS"/>
              </w:rPr>
            </w:pPr>
            <w:r w:rsidRPr="00920A83">
              <w:rPr>
                <w:rFonts w:eastAsia="Arial Unicode MS"/>
              </w:rPr>
              <w:t>K2.3 Promoting strengths and capabilities of ‘the other’</w:t>
            </w:r>
          </w:p>
        </w:tc>
        <w:tc>
          <w:tcPr>
            <w:tcW w:w="3543" w:type="dxa"/>
          </w:tcPr>
          <w:p w14:paraId="3972A035" w14:textId="77777777" w:rsidR="00A73796" w:rsidRPr="00A6777F" w:rsidRDefault="00A73796" w:rsidP="00A6777F">
            <w:pPr>
              <w:pStyle w:val="TableBullet"/>
              <w:rPr>
                <w:rFonts w:eastAsia="Arial Unicode MS"/>
              </w:rPr>
            </w:pPr>
            <w:r w:rsidRPr="00A6777F">
              <w:rPr>
                <w:rFonts w:eastAsia="Arial Unicode MS"/>
              </w:rPr>
              <w:t>Developing the Mana Tangata story:</w:t>
            </w:r>
          </w:p>
          <w:p w14:paraId="7D78E791" w14:textId="77777777" w:rsidR="00A73796" w:rsidRPr="00A6777F" w:rsidRDefault="00A73796" w:rsidP="00A6777F">
            <w:pPr>
              <w:pStyle w:val="TableDash"/>
              <w:rPr>
                <w:rFonts w:eastAsia="Arial Unicode MS"/>
              </w:rPr>
            </w:pPr>
            <w:r w:rsidRPr="00A6777F">
              <w:rPr>
                <w:rFonts w:eastAsia="Arial Unicode MS"/>
              </w:rPr>
              <w:t>Leading with a strong positive vision anchored in Te Tiriti</w:t>
            </w:r>
          </w:p>
          <w:p w14:paraId="2258AF79" w14:textId="77777777" w:rsidR="00A73796" w:rsidRPr="00A6777F" w:rsidRDefault="00A73796" w:rsidP="00A6777F">
            <w:pPr>
              <w:pStyle w:val="TableDash"/>
              <w:rPr>
                <w:rFonts w:eastAsia="Arial Unicode MS"/>
              </w:rPr>
            </w:pPr>
            <w:r w:rsidRPr="00A6777F">
              <w:rPr>
                <w:rFonts w:eastAsia="Arial Unicode MS"/>
              </w:rPr>
              <w:t>Building a shared understanding of racism &amp; anti-racism</w:t>
            </w:r>
          </w:p>
          <w:p w14:paraId="62A8D7E9" w14:textId="36230155" w:rsidR="00A73796" w:rsidRPr="00A6777F" w:rsidRDefault="00A73796" w:rsidP="00A6777F">
            <w:pPr>
              <w:pStyle w:val="TableDash"/>
              <w:rPr>
                <w:rFonts w:eastAsia="Arial Unicode MS"/>
              </w:rPr>
            </w:pPr>
            <w:r w:rsidRPr="00A6777F">
              <w:rPr>
                <w:rFonts w:eastAsia="Arial Unicode MS"/>
              </w:rPr>
              <w:t>New narrative reflects equality of paradigms (ie Western, Māori, Pacific and other knowledge systems are accorded equal respect and visibility)</w:t>
            </w:r>
          </w:p>
          <w:p w14:paraId="2CD0D3E6" w14:textId="5375A0DB" w:rsidR="00A73796" w:rsidRPr="00A6777F" w:rsidRDefault="00A73796" w:rsidP="00A6777F">
            <w:pPr>
              <w:pStyle w:val="TableBullet"/>
              <w:rPr>
                <w:rFonts w:eastAsia="Arial Unicode MS"/>
              </w:rPr>
            </w:pPr>
            <w:r w:rsidRPr="00A6777F">
              <w:rPr>
                <w:rFonts w:eastAsia="Arial Unicode MS"/>
              </w:rPr>
              <w:t>Promoting accountability for history:</w:t>
            </w:r>
          </w:p>
          <w:p w14:paraId="625DF193" w14:textId="77777777" w:rsidR="00A73796" w:rsidRPr="00A6777F" w:rsidRDefault="00A73796" w:rsidP="00A6777F">
            <w:pPr>
              <w:pStyle w:val="TableDash"/>
              <w:rPr>
                <w:rFonts w:eastAsia="Arial Unicode MS"/>
              </w:rPr>
            </w:pPr>
            <w:r w:rsidRPr="00A6777F">
              <w:rPr>
                <w:rFonts w:eastAsia="Arial Unicode MS"/>
              </w:rPr>
              <w:t>Sharing stories of the lived experiences of racism &amp; their impacts</w:t>
            </w:r>
          </w:p>
          <w:p w14:paraId="49097822" w14:textId="77777777" w:rsidR="00A73796" w:rsidRPr="00A6777F" w:rsidRDefault="00A73796" w:rsidP="00A6777F">
            <w:pPr>
              <w:pStyle w:val="TableDash"/>
              <w:rPr>
                <w:rFonts w:eastAsia="Arial Unicode MS"/>
              </w:rPr>
            </w:pPr>
            <w:r w:rsidRPr="00A6777F">
              <w:rPr>
                <w:rFonts w:eastAsia="Arial Unicode MS"/>
              </w:rPr>
              <w:t>Sharing stories of organisational contributions to racism</w:t>
            </w:r>
          </w:p>
          <w:p w14:paraId="2437A78B" w14:textId="0B528121" w:rsidR="00A73796" w:rsidRDefault="00A73796" w:rsidP="00A6777F">
            <w:pPr>
              <w:pStyle w:val="TableBullet"/>
              <w:rPr>
                <w:rFonts w:eastAsia="Arial Unicode MS"/>
              </w:rPr>
            </w:pPr>
            <w:r w:rsidRPr="00A6777F">
              <w:rPr>
                <w:rFonts w:eastAsia="Arial Unicode MS"/>
              </w:rPr>
              <w:t>Promoting strengths and capabilities of ‘the other’ is important for reframing expectations to a ‘strengths based foundation, including sharing positive stories &amp; concrete examples of successes by under-served groups</w:t>
            </w:r>
          </w:p>
        </w:tc>
      </w:tr>
      <w:tr w:rsidR="00A73796" w14:paraId="0F212CB7" w14:textId="77777777" w:rsidTr="00E046D1">
        <w:tc>
          <w:tcPr>
            <w:tcW w:w="1410" w:type="dxa"/>
            <w:vMerge w:val="restart"/>
            <w:shd w:val="clear" w:color="auto" w:fill="573393"/>
          </w:tcPr>
          <w:p w14:paraId="114D1647" w14:textId="24CE72FB" w:rsidR="00A73796" w:rsidRPr="00A73796" w:rsidRDefault="00A73796" w:rsidP="00920A83">
            <w:pPr>
              <w:pStyle w:val="TableText"/>
              <w:rPr>
                <w:rFonts w:eastAsia="Arial Unicode MS"/>
                <w:b/>
                <w:bCs/>
                <w:color w:val="FFFFFF" w:themeColor="background1"/>
              </w:rPr>
            </w:pPr>
            <w:r w:rsidRPr="00A73796">
              <w:rPr>
                <w:rFonts w:eastAsia="Arial Unicode MS"/>
                <w:b/>
                <w:bCs/>
                <w:color w:val="FFFFFF" w:themeColor="background1"/>
              </w:rPr>
              <w:t>TIKANGA</w:t>
            </w:r>
          </w:p>
        </w:tc>
        <w:tc>
          <w:tcPr>
            <w:tcW w:w="1457" w:type="dxa"/>
          </w:tcPr>
          <w:p w14:paraId="555C4EE6" w14:textId="05DE0E94" w:rsidR="00A73796" w:rsidRPr="00A6777F" w:rsidRDefault="00A73796" w:rsidP="00920A83">
            <w:pPr>
              <w:pStyle w:val="TableText"/>
              <w:rPr>
                <w:rFonts w:eastAsia="Arial Unicode MS"/>
                <w:b/>
                <w:bCs/>
              </w:rPr>
            </w:pPr>
            <w:r w:rsidRPr="00A6777F">
              <w:rPr>
                <w:rFonts w:eastAsia="Arial Unicode MS"/>
                <w:b/>
                <w:bCs/>
              </w:rPr>
              <w:t>Organisational Strategy and Goals</w:t>
            </w:r>
          </w:p>
        </w:tc>
        <w:tc>
          <w:tcPr>
            <w:tcW w:w="2090" w:type="dxa"/>
          </w:tcPr>
          <w:p w14:paraId="15625369" w14:textId="5AA4205E" w:rsidR="00A73796" w:rsidRPr="00920A83" w:rsidRDefault="00A73796" w:rsidP="00920A83">
            <w:pPr>
              <w:pStyle w:val="TableText"/>
              <w:rPr>
                <w:rFonts w:eastAsia="Arial Unicode MS"/>
              </w:rPr>
            </w:pPr>
            <w:r w:rsidRPr="00920A83">
              <w:rPr>
                <w:rFonts w:eastAsia="Arial Unicode MS"/>
              </w:rPr>
              <w:t>T1.1 Developing and</w:t>
            </w:r>
            <w:r>
              <w:rPr>
                <w:rFonts w:eastAsia="Arial Unicode MS"/>
              </w:rPr>
              <w:t xml:space="preserve"> </w:t>
            </w:r>
            <w:r w:rsidRPr="00920A83">
              <w:rPr>
                <w:rFonts w:eastAsia="Arial Unicode MS"/>
              </w:rPr>
              <w:t>adopting a Mana Tangata strategy</w:t>
            </w:r>
          </w:p>
          <w:p w14:paraId="7826AF58" w14:textId="77777777" w:rsidR="00A73796" w:rsidRPr="00920A83" w:rsidRDefault="00A73796" w:rsidP="00920A83">
            <w:pPr>
              <w:pStyle w:val="TableText"/>
              <w:rPr>
                <w:rFonts w:eastAsia="Arial Unicode MS"/>
              </w:rPr>
            </w:pPr>
            <w:r w:rsidRPr="00920A83">
              <w:rPr>
                <w:rFonts w:eastAsia="Arial Unicode MS"/>
              </w:rPr>
              <w:t>T1.2 Integrating Mana Tangata into overarching strategy</w:t>
            </w:r>
          </w:p>
          <w:p w14:paraId="514BB4BB" w14:textId="7F21B8C1" w:rsidR="00A73796" w:rsidRDefault="00A73796" w:rsidP="00920A83">
            <w:pPr>
              <w:pStyle w:val="TableText"/>
              <w:rPr>
                <w:rFonts w:eastAsia="Arial Unicode MS"/>
              </w:rPr>
            </w:pPr>
            <w:r w:rsidRPr="00920A83">
              <w:rPr>
                <w:rFonts w:eastAsia="Arial Unicode MS"/>
              </w:rPr>
              <w:t>T1.3 Driving accountability for achieving Mana Tangata goals</w:t>
            </w:r>
          </w:p>
        </w:tc>
        <w:tc>
          <w:tcPr>
            <w:tcW w:w="3543" w:type="dxa"/>
          </w:tcPr>
          <w:p w14:paraId="3F363277" w14:textId="77777777" w:rsidR="00A73796" w:rsidRPr="00A6777F" w:rsidRDefault="00A73796" w:rsidP="00A6777F">
            <w:pPr>
              <w:pStyle w:val="TableBullet"/>
              <w:rPr>
                <w:rFonts w:eastAsia="Arial Unicode MS"/>
              </w:rPr>
            </w:pPr>
            <w:r w:rsidRPr="00A6777F">
              <w:rPr>
                <w:rFonts w:eastAsia="Arial Unicode MS"/>
              </w:rPr>
              <w:t>Developing and adopting a Mana Tangata strategy:</w:t>
            </w:r>
          </w:p>
          <w:p w14:paraId="1D3AD4CD" w14:textId="77777777" w:rsidR="00A73796" w:rsidRPr="00A6777F" w:rsidRDefault="00A73796" w:rsidP="00A6777F">
            <w:pPr>
              <w:pStyle w:val="TableDash"/>
              <w:rPr>
                <w:rFonts w:eastAsia="Arial Unicode MS"/>
              </w:rPr>
            </w:pPr>
            <w:r w:rsidRPr="00A6777F">
              <w:rPr>
                <w:rFonts w:eastAsia="Arial Unicode MS"/>
              </w:rPr>
              <w:t>Organisation has an anti-racism strategy with clear positioning statement</w:t>
            </w:r>
          </w:p>
          <w:p w14:paraId="75028094" w14:textId="77777777" w:rsidR="00A73796" w:rsidRPr="00A6777F" w:rsidRDefault="00A73796" w:rsidP="00A6777F">
            <w:pPr>
              <w:pStyle w:val="TableBullet"/>
              <w:rPr>
                <w:rFonts w:eastAsia="Arial Unicode MS"/>
              </w:rPr>
            </w:pPr>
            <w:r w:rsidRPr="00A6777F">
              <w:rPr>
                <w:rFonts w:eastAsia="Arial Unicode MS"/>
              </w:rPr>
              <w:t>Integrating Mana Tangata into overarching strategy</w:t>
            </w:r>
          </w:p>
          <w:p w14:paraId="7C0BB23C" w14:textId="77777777" w:rsidR="00A73796" w:rsidRPr="00A6777F" w:rsidRDefault="00A73796" w:rsidP="00A6777F">
            <w:pPr>
              <w:pStyle w:val="TableDash"/>
              <w:rPr>
                <w:rFonts w:eastAsia="Arial Unicode MS"/>
              </w:rPr>
            </w:pPr>
            <w:r w:rsidRPr="00A6777F">
              <w:rPr>
                <w:rFonts w:eastAsia="Arial Unicode MS"/>
              </w:rPr>
              <w:t>Organisation integrates anti-racism into overarching strategy</w:t>
            </w:r>
          </w:p>
          <w:p w14:paraId="67C1AD64" w14:textId="77777777" w:rsidR="00A73796" w:rsidRPr="00A6777F" w:rsidRDefault="00A73796" w:rsidP="00A6777F">
            <w:pPr>
              <w:pStyle w:val="TableDash"/>
              <w:rPr>
                <w:rFonts w:eastAsia="Arial Unicode MS"/>
              </w:rPr>
            </w:pPr>
            <w:r w:rsidRPr="00A6777F">
              <w:rPr>
                <w:rFonts w:eastAsia="Arial Unicode MS"/>
              </w:rPr>
              <w:t>Values, purpose, leadership, ownership, planning, performance, &amp; accountability structures aligned to anti-racist strategy</w:t>
            </w:r>
          </w:p>
          <w:p w14:paraId="0C25D070" w14:textId="77777777" w:rsidR="00A73796" w:rsidRPr="00A6777F" w:rsidRDefault="00A73796" w:rsidP="00A6777F">
            <w:pPr>
              <w:pStyle w:val="TableDash"/>
              <w:rPr>
                <w:rFonts w:eastAsia="Arial Unicode MS"/>
              </w:rPr>
            </w:pPr>
            <w:r w:rsidRPr="00A6777F">
              <w:rPr>
                <w:rFonts w:eastAsia="Arial Unicode MS"/>
              </w:rPr>
              <w:t>Organisational policy recognizes and values creating space for under-served groups to have sphere of autonomy over delivery on their aspirations</w:t>
            </w:r>
          </w:p>
          <w:p w14:paraId="21BA1CE0" w14:textId="77777777" w:rsidR="00A73796" w:rsidRPr="00A6777F" w:rsidRDefault="00A73796" w:rsidP="00A6777F">
            <w:pPr>
              <w:pStyle w:val="TableDash"/>
              <w:rPr>
                <w:rFonts w:eastAsia="Arial Unicode MS"/>
              </w:rPr>
            </w:pPr>
            <w:r w:rsidRPr="00A6777F">
              <w:rPr>
                <w:rFonts w:eastAsia="Arial Unicode MS"/>
              </w:rPr>
              <w:t>Contracting arrangements with under-served groups to deliver on their aspirations is based on high-trust, multi-year delivery and flexibility to evolve the delivery</w:t>
            </w:r>
          </w:p>
          <w:p w14:paraId="60614857" w14:textId="7BF27C16" w:rsidR="00A73796" w:rsidRDefault="00A73796" w:rsidP="00A6777F">
            <w:pPr>
              <w:pStyle w:val="TableBullet"/>
              <w:rPr>
                <w:rFonts w:eastAsia="Arial Unicode MS"/>
              </w:rPr>
            </w:pPr>
            <w:r w:rsidRPr="00A6777F">
              <w:rPr>
                <w:rFonts w:eastAsia="Arial Unicode MS"/>
              </w:rPr>
              <w:lastRenderedPageBreak/>
              <w:t>Driving accountability for achieving Mana Tangata goals embeds meaningful community partnerships that provide for community accountability</w:t>
            </w:r>
          </w:p>
        </w:tc>
      </w:tr>
      <w:tr w:rsidR="00A73796" w14:paraId="6E335013" w14:textId="77777777" w:rsidTr="00E046D1">
        <w:tc>
          <w:tcPr>
            <w:tcW w:w="1410" w:type="dxa"/>
            <w:vMerge/>
            <w:shd w:val="clear" w:color="auto" w:fill="573393"/>
          </w:tcPr>
          <w:p w14:paraId="06BD2CAB" w14:textId="77777777" w:rsidR="00A73796" w:rsidRPr="00A6777F" w:rsidRDefault="00A73796" w:rsidP="00920A83">
            <w:pPr>
              <w:pStyle w:val="TableText"/>
              <w:rPr>
                <w:rFonts w:eastAsia="Arial Unicode MS"/>
                <w:b/>
                <w:bCs/>
              </w:rPr>
            </w:pPr>
          </w:p>
        </w:tc>
        <w:tc>
          <w:tcPr>
            <w:tcW w:w="1457" w:type="dxa"/>
          </w:tcPr>
          <w:p w14:paraId="22675AD7" w14:textId="6FE48830" w:rsidR="00A73796" w:rsidRPr="00A6777F" w:rsidRDefault="00A73796" w:rsidP="00920A83">
            <w:pPr>
              <w:pStyle w:val="TableText"/>
              <w:rPr>
                <w:rFonts w:eastAsia="Arial Unicode MS"/>
                <w:b/>
                <w:bCs/>
              </w:rPr>
            </w:pPr>
            <w:r w:rsidRPr="00A6777F">
              <w:rPr>
                <w:rFonts w:eastAsia="Arial Unicode MS"/>
                <w:b/>
                <w:bCs/>
              </w:rPr>
              <w:t>Power and Commitment</w:t>
            </w:r>
          </w:p>
        </w:tc>
        <w:tc>
          <w:tcPr>
            <w:tcW w:w="2090" w:type="dxa"/>
          </w:tcPr>
          <w:p w14:paraId="69DD18D0" w14:textId="77777777" w:rsidR="00A73796" w:rsidRPr="00920A83" w:rsidRDefault="00A73796" w:rsidP="00920A83">
            <w:pPr>
              <w:pStyle w:val="TableText"/>
              <w:rPr>
                <w:rFonts w:eastAsia="Arial Unicode MS"/>
              </w:rPr>
            </w:pPr>
            <w:r w:rsidRPr="00920A83">
              <w:rPr>
                <w:rFonts w:eastAsia="Arial Unicode MS"/>
              </w:rPr>
              <w:t>T2.1 Governance-level power-sharing</w:t>
            </w:r>
          </w:p>
          <w:p w14:paraId="620DCEA2" w14:textId="77777777" w:rsidR="00A73796" w:rsidRPr="00920A83" w:rsidRDefault="00A73796" w:rsidP="00920A83">
            <w:pPr>
              <w:pStyle w:val="TableText"/>
              <w:rPr>
                <w:rFonts w:eastAsia="Arial Unicode MS"/>
              </w:rPr>
            </w:pPr>
            <w:r w:rsidRPr="00920A83">
              <w:rPr>
                <w:rFonts w:eastAsia="Arial Unicode MS"/>
              </w:rPr>
              <w:t>T2.2 High-trust contracting for service delivery</w:t>
            </w:r>
          </w:p>
          <w:p w14:paraId="72149EDA" w14:textId="26A327BD" w:rsidR="00A73796" w:rsidRDefault="00A73796" w:rsidP="00920A83">
            <w:pPr>
              <w:pStyle w:val="TableText"/>
              <w:rPr>
                <w:rFonts w:eastAsia="Arial Unicode MS"/>
              </w:rPr>
            </w:pPr>
            <w:r w:rsidRPr="00920A83">
              <w:rPr>
                <w:rFonts w:eastAsia="Arial Unicode MS"/>
              </w:rPr>
              <w:t>T2.2 Mana Tangata</w:t>
            </w:r>
            <w:r>
              <w:rPr>
                <w:rFonts w:eastAsia="Arial Unicode MS"/>
              </w:rPr>
              <w:t xml:space="preserve"> </w:t>
            </w:r>
            <w:r w:rsidRPr="00920A83">
              <w:rPr>
                <w:rFonts w:eastAsia="Arial Unicode MS"/>
              </w:rPr>
              <w:t>strategy and goals have sufficient budget and resource</w:t>
            </w:r>
          </w:p>
        </w:tc>
        <w:tc>
          <w:tcPr>
            <w:tcW w:w="3543" w:type="dxa"/>
          </w:tcPr>
          <w:p w14:paraId="16BE1FCE" w14:textId="77777777" w:rsidR="00A73796" w:rsidRPr="00A6777F" w:rsidRDefault="00A73796" w:rsidP="00A6777F">
            <w:pPr>
              <w:pStyle w:val="TableText"/>
              <w:rPr>
                <w:rFonts w:eastAsia="Arial Unicode MS"/>
              </w:rPr>
            </w:pPr>
            <w:r w:rsidRPr="00A6777F">
              <w:rPr>
                <w:rFonts w:eastAsia="Arial Unicode MS"/>
              </w:rPr>
              <w:t>The practical application of these micro-levers identified by practitioners include:</w:t>
            </w:r>
          </w:p>
          <w:p w14:paraId="16D6ED4B" w14:textId="77777777" w:rsidR="00A73796" w:rsidRPr="00A6777F" w:rsidRDefault="00A73796" w:rsidP="00A6777F">
            <w:pPr>
              <w:pStyle w:val="TableBullet"/>
              <w:rPr>
                <w:rFonts w:eastAsia="Arial Unicode MS"/>
              </w:rPr>
            </w:pPr>
            <w:r w:rsidRPr="00A6777F">
              <w:rPr>
                <w:rFonts w:eastAsia="Arial Unicode MS"/>
              </w:rPr>
              <w:t>Key decision making fora have structures or protocols in place to ensure under-served groups have effective voice and shared responsibilities for decision making</w:t>
            </w:r>
          </w:p>
          <w:p w14:paraId="4E5A0659" w14:textId="77777777" w:rsidR="00A73796" w:rsidRPr="00A6777F" w:rsidRDefault="00A73796" w:rsidP="00A6777F">
            <w:pPr>
              <w:pStyle w:val="TableBullet"/>
              <w:rPr>
                <w:rFonts w:eastAsia="Arial Unicode MS"/>
              </w:rPr>
            </w:pPr>
            <w:r w:rsidRPr="00A6777F">
              <w:rPr>
                <w:rFonts w:eastAsia="Arial Unicode MS"/>
              </w:rPr>
              <w:t>Organisation has pervasive participation of under- served groups across decision making loci</w:t>
            </w:r>
          </w:p>
          <w:p w14:paraId="6EB275B2" w14:textId="77777777" w:rsidR="00A73796" w:rsidRPr="00A6777F" w:rsidRDefault="00A73796" w:rsidP="00A6777F">
            <w:pPr>
              <w:pStyle w:val="TableBullet"/>
              <w:rPr>
                <w:rFonts w:eastAsia="Arial Unicode MS"/>
              </w:rPr>
            </w:pPr>
            <w:r w:rsidRPr="00A6777F">
              <w:rPr>
                <w:rFonts w:eastAsia="Arial Unicode MS"/>
              </w:rPr>
              <w:t>Shared power influences budget allocation</w:t>
            </w:r>
          </w:p>
          <w:p w14:paraId="4F5A270C" w14:textId="77777777" w:rsidR="00A73796" w:rsidRPr="00A6777F" w:rsidRDefault="00A73796" w:rsidP="00A6777F">
            <w:pPr>
              <w:pStyle w:val="TableBullet"/>
              <w:rPr>
                <w:rFonts w:eastAsia="Arial Unicode MS"/>
              </w:rPr>
            </w:pPr>
            <w:r w:rsidRPr="00A6777F">
              <w:rPr>
                <w:rFonts w:eastAsia="Arial Unicode MS"/>
              </w:rPr>
              <w:t>Shared power influences organisational strategy and priorities</w:t>
            </w:r>
          </w:p>
          <w:p w14:paraId="5098DB17" w14:textId="77777777" w:rsidR="00A73796" w:rsidRPr="00A6777F" w:rsidRDefault="00A73796" w:rsidP="00A6777F">
            <w:pPr>
              <w:pStyle w:val="TableBullet"/>
              <w:rPr>
                <w:rFonts w:eastAsia="Arial Unicode MS"/>
              </w:rPr>
            </w:pPr>
            <w:r w:rsidRPr="00A6777F">
              <w:rPr>
                <w:rFonts w:eastAsia="Arial Unicode MS"/>
              </w:rPr>
              <w:t>Anti-racism goals and strategies have budget allocation</w:t>
            </w:r>
          </w:p>
          <w:p w14:paraId="1319D222" w14:textId="77777777" w:rsidR="00A73796" w:rsidRPr="00A6777F" w:rsidRDefault="00A73796" w:rsidP="00A6777F">
            <w:pPr>
              <w:pStyle w:val="TableBullet"/>
              <w:rPr>
                <w:rFonts w:eastAsia="Arial Unicode MS"/>
              </w:rPr>
            </w:pPr>
            <w:r w:rsidRPr="00A6777F">
              <w:rPr>
                <w:rFonts w:eastAsia="Arial Unicode MS"/>
              </w:rPr>
              <w:t>Expenditure (including commissioning) prioritises equitable outcomes</w:t>
            </w:r>
          </w:p>
          <w:p w14:paraId="609F0E7C" w14:textId="77777777" w:rsidR="00A73796" w:rsidRPr="00A6777F" w:rsidRDefault="00A73796" w:rsidP="00A6777F">
            <w:pPr>
              <w:pStyle w:val="TableBullet"/>
              <w:rPr>
                <w:rFonts w:eastAsia="Arial Unicode MS"/>
              </w:rPr>
            </w:pPr>
            <w:r w:rsidRPr="00A6777F">
              <w:rPr>
                <w:rFonts w:eastAsia="Arial Unicode MS"/>
              </w:rPr>
              <w:t>Expenditure is assessed for fairness and proportionality against interest groups and equity outcomes</w:t>
            </w:r>
          </w:p>
          <w:p w14:paraId="1C1F0C9B" w14:textId="50FB845C" w:rsidR="00A73796" w:rsidRDefault="00A73796" w:rsidP="00A6777F">
            <w:pPr>
              <w:pStyle w:val="TableBullet"/>
              <w:rPr>
                <w:rFonts w:eastAsia="Arial Unicode MS"/>
              </w:rPr>
            </w:pPr>
            <w:r w:rsidRPr="00A6777F">
              <w:rPr>
                <w:rFonts w:eastAsia="Arial Unicode MS"/>
              </w:rPr>
              <w:t>Equity/anti-racism goals and strategies have organisational capacity and expert capability for delivery</w:t>
            </w:r>
          </w:p>
        </w:tc>
      </w:tr>
      <w:tr w:rsidR="00A73796" w14:paraId="04CB74A3" w14:textId="77777777" w:rsidTr="00E046D1">
        <w:tc>
          <w:tcPr>
            <w:tcW w:w="1410" w:type="dxa"/>
            <w:vMerge/>
            <w:shd w:val="clear" w:color="auto" w:fill="573393"/>
          </w:tcPr>
          <w:p w14:paraId="4193EAD4" w14:textId="77777777" w:rsidR="00A73796" w:rsidRPr="00A6777F" w:rsidRDefault="00A73796" w:rsidP="00920A83">
            <w:pPr>
              <w:pStyle w:val="TableText"/>
              <w:rPr>
                <w:rFonts w:eastAsia="Arial Unicode MS"/>
                <w:b/>
                <w:bCs/>
              </w:rPr>
            </w:pPr>
          </w:p>
        </w:tc>
        <w:tc>
          <w:tcPr>
            <w:tcW w:w="1457" w:type="dxa"/>
          </w:tcPr>
          <w:p w14:paraId="62A49FA7" w14:textId="6023495C" w:rsidR="00A73796" w:rsidRPr="00A6777F" w:rsidRDefault="00A73796" w:rsidP="00920A83">
            <w:pPr>
              <w:pStyle w:val="TableText"/>
              <w:rPr>
                <w:rFonts w:eastAsia="Arial Unicode MS"/>
                <w:b/>
                <w:bCs/>
              </w:rPr>
            </w:pPr>
            <w:r w:rsidRPr="00A6777F">
              <w:rPr>
                <w:rFonts w:eastAsia="Arial Unicode MS"/>
                <w:b/>
                <w:bCs/>
              </w:rPr>
              <w:t>Human Resource (HR) Policies</w:t>
            </w:r>
          </w:p>
        </w:tc>
        <w:tc>
          <w:tcPr>
            <w:tcW w:w="2090" w:type="dxa"/>
          </w:tcPr>
          <w:p w14:paraId="017A78DD" w14:textId="45131A94" w:rsidR="00A73796" w:rsidRPr="00920A83" w:rsidRDefault="00A73796" w:rsidP="00920A83">
            <w:pPr>
              <w:pStyle w:val="TableText"/>
              <w:rPr>
                <w:rFonts w:eastAsia="Arial Unicode MS"/>
              </w:rPr>
            </w:pPr>
            <w:r w:rsidRPr="00920A83">
              <w:rPr>
                <w:rFonts w:eastAsia="Arial Unicode MS"/>
              </w:rPr>
              <w:t>T3.1 Diversity</w:t>
            </w:r>
          </w:p>
          <w:p w14:paraId="76F7CCE3" w14:textId="77777777" w:rsidR="00A73796" w:rsidRDefault="00A73796" w:rsidP="00920A83">
            <w:pPr>
              <w:pStyle w:val="TableText"/>
              <w:rPr>
                <w:rFonts w:eastAsia="Arial Unicode MS"/>
              </w:rPr>
            </w:pPr>
            <w:r w:rsidRPr="00920A83">
              <w:rPr>
                <w:rFonts w:eastAsia="Arial Unicode MS"/>
              </w:rPr>
              <w:t xml:space="preserve">T3.2 Diversity promotion </w:t>
            </w:r>
          </w:p>
          <w:p w14:paraId="024C0553" w14:textId="580D2853" w:rsidR="00A73796" w:rsidRDefault="00A73796" w:rsidP="00920A83">
            <w:pPr>
              <w:pStyle w:val="TableText"/>
              <w:rPr>
                <w:rFonts w:eastAsia="Arial Unicode MS"/>
              </w:rPr>
            </w:pPr>
            <w:r w:rsidRPr="00920A83">
              <w:rPr>
                <w:rFonts w:eastAsia="Arial Unicode MS"/>
              </w:rPr>
              <w:t>T3.3 Rewards and</w:t>
            </w:r>
            <w:r>
              <w:rPr>
                <w:rFonts w:eastAsia="Arial Unicode MS"/>
              </w:rPr>
              <w:t xml:space="preserve"> </w:t>
            </w:r>
            <w:r w:rsidRPr="00920A83">
              <w:rPr>
                <w:rFonts w:eastAsia="Arial Unicode MS"/>
              </w:rPr>
              <w:t xml:space="preserve">incentives </w:t>
            </w:r>
          </w:p>
          <w:p w14:paraId="608DC54C" w14:textId="1B7C155B" w:rsidR="00A73796" w:rsidRDefault="00A73796" w:rsidP="00920A83">
            <w:pPr>
              <w:pStyle w:val="TableText"/>
              <w:rPr>
                <w:rFonts w:eastAsia="Arial Unicode MS"/>
              </w:rPr>
            </w:pPr>
            <w:r w:rsidRPr="00920A83">
              <w:rPr>
                <w:rFonts w:eastAsia="Arial Unicode MS"/>
              </w:rPr>
              <w:t>T3.4 Disciplinary</w:t>
            </w:r>
          </w:p>
        </w:tc>
        <w:tc>
          <w:tcPr>
            <w:tcW w:w="3543" w:type="dxa"/>
          </w:tcPr>
          <w:p w14:paraId="07B3DAB3" w14:textId="77777777" w:rsidR="00A73796" w:rsidRPr="00A6777F" w:rsidRDefault="00A73796" w:rsidP="00A6777F">
            <w:pPr>
              <w:pStyle w:val="TableBullet"/>
              <w:rPr>
                <w:rFonts w:eastAsia="Arial Unicode MS"/>
              </w:rPr>
            </w:pPr>
            <w:r w:rsidRPr="00A6777F">
              <w:rPr>
                <w:rFonts w:eastAsia="Arial Unicode MS"/>
              </w:rPr>
              <w:t>Diversity:</w:t>
            </w:r>
          </w:p>
          <w:p w14:paraId="19D9BB6E" w14:textId="77777777" w:rsidR="00A73796" w:rsidRPr="00A6777F" w:rsidRDefault="00A73796" w:rsidP="00A6777F">
            <w:pPr>
              <w:pStyle w:val="TableDash"/>
              <w:rPr>
                <w:rFonts w:eastAsia="Arial Unicode MS"/>
              </w:rPr>
            </w:pPr>
            <w:r w:rsidRPr="00A6777F">
              <w:rPr>
                <w:rFonts w:eastAsia="Arial Unicode MS"/>
              </w:rPr>
              <w:t>Increase critical mass of diversity hires</w:t>
            </w:r>
          </w:p>
          <w:p w14:paraId="096FB1BF" w14:textId="50F8197E" w:rsidR="00A73796" w:rsidRDefault="00A73796" w:rsidP="00A6777F">
            <w:pPr>
              <w:pStyle w:val="TableDash"/>
              <w:rPr>
                <w:rFonts w:eastAsia="Arial Unicode MS"/>
              </w:rPr>
            </w:pPr>
            <w:r w:rsidRPr="00A6777F">
              <w:rPr>
                <w:rFonts w:eastAsia="Arial Unicode MS"/>
              </w:rPr>
              <w:t>Embed anti-racism into job descriptors &amp; recruitment processes</w:t>
            </w:r>
          </w:p>
          <w:p w14:paraId="27B73DD0" w14:textId="18F4FBE1" w:rsidR="00A73796" w:rsidRPr="00920A83" w:rsidRDefault="00A73796" w:rsidP="00A6777F">
            <w:pPr>
              <w:pStyle w:val="TableDash"/>
              <w:rPr>
                <w:rFonts w:eastAsia="Arial Unicode MS"/>
              </w:rPr>
            </w:pPr>
            <w:r w:rsidRPr="00920A83">
              <w:rPr>
                <w:rFonts w:eastAsia="Arial Unicode MS"/>
              </w:rPr>
              <w:t>There are appropriate spaces for practices by under-served groups to occur</w:t>
            </w:r>
          </w:p>
          <w:p w14:paraId="3BCB1740" w14:textId="77777777" w:rsidR="00A73796" w:rsidRPr="00920A83" w:rsidRDefault="00A73796" w:rsidP="00A6777F">
            <w:pPr>
              <w:pStyle w:val="TableDash"/>
              <w:rPr>
                <w:rFonts w:eastAsia="Arial Unicode MS"/>
              </w:rPr>
            </w:pPr>
            <w:r w:rsidRPr="00920A83">
              <w:rPr>
                <w:rFonts w:eastAsia="Arial Unicode MS"/>
              </w:rPr>
              <w:t>There is encouragement and practical allowance for ‘diversity hires’ to provide mutual support (wānanga, talanoa etc)</w:t>
            </w:r>
          </w:p>
          <w:p w14:paraId="7947BF0C" w14:textId="77777777" w:rsidR="00A73796" w:rsidRPr="00920A83" w:rsidRDefault="00A73796" w:rsidP="00920A83">
            <w:pPr>
              <w:pStyle w:val="TableBullet"/>
              <w:rPr>
                <w:rFonts w:eastAsia="Arial Unicode MS"/>
              </w:rPr>
            </w:pPr>
            <w:r w:rsidRPr="00920A83">
              <w:rPr>
                <w:rFonts w:eastAsia="Arial Unicode MS"/>
              </w:rPr>
              <w:t>Diversity Promotion:</w:t>
            </w:r>
          </w:p>
          <w:p w14:paraId="50793688" w14:textId="77777777" w:rsidR="00A73796" w:rsidRPr="00920A83" w:rsidRDefault="00A73796" w:rsidP="00A6777F">
            <w:pPr>
              <w:pStyle w:val="TableDash"/>
              <w:rPr>
                <w:rFonts w:eastAsia="Arial Unicode MS"/>
              </w:rPr>
            </w:pPr>
            <w:r w:rsidRPr="00920A83">
              <w:rPr>
                <w:rFonts w:eastAsia="Arial Unicode MS"/>
              </w:rPr>
              <w:t>Increase advancement to leadership positions</w:t>
            </w:r>
          </w:p>
          <w:p w14:paraId="552DCCF5" w14:textId="77777777" w:rsidR="00A73796" w:rsidRPr="00920A83" w:rsidRDefault="00A73796" w:rsidP="00920A83">
            <w:pPr>
              <w:pStyle w:val="TableBullet"/>
              <w:rPr>
                <w:rFonts w:eastAsia="Arial Unicode MS"/>
              </w:rPr>
            </w:pPr>
            <w:r w:rsidRPr="00920A83">
              <w:rPr>
                <w:rFonts w:eastAsia="Arial Unicode MS"/>
              </w:rPr>
              <w:lastRenderedPageBreak/>
              <w:t>Rewards and incentives:</w:t>
            </w:r>
          </w:p>
          <w:p w14:paraId="591CACC4" w14:textId="77777777" w:rsidR="00A73796" w:rsidRPr="00920A83" w:rsidRDefault="00A73796" w:rsidP="00A6777F">
            <w:pPr>
              <w:pStyle w:val="TableDash"/>
              <w:rPr>
                <w:rFonts w:eastAsia="Arial Unicode MS"/>
              </w:rPr>
            </w:pPr>
            <w:r w:rsidRPr="00920A83">
              <w:rPr>
                <w:rFonts w:eastAsia="Arial Unicode MS"/>
              </w:rPr>
              <w:t>Staff performance management system integrates ‘cultural competency’ and anti- racism, including as a factor for promotion or other reward</w:t>
            </w:r>
          </w:p>
          <w:p w14:paraId="37D55094" w14:textId="1383C4F1" w:rsidR="00A73796" w:rsidRPr="00920A83" w:rsidRDefault="00A73796" w:rsidP="00A6777F">
            <w:pPr>
              <w:pStyle w:val="TableDash"/>
              <w:rPr>
                <w:rFonts w:eastAsia="Arial Unicode MS"/>
              </w:rPr>
            </w:pPr>
            <w:r w:rsidRPr="00920A83">
              <w:rPr>
                <w:rFonts w:eastAsia="Arial Unicode MS"/>
              </w:rPr>
              <w:t>Staff performance management system includes formal success factors related to anti- racism/mana tangata</w:t>
            </w:r>
          </w:p>
          <w:p w14:paraId="0D810B9F" w14:textId="77777777" w:rsidR="00A73796" w:rsidRPr="00920A83" w:rsidRDefault="00A73796" w:rsidP="00A6777F">
            <w:pPr>
              <w:pStyle w:val="TableDash"/>
              <w:rPr>
                <w:rFonts w:eastAsia="Arial Unicode MS"/>
              </w:rPr>
            </w:pPr>
            <w:r w:rsidRPr="00920A83">
              <w:rPr>
                <w:rFonts w:eastAsia="Arial Unicode MS"/>
              </w:rPr>
              <w:t>Organisation uses financial or other rewards to incentivise desired priority behaviour changes aligned to anti-racism/ mana tangata at individual and sub-unit level</w:t>
            </w:r>
          </w:p>
          <w:p w14:paraId="2AA77BAD" w14:textId="77777777" w:rsidR="00A73796" w:rsidRPr="00920A83" w:rsidRDefault="00A73796" w:rsidP="00920A83">
            <w:pPr>
              <w:pStyle w:val="TableBullet"/>
              <w:rPr>
                <w:rFonts w:eastAsia="Arial Unicode MS"/>
              </w:rPr>
            </w:pPr>
            <w:r w:rsidRPr="00920A83">
              <w:rPr>
                <w:rFonts w:eastAsia="Arial Unicode MS"/>
              </w:rPr>
              <w:t>Disciplinary:</w:t>
            </w:r>
          </w:p>
          <w:p w14:paraId="76405610" w14:textId="77777777" w:rsidR="00A73796" w:rsidRPr="00920A83" w:rsidRDefault="00A73796" w:rsidP="00920A83">
            <w:pPr>
              <w:pStyle w:val="TableDash"/>
              <w:rPr>
                <w:rFonts w:eastAsia="Arial Unicode MS"/>
              </w:rPr>
            </w:pPr>
            <w:r w:rsidRPr="00920A83">
              <w:rPr>
                <w:rFonts w:eastAsia="Arial Unicode MS"/>
              </w:rPr>
              <w:t>Racism is integrated into disciplinary code to create zero tolerance culture</w:t>
            </w:r>
          </w:p>
          <w:p w14:paraId="39D6E993" w14:textId="1D32A930" w:rsidR="00A73796" w:rsidRDefault="00A73796" w:rsidP="00920A83">
            <w:pPr>
              <w:pStyle w:val="TableDash"/>
              <w:rPr>
                <w:rFonts w:eastAsia="Arial Unicode MS"/>
              </w:rPr>
            </w:pPr>
            <w:r w:rsidRPr="00920A83">
              <w:rPr>
                <w:rFonts w:eastAsia="Arial Unicode MS"/>
              </w:rPr>
              <w:t>Visibility of responses to allegations of inconsistent conduct</w:t>
            </w:r>
          </w:p>
        </w:tc>
      </w:tr>
      <w:tr w:rsidR="00A73796" w14:paraId="4AA43956" w14:textId="77777777" w:rsidTr="00E046D1">
        <w:tc>
          <w:tcPr>
            <w:tcW w:w="1410" w:type="dxa"/>
            <w:vMerge/>
            <w:shd w:val="clear" w:color="auto" w:fill="573393"/>
          </w:tcPr>
          <w:p w14:paraId="0C464897" w14:textId="77777777" w:rsidR="00A73796" w:rsidRPr="00A6777F" w:rsidRDefault="00A73796" w:rsidP="00920A83">
            <w:pPr>
              <w:pStyle w:val="TableText"/>
              <w:rPr>
                <w:rFonts w:eastAsia="Arial Unicode MS"/>
                <w:b/>
                <w:bCs/>
              </w:rPr>
            </w:pPr>
          </w:p>
        </w:tc>
        <w:tc>
          <w:tcPr>
            <w:tcW w:w="1457" w:type="dxa"/>
          </w:tcPr>
          <w:p w14:paraId="7F5B853E" w14:textId="29AA6E6A" w:rsidR="00A73796" w:rsidRPr="00A6777F" w:rsidRDefault="00A73796" w:rsidP="00920A83">
            <w:pPr>
              <w:pStyle w:val="TableText"/>
              <w:rPr>
                <w:rFonts w:eastAsia="Arial Unicode MS"/>
                <w:b/>
                <w:bCs/>
              </w:rPr>
            </w:pPr>
            <w:r w:rsidRPr="00A6777F">
              <w:rPr>
                <w:rFonts w:eastAsia="Arial Unicode MS"/>
                <w:b/>
                <w:bCs/>
              </w:rPr>
              <w:t>Products, Services and Design</w:t>
            </w:r>
          </w:p>
        </w:tc>
        <w:tc>
          <w:tcPr>
            <w:tcW w:w="2090" w:type="dxa"/>
          </w:tcPr>
          <w:p w14:paraId="30412A05" w14:textId="77777777" w:rsidR="00A73796" w:rsidRDefault="00A73796" w:rsidP="00920A83">
            <w:pPr>
              <w:pStyle w:val="TableText"/>
              <w:rPr>
                <w:rFonts w:eastAsia="Arial Unicode MS"/>
              </w:rPr>
            </w:pPr>
            <w:r w:rsidRPr="00920A83">
              <w:rPr>
                <w:rFonts w:eastAsia="Arial Unicode MS"/>
              </w:rPr>
              <w:t xml:space="preserve">T4.1 Access </w:t>
            </w:r>
          </w:p>
          <w:p w14:paraId="7A5BB038" w14:textId="25B873DA" w:rsidR="00A73796" w:rsidRPr="00920A83" w:rsidRDefault="00A73796" w:rsidP="00920A83">
            <w:pPr>
              <w:pStyle w:val="TableText"/>
              <w:rPr>
                <w:rFonts w:eastAsia="Arial Unicode MS"/>
              </w:rPr>
            </w:pPr>
            <w:r w:rsidRPr="00920A83">
              <w:rPr>
                <w:rFonts w:eastAsia="Arial Unicode MS"/>
              </w:rPr>
              <w:t>T4.2 Content</w:t>
            </w:r>
          </w:p>
          <w:p w14:paraId="7513AB28" w14:textId="657AA291" w:rsidR="00A73796" w:rsidRDefault="00A73796" w:rsidP="00920A83">
            <w:pPr>
              <w:pStyle w:val="TableText"/>
              <w:rPr>
                <w:rFonts w:eastAsia="Arial Unicode MS"/>
              </w:rPr>
            </w:pPr>
            <w:r w:rsidRPr="00920A83">
              <w:rPr>
                <w:rFonts w:eastAsia="Arial Unicode MS"/>
              </w:rPr>
              <w:t>T4.3 Delivery method</w:t>
            </w:r>
          </w:p>
        </w:tc>
        <w:tc>
          <w:tcPr>
            <w:tcW w:w="3543" w:type="dxa"/>
          </w:tcPr>
          <w:p w14:paraId="34E3D03C" w14:textId="77777777" w:rsidR="00A73796" w:rsidRPr="00920A83" w:rsidRDefault="00A73796" w:rsidP="00920A83">
            <w:pPr>
              <w:pStyle w:val="TableBullet"/>
              <w:rPr>
                <w:rFonts w:eastAsia="Arial Unicode MS"/>
              </w:rPr>
            </w:pPr>
            <w:r w:rsidRPr="00920A83">
              <w:rPr>
                <w:rFonts w:eastAsia="Arial Unicode MS"/>
              </w:rPr>
              <w:t>Organisation recognises that mainstream products/ services/ access channels may embed inequity</w:t>
            </w:r>
          </w:p>
          <w:p w14:paraId="22B869F6" w14:textId="77777777" w:rsidR="00A73796" w:rsidRPr="00920A83" w:rsidRDefault="00A73796" w:rsidP="00920A83">
            <w:pPr>
              <w:pStyle w:val="TableBullet"/>
              <w:rPr>
                <w:rFonts w:eastAsia="Arial Unicode MS"/>
              </w:rPr>
            </w:pPr>
            <w:r w:rsidRPr="00920A83">
              <w:rPr>
                <w:rFonts w:eastAsia="Arial Unicode MS"/>
              </w:rPr>
              <w:t>Organisation encourages development of tailored products/ services/ access channels that respond to needs, interests and aspirations of underserved groups (eg By Māori for Māori)</w:t>
            </w:r>
          </w:p>
          <w:p w14:paraId="17C5C5E1" w14:textId="77777777" w:rsidR="00A73796" w:rsidRPr="00920A83" w:rsidRDefault="00A73796" w:rsidP="00920A83">
            <w:pPr>
              <w:pStyle w:val="TableBullet"/>
              <w:rPr>
                <w:rFonts w:eastAsia="Arial Unicode MS"/>
              </w:rPr>
            </w:pPr>
            <w:r w:rsidRPr="00920A83">
              <w:rPr>
                <w:rFonts w:eastAsia="Arial Unicode MS"/>
              </w:rPr>
              <w:t>Organisation can identify innovations that achieve enhanced equity</w:t>
            </w:r>
          </w:p>
          <w:p w14:paraId="19451578" w14:textId="77777777" w:rsidR="00A73796" w:rsidRPr="00920A83" w:rsidRDefault="00A73796" w:rsidP="00920A83">
            <w:pPr>
              <w:pStyle w:val="TableBullet"/>
              <w:rPr>
                <w:rFonts w:eastAsia="Arial Unicode MS"/>
              </w:rPr>
            </w:pPr>
            <w:r w:rsidRPr="00920A83">
              <w:rPr>
                <w:rFonts w:eastAsia="Arial Unicode MS"/>
              </w:rPr>
              <w:t>Organisation prioritises achieving equity as an objective of innovation</w:t>
            </w:r>
          </w:p>
          <w:p w14:paraId="0E9A25AE" w14:textId="0A555013" w:rsidR="00A73796" w:rsidRDefault="00A73796" w:rsidP="00920A83">
            <w:pPr>
              <w:pStyle w:val="TableBullet"/>
              <w:rPr>
                <w:rFonts w:eastAsia="Arial Unicode MS"/>
              </w:rPr>
            </w:pPr>
            <w:r w:rsidRPr="00920A83">
              <w:rPr>
                <w:rFonts w:eastAsia="Arial Unicode MS"/>
              </w:rPr>
              <w:t>Equity driven innovation is pervasive across the organisation</w:t>
            </w:r>
          </w:p>
        </w:tc>
      </w:tr>
      <w:tr w:rsidR="00A73796" w14:paraId="52B282E2" w14:textId="77777777" w:rsidTr="00E046D1">
        <w:tc>
          <w:tcPr>
            <w:tcW w:w="1410" w:type="dxa"/>
            <w:vMerge w:val="restart"/>
            <w:shd w:val="clear" w:color="auto" w:fill="EB1F99"/>
          </w:tcPr>
          <w:p w14:paraId="193869C4" w14:textId="4EBA87F1" w:rsidR="00A73796" w:rsidRPr="00A6777F" w:rsidRDefault="00A73796" w:rsidP="00920A83">
            <w:pPr>
              <w:pStyle w:val="TableText"/>
              <w:rPr>
                <w:rFonts w:eastAsia="Arial Unicode MS"/>
                <w:b/>
                <w:bCs/>
              </w:rPr>
            </w:pPr>
            <w:r w:rsidRPr="00A73796">
              <w:rPr>
                <w:rFonts w:eastAsia="Arial Unicode MS"/>
                <w:b/>
                <w:bCs/>
                <w:color w:val="FFFFFF" w:themeColor="background1"/>
              </w:rPr>
              <w:t>RITENGA</w:t>
            </w:r>
          </w:p>
        </w:tc>
        <w:tc>
          <w:tcPr>
            <w:tcW w:w="1457" w:type="dxa"/>
          </w:tcPr>
          <w:p w14:paraId="243E4FA8" w14:textId="020107F3" w:rsidR="00A73796" w:rsidRPr="00A6777F" w:rsidRDefault="00A73796" w:rsidP="00920A83">
            <w:pPr>
              <w:pStyle w:val="TableText"/>
              <w:rPr>
                <w:rFonts w:eastAsia="Arial Unicode MS"/>
                <w:b/>
                <w:bCs/>
              </w:rPr>
            </w:pPr>
            <w:r w:rsidRPr="00A6777F">
              <w:rPr>
                <w:rFonts w:eastAsia="Arial Unicode MS"/>
                <w:b/>
                <w:bCs/>
              </w:rPr>
              <w:t>Training</w:t>
            </w:r>
          </w:p>
        </w:tc>
        <w:tc>
          <w:tcPr>
            <w:tcW w:w="2090" w:type="dxa"/>
          </w:tcPr>
          <w:p w14:paraId="0582B681" w14:textId="086CF512" w:rsidR="00A73796" w:rsidRDefault="00A73796" w:rsidP="00920A83">
            <w:pPr>
              <w:pStyle w:val="TableText"/>
              <w:rPr>
                <w:rFonts w:eastAsia="Arial Unicode MS"/>
              </w:rPr>
            </w:pPr>
            <w:r w:rsidRPr="00920A83">
              <w:rPr>
                <w:rFonts w:eastAsia="Arial Unicode MS"/>
              </w:rPr>
              <w:t>R1.1 Mana Tangata in training</w:t>
            </w:r>
          </w:p>
        </w:tc>
        <w:tc>
          <w:tcPr>
            <w:tcW w:w="3543" w:type="dxa"/>
          </w:tcPr>
          <w:p w14:paraId="17598FE4" w14:textId="77777777" w:rsidR="00A73796" w:rsidRPr="00920A83" w:rsidRDefault="00A73796" w:rsidP="00920A83">
            <w:pPr>
              <w:pStyle w:val="TableBullet"/>
              <w:rPr>
                <w:rFonts w:eastAsia="Arial Unicode MS"/>
              </w:rPr>
            </w:pPr>
            <w:r w:rsidRPr="00920A83">
              <w:rPr>
                <w:rFonts w:eastAsia="Arial Unicode MS"/>
              </w:rPr>
              <w:t>Anti-racism training is mandatory with organisation</w:t>
            </w:r>
          </w:p>
          <w:p w14:paraId="61F1EC5A" w14:textId="77777777" w:rsidR="00A73796" w:rsidRPr="00920A83" w:rsidRDefault="00A73796" w:rsidP="00920A83">
            <w:pPr>
              <w:pStyle w:val="TableBullet"/>
              <w:rPr>
                <w:rFonts w:eastAsia="Arial Unicode MS"/>
              </w:rPr>
            </w:pPr>
            <w:r w:rsidRPr="00920A83">
              <w:rPr>
                <w:rFonts w:eastAsia="Arial Unicode MS"/>
              </w:rPr>
              <w:t>Wānanga to unpack history &amp; impacts of racism and how it manifests in organizational systems</w:t>
            </w:r>
          </w:p>
          <w:p w14:paraId="19052053" w14:textId="77777777" w:rsidR="00A73796" w:rsidRPr="00920A83" w:rsidRDefault="00A73796" w:rsidP="00920A83">
            <w:pPr>
              <w:pStyle w:val="TableBullet"/>
              <w:rPr>
                <w:rFonts w:eastAsia="Arial Unicode MS"/>
              </w:rPr>
            </w:pPr>
            <w:r w:rsidRPr="00920A83">
              <w:rPr>
                <w:rFonts w:eastAsia="Arial Unicode MS"/>
              </w:rPr>
              <w:t>Wānanga to unpack positive benefits of anti- racism</w:t>
            </w:r>
          </w:p>
          <w:p w14:paraId="74B5CBA4" w14:textId="77777777" w:rsidR="00A73796" w:rsidRPr="00920A83" w:rsidRDefault="00A73796" w:rsidP="00920A83">
            <w:pPr>
              <w:pStyle w:val="TableBullet"/>
              <w:rPr>
                <w:rFonts w:eastAsia="Arial Unicode MS"/>
              </w:rPr>
            </w:pPr>
            <w:r w:rsidRPr="00920A83">
              <w:rPr>
                <w:rFonts w:eastAsia="Arial Unicode MS"/>
              </w:rPr>
              <w:t>Equip people with the skills &amp; language to call out racism</w:t>
            </w:r>
          </w:p>
          <w:p w14:paraId="7D525B52" w14:textId="77777777" w:rsidR="00A73796" w:rsidRPr="00920A83" w:rsidRDefault="00A73796" w:rsidP="00920A83">
            <w:pPr>
              <w:pStyle w:val="TableBullet"/>
              <w:rPr>
                <w:rFonts w:eastAsia="Arial Unicode MS"/>
              </w:rPr>
            </w:pPr>
            <w:r w:rsidRPr="00920A83">
              <w:rPr>
                <w:rFonts w:eastAsia="Arial Unicode MS"/>
              </w:rPr>
              <w:lastRenderedPageBreak/>
              <w:t>Building cultural/reo competency</w:t>
            </w:r>
          </w:p>
          <w:p w14:paraId="02A01782" w14:textId="5B8645A9" w:rsidR="00A73796" w:rsidRDefault="00A73796" w:rsidP="00920A83">
            <w:pPr>
              <w:pStyle w:val="TableBullet"/>
              <w:rPr>
                <w:rFonts w:eastAsia="Arial Unicode MS"/>
              </w:rPr>
            </w:pPr>
            <w:r w:rsidRPr="00920A83">
              <w:rPr>
                <w:rFonts w:eastAsia="Arial Unicode MS"/>
              </w:rPr>
              <w:t>Build anti-racism into workforce training provision</w:t>
            </w:r>
          </w:p>
        </w:tc>
      </w:tr>
      <w:tr w:rsidR="00A73796" w14:paraId="5287F43E" w14:textId="77777777" w:rsidTr="00E046D1">
        <w:tc>
          <w:tcPr>
            <w:tcW w:w="1410" w:type="dxa"/>
            <w:vMerge/>
            <w:shd w:val="clear" w:color="auto" w:fill="EB1F99"/>
          </w:tcPr>
          <w:p w14:paraId="3D644C91" w14:textId="69B7E434" w:rsidR="00A73796" w:rsidRPr="00A6777F" w:rsidRDefault="00A73796" w:rsidP="00920A83">
            <w:pPr>
              <w:pStyle w:val="TableText"/>
              <w:rPr>
                <w:rFonts w:eastAsia="Arial Unicode MS"/>
                <w:b/>
                <w:bCs/>
              </w:rPr>
            </w:pPr>
          </w:p>
        </w:tc>
        <w:tc>
          <w:tcPr>
            <w:tcW w:w="1457" w:type="dxa"/>
          </w:tcPr>
          <w:p w14:paraId="4BDA2CD8" w14:textId="2C17F984" w:rsidR="00A73796" w:rsidRPr="00A6777F" w:rsidRDefault="00A73796" w:rsidP="00920A83">
            <w:pPr>
              <w:pStyle w:val="TableText"/>
              <w:rPr>
                <w:rFonts w:eastAsia="Arial Unicode MS"/>
                <w:b/>
                <w:bCs/>
              </w:rPr>
            </w:pPr>
            <w:r w:rsidRPr="00A6777F">
              <w:rPr>
                <w:rFonts w:eastAsia="Arial Unicode MS"/>
                <w:b/>
                <w:bCs/>
              </w:rPr>
              <w:t>Practice</w:t>
            </w:r>
          </w:p>
        </w:tc>
        <w:tc>
          <w:tcPr>
            <w:tcW w:w="2090" w:type="dxa"/>
          </w:tcPr>
          <w:p w14:paraId="0BF72FF7" w14:textId="29FC6735" w:rsidR="00A73796" w:rsidRPr="00920A83" w:rsidRDefault="00A73796" w:rsidP="00920A83">
            <w:pPr>
              <w:pStyle w:val="TableText"/>
              <w:rPr>
                <w:rFonts w:eastAsia="Arial Unicode MS"/>
              </w:rPr>
            </w:pPr>
            <w:r w:rsidRPr="00920A83">
              <w:rPr>
                <w:rFonts w:eastAsia="Arial Unicode MS"/>
              </w:rPr>
              <w:t>R2.1 Mana Tangata practice</w:t>
            </w:r>
          </w:p>
        </w:tc>
        <w:tc>
          <w:tcPr>
            <w:tcW w:w="3543" w:type="dxa"/>
          </w:tcPr>
          <w:p w14:paraId="78149FAE" w14:textId="77777777" w:rsidR="00A73796" w:rsidRPr="00920A83" w:rsidRDefault="00A73796" w:rsidP="00920A83">
            <w:pPr>
              <w:pStyle w:val="TableBullet"/>
              <w:rPr>
                <w:rFonts w:eastAsia="Arial Unicode MS"/>
              </w:rPr>
            </w:pPr>
            <w:r w:rsidRPr="00920A83">
              <w:rPr>
                <w:rFonts w:eastAsia="Arial Unicode MS"/>
              </w:rPr>
              <w:t>Organisation uses reflective practice tools to understand where they are on the continuum of racism &amp; chart their journey towards anti-racism</w:t>
            </w:r>
          </w:p>
          <w:p w14:paraId="189AEA51" w14:textId="4A3ECEC5" w:rsidR="00A73796" w:rsidRDefault="00A73796" w:rsidP="00920A83">
            <w:pPr>
              <w:pStyle w:val="TableBullet"/>
              <w:rPr>
                <w:rFonts w:eastAsia="Arial Unicode MS"/>
              </w:rPr>
            </w:pPr>
            <w:r w:rsidRPr="00920A83">
              <w:rPr>
                <w:rFonts w:eastAsia="Arial Unicode MS"/>
              </w:rPr>
              <w:t>There is a broad understanding of the assumptions and ‘taken for granted’ elements of the organisation that contribute to disadvantage (ie the organisation has seen the ‘train tracks’ that embed the status quo)</w:t>
            </w:r>
          </w:p>
          <w:p w14:paraId="3BDF0C3D" w14:textId="70160A6D" w:rsidR="00A73796" w:rsidRPr="00920A83" w:rsidRDefault="00A73796" w:rsidP="00920A83">
            <w:pPr>
              <w:pStyle w:val="TableBullet"/>
              <w:rPr>
                <w:rFonts w:eastAsia="Arial Unicode MS"/>
              </w:rPr>
            </w:pPr>
            <w:r w:rsidRPr="00920A83">
              <w:rPr>
                <w:rFonts w:eastAsia="Arial Unicode MS"/>
              </w:rPr>
              <w:t>Organisation uses reflective practice tools to question assumptions and ‘taken for granted’ processes that embed racism (ie habitual triggers to see the ‘train tracks’)</w:t>
            </w:r>
          </w:p>
          <w:p w14:paraId="76E5660F" w14:textId="77777777" w:rsidR="00A73796" w:rsidRPr="00920A83" w:rsidRDefault="00A73796" w:rsidP="00920A83">
            <w:pPr>
              <w:pStyle w:val="TableBullet"/>
              <w:rPr>
                <w:rFonts w:eastAsia="Arial Unicode MS"/>
              </w:rPr>
            </w:pPr>
            <w:r w:rsidRPr="00920A83">
              <w:rPr>
                <w:rFonts w:eastAsia="Arial Unicode MS"/>
              </w:rPr>
              <w:t>Reflective practices are embedded into organisational processes, including investment proposals (business cases) and decision making on strategic issues (ie formal tools eg HEAT, CTA etc)</w:t>
            </w:r>
          </w:p>
          <w:p w14:paraId="59894ED9" w14:textId="77777777" w:rsidR="00A73796" w:rsidRPr="00920A83" w:rsidRDefault="00A73796" w:rsidP="00920A83">
            <w:pPr>
              <w:pStyle w:val="TableBullet"/>
              <w:rPr>
                <w:rFonts w:eastAsia="Arial Unicode MS"/>
              </w:rPr>
            </w:pPr>
            <w:r w:rsidRPr="00920A83">
              <w:rPr>
                <w:rFonts w:eastAsia="Arial Unicode MS"/>
              </w:rPr>
              <w:t>Reflective practices are habitual in initiative planning and debriefing</w:t>
            </w:r>
          </w:p>
          <w:p w14:paraId="03A2CF59" w14:textId="77777777" w:rsidR="00A73796" w:rsidRPr="00920A83" w:rsidRDefault="00A73796" w:rsidP="00920A83">
            <w:pPr>
              <w:pStyle w:val="TableBullet"/>
              <w:rPr>
                <w:rFonts w:eastAsia="Arial Unicode MS"/>
              </w:rPr>
            </w:pPr>
            <w:r w:rsidRPr="00920A83">
              <w:rPr>
                <w:rFonts w:eastAsia="Arial Unicode MS"/>
              </w:rPr>
              <w:t>Creating safe spaces to call out racism</w:t>
            </w:r>
          </w:p>
          <w:p w14:paraId="17F94E1E" w14:textId="77777777" w:rsidR="00A73796" w:rsidRPr="00920A83" w:rsidRDefault="00A73796" w:rsidP="00920A83">
            <w:pPr>
              <w:pStyle w:val="TableBullet"/>
              <w:rPr>
                <w:rFonts w:eastAsia="Arial Unicode MS"/>
              </w:rPr>
            </w:pPr>
            <w:r w:rsidRPr="00920A83">
              <w:rPr>
                <w:rFonts w:eastAsia="Arial Unicode MS"/>
              </w:rPr>
              <w:t>Incorporating anti-racism into everyday meetings &amp; routines</w:t>
            </w:r>
          </w:p>
          <w:p w14:paraId="5236A4FF" w14:textId="77777777" w:rsidR="00A73796" w:rsidRPr="00920A83" w:rsidRDefault="00A73796" w:rsidP="00920A83">
            <w:pPr>
              <w:pStyle w:val="TableBullet"/>
              <w:rPr>
                <w:rFonts w:eastAsia="Arial Unicode MS"/>
              </w:rPr>
            </w:pPr>
            <w:r w:rsidRPr="00920A83">
              <w:rPr>
                <w:rFonts w:eastAsia="Arial Unicode MS"/>
              </w:rPr>
              <w:t>Leaders role model anti-racist practice</w:t>
            </w:r>
          </w:p>
          <w:p w14:paraId="1564AB26" w14:textId="2CBB8E83" w:rsidR="00A73796" w:rsidRPr="00920A83" w:rsidRDefault="00A73796" w:rsidP="00920A83">
            <w:pPr>
              <w:pStyle w:val="TableBullet"/>
              <w:rPr>
                <w:rFonts w:eastAsia="Arial Unicode MS"/>
              </w:rPr>
            </w:pPr>
            <w:r w:rsidRPr="00920A83">
              <w:rPr>
                <w:rFonts w:eastAsia="Arial Unicode MS"/>
              </w:rPr>
              <w:t xml:space="preserve">Anti-racist/ equity seeking </w:t>
            </w:r>
            <w:r w:rsidR="00E00568" w:rsidRPr="00920A83">
              <w:rPr>
                <w:rFonts w:eastAsia="Arial Unicode MS"/>
              </w:rPr>
              <w:t>behaviour</w:t>
            </w:r>
            <w:r w:rsidRPr="00920A83">
              <w:rPr>
                <w:rFonts w:eastAsia="Arial Unicode MS"/>
              </w:rPr>
              <w:t xml:space="preserve"> is incentivized and celebrated across the organization</w:t>
            </w:r>
          </w:p>
          <w:p w14:paraId="5206827B" w14:textId="77777777" w:rsidR="00A73796" w:rsidRPr="00920A83" w:rsidRDefault="00A73796" w:rsidP="00920A83">
            <w:pPr>
              <w:pStyle w:val="TableBullet"/>
              <w:rPr>
                <w:rFonts w:eastAsia="Arial Unicode MS"/>
              </w:rPr>
            </w:pPr>
            <w:r w:rsidRPr="00920A83">
              <w:rPr>
                <w:rFonts w:eastAsia="Arial Unicode MS"/>
              </w:rPr>
              <w:t>Habitual practice reflects an ethic of service to communities and under-served groups</w:t>
            </w:r>
          </w:p>
          <w:p w14:paraId="5EC892EE" w14:textId="77777777" w:rsidR="00A73796" w:rsidRPr="00920A83" w:rsidRDefault="00A73796" w:rsidP="00920A83">
            <w:pPr>
              <w:pStyle w:val="TableBullet"/>
              <w:rPr>
                <w:rFonts w:eastAsia="Arial Unicode MS"/>
              </w:rPr>
            </w:pPr>
            <w:r w:rsidRPr="00920A83">
              <w:rPr>
                <w:rFonts w:eastAsia="Arial Unicode MS"/>
              </w:rPr>
              <w:t>Habitual practice places priority on relationships and the va</w:t>
            </w:r>
          </w:p>
          <w:p w14:paraId="24F7D3E0" w14:textId="4FB9A407" w:rsidR="00A73796" w:rsidRDefault="00A73796" w:rsidP="00920A83">
            <w:pPr>
              <w:pStyle w:val="TableBullet"/>
              <w:rPr>
                <w:rFonts w:eastAsia="Arial Unicode MS"/>
              </w:rPr>
            </w:pPr>
            <w:r w:rsidRPr="00920A83">
              <w:rPr>
                <w:rFonts w:eastAsia="Arial Unicode MS"/>
              </w:rPr>
              <w:t>Tools and resources to embed anti-racism into habitual practice (eg nudges, information material)</w:t>
            </w:r>
          </w:p>
        </w:tc>
      </w:tr>
      <w:tr w:rsidR="00A73796" w14:paraId="6B4EAB58" w14:textId="77777777" w:rsidTr="00E046D1">
        <w:tc>
          <w:tcPr>
            <w:tcW w:w="1410" w:type="dxa"/>
            <w:vMerge w:val="restart"/>
            <w:shd w:val="clear" w:color="auto" w:fill="F1A341"/>
          </w:tcPr>
          <w:p w14:paraId="44B1CD62" w14:textId="54D17040" w:rsidR="00A73796" w:rsidRPr="00A6777F" w:rsidRDefault="00A73796" w:rsidP="00920A83">
            <w:pPr>
              <w:pStyle w:val="TableText"/>
              <w:rPr>
                <w:rFonts w:eastAsia="Arial Unicode MS"/>
                <w:b/>
                <w:bCs/>
              </w:rPr>
            </w:pPr>
            <w:r w:rsidRPr="00A73796">
              <w:rPr>
                <w:rFonts w:eastAsia="Arial Unicode MS"/>
                <w:b/>
                <w:bCs/>
                <w:color w:val="FFFFFF" w:themeColor="background1"/>
              </w:rPr>
              <w:t>PUTANGA</w:t>
            </w:r>
          </w:p>
        </w:tc>
        <w:tc>
          <w:tcPr>
            <w:tcW w:w="1457" w:type="dxa"/>
          </w:tcPr>
          <w:p w14:paraId="742100CA" w14:textId="4E28A5DC" w:rsidR="00A73796" w:rsidRPr="00A6777F" w:rsidRDefault="00A73796" w:rsidP="00920A83">
            <w:pPr>
              <w:pStyle w:val="TableText"/>
              <w:rPr>
                <w:rFonts w:eastAsia="Arial Unicode MS"/>
                <w:b/>
                <w:bCs/>
              </w:rPr>
            </w:pPr>
            <w:r w:rsidRPr="00A6777F">
              <w:rPr>
                <w:rFonts w:eastAsia="Arial Unicode MS"/>
                <w:b/>
                <w:bCs/>
              </w:rPr>
              <w:t>Data Collection</w:t>
            </w:r>
          </w:p>
        </w:tc>
        <w:tc>
          <w:tcPr>
            <w:tcW w:w="2090" w:type="dxa"/>
          </w:tcPr>
          <w:p w14:paraId="31283D92" w14:textId="4C1C1D1A" w:rsidR="00A73796" w:rsidRPr="00920A83" w:rsidRDefault="00A73796" w:rsidP="00920A83">
            <w:pPr>
              <w:pStyle w:val="TableText"/>
              <w:rPr>
                <w:rFonts w:eastAsia="Arial Unicode MS"/>
              </w:rPr>
            </w:pPr>
            <w:r w:rsidRPr="00920A83">
              <w:rPr>
                <w:rFonts w:eastAsia="Arial Unicode MS"/>
              </w:rPr>
              <w:t>P1.1 Mana Tangata data collection</w:t>
            </w:r>
          </w:p>
        </w:tc>
        <w:tc>
          <w:tcPr>
            <w:tcW w:w="3543" w:type="dxa"/>
          </w:tcPr>
          <w:p w14:paraId="36E5E90B" w14:textId="77777777" w:rsidR="00A73796" w:rsidRPr="00920A83" w:rsidRDefault="00A73796" w:rsidP="00920A83">
            <w:pPr>
              <w:pStyle w:val="TableBullet"/>
              <w:rPr>
                <w:rFonts w:eastAsia="Arial Unicode MS"/>
              </w:rPr>
            </w:pPr>
            <w:r w:rsidRPr="00920A83">
              <w:rPr>
                <w:rFonts w:eastAsia="Arial Unicode MS"/>
              </w:rPr>
              <w:t>Te Tiriti partners work together to determine priorities &amp; data measures</w:t>
            </w:r>
          </w:p>
          <w:p w14:paraId="2D2A0EF5" w14:textId="77777777" w:rsidR="00A73796" w:rsidRPr="00920A83" w:rsidRDefault="00A73796" w:rsidP="00920A83">
            <w:pPr>
              <w:pStyle w:val="TableBullet"/>
              <w:rPr>
                <w:rFonts w:eastAsia="Arial Unicode MS"/>
              </w:rPr>
            </w:pPr>
            <w:r w:rsidRPr="00920A83">
              <w:rPr>
                <w:rFonts w:eastAsia="Arial Unicode MS"/>
              </w:rPr>
              <w:t>Set quantifiable &amp; data-driven goals &amp; outcomes for anti-racism</w:t>
            </w:r>
          </w:p>
          <w:p w14:paraId="418C9D2D" w14:textId="77777777" w:rsidR="00A73796" w:rsidRPr="00920A83" w:rsidRDefault="00A73796" w:rsidP="00920A83">
            <w:pPr>
              <w:pStyle w:val="TableBullet"/>
              <w:rPr>
                <w:rFonts w:eastAsia="Arial Unicode MS"/>
              </w:rPr>
            </w:pPr>
            <w:r w:rsidRPr="00920A83">
              <w:rPr>
                <w:rFonts w:eastAsia="Arial Unicode MS"/>
              </w:rPr>
              <w:lastRenderedPageBreak/>
              <w:t>Design data accountability, monitoring &amp; reporting tools focused on equity</w:t>
            </w:r>
          </w:p>
          <w:p w14:paraId="4A76AED3" w14:textId="77777777" w:rsidR="00A73796" w:rsidRPr="00920A83" w:rsidRDefault="00A73796" w:rsidP="00920A83">
            <w:pPr>
              <w:pStyle w:val="TableBullet"/>
              <w:rPr>
                <w:rFonts w:eastAsia="Arial Unicode MS"/>
              </w:rPr>
            </w:pPr>
            <w:r w:rsidRPr="00920A83">
              <w:rPr>
                <w:rFonts w:eastAsia="Arial Unicode MS"/>
              </w:rPr>
              <w:t>Balance quantitative data with qualitative information and stories of lived experience</w:t>
            </w:r>
          </w:p>
          <w:p w14:paraId="6FCECB00" w14:textId="461DA892" w:rsidR="00A73796" w:rsidRDefault="00A73796" w:rsidP="00920A83">
            <w:pPr>
              <w:pStyle w:val="TableBullet"/>
              <w:rPr>
                <w:rFonts w:eastAsia="Arial Unicode MS"/>
              </w:rPr>
            </w:pPr>
            <w:r w:rsidRPr="00920A83">
              <w:rPr>
                <w:rFonts w:eastAsia="Arial Unicode MS"/>
              </w:rPr>
              <w:t>Share insights with iwi &amp; grow Māori data literacy to inform on the ground activities</w:t>
            </w:r>
          </w:p>
        </w:tc>
      </w:tr>
      <w:tr w:rsidR="00A73796" w14:paraId="51B7E4F4" w14:textId="77777777" w:rsidTr="00E046D1">
        <w:tc>
          <w:tcPr>
            <w:tcW w:w="1410" w:type="dxa"/>
            <w:vMerge/>
            <w:shd w:val="clear" w:color="auto" w:fill="F1A341"/>
          </w:tcPr>
          <w:p w14:paraId="441041FC" w14:textId="77777777" w:rsidR="00A73796" w:rsidRPr="00A6777F" w:rsidRDefault="00A73796" w:rsidP="00920A83">
            <w:pPr>
              <w:pStyle w:val="TableText"/>
              <w:rPr>
                <w:rFonts w:eastAsia="Arial Unicode MS"/>
                <w:b/>
                <w:bCs/>
              </w:rPr>
            </w:pPr>
          </w:p>
        </w:tc>
        <w:tc>
          <w:tcPr>
            <w:tcW w:w="1457" w:type="dxa"/>
          </w:tcPr>
          <w:p w14:paraId="3EC0337E" w14:textId="6B79226A" w:rsidR="00A73796" w:rsidRPr="00A6777F" w:rsidRDefault="00A73796" w:rsidP="00920A83">
            <w:pPr>
              <w:pStyle w:val="TableText"/>
              <w:rPr>
                <w:rFonts w:eastAsia="Arial Unicode MS"/>
                <w:b/>
                <w:bCs/>
              </w:rPr>
            </w:pPr>
            <w:r w:rsidRPr="00A6777F">
              <w:rPr>
                <w:rFonts w:eastAsia="Arial Unicode MS"/>
                <w:b/>
                <w:bCs/>
              </w:rPr>
              <w:t>Monitoring, Reporting and Auditing</w:t>
            </w:r>
          </w:p>
        </w:tc>
        <w:tc>
          <w:tcPr>
            <w:tcW w:w="2090" w:type="dxa"/>
          </w:tcPr>
          <w:p w14:paraId="6E844588" w14:textId="2DDAA4EA" w:rsidR="00A73796" w:rsidRPr="00920A83" w:rsidRDefault="00A73796" w:rsidP="00920A83">
            <w:pPr>
              <w:pStyle w:val="TableText"/>
              <w:rPr>
                <w:rFonts w:eastAsia="Arial Unicode MS"/>
              </w:rPr>
            </w:pPr>
            <w:r w:rsidRPr="00920A83">
              <w:rPr>
                <w:rFonts w:eastAsia="Arial Unicode MS"/>
              </w:rPr>
              <w:t>P2.1 Practice reviews P2.2 Monitoring</w:t>
            </w:r>
          </w:p>
        </w:tc>
        <w:tc>
          <w:tcPr>
            <w:tcW w:w="3543" w:type="dxa"/>
          </w:tcPr>
          <w:p w14:paraId="55C71955" w14:textId="77777777" w:rsidR="00A73796" w:rsidRPr="00920A83" w:rsidRDefault="00A73796" w:rsidP="00920A83">
            <w:pPr>
              <w:pStyle w:val="TableBullet"/>
              <w:rPr>
                <w:rFonts w:eastAsia="Arial Unicode MS"/>
              </w:rPr>
            </w:pPr>
            <w:r w:rsidRPr="00920A83">
              <w:rPr>
                <w:rFonts w:eastAsia="Arial Unicode MS"/>
              </w:rPr>
              <w:t>Practice reviews</w:t>
            </w:r>
          </w:p>
          <w:p w14:paraId="5223BB4D" w14:textId="77777777" w:rsidR="00A73796" w:rsidRPr="00920A83" w:rsidRDefault="00A73796" w:rsidP="00920A83">
            <w:pPr>
              <w:pStyle w:val="TableDash"/>
              <w:rPr>
                <w:rFonts w:eastAsia="Arial Unicode MS"/>
              </w:rPr>
            </w:pPr>
            <w:r w:rsidRPr="00920A83">
              <w:rPr>
                <w:rFonts w:eastAsia="Arial Unicode MS"/>
              </w:rPr>
              <w:t>Take structured ‘pulse checks’ on racism across the system</w:t>
            </w:r>
          </w:p>
          <w:p w14:paraId="3FD5689E" w14:textId="77777777" w:rsidR="00A73796" w:rsidRPr="00920A83" w:rsidRDefault="00A73796" w:rsidP="00920A83">
            <w:pPr>
              <w:pStyle w:val="TableDash"/>
              <w:rPr>
                <w:rFonts w:eastAsia="Arial Unicode MS"/>
              </w:rPr>
            </w:pPr>
            <w:r w:rsidRPr="00920A83">
              <w:rPr>
                <w:rFonts w:eastAsia="Arial Unicode MS"/>
              </w:rPr>
              <w:t>Evaluate and provide feedback loops for emerging anti-racist practices</w:t>
            </w:r>
          </w:p>
          <w:p w14:paraId="791B4199" w14:textId="77777777" w:rsidR="00A73796" w:rsidRPr="00920A83" w:rsidRDefault="00A73796" w:rsidP="00920A83">
            <w:pPr>
              <w:pStyle w:val="TableDash"/>
              <w:rPr>
                <w:rFonts w:eastAsia="Arial Unicode MS"/>
              </w:rPr>
            </w:pPr>
            <w:r w:rsidRPr="00920A83">
              <w:rPr>
                <w:rFonts w:eastAsia="Arial Unicode MS"/>
              </w:rPr>
              <w:t>Shine the light on successes</w:t>
            </w:r>
          </w:p>
          <w:p w14:paraId="25B0805F" w14:textId="77777777" w:rsidR="00A73796" w:rsidRPr="00920A83" w:rsidRDefault="00A73796" w:rsidP="00920A83">
            <w:pPr>
              <w:pStyle w:val="TableBullet"/>
              <w:rPr>
                <w:rFonts w:eastAsia="Arial Unicode MS"/>
              </w:rPr>
            </w:pPr>
            <w:r w:rsidRPr="00920A83">
              <w:rPr>
                <w:rFonts w:eastAsia="Arial Unicode MS"/>
              </w:rPr>
              <w:t>Monitoring</w:t>
            </w:r>
          </w:p>
          <w:p w14:paraId="7F3984AA" w14:textId="77777777" w:rsidR="00A73796" w:rsidRPr="00920A83" w:rsidRDefault="00A73796" w:rsidP="00920A83">
            <w:pPr>
              <w:pStyle w:val="TableDash"/>
              <w:rPr>
                <w:rFonts w:eastAsia="Arial Unicode MS"/>
              </w:rPr>
            </w:pPr>
            <w:r w:rsidRPr="00920A83">
              <w:rPr>
                <w:rFonts w:eastAsia="Arial Unicode MS"/>
              </w:rPr>
              <w:t>Periodic service reviews are implemented across the organisation on achieving equity and anti-racism priorities and practices</w:t>
            </w:r>
          </w:p>
          <w:p w14:paraId="5CA36AE3" w14:textId="77777777" w:rsidR="00A73796" w:rsidRPr="00920A83" w:rsidRDefault="00A73796" w:rsidP="00920A83">
            <w:pPr>
              <w:pStyle w:val="TableDash"/>
              <w:rPr>
                <w:rFonts w:eastAsia="Arial Unicode MS"/>
              </w:rPr>
            </w:pPr>
            <w:r w:rsidRPr="00920A83">
              <w:rPr>
                <w:rFonts w:eastAsia="Arial Unicode MS"/>
              </w:rPr>
              <w:t>Implementation gaps revealed in periodic service reviews are visible and followed through on</w:t>
            </w:r>
          </w:p>
          <w:p w14:paraId="04486D7F" w14:textId="77777777" w:rsidR="00A73796" w:rsidRPr="00920A83" w:rsidRDefault="00A73796" w:rsidP="00920A83">
            <w:pPr>
              <w:pStyle w:val="TableDash"/>
              <w:rPr>
                <w:rFonts w:eastAsia="Arial Unicode MS"/>
              </w:rPr>
            </w:pPr>
            <w:r w:rsidRPr="00920A83">
              <w:rPr>
                <w:rFonts w:eastAsia="Arial Unicode MS"/>
              </w:rPr>
              <w:t>Organisation engages in equity auditing</w:t>
            </w:r>
          </w:p>
          <w:p w14:paraId="699D4B3F" w14:textId="77777777" w:rsidR="00A73796" w:rsidRPr="00920A83" w:rsidRDefault="00A73796" w:rsidP="00920A83">
            <w:pPr>
              <w:pStyle w:val="TableDash"/>
              <w:rPr>
                <w:rFonts w:eastAsia="Arial Unicode MS"/>
              </w:rPr>
            </w:pPr>
            <w:r w:rsidRPr="00920A83">
              <w:rPr>
                <w:rFonts w:eastAsia="Arial Unicode MS"/>
              </w:rPr>
              <w:t>Embed measures within existing reporting mechanisms</w:t>
            </w:r>
          </w:p>
          <w:p w14:paraId="636C6DA9" w14:textId="525C8CDF" w:rsidR="00A73796" w:rsidRDefault="00A73796" w:rsidP="00920A83">
            <w:pPr>
              <w:pStyle w:val="TableDash"/>
              <w:rPr>
                <w:rFonts w:eastAsia="Arial Unicode MS"/>
              </w:rPr>
            </w:pPr>
            <w:r w:rsidRPr="00920A83">
              <w:rPr>
                <w:rFonts w:eastAsia="Arial Unicode MS"/>
              </w:rPr>
              <w:t>Outcomes of monitoring and accountability processes are shared with communities (ie community accountability)</w:t>
            </w:r>
          </w:p>
        </w:tc>
      </w:tr>
    </w:tbl>
    <w:p w14:paraId="54F1C29A" w14:textId="77777777" w:rsidR="00920A83" w:rsidRDefault="00920A83" w:rsidP="00A1065F">
      <w:pPr>
        <w:rPr>
          <w:rFonts w:eastAsia="Arial Unicode MS"/>
        </w:rPr>
      </w:pPr>
    </w:p>
    <w:p w14:paraId="4E1D89D5" w14:textId="5E3DA245" w:rsidR="00A1065F" w:rsidRDefault="00A1065F" w:rsidP="00A1065F">
      <w:pPr>
        <w:rPr>
          <w:rFonts w:eastAsia="Arial Unicode MS"/>
        </w:rPr>
      </w:pPr>
    </w:p>
    <w:p w14:paraId="134C220C" w14:textId="77777777" w:rsidR="007D0F83" w:rsidRDefault="007D0F83" w:rsidP="00A1065F">
      <w:pPr>
        <w:rPr>
          <w:rFonts w:eastAsia="Arial Unicode MS"/>
        </w:rPr>
        <w:sectPr w:rsidR="007D0F83" w:rsidSect="00C67BC1">
          <w:pgSz w:w="11907" w:h="16840" w:code="9"/>
          <w:pgMar w:top="1418" w:right="1701" w:bottom="1134" w:left="1843" w:header="284" w:footer="425" w:gutter="284"/>
          <w:cols w:space="720"/>
        </w:sectPr>
      </w:pPr>
    </w:p>
    <w:p w14:paraId="6D737D4A" w14:textId="4F32AB32" w:rsidR="007D0F83" w:rsidRPr="007D0F83" w:rsidRDefault="007D0F83" w:rsidP="007D0F83">
      <w:pPr>
        <w:pStyle w:val="Heading1"/>
        <w:spacing w:before="0"/>
        <w:rPr>
          <w:rFonts w:eastAsia="Arial Unicode MS"/>
        </w:rPr>
      </w:pPr>
      <w:bookmarkStart w:id="14" w:name="_Toc128745942"/>
      <w:r w:rsidRPr="007D0F83">
        <w:rPr>
          <w:rFonts w:eastAsia="Arial Unicode MS"/>
        </w:rPr>
        <w:lastRenderedPageBreak/>
        <w:t>Implementing Whiria Te Muka</w:t>
      </w:r>
      <w:bookmarkEnd w:id="14"/>
    </w:p>
    <w:p w14:paraId="7D870E80" w14:textId="65DE7A26" w:rsidR="00A1065F" w:rsidRDefault="007D0F83" w:rsidP="007D0F83">
      <w:pPr>
        <w:rPr>
          <w:rFonts w:eastAsia="Arial Unicode MS"/>
        </w:rPr>
      </w:pPr>
      <w:r w:rsidRPr="007D0F83">
        <w:rPr>
          <w:rFonts w:eastAsia="Arial Unicode MS"/>
        </w:rPr>
        <w:t>With the four whiri (dimensions) in front of us and an understanding of their constituent aho (key levers for change) we can begin the process of weaving a new future. There are three process steps in applying Whiria te Muka Tangata:</w:t>
      </w:r>
    </w:p>
    <w:p w14:paraId="2300ED9B" w14:textId="75A81910" w:rsidR="007D0F83" w:rsidRDefault="007D0F83" w:rsidP="007D0F83">
      <w:pPr>
        <w:rPr>
          <w:rFonts w:eastAsia="Arial Unicode MS"/>
        </w:r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2690"/>
        <w:gridCol w:w="2690"/>
      </w:tblGrid>
      <w:tr w:rsidR="007D0F83" w14:paraId="037511F2" w14:textId="77777777" w:rsidTr="00941469">
        <w:tc>
          <w:tcPr>
            <w:tcW w:w="2689" w:type="dxa"/>
            <w:tcBorders>
              <w:bottom w:val="nil"/>
            </w:tcBorders>
          </w:tcPr>
          <w:p w14:paraId="059E800F" w14:textId="77777777" w:rsidR="007D0F83" w:rsidRPr="00D608A4" w:rsidRDefault="007D0F83" w:rsidP="007D0F83">
            <w:pPr>
              <w:rPr>
                <w:rFonts w:eastAsia="Arial Unicode MS"/>
                <w:b/>
                <w:bCs/>
              </w:rPr>
            </w:pPr>
            <w:r w:rsidRPr="00D608A4">
              <w:rPr>
                <w:rFonts w:eastAsia="Arial Unicode MS"/>
                <w:b/>
                <w:bCs/>
              </w:rPr>
              <w:t>Whakarite</w:t>
            </w:r>
          </w:p>
          <w:p w14:paraId="2CA36909" w14:textId="77777777" w:rsidR="007D0F83" w:rsidRPr="00D608A4" w:rsidRDefault="007D0F83" w:rsidP="007D0F83">
            <w:pPr>
              <w:rPr>
                <w:rFonts w:eastAsia="Arial Unicode MS"/>
                <w:b/>
                <w:bCs/>
              </w:rPr>
            </w:pPr>
            <w:r w:rsidRPr="00D608A4">
              <w:rPr>
                <w:rFonts w:eastAsia="Arial Unicode MS"/>
                <w:b/>
                <w:bCs/>
              </w:rPr>
              <w:t>Preparation</w:t>
            </w:r>
          </w:p>
          <w:p w14:paraId="073095C3" w14:textId="140150D8" w:rsidR="007D0F83" w:rsidRDefault="007D0F83" w:rsidP="007D0F83">
            <w:pPr>
              <w:rPr>
                <w:rFonts w:eastAsia="Arial Unicode MS"/>
              </w:rPr>
            </w:pPr>
            <w:r w:rsidRPr="007D0F83">
              <w:rPr>
                <w:rFonts w:eastAsia="Arial Unicode MS"/>
              </w:rPr>
              <w:t>This is where we evaluate our materials and check our tools. Understanding where our organisations are today in terms of anti-racism and mana tangata is the starting point.</w:t>
            </w:r>
          </w:p>
        </w:tc>
        <w:tc>
          <w:tcPr>
            <w:tcW w:w="2690" w:type="dxa"/>
            <w:tcBorders>
              <w:bottom w:val="nil"/>
            </w:tcBorders>
          </w:tcPr>
          <w:p w14:paraId="6C7FF7F2" w14:textId="77777777" w:rsidR="007D0F83" w:rsidRPr="00D608A4" w:rsidRDefault="007D0F83" w:rsidP="007D0F83">
            <w:pPr>
              <w:rPr>
                <w:rFonts w:eastAsia="Arial Unicode MS"/>
                <w:b/>
                <w:bCs/>
              </w:rPr>
            </w:pPr>
            <w:r w:rsidRPr="00D608A4">
              <w:rPr>
                <w:rFonts w:eastAsia="Arial Unicode MS"/>
                <w:b/>
                <w:bCs/>
              </w:rPr>
              <w:t>Whakahoahoa</w:t>
            </w:r>
          </w:p>
          <w:p w14:paraId="0457F036" w14:textId="77777777" w:rsidR="007D0F83" w:rsidRPr="00D608A4" w:rsidRDefault="007D0F83" w:rsidP="007D0F83">
            <w:pPr>
              <w:rPr>
                <w:rFonts w:eastAsia="Arial Unicode MS"/>
                <w:b/>
                <w:bCs/>
              </w:rPr>
            </w:pPr>
            <w:r w:rsidRPr="00D608A4">
              <w:rPr>
                <w:rFonts w:eastAsia="Arial Unicode MS"/>
                <w:b/>
                <w:bCs/>
              </w:rPr>
              <w:t>Designing</w:t>
            </w:r>
          </w:p>
          <w:p w14:paraId="6DEE1328" w14:textId="3CA70462" w:rsidR="007D0F83" w:rsidRDefault="007D0F83" w:rsidP="007D0F83">
            <w:pPr>
              <w:rPr>
                <w:rFonts w:eastAsia="Arial Unicode MS"/>
              </w:rPr>
            </w:pPr>
            <w:r w:rsidRPr="007D0F83">
              <w:rPr>
                <w:rFonts w:eastAsia="Arial Unicode MS"/>
              </w:rPr>
              <w:t>Once we know our current state, we can assess it against our desired future and begin to design a bespoke strategy for getting there. This is both in terms of what actions we need to take and how to give our work its own energy and self-sustaining momentum towards building a movement.</w:t>
            </w:r>
          </w:p>
        </w:tc>
        <w:tc>
          <w:tcPr>
            <w:tcW w:w="2690" w:type="dxa"/>
            <w:tcBorders>
              <w:bottom w:val="nil"/>
            </w:tcBorders>
          </w:tcPr>
          <w:p w14:paraId="2EAE9E45" w14:textId="77777777" w:rsidR="007D0F83" w:rsidRPr="00D608A4" w:rsidRDefault="007D0F83" w:rsidP="007D0F83">
            <w:pPr>
              <w:rPr>
                <w:rFonts w:eastAsia="Arial Unicode MS"/>
                <w:b/>
                <w:bCs/>
              </w:rPr>
            </w:pPr>
            <w:r w:rsidRPr="00D608A4">
              <w:rPr>
                <w:rFonts w:eastAsia="Arial Unicode MS"/>
                <w:b/>
                <w:bCs/>
              </w:rPr>
              <w:t>Te Aho Tapu</w:t>
            </w:r>
          </w:p>
          <w:p w14:paraId="7BFA81EC" w14:textId="77777777" w:rsidR="007D0F83" w:rsidRPr="00D608A4" w:rsidRDefault="007D0F83" w:rsidP="007D0F83">
            <w:pPr>
              <w:rPr>
                <w:rFonts w:eastAsia="Arial Unicode MS"/>
                <w:b/>
                <w:bCs/>
              </w:rPr>
            </w:pPr>
            <w:r w:rsidRPr="00D608A4">
              <w:rPr>
                <w:rFonts w:eastAsia="Arial Unicode MS"/>
                <w:b/>
                <w:bCs/>
              </w:rPr>
              <w:t>Starting</w:t>
            </w:r>
          </w:p>
          <w:p w14:paraId="5457382A" w14:textId="77777777" w:rsidR="007D0F83" w:rsidRPr="007D0F83" w:rsidRDefault="007D0F83" w:rsidP="007D0F83">
            <w:pPr>
              <w:rPr>
                <w:rFonts w:eastAsia="Arial Unicode MS"/>
              </w:rPr>
            </w:pPr>
            <w:r w:rsidRPr="007D0F83">
              <w:rPr>
                <w:rFonts w:eastAsia="Arial Unicode MS"/>
              </w:rPr>
              <w:t>A crucial part of any weaving effort is getting the start right. It takes preparation, a picture of the finished pattern in mind and the confidence to cast on and make the</w:t>
            </w:r>
          </w:p>
          <w:p w14:paraId="6161E402" w14:textId="31127FCC" w:rsidR="007D0F83" w:rsidRDefault="007D0F83" w:rsidP="007D0F83">
            <w:pPr>
              <w:rPr>
                <w:rFonts w:eastAsia="Arial Unicode MS"/>
              </w:rPr>
            </w:pPr>
            <w:r w:rsidRPr="007D0F83">
              <w:rPr>
                <w:rFonts w:eastAsia="Arial Unicode MS"/>
              </w:rPr>
              <w:t>first weave.</w:t>
            </w:r>
          </w:p>
        </w:tc>
      </w:tr>
      <w:tr w:rsidR="007D0F83" w14:paraId="4A4BB134" w14:textId="77777777" w:rsidTr="00941469">
        <w:tc>
          <w:tcPr>
            <w:tcW w:w="8069" w:type="dxa"/>
            <w:gridSpan w:val="3"/>
            <w:tcBorders>
              <w:top w:val="nil"/>
              <w:bottom w:val="nil"/>
            </w:tcBorders>
            <w:shd w:val="clear" w:color="auto" w:fill="D9D9D9" w:themeFill="background1" w:themeFillShade="D9"/>
          </w:tcPr>
          <w:p w14:paraId="21BC27B3" w14:textId="3D9D8F6E" w:rsidR="007D0F83" w:rsidRPr="00D608A4" w:rsidRDefault="007D0F83" w:rsidP="00D608A4">
            <w:pPr>
              <w:jc w:val="center"/>
              <w:rPr>
                <w:rFonts w:eastAsia="Arial Unicode MS"/>
                <w:b/>
                <w:bCs/>
              </w:rPr>
            </w:pPr>
            <w:r w:rsidRPr="00D608A4">
              <w:rPr>
                <w:rFonts w:eastAsia="Arial Unicode MS"/>
                <w:b/>
                <w:bCs/>
              </w:rPr>
              <w:t>Key steps to implementing Whiria te Muka</w:t>
            </w:r>
          </w:p>
        </w:tc>
      </w:tr>
      <w:tr w:rsidR="007D0F83" w14:paraId="2AA7C28A" w14:textId="77777777" w:rsidTr="00941469">
        <w:tc>
          <w:tcPr>
            <w:tcW w:w="2689" w:type="dxa"/>
            <w:tcBorders>
              <w:top w:val="nil"/>
            </w:tcBorders>
          </w:tcPr>
          <w:p w14:paraId="6B039B39" w14:textId="77777777" w:rsidR="00D608A4" w:rsidRPr="00D608A4" w:rsidRDefault="00D608A4" w:rsidP="00D608A4">
            <w:pPr>
              <w:pStyle w:val="Bullet"/>
              <w:rPr>
                <w:rFonts w:eastAsia="Arial Unicode MS"/>
              </w:rPr>
            </w:pPr>
            <w:r w:rsidRPr="00D608A4">
              <w:rPr>
                <w:rFonts w:eastAsia="Arial Unicode MS"/>
                <w:b/>
                <w:bCs/>
              </w:rPr>
              <w:t>Stocktake</w:t>
            </w:r>
            <w:r w:rsidRPr="00D608A4">
              <w:rPr>
                <w:rFonts w:eastAsia="Arial Unicode MS"/>
              </w:rPr>
              <w:t xml:space="preserve"> existing anti- racism initiatives</w:t>
            </w:r>
          </w:p>
          <w:p w14:paraId="751F3B4A" w14:textId="27CB7FC4" w:rsidR="00D608A4" w:rsidRPr="00D608A4" w:rsidRDefault="00D608A4" w:rsidP="00D608A4">
            <w:pPr>
              <w:pStyle w:val="Bullet"/>
              <w:rPr>
                <w:rFonts w:eastAsia="Arial Unicode MS"/>
              </w:rPr>
            </w:pPr>
            <w:r w:rsidRPr="00D608A4">
              <w:rPr>
                <w:rFonts w:eastAsia="Arial Unicode MS"/>
                <w:b/>
                <w:bCs/>
              </w:rPr>
              <w:t>Sensemake</w:t>
            </w:r>
            <w:r w:rsidRPr="00D608A4">
              <w:rPr>
                <w:rFonts w:eastAsia="Arial Unicode MS"/>
              </w:rPr>
              <w:t xml:space="preserve"> the portfolio effect of the existing anti-racism initiatives through analysing the cumulative impact and potential gaps</w:t>
            </w:r>
          </w:p>
          <w:p w14:paraId="54D9F40D" w14:textId="763D5384" w:rsidR="007D0F83" w:rsidRDefault="00D608A4" w:rsidP="00D608A4">
            <w:pPr>
              <w:pStyle w:val="Bullet"/>
              <w:rPr>
                <w:rFonts w:eastAsia="Arial Unicode MS"/>
              </w:rPr>
            </w:pPr>
            <w:r w:rsidRPr="00D608A4">
              <w:rPr>
                <w:rFonts w:eastAsia="Arial Unicode MS"/>
                <w:b/>
                <w:bCs/>
              </w:rPr>
              <w:t xml:space="preserve">Score </w:t>
            </w:r>
            <w:r w:rsidRPr="00D608A4">
              <w:rPr>
                <w:rFonts w:eastAsia="Arial Unicode MS"/>
              </w:rPr>
              <w:t>the organisation on the spectrum of progress toward</w:t>
            </w:r>
            <w:r>
              <w:rPr>
                <w:rFonts w:eastAsia="Arial Unicode MS"/>
              </w:rPr>
              <w:t xml:space="preserve"> </w:t>
            </w:r>
            <w:r w:rsidRPr="00D608A4">
              <w:rPr>
                <w:rFonts w:eastAsia="Arial Unicode MS"/>
              </w:rPr>
              <w:t>anti-racism using a benchmarking framework</w:t>
            </w:r>
          </w:p>
        </w:tc>
        <w:tc>
          <w:tcPr>
            <w:tcW w:w="2690" w:type="dxa"/>
            <w:tcBorders>
              <w:top w:val="nil"/>
            </w:tcBorders>
          </w:tcPr>
          <w:p w14:paraId="48748099" w14:textId="15653D81" w:rsidR="007D0F83" w:rsidRDefault="00D608A4" w:rsidP="00D608A4">
            <w:pPr>
              <w:pStyle w:val="Bullet"/>
              <w:rPr>
                <w:rFonts w:eastAsia="Arial Unicode MS"/>
              </w:rPr>
            </w:pPr>
            <w:r w:rsidRPr="00D608A4">
              <w:rPr>
                <w:rFonts w:eastAsia="Arial Unicode MS"/>
                <w:b/>
                <w:bCs/>
              </w:rPr>
              <w:t>Strategise</w:t>
            </w:r>
            <w:r w:rsidRPr="00D608A4">
              <w:rPr>
                <w:rFonts w:eastAsia="Arial Unicode MS"/>
              </w:rPr>
              <w:t xml:space="preserve"> how to accelerate progress by developing a sequenced suite of interventions aligned to a theory of change</w:t>
            </w:r>
          </w:p>
        </w:tc>
        <w:tc>
          <w:tcPr>
            <w:tcW w:w="2690" w:type="dxa"/>
            <w:tcBorders>
              <w:top w:val="nil"/>
            </w:tcBorders>
          </w:tcPr>
          <w:p w14:paraId="6B983FB7" w14:textId="0B1E7B0E" w:rsidR="00D608A4" w:rsidRPr="00D608A4" w:rsidRDefault="00D608A4" w:rsidP="00D608A4">
            <w:pPr>
              <w:pStyle w:val="Bullet"/>
              <w:rPr>
                <w:rFonts w:eastAsia="Arial Unicode MS"/>
              </w:rPr>
            </w:pPr>
            <w:r w:rsidRPr="00D608A4">
              <w:rPr>
                <w:rFonts w:eastAsia="Arial Unicode MS"/>
                <w:b/>
                <w:bCs/>
              </w:rPr>
              <w:t>Start acting</w:t>
            </w:r>
            <w:r w:rsidRPr="00D608A4">
              <w:rPr>
                <w:rFonts w:eastAsia="Arial Unicode MS"/>
              </w:rPr>
              <w:t xml:space="preserve"> through:</w:t>
            </w:r>
          </w:p>
          <w:p w14:paraId="4AD13562" w14:textId="23798A1F" w:rsidR="00D608A4" w:rsidRPr="00D608A4" w:rsidRDefault="00D608A4" w:rsidP="00D608A4">
            <w:pPr>
              <w:pStyle w:val="Dash"/>
              <w:rPr>
                <w:rFonts w:eastAsia="Arial Unicode MS"/>
              </w:rPr>
            </w:pPr>
            <w:r w:rsidRPr="00D608A4">
              <w:rPr>
                <w:rFonts w:eastAsia="Arial Unicode MS"/>
              </w:rPr>
              <w:t>Designing and prioritising solutions</w:t>
            </w:r>
          </w:p>
          <w:p w14:paraId="56F9CBA3" w14:textId="14617673" w:rsidR="00D608A4" w:rsidRPr="00D608A4" w:rsidRDefault="00D608A4" w:rsidP="00D608A4">
            <w:pPr>
              <w:pStyle w:val="Dash"/>
              <w:rPr>
                <w:rFonts w:eastAsia="Arial Unicode MS"/>
              </w:rPr>
            </w:pPr>
            <w:r w:rsidRPr="00D608A4">
              <w:rPr>
                <w:rFonts w:eastAsia="Arial Unicode MS"/>
              </w:rPr>
              <w:t>Prototyping solutions</w:t>
            </w:r>
          </w:p>
          <w:p w14:paraId="38763A4F" w14:textId="64A10D75" w:rsidR="007D0F83" w:rsidRDefault="00D608A4" w:rsidP="00D608A4">
            <w:pPr>
              <w:pStyle w:val="Dash"/>
              <w:rPr>
                <w:rFonts w:eastAsia="Arial Unicode MS"/>
              </w:rPr>
            </w:pPr>
            <w:r w:rsidRPr="00D608A4">
              <w:rPr>
                <w:rFonts w:eastAsia="Arial Unicode MS"/>
              </w:rPr>
              <w:t>Evaluating impact</w:t>
            </w:r>
          </w:p>
        </w:tc>
      </w:tr>
    </w:tbl>
    <w:p w14:paraId="7FFBE146" w14:textId="77777777" w:rsidR="00D608A4" w:rsidRDefault="00D608A4" w:rsidP="007D0F83">
      <w:pPr>
        <w:rPr>
          <w:rFonts w:eastAsia="Arial Unicode MS"/>
        </w:rPr>
        <w:sectPr w:rsidR="00D608A4" w:rsidSect="00C67BC1">
          <w:pgSz w:w="11907" w:h="16840" w:code="9"/>
          <w:pgMar w:top="1418" w:right="1701" w:bottom="1134" w:left="1843" w:header="284" w:footer="425" w:gutter="284"/>
          <w:cols w:space="720"/>
        </w:sectPr>
      </w:pPr>
    </w:p>
    <w:p w14:paraId="4CD67F23" w14:textId="547CB59F" w:rsidR="007D0F83" w:rsidRDefault="00D608A4" w:rsidP="00D608A4">
      <w:pPr>
        <w:pStyle w:val="Heading2"/>
        <w:spacing w:before="0"/>
        <w:rPr>
          <w:rFonts w:eastAsia="Arial Unicode MS"/>
          <w:b w:val="0"/>
          <w:bCs/>
        </w:rPr>
      </w:pPr>
      <w:bookmarkStart w:id="15" w:name="_Toc128745943"/>
      <w:r w:rsidRPr="00D608A4">
        <w:rPr>
          <w:rFonts w:eastAsia="Arial Unicode MS"/>
        </w:rPr>
        <w:lastRenderedPageBreak/>
        <w:t xml:space="preserve">Whakarite </w:t>
      </w:r>
      <w:r w:rsidRPr="00D608A4">
        <w:rPr>
          <w:rFonts w:eastAsia="Arial Unicode MS"/>
          <w:b w:val="0"/>
          <w:bCs/>
        </w:rPr>
        <w:t>Preparation</w:t>
      </w:r>
      <w:bookmarkEnd w:id="15"/>
    </w:p>
    <w:p w14:paraId="4F507498" w14:textId="77777777" w:rsidR="00FC1173" w:rsidRPr="00FC1173" w:rsidRDefault="00FC1173" w:rsidP="00FC1173">
      <w:pPr>
        <w:rPr>
          <w:rFonts w:eastAsia="Arial Unicode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D608A4" w14:paraId="66706845" w14:textId="77777777" w:rsidTr="00D608A4">
        <w:tc>
          <w:tcPr>
            <w:tcW w:w="8069" w:type="dxa"/>
            <w:shd w:val="clear" w:color="auto" w:fill="D9D9D9" w:themeFill="background1" w:themeFillShade="D9"/>
          </w:tcPr>
          <w:p w14:paraId="611D0B58" w14:textId="77777777" w:rsidR="00D608A4" w:rsidRPr="00D608A4" w:rsidRDefault="00D608A4" w:rsidP="00D608A4">
            <w:pPr>
              <w:spacing w:before="120" w:after="120"/>
              <w:rPr>
                <w:rFonts w:eastAsia="Arial Unicode MS"/>
                <w:b/>
                <w:bCs/>
              </w:rPr>
            </w:pPr>
            <w:r w:rsidRPr="00D608A4">
              <w:rPr>
                <w:rFonts w:eastAsia="Arial Unicode MS"/>
                <w:b/>
                <w:bCs/>
              </w:rPr>
              <w:t>Stocktake » Sensemake » Score</w:t>
            </w:r>
          </w:p>
          <w:p w14:paraId="4359C892" w14:textId="32491C4A" w:rsidR="00D608A4" w:rsidRDefault="00D608A4" w:rsidP="00D608A4">
            <w:pPr>
              <w:spacing w:before="120" w:after="120"/>
              <w:rPr>
                <w:rFonts w:eastAsia="Arial Unicode MS"/>
              </w:rPr>
            </w:pPr>
            <w:r w:rsidRPr="00D608A4">
              <w:rPr>
                <w:rFonts w:eastAsia="Arial Unicode MS"/>
              </w:rPr>
              <w:t>The first three proposed steps in the preparatory phase are designed to ensure organisations have a clear and comprehensive understanding of their current work, impact and location on the journey toward anti-racism. Collectively, they form a critical foundation for sound anti-racist practice that can be built upon over time.</w:t>
            </w:r>
          </w:p>
        </w:tc>
      </w:tr>
    </w:tbl>
    <w:p w14:paraId="1175F572" w14:textId="77777777" w:rsidR="00D608A4" w:rsidRPr="00D608A4" w:rsidRDefault="00D608A4" w:rsidP="00D608A4">
      <w:pPr>
        <w:pStyle w:val="Heading3"/>
        <w:rPr>
          <w:rFonts w:eastAsia="Arial Unicode MS"/>
        </w:rPr>
      </w:pPr>
      <w:r w:rsidRPr="00D608A4">
        <w:rPr>
          <w:rFonts w:eastAsia="Arial Unicode MS"/>
        </w:rPr>
        <w:t>Stocktake</w:t>
      </w:r>
    </w:p>
    <w:p w14:paraId="786B3345" w14:textId="27AFEFC3" w:rsidR="00D608A4" w:rsidRPr="00D608A4" w:rsidRDefault="00D608A4" w:rsidP="00D608A4">
      <w:pPr>
        <w:rPr>
          <w:rFonts w:eastAsia="Arial Unicode MS"/>
        </w:rPr>
      </w:pPr>
      <w:r w:rsidRPr="00D608A4">
        <w:rPr>
          <w:rFonts w:eastAsia="Arial Unicode MS"/>
        </w:rPr>
        <w:t>The purpose of the stocktake is to consolidate all existing anti-racism and equity related initiatives. The rationale is that it is common for organisations to lack visibility of all the relevant work which can compromise their ability to make informed decisions about what’s working well</w:t>
      </w:r>
      <w:r>
        <w:rPr>
          <w:rFonts w:eastAsia="Arial Unicode MS"/>
        </w:rPr>
        <w:t xml:space="preserve"> </w:t>
      </w:r>
      <w:r w:rsidRPr="00D608A4">
        <w:rPr>
          <w:rFonts w:eastAsia="Arial Unicode MS"/>
        </w:rPr>
        <w:t>and what could or should be prioritised for future work.</w:t>
      </w:r>
    </w:p>
    <w:p w14:paraId="1427479A" w14:textId="77777777" w:rsidR="00D608A4" w:rsidRDefault="00D608A4" w:rsidP="00D608A4">
      <w:pPr>
        <w:rPr>
          <w:rFonts w:eastAsia="Arial Unicode MS"/>
        </w:rPr>
      </w:pPr>
    </w:p>
    <w:p w14:paraId="439AE4DD" w14:textId="238DDB6A" w:rsidR="00D608A4" w:rsidRPr="00D608A4" w:rsidRDefault="00D608A4" w:rsidP="00D608A4">
      <w:pPr>
        <w:rPr>
          <w:rFonts w:eastAsia="Arial Unicode MS"/>
        </w:rPr>
      </w:pPr>
      <w:r w:rsidRPr="00D608A4">
        <w:rPr>
          <w:rFonts w:eastAsia="Arial Unicode MS"/>
        </w:rPr>
        <w:t>This stocktake should be organised according to the Whiria te Muka framework, consolidating initiatives against the whiri and the aho within Whiria te Muka.</w:t>
      </w:r>
    </w:p>
    <w:p w14:paraId="15F5BC39" w14:textId="77777777" w:rsidR="00D608A4" w:rsidRDefault="00D608A4" w:rsidP="00D608A4">
      <w:pPr>
        <w:rPr>
          <w:rFonts w:eastAsia="Arial Unicode MS"/>
        </w:rPr>
      </w:pPr>
    </w:p>
    <w:p w14:paraId="284AC36F" w14:textId="41F2AD78" w:rsidR="00D608A4" w:rsidRPr="00D608A4" w:rsidRDefault="00D608A4" w:rsidP="00D608A4">
      <w:pPr>
        <w:rPr>
          <w:rFonts w:eastAsia="Arial Unicode MS"/>
        </w:rPr>
      </w:pPr>
      <w:r w:rsidRPr="00D608A4">
        <w:rPr>
          <w:rFonts w:eastAsia="Arial Unicode MS"/>
        </w:rPr>
        <w:t>When the stocktake is completed, an organisation/institution should be able to answer the following questions:</w:t>
      </w:r>
    </w:p>
    <w:p w14:paraId="5738484C" w14:textId="0C970115" w:rsidR="00D608A4" w:rsidRPr="00D608A4" w:rsidRDefault="00D608A4" w:rsidP="00D608A4">
      <w:pPr>
        <w:pStyle w:val="Number"/>
        <w:spacing w:before="120"/>
        <w:rPr>
          <w:rFonts w:eastAsia="Arial Unicode MS"/>
        </w:rPr>
      </w:pPr>
      <w:r w:rsidRPr="00D608A4">
        <w:rPr>
          <w:rFonts w:eastAsia="Arial Unicode MS"/>
        </w:rPr>
        <w:t>What are we currently doing to address racism, racial health inequity, and further anti-racism?</w:t>
      </w:r>
    </w:p>
    <w:p w14:paraId="253A76AF" w14:textId="79205D81" w:rsidR="00D608A4" w:rsidRPr="00D608A4" w:rsidRDefault="00D608A4" w:rsidP="00D608A4">
      <w:pPr>
        <w:pStyle w:val="Number"/>
        <w:spacing w:before="120"/>
        <w:rPr>
          <w:rFonts w:eastAsia="Arial Unicode MS"/>
        </w:rPr>
      </w:pPr>
      <w:r w:rsidRPr="00D608A4">
        <w:rPr>
          <w:rFonts w:eastAsia="Arial Unicode MS"/>
        </w:rPr>
        <w:t>Are there obvious gaps in what we are doing?</w:t>
      </w:r>
    </w:p>
    <w:p w14:paraId="30A43E05" w14:textId="0A4B16EE" w:rsidR="00D608A4" w:rsidRPr="00D608A4" w:rsidRDefault="00D608A4" w:rsidP="00D608A4">
      <w:pPr>
        <w:pStyle w:val="Number"/>
        <w:spacing w:before="120"/>
        <w:rPr>
          <w:rFonts w:eastAsia="Arial Unicode MS"/>
        </w:rPr>
      </w:pPr>
      <w:r w:rsidRPr="00D608A4">
        <w:rPr>
          <w:rFonts w:eastAsia="Arial Unicode MS"/>
        </w:rPr>
        <w:t>Are there obvious points of duplication in what we are doing?</w:t>
      </w:r>
    </w:p>
    <w:p w14:paraId="27EC1D7C" w14:textId="77777777" w:rsidR="00D608A4" w:rsidRPr="00D608A4" w:rsidRDefault="00D608A4" w:rsidP="00D608A4">
      <w:pPr>
        <w:pStyle w:val="Heading3"/>
        <w:rPr>
          <w:rFonts w:eastAsia="Arial Unicode MS"/>
        </w:rPr>
      </w:pPr>
      <w:r w:rsidRPr="00D608A4">
        <w:rPr>
          <w:rFonts w:eastAsia="Arial Unicode MS"/>
        </w:rPr>
        <w:t>Sensemake</w:t>
      </w:r>
    </w:p>
    <w:p w14:paraId="019E5928" w14:textId="204B36F0" w:rsidR="00D608A4" w:rsidRDefault="00D608A4" w:rsidP="00D608A4">
      <w:pPr>
        <w:rPr>
          <w:rFonts w:eastAsia="Arial Unicode MS"/>
        </w:rPr>
      </w:pPr>
      <w:r w:rsidRPr="00D608A4">
        <w:rPr>
          <w:rFonts w:eastAsia="Arial Unicode MS"/>
        </w:rPr>
        <w:t>The analysis phase involves looking at the individual and cumulative effect of anti-racism and equity-related initiatives.</w:t>
      </w:r>
      <w:r>
        <w:rPr>
          <w:rFonts w:eastAsia="Arial Unicode MS"/>
        </w:rPr>
        <w:t xml:space="preserve"> </w:t>
      </w:r>
      <w:r w:rsidRPr="00D608A4">
        <w:rPr>
          <w:rFonts w:eastAsia="Arial Unicode MS"/>
        </w:rPr>
        <w:t>The rationale for this phase is similar to that of the stocktake: to gain a big</w:t>
      </w:r>
      <w:r>
        <w:rPr>
          <w:rFonts w:eastAsia="Arial Unicode MS"/>
        </w:rPr>
        <w:t xml:space="preserve"> </w:t>
      </w:r>
      <w:r w:rsidRPr="00D608A4">
        <w:rPr>
          <w:rFonts w:eastAsia="Arial Unicode MS"/>
        </w:rPr>
        <w:t>picture understanding of what is already occurring, but more importantly, to assess the efficacy of what is occurring from a cumulative vantage point. It is likely that existing initiatives are well intended and will have a logical genesis. However, we also know that what we are doing is not yet remedying the persistent presence and consequences of racism. The purpose</w:t>
      </w:r>
      <w:r>
        <w:rPr>
          <w:rFonts w:eastAsia="Arial Unicode MS"/>
        </w:rPr>
        <w:t xml:space="preserve"> </w:t>
      </w:r>
      <w:r w:rsidRPr="00D608A4">
        <w:rPr>
          <w:rFonts w:eastAsia="Arial Unicode MS"/>
        </w:rPr>
        <w:t>of the analysis phase is to delve into the complexity of what is occurring and create an open, transparent analysis of impact.</w:t>
      </w:r>
    </w:p>
    <w:p w14:paraId="00875BA0" w14:textId="77777777" w:rsidR="00D608A4" w:rsidRPr="00D608A4" w:rsidRDefault="00D608A4" w:rsidP="00D608A4">
      <w:pPr>
        <w:rPr>
          <w:rFonts w:eastAsia="Arial Unicode MS"/>
        </w:rPr>
      </w:pPr>
    </w:p>
    <w:p w14:paraId="32CF0F40" w14:textId="77777777" w:rsidR="00D608A4" w:rsidRPr="00D608A4" w:rsidRDefault="00D608A4" w:rsidP="00D608A4">
      <w:pPr>
        <w:rPr>
          <w:rFonts w:eastAsia="Arial Unicode MS"/>
        </w:rPr>
      </w:pPr>
      <w:r w:rsidRPr="00D608A4">
        <w:rPr>
          <w:rFonts w:eastAsia="Arial Unicode MS"/>
        </w:rPr>
        <w:t>The goal of the analysis phase is for an organisation to answer the following questions:</w:t>
      </w:r>
    </w:p>
    <w:p w14:paraId="4C88DB2C" w14:textId="67824B7C" w:rsidR="00D608A4" w:rsidRPr="00D608A4" w:rsidRDefault="00D608A4" w:rsidP="00D608A4">
      <w:pPr>
        <w:pStyle w:val="Number"/>
        <w:numPr>
          <w:ilvl w:val="0"/>
          <w:numId w:val="42"/>
        </w:numPr>
        <w:spacing w:before="120"/>
        <w:rPr>
          <w:rFonts w:eastAsia="Arial Unicode MS"/>
        </w:rPr>
      </w:pPr>
      <w:r w:rsidRPr="00D608A4">
        <w:rPr>
          <w:rFonts w:eastAsia="Arial Unicode MS"/>
        </w:rPr>
        <w:t>Are we doing the right things?</w:t>
      </w:r>
    </w:p>
    <w:p w14:paraId="394D12EB" w14:textId="63E13573" w:rsidR="00D608A4" w:rsidRPr="00D608A4" w:rsidRDefault="00D608A4" w:rsidP="00D608A4">
      <w:pPr>
        <w:pStyle w:val="Number"/>
        <w:numPr>
          <w:ilvl w:val="0"/>
          <w:numId w:val="42"/>
        </w:numPr>
        <w:spacing w:before="120"/>
        <w:rPr>
          <w:rFonts w:eastAsia="Arial Unicode MS"/>
        </w:rPr>
      </w:pPr>
      <w:r w:rsidRPr="00D608A4">
        <w:rPr>
          <w:rFonts w:eastAsia="Arial Unicode MS"/>
        </w:rPr>
        <w:t>Are we doing the right mix of things?</w:t>
      </w:r>
    </w:p>
    <w:p w14:paraId="5CDBA121" w14:textId="732AAB88" w:rsidR="00D608A4" w:rsidRPr="00D608A4" w:rsidRDefault="00D608A4" w:rsidP="00D608A4">
      <w:pPr>
        <w:pStyle w:val="Number"/>
        <w:numPr>
          <w:ilvl w:val="0"/>
          <w:numId w:val="42"/>
        </w:numPr>
        <w:spacing w:before="120"/>
        <w:rPr>
          <w:rFonts w:eastAsia="Arial Unicode MS"/>
        </w:rPr>
      </w:pPr>
      <w:r w:rsidRPr="00D608A4">
        <w:rPr>
          <w:rFonts w:eastAsia="Arial Unicode MS"/>
        </w:rPr>
        <w:t>Are we doing the right mix of things in the right amount?</w:t>
      </w:r>
    </w:p>
    <w:p w14:paraId="70C14E12" w14:textId="77777777" w:rsidR="00D608A4" w:rsidRPr="00D608A4" w:rsidRDefault="00D608A4" w:rsidP="00D608A4">
      <w:pPr>
        <w:rPr>
          <w:rFonts w:eastAsia="Arial Unicode MS"/>
        </w:rPr>
      </w:pPr>
    </w:p>
    <w:p w14:paraId="31C833AD" w14:textId="6CA05009" w:rsidR="00D608A4" w:rsidRPr="00D608A4" w:rsidRDefault="00D608A4" w:rsidP="00D608A4">
      <w:pPr>
        <w:rPr>
          <w:rFonts w:eastAsia="Arial Unicode MS"/>
        </w:rPr>
      </w:pPr>
      <w:r w:rsidRPr="00D608A4">
        <w:rPr>
          <w:rFonts w:eastAsia="Arial Unicode MS"/>
        </w:rPr>
        <w:lastRenderedPageBreak/>
        <w:t>To support the analysis being incisive, we recommend that organisations use</w:t>
      </w:r>
      <w:r>
        <w:rPr>
          <w:rFonts w:eastAsia="Arial Unicode MS"/>
        </w:rPr>
        <w:t xml:space="preserve"> </w:t>
      </w:r>
      <w:r w:rsidRPr="00D608A4">
        <w:rPr>
          <w:rFonts w:eastAsia="Arial Unicode MS"/>
        </w:rPr>
        <w:t>two approaches to analysing their current portfolio of work.</w:t>
      </w:r>
    </w:p>
    <w:p w14:paraId="16A486DB" w14:textId="56F78E91" w:rsidR="00D608A4" w:rsidRDefault="00D608A4" w:rsidP="00D608A4">
      <w:pPr>
        <w:rPr>
          <w:rFonts w:eastAsia="Arial Unicode MS"/>
        </w:rPr>
      </w:pPr>
      <w:r w:rsidRPr="00D608A4">
        <w:rPr>
          <w:rFonts w:eastAsia="Arial Unicode MS"/>
        </w:rPr>
        <w:t>The first analysis we suggest organisations do is consider the relative balance</w:t>
      </w:r>
      <w:r>
        <w:rPr>
          <w:rFonts w:eastAsia="Arial Unicode MS"/>
        </w:rPr>
        <w:t xml:space="preserve"> </w:t>
      </w:r>
      <w:r w:rsidRPr="00D608A4">
        <w:rPr>
          <w:rFonts w:eastAsia="Arial Unicode MS"/>
        </w:rPr>
        <w:t>of different types of levers they are using, both against the whiri as well as</w:t>
      </w:r>
      <w:r>
        <w:rPr>
          <w:rFonts w:eastAsia="Arial Unicode MS"/>
        </w:rPr>
        <w:t xml:space="preserve"> </w:t>
      </w:r>
      <w:r w:rsidRPr="00D608A4">
        <w:rPr>
          <w:rFonts w:eastAsia="Arial Unicode MS"/>
        </w:rPr>
        <w:t>understanding the principal impact of the levers they are using. We class the type of impact levers make into four key categories:</w:t>
      </w:r>
    </w:p>
    <w:p w14:paraId="30975A09" w14:textId="77777777" w:rsidR="00D608A4" w:rsidRPr="00D608A4" w:rsidRDefault="00D608A4" w:rsidP="00D608A4">
      <w:pPr>
        <w:pStyle w:val="Bullet"/>
        <w:rPr>
          <w:rFonts w:eastAsia="Arial Unicode MS"/>
        </w:rPr>
      </w:pPr>
      <w:r w:rsidRPr="00D608A4">
        <w:rPr>
          <w:rFonts w:eastAsia="Arial Unicode MS"/>
        </w:rPr>
        <w:t>Directional lever – creates coherence for the desired future state by creating a sense of meaning, purpose, clarity and tangibility. This is critical to individual and organisational ‘sensemaking’.</w:t>
      </w:r>
    </w:p>
    <w:p w14:paraId="3965D7D9" w14:textId="77777777" w:rsidR="00D608A4" w:rsidRPr="00D608A4" w:rsidRDefault="00D608A4" w:rsidP="00D608A4">
      <w:pPr>
        <w:pStyle w:val="Bullet"/>
        <w:rPr>
          <w:rFonts w:eastAsia="Arial Unicode MS"/>
        </w:rPr>
      </w:pPr>
      <w:r w:rsidRPr="00D608A4">
        <w:rPr>
          <w:rFonts w:eastAsia="Arial Unicode MS"/>
        </w:rPr>
        <w:t>Enabling lever – creates organisational preparedness for change.</w:t>
      </w:r>
    </w:p>
    <w:p w14:paraId="13166BBD" w14:textId="77777777" w:rsidR="00D608A4" w:rsidRPr="00D608A4" w:rsidRDefault="00D608A4" w:rsidP="00D608A4">
      <w:pPr>
        <w:pStyle w:val="Bullet"/>
        <w:rPr>
          <w:rFonts w:eastAsia="Arial Unicode MS"/>
        </w:rPr>
      </w:pPr>
      <w:r w:rsidRPr="00D608A4">
        <w:rPr>
          <w:rFonts w:eastAsia="Arial Unicode MS"/>
        </w:rPr>
        <w:t>Protective lever – creates protections for those exposed to the harms of the current state by creating a critical mass.</w:t>
      </w:r>
    </w:p>
    <w:p w14:paraId="5E2FE536" w14:textId="77777777" w:rsidR="00D608A4" w:rsidRPr="00D608A4" w:rsidRDefault="00D608A4" w:rsidP="00D608A4">
      <w:pPr>
        <w:pStyle w:val="Bullet"/>
        <w:rPr>
          <w:rFonts w:eastAsia="Arial Unicode MS"/>
        </w:rPr>
      </w:pPr>
      <w:r w:rsidRPr="00D608A4">
        <w:rPr>
          <w:rFonts w:eastAsia="Arial Unicode MS"/>
        </w:rPr>
        <w:t>Deep change lever – rewires how the current state creates harm, replacing it with change seeking ways of delivering the core business.</w:t>
      </w:r>
    </w:p>
    <w:p w14:paraId="72253A2C" w14:textId="39893939" w:rsidR="00D608A4" w:rsidRDefault="00D608A4" w:rsidP="00D608A4">
      <w:pPr>
        <w:rPr>
          <w:rFonts w:eastAsia="Arial Unicode MS"/>
        </w:rPr>
      </w:pPr>
    </w:p>
    <w:p w14:paraId="606521F0" w14:textId="5E4772E8" w:rsidR="00D608A4" w:rsidRDefault="00D608A4" w:rsidP="00D608A4">
      <w:pPr>
        <w:rPr>
          <w:rFonts w:eastAsia="Arial Unicode MS"/>
        </w:rPr>
      </w:pPr>
      <w:r w:rsidRPr="00D608A4">
        <w:rPr>
          <w:rFonts w:eastAsia="Arial Unicode MS"/>
        </w:rPr>
        <w:t>This type of analysis can produce a simple pie graph that is revealing of tacit organisational philosophies and priorities.</w:t>
      </w:r>
      <w:r>
        <w:rPr>
          <w:rFonts w:eastAsia="Arial Unicode MS"/>
        </w:rPr>
        <w:t xml:space="preserve"> </w:t>
      </w:r>
      <w:r w:rsidRPr="00D608A4">
        <w:rPr>
          <w:rFonts w:eastAsia="Arial Unicode MS"/>
        </w:rPr>
        <w:t>For example, one organisation intentionally left unnamed had the following relative investment in these types of levers:</w:t>
      </w:r>
    </w:p>
    <w:p w14:paraId="761027D0" w14:textId="64D4483A" w:rsidR="00D608A4" w:rsidRDefault="00D608A4" w:rsidP="00D608A4">
      <w:pPr>
        <w:rPr>
          <w:rFonts w:eastAsia="Arial Unicode MS"/>
        </w:rPr>
      </w:pPr>
    </w:p>
    <w:p w14:paraId="3EE3C80A" w14:textId="76B9B854" w:rsidR="00D608A4" w:rsidRDefault="00D608A4" w:rsidP="00D608A4">
      <w:pPr>
        <w:rPr>
          <w:rFonts w:eastAsia="Arial Unicode MS"/>
        </w:rPr>
      </w:pPr>
      <w:r>
        <w:rPr>
          <w:noProof/>
        </w:rPr>
        <w:drawing>
          <wp:inline distT="0" distB="0" distL="0" distR="0" wp14:anchorId="5DD55426" wp14:editId="3FB4727F">
            <wp:extent cx="3905250" cy="3819525"/>
            <wp:effectExtent l="0" t="0" r="0" b="9525"/>
            <wp:docPr id="13" name="Picture 13" descr="Deep Wiring Lever; Directional Lever; Enabling Lever; Protective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ep Wiring Lever; Directional Lever; Enabling Lever; Protective Lever"/>
                    <pic:cNvPicPr/>
                  </pic:nvPicPr>
                  <pic:blipFill>
                    <a:blip r:embed="rId32">
                      <a:extLst>
                        <a:ext uri="{28A0092B-C50C-407E-A947-70E740481C1C}">
                          <a14:useLocalDpi xmlns:a14="http://schemas.microsoft.com/office/drawing/2010/main" val="0"/>
                        </a:ext>
                      </a:extLst>
                    </a:blip>
                    <a:stretch>
                      <a:fillRect/>
                    </a:stretch>
                  </pic:blipFill>
                  <pic:spPr>
                    <a:xfrm>
                      <a:off x="0" y="0"/>
                      <a:ext cx="3905250" cy="3819525"/>
                    </a:xfrm>
                    <a:prstGeom prst="rect">
                      <a:avLst/>
                    </a:prstGeom>
                  </pic:spPr>
                </pic:pic>
              </a:graphicData>
            </a:graphic>
          </wp:inline>
        </w:drawing>
      </w:r>
    </w:p>
    <w:p w14:paraId="4DE160C8" w14:textId="0E5B9090" w:rsidR="00D608A4" w:rsidRDefault="00D608A4" w:rsidP="00D608A4">
      <w:pPr>
        <w:rPr>
          <w:rFonts w:eastAsia="Arial Unicode MS"/>
        </w:rPr>
      </w:pPr>
    </w:p>
    <w:p w14:paraId="54AECB5E" w14:textId="5FB4C205" w:rsidR="00D608A4" w:rsidRDefault="00D608A4" w:rsidP="00D608A4">
      <w:pPr>
        <w:rPr>
          <w:rFonts w:eastAsia="Arial Unicode MS"/>
        </w:rPr>
      </w:pPr>
      <w:r w:rsidRPr="00D608A4">
        <w:rPr>
          <w:rFonts w:eastAsia="Arial Unicode MS"/>
        </w:rPr>
        <w:t>For this organisation, there is a clear priority placed on preparing to change and protecting under-served groups from the</w:t>
      </w:r>
      <w:r>
        <w:rPr>
          <w:rFonts w:eastAsia="Arial Unicode MS"/>
        </w:rPr>
        <w:t xml:space="preserve"> </w:t>
      </w:r>
      <w:r w:rsidRPr="00D608A4">
        <w:rPr>
          <w:rFonts w:eastAsia="Arial Unicode MS"/>
        </w:rPr>
        <w:t>harms of the status quo, with comparably light investment in direct and deep rewiring of the core business elements that create the harms of the status quo.</w:t>
      </w:r>
    </w:p>
    <w:p w14:paraId="348414C8" w14:textId="77777777" w:rsidR="00D608A4" w:rsidRPr="00D608A4" w:rsidRDefault="00D608A4" w:rsidP="00D608A4">
      <w:pPr>
        <w:rPr>
          <w:rFonts w:eastAsia="Arial Unicode MS"/>
        </w:rPr>
      </w:pPr>
    </w:p>
    <w:p w14:paraId="50BCB97A" w14:textId="77777777" w:rsidR="00D608A4" w:rsidRPr="00D608A4" w:rsidRDefault="00D608A4" w:rsidP="00D608A4">
      <w:pPr>
        <w:rPr>
          <w:rFonts w:eastAsia="Arial Unicode MS"/>
        </w:rPr>
      </w:pPr>
      <w:r w:rsidRPr="00D608A4">
        <w:rPr>
          <w:rFonts w:eastAsia="Arial Unicode MS"/>
        </w:rPr>
        <w:t>We believe this type of analysis will help organisations to consider how their</w:t>
      </w:r>
    </w:p>
    <w:p w14:paraId="556FA336" w14:textId="7C833823" w:rsidR="00D608A4" w:rsidRPr="00D608A4" w:rsidRDefault="00D608A4" w:rsidP="00D608A4">
      <w:pPr>
        <w:rPr>
          <w:rFonts w:eastAsia="Arial Unicode MS"/>
        </w:rPr>
      </w:pPr>
      <w:r w:rsidRPr="00D608A4">
        <w:rPr>
          <w:rFonts w:eastAsia="Arial Unicode MS"/>
        </w:rPr>
        <w:t>approaches to advancing anti-racism tacitly embed assumptions and/or embed the train tracks that maintain the status quo.</w:t>
      </w:r>
      <w:r>
        <w:rPr>
          <w:rFonts w:eastAsia="Arial Unicode MS"/>
        </w:rPr>
        <w:t xml:space="preserve"> </w:t>
      </w:r>
      <w:r w:rsidRPr="00D608A4">
        <w:rPr>
          <w:rFonts w:eastAsia="Arial Unicode MS"/>
        </w:rPr>
        <w:t xml:space="preserve">For example, protective approaches may be </w:t>
      </w:r>
      <w:r w:rsidRPr="00D608A4">
        <w:rPr>
          <w:rFonts w:eastAsia="Arial Unicode MS"/>
        </w:rPr>
        <w:lastRenderedPageBreak/>
        <w:t>necessary in the short-term to insulate under-served communities from potential injury but can also distract the organisation from addressing the underlying causative factors of racism.</w:t>
      </w:r>
    </w:p>
    <w:p w14:paraId="36D52B01" w14:textId="77777777" w:rsidR="00D608A4" w:rsidRPr="00D608A4" w:rsidRDefault="00D608A4" w:rsidP="00D608A4">
      <w:pPr>
        <w:rPr>
          <w:rFonts w:eastAsia="Arial Unicode MS"/>
        </w:rPr>
      </w:pPr>
    </w:p>
    <w:p w14:paraId="1944D913" w14:textId="2ADF9DC8" w:rsidR="00D608A4" w:rsidRPr="00D608A4" w:rsidRDefault="00D608A4" w:rsidP="00D608A4">
      <w:pPr>
        <w:rPr>
          <w:rFonts w:eastAsia="Arial Unicode MS"/>
        </w:rPr>
      </w:pPr>
      <w:r w:rsidRPr="00D608A4">
        <w:rPr>
          <w:rFonts w:eastAsia="Arial Unicode MS"/>
        </w:rPr>
        <w:t>We group the levers for change into these classifications as follows:</w:t>
      </w:r>
    </w:p>
    <w:p w14:paraId="7C304878" w14:textId="01486175" w:rsidR="00D608A4" w:rsidRPr="00D608A4" w:rsidRDefault="00D608A4" w:rsidP="00D608A4">
      <w:pPr>
        <w:rPr>
          <w:rFonts w:eastAsia="Arial Unicode MS"/>
        </w:r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256"/>
        <w:gridCol w:w="4813"/>
      </w:tblGrid>
      <w:tr w:rsidR="00D608A4" w14:paraId="77BA159D" w14:textId="77777777" w:rsidTr="001E36BC">
        <w:tc>
          <w:tcPr>
            <w:tcW w:w="3256" w:type="dxa"/>
            <w:shd w:val="clear" w:color="auto" w:fill="D9D9D9" w:themeFill="background1" w:themeFillShade="D9"/>
          </w:tcPr>
          <w:p w14:paraId="287E7578" w14:textId="104757CC" w:rsidR="00D608A4" w:rsidRPr="001E36BC" w:rsidRDefault="00D608A4" w:rsidP="001E36BC">
            <w:pPr>
              <w:spacing w:before="60" w:after="60"/>
              <w:rPr>
                <w:rFonts w:eastAsia="Arial Unicode MS"/>
                <w:b/>
                <w:bCs/>
              </w:rPr>
            </w:pPr>
            <w:r w:rsidRPr="001E36BC">
              <w:rPr>
                <w:rFonts w:eastAsia="Arial Unicode MS"/>
                <w:b/>
                <w:bCs/>
              </w:rPr>
              <w:t>Directional levers</w:t>
            </w:r>
          </w:p>
        </w:tc>
        <w:tc>
          <w:tcPr>
            <w:tcW w:w="4813" w:type="dxa"/>
          </w:tcPr>
          <w:p w14:paraId="046CFF23" w14:textId="77777777" w:rsidR="00D608A4" w:rsidRDefault="00D608A4" w:rsidP="001E36BC">
            <w:pPr>
              <w:spacing w:before="60" w:after="60"/>
              <w:rPr>
                <w:rFonts w:eastAsia="Arial Unicode MS"/>
              </w:rPr>
            </w:pPr>
            <w:r w:rsidRPr="00D608A4">
              <w:rPr>
                <w:rFonts w:eastAsia="Arial Unicode MS"/>
              </w:rPr>
              <w:t xml:space="preserve">Leadership </w:t>
            </w:r>
          </w:p>
          <w:p w14:paraId="478EE69F" w14:textId="32EE8B91" w:rsidR="00D608A4" w:rsidRPr="00D608A4" w:rsidRDefault="00D608A4" w:rsidP="001E36BC">
            <w:pPr>
              <w:spacing w:before="60" w:after="60"/>
              <w:rPr>
                <w:rFonts w:eastAsia="Arial Unicode MS"/>
              </w:rPr>
            </w:pPr>
            <w:r w:rsidRPr="00D608A4">
              <w:rPr>
                <w:rFonts w:eastAsia="Arial Unicode MS"/>
              </w:rPr>
              <w:t>Narrative</w:t>
            </w:r>
          </w:p>
          <w:p w14:paraId="166D3C96" w14:textId="503240D8" w:rsidR="00D608A4" w:rsidRDefault="00D608A4" w:rsidP="001E36BC">
            <w:pPr>
              <w:spacing w:before="60" w:after="60"/>
              <w:rPr>
                <w:rFonts w:eastAsia="Arial Unicode MS"/>
              </w:rPr>
            </w:pPr>
            <w:r w:rsidRPr="00D608A4">
              <w:rPr>
                <w:rFonts w:eastAsia="Arial Unicode MS"/>
              </w:rPr>
              <w:t>Organisational strategy and goals</w:t>
            </w:r>
          </w:p>
        </w:tc>
      </w:tr>
      <w:tr w:rsidR="00D608A4" w14:paraId="60835822" w14:textId="77777777" w:rsidTr="001E36BC">
        <w:tc>
          <w:tcPr>
            <w:tcW w:w="3256" w:type="dxa"/>
            <w:shd w:val="clear" w:color="auto" w:fill="D9D9D9" w:themeFill="background1" w:themeFillShade="D9"/>
          </w:tcPr>
          <w:p w14:paraId="68F076DC" w14:textId="77777777" w:rsidR="001E36BC" w:rsidRDefault="00D608A4" w:rsidP="001E36BC">
            <w:pPr>
              <w:spacing w:before="60" w:after="60"/>
              <w:rPr>
                <w:rFonts w:eastAsia="Arial Unicode MS"/>
                <w:b/>
                <w:bCs/>
              </w:rPr>
            </w:pPr>
            <w:r w:rsidRPr="001E36BC">
              <w:rPr>
                <w:rFonts w:eastAsia="Arial Unicode MS"/>
                <w:b/>
                <w:bCs/>
              </w:rPr>
              <w:t xml:space="preserve">Enabling levers </w:t>
            </w:r>
          </w:p>
          <w:p w14:paraId="38DC210C" w14:textId="076C8329" w:rsidR="00D608A4" w:rsidRPr="001E36BC" w:rsidRDefault="00D608A4" w:rsidP="001E36BC">
            <w:pPr>
              <w:spacing w:before="60" w:after="60"/>
              <w:rPr>
                <w:rFonts w:eastAsia="Arial Unicode MS"/>
                <w:b/>
                <w:bCs/>
              </w:rPr>
            </w:pPr>
            <w:r w:rsidRPr="001E36BC">
              <w:rPr>
                <w:rFonts w:eastAsia="Arial Unicode MS"/>
                <w:b/>
                <w:bCs/>
              </w:rPr>
              <w:t>(preparatory work)</w:t>
            </w:r>
          </w:p>
        </w:tc>
        <w:tc>
          <w:tcPr>
            <w:tcW w:w="4813" w:type="dxa"/>
          </w:tcPr>
          <w:p w14:paraId="5AB89116" w14:textId="77777777" w:rsidR="00D608A4" w:rsidRDefault="00D608A4" w:rsidP="001E36BC">
            <w:pPr>
              <w:spacing w:before="60" w:after="60"/>
              <w:rPr>
                <w:rFonts w:eastAsia="Arial Unicode MS"/>
              </w:rPr>
            </w:pPr>
            <w:r w:rsidRPr="00D608A4">
              <w:rPr>
                <w:rFonts w:eastAsia="Arial Unicode MS"/>
              </w:rPr>
              <w:t xml:space="preserve">Budgets and resourcing </w:t>
            </w:r>
          </w:p>
          <w:p w14:paraId="02C6E3D2" w14:textId="77777777" w:rsidR="00D608A4" w:rsidRDefault="00D608A4" w:rsidP="001E36BC">
            <w:pPr>
              <w:spacing w:before="60" w:after="60"/>
              <w:rPr>
                <w:rFonts w:eastAsia="Arial Unicode MS"/>
              </w:rPr>
            </w:pPr>
            <w:r w:rsidRPr="00D608A4">
              <w:rPr>
                <w:rFonts w:eastAsia="Arial Unicode MS"/>
              </w:rPr>
              <w:t xml:space="preserve">Power and commitment </w:t>
            </w:r>
          </w:p>
          <w:p w14:paraId="1112A882" w14:textId="75A2D4B4" w:rsidR="00D608A4" w:rsidRPr="00D608A4" w:rsidRDefault="00D608A4" w:rsidP="001E36BC">
            <w:pPr>
              <w:spacing w:before="60" w:after="60"/>
              <w:rPr>
                <w:rFonts w:eastAsia="Arial Unicode MS"/>
              </w:rPr>
            </w:pPr>
            <w:r w:rsidRPr="00D608A4">
              <w:rPr>
                <w:rFonts w:eastAsia="Arial Unicode MS"/>
              </w:rPr>
              <w:t>HR policies</w:t>
            </w:r>
          </w:p>
          <w:p w14:paraId="13D7435E" w14:textId="77777777" w:rsidR="00D608A4" w:rsidRPr="00D608A4" w:rsidRDefault="00D608A4" w:rsidP="001E36BC">
            <w:pPr>
              <w:spacing w:before="60" w:after="60"/>
              <w:rPr>
                <w:rFonts w:eastAsia="Arial Unicode MS"/>
              </w:rPr>
            </w:pPr>
            <w:r w:rsidRPr="00D608A4">
              <w:rPr>
                <w:rFonts w:eastAsia="Arial Unicode MS"/>
              </w:rPr>
              <w:t>Training Practice</w:t>
            </w:r>
          </w:p>
          <w:p w14:paraId="44403335" w14:textId="77777777" w:rsidR="00D608A4" w:rsidRPr="00D608A4" w:rsidRDefault="00D608A4" w:rsidP="001E36BC">
            <w:pPr>
              <w:spacing w:before="60" w:after="60"/>
              <w:rPr>
                <w:rFonts w:eastAsia="Arial Unicode MS"/>
              </w:rPr>
            </w:pPr>
            <w:r w:rsidRPr="00D608A4">
              <w:rPr>
                <w:rFonts w:eastAsia="Arial Unicode MS"/>
              </w:rPr>
              <w:t>Data Collection</w:t>
            </w:r>
          </w:p>
          <w:p w14:paraId="6FEC8A52" w14:textId="6DF94BB9" w:rsidR="00D608A4" w:rsidRDefault="00D608A4" w:rsidP="001E36BC">
            <w:pPr>
              <w:spacing w:before="60" w:after="60"/>
              <w:rPr>
                <w:rFonts w:eastAsia="Arial Unicode MS"/>
              </w:rPr>
            </w:pPr>
            <w:r w:rsidRPr="00D608A4">
              <w:rPr>
                <w:rFonts w:eastAsia="Arial Unicode MS"/>
              </w:rPr>
              <w:t>Monitoring, reporting and auditing</w:t>
            </w:r>
          </w:p>
        </w:tc>
      </w:tr>
      <w:tr w:rsidR="00D608A4" w14:paraId="4204959C" w14:textId="77777777" w:rsidTr="001E36BC">
        <w:tc>
          <w:tcPr>
            <w:tcW w:w="3256" w:type="dxa"/>
            <w:shd w:val="clear" w:color="auto" w:fill="D9D9D9" w:themeFill="background1" w:themeFillShade="D9"/>
          </w:tcPr>
          <w:p w14:paraId="29D9035E" w14:textId="6FC9D0CC" w:rsidR="00D608A4" w:rsidRPr="001E36BC" w:rsidRDefault="00D608A4" w:rsidP="001E36BC">
            <w:pPr>
              <w:spacing w:before="60" w:after="60"/>
              <w:rPr>
                <w:rFonts w:eastAsia="Arial Unicode MS"/>
                <w:b/>
                <w:bCs/>
              </w:rPr>
            </w:pPr>
            <w:r w:rsidRPr="001E36BC">
              <w:rPr>
                <w:rFonts w:eastAsia="Arial Unicode MS"/>
                <w:b/>
                <w:bCs/>
              </w:rPr>
              <w:t>Protective levers</w:t>
            </w:r>
          </w:p>
        </w:tc>
        <w:tc>
          <w:tcPr>
            <w:tcW w:w="4813" w:type="dxa"/>
          </w:tcPr>
          <w:p w14:paraId="4950C3C6" w14:textId="77777777" w:rsidR="00D608A4" w:rsidRDefault="00D608A4" w:rsidP="001E36BC">
            <w:pPr>
              <w:spacing w:before="60" w:after="60"/>
              <w:rPr>
                <w:rFonts w:eastAsia="Arial Unicode MS"/>
              </w:rPr>
            </w:pPr>
            <w:r w:rsidRPr="00D608A4">
              <w:rPr>
                <w:rFonts w:eastAsia="Arial Unicode MS"/>
              </w:rPr>
              <w:t xml:space="preserve">Power and commitment* </w:t>
            </w:r>
          </w:p>
          <w:p w14:paraId="3494889F" w14:textId="4359063A" w:rsidR="00D608A4" w:rsidRPr="00D608A4" w:rsidRDefault="00D608A4" w:rsidP="001E36BC">
            <w:pPr>
              <w:spacing w:before="60" w:after="60"/>
              <w:rPr>
                <w:rFonts w:eastAsia="Arial Unicode MS"/>
              </w:rPr>
            </w:pPr>
            <w:r w:rsidRPr="00D608A4">
              <w:rPr>
                <w:rFonts w:eastAsia="Arial Unicode MS"/>
              </w:rPr>
              <w:t>HR policies*</w:t>
            </w:r>
          </w:p>
          <w:p w14:paraId="414A1A19" w14:textId="77777777" w:rsidR="00D608A4" w:rsidRPr="00D608A4" w:rsidRDefault="00D608A4" w:rsidP="001E36BC">
            <w:pPr>
              <w:spacing w:before="60" w:after="60"/>
              <w:rPr>
                <w:rFonts w:eastAsia="Arial Unicode MS"/>
              </w:rPr>
            </w:pPr>
            <w:r w:rsidRPr="00D608A4">
              <w:rPr>
                <w:rFonts w:eastAsia="Arial Unicode MS"/>
              </w:rPr>
              <w:t>Practice*</w:t>
            </w:r>
          </w:p>
          <w:p w14:paraId="05630006" w14:textId="52D7FEDB" w:rsidR="00D608A4" w:rsidRDefault="00D608A4" w:rsidP="001E36BC">
            <w:pPr>
              <w:spacing w:before="60" w:after="60"/>
              <w:rPr>
                <w:rFonts w:eastAsia="Arial Unicode MS"/>
              </w:rPr>
            </w:pPr>
            <w:r w:rsidRPr="001E36BC">
              <w:rPr>
                <w:rFonts w:eastAsia="Arial Unicode MS"/>
                <w:sz w:val="18"/>
                <w:szCs w:val="16"/>
              </w:rPr>
              <w:t>*To the extent that the initiatives within these levers have a protective impact for under- served groups</w:t>
            </w:r>
          </w:p>
        </w:tc>
      </w:tr>
      <w:tr w:rsidR="00D608A4" w14:paraId="0BAE90EF" w14:textId="77777777" w:rsidTr="001E36BC">
        <w:trPr>
          <w:trHeight w:val="60"/>
        </w:trPr>
        <w:tc>
          <w:tcPr>
            <w:tcW w:w="3256" w:type="dxa"/>
            <w:shd w:val="clear" w:color="auto" w:fill="D9D9D9" w:themeFill="background1" w:themeFillShade="D9"/>
          </w:tcPr>
          <w:p w14:paraId="44EC5AB0" w14:textId="666E1D94" w:rsidR="00D608A4" w:rsidRPr="001E36BC" w:rsidRDefault="00D608A4" w:rsidP="001E36BC">
            <w:pPr>
              <w:spacing w:before="60" w:after="60"/>
              <w:rPr>
                <w:rFonts w:eastAsia="Arial Unicode MS"/>
                <w:b/>
                <w:bCs/>
              </w:rPr>
            </w:pPr>
            <w:r w:rsidRPr="001E36BC">
              <w:rPr>
                <w:rFonts w:eastAsia="Arial Unicode MS"/>
                <w:b/>
                <w:bCs/>
              </w:rPr>
              <w:t>Deep wiring levers</w:t>
            </w:r>
          </w:p>
        </w:tc>
        <w:tc>
          <w:tcPr>
            <w:tcW w:w="4813" w:type="dxa"/>
          </w:tcPr>
          <w:p w14:paraId="3A5FE3AF" w14:textId="226B5DE6" w:rsidR="00D608A4" w:rsidRDefault="001E36BC" w:rsidP="001E36BC">
            <w:pPr>
              <w:spacing w:before="60" w:after="60"/>
              <w:rPr>
                <w:rFonts w:eastAsia="Arial Unicode MS"/>
              </w:rPr>
            </w:pPr>
            <w:r w:rsidRPr="001E36BC">
              <w:rPr>
                <w:rFonts w:eastAsia="Arial Unicode MS"/>
              </w:rPr>
              <w:t>Service/Product Design</w:t>
            </w:r>
          </w:p>
        </w:tc>
      </w:tr>
    </w:tbl>
    <w:p w14:paraId="258D9FE0" w14:textId="77777777" w:rsidR="00D608A4" w:rsidRDefault="00D608A4" w:rsidP="00D608A4">
      <w:pPr>
        <w:rPr>
          <w:rFonts w:eastAsia="Arial Unicode MS"/>
        </w:rPr>
      </w:pPr>
    </w:p>
    <w:p w14:paraId="55F916CD" w14:textId="0F6E4D90" w:rsidR="00D608A4" w:rsidRDefault="00D608A4" w:rsidP="00D608A4">
      <w:pPr>
        <w:rPr>
          <w:rFonts w:eastAsia="Arial Unicode MS"/>
        </w:rPr>
      </w:pPr>
      <w:r w:rsidRPr="00D608A4">
        <w:rPr>
          <w:rFonts w:eastAsia="Arial Unicode MS"/>
        </w:rPr>
        <w:t>Completing this analysis requires inspecting the impact of the initiatives under each lever to quantify the volume of initiatives under each of the four categories, which could either be a simple numeric</w:t>
      </w:r>
      <w:r w:rsidR="001E36BC">
        <w:rPr>
          <w:rFonts w:eastAsia="Arial Unicode MS"/>
        </w:rPr>
        <w:t xml:space="preserve"> </w:t>
      </w:r>
      <w:r w:rsidR="001E36BC" w:rsidRPr="001E36BC">
        <w:rPr>
          <w:rFonts w:eastAsia="Arial Unicode MS"/>
        </w:rPr>
        <w:t>approach or according to assigned budget.</w:t>
      </w:r>
    </w:p>
    <w:p w14:paraId="15A24643" w14:textId="0D6E2D9E" w:rsidR="001E36BC" w:rsidRDefault="001E36BC" w:rsidP="00D608A4">
      <w:pPr>
        <w:rPr>
          <w:rFonts w:eastAsia="Arial Unicode MS"/>
        </w:rPr>
      </w:pPr>
    </w:p>
    <w:p w14:paraId="56D8BF7E" w14:textId="4098BD9B" w:rsidR="001E36BC" w:rsidRPr="00D608A4" w:rsidRDefault="001E36BC" w:rsidP="001E36BC">
      <w:pPr>
        <w:rPr>
          <w:rFonts w:eastAsia="Arial Unicode MS"/>
        </w:rPr>
      </w:pPr>
      <w:r w:rsidRPr="001E36BC">
        <w:rPr>
          <w:rFonts w:eastAsia="Arial Unicode MS"/>
        </w:rPr>
        <w:t>The second analytical component is assessing each of the initiatives against four factors which provide insight into the efficacy of the portfolio of work.</w:t>
      </w:r>
      <w:r>
        <w:rPr>
          <w:rFonts w:eastAsia="Arial Unicode MS"/>
        </w:rPr>
        <w:t xml:space="preserve"> </w:t>
      </w:r>
      <w:r w:rsidRPr="001E36BC">
        <w:rPr>
          <w:rFonts w:eastAsia="Arial Unicode MS"/>
        </w:rPr>
        <w:t>The proposed factors are:</w:t>
      </w:r>
    </w:p>
    <w:p w14:paraId="6B932EDF" w14:textId="6CD22EDC" w:rsidR="001E36BC" w:rsidRPr="001E36BC" w:rsidRDefault="001E36BC" w:rsidP="001E36BC">
      <w:pPr>
        <w:pStyle w:val="Bullet"/>
        <w:rPr>
          <w:rFonts w:eastAsia="Arial Unicode MS"/>
        </w:rPr>
      </w:pPr>
      <w:r w:rsidRPr="001E36BC">
        <w:rPr>
          <w:rFonts w:eastAsia="Arial Unicode MS"/>
        </w:rPr>
        <w:t>Impact – the extent of transformation achieved by individual initiatives is helpful for prioritising investment, recognising that small steps (or lower impact) can be necessary to build into higher impact initiatives. It is important to distinguish between the meaningfulness of an initiative to those involved in it and the impact. An initiative can have high meaning, such as the ability for an under-served group to come together for mutual social support. However, the impact might only be moderate, in that the group coming together provides short-term support to those exposed to racism, without contributing tangible systemic change. Equally an initiative might have low emotional resonance, but high impact, for example, an equity dashboard or budget evaluation tool.</w:t>
      </w:r>
    </w:p>
    <w:p w14:paraId="087A1C1F" w14:textId="77777777" w:rsidR="001E36BC" w:rsidRPr="001E36BC" w:rsidRDefault="001E36BC" w:rsidP="001E36BC">
      <w:pPr>
        <w:pStyle w:val="Bullet"/>
        <w:rPr>
          <w:rFonts w:eastAsia="Arial Unicode MS"/>
        </w:rPr>
      </w:pPr>
      <w:r w:rsidRPr="001E36BC">
        <w:rPr>
          <w:rFonts w:eastAsia="Arial Unicode MS"/>
        </w:rPr>
        <w:t>Time to impact – there is a need for interventions that achieve impact across all time horizons. However, without considering the interaction between initiatives organisations can unknowingly over-invest in a particular time horizon.</w:t>
      </w:r>
    </w:p>
    <w:p w14:paraId="5A59A8B6" w14:textId="3B84D70C" w:rsidR="001E36BC" w:rsidRPr="001E36BC" w:rsidRDefault="001E36BC" w:rsidP="001E36BC">
      <w:pPr>
        <w:pStyle w:val="Bullet"/>
        <w:rPr>
          <w:rFonts w:eastAsia="Arial Unicode MS"/>
        </w:rPr>
      </w:pPr>
      <w:r w:rsidRPr="001E36BC">
        <w:rPr>
          <w:rFonts w:eastAsia="Arial Unicode MS"/>
        </w:rPr>
        <w:t xml:space="preserve">Scale and reach – the reach of initiatives is relevant to the normalisation of the desired future state. Broader scale initiatives are necessary to achieve normalisation, </w:t>
      </w:r>
      <w:r w:rsidRPr="001E36BC">
        <w:rPr>
          <w:rFonts w:eastAsia="Arial Unicode MS"/>
        </w:rPr>
        <w:lastRenderedPageBreak/>
        <w:t>but smaller scale initiatives have an important role in building momentum as well as fostering innovation. Like the other factors for assessment, considering scale aims to be revelatory for organisations and prompt discussion on the optimal balance across different levels of scale.</w:t>
      </w:r>
    </w:p>
    <w:p w14:paraId="3CAA2AA7" w14:textId="77777777" w:rsidR="001E36BC" w:rsidRPr="001E36BC" w:rsidRDefault="001E36BC" w:rsidP="001E36BC">
      <w:pPr>
        <w:pStyle w:val="Bullet"/>
        <w:rPr>
          <w:rFonts w:eastAsia="Arial Unicode MS"/>
        </w:rPr>
      </w:pPr>
      <w:r w:rsidRPr="001E36BC">
        <w:rPr>
          <w:rFonts w:eastAsia="Arial Unicode MS"/>
        </w:rPr>
        <w:t>Strategic significance – some initiatives may have symbolic importance that is an important contribution, independent of any of the other factors for assessment.</w:t>
      </w:r>
    </w:p>
    <w:p w14:paraId="4FECA8F6" w14:textId="723AB462" w:rsidR="00D608A4" w:rsidRDefault="00D608A4" w:rsidP="001E36BC">
      <w:pPr>
        <w:rPr>
          <w:rFonts w:eastAsia="Arial Unicode MS"/>
        </w:rPr>
      </w:pPr>
    </w:p>
    <w:p w14:paraId="1DB39DE9" w14:textId="54199A36" w:rsidR="001E36BC" w:rsidRDefault="001E36BC" w:rsidP="001E36BC">
      <w:pPr>
        <w:rPr>
          <w:rFonts w:eastAsia="Arial Unicode MS"/>
        </w:rPr>
      </w:pPr>
      <w:r w:rsidRPr="001E36BC">
        <w:rPr>
          <w:rFonts w:eastAsia="Arial Unicode MS"/>
        </w:rPr>
        <w:t>These factors are well suited to a range of graphic representations that allow an organisation to see the cumulative impact</w:t>
      </w:r>
      <w:r>
        <w:rPr>
          <w:rFonts w:eastAsia="Arial Unicode MS"/>
        </w:rPr>
        <w:t xml:space="preserve"> </w:t>
      </w:r>
      <w:r w:rsidRPr="001E36BC">
        <w:rPr>
          <w:rFonts w:eastAsia="Arial Unicode MS"/>
        </w:rPr>
        <w:t>and the inter-relationship between their full suite of initiatives.</w:t>
      </w:r>
    </w:p>
    <w:p w14:paraId="753DEA6C" w14:textId="77777777" w:rsidR="001E36BC" w:rsidRPr="001E36BC" w:rsidRDefault="001E36BC" w:rsidP="001E36BC">
      <w:pPr>
        <w:rPr>
          <w:rFonts w:eastAsia="Arial Unicode MS"/>
        </w:rPr>
      </w:pPr>
    </w:p>
    <w:p w14:paraId="51270950" w14:textId="02EACD8D" w:rsidR="001E36BC" w:rsidRDefault="001E36BC" w:rsidP="001E36BC">
      <w:pPr>
        <w:rPr>
          <w:rFonts w:eastAsia="Arial Unicode MS"/>
        </w:rPr>
      </w:pPr>
      <w:r w:rsidRPr="001E36BC">
        <w:rPr>
          <w:rFonts w:eastAsia="Arial Unicode MS"/>
        </w:rPr>
        <w:t>In combination, the two stages of analysis are likely to be revelatory for organisations to understand the impact, efficacy and tacit priorities informing their current approach to anti-racism. These insights provide</w:t>
      </w:r>
      <w:r>
        <w:rPr>
          <w:rFonts w:eastAsia="Arial Unicode MS"/>
        </w:rPr>
        <w:t xml:space="preserve"> </w:t>
      </w:r>
      <w:r w:rsidRPr="001E36BC">
        <w:rPr>
          <w:rFonts w:eastAsia="Arial Unicode MS"/>
        </w:rPr>
        <w:t>a solid foundation for the next phase of applying Whiria te Muka.</w:t>
      </w:r>
    </w:p>
    <w:p w14:paraId="04DC5C8A" w14:textId="27EA8CE8" w:rsidR="001E36BC" w:rsidRDefault="001E36BC" w:rsidP="001E36BC">
      <w:pPr>
        <w:pStyle w:val="Heading3"/>
        <w:rPr>
          <w:rFonts w:eastAsia="Arial Unicode MS"/>
        </w:rPr>
      </w:pPr>
      <w:r>
        <w:rPr>
          <w:rFonts w:eastAsia="Arial Unicode MS"/>
        </w:rPr>
        <w:t>Score</w:t>
      </w:r>
    </w:p>
    <w:p w14:paraId="5904A7C3" w14:textId="41F03E60" w:rsidR="001E36BC" w:rsidRDefault="001E36BC" w:rsidP="001E36BC">
      <w:pPr>
        <w:rPr>
          <w:rFonts w:eastAsia="Arial Unicode MS"/>
        </w:rPr>
      </w:pPr>
      <w:r w:rsidRPr="001E36BC">
        <w:rPr>
          <w:rFonts w:eastAsia="Arial Unicode MS"/>
        </w:rPr>
        <w:t>The scoring phase of Whiria te Muka to benchmark the organisation by assessing an organisation’s performance on their journey toward anti-racism. Drawing on insights from the stocktake and analysis phases, as well as wider insights into the organisation, performance is scored against each of the whiri and aho within Whiria</w:t>
      </w:r>
      <w:r>
        <w:rPr>
          <w:rFonts w:eastAsia="Arial Unicode MS"/>
        </w:rPr>
        <w:t xml:space="preserve"> </w:t>
      </w:r>
      <w:r w:rsidRPr="001E36BC">
        <w:rPr>
          <w:rFonts w:eastAsia="Arial Unicode MS"/>
        </w:rPr>
        <w:t>te Muka, across a spectrum of kaha (or maturity level). The spectrum is plotted below:</w:t>
      </w:r>
    </w:p>
    <w:p w14:paraId="3895C5B6" w14:textId="64CEB2FA" w:rsidR="001E36BC" w:rsidRDefault="001E36BC" w:rsidP="001E36BC">
      <w:pPr>
        <w:rPr>
          <w:rFonts w:eastAsia="Arial Unicode MS"/>
        </w:rPr>
      </w:pPr>
    </w:p>
    <w:p w14:paraId="68B5152F" w14:textId="67C57654" w:rsidR="001E36BC" w:rsidRDefault="001E36BC" w:rsidP="001E36BC">
      <w:pPr>
        <w:rPr>
          <w:rFonts w:eastAsia="Arial Unicode MS"/>
        </w:rPr>
      </w:pPr>
      <w:r>
        <w:rPr>
          <w:noProof/>
        </w:rPr>
        <w:drawing>
          <wp:inline distT="0" distB="0" distL="0" distR="0" wp14:anchorId="4F11574E" wp14:editId="73039901">
            <wp:extent cx="5130165" cy="1556385"/>
            <wp:effectExtent l="0" t="0" r="0" b="5715"/>
            <wp:docPr id="14" name="Picture 14" descr="Resistant; Passive; Curious; Determined;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sistant; Passive; Curious; Determined; Connected"/>
                    <pic:cNvPicPr/>
                  </pic:nvPicPr>
                  <pic:blipFill>
                    <a:blip r:embed="rId33">
                      <a:extLst>
                        <a:ext uri="{28A0092B-C50C-407E-A947-70E740481C1C}">
                          <a14:useLocalDpi xmlns:a14="http://schemas.microsoft.com/office/drawing/2010/main" val="0"/>
                        </a:ext>
                      </a:extLst>
                    </a:blip>
                    <a:stretch>
                      <a:fillRect/>
                    </a:stretch>
                  </pic:blipFill>
                  <pic:spPr>
                    <a:xfrm>
                      <a:off x="0" y="0"/>
                      <a:ext cx="5130165" cy="1556385"/>
                    </a:xfrm>
                    <a:prstGeom prst="rect">
                      <a:avLst/>
                    </a:prstGeom>
                  </pic:spPr>
                </pic:pic>
              </a:graphicData>
            </a:graphic>
          </wp:inline>
        </w:drawing>
      </w:r>
    </w:p>
    <w:p w14:paraId="1D5974CC" w14:textId="4DF37849" w:rsidR="001E36BC" w:rsidRDefault="001E36BC" w:rsidP="001E36BC">
      <w:pPr>
        <w:rPr>
          <w:rFonts w:eastAsia="Arial Unicode MS"/>
        </w:rPr>
      </w:pPr>
    </w:p>
    <w:p w14:paraId="7818E036" w14:textId="79048262" w:rsidR="001E36BC" w:rsidRPr="001E36BC" w:rsidRDefault="001E36BC" w:rsidP="001E36BC">
      <w:pPr>
        <w:rPr>
          <w:rFonts w:eastAsia="Arial Unicode MS"/>
        </w:rPr>
      </w:pPr>
      <w:r w:rsidRPr="001E36BC">
        <w:rPr>
          <w:rFonts w:eastAsia="Arial Unicode MS"/>
        </w:rPr>
        <w:t>The goal of benchmarking is for an organisation to achieve an honest, full and potentially challenging understanding of their current place on the journey towards anti-racism. The value for an organisation is that it creates a point in time reference for the organisation to track future progress.</w:t>
      </w:r>
      <w:r>
        <w:rPr>
          <w:rFonts w:eastAsia="Arial Unicode MS"/>
        </w:rPr>
        <w:t xml:space="preserve"> </w:t>
      </w:r>
      <w:r w:rsidRPr="001E36BC">
        <w:rPr>
          <w:rFonts w:eastAsia="Arial Unicode MS"/>
        </w:rPr>
        <w:t>It is also a mechanism to build a culture of</w:t>
      </w:r>
      <w:r>
        <w:rPr>
          <w:rFonts w:eastAsia="Arial Unicode MS"/>
        </w:rPr>
        <w:t xml:space="preserve"> </w:t>
      </w:r>
      <w:r w:rsidRPr="001E36BC">
        <w:rPr>
          <w:rFonts w:eastAsia="Arial Unicode MS"/>
        </w:rPr>
        <w:t xml:space="preserve"> </w:t>
      </w:r>
    </w:p>
    <w:p w14:paraId="6D5E7DD0" w14:textId="3D0ADC8B" w:rsidR="001E36BC" w:rsidRDefault="001E36BC" w:rsidP="001E36BC">
      <w:pPr>
        <w:rPr>
          <w:rFonts w:eastAsia="Arial Unicode MS"/>
        </w:rPr>
      </w:pPr>
      <w:r w:rsidRPr="001E36BC">
        <w:rPr>
          <w:rFonts w:eastAsia="Arial Unicode MS"/>
        </w:rPr>
        <w:t>accountability for, and momentum toward, anti-racism.</w:t>
      </w:r>
    </w:p>
    <w:p w14:paraId="64BB8C8C" w14:textId="77777777" w:rsidR="001E36BC" w:rsidRPr="001E36BC" w:rsidRDefault="001E36BC" w:rsidP="001E36BC">
      <w:pPr>
        <w:rPr>
          <w:rFonts w:eastAsia="Arial Unicode MS"/>
        </w:rPr>
      </w:pPr>
    </w:p>
    <w:p w14:paraId="50ED21A9" w14:textId="77777777" w:rsidR="000F3014" w:rsidRDefault="001E36BC" w:rsidP="001E36BC">
      <w:pPr>
        <w:rPr>
          <w:rFonts w:eastAsia="Arial Unicode MS"/>
        </w:rPr>
        <w:sectPr w:rsidR="000F3014" w:rsidSect="00C67BC1">
          <w:pgSz w:w="11907" w:h="16840" w:code="9"/>
          <w:pgMar w:top="1418" w:right="1701" w:bottom="1134" w:left="1843" w:header="284" w:footer="425" w:gutter="284"/>
          <w:cols w:space="720"/>
        </w:sectPr>
      </w:pPr>
      <w:r w:rsidRPr="001E36BC">
        <w:rPr>
          <w:rFonts w:eastAsia="Arial Unicode MS"/>
        </w:rPr>
        <w:t>A preliminary scoring rubric has been developed and is appended in full in Appendix A. Indicative visual</w:t>
      </w:r>
      <w:r>
        <w:rPr>
          <w:rFonts w:eastAsia="Arial Unicode MS"/>
        </w:rPr>
        <w:t xml:space="preserve"> </w:t>
      </w:r>
      <w:r w:rsidRPr="001E36BC">
        <w:rPr>
          <w:rFonts w:eastAsia="Arial Unicode MS"/>
        </w:rPr>
        <w:t>representations are included in Figures 1-3 below.</w:t>
      </w:r>
    </w:p>
    <w:p w14:paraId="1ABB1D04" w14:textId="7FF2F008" w:rsidR="001E36BC" w:rsidRDefault="00CA2803" w:rsidP="001E36BC">
      <w:pPr>
        <w:rPr>
          <w:rFonts w:eastAsia="Arial Unicode MS"/>
        </w:rPr>
        <w:sectPr w:rsidR="001E36BC" w:rsidSect="00CA2803">
          <w:footerReference w:type="default" r:id="rId34"/>
          <w:pgSz w:w="16840" w:h="11907" w:orient="landscape" w:code="9"/>
          <w:pgMar w:top="1134" w:right="1701" w:bottom="1418" w:left="1701" w:header="284" w:footer="425" w:gutter="284"/>
          <w:cols w:space="720"/>
          <w:docGrid w:linePitch="286"/>
        </w:sectPr>
      </w:pPr>
      <w:r>
        <w:rPr>
          <w:noProof/>
        </w:rPr>
        <w:lastRenderedPageBreak/>
        <w:drawing>
          <wp:anchor distT="0" distB="0" distL="114300" distR="114300" simplePos="0" relativeHeight="251667456" behindDoc="0" locked="0" layoutInCell="1" allowOverlap="1" wp14:anchorId="25EF69DB" wp14:editId="3FB1D04F">
            <wp:simplePos x="0" y="0"/>
            <wp:positionH relativeFrom="page">
              <wp:posOffset>720090</wp:posOffset>
            </wp:positionH>
            <wp:positionV relativeFrom="page">
              <wp:posOffset>1531620</wp:posOffset>
            </wp:positionV>
            <wp:extent cx="9072880" cy="4772660"/>
            <wp:effectExtent l="0" t="0" r="0" b="8890"/>
            <wp:wrapTight wrapText="bothSides">
              <wp:wrapPolygon edited="0">
                <wp:start x="0" y="0"/>
                <wp:lineTo x="0" y="21554"/>
                <wp:lineTo x="21543" y="21554"/>
                <wp:lineTo x="21543" y="0"/>
                <wp:lineTo x="0" y="0"/>
              </wp:wrapPolygon>
            </wp:wrapTight>
            <wp:docPr id="5" name="Picture 5" descr="The scoring rubric shows an average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coring rubric shows an average of 2.5"/>
                    <pic:cNvPicPr/>
                  </pic:nvPicPr>
                  <pic:blipFill>
                    <a:blip r:embed="rId35"/>
                    <a:stretch>
                      <a:fillRect/>
                    </a:stretch>
                  </pic:blipFill>
                  <pic:spPr>
                    <a:xfrm>
                      <a:off x="0" y="0"/>
                      <a:ext cx="9072880" cy="4772660"/>
                    </a:xfrm>
                    <a:prstGeom prst="rect">
                      <a:avLst/>
                    </a:prstGeom>
                  </pic:spPr>
                </pic:pic>
              </a:graphicData>
            </a:graphic>
          </wp:anchor>
        </w:drawing>
      </w:r>
    </w:p>
    <w:p w14:paraId="3A9C0EC7" w14:textId="343122BE" w:rsidR="001E36BC" w:rsidRDefault="001E36BC" w:rsidP="001E36BC">
      <w:r>
        <w:lastRenderedPageBreak/>
        <w:t>In many cases, an organisation may not fit perfectly into a singular kaha (or maturity level). Each level is nuanced and complex, and this rubric is an illustrative pathway for organisations, it is not comprehensive. We should expect the competencies within each kaha to evolve as our understanding and practical application of each whiri and aho matures over time.</w:t>
      </w:r>
    </w:p>
    <w:p w14:paraId="0FEFACB5" w14:textId="77777777" w:rsidR="001E36BC" w:rsidRDefault="001E36BC" w:rsidP="001E36BC"/>
    <w:p w14:paraId="604AFC59" w14:textId="7B68D7FC" w:rsidR="001E36BC" w:rsidRDefault="001E36BC" w:rsidP="001E36BC">
      <w:r>
        <w:t>The process for benchmarking could involve a range of participatory processes, such as using a representative panel to complete the assessment, a range of survey-based assessments and/or elements of peer review. We propose to further test the calibration of the scoring rubric and the benchmarking processes in the next phase of Ao Mai te Rā.</w:t>
      </w:r>
    </w:p>
    <w:p w14:paraId="0032E546" w14:textId="77777777" w:rsidR="001E36BC" w:rsidRDefault="001E36BC" w:rsidP="001E36BC"/>
    <w:p w14:paraId="60306EAB" w14:textId="496B63EF" w:rsidR="001E36BC" w:rsidRDefault="001E36BC" w:rsidP="001E36BC">
      <w:r>
        <w:t xml:space="preserve">The scoring rubric also produces visual depictions that simplify the organisations results - outlining their strengths, weaknesses, and areas for future investment. Indicative graphics are depicted </w:t>
      </w:r>
      <w:r w:rsidRPr="00B26A99">
        <w:t xml:space="preserve">in </w:t>
      </w:r>
      <w:r w:rsidRPr="00FF4A1D">
        <w:t>Figu</w:t>
      </w:r>
      <w:r w:rsidR="00597923" w:rsidRPr="00FF4A1D">
        <w:t>r</w:t>
      </w:r>
      <w:r w:rsidRPr="00FF4A1D">
        <w:t xml:space="preserve">es </w:t>
      </w:r>
      <w:r w:rsidR="00B26A99" w:rsidRPr="00FF4A1D">
        <w:t xml:space="preserve">1 </w:t>
      </w:r>
      <w:r w:rsidRPr="00FF4A1D">
        <w:t xml:space="preserve">and </w:t>
      </w:r>
      <w:r w:rsidR="00B26A99" w:rsidRPr="00B26A99">
        <w:t>2</w:t>
      </w:r>
      <w:r w:rsidRPr="00B26A99">
        <w:t>. These</w:t>
      </w:r>
      <w:r>
        <w:t xml:space="preserve"> images depict the relative strength of an organisation’s level of kaha for each of the whiri, aho or whenu. The closer the line is to the centre of the graphic, the weaker the level of kaha is assessed to be that the closer the line is to the outer edges of the graphic, the stronger the level of progression.</w:t>
      </w:r>
    </w:p>
    <w:p w14:paraId="3EC07DF0" w14:textId="77777777" w:rsidR="00CA2803" w:rsidRPr="001E36BC" w:rsidRDefault="00CA2803" w:rsidP="001E36BC"/>
    <w:p w14:paraId="105A6642" w14:textId="6B5DE33B" w:rsidR="001E36BC" w:rsidRDefault="001E36BC" w:rsidP="001E36BC">
      <w:pPr>
        <w:pStyle w:val="Figure"/>
      </w:pPr>
      <w:r w:rsidRPr="001E36BC">
        <w:t xml:space="preserve">Figure </w:t>
      </w:r>
      <w:r w:rsidR="00791D61">
        <w:fldChar w:fldCharType="begin"/>
      </w:r>
      <w:r w:rsidR="00791D61">
        <w:instrText xml:space="preserve"> SEQ Figure \* ARABIC </w:instrText>
      </w:r>
      <w:r w:rsidR="00791D61">
        <w:fldChar w:fldCharType="separate"/>
      </w:r>
      <w:r w:rsidRPr="001E36BC">
        <w:t>1</w:t>
      </w:r>
      <w:r w:rsidR="00791D61">
        <w:fldChar w:fldCharType="end"/>
      </w:r>
      <w:r>
        <w:t xml:space="preserve">: </w:t>
      </w:r>
      <w:r w:rsidRPr="001E36BC">
        <w:t>High level view of whiri</w:t>
      </w:r>
    </w:p>
    <w:p w14:paraId="0BE32D12" w14:textId="05001089" w:rsidR="001E36BC" w:rsidRPr="001E36BC" w:rsidRDefault="001E36BC" w:rsidP="001E36BC">
      <w:r>
        <w:rPr>
          <w:noProof/>
        </w:rPr>
        <w:drawing>
          <wp:inline distT="0" distB="0" distL="0" distR="0" wp14:anchorId="6E87082C" wp14:editId="16D3E80F">
            <wp:extent cx="4543425" cy="3714750"/>
            <wp:effectExtent l="0" t="0" r="9525" b="0"/>
            <wp:docPr id="16" name="Picture 16" descr="Diagnostic visualisation: Kawa; Tikanga; Ritenga; Pu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nostic visualisation: Kawa; Tikanga; Ritenga; Putanga"/>
                    <pic:cNvPicPr/>
                  </pic:nvPicPr>
                  <pic:blipFill rotWithShape="1">
                    <a:blip r:embed="rId36">
                      <a:extLst>
                        <a:ext uri="{28A0092B-C50C-407E-A947-70E740481C1C}">
                          <a14:useLocalDpi xmlns:a14="http://schemas.microsoft.com/office/drawing/2010/main" val="0"/>
                        </a:ext>
                      </a:extLst>
                    </a:blip>
                    <a:srcRect l="8970"/>
                    <a:stretch/>
                  </pic:blipFill>
                  <pic:spPr bwMode="auto">
                    <a:xfrm>
                      <a:off x="0" y="0"/>
                      <a:ext cx="4543425" cy="3714750"/>
                    </a:xfrm>
                    <a:prstGeom prst="rect">
                      <a:avLst/>
                    </a:prstGeom>
                    <a:ln>
                      <a:noFill/>
                    </a:ln>
                    <a:extLst>
                      <a:ext uri="{53640926-AAD7-44D8-BBD7-CCE9431645EC}">
                        <a14:shadowObscured xmlns:a14="http://schemas.microsoft.com/office/drawing/2010/main"/>
                      </a:ext>
                    </a:extLst>
                  </pic:spPr>
                </pic:pic>
              </a:graphicData>
            </a:graphic>
          </wp:inline>
        </w:drawing>
      </w:r>
    </w:p>
    <w:p w14:paraId="564B95B2" w14:textId="2CBAA6C1" w:rsidR="001E36BC" w:rsidRDefault="001E36BC" w:rsidP="001E36BC"/>
    <w:p w14:paraId="718B2B40" w14:textId="161B1E55" w:rsidR="001E36BC" w:rsidRDefault="001E36BC" w:rsidP="001E36BC">
      <w:pPr>
        <w:pStyle w:val="Figure"/>
      </w:pPr>
      <w:r w:rsidRPr="001E36BC">
        <w:lastRenderedPageBreak/>
        <w:t xml:space="preserve">Figure </w:t>
      </w:r>
      <w:r w:rsidR="00791D61">
        <w:fldChar w:fldCharType="begin"/>
      </w:r>
      <w:r w:rsidR="00791D61">
        <w:instrText xml:space="preserve"> SEQ Figure \* ARABIC </w:instrText>
      </w:r>
      <w:r w:rsidR="00791D61">
        <w:fldChar w:fldCharType="separate"/>
      </w:r>
      <w:r>
        <w:rPr>
          <w:noProof/>
        </w:rPr>
        <w:t>2</w:t>
      </w:r>
      <w:r w:rsidR="00791D61">
        <w:rPr>
          <w:noProof/>
        </w:rPr>
        <w:fldChar w:fldCharType="end"/>
      </w:r>
      <w:r>
        <w:t xml:space="preserve">: </w:t>
      </w:r>
      <w:r w:rsidRPr="001E36BC">
        <w:t>Mid-range view of aho</w:t>
      </w:r>
    </w:p>
    <w:p w14:paraId="29676EA2" w14:textId="366CC917" w:rsidR="001E36BC" w:rsidRPr="001E36BC" w:rsidRDefault="001E36BC" w:rsidP="001E36BC">
      <w:r w:rsidRPr="001E36BC">
        <w:rPr>
          <w:noProof/>
        </w:rPr>
        <w:drawing>
          <wp:inline distT="0" distB="0" distL="0" distR="0" wp14:anchorId="066B56AB" wp14:editId="77B79395">
            <wp:extent cx="4667003" cy="3347025"/>
            <wp:effectExtent l="0" t="0" r="635" b="6350"/>
            <wp:docPr id="17" name="Picture 17" descr="Kawa, Tikanga, Ritenga, Pu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awa, Tikanga, Ritenga, Putanga"/>
                    <pic:cNvPicPr/>
                  </pic:nvPicPr>
                  <pic:blipFill>
                    <a:blip r:embed="rId37">
                      <a:extLst>
                        <a:ext uri="{28A0092B-C50C-407E-A947-70E740481C1C}">
                          <a14:useLocalDpi xmlns:a14="http://schemas.microsoft.com/office/drawing/2010/main" val="0"/>
                        </a:ext>
                      </a:extLst>
                    </a:blip>
                    <a:stretch>
                      <a:fillRect/>
                    </a:stretch>
                  </pic:blipFill>
                  <pic:spPr>
                    <a:xfrm>
                      <a:off x="0" y="0"/>
                      <a:ext cx="4689868" cy="3363423"/>
                    </a:xfrm>
                    <a:prstGeom prst="rect">
                      <a:avLst/>
                    </a:prstGeom>
                  </pic:spPr>
                </pic:pic>
              </a:graphicData>
            </a:graphic>
          </wp:inline>
        </w:drawing>
      </w:r>
    </w:p>
    <w:p w14:paraId="0F9C12D5" w14:textId="03072719" w:rsidR="001E36BC" w:rsidRDefault="001E36BC" w:rsidP="001E36BC"/>
    <w:p w14:paraId="23DF1176" w14:textId="209D191B" w:rsidR="001E36BC" w:rsidRDefault="001E36BC" w:rsidP="001E36BC">
      <w:pPr>
        <w:pStyle w:val="Figure"/>
      </w:pPr>
      <w:r w:rsidRPr="001E36BC">
        <w:t xml:space="preserve">Figure </w:t>
      </w:r>
      <w:r w:rsidR="00791D61">
        <w:fldChar w:fldCharType="begin"/>
      </w:r>
      <w:r w:rsidR="00791D61">
        <w:instrText xml:space="preserve"> SEQ Figure \* ARABIC </w:instrText>
      </w:r>
      <w:r w:rsidR="00791D61">
        <w:fldChar w:fldCharType="separate"/>
      </w:r>
      <w:r>
        <w:rPr>
          <w:noProof/>
        </w:rPr>
        <w:t>3</w:t>
      </w:r>
      <w:r w:rsidR="00791D61">
        <w:rPr>
          <w:noProof/>
        </w:rPr>
        <w:fldChar w:fldCharType="end"/>
      </w:r>
      <w:r>
        <w:t xml:space="preserve">: </w:t>
      </w:r>
      <w:r w:rsidRPr="001E36BC">
        <w:t>Detailed View of whenu (excerpt for legibility)</w:t>
      </w:r>
    </w:p>
    <w:p w14:paraId="11E89D16" w14:textId="32D734E4" w:rsidR="001E36BC" w:rsidRDefault="001E36BC" w:rsidP="001E36BC">
      <w:r w:rsidRPr="001E36BC">
        <w:rPr>
          <w:noProof/>
        </w:rPr>
        <w:drawing>
          <wp:inline distT="0" distB="0" distL="0" distR="0" wp14:anchorId="118264D4" wp14:editId="451DA83E">
            <wp:extent cx="3575190" cy="3894083"/>
            <wp:effectExtent l="0" t="0" r="6350" b="0"/>
            <wp:docPr id="18" name="Picture 18" descr="Kawa Leadership; Kawa Narrative; Tikanga Organisation vision, goals and strategies; Tikanga Power and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awa Leadership; Kawa Narrative; Tikanga Organisation vision, goals and strategies; Tikanga Power and Commitment"/>
                    <pic:cNvPicPr/>
                  </pic:nvPicPr>
                  <pic:blipFill rotWithShape="1">
                    <a:blip r:embed="rId38">
                      <a:extLst>
                        <a:ext uri="{28A0092B-C50C-407E-A947-70E740481C1C}">
                          <a14:useLocalDpi xmlns:a14="http://schemas.microsoft.com/office/drawing/2010/main" val="0"/>
                        </a:ext>
                      </a:extLst>
                    </a:blip>
                    <a:srcRect l="624"/>
                    <a:stretch/>
                  </pic:blipFill>
                  <pic:spPr bwMode="auto">
                    <a:xfrm>
                      <a:off x="0" y="0"/>
                      <a:ext cx="3604369" cy="3925864"/>
                    </a:xfrm>
                    <a:prstGeom prst="rect">
                      <a:avLst/>
                    </a:prstGeom>
                    <a:ln>
                      <a:noFill/>
                    </a:ln>
                    <a:extLst>
                      <a:ext uri="{53640926-AAD7-44D8-BBD7-CCE9431645EC}">
                        <a14:shadowObscured xmlns:a14="http://schemas.microsoft.com/office/drawing/2010/main"/>
                      </a:ext>
                    </a:extLst>
                  </pic:spPr>
                </pic:pic>
              </a:graphicData>
            </a:graphic>
          </wp:inline>
        </w:drawing>
      </w:r>
    </w:p>
    <w:p w14:paraId="0514D171" w14:textId="77777777" w:rsidR="00CA2803" w:rsidRPr="001E36BC" w:rsidRDefault="00CA2803" w:rsidP="001E36BC"/>
    <w:p w14:paraId="083FCB4D" w14:textId="77777777" w:rsidR="00D50333" w:rsidRDefault="00D50333" w:rsidP="001E36BC">
      <w:pPr>
        <w:rPr>
          <w:rFonts w:eastAsia="Arial Unicode MS"/>
        </w:rPr>
        <w:sectPr w:rsidR="00D50333" w:rsidSect="00C67BC1">
          <w:footerReference w:type="default" r:id="rId39"/>
          <w:pgSz w:w="11907" w:h="16840" w:code="9"/>
          <w:pgMar w:top="1418" w:right="1701" w:bottom="1134" w:left="1843" w:header="284" w:footer="425" w:gutter="284"/>
          <w:cols w:space="720"/>
        </w:sectPr>
      </w:pPr>
      <w:r w:rsidRPr="00D50333">
        <w:rPr>
          <w:rFonts w:eastAsia="Arial Unicode MS"/>
        </w:rPr>
        <w:t>These visuals serve as a simple representation of the relative strengths and weaknesses across the full range of change interventions needed to progress anti-racism, contributing to the honest reflection objective of the scoring stage, effective communication across the organisation and forming a shared starting point for approaching what to do next.</w:t>
      </w:r>
    </w:p>
    <w:p w14:paraId="546FBA72" w14:textId="62D431D0" w:rsidR="001E36BC" w:rsidRDefault="00855697" w:rsidP="00855697">
      <w:pPr>
        <w:pStyle w:val="Heading2"/>
        <w:spacing w:before="0"/>
        <w:rPr>
          <w:rFonts w:eastAsia="Arial Unicode MS"/>
          <w:b w:val="0"/>
          <w:bCs/>
        </w:rPr>
      </w:pPr>
      <w:bookmarkStart w:id="16" w:name="_Toc128745944"/>
      <w:r w:rsidRPr="00855697">
        <w:rPr>
          <w:rFonts w:eastAsia="Arial Unicode MS"/>
        </w:rPr>
        <w:lastRenderedPageBreak/>
        <w:t xml:space="preserve">Whakahoahoa </w:t>
      </w:r>
      <w:r w:rsidRPr="00855697">
        <w:rPr>
          <w:rFonts w:eastAsia="Arial Unicode MS"/>
          <w:b w:val="0"/>
          <w:bCs/>
        </w:rPr>
        <w:t>Designing</w:t>
      </w:r>
      <w:bookmarkEnd w:id="16"/>
    </w:p>
    <w:p w14:paraId="0187DED8" w14:textId="77777777" w:rsidR="00FC1173" w:rsidRPr="00FC1173" w:rsidRDefault="00FC1173" w:rsidP="00FC1173">
      <w:pPr>
        <w:rPr>
          <w:rFonts w:eastAsia="Arial Unicode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855697" w14:paraId="4D421D0C" w14:textId="77777777" w:rsidTr="00555034">
        <w:tc>
          <w:tcPr>
            <w:tcW w:w="8069" w:type="dxa"/>
            <w:shd w:val="clear" w:color="auto" w:fill="D9D9D9" w:themeFill="background1" w:themeFillShade="D9"/>
          </w:tcPr>
          <w:p w14:paraId="4D025428" w14:textId="77777777" w:rsidR="00855697" w:rsidRPr="00855697" w:rsidRDefault="00855697" w:rsidP="00855697">
            <w:pPr>
              <w:spacing w:before="120" w:after="120"/>
              <w:rPr>
                <w:rFonts w:eastAsia="Arial Unicode MS"/>
              </w:rPr>
            </w:pPr>
            <w:r w:rsidRPr="00855697">
              <w:rPr>
                <w:rFonts w:eastAsia="Arial Unicode MS"/>
              </w:rPr>
              <w:t>The design phase involves an organisation creating a strategy or plan for progressing anti-racism. The preparation process provides you with a clear picture of:</w:t>
            </w:r>
          </w:p>
          <w:p w14:paraId="6D6363A3" w14:textId="706FC3D1" w:rsidR="00855697" w:rsidRPr="00855697" w:rsidRDefault="00855697" w:rsidP="00855697">
            <w:pPr>
              <w:pStyle w:val="Bullet"/>
              <w:rPr>
                <w:rFonts w:eastAsia="Arial Unicode MS"/>
              </w:rPr>
            </w:pPr>
            <w:r w:rsidRPr="00855697">
              <w:rPr>
                <w:rFonts w:eastAsia="Arial Unicode MS"/>
              </w:rPr>
              <w:t>your organisation’s current state;</w:t>
            </w:r>
          </w:p>
          <w:p w14:paraId="18F24DA4" w14:textId="555C70C1" w:rsidR="00855697" w:rsidRPr="00855697" w:rsidRDefault="00855697" w:rsidP="00855697">
            <w:pPr>
              <w:pStyle w:val="Bullet"/>
              <w:rPr>
                <w:rFonts w:eastAsia="Arial Unicode MS"/>
              </w:rPr>
            </w:pPr>
            <w:r w:rsidRPr="00855697">
              <w:rPr>
                <w:rFonts w:eastAsia="Arial Unicode MS"/>
              </w:rPr>
              <w:t>initiatives your organisation is currently implementing; and</w:t>
            </w:r>
          </w:p>
          <w:p w14:paraId="229955EF" w14:textId="7FE5CE8F" w:rsidR="00855697" w:rsidRPr="00855697" w:rsidRDefault="00855697" w:rsidP="00855697">
            <w:pPr>
              <w:pStyle w:val="Bullet"/>
              <w:rPr>
                <w:rFonts w:eastAsia="Arial Unicode MS"/>
              </w:rPr>
            </w:pPr>
            <w:r w:rsidRPr="00855697">
              <w:rPr>
                <w:rFonts w:eastAsia="Arial Unicode MS"/>
              </w:rPr>
              <w:t>how the portfolio of initiatives as a whole is advancing Whiria te Muka Tangata.</w:t>
            </w:r>
          </w:p>
          <w:p w14:paraId="0FE48800" w14:textId="7D34F5F0" w:rsidR="00855697" w:rsidRDefault="00855697" w:rsidP="00855697">
            <w:pPr>
              <w:spacing w:before="120" w:after="120"/>
              <w:rPr>
                <w:rFonts w:eastAsia="Arial Unicode MS"/>
              </w:rPr>
            </w:pPr>
            <w:r w:rsidRPr="00855697">
              <w:rPr>
                <w:rFonts w:eastAsia="Arial Unicode MS"/>
              </w:rPr>
              <w:t>Together, this information will help inform the design of your new pattern– a new strategy for the future.</w:t>
            </w:r>
          </w:p>
        </w:tc>
      </w:tr>
    </w:tbl>
    <w:p w14:paraId="0BA586F1" w14:textId="3BFF6784" w:rsidR="00855697" w:rsidRDefault="00855697" w:rsidP="00855697">
      <w:pPr>
        <w:pStyle w:val="Heading3"/>
        <w:rPr>
          <w:rFonts w:eastAsia="Arial Unicode MS"/>
        </w:rPr>
      </w:pPr>
      <w:r w:rsidRPr="00855697">
        <w:rPr>
          <w:rFonts w:eastAsia="Arial Unicode MS"/>
        </w:rPr>
        <w:t>Movement Building</w:t>
      </w:r>
    </w:p>
    <w:p w14:paraId="102E076A" w14:textId="77777777" w:rsidR="00855697" w:rsidRPr="00855697" w:rsidRDefault="00855697" w:rsidP="00855697">
      <w:pPr>
        <w:rPr>
          <w:rFonts w:eastAsia="Arial Unicode MS"/>
        </w:rPr>
      </w:pPr>
      <w:r w:rsidRPr="00855697">
        <w:rPr>
          <w:rFonts w:eastAsia="Arial Unicode MS"/>
        </w:rPr>
        <w:t>We consider that organisations should approach their planning as intentionally constructing a movement within their organisations that aims to cultivate a tipping point of normalising anti-racism. As discussed above, Whiria te Muka supports movement building through intentional sequencing of pull and push factors to create a virtuous cycle of a drive toward a clear end state supported by an ongoing velocity of action.</w:t>
      </w:r>
    </w:p>
    <w:p w14:paraId="1B8B2F03" w14:textId="77777777" w:rsidR="00855697" w:rsidRPr="00855697" w:rsidRDefault="00855697" w:rsidP="00855697">
      <w:pPr>
        <w:rPr>
          <w:rFonts w:eastAsia="Arial Unicode MS"/>
        </w:rPr>
      </w:pPr>
    </w:p>
    <w:p w14:paraId="503310FD" w14:textId="23B1668B" w:rsidR="00855697" w:rsidRDefault="00855697" w:rsidP="00855697">
      <w:pPr>
        <w:rPr>
          <w:rFonts w:eastAsia="Arial Unicode MS"/>
        </w:rPr>
      </w:pPr>
      <w:r w:rsidRPr="00855697">
        <w:rPr>
          <w:rFonts w:eastAsia="Arial Unicode MS"/>
        </w:rPr>
        <w:t>Some preliminary thinking on how organisations could curate the interaction between their levers for change is set out on the follows. We emphasise that the proposed ordering of proposed levers is a first attempt to build an approach and requires further testing and is likely to become more robust in the next phase of Ao Mai te Rā.</w:t>
      </w:r>
    </w:p>
    <w:p w14:paraId="129B19D0" w14:textId="633A0844" w:rsidR="00855697" w:rsidRDefault="00855697" w:rsidP="00855697">
      <w:pPr>
        <w:rPr>
          <w:rFonts w:eastAsia="Arial Unicode MS"/>
        </w:rPr>
      </w:pP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46"/>
        <w:gridCol w:w="2225"/>
        <w:gridCol w:w="1958"/>
        <w:gridCol w:w="1950"/>
      </w:tblGrid>
      <w:tr w:rsidR="00855697" w:rsidRPr="00855697" w14:paraId="4FEA6EDD" w14:textId="77777777" w:rsidTr="00FC1173">
        <w:trPr>
          <w:tblHeader/>
        </w:trPr>
        <w:tc>
          <w:tcPr>
            <w:tcW w:w="1946" w:type="dxa"/>
            <w:tcBorders>
              <w:top w:val="nil"/>
              <w:bottom w:val="nil"/>
            </w:tcBorders>
            <w:shd w:val="clear" w:color="auto" w:fill="D9D9D9" w:themeFill="background1" w:themeFillShade="D9"/>
          </w:tcPr>
          <w:p w14:paraId="726DB453" w14:textId="64E4F693" w:rsidR="00855697" w:rsidRPr="00855697" w:rsidRDefault="00855697" w:rsidP="00855697">
            <w:pPr>
              <w:pStyle w:val="TableText"/>
              <w:rPr>
                <w:rFonts w:eastAsia="Arial Unicode MS"/>
                <w:b/>
                <w:bCs/>
              </w:rPr>
            </w:pPr>
            <w:r w:rsidRPr="00855697">
              <w:rPr>
                <w:b/>
                <w:bCs/>
              </w:rPr>
              <w:t>Passive</w:t>
            </w:r>
          </w:p>
        </w:tc>
        <w:tc>
          <w:tcPr>
            <w:tcW w:w="2225" w:type="dxa"/>
            <w:tcBorders>
              <w:top w:val="nil"/>
              <w:bottom w:val="nil"/>
            </w:tcBorders>
            <w:shd w:val="clear" w:color="auto" w:fill="D9D9D9" w:themeFill="background1" w:themeFillShade="D9"/>
          </w:tcPr>
          <w:p w14:paraId="75ABCCDC" w14:textId="4009A210" w:rsidR="00855697" w:rsidRPr="00855697" w:rsidRDefault="00855697" w:rsidP="00855697">
            <w:pPr>
              <w:pStyle w:val="TableText"/>
              <w:rPr>
                <w:rFonts w:eastAsia="Arial Unicode MS"/>
                <w:b/>
                <w:bCs/>
              </w:rPr>
            </w:pPr>
            <w:r w:rsidRPr="00855697">
              <w:rPr>
                <w:b/>
                <w:bCs/>
              </w:rPr>
              <w:t>Curious</w:t>
            </w:r>
          </w:p>
        </w:tc>
        <w:tc>
          <w:tcPr>
            <w:tcW w:w="1958" w:type="dxa"/>
            <w:tcBorders>
              <w:top w:val="nil"/>
              <w:bottom w:val="nil"/>
            </w:tcBorders>
            <w:shd w:val="clear" w:color="auto" w:fill="D9D9D9" w:themeFill="background1" w:themeFillShade="D9"/>
          </w:tcPr>
          <w:p w14:paraId="5ADF05BD" w14:textId="42388582" w:rsidR="00855697" w:rsidRPr="00855697" w:rsidRDefault="00855697" w:rsidP="00855697">
            <w:pPr>
              <w:pStyle w:val="TableText"/>
              <w:rPr>
                <w:rFonts w:eastAsia="Arial Unicode MS"/>
                <w:b/>
                <w:bCs/>
              </w:rPr>
            </w:pPr>
            <w:r w:rsidRPr="00855697">
              <w:rPr>
                <w:b/>
                <w:bCs/>
              </w:rPr>
              <w:t>Determined</w:t>
            </w:r>
          </w:p>
        </w:tc>
        <w:tc>
          <w:tcPr>
            <w:tcW w:w="1950" w:type="dxa"/>
            <w:tcBorders>
              <w:top w:val="nil"/>
              <w:bottom w:val="nil"/>
            </w:tcBorders>
            <w:shd w:val="clear" w:color="auto" w:fill="D9D9D9" w:themeFill="background1" w:themeFillShade="D9"/>
          </w:tcPr>
          <w:p w14:paraId="38EBFA34" w14:textId="0ECA6FCE" w:rsidR="00855697" w:rsidRPr="00855697" w:rsidRDefault="00855697" w:rsidP="00855697">
            <w:pPr>
              <w:pStyle w:val="TableText"/>
              <w:rPr>
                <w:rFonts w:eastAsia="Arial Unicode MS"/>
                <w:b/>
                <w:bCs/>
              </w:rPr>
            </w:pPr>
            <w:r w:rsidRPr="00855697">
              <w:rPr>
                <w:b/>
                <w:bCs/>
              </w:rPr>
              <w:t>Connected</w:t>
            </w:r>
          </w:p>
        </w:tc>
      </w:tr>
      <w:tr w:rsidR="00855697" w14:paraId="04C5C2F4" w14:textId="77777777" w:rsidTr="00FC1173">
        <w:tc>
          <w:tcPr>
            <w:tcW w:w="1946" w:type="dxa"/>
            <w:tcBorders>
              <w:top w:val="nil"/>
            </w:tcBorders>
          </w:tcPr>
          <w:p w14:paraId="7279A198" w14:textId="77777777" w:rsidR="00855697" w:rsidRPr="00855697" w:rsidRDefault="00855697" w:rsidP="00855697">
            <w:pPr>
              <w:pStyle w:val="TableText"/>
              <w:rPr>
                <w:b/>
                <w:bCs/>
              </w:rPr>
            </w:pPr>
            <w:r w:rsidRPr="00855697">
              <w:rPr>
                <w:b/>
                <w:bCs/>
              </w:rPr>
              <w:t>Pull Factors</w:t>
            </w:r>
          </w:p>
          <w:p w14:paraId="6FABE32F" w14:textId="3F3935CF" w:rsidR="00855697" w:rsidRPr="00855697" w:rsidRDefault="00855697" w:rsidP="00855697">
            <w:pPr>
              <w:pStyle w:val="TableText"/>
              <w:rPr>
                <w:rFonts w:eastAsia="Arial Unicode MS"/>
              </w:rPr>
            </w:pPr>
            <w:r w:rsidRPr="00855697">
              <w:t>What’s needed: catalyse &amp; cohere shared aspiration for change</w:t>
            </w:r>
          </w:p>
        </w:tc>
        <w:tc>
          <w:tcPr>
            <w:tcW w:w="2225" w:type="dxa"/>
            <w:tcBorders>
              <w:top w:val="nil"/>
            </w:tcBorders>
          </w:tcPr>
          <w:p w14:paraId="2497330F" w14:textId="77777777" w:rsidR="00855697" w:rsidRPr="00855697" w:rsidRDefault="00855697" w:rsidP="00855697">
            <w:pPr>
              <w:pStyle w:val="TableText"/>
              <w:rPr>
                <w:b/>
                <w:bCs/>
              </w:rPr>
            </w:pPr>
            <w:r w:rsidRPr="00855697">
              <w:rPr>
                <w:b/>
                <w:bCs/>
              </w:rPr>
              <w:t>Pull Factors</w:t>
            </w:r>
          </w:p>
          <w:p w14:paraId="3037662E" w14:textId="578E8D55" w:rsidR="00855697" w:rsidRPr="00855697" w:rsidRDefault="00855697" w:rsidP="00855697">
            <w:pPr>
              <w:pStyle w:val="TableText"/>
              <w:rPr>
                <w:rFonts w:eastAsia="Arial Unicode MS"/>
              </w:rPr>
            </w:pPr>
            <w:r w:rsidRPr="00855697">
              <w:t>What’s needed: cohere a collective with a sense of shared meaning in equity</w:t>
            </w:r>
          </w:p>
        </w:tc>
        <w:tc>
          <w:tcPr>
            <w:tcW w:w="1958" w:type="dxa"/>
            <w:tcBorders>
              <w:top w:val="nil"/>
            </w:tcBorders>
          </w:tcPr>
          <w:p w14:paraId="4F1292D3" w14:textId="77777777" w:rsidR="00855697" w:rsidRPr="00855697" w:rsidRDefault="00855697" w:rsidP="00855697">
            <w:pPr>
              <w:pStyle w:val="TableText"/>
              <w:rPr>
                <w:b/>
                <w:bCs/>
              </w:rPr>
            </w:pPr>
            <w:r w:rsidRPr="00855697">
              <w:rPr>
                <w:b/>
                <w:bCs/>
              </w:rPr>
              <w:t>Pull Factors</w:t>
            </w:r>
          </w:p>
          <w:p w14:paraId="5857BFF6" w14:textId="0312F12C" w:rsidR="00855697" w:rsidRPr="00855697" w:rsidRDefault="00855697" w:rsidP="00855697">
            <w:pPr>
              <w:pStyle w:val="TableText"/>
              <w:rPr>
                <w:rFonts w:eastAsia="Arial Unicode MS"/>
              </w:rPr>
            </w:pPr>
            <w:r w:rsidRPr="00855697">
              <w:t>What’s needed: grow reach of vision/</w:t>
            </w:r>
            <w:r w:rsidR="00FB2A0D">
              <w:t xml:space="preserve"> </w:t>
            </w:r>
            <w:r w:rsidRPr="00855697">
              <w:t>narrative for change to broaden ‘membership’</w:t>
            </w:r>
          </w:p>
        </w:tc>
        <w:tc>
          <w:tcPr>
            <w:tcW w:w="1950" w:type="dxa"/>
            <w:tcBorders>
              <w:top w:val="nil"/>
            </w:tcBorders>
          </w:tcPr>
          <w:p w14:paraId="3DF937D1" w14:textId="77777777" w:rsidR="00855697" w:rsidRPr="00855697" w:rsidRDefault="00855697" w:rsidP="00855697">
            <w:pPr>
              <w:pStyle w:val="TableText"/>
              <w:rPr>
                <w:b/>
                <w:bCs/>
              </w:rPr>
            </w:pPr>
            <w:r w:rsidRPr="00855697">
              <w:rPr>
                <w:b/>
                <w:bCs/>
              </w:rPr>
              <w:t>Pull Factors</w:t>
            </w:r>
          </w:p>
          <w:p w14:paraId="396C249F" w14:textId="1CDF117D" w:rsidR="00855697" w:rsidRPr="00855697" w:rsidRDefault="00855697" w:rsidP="00855697">
            <w:pPr>
              <w:pStyle w:val="TableText"/>
              <w:rPr>
                <w:rFonts w:eastAsia="Arial Unicode MS"/>
              </w:rPr>
            </w:pPr>
            <w:r w:rsidRPr="00855697">
              <w:t>What’s needed: consistently reinforce the normality of equity</w:t>
            </w:r>
          </w:p>
        </w:tc>
      </w:tr>
      <w:tr w:rsidR="00855697" w14:paraId="4A79FCF7" w14:textId="77777777" w:rsidTr="00FC1173">
        <w:tc>
          <w:tcPr>
            <w:tcW w:w="1946" w:type="dxa"/>
          </w:tcPr>
          <w:p w14:paraId="6427BBC2" w14:textId="77777777" w:rsidR="00855697" w:rsidRDefault="00855697" w:rsidP="00855697">
            <w:pPr>
              <w:pStyle w:val="TableText"/>
            </w:pPr>
            <w:r w:rsidRPr="00855697">
              <w:rPr>
                <w:b/>
                <w:bCs/>
              </w:rPr>
              <w:t>How to do that</w:t>
            </w:r>
            <w:r w:rsidRPr="00855697">
              <w:t xml:space="preserve"> </w:t>
            </w:r>
          </w:p>
          <w:p w14:paraId="31D4C04A" w14:textId="08529B98" w:rsidR="00855697" w:rsidRPr="00855697" w:rsidRDefault="00855697" w:rsidP="00855697">
            <w:pPr>
              <w:pStyle w:val="TableText"/>
              <w:rPr>
                <w:rFonts w:eastAsia="Arial Unicode MS"/>
              </w:rPr>
            </w:pPr>
            <w:r w:rsidRPr="00855697">
              <w:t>Courageous and provocative leadership to create an organisational commitment to change.</w:t>
            </w:r>
          </w:p>
        </w:tc>
        <w:tc>
          <w:tcPr>
            <w:tcW w:w="2225" w:type="dxa"/>
          </w:tcPr>
          <w:p w14:paraId="2433524A" w14:textId="77777777" w:rsidR="00855697" w:rsidRPr="00855697" w:rsidRDefault="00855697" w:rsidP="00855697">
            <w:pPr>
              <w:pStyle w:val="TableText"/>
              <w:rPr>
                <w:b/>
                <w:bCs/>
              </w:rPr>
            </w:pPr>
            <w:r w:rsidRPr="00855697">
              <w:rPr>
                <w:b/>
                <w:bCs/>
              </w:rPr>
              <w:t>How to do that</w:t>
            </w:r>
          </w:p>
          <w:p w14:paraId="49E1B2D2" w14:textId="5FE89422" w:rsidR="00855697" w:rsidRPr="00855697" w:rsidRDefault="00855697" w:rsidP="00855697">
            <w:pPr>
              <w:pStyle w:val="TableText"/>
              <w:rPr>
                <w:rFonts w:eastAsia="Arial Unicode MS"/>
              </w:rPr>
            </w:pPr>
            <w:r w:rsidRPr="00855697">
              <w:t>Visible leadership promoting positive benefits of equity to build shared organisational values and commitment to change.</w:t>
            </w:r>
          </w:p>
        </w:tc>
        <w:tc>
          <w:tcPr>
            <w:tcW w:w="1958" w:type="dxa"/>
          </w:tcPr>
          <w:p w14:paraId="5EC6AEAF" w14:textId="77777777" w:rsidR="00855697" w:rsidRPr="00855697" w:rsidRDefault="00855697" w:rsidP="00855697">
            <w:pPr>
              <w:pStyle w:val="TableText"/>
              <w:rPr>
                <w:b/>
                <w:bCs/>
              </w:rPr>
            </w:pPr>
            <w:r w:rsidRPr="00855697">
              <w:rPr>
                <w:b/>
                <w:bCs/>
              </w:rPr>
              <w:t>How to do that</w:t>
            </w:r>
          </w:p>
          <w:p w14:paraId="7295F741" w14:textId="0728490B" w:rsidR="00855697" w:rsidRPr="00855697" w:rsidRDefault="00855697" w:rsidP="00855697">
            <w:pPr>
              <w:pStyle w:val="TableText"/>
              <w:rPr>
                <w:rFonts w:eastAsia="Arial Unicode MS"/>
              </w:rPr>
            </w:pPr>
            <w:r w:rsidRPr="00855697">
              <w:t>Vocal leadership promoting positive benefits to grow distributed leadership.</w:t>
            </w:r>
          </w:p>
        </w:tc>
        <w:tc>
          <w:tcPr>
            <w:tcW w:w="1950" w:type="dxa"/>
          </w:tcPr>
          <w:p w14:paraId="10CAF65E" w14:textId="77777777" w:rsidR="00855697" w:rsidRPr="00855697" w:rsidRDefault="00855697" w:rsidP="00855697">
            <w:pPr>
              <w:pStyle w:val="TableText"/>
              <w:rPr>
                <w:b/>
                <w:bCs/>
              </w:rPr>
            </w:pPr>
            <w:r w:rsidRPr="00855697">
              <w:rPr>
                <w:b/>
                <w:bCs/>
              </w:rPr>
              <w:t>How to do that</w:t>
            </w:r>
          </w:p>
          <w:p w14:paraId="7E3B7810" w14:textId="2F9F63F8" w:rsidR="00855697" w:rsidRPr="00855697" w:rsidRDefault="00855697" w:rsidP="00855697">
            <w:pPr>
              <w:pStyle w:val="TableText"/>
              <w:rPr>
                <w:rFonts w:eastAsia="Arial Unicode MS"/>
              </w:rPr>
            </w:pPr>
            <w:r w:rsidRPr="00855697">
              <w:t>Leadership advocacy extends beyond the organisation to the wider community</w:t>
            </w:r>
          </w:p>
        </w:tc>
      </w:tr>
      <w:tr w:rsidR="00855697" w14:paraId="229B1D42" w14:textId="77777777" w:rsidTr="00FC1173">
        <w:tc>
          <w:tcPr>
            <w:tcW w:w="1946" w:type="dxa"/>
          </w:tcPr>
          <w:p w14:paraId="2DF0C6CE" w14:textId="77777777" w:rsidR="00855697" w:rsidRPr="00855697" w:rsidRDefault="00855697" w:rsidP="00855697">
            <w:pPr>
              <w:pStyle w:val="TableText"/>
              <w:rPr>
                <w:b/>
                <w:bCs/>
              </w:rPr>
            </w:pPr>
            <w:r w:rsidRPr="00855697">
              <w:rPr>
                <w:b/>
                <w:bCs/>
              </w:rPr>
              <w:t>Examples – Kawa levers</w:t>
            </w:r>
          </w:p>
          <w:p w14:paraId="04391C0B" w14:textId="089D8711" w:rsidR="00855697" w:rsidRPr="00855697" w:rsidRDefault="00855697" w:rsidP="00855697">
            <w:pPr>
              <w:pStyle w:val="TableBullet"/>
            </w:pPr>
            <w:r w:rsidRPr="00855697">
              <w:t xml:space="preserve">A senior leader (management or </w:t>
            </w:r>
            <w:r w:rsidRPr="00855697">
              <w:lastRenderedPageBreak/>
              <w:t>governance)</w:t>
            </w:r>
            <w:r w:rsidR="00FB2A0D">
              <w:t xml:space="preserve"> </w:t>
            </w:r>
            <w:r w:rsidRPr="00855697">
              <w:t>championing the change</w:t>
            </w:r>
          </w:p>
          <w:p w14:paraId="1DF580D4" w14:textId="77777777" w:rsidR="00855697" w:rsidRPr="00855697" w:rsidRDefault="00855697" w:rsidP="00855697">
            <w:pPr>
              <w:pStyle w:val="TableBullet"/>
            </w:pPr>
            <w:r w:rsidRPr="00855697">
              <w:t>Establish a cross- disciplinary leadership group</w:t>
            </w:r>
          </w:p>
          <w:p w14:paraId="6E5C0CA5" w14:textId="77777777" w:rsidR="00855697" w:rsidRPr="00855697" w:rsidRDefault="00855697" w:rsidP="00855697">
            <w:pPr>
              <w:pStyle w:val="TableBullet"/>
            </w:pPr>
            <w:r w:rsidRPr="00855697">
              <w:t>Formalise a call to action</w:t>
            </w:r>
          </w:p>
          <w:p w14:paraId="44EA7303" w14:textId="5C5E08A8" w:rsidR="00855697" w:rsidRPr="00855697" w:rsidRDefault="00855697" w:rsidP="00855697">
            <w:pPr>
              <w:pStyle w:val="TableBullet"/>
              <w:rPr>
                <w:rFonts w:eastAsia="Arial Unicode MS"/>
              </w:rPr>
            </w:pPr>
            <w:r w:rsidRPr="00855697">
              <w:t>Define key messages</w:t>
            </w:r>
          </w:p>
        </w:tc>
        <w:tc>
          <w:tcPr>
            <w:tcW w:w="2225" w:type="dxa"/>
          </w:tcPr>
          <w:p w14:paraId="53940F2A" w14:textId="77777777" w:rsidR="00855697" w:rsidRPr="00855697" w:rsidRDefault="00855697" w:rsidP="00855697">
            <w:pPr>
              <w:pStyle w:val="TableText"/>
              <w:rPr>
                <w:b/>
                <w:bCs/>
              </w:rPr>
            </w:pPr>
            <w:r w:rsidRPr="00855697">
              <w:rPr>
                <w:b/>
                <w:bCs/>
              </w:rPr>
              <w:lastRenderedPageBreak/>
              <w:t>Examples – Kawa levers</w:t>
            </w:r>
          </w:p>
          <w:p w14:paraId="67AAC1B2" w14:textId="604453EF" w:rsidR="00855697" w:rsidRPr="00855697" w:rsidRDefault="00855697" w:rsidP="00FB2A0D">
            <w:pPr>
              <w:pStyle w:val="TableBullet"/>
            </w:pPr>
            <w:r w:rsidRPr="00855697">
              <w:t>Leadership clearly communicate expectations of how</w:t>
            </w:r>
            <w:r w:rsidR="00FB2A0D">
              <w:t xml:space="preserve"> </w:t>
            </w:r>
            <w:r w:rsidRPr="00855697">
              <w:lastRenderedPageBreak/>
              <w:t>anti-racism will manifest across the organisation</w:t>
            </w:r>
          </w:p>
          <w:p w14:paraId="1CD5B198" w14:textId="77777777" w:rsidR="00855697" w:rsidRPr="00855697" w:rsidRDefault="00855697" w:rsidP="00855697">
            <w:pPr>
              <w:pStyle w:val="TableBullet"/>
            </w:pPr>
            <w:r w:rsidRPr="00855697">
              <w:t>The new aspirational narrative is consistently repeated internally</w:t>
            </w:r>
          </w:p>
          <w:p w14:paraId="714B076A" w14:textId="4D0AC539" w:rsidR="00855697" w:rsidRPr="00855697" w:rsidRDefault="00855697" w:rsidP="00855697">
            <w:pPr>
              <w:pStyle w:val="TableBullet"/>
              <w:rPr>
                <w:rFonts w:eastAsia="Arial Unicode MS"/>
              </w:rPr>
            </w:pPr>
            <w:r w:rsidRPr="00855697">
              <w:t>Inform the community</w:t>
            </w:r>
          </w:p>
        </w:tc>
        <w:tc>
          <w:tcPr>
            <w:tcW w:w="1958" w:type="dxa"/>
          </w:tcPr>
          <w:p w14:paraId="5409C9B6" w14:textId="77777777" w:rsidR="00855697" w:rsidRPr="00855697" w:rsidRDefault="00855697" w:rsidP="00855697">
            <w:pPr>
              <w:pStyle w:val="TableText"/>
            </w:pPr>
            <w:r w:rsidRPr="00855697">
              <w:rPr>
                <w:b/>
                <w:bCs/>
              </w:rPr>
              <w:lastRenderedPageBreak/>
              <w:t>Examples – Kawa levers</w:t>
            </w:r>
          </w:p>
          <w:p w14:paraId="666858BA" w14:textId="168C31D9" w:rsidR="00855697" w:rsidRPr="00855697" w:rsidRDefault="00855697" w:rsidP="00855697">
            <w:pPr>
              <w:pStyle w:val="TableBullet"/>
              <w:rPr>
                <w:rFonts w:eastAsia="Arial Unicode MS"/>
              </w:rPr>
            </w:pPr>
            <w:r w:rsidRPr="00855697">
              <w:t xml:space="preserve">The narrative increasingly uses </w:t>
            </w:r>
            <w:r w:rsidRPr="00855697">
              <w:lastRenderedPageBreak/>
              <w:t>data insights and lived experience to communicate impacts</w:t>
            </w:r>
          </w:p>
        </w:tc>
        <w:tc>
          <w:tcPr>
            <w:tcW w:w="1950" w:type="dxa"/>
          </w:tcPr>
          <w:p w14:paraId="5B867BD6" w14:textId="77777777" w:rsidR="00855697" w:rsidRPr="00855697" w:rsidRDefault="00855697" w:rsidP="00855697">
            <w:pPr>
              <w:pStyle w:val="TableText"/>
              <w:rPr>
                <w:b/>
                <w:bCs/>
              </w:rPr>
            </w:pPr>
            <w:r w:rsidRPr="00855697">
              <w:rPr>
                <w:b/>
                <w:bCs/>
              </w:rPr>
              <w:lastRenderedPageBreak/>
              <w:t>Examples – Kawa levers</w:t>
            </w:r>
          </w:p>
          <w:p w14:paraId="5149ADFD" w14:textId="77777777" w:rsidR="00855697" w:rsidRPr="00855697" w:rsidRDefault="00855697" w:rsidP="00855697">
            <w:pPr>
              <w:pStyle w:val="TableBullet"/>
            </w:pPr>
            <w:r w:rsidRPr="00855697">
              <w:lastRenderedPageBreak/>
              <w:t>New vision, values and narrative are now normalised</w:t>
            </w:r>
          </w:p>
          <w:p w14:paraId="4C20D513" w14:textId="12A4964F" w:rsidR="00855697" w:rsidRPr="00855697" w:rsidRDefault="00855697" w:rsidP="00855697">
            <w:pPr>
              <w:pStyle w:val="TableBullet"/>
              <w:rPr>
                <w:rFonts w:eastAsia="Arial Unicode MS"/>
              </w:rPr>
            </w:pPr>
            <w:r w:rsidRPr="00855697">
              <w:t>Build external alliances to amplify movement</w:t>
            </w:r>
          </w:p>
        </w:tc>
      </w:tr>
      <w:tr w:rsidR="00855697" w14:paraId="5D4BF52B" w14:textId="77777777" w:rsidTr="00FC1173">
        <w:tc>
          <w:tcPr>
            <w:tcW w:w="1946" w:type="dxa"/>
          </w:tcPr>
          <w:p w14:paraId="43173AD0" w14:textId="77777777" w:rsidR="00FB2A0D" w:rsidRPr="00FB2A0D" w:rsidRDefault="00FB2A0D" w:rsidP="00FB2A0D">
            <w:pPr>
              <w:pStyle w:val="TableText"/>
              <w:rPr>
                <w:b/>
                <w:bCs/>
              </w:rPr>
            </w:pPr>
            <w:r w:rsidRPr="00FB2A0D">
              <w:rPr>
                <w:b/>
                <w:bCs/>
              </w:rPr>
              <w:lastRenderedPageBreak/>
              <w:t>Push Factors</w:t>
            </w:r>
          </w:p>
          <w:p w14:paraId="33BE4146" w14:textId="6D3826AF" w:rsidR="00855697" w:rsidRPr="00FB2A0D" w:rsidRDefault="00FB2A0D" w:rsidP="00FB2A0D">
            <w:pPr>
              <w:pStyle w:val="TableText"/>
              <w:rPr>
                <w:rFonts w:eastAsia="Arial Unicode MS"/>
              </w:rPr>
            </w:pPr>
            <w:r w:rsidRPr="00FB2A0D">
              <w:t>What’s needed: initial velocity that builds hope in the change, early learning opportunities and track record of progress</w:t>
            </w:r>
          </w:p>
        </w:tc>
        <w:tc>
          <w:tcPr>
            <w:tcW w:w="2225" w:type="dxa"/>
          </w:tcPr>
          <w:p w14:paraId="18A85FE6" w14:textId="77777777" w:rsidR="00FB2A0D" w:rsidRPr="00FB2A0D" w:rsidRDefault="00FB2A0D" w:rsidP="00FB2A0D">
            <w:pPr>
              <w:pStyle w:val="TableText"/>
              <w:rPr>
                <w:b/>
                <w:bCs/>
              </w:rPr>
            </w:pPr>
            <w:r w:rsidRPr="00FB2A0D">
              <w:rPr>
                <w:b/>
                <w:bCs/>
              </w:rPr>
              <w:t>Push Factors</w:t>
            </w:r>
          </w:p>
          <w:p w14:paraId="24DADB2B" w14:textId="0E73B1B5" w:rsidR="00855697" w:rsidRPr="00FB2A0D" w:rsidRDefault="00FB2A0D" w:rsidP="00FB2A0D">
            <w:pPr>
              <w:pStyle w:val="TableText"/>
              <w:rPr>
                <w:rFonts w:eastAsia="Arial Unicode MS"/>
              </w:rPr>
            </w:pPr>
            <w:r w:rsidRPr="00FB2A0D">
              <w:t>What’s needed: sustained action with growing number of participants that means more people ‘act into’ the change with tangible track record growing</w:t>
            </w:r>
          </w:p>
        </w:tc>
        <w:tc>
          <w:tcPr>
            <w:tcW w:w="1958" w:type="dxa"/>
          </w:tcPr>
          <w:p w14:paraId="77C30086" w14:textId="53739BBD" w:rsidR="00FB2A0D" w:rsidRPr="00FB2A0D" w:rsidRDefault="00FB2A0D" w:rsidP="00FB2A0D">
            <w:pPr>
              <w:pStyle w:val="TableText"/>
              <w:rPr>
                <w:b/>
                <w:bCs/>
              </w:rPr>
            </w:pPr>
            <w:r w:rsidRPr="00FB2A0D">
              <w:rPr>
                <w:b/>
                <w:bCs/>
              </w:rPr>
              <w:t>Push Factors</w:t>
            </w:r>
          </w:p>
          <w:p w14:paraId="7B16D80F" w14:textId="0EF7FD95" w:rsidR="00855697" w:rsidRPr="00FB2A0D" w:rsidRDefault="00FB2A0D" w:rsidP="00FB2A0D">
            <w:pPr>
              <w:pStyle w:val="TableText"/>
              <w:rPr>
                <w:rFonts w:eastAsia="Arial Unicode MS"/>
              </w:rPr>
            </w:pPr>
            <w:r w:rsidRPr="00FB2A0D">
              <w:t>What’s needed: sustained action that builds sense of inevitability for the change (more pervasive) as well as tackling more complex action</w:t>
            </w:r>
          </w:p>
        </w:tc>
        <w:tc>
          <w:tcPr>
            <w:tcW w:w="1950" w:type="dxa"/>
          </w:tcPr>
          <w:p w14:paraId="3CC028C0" w14:textId="77777777" w:rsidR="00FB2A0D" w:rsidRPr="00FB2A0D" w:rsidRDefault="00FB2A0D" w:rsidP="00FB2A0D">
            <w:pPr>
              <w:pStyle w:val="TableText"/>
              <w:rPr>
                <w:b/>
                <w:bCs/>
              </w:rPr>
            </w:pPr>
            <w:r w:rsidRPr="00FB2A0D">
              <w:rPr>
                <w:b/>
                <w:bCs/>
              </w:rPr>
              <w:t>Push Factors:</w:t>
            </w:r>
          </w:p>
          <w:p w14:paraId="366BB6AE" w14:textId="32E829B0" w:rsidR="00855697" w:rsidRPr="00FB2A0D" w:rsidRDefault="00FB2A0D" w:rsidP="00FB2A0D">
            <w:pPr>
              <w:pStyle w:val="TableText"/>
              <w:rPr>
                <w:rFonts w:eastAsia="Arial Unicode MS"/>
              </w:rPr>
            </w:pPr>
            <w:r w:rsidRPr="00FB2A0D">
              <w:t>What’s needed: pervasive action</w:t>
            </w:r>
          </w:p>
        </w:tc>
      </w:tr>
      <w:tr w:rsidR="00855697" w14:paraId="50116B5C" w14:textId="77777777" w:rsidTr="00FC1173">
        <w:tc>
          <w:tcPr>
            <w:tcW w:w="1946" w:type="dxa"/>
          </w:tcPr>
          <w:p w14:paraId="48EAE73D" w14:textId="77777777" w:rsidR="00FB2A0D" w:rsidRPr="00FB2A0D" w:rsidRDefault="00FB2A0D" w:rsidP="00FB2A0D">
            <w:pPr>
              <w:pStyle w:val="TableText"/>
              <w:rPr>
                <w:b/>
                <w:bCs/>
              </w:rPr>
            </w:pPr>
            <w:r w:rsidRPr="00FB2A0D">
              <w:rPr>
                <w:b/>
                <w:bCs/>
              </w:rPr>
              <w:t>How to do that</w:t>
            </w:r>
          </w:p>
          <w:p w14:paraId="46096928" w14:textId="76B5FD01" w:rsidR="00855697" w:rsidRPr="00FB2A0D" w:rsidRDefault="00FB2A0D" w:rsidP="00FB2A0D">
            <w:pPr>
              <w:pStyle w:val="TableText"/>
              <w:rPr>
                <w:rFonts w:eastAsia="Arial Unicode MS"/>
              </w:rPr>
            </w:pPr>
            <w:r w:rsidRPr="00FB2A0D">
              <w:t>Short-term, bite-sized and tangible initiatives to create a sense of momentum, hope and confidence.</w:t>
            </w:r>
          </w:p>
        </w:tc>
        <w:tc>
          <w:tcPr>
            <w:tcW w:w="2225" w:type="dxa"/>
          </w:tcPr>
          <w:p w14:paraId="1BF166B4" w14:textId="77777777" w:rsidR="00FB2A0D" w:rsidRPr="00FB2A0D" w:rsidRDefault="00FB2A0D" w:rsidP="00FB2A0D">
            <w:pPr>
              <w:pStyle w:val="TableText"/>
              <w:rPr>
                <w:b/>
                <w:bCs/>
              </w:rPr>
            </w:pPr>
            <w:r w:rsidRPr="00FB2A0D">
              <w:rPr>
                <w:b/>
                <w:bCs/>
              </w:rPr>
              <w:t xml:space="preserve">How to do that </w:t>
            </w:r>
          </w:p>
          <w:p w14:paraId="621622F6" w14:textId="77777777" w:rsidR="00FB2A0D" w:rsidRDefault="00FB2A0D" w:rsidP="00FB2A0D">
            <w:pPr>
              <w:pStyle w:val="TableText"/>
            </w:pPr>
            <w:r w:rsidRPr="00FB2A0D">
              <w:t>Maintain, strengthen and extend initial projects</w:t>
            </w:r>
            <w:r>
              <w:t xml:space="preserve"> </w:t>
            </w:r>
            <w:r w:rsidRPr="00FB2A0D">
              <w:t>to build clusters of activity and widen active</w:t>
            </w:r>
            <w:r>
              <w:t xml:space="preserve"> </w:t>
            </w:r>
            <w:r w:rsidRPr="00FB2A0D">
              <w:t xml:space="preserve">participation in the change. </w:t>
            </w:r>
          </w:p>
          <w:p w14:paraId="72140B01" w14:textId="116EC8B3" w:rsidR="00855697" w:rsidRPr="00FB2A0D" w:rsidRDefault="00FB2A0D" w:rsidP="00FB2A0D">
            <w:pPr>
              <w:pStyle w:val="TableText"/>
              <w:rPr>
                <w:rFonts w:eastAsia="Arial Unicode MS"/>
              </w:rPr>
            </w:pPr>
            <w:r w:rsidRPr="00FB2A0D">
              <w:t>Increased transparency and accountability increases support base and widens participation.</w:t>
            </w:r>
          </w:p>
        </w:tc>
        <w:tc>
          <w:tcPr>
            <w:tcW w:w="1958" w:type="dxa"/>
          </w:tcPr>
          <w:p w14:paraId="596936B9" w14:textId="77777777" w:rsidR="00FB2A0D" w:rsidRPr="00FB2A0D" w:rsidRDefault="00FB2A0D" w:rsidP="00FB2A0D">
            <w:pPr>
              <w:pStyle w:val="TableText"/>
              <w:rPr>
                <w:b/>
                <w:bCs/>
              </w:rPr>
            </w:pPr>
            <w:r w:rsidRPr="00FB2A0D">
              <w:rPr>
                <w:b/>
                <w:bCs/>
              </w:rPr>
              <w:t>How to do that</w:t>
            </w:r>
          </w:p>
          <w:p w14:paraId="1A779A00" w14:textId="77777777" w:rsidR="00FB2A0D" w:rsidRDefault="00FB2A0D" w:rsidP="00FB2A0D">
            <w:pPr>
              <w:pStyle w:val="TableText"/>
            </w:pPr>
            <w:r w:rsidRPr="00FB2A0D">
              <w:t xml:space="preserve">Solidifying, aligning and integrating the use of all levers for change so they reinforce each other. </w:t>
            </w:r>
          </w:p>
          <w:p w14:paraId="05F71FA6" w14:textId="4D049E30" w:rsidR="00855697" w:rsidRPr="00FB2A0D" w:rsidRDefault="00FB2A0D" w:rsidP="00FB2A0D">
            <w:pPr>
              <w:pStyle w:val="TableText"/>
              <w:rPr>
                <w:rFonts w:eastAsia="Arial Unicode MS"/>
              </w:rPr>
            </w:pPr>
            <w:r w:rsidRPr="00FB2A0D">
              <w:t>Extend efforts</w:t>
            </w:r>
            <w:r>
              <w:t xml:space="preserve"> </w:t>
            </w:r>
            <w:r w:rsidRPr="00FB2A0D">
              <w:t>into experimentation and innovation to impact deeper &amp; wider.</w:t>
            </w:r>
          </w:p>
        </w:tc>
        <w:tc>
          <w:tcPr>
            <w:tcW w:w="1950" w:type="dxa"/>
          </w:tcPr>
          <w:p w14:paraId="2493B447" w14:textId="77777777" w:rsidR="00FB2A0D" w:rsidRPr="00FB2A0D" w:rsidRDefault="00FB2A0D" w:rsidP="00FB2A0D">
            <w:pPr>
              <w:pStyle w:val="TableText"/>
              <w:rPr>
                <w:b/>
                <w:bCs/>
              </w:rPr>
            </w:pPr>
            <w:r w:rsidRPr="00FB2A0D">
              <w:rPr>
                <w:b/>
                <w:bCs/>
              </w:rPr>
              <w:t>How to do that</w:t>
            </w:r>
          </w:p>
          <w:p w14:paraId="7485E790" w14:textId="5177BEA4" w:rsidR="00855697" w:rsidRPr="00FB2A0D" w:rsidRDefault="00FB2A0D" w:rsidP="00FB2A0D">
            <w:pPr>
              <w:pStyle w:val="TableText"/>
              <w:rPr>
                <w:rFonts w:eastAsia="Arial Unicode MS"/>
              </w:rPr>
            </w:pPr>
            <w:r w:rsidRPr="00FB2A0D">
              <w:t>Practices are close to normalised and the goal is to build a strong community of practice to ensure it is pervasive and durable.</w:t>
            </w:r>
          </w:p>
        </w:tc>
      </w:tr>
      <w:tr w:rsidR="00855697" w14:paraId="00BC32FD" w14:textId="77777777" w:rsidTr="00FC1173">
        <w:tc>
          <w:tcPr>
            <w:tcW w:w="1946" w:type="dxa"/>
          </w:tcPr>
          <w:p w14:paraId="1912EACA" w14:textId="77777777" w:rsidR="00FB2A0D" w:rsidRPr="00FB2A0D" w:rsidRDefault="00FB2A0D" w:rsidP="00FB2A0D">
            <w:pPr>
              <w:pStyle w:val="TableText"/>
              <w:rPr>
                <w:b/>
                <w:bCs/>
              </w:rPr>
            </w:pPr>
            <w:r w:rsidRPr="00FB2A0D">
              <w:rPr>
                <w:b/>
                <w:bCs/>
                <w:w w:val="95"/>
              </w:rPr>
              <w:t>Examples</w:t>
            </w:r>
            <w:r w:rsidRPr="00FB2A0D">
              <w:rPr>
                <w:b/>
                <w:bCs/>
                <w:spacing w:val="9"/>
                <w:w w:val="95"/>
              </w:rPr>
              <w:t xml:space="preserve"> </w:t>
            </w:r>
            <w:r w:rsidRPr="00FB2A0D">
              <w:rPr>
                <w:b/>
                <w:bCs/>
                <w:w w:val="95"/>
              </w:rPr>
              <w:t>–</w:t>
            </w:r>
            <w:r w:rsidRPr="00FB2A0D">
              <w:rPr>
                <w:b/>
                <w:bCs/>
                <w:spacing w:val="10"/>
                <w:w w:val="95"/>
              </w:rPr>
              <w:t xml:space="preserve"> </w:t>
            </w:r>
            <w:r w:rsidRPr="00FB2A0D">
              <w:rPr>
                <w:b/>
                <w:bCs/>
                <w:w w:val="95"/>
              </w:rPr>
              <w:t>Tikanga</w:t>
            </w:r>
            <w:r w:rsidRPr="00FB2A0D">
              <w:rPr>
                <w:b/>
                <w:bCs/>
                <w:spacing w:val="10"/>
                <w:w w:val="95"/>
              </w:rPr>
              <w:t xml:space="preserve"> </w:t>
            </w:r>
            <w:r w:rsidRPr="00FB2A0D">
              <w:rPr>
                <w:b/>
                <w:bCs/>
                <w:w w:val="95"/>
              </w:rPr>
              <w:t>levers</w:t>
            </w:r>
          </w:p>
          <w:p w14:paraId="05C6043A" w14:textId="77777777" w:rsidR="00FB2A0D" w:rsidRDefault="00FB2A0D" w:rsidP="00FB2A0D">
            <w:pPr>
              <w:pStyle w:val="TableBullet"/>
            </w:pPr>
            <w:r>
              <w:rPr>
                <w:w w:val="105"/>
              </w:rPr>
              <w:t>Strategy related to</w:t>
            </w:r>
            <w:r>
              <w:rPr>
                <w:spacing w:val="1"/>
                <w:w w:val="105"/>
              </w:rPr>
              <w:t xml:space="preserve"> </w:t>
            </w:r>
            <w:r>
              <w:t>change (1st generation</w:t>
            </w:r>
            <w:r>
              <w:rPr>
                <w:spacing w:val="-47"/>
              </w:rPr>
              <w:t xml:space="preserve"> </w:t>
            </w:r>
            <w:r>
              <w:rPr>
                <w:w w:val="105"/>
              </w:rPr>
              <w:t>goal</w:t>
            </w:r>
            <w:r>
              <w:rPr>
                <w:spacing w:val="-7"/>
                <w:w w:val="105"/>
              </w:rPr>
              <w:t xml:space="preserve"> </w:t>
            </w:r>
            <w:r>
              <w:rPr>
                <w:w w:val="105"/>
              </w:rPr>
              <w:t>setting)</w:t>
            </w:r>
          </w:p>
          <w:p w14:paraId="189CEB6E" w14:textId="77777777" w:rsidR="00FB2A0D" w:rsidRDefault="00FB2A0D" w:rsidP="00FB2A0D">
            <w:pPr>
              <w:pStyle w:val="TableBullet"/>
            </w:pPr>
            <w:r>
              <w:t>Diverse</w:t>
            </w:r>
            <w:r>
              <w:rPr>
                <w:spacing w:val="6"/>
              </w:rPr>
              <w:t xml:space="preserve"> </w:t>
            </w:r>
            <w:r>
              <w:t>recruitment</w:t>
            </w:r>
          </w:p>
          <w:p w14:paraId="5700A3F1" w14:textId="77777777" w:rsidR="00FB2A0D" w:rsidRPr="00FB2A0D" w:rsidRDefault="00FB2A0D" w:rsidP="00FB2A0D">
            <w:pPr>
              <w:pStyle w:val="TableText"/>
              <w:rPr>
                <w:b/>
                <w:bCs/>
                <w:w w:val="95"/>
              </w:rPr>
            </w:pPr>
            <w:r w:rsidRPr="00FB2A0D">
              <w:rPr>
                <w:b/>
                <w:bCs/>
                <w:w w:val="95"/>
              </w:rPr>
              <w:t>Examples – Ritenga levers:</w:t>
            </w:r>
          </w:p>
          <w:p w14:paraId="4E9E2B3E" w14:textId="77777777" w:rsidR="00FB2A0D" w:rsidRDefault="00FB2A0D" w:rsidP="00FB2A0D">
            <w:pPr>
              <w:pStyle w:val="TableBullet"/>
            </w:pPr>
            <w:r>
              <w:t>Change</w:t>
            </w:r>
            <w:r>
              <w:rPr>
                <w:spacing w:val="6"/>
              </w:rPr>
              <w:t xml:space="preserve"> </w:t>
            </w:r>
            <w:r>
              <w:t>related</w:t>
            </w:r>
            <w:r>
              <w:rPr>
                <w:spacing w:val="7"/>
              </w:rPr>
              <w:t xml:space="preserve"> </w:t>
            </w:r>
            <w:r>
              <w:t>training</w:t>
            </w:r>
          </w:p>
          <w:p w14:paraId="24EDC96F" w14:textId="77777777" w:rsidR="00FB2A0D" w:rsidRDefault="00FB2A0D" w:rsidP="00FB2A0D">
            <w:pPr>
              <w:pStyle w:val="TableBullet"/>
            </w:pPr>
            <w:r>
              <w:t>Stocktake of current</w:t>
            </w:r>
            <w:r>
              <w:rPr>
                <w:spacing w:val="-47"/>
              </w:rPr>
              <w:t xml:space="preserve"> </w:t>
            </w:r>
            <w:r>
              <w:rPr>
                <w:w w:val="105"/>
              </w:rPr>
              <w:t>initiatives</w:t>
            </w:r>
          </w:p>
          <w:p w14:paraId="51556DFB" w14:textId="77777777" w:rsidR="00FB2A0D" w:rsidRPr="00FB2A0D" w:rsidRDefault="00FB2A0D" w:rsidP="00FB2A0D">
            <w:pPr>
              <w:pStyle w:val="TableText"/>
              <w:rPr>
                <w:b/>
                <w:bCs/>
                <w:w w:val="95"/>
              </w:rPr>
            </w:pPr>
            <w:r w:rsidRPr="00FB2A0D">
              <w:rPr>
                <w:b/>
                <w:bCs/>
                <w:w w:val="95"/>
              </w:rPr>
              <w:t>Examples – Putanga levers:</w:t>
            </w:r>
          </w:p>
          <w:p w14:paraId="55691B09" w14:textId="77777777" w:rsidR="00FB2A0D" w:rsidRDefault="00FB2A0D" w:rsidP="00FB2A0D">
            <w:pPr>
              <w:pStyle w:val="TableBullet"/>
            </w:pPr>
            <w:r>
              <w:lastRenderedPageBreak/>
              <w:t>Identifying</w:t>
            </w:r>
            <w:r>
              <w:rPr>
                <w:spacing w:val="8"/>
              </w:rPr>
              <w:t xml:space="preserve"> </w:t>
            </w:r>
            <w:r>
              <w:t>outcomes</w:t>
            </w:r>
            <w:r>
              <w:rPr>
                <w:spacing w:val="-47"/>
              </w:rPr>
              <w:t xml:space="preserve"> </w:t>
            </w:r>
            <w:r>
              <w:rPr>
                <w:w w:val="105"/>
              </w:rPr>
              <w:t>indicators</w:t>
            </w:r>
          </w:p>
          <w:p w14:paraId="3C3F14D7" w14:textId="77777777" w:rsidR="00FB2A0D" w:rsidRDefault="00FB2A0D" w:rsidP="00FB2A0D">
            <w:pPr>
              <w:pStyle w:val="TableBullet"/>
            </w:pPr>
            <w:r>
              <w:t>Pilot</w:t>
            </w:r>
            <w:r>
              <w:rPr>
                <w:spacing w:val="8"/>
              </w:rPr>
              <w:t xml:space="preserve"> </w:t>
            </w:r>
            <w:r>
              <w:t>tailored</w:t>
            </w:r>
            <w:r>
              <w:rPr>
                <w:spacing w:val="8"/>
              </w:rPr>
              <w:t xml:space="preserve"> </w:t>
            </w:r>
            <w:r>
              <w:t>initiative</w:t>
            </w:r>
            <w:r>
              <w:rPr>
                <w:spacing w:val="1"/>
              </w:rPr>
              <w:t xml:space="preserve"> </w:t>
            </w:r>
            <w:r>
              <w:t>(new programme/</w:t>
            </w:r>
            <w:r>
              <w:rPr>
                <w:spacing w:val="1"/>
              </w:rPr>
              <w:t xml:space="preserve"> </w:t>
            </w:r>
            <w:r>
              <w:rPr>
                <w:w w:val="95"/>
              </w:rPr>
              <w:t>service/</w:t>
            </w:r>
            <w:r>
              <w:rPr>
                <w:spacing w:val="16"/>
                <w:w w:val="95"/>
              </w:rPr>
              <w:t xml:space="preserve"> </w:t>
            </w:r>
            <w:r>
              <w:rPr>
                <w:w w:val="95"/>
              </w:rPr>
              <w:t>access</w:t>
            </w:r>
            <w:r>
              <w:rPr>
                <w:spacing w:val="16"/>
                <w:w w:val="95"/>
              </w:rPr>
              <w:t xml:space="preserve"> </w:t>
            </w:r>
            <w:r>
              <w:rPr>
                <w:w w:val="95"/>
              </w:rPr>
              <w:t>channel)</w:t>
            </w:r>
          </w:p>
          <w:p w14:paraId="47507F90" w14:textId="279228C1" w:rsidR="00855697" w:rsidRDefault="00FB2A0D" w:rsidP="00FC1173">
            <w:pPr>
              <w:pStyle w:val="TableBullet"/>
              <w:rPr>
                <w:rFonts w:eastAsia="Arial Unicode MS"/>
              </w:rPr>
            </w:pPr>
            <w:r>
              <w:rPr>
                <w:w w:val="105"/>
              </w:rPr>
              <w:t>Collect stories of</w:t>
            </w:r>
            <w:r>
              <w:rPr>
                <w:spacing w:val="1"/>
                <w:w w:val="105"/>
              </w:rPr>
              <w:t xml:space="preserve"> </w:t>
            </w:r>
            <w:r>
              <w:t>lived</w:t>
            </w:r>
            <w:r>
              <w:rPr>
                <w:spacing w:val="-4"/>
              </w:rPr>
              <w:t xml:space="preserve"> </w:t>
            </w:r>
            <w:r>
              <w:t>experiences</w:t>
            </w:r>
            <w:r>
              <w:rPr>
                <w:spacing w:val="-4"/>
              </w:rPr>
              <w:t xml:space="preserve"> </w:t>
            </w:r>
            <w:r>
              <w:t>to</w:t>
            </w:r>
            <w:r w:rsidR="00FC1173">
              <w:t xml:space="preserve"> </w:t>
            </w:r>
            <w:r>
              <w:t>understand issues and</w:t>
            </w:r>
            <w:r>
              <w:rPr>
                <w:spacing w:val="-47"/>
              </w:rPr>
              <w:t xml:space="preserve"> </w:t>
            </w:r>
            <w:r>
              <w:t>impacts</w:t>
            </w:r>
          </w:p>
        </w:tc>
        <w:tc>
          <w:tcPr>
            <w:tcW w:w="2225" w:type="dxa"/>
          </w:tcPr>
          <w:p w14:paraId="0E817252" w14:textId="77777777" w:rsidR="00FB2A0D" w:rsidRPr="00FB2A0D" w:rsidRDefault="00FB2A0D" w:rsidP="00FB2A0D">
            <w:pPr>
              <w:pStyle w:val="TableText"/>
              <w:rPr>
                <w:b/>
                <w:bCs/>
                <w:w w:val="95"/>
              </w:rPr>
            </w:pPr>
            <w:r w:rsidRPr="00FB2A0D">
              <w:rPr>
                <w:b/>
                <w:bCs/>
                <w:w w:val="95"/>
              </w:rPr>
              <w:lastRenderedPageBreak/>
              <w:t>Examples – Tikanga levers</w:t>
            </w:r>
          </w:p>
          <w:p w14:paraId="170B65EB" w14:textId="77777777" w:rsidR="00FB2A0D" w:rsidRDefault="00FB2A0D" w:rsidP="00FB2A0D">
            <w:pPr>
              <w:pStyle w:val="TableBullet"/>
            </w:pPr>
            <w:r>
              <w:rPr>
                <w:w w:val="105"/>
              </w:rPr>
              <w:t>New/ amended</w:t>
            </w:r>
            <w:r>
              <w:rPr>
                <w:spacing w:val="1"/>
                <w:w w:val="105"/>
              </w:rPr>
              <w:t xml:space="preserve"> </w:t>
            </w:r>
            <w:r>
              <w:t>organisational</w:t>
            </w:r>
            <w:r>
              <w:rPr>
                <w:spacing w:val="8"/>
              </w:rPr>
              <w:t xml:space="preserve"> </w:t>
            </w:r>
            <w:r>
              <w:t>policies</w:t>
            </w:r>
            <w:r>
              <w:rPr>
                <w:spacing w:val="-47"/>
              </w:rPr>
              <w:t xml:space="preserve"> </w:t>
            </w:r>
            <w:r>
              <w:rPr>
                <w:w w:val="105"/>
              </w:rPr>
              <w:t>relevant</w:t>
            </w:r>
            <w:r>
              <w:rPr>
                <w:spacing w:val="-12"/>
                <w:w w:val="105"/>
              </w:rPr>
              <w:t xml:space="preserve"> </w:t>
            </w:r>
            <w:r>
              <w:rPr>
                <w:w w:val="105"/>
              </w:rPr>
              <w:t>to</w:t>
            </w:r>
            <w:r>
              <w:rPr>
                <w:spacing w:val="-12"/>
                <w:w w:val="105"/>
              </w:rPr>
              <w:t xml:space="preserve"> </w:t>
            </w:r>
            <w:r>
              <w:rPr>
                <w:w w:val="105"/>
              </w:rPr>
              <w:t>change</w:t>
            </w:r>
          </w:p>
          <w:p w14:paraId="2B51AFB4" w14:textId="77777777" w:rsidR="00FB2A0D" w:rsidRDefault="00FB2A0D" w:rsidP="00FB2A0D">
            <w:pPr>
              <w:pStyle w:val="TableBullet"/>
            </w:pPr>
            <w:r>
              <w:t>Integrate change</w:t>
            </w:r>
            <w:r>
              <w:rPr>
                <w:spacing w:val="1"/>
              </w:rPr>
              <w:t xml:space="preserve"> </w:t>
            </w:r>
            <w:r>
              <w:rPr>
                <w:w w:val="105"/>
              </w:rPr>
              <w:t>related content into</w:t>
            </w:r>
            <w:r>
              <w:rPr>
                <w:spacing w:val="-50"/>
                <w:w w:val="105"/>
              </w:rPr>
              <w:t xml:space="preserve"> </w:t>
            </w:r>
            <w:r>
              <w:t>wider</w:t>
            </w:r>
            <w:r>
              <w:rPr>
                <w:spacing w:val="1"/>
              </w:rPr>
              <w:t xml:space="preserve"> </w:t>
            </w:r>
            <w:r>
              <w:t>organisational</w:t>
            </w:r>
            <w:r>
              <w:rPr>
                <w:spacing w:val="-47"/>
              </w:rPr>
              <w:t xml:space="preserve"> </w:t>
            </w:r>
            <w:r>
              <w:rPr>
                <w:w w:val="105"/>
              </w:rPr>
              <w:t>strategy</w:t>
            </w:r>
            <w:r>
              <w:rPr>
                <w:spacing w:val="-13"/>
                <w:w w:val="105"/>
              </w:rPr>
              <w:t xml:space="preserve"> </w:t>
            </w:r>
            <w:r>
              <w:rPr>
                <w:w w:val="105"/>
              </w:rPr>
              <w:t>and</w:t>
            </w:r>
            <w:r>
              <w:rPr>
                <w:spacing w:val="-13"/>
                <w:w w:val="105"/>
              </w:rPr>
              <w:t xml:space="preserve"> </w:t>
            </w:r>
            <w:r>
              <w:rPr>
                <w:w w:val="105"/>
              </w:rPr>
              <w:t>goals</w:t>
            </w:r>
          </w:p>
          <w:p w14:paraId="77CE633B" w14:textId="77777777" w:rsidR="00FB2A0D" w:rsidRDefault="00FB2A0D" w:rsidP="00FB2A0D">
            <w:pPr>
              <w:pStyle w:val="TableBullet"/>
            </w:pPr>
            <w:r>
              <w:t>Create organisational</w:t>
            </w:r>
            <w:r>
              <w:rPr>
                <w:spacing w:val="1"/>
              </w:rPr>
              <w:t xml:space="preserve"> </w:t>
            </w:r>
            <w:r>
              <w:rPr>
                <w:w w:val="105"/>
              </w:rPr>
              <w:t>structure with</w:t>
            </w:r>
            <w:r>
              <w:rPr>
                <w:spacing w:val="1"/>
                <w:w w:val="105"/>
              </w:rPr>
              <w:t xml:space="preserve"> </w:t>
            </w:r>
            <w:r>
              <w:t>responsibility</w:t>
            </w:r>
            <w:r>
              <w:rPr>
                <w:spacing w:val="7"/>
              </w:rPr>
              <w:t xml:space="preserve"> </w:t>
            </w:r>
            <w:r>
              <w:t>for</w:t>
            </w:r>
            <w:r>
              <w:rPr>
                <w:spacing w:val="8"/>
              </w:rPr>
              <w:t xml:space="preserve"> </w:t>
            </w:r>
            <w:r>
              <w:t>change</w:t>
            </w:r>
            <w:r>
              <w:rPr>
                <w:spacing w:val="-47"/>
              </w:rPr>
              <w:t xml:space="preserve"> </w:t>
            </w:r>
            <w:r>
              <w:rPr>
                <w:w w:val="105"/>
              </w:rPr>
              <w:t>(eg</w:t>
            </w:r>
            <w:r>
              <w:rPr>
                <w:spacing w:val="-8"/>
                <w:w w:val="105"/>
              </w:rPr>
              <w:t xml:space="preserve"> </w:t>
            </w:r>
            <w:r>
              <w:rPr>
                <w:w w:val="105"/>
              </w:rPr>
              <w:t>equity</w:t>
            </w:r>
            <w:r>
              <w:rPr>
                <w:spacing w:val="-7"/>
                <w:w w:val="105"/>
              </w:rPr>
              <w:t xml:space="preserve"> </w:t>
            </w:r>
            <w:r>
              <w:rPr>
                <w:w w:val="105"/>
              </w:rPr>
              <w:t>unit)</w:t>
            </w:r>
          </w:p>
          <w:p w14:paraId="43C1BC47" w14:textId="77777777" w:rsidR="00FB2A0D" w:rsidRDefault="00FB2A0D" w:rsidP="00FB2A0D">
            <w:pPr>
              <w:pStyle w:val="TableBullet"/>
            </w:pPr>
            <w:r>
              <w:t>Strengthen</w:t>
            </w:r>
            <w:r>
              <w:rPr>
                <w:spacing w:val="50"/>
              </w:rPr>
              <w:t xml:space="preserve"> </w:t>
            </w:r>
            <w:r>
              <w:t>applicable</w:t>
            </w:r>
            <w:r>
              <w:rPr>
                <w:spacing w:val="1"/>
              </w:rPr>
              <w:t xml:space="preserve"> </w:t>
            </w:r>
            <w:r>
              <w:t>HR</w:t>
            </w:r>
            <w:r>
              <w:rPr>
                <w:spacing w:val="-8"/>
              </w:rPr>
              <w:t xml:space="preserve"> </w:t>
            </w:r>
            <w:r>
              <w:t>policies</w:t>
            </w:r>
            <w:r>
              <w:rPr>
                <w:spacing w:val="-7"/>
              </w:rPr>
              <w:t xml:space="preserve"> </w:t>
            </w:r>
            <w:r>
              <w:t>and</w:t>
            </w:r>
            <w:r>
              <w:rPr>
                <w:spacing w:val="-8"/>
              </w:rPr>
              <w:t xml:space="preserve"> </w:t>
            </w:r>
            <w:r>
              <w:t>practices</w:t>
            </w:r>
          </w:p>
          <w:p w14:paraId="7A60D4B8" w14:textId="77777777" w:rsidR="00FB2A0D" w:rsidRPr="00FB2A0D" w:rsidRDefault="00FB2A0D" w:rsidP="00FB2A0D">
            <w:pPr>
              <w:pStyle w:val="TableText"/>
              <w:rPr>
                <w:b/>
                <w:bCs/>
                <w:w w:val="95"/>
              </w:rPr>
            </w:pPr>
            <w:r w:rsidRPr="00FB2A0D">
              <w:rPr>
                <w:b/>
                <w:bCs/>
                <w:w w:val="95"/>
              </w:rPr>
              <w:lastRenderedPageBreak/>
              <w:t>Examples – Ritenga levers:</w:t>
            </w:r>
          </w:p>
          <w:p w14:paraId="6FCD8A61" w14:textId="77777777" w:rsidR="00FB2A0D" w:rsidRDefault="00FB2A0D" w:rsidP="00FB2A0D">
            <w:pPr>
              <w:pStyle w:val="TableBullet"/>
            </w:pPr>
            <w:r>
              <w:t>Expand change related</w:t>
            </w:r>
            <w:r>
              <w:rPr>
                <w:spacing w:val="-47"/>
              </w:rPr>
              <w:t xml:space="preserve"> </w:t>
            </w:r>
            <w:r>
              <w:t>training</w:t>
            </w:r>
          </w:p>
          <w:p w14:paraId="3B42AF0A" w14:textId="77777777" w:rsidR="00FB2A0D" w:rsidRDefault="00FB2A0D" w:rsidP="00FB2A0D">
            <w:pPr>
              <w:pStyle w:val="TableBullet"/>
            </w:pPr>
            <w:r>
              <w:rPr>
                <w:w w:val="105"/>
              </w:rPr>
              <w:t>Create reflective</w:t>
            </w:r>
            <w:r>
              <w:rPr>
                <w:spacing w:val="1"/>
                <w:w w:val="105"/>
              </w:rPr>
              <w:t xml:space="preserve"> </w:t>
            </w:r>
            <w:r>
              <w:rPr>
                <w:w w:val="105"/>
              </w:rPr>
              <w:t>practices that support</w:t>
            </w:r>
            <w:r>
              <w:rPr>
                <w:spacing w:val="1"/>
                <w:w w:val="105"/>
              </w:rPr>
              <w:t xml:space="preserve"> </w:t>
            </w:r>
            <w:r>
              <w:rPr>
                <w:spacing w:val="-1"/>
                <w:w w:val="105"/>
              </w:rPr>
              <w:t>wider</w:t>
            </w:r>
            <w:r>
              <w:rPr>
                <w:spacing w:val="-12"/>
                <w:w w:val="105"/>
              </w:rPr>
              <w:t xml:space="preserve"> </w:t>
            </w:r>
            <w:r>
              <w:rPr>
                <w:spacing w:val="-1"/>
                <w:w w:val="105"/>
              </w:rPr>
              <w:t>visibility</w:t>
            </w:r>
            <w:r>
              <w:rPr>
                <w:spacing w:val="-12"/>
                <w:w w:val="105"/>
              </w:rPr>
              <w:t xml:space="preserve"> </w:t>
            </w:r>
            <w:r>
              <w:rPr>
                <w:w w:val="105"/>
              </w:rPr>
              <w:t>of</w:t>
            </w:r>
            <w:r>
              <w:rPr>
                <w:spacing w:val="-11"/>
                <w:w w:val="105"/>
              </w:rPr>
              <w:t xml:space="preserve"> </w:t>
            </w:r>
            <w:r>
              <w:rPr>
                <w:w w:val="105"/>
              </w:rPr>
              <w:t>change</w:t>
            </w:r>
            <w:r>
              <w:rPr>
                <w:spacing w:val="-50"/>
                <w:w w:val="105"/>
              </w:rPr>
              <w:t xml:space="preserve"> </w:t>
            </w:r>
            <w:r>
              <w:rPr>
                <w:w w:val="105"/>
              </w:rPr>
              <w:t>aspiration</w:t>
            </w:r>
          </w:p>
          <w:p w14:paraId="0841D998" w14:textId="77777777" w:rsidR="00FB2A0D" w:rsidRPr="00FB2A0D" w:rsidRDefault="00FB2A0D" w:rsidP="00FB2A0D">
            <w:pPr>
              <w:pStyle w:val="TableText"/>
              <w:rPr>
                <w:b/>
                <w:bCs/>
                <w:w w:val="95"/>
              </w:rPr>
            </w:pPr>
            <w:r w:rsidRPr="00FB2A0D">
              <w:rPr>
                <w:b/>
                <w:bCs/>
                <w:w w:val="95"/>
              </w:rPr>
              <w:t>Examples – Putanga levers:</w:t>
            </w:r>
          </w:p>
          <w:p w14:paraId="61455038" w14:textId="77777777" w:rsidR="00FB2A0D" w:rsidRDefault="00FB2A0D" w:rsidP="00FB2A0D">
            <w:pPr>
              <w:pStyle w:val="TableBullet"/>
            </w:pPr>
            <w:r>
              <w:t>Expand</w:t>
            </w:r>
            <w:r>
              <w:rPr>
                <w:spacing w:val="11"/>
              </w:rPr>
              <w:t xml:space="preserve"> </w:t>
            </w:r>
            <w:r>
              <w:t>pilot</w:t>
            </w:r>
            <w:r>
              <w:rPr>
                <w:spacing w:val="12"/>
              </w:rPr>
              <w:t xml:space="preserve"> </w:t>
            </w:r>
            <w:r>
              <w:t>initiatives</w:t>
            </w:r>
          </w:p>
          <w:p w14:paraId="3B23506E" w14:textId="77777777" w:rsidR="00FB2A0D" w:rsidRDefault="00FB2A0D" w:rsidP="00FB2A0D">
            <w:pPr>
              <w:pStyle w:val="TableBullet"/>
            </w:pPr>
            <w:r>
              <w:rPr>
                <w:spacing w:val="-1"/>
                <w:w w:val="105"/>
              </w:rPr>
              <w:t>Collate</w:t>
            </w:r>
            <w:r>
              <w:rPr>
                <w:spacing w:val="-11"/>
                <w:w w:val="105"/>
              </w:rPr>
              <w:t xml:space="preserve"> </w:t>
            </w:r>
            <w:r>
              <w:rPr>
                <w:spacing w:val="-1"/>
                <w:w w:val="105"/>
              </w:rPr>
              <w:t>equity</w:t>
            </w:r>
            <w:r>
              <w:rPr>
                <w:spacing w:val="-11"/>
                <w:w w:val="105"/>
              </w:rPr>
              <w:t xml:space="preserve"> </w:t>
            </w:r>
            <w:r>
              <w:rPr>
                <w:w w:val="105"/>
              </w:rPr>
              <w:t>data</w:t>
            </w:r>
          </w:p>
          <w:p w14:paraId="54D16EDE" w14:textId="77777777" w:rsidR="00FB2A0D" w:rsidRDefault="00FB2A0D" w:rsidP="00FB2A0D">
            <w:pPr>
              <w:pStyle w:val="TableBullet"/>
            </w:pPr>
            <w:r>
              <w:t>Establish</w:t>
            </w:r>
            <w:r>
              <w:rPr>
                <w:spacing w:val="1"/>
              </w:rPr>
              <w:t xml:space="preserve"> </w:t>
            </w:r>
            <w:r>
              <w:t>baseline</w:t>
            </w:r>
            <w:r>
              <w:rPr>
                <w:spacing w:val="2"/>
              </w:rPr>
              <w:t xml:space="preserve"> </w:t>
            </w:r>
            <w:r>
              <w:t>data</w:t>
            </w:r>
          </w:p>
          <w:p w14:paraId="763A9AAA" w14:textId="01970B80" w:rsidR="00855697" w:rsidRDefault="00FB2A0D" w:rsidP="00FB2A0D">
            <w:pPr>
              <w:pStyle w:val="TableBullet"/>
              <w:rPr>
                <w:rFonts w:eastAsia="Arial Unicode MS"/>
              </w:rPr>
            </w:pPr>
            <w:r>
              <w:rPr>
                <w:w w:val="105"/>
              </w:rPr>
              <w:t>Build equity data</w:t>
            </w:r>
            <w:r>
              <w:rPr>
                <w:spacing w:val="1"/>
                <w:w w:val="105"/>
              </w:rPr>
              <w:t xml:space="preserve"> </w:t>
            </w:r>
            <w:r>
              <w:rPr>
                <w:spacing w:val="-1"/>
                <w:w w:val="105"/>
              </w:rPr>
              <w:t>framework/reporting</w:t>
            </w:r>
          </w:p>
        </w:tc>
        <w:tc>
          <w:tcPr>
            <w:tcW w:w="1958" w:type="dxa"/>
          </w:tcPr>
          <w:p w14:paraId="2E6534F9" w14:textId="77777777" w:rsidR="00FB2A0D" w:rsidRPr="00FB2A0D" w:rsidRDefault="00FB2A0D" w:rsidP="00FB2A0D">
            <w:pPr>
              <w:pStyle w:val="TableText"/>
              <w:rPr>
                <w:b/>
                <w:bCs/>
                <w:w w:val="95"/>
              </w:rPr>
            </w:pPr>
            <w:r w:rsidRPr="00FB2A0D">
              <w:rPr>
                <w:b/>
                <w:bCs/>
                <w:w w:val="95"/>
              </w:rPr>
              <w:lastRenderedPageBreak/>
              <w:t>Examples – Tikanga levers</w:t>
            </w:r>
          </w:p>
          <w:p w14:paraId="7BADF617" w14:textId="77777777" w:rsidR="00FB2A0D" w:rsidRDefault="00FB2A0D" w:rsidP="00FB2A0D">
            <w:pPr>
              <w:pStyle w:val="TableBullet"/>
            </w:pPr>
            <w:r>
              <w:t>Cross organisational</w:t>
            </w:r>
            <w:r>
              <w:rPr>
                <w:spacing w:val="-47"/>
              </w:rPr>
              <w:t xml:space="preserve"> </w:t>
            </w:r>
            <w:r>
              <w:t>responsibilities</w:t>
            </w:r>
            <w:r>
              <w:rPr>
                <w:spacing w:val="4"/>
              </w:rPr>
              <w:t xml:space="preserve"> </w:t>
            </w:r>
            <w:r>
              <w:t>for</w:t>
            </w:r>
            <w:r>
              <w:rPr>
                <w:spacing w:val="1"/>
              </w:rPr>
              <w:t xml:space="preserve"> </w:t>
            </w:r>
            <w:r>
              <w:t>change</w:t>
            </w:r>
            <w:r>
              <w:rPr>
                <w:spacing w:val="50"/>
              </w:rPr>
              <w:t xml:space="preserve"> </w:t>
            </w:r>
            <w:r>
              <w:t>embedded</w:t>
            </w:r>
            <w:r>
              <w:rPr>
                <w:spacing w:val="1"/>
              </w:rPr>
              <w:t xml:space="preserve"> </w:t>
            </w:r>
            <w:r>
              <w:t>in performance</w:t>
            </w:r>
            <w:r>
              <w:rPr>
                <w:spacing w:val="1"/>
              </w:rPr>
              <w:t xml:space="preserve"> </w:t>
            </w:r>
            <w:r>
              <w:t>expectations</w:t>
            </w:r>
          </w:p>
          <w:p w14:paraId="5BC6D50D" w14:textId="77777777" w:rsidR="00FB2A0D" w:rsidRDefault="00FB2A0D" w:rsidP="00FB2A0D">
            <w:pPr>
              <w:pStyle w:val="TableBullet"/>
            </w:pPr>
            <w:r>
              <w:t>Increased transparency</w:t>
            </w:r>
            <w:r>
              <w:rPr>
                <w:spacing w:val="1"/>
              </w:rPr>
              <w:t xml:space="preserve"> </w:t>
            </w:r>
            <w:r>
              <w:rPr>
                <w:spacing w:val="-2"/>
                <w:w w:val="105"/>
              </w:rPr>
              <w:t>and</w:t>
            </w:r>
            <w:r>
              <w:rPr>
                <w:spacing w:val="-9"/>
                <w:w w:val="105"/>
              </w:rPr>
              <w:t xml:space="preserve"> </w:t>
            </w:r>
            <w:r>
              <w:rPr>
                <w:spacing w:val="-2"/>
                <w:w w:val="105"/>
              </w:rPr>
              <w:t>allocation</w:t>
            </w:r>
            <w:r>
              <w:rPr>
                <w:spacing w:val="-9"/>
                <w:w w:val="105"/>
              </w:rPr>
              <w:t xml:space="preserve"> </w:t>
            </w:r>
            <w:r>
              <w:rPr>
                <w:spacing w:val="-1"/>
                <w:w w:val="105"/>
              </w:rPr>
              <w:t>of</w:t>
            </w:r>
            <w:r>
              <w:rPr>
                <w:spacing w:val="-9"/>
                <w:w w:val="105"/>
              </w:rPr>
              <w:t xml:space="preserve"> </w:t>
            </w:r>
            <w:r>
              <w:rPr>
                <w:spacing w:val="-1"/>
                <w:w w:val="105"/>
              </w:rPr>
              <w:t>budget</w:t>
            </w:r>
            <w:r>
              <w:rPr>
                <w:spacing w:val="-49"/>
                <w:w w:val="105"/>
              </w:rPr>
              <w:t xml:space="preserve"> </w:t>
            </w:r>
            <w:r>
              <w:rPr>
                <w:w w:val="105"/>
              </w:rPr>
              <w:t>to</w:t>
            </w:r>
            <w:r>
              <w:rPr>
                <w:spacing w:val="-10"/>
                <w:w w:val="105"/>
              </w:rPr>
              <w:t xml:space="preserve"> </w:t>
            </w:r>
            <w:r>
              <w:rPr>
                <w:w w:val="105"/>
              </w:rPr>
              <w:t>support</w:t>
            </w:r>
            <w:r>
              <w:rPr>
                <w:spacing w:val="-9"/>
                <w:w w:val="105"/>
              </w:rPr>
              <w:t xml:space="preserve"> </w:t>
            </w:r>
            <w:r>
              <w:rPr>
                <w:w w:val="105"/>
              </w:rPr>
              <w:t>change</w:t>
            </w:r>
          </w:p>
          <w:p w14:paraId="75E847EF" w14:textId="77777777" w:rsidR="00FB2A0D" w:rsidRDefault="00FB2A0D" w:rsidP="00FB2A0D">
            <w:pPr>
              <w:pStyle w:val="TableBullet"/>
            </w:pPr>
            <w:r>
              <w:rPr>
                <w:spacing w:val="-1"/>
                <w:w w:val="105"/>
              </w:rPr>
              <w:t>Align/</w:t>
            </w:r>
            <w:r>
              <w:rPr>
                <w:spacing w:val="-10"/>
                <w:w w:val="105"/>
              </w:rPr>
              <w:t xml:space="preserve"> </w:t>
            </w:r>
            <w:r>
              <w:rPr>
                <w:spacing w:val="-1"/>
                <w:w w:val="105"/>
              </w:rPr>
              <w:t>realign</w:t>
            </w:r>
            <w:r>
              <w:rPr>
                <w:spacing w:val="-10"/>
                <w:w w:val="105"/>
              </w:rPr>
              <w:t xml:space="preserve"> </w:t>
            </w:r>
            <w:r>
              <w:rPr>
                <w:w w:val="105"/>
              </w:rPr>
              <w:t>policy</w:t>
            </w:r>
            <w:r>
              <w:rPr>
                <w:spacing w:val="-49"/>
                <w:w w:val="105"/>
              </w:rPr>
              <w:t xml:space="preserve"> </w:t>
            </w:r>
            <w:r>
              <w:rPr>
                <w:w w:val="105"/>
              </w:rPr>
              <w:t>goals</w:t>
            </w:r>
          </w:p>
          <w:p w14:paraId="6B1C9176" w14:textId="77777777" w:rsidR="00FB2A0D" w:rsidRPr="00FB2A0D" w:rsidRDefault="00FB2A0D" w:rsidP="00FC1173">
            <w:pPr>
              <w:pStyle w:val="TableText"/>
              <w:keepNext/>
              <w:rPr>
                <w:b/>
                <w:bCs/>
                <w:w w:val="95"/>
              </w:rPr>
            </w:pPr>
            <w:r w:rsidRPr="00FB2A0D">
              <w:rPr>
                <w:b/>
                <w:bCs/>
                <w:w w:val="95"/>
              </w:rPr>
              <w:lastRenderedPageBreak/>
              <w:t>Examples – Ritenga levers:</w:t>
            </w:r>
          </w:p>
          <w:p w14:paraId="42053C9A" w14:textId="77777777" w:rsidR="00FB2A0D" w:rsidRDefault="00FB2A0D" w:rsidP="00FB2A0D">
            <w:pPr>
              <w:pStyle w:val="TableBullet"/>
            </w:pPr>
            <w:r>
              <w:t>Build community</w:t>
            </w:r>
            <w:r>
              <w:rPr>
                <w:spacing w:val="1"/>
              </w:rPr>
              <w:t xml:space="preserve"> </w:t>
            </w:r>
            <w:r>
              <w:rPr>
                <w:spacing w:val="-1"/>
              </w:rPr>
              <w:t xml:space="preserve">of practice </w:t>
            </w:r>
            <w:r>
              <w:t>across</w:t>
            </w:r>
            <w:r>
              <w:rPr>
                <w:spacing w:val="-48"/>
              </w:rPr>
              <w:t xml:space="preserve"> </w:t>
            </w:r>
            <w:r>
              <w:t>organisation</w:t>
            </w:r>
          </w:p>
          <w:p w14:paraId="5DF2A69A" w14:textId="77777777" w:rsidR="00FB2A0D" w:rsidRDefault="00FB2A0D" w:rsidP="00FB2A0D">
            <w:pPr>
              <w:pStyle w:val="TableBullet"/>
            </w:pPr>
            <w:r>
              <w:t>Renew reflective practice</w:t>
            </w:r>
            <w:r>
              <w:rPr>
                <w:spacing w:val="-47"/>
              </w:rPr>
              <w:t xml:space="preserve"> </w:t>
            </w:r>
            <w:r>
              <w:rPr>
                <w:w w:val="105"/>
              </w:rPr>
              <w:t>tools to support deeper</w:t>
            </w:r>
            <w:r>
              <w:rPr>
                <w:spacing w:val="1"/>
                <w:w w:val="105"/>
              </w:rPr>
              <w:t xml:space="preserve"> </w:t>
            </w:r>
            <w:r>
              <w:rPr>
                <w:w w:val="105"/>
              </w:rPr>
              <w:t>approach</w:t>
            </w:r>
            <w:r>
              <w:rPr>
                <w:spacing w:val="-13"/>
                <w:w w:val="105"/>
              </w:rPr>
              <w:t xml:space="preserve"> </w:t>
            </w:r>
            <w:r>
              <w:rPr>
                <w:w w:val="105"/>
              </w:rPr>
              <w:t>to</w:t>
            </w:r>
            <w:r>
              <w:rPr>
                <w:spacing w:val="-13"/>
                <w:w w:val="105"/>
              </w:rPr>
              <w:t xml:space="preserve"> </w:t>
            </w:r>
            <w:r>
              <w:rPr>
                <w:w w:val="105"/>
              </w:rPr>
              <w:t>change</w:t>
            </w:r>
          </w:p>
          <w:p w14:paraId="40EE46CD" w14:textId="77777777" w:rsidR="00FB2A0D" w:rsidRPr="00FB2A0D" w:rsidRDefault="00FB2A0D" w:rsidP="00FB2A0D">
            <w:pPr>
              <w:pStyle w:val="TableText"/>
              <w:rPr>
                <w:b/>
                <w:bCs/>
                <w:w w:val="95"/>
              </w:rPr>
            </w:pPr>
            <w:r w:rsidRPr="00FB2A0D">
              <w:rPr>
                <w:b/>
                <w:bCs/>
                <w:w w:val="95"/>
              </w:rPr>
              <w:t>Examples – Putanga levers:</w:t>
            </w:r>
          </w:p>
          <w:p w14:paraId="414C666A" w14:textId="101EECAF" w:rsidR="00855697" w:rsidRDefault="00FB2A0D" w:rsidP="00FB2A0D">
            <w:pPr>
              <w:pStyle w:val="TableBullet"/>
              <w:rPr>
                <w:rFonts w:eastAsia="Arial Unicode MS"/>
              </w:rPr>
            </w:pPr>
            <w:r>
              <w:t>Publicly</w:t>
            </w:r>
            <w:r>
              <w:rPr>
                <w:spacing w:val="4"/>
              </w:rPr>
              <w:t xml:space="preserve"> </w:t>
            </w:r>
            <w:r>
              <w:t>release</w:t>
            </w:r>
            <w:r>
              <w:rPr>
                <w:spacing w:val="4"/>
              </w:rPr>
              <w:t xml:space="preserve"> </w:t>
            </w:r>
            <w:r>
              <w:t>equity</w:t>
            </w:r>
            <w:r>
              <w:rPr>
                <w:spacing w:val="-47"/>
              </w:rPr>
              <w:t xml:space="preserve"> </w:t>
            </w:r>
            <w:r>
              <w:t>scorecards</w:t>
            </w:r>
          </w:p>
        </w:tc>
        <w:tc>
          <w:tcPr>
            <w:tcW w:w="1950" w:type="dxa"/>
          </w:tcPr>
          <w:p w14:paraId="0B1D783A" w14:textId="77777777" w:rsidR="00FB2A0D" w:rsidRPr="00FB2A0D" w:rsidRDefault="00FB2A0D" w:rsidP="00FB2A0D">
            <w:pPr>
              <w:pStyle w:val="TableText"/>
              <w:rPr>
                <w:b/>
                <w:bCs/>
                <w:w w:val="95"/>
              </w:rPr>
            </w:pPr>
            <w:r w:rsidRPr="00FB2A0D">
              <w:rPr>
                <w:b/>
                <w:bCs/>
                <w:w w:val="95"/>
              </w:rPr>
              <w:lastRenderedPageBreak/>
              <w:t>Examples – Tikanga levers:</w:t>
            </w:r>
          </w:p>
          <w:p w14:paraId="0499F009" w14:textId="77777777" w:rsidR="00FB2A0D" w:rsidRDefault="00FB2A0D" w:rsidP="00FB2A0D">
            <w:pPr>
              <w:pStyle w:val="TableBullet"/>
            </w:pPr>
            <w:r>
              <w:t>Change embedded in all</w:t>
            </w:r>
            <w:r>
              <w:rPr>
                <w:spacing w:val="-47"/>
              </w:rPr>
              <w:t xml:space="preserve"> </w:t>
            </w:r>
            <w:r>
              <w:t>organisational</w:t>
            </w:r>
            <w:r>
              <w:rPr>
                <w:spacing w:val="2"/>
              </w:rPr>
              <w:t xml:space="preserve"> </w:t>
            </w:r>
            <w:r>
              <w:t>policies</w:t>
            </w:r>
            <w:r>
              <w:rPr>
                <w:spacing w:val="1"/>
              </w:rPr>
              <w:t xml:space="preserve"> </w:t>
            </w:r>
            <w:r>
              <w:t>and</w:t>
            </w:r>
            <w:r>
              <w:rPr>
                <w:spacing w:val="-5"/>
              </w:rPr>
              <w:t xml:space="preserve"> </w:t>
            </w:r>
            <w:r>
              <w:t>processes</w:t>
            </w:r>
          </w:p>
          <w:p w14:paraId="209A4E22" w14:textId="77777777" w:rsidR="00FB2A0D" w:rsidRDefault="00FB2A0D" w:rsidP="00FB2A0D">
            <w:pPr>
              <w:pStyle w:val="TableBullet"/>
            </w:pPr>
            <w:r>
              <w:t>Diverse leadership across</w:t>
            </w:r>
            <w:r>
              <w:rPr>
                <w:spacing w:val="-48"/>
              </w:rPr>
              <w:t xml:space="preserve"> </w:t>
            </w:r>
            <w:r>
              <w:t>organisation</w:t>
            </w:r>
          </w:p>
          <w:p w14:paraId="5AB41F0E" w14:textId="77777777" w:rsidR="00FB2A0D" w:rsidRPr="00FB2A0D" w:rsidRDefault="00FB2A0D" w:rsidP="00FB2A0D">
            <w:pPr>
              <w:pStyle w:val="TableText"/>
              <w:rPr>
                <w:b/>
                <w:bCs/>
                <w:w w:val="95"/>
              </w:rPr>
            </w:pPr>
            <w:r w:rsidRPr="00FB2A0D">
              <w:rPr>
                <w:b/>
                <w:bCs/>
                <w:w w:val="95"/>
              </w:rPr>
              <w:t>Examples – Ritenga levers:</w:t>
            </w:r>
          </w:p>
          <w:p w14:paraId="4B183879" w14:textId="77777777" w:rsidR="00FB2A0D" w:rsidRDefault="00FB2A0D" w:rsidP="00FB2A0D">
            <w:pPr>
              <w:pStyle w:val="TableBullet"/>
            </w:pPr>
            <w:r>
              <w:t>Change embedded in</w:t>
            </w:r>
            <w:r>
              <w:rPr>
                <w:spacing w:val="1"/>
              </w:rPr>
              <w:t xml:space="preserve"> </w:t>
            </w:r>
            <w:r>
              <w:t>habitual practice across</w:t>
            </w:r>
            <w:r>
              <w:rPr>
                <w:spacing w:val="-47"/>
              </w:rPr>
              <w:t xml:space="preserve"> </w:t>
            </w:r>
            <w:r>
              <w:t>organisation</w:t>
            </w:r>
          </w:p>
          <w:p w14:paraId="7B3B525E" w14:textId="77777777" w:rsidR="00FB2A0D" w:rsidRPr="00FB2A0D" w:rsidRDefault="00FB2A0D" w:rsidP="00FC1173">
            <w:pPr>
              <w:pStyle w:val="TableText"/>
              <w:keepNext/>
              <w:rPr>
                <w:b/>
                <w:bCs/>
                <w:w w:val="95"/>
              </w:rPr>
            </w:pPr>
            <w:r w:rsidRPr="00FB2A0D">
              <w:rPr>
                <w:b/>
                <w:bCs/>
                <w:w w:val="95"/>
              </w:rPr>
              <w:lastRenderedPageBreak/>
              <w:t>Examples – Putanga levers:</w:t>
            </w:r>
          </w:p>
          <w:p w14:paraId="2DD3ED3D" w14:textId="77777777" w:rsidR="00FB2A0D" w:rsidRDefault="00FB2A0D" w:rsidP="00FB2A0D">
            <w:pPr>
              <w:pStyle w:val="TableBullet"/>
            </w:pPr>
            <w:r>
              <w:t>Visibility   embedded</w:t>
            </w:r>
            <w:r>
              <w:rPr>
                <w:spacing w:val="1"/>
              </w:rPr>
              <w:t xml:space="preserve"> </w:t>
            </w:r>
            <w:r>
              <w:t>in</w:t>
            </w:r>
            <w:r>
              <w:rPr>
                <w:spacing w:val="4"/>
              </w:rPr>
              <w:t xml:space="preserve"> </w:t>
            </w:r>
            <w:r>
              <w:t>organisational</w:t>
            </w:r>
            <w:r>
              <w:rPr>
                <w:spacing w:val="5"/>
              </w:rPr>
              <w:t xml:space="preserve"> </w:t>
            </w:r>
            <w:r>
              <w:t>data</w:t>
            </w:r>
            <w:r>
              <w:rPr>
                <w:spacing w:val="-47"/>
              </w:rPr>
              <w:t xml:space="preserve"> </w:t>
            </w:r>
            <w:r>
              <w:t>processes</w:t>
            </w:r>
          </w:p>
          <w:p w14:paraId="2B01D7B0" w14:textId="36411833" w:rsidR="00855697" w:rsidRDefault="00FB2A0D" w:rsidP="00FB2A0D">
            <w:pPr>
              <w:pStyle w:val="TableBullet"/>
              <w:rPr>
                <w:rFonts w:eastAsia="Arial Unicode MS"/>
              </w:rPr>
            </w:pPr>
            <w:r>
              <w:t>Pervasive equity driven</w:t>
            </w:r>
            <w:r>
              <w:rPr>
                <w:spacing w:val="-47"/>
              </w:rPr>
              <w:t xml:space="preserve"> </w:t>
            </w:r>
            <w:r>
              <w:t>innovation</w:t>
            </w:r>
          </w:p>
        </w:tc>
      </w:tr>
    </w:tbl>
    <w:p w14:paraId="3EB29CED" w14:textId="57C1C174" w:rsidR="0003589D" w:rsidRDefault="0003589D" w:rsidP="0003589D">
      <w:pPr>
        <w:rPr>
          <w:rFonts w:eastAsia="Arial Unicode MS"/>
        </w:rPr>
      </w:pPr>
    </w:p>
    <w:p w14:paraId="3F276EB6" w14:textId="77777777" w:rsidR="0003589D" w:rsidRPr="00FC1173" w:rsidRDefault="0003589D" w:rsidP="0003589D">
      <w:pPr>
        <w:rPr>
          <w:rFonts w:eastAsia="Arial Unicode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03589D" w14:paraId="0B6FB6BA" w14:textId="77777777" w:rsidTr="00555034">
        <w:tc>
          <w:tcPr>
            <w:tcW w:w="8069" w:type="dxa"/>
            <w:shd w:val="clear" w:color="auto" w:fill="D9D9D9" w:themeFill="background1" w:themeFillShade="D9"/>
          </w:tcPr>
          <w:p w14:paraId="4534EC48" w14:textId="77777777" w:rsidR="0003589D" w:rsidRDefault="0003589D" w:rsidP="0003589D">
            <w:pPr>
              <w:spacing w:before="120" w:after="120"/>
              <w:rPr>
                <w:rFonts w:eastAsia="Arial Unicode MS"/>
              </w:rPr>
            </w:pPr>
            <w:r w:rsidRPr="0003589D">
              <w:rPr>
                <w:rFonts w:eastAsia="Arial Unicode MS"/>
              </w:rPr>
              <w:t>The Movement Model we propose is not drawn directly from literature, but the thinking behind it has theoretical roots in a number of disciplines, including:</w:t>
            </w:r>
          </w:p>
          <w:p w14:paraId="55B1ECCF" w14:textId="5DD4BBC9" w:rsidR="0003589D" w:rsidRPr="0003589D" w:rsidRDefault="0003589D" w:rsidP="0003589D">
            <w:pPr>
              <w:pStyle w:val="Bullet"/>
              <w:spacing w:before="120" w:after="120"/>
              <w:rPr>
                <w:rFonts w:eastAsia="Arial Unicode MS"/>
              </w:rPr>
            </w:pPr>
            <w:r w:rsidRPr="0003589D">
              <w:rPr>
                <w:rFonts w:eastAsia="Arial Unicode MS"/>
              </w:rPr>
              <w:t>Social movement theory</w:t>
            </w:r>
          </w:p>
          <w:p w14:paraId="25D6A874" w14:textId="77777777" w:rsidR="0003589D" w:rsidRPr="0003589D" w:rsidRDefault="0003589D" w:rsidP="0003589D">
            <w:pPr>
              <w:pStyle w:val="Bullet"/>
              <w:spacing w:before="120" w:after="120"/>
              <w:rPr>
                <w:rFonts w:eastAsia="Arial Unicode MS"/>
              </w:rPr>
            </w:pPr>
            <w:r w:rsidRPr="0003589D">
              <w:rPr>
                <w:rFonts w:eastAsia="Arial Unicode MS"/>
              </w:rPr>
              <w:t>Sensemaking theory</w:t>
            </w:r>
          </w:p>
          <w:p w14:paraId="37092928" w14:textId="77777777" w:rsidR="0003589D" w:rsidRPr="0003589D" w:rsidRDefault="0003589D" w:rsidP="0003589D">
            <w:pPr>
              <w:pStyle w:val="Bullet"/>
              <w:spacing w:before="120" w:after="120"/>
              <w:rPr>
                <w:rFonts w:eastAsia="Arial Unicode MS"/>
              </w:rPr>
            </w:pPr>
            <w:r w:rsidRPr="0003589D">
              <w:rPr>
                <w:rFonts w:eastAsia="Arial Unicode MS"/>
              </w:rPr>
              <w:t>Behaviour change approaches</w:t>
            </w:r>
          </w:p>
          <w:p w14:paraId="5DAB307B" w14:textId="54C300EF" w:rsidR="0003589D" w:rsidRPr="0003589D" w:rsidRDefault="0003589D" w:rsidP="0003589D">
            <w:pPr>
              <w:pStyle w:val="Bullet"/>
              <w:spacing w:before="120" w:after="120"/>
              <w:rPr>
                <w:rFonts w:eastAsia="Arial Unicode MS"/>
              </w:rPr>
            </w:pPr>
            <w:r w:rsidRPr="0003589D">
              <w:rPr>
                <w:rFonts w:eastAsia="Arial Unicode MS"/>
              </w:rPr>
              <w:t>Motivation as considered within psychology</w:t>
            </w:r>
          </w:p>
        </w:tc>
      </w:tr>
    </w:tbl>
    <w:p w14:paraId="038B4DA3" w14:textId="77777777" w:rsidR="0003589D" w:rsidRPr="0003589D" w:rsidRDefault="0003589D" w:rsidP="0003589D">
      <w:pPr>
        <w:pStyle w:val="Heading3"/>
        <w:rPr>
          <w:rFonts w:eastAsia="Arial Unicode MS"/>
        </w:rPr>
      </w:pPr>
      <w:r w:rsidRPr="0003589D">
        <w:rPr>
          <w:rFonts w:eastAsia="Arial Unicode MS"/>
        </w:rPr>
        <w:t>Social Movement Theory</w:t>
      </w:r>
    </w:p>
    <w:p w14:paraId="3EDC453A" w14:textId="3DDBDA59" w:rsidR="0003589D" w:rsidRPr="0003589D" w:rsidRDefault="0003589D" w:rsidP="0003589D">
      <w:pPr>
        <w:rPr>
          <w:rFonts w:eastAsia="Arial Unicode MS"/>
        </w:rPr>
      </w:pPr>
      <w:r w:rsidRPr="0003589D">
        <w:rPr>
          <w:rFonts w:eastAsia="Arial Unicode MS"/>
        </w:rPr>
        <w:t>Social movement theory is concerned with understanding the formation of social movements, as a form of social mobilisation that results in collective action.</w:t>
      </w:r>
      <w:r>
        <w:rPr>
          <w:rStyle w:val="FootnoteReference"/>
          <w:rFonts w:eastAsia="Arial Unicode MS"/>
        </w:rPr>
        <w:footnoteReference w:id="4"/>
      </w:r>
      <w:r w:rsidRPr="0003589D">
        <w:rPr>
          <w:rFonts w:eastAsia="Arial Unicode MS"/>
        </w:rPr>
        <w:t xml:space="preserve"> Within</w:t>
      </w:r>
      <w:r>
        <w:rPr>
          <w:rFonts w:eastAsia="Arial Unicode MS"/>
        </w:rPr>
        <w:t xml:space="preserve"> </w:t>
      </w:r>
      <w:r w:rsidRPr="0003589D">
        <w:rPr>
          <w:rFonts w:eastAsia="Arial Unicode MS"/>
        </w:rPr>
        <w:t>this literature, vision and leadership are positioned as critical to the formation of a movement and there is extensive</w:t>
      </w:r>
      <w:r>
        <w:rPr>
          <w:rFonts w:eastAsia="Arial Unicode MS"/>
        </w:rPr>
        <w:t xml:space="preserve"> </w:t>
      </w:r>
      <w:r w:rsidRPr="0003589D">
        <w:rPr>
          <w:rFonts w:eastAsia="Arial Unicode MS"/>
        </w:rPr>
        <w:t>exploration of the mechanisms by which leadership and vision can successfully mobilise people.</w:t>
      </w:r>
      <w:r>
        <w:rPr>
          <w:rStyle w:val="FootnoteReference"/>
          <w:rFonts w:eastAsia="Arial Unicode MS"/>
        </w:rPr>
        <w:footnoteReference w:id="5"/>
      </w:r>
    </w:p>
    <w:p w14:paraId="38C98A52" w14:textId="77777777" w:rsidR="0003589D" w:rsidRDefault="0003589D" w:rsidP="0003589D">
      <w:pPr>
        <w:rPr>
          <w:rFonts w:eastAsia="Arial Unicode MS"/>
        </w:rPr>
      </w:pPr>
    </w:p>
    <w:p w14:paraId="607A7202" w14:textId="2C06B7A4" w:rsidR="0003589D" w:rsidRPr="0003589D" w:rsidRDefault="0003589D" w:rsidP="0003589D">
      <w:pPr>
        <w:rPr>
          <w:rFonts w:eastAsia="Arial Unicode MS"/>
        </w:rPr>
      </w:pPr>
      <w:r w:rsidRPr="0003589D">
        <w:rPr>
          <w:rFonts w:eastAsia="Arial Unicode MS"/>
        </w:rPr>
        <w:t>One of the key insights concerns the process and importance of ‘framing’. ‘Framing’ means to create or shape meaning for people. Within a movement, framing is critical to focusing people</w:t>
      </w:r>
      <w:r>
        <w:rPr>
          <w:rFonts w:eastAsia="Arial Unicode MS"/>
        </w:rPr>
        <w:t xml:space="preserve"> </w:t>
      </w:r>
      <w:r w:rsidRPr="0003589D">
        <w:rPr>
          <w:rFonts w:eastAsia="Arial Unicode MS"/>
        </w:rPr>
        <w:t xml:space="preserve">on collective level action, creating the impetus and membership of a movement, by creating a shared lens for people to understand the purpose or </w:t>
      </w:r>
      <w:r w:rsidRPr="0003589D">
        <w:rPr>
          <w:rFonts w:eastAsia="Arial Unicode MS"/>
        </w:rPr>
        <w:lastRenderedPageBreak/>
        <w:t>meaning.</w:t>
      </w:r>
      <w:r>
        <w:rPr>
          <w:rStyle w:val="FootnoteReference"/>
          <w:rFonts w:eastAsia="Arial Unicode MS"/>
        </w:rPr>
        <w:footnoteReference w:id="6"/>
      </w:r>
      <w:r w:rsidRPr="0003589D">
        <w:rPr>
          <w:rFonts w:eastAsia="Arial Unicode MS"/>
        </w:rPr>
        <w:t xml:space="preserve"> In</w:t>
      </w:r>
      <w:r>
        <w:rPr>
          <w:rFonts w:eastAsia="Arial Unicode MS"/>
        </w:rPr>
        <w:t xml:space="preserve"> </w:t>
      </w:r>
      <w:r w:rsidRPr="0003589D">
        <w:rPr>
          <w:rFonts w:eastAsia="Arial Unicode MS"/>
        </w:rPr>
        <w:t>a transformative sense, framing is the mechanism by which people change the meaning they ascribe to different things or people. For example, effective framing efforts can help people move from perceiving a particular group of people within prejudicial stereotypes to a perception that recognises their full humanity. In a practical sense, framing typically occurs through leaders that use narrative and vision, however other</w:t>
      </w:r>
      <w:r>
        <w:rPr>
          <w:rFonts w:eastAsia="Arial Unicode MS"/>
        </w:rPr>
        <w:t xml:space="preserve"> </w:t>
      </w:r>
      <w:r w:rsidRPr="0003589D">
        <w:rPr>
          <w:rFonts w:eastAsia="Arial Unicode MS"/>
        </w:rPr>
        <w:t>forms of symbolism are also effective (for example the raised hand that became synonymous with the Black Panthers).</w:t>
      </w:r>
      <w:r>
        <w:rPr>
          <w:rStyle w:val="FootnoteReference"/>
          <w:rFonts w:eastAsia="Arial Unicode MS"/>
        </w:rPr>
        <w:footnoteReference w:id="7"/>
      </w:r>
    </w:p>
    <w:p w14:paraId="54749450" w14:textId="77777777" w:rsidR="0003589D" w:rsidRPr="0003589D" w:rsidRDefault="0003589D" w:rsidP="0003589D">
      <w:pPr>
        <w:rPr>
          <w:rFonts w:eastAsia="Arial Unicode MS"/>
        </w:rPr>
      </w:pPr>
      <w:r w:rsidRPr="0003589D">
        <w:rPr>
          <w:rFonts w:eastAsia="Arial Unicode MS"/>
        </w:rPr>
        <w:t xml:space="preserve"> </w:t>
      </w:r>
    </w:p>
    <w:p w14:paraId="25D00093" w14:textId="0B0DCA7E" w:rsidR="0003589D" w:rsidRPr="0003589D" w:rsidRDefault="0003589D" w:rsidP="0003589D">
      <w:pPr>
        <w:rPr>
          <w:rFonts w:eastAsia="Arial Unicode MS"/>
        </w:rPr>
      </w:pPr>
      <w:r w:rsidRPr="0003589D">
        <w:rPr>
          <w:rFonts w:eastAsia="Arial Unicode MS"/>
        </w:rPr>
        <w:t>The literature is very clear that effective framing takes repetition and consistency, particularly where the goal of framing is to replace a pre-existing frame.</w:t>
      </w:r>
      <w:r>
        <w:rPr>
          <w:rStyle w:val="FootnoteReference"/>
          <w:rFonts w:eastAsia="Arial Unicode MS"/>
        </w:rPr>
        <w:footnoteReference w:id="8"/>
      </w:r>
      <w:r w:rsidRPr="0003589D">
        <w:rPr>
          <w:rFonts w:eastAsia="Arial Unicode MS"/>
        </w:rPr>
        <w:t xml:space="preserve"> In our context, the pre-existing frame carries the imprint of racism, and the goal of an anti- racism movement is to generate a new</w:t>
      </w:r>
      <w:r>
        <w:rPr>
          <w:rFonts w:eastAsia="Arial Unicode MS"/>
        </w:rPr>
        <w:t xml:space="preserve"> </w:t>
      </w:r>
      <w:r w:rsidRPr="0003589D">
        <w:rPr>
          <w:rFonts w:eastAsia="Arial Unicode MS"/>
        </w:rPr>
        <w:t>frame that creates meaning and momentum behind anti-racism. In the literature, there are a number of stages to promulgate</w:t>
      </w:r>
    </w:p>
    <w:p w14:paraId="5EFD184E" w14:textId="3C6FF3AA" w:rsidR="0003589D" w:rsidRPr="0003589D" w:rsidRDefault="0003589D" w:rsidP="0003589D">
      <w:pPr>
        <w:rPr>
          <w:rFonts w:eastAsia="Arial Unicode MS"/>
        </w:rPr>
      </w:pPr>
      <w:r w:rsidRPr="0003589D">
        <w:rPr>
          <w:rFonts w:eastAsia="Arial Unicode MS"/>
        </w:rPr>
        <w:t>a new frame, such as an equity frame. These stages are called ‘laminations’.</w:t>
      </w:r>
      <w:r>
        <w:rPr>
          <w:rStyle w:val="FootnoteReference"/>
          <w:rFonts w:eastAsia="Arial Unicode MS"/>
        </w:rPr>
        <w:footnoteReference w:id="9"/>
      </w:r>
      <w:r w:rsidRPr="0003589D">
        <w:rPr>
          <w:rFonts w:eastAsia="Arial Unicode MS"/>
        </w:rPr>
        <w:t xml:space="preserve"> The first lamination is called keying which is about creating a new frame for people that provides a tangible sense of meaning and purpose. The second lamination is termed ‘frame breaks’. These are about transitioning people from the frames that they hold to the new frame that has</w:t>
      </w:r>
      <w:r>
        <w:rPr>
          <w:rFonts w:eastAsia="Arial Unicode MS"/>
        </w:rPr>
        <w:t xml:space="preserve"> </w:t>
      </w:r>
      <w:r w:rsidRPr="0003589D">
        <w:rPr>
          <w:rFonts w:eastAsia="Arial Unicode MS"/>
        </w:rPr>
        <w:t>been ‘keyed’.</w:t>
      </w:r>
    </w:p>
    <w:p w14:paraId="2E9A51E9" w14:textId="77777777" w:rsidR="0003589D" w:rsidRPr="0003589D" w:rsidRDefault="0003589D" w:rsidP="0003589D">
      <w:pPr>
        <w:rPr>
          <w:rFonts w:eastAsia="Arial Unicode MS"/>
        </w:rPr>
      </w:pPr>
    </w:p>
    <w:p w14:paraId="416529D8" w14:textId="77777777" w:rsidR="0003589D" w:rsidRDefault="0003589D" w:rsidP="0003589D">
      <w:pPr>
        <w:rPr>
          <w:rFonts w:eastAsia="Arial Unicode MS"/>
        </w:rPr>
      </w:pPr>
      <w:r w:rsidRPr="0003589D">
        <w:rPr>
          <w:rFonts w:eastAsia="Arial Unicode MS"/>
        </w:rPr>
        <w:t>Throughout all stages, the critical element is continually ‘relaminating’ the new frame with consistency.</w:t>
      </w:r>
      <w:r>
        <w:rPr>
          <w:rFonts w:eastAsia="Arial Unicode MS"/>
        </w:rPr>
        <w:t xml:space="preserve"> </w:t>
      </w:r>
    </w:p>
    <w:p w14:paraId="4D1B4D4E" w14:textId="77777777" w:rsidR="0003589D" w:rsidRDefault="0003589D" w:rsidP="0003589D">
      <w:pPr>
        <w:rPr>
          <w:rFonts w:eastAsia="Arial Unicode MS"/>
        </w:rPr>
      </w:pPr>
    </w:p>
    <w:p w14:paraId="1ABB24FA" w14:textId="6415B248" w:rsidR="0003589D" w:rsidRDefault="0003589D" w:rsidP="0003589D">
      <w:pPr>
        <w:rPr>
          <w:rFonts w:eastAsia="Arial Unicode MS"/>
        </w:rPr>
      </w:pPr>
      <w:r w:rsidRPr="0003589D">
        <w:rPr>
          <w:rFonts w:eastAsia="Arial Unicode MS"/>
        </w:rPr>
        <w:t>These insights into framing, keying and laminating substantiate our explicit focus on ‘Pull Factors’, to build shared understanding and mobilise action.</w:t>
      </w:r>
    </w:p>
    <w:p w14:paraId="1838BCAD" w14:textId="77777777" w:rsidR="0003589D" w:rsidRPr="0003589D" w:rsidRDefault="0003589D" w:rsidP="0003589D">
      <w:pPr>
        <w:pStyle w:val="Heading3"/>
        <w:rPr>
          <w:rFonts w:eastAsia="Arial Unicode MS"/>
        </w:rPr>
      </w:pPr>
      <w:r w:rsidRPr="0003589D">
        <w:rPr>
          <w:rFonts w:eastAsia="Arial Unicode MS"/>
        </w:rPr>
        <w:t>Sensemaking</w:t>
      </w:r>
    </w:p>
    <w:p w14:paraId="6263995A" w14:textId="734937E7" w:rsidR="0003589D" w:rsidRPr="0003589D" w:rsidRDefault="0003589D" w:rsidP="0003589D">
      <w:pPr>
        <w:rPr>
          <w:rFonts w:eastAsia="Arial Unicode MS"/>
        </w:rPr>
      </w:pPr>
      <w:r w:rsidRPr="0003589D">
        <w:rPr>
          <w:rFonts w:eastAsia="Arial Unicode MS"/>
        </w:rPr>
        <w:t>Organisational theory suggests that for any new, complex or challenging phenomenon (such as a change process toward greater equity) that people/organisations need support to ‘sensemaking’.</w:t>
      </w:r>
      <w:r>
        <w:rPr>
          <w:rStyle w:val="FootnoteReference"/>
          <w:rFonts w:eastAsia="Arial Unicode MS"/>
        </w:rPr>
        <w:footnoteReference w:id="10"/>
      </w:r>
      <w:r w:rsidRPr="0003589D">
        <w:rPr>
          <w:rFonts w:eastAsia="Arial Unicode MS"/>
        </w:rPr>
        <w:t xml:space="preserve"> We use ‘sensemaking’ in the way referred to by Karl Weick, as a process that involves people giving meaning to collective experiences.</w:t>
      </w:r>
      <w:r>
        <w:rPr>
          <w:rStyle w:val="FootnoteReference"/>
          <w:rFonts w:eastAsia="Arial Unicode MS"/>
        </w:rPr>
        <w:footnoteReference w:id="11"/>
      </w:r>
      <w:r w:rsidRPr="0003589D">
        <w:rPr>
          <w:rFonts w:eastAsia="Arial Unicode MS"/>
        </w:rPr>
        <w:t xml:space="preserve"> The process of sensemaking is generally considered to have three elements: cognitive, </w:t>
      </w:r>
      <w:r w:rsidRPr="0003589D">
        <w:rPr>
          <w:rFonts w:eastAsia="Arial Unicode MS"/>
        </w:rPr>
        <w:lastRenderedPageBreak/>
        <w:t>emotional and physical.</w:t>
      </w:r>
      <w:r>
        <w:rPr>
          <w:rStyle w:val="FootnoteReference"/>
          <w:rFonts w:eastAsia="Arial Unicode MS"/>
        </w:rPr>
        <w:footnoteReference w:id="12"/>
      </w:r>
      <w:r w:rsidRPr="0003589D">
        <w:rPr>
          <w:rFonts w:eastAsia="Arial Unicode MS"/>
        </w:rPr>
        <w:t xml:space="preserve"> The cognitive elements are having a mental model or frame to understand the ‘new thing’. The emotional elements are about feelings associated with the change</w:t>
      </w:r>
      <w:r>
        <w:rPr>
          <w:rFonts w:eastAsia="Arial Unicode MS"/>
        </w:rPr>
        <w:t xml:space="preserve"> </w:t>
      </w:r>
      <w:r w:rsidRPr="0003589D">
        <w:rPr>
          <w:rFonts w:eastAsia="Arial Unicode MS"/>
        </w:rPr>
        <w:t>and the physical are enactment or other practical ways to embody the cognitive and emotional elements. The latter are sometimes referred to as ‘acting into’</w:t>
      </w:r>
    </w:p>
    <w:p w14:paraId="21FF0636" w14:textId="5AF29632" w:rsidR="0003589D" w:rsidRDefault="0003589D" w:rsidP="0003589D">
      <w:pPr>
        <w:rPr>
          <w:rFonts w:eastAsia="Arial Unicode MS"/>
        </w:rPr>
      </w:pPr>
      <w:r w:rsidRPr="0003589D">
        <w:rPr>
          <w:rFonts w:eastAsia="Arial Unicode MS"/>
        </w:rPr>
        <w:t>sensemaking: the act of doing can be a way we make sense of a particular change.</w:t>
      </w:r>
    </w:p>
    <w:p w14:paraId="2778F0FB" w14:textId="77777777" w:rsidR="0003589D" w:rsidRPr="0003589D" w:rsidRDefault="0003589D" w:rsidP="0003589D">
      <w:pPr>
        <w:rPr>
          <w:rFonts w:eastAsia="Arial Unicode MS"/>
        </w:rPr>
      </w:pPr>
    </w:p>
    <w:p w14:paraId="7D01E183" w14:textId="14DDFA9E" w:rsidR="0003589D" w:rsidRDefault="0003589D" w:rsidP="0003589D">
      <w:pPr>
        <w:rPr>
          <w:rFonts w:eastAsia="Arial Unicode MS"/>
        </w:rPr>
      </w:pPr>
      <w:r w:rsidRPr="0003589D">
        <w:rPr>
          <w:rFonts w:eastAsia="Arial Unicode MS"/>
        </w:rPr>
        <w:t>We have drawn on sensemaking in the way the pull and push factors interact. The pull factors are framing levers within Kawa that support cognitive sensemaking directly. The push factors are about acting into sensemaking through practical things to do. Both push and pull factors can be</w:t>
      </w:r>
      <w:r>
        <w:rPr>
          <w:rFonts w:eastAsia="Arial Unicode MS"/>
        </w:rPr>
        <w:t xml:space="preserve"> </w:t>
      </w:r>
      <w:r w:rsidRPr="0003589D">
        <w:rPr>
          <w:rFonts w:eastAsia="Arial Unicode MS"/>
        </w:rPr>
        <w:t>designed to provide the emotional element to sensemaking.</w:t>
      </w:r>
    </w:p>
    <w:p w14:paraId="22E4495B" w14:textId="77777777" w:rsidR="0003589D" w:rsidRPr="0003589D" w:rsidRDefault="0003589D" w:rsidP="0003589D">
      <w:pPr>
        <w:rPr>
          <w:rFonts w:eastAsia="Arial Unicode MS"/>
        </w:rPr>
      </w:pPr>
    </w:p>
    <w:p w14:paraId="378237E9" w14:textId="3256F867" w:rsidR="0003589D" w:rsidRPr="0003589D" w:rsidRDefault="0003589D" w:rsidP="0003589D">
      <w:pPr>
        <w:rPr>
          <w:rFonts w:eastAsia="Arial Unicode MS"/>
        </w:rPr>
      </w:pPr>
      <w:r w:rsidRPr="0003589D">
        <w:rPr>
          <w:rFonts w:eastAsia="Arial Unicode MS"/>
        </w:rPr>
        <w:t>We apply sensemaking within this model as a guide to designing mutually</w:t>
      </w:r>
      <w:r>
        <w:rPr>
          <w:rFonts w:eastAsia="Arial Unicode MS"/>
        </w:rPr>
        <w:t xml:space="preserve"> </w:t>
      </w:r>
      <w:r w:rsidRPr="0003589D">
        <w:rPr>
          <w:rFonts w:eastAsia="Arial Unicode MS"/>
        </w:rPr>
        <w:t xml:space="preserve">reinforcing interaction across push and pull factors. The supporting tools encourage organisations to focus on both coherence in the pull factors while </w:t>
      </w:r>
      <w:r w:rsidR="00E00568" w:rsidRPr="0003589D">
        <w:rPr>
          <w:rFonts w:eastAsia="Arial Unicode MS"/>
        </w:rPr>
        <w:t>sustaining</w:t>
      </w:r>
      <w:r w:rsidRPr="0003589D">
        <w:rPr>
          <w:rFonts w:eastAsia="Arial Unicode MS"/>
        </w:rPr>
        <w:t xml:space="preserve"> momentum through sequenced enactment opportunities (push factors).</w:t>
      </w:r>
    </w:p>
    <w:p w14:paraId="501F8F9C" w14:textId="77777777" w:rsidR="0003589D" w:rsidRPr="0003589D" w:rsidRDefault="0003589D" w:rsidP="0003589D">
      <w:pPr>
        <w:pStyle w:val="Heading3"/>
        <w:rPr>
          <w:rFonts w:eastAsia="Arial Unicode MS"/>
        </w:rPr>
      </w:pPr>
      <w:r w:rsidRPr="0003589D">
        <w:rPr>
          <w:rFonts w:eastAsia="Arial Unicode MS"/>
        </w:rPr>
        <w:t>Behaviour Change</w:t>
      </w:r>
    </w:p>
    <w:p w14:paraId="2F656A3F" w14:textId="381EE8EA" w:rsidR="0003589D" w:rsidRDefault="0003589D" w:rsidP="0003589D">
      <w:pPr>
        <w:rPr>
          <w:rFonts w:eastAsia="Arial Unicode MS"/>
        </w:rPr>
      </w:pPr>
      <w:r w:rsidRPr="0003589D">
        <w:rPr>
          <w:rFonts w:eastAsia="Arial Unicode MS"/>
        </w:rPr>
        <w:t>Behaviour change is particularly concerned with how to create both individual and collective change. The field is still cohering, so there is arguably no-one theory, but there is agreement on the complexity</w:t>
      </w:r>
      <w:r>
        <w:rPr>
          <w:rFonts w:eastAsia="Arial Unicode MS"/>
        </w:rPr>
        <w:t xml:space="preserve"> </w:t>
      </w:r>
      <w:r w:rsidRPr="0003589D">
        <w:rPr>
          <w:rFonts w:eastAsia="Arial Unicode MS"/>
        </w:rPr>
        <w:t>of shifting human behaviour requiring a nuanced approach to both catalysing and sustaining change.</w:t>
      </w:r>
      <w:r>
        <w:rPr>
          <w:rStyle w:val="FootnoteReference"/>
          <w:rFonts w:eastAsia="Arial Unicode MS"/>
        </w:rPr>
        <w:footnoteReference w:id="13"/>
      </w:r>
      <w:r w:rsidRPr="0003589D">
        <w:rPr>
          <w:rFonts w:eastAsia="Arial Unicode MS"/>
        </w:rPr>
        <w:t xml:space="preserve"> The need to</w:t>
      </w:r>
      <w:r>
        <w:rPr>
          <w:rFonts w:eastAsia="Arial Unicode MS"/>
        </w:rPr>
        <w:t xml:space="preserve"> </w:t>
      </w:r>
      <w:r w:rsidRPr="0003589D">
        <w:rPr>
          <w:rFonts w:eastAsia="Arial Unicode MS"/>
        </w:rPr>
        <w:t>intentionally trigger and sustain change has informed our approach to the relationship between push and pull factors, as well</w:t>
      </w:r>
      <w:r>
        <w:rPr>
          <w:rFonts w:eastAsia="Arial Unicode MS"/>
        </w:rPr>
        <w:t xml:space="preserve"> </w:t>
      </w:r>
      <w:r w:rsidRPr="0003589D">
        <w:rPr>
          <w:rFonts w:eastAsia="Arial Unicode MS"/>
        </w:rPr>
        <w:t>as the focus placed on momentum and velocity. We have also drawn from the levers for change discussed in behaviour change work, with consideration of the distinctive role of different types of levers in creating change.</w:t>
      </w:r>
      <w:r>
        <w:rPr>
          <w:rStyle w:val="FootnoteReference"/>
          <w:rFonts w:eastAsia="Arial Unicode MS"/>
        </w:rPr>
        <w:footnoteReference w:id="14"/>
      </w:r>
      <w:r w:rsidRPr="0003589D">
        <w:rPr>
          <w:rFonts w:eastAsia="Arial Unicode MS"/>
        </w:rPr>
        <w:t xml:space="preserve"> Many commentators distinguish between coercing, incentivising and influencing change, and suggest that each will have a different effect in terms of the durability of change triggered. It is also recommended that the suitability of these types of levers is considered in the human</w:t>
      </w:r>
      <w:r>
        <w:rPr>
          <w:rFonts w:eastAsia="Arial Unicode MS"/>
        </w:rPr>
        <w:t xml:space="preserve"> </w:t>
      </w:r>
      <w:r w:rsidRPr="0003589D">
        <w:rPr>
          <w:rFonts w:eastAsia="Arial Unicode MS"/>
        </w:rPr>
        <w:t>and wider context.</w:t>
      </w:r>
      <w:r>
        <w:rPr>
          <w:rStyle w:val="FootnoteReference"/>
          <w:rFonts w:eastAsia="Arial Unicode MS"/>
        </w:rPr>
        <w:footnoteReference w:id="15"/>
      </w:r>
      <w:r w:rsidRPr="0003589D">
        <w:rPr>
          <w:rFonts w:eastAsia="Arial Unicode MS"/>
        </w:rPr>
        <w:t xml:space="preserve"> We have drawn on this body of work to build out our compilation of levers for change, as well as consider the likely suitability of different types of levers at different phases in the movement model.</w:t>
      </w:r>
    </w:p>
    <w:p w14:paraId="631A68C6" w14:textId="77777777" w:rsidR="0003589D" w:rsidRPr="0003589D" w:rsidRDefault="0003589D" w:rsidP="0003589D">
      <w:pPr>
        <w:pStyle w:val="Heading3"/>
        <w:rPr>
          <w:rFonts w:eastAsia="Arial Unicode MS"/>
        </w:rPr>
      </w:pPr>
      <w:r w:rsidRPr="0003589D">
        <w:rPr>
          <w:rFonts w:eastAsia="Arial Unicode MS"/>
        </w:rPr>
        <w:t>Motivation</w:t>
      </w:r>
    </w:p>
    <w:p w14:paraId="073268AC" w14:textId="77777777" w:rsidR="0003589D" w:rsidRPr="0003589D" w:rsidRDefault="0003589D" w:rsidP="0003589D">
      <w:pPr>
        <w:rPr>
          <w:rFonts w:eastAsia="Arial Unicode MS"/>
        </w:rPr>
      </w:pPr>
      <w:r w:rsidRPr="0003589D">
        <w:rPr>
          <w:rFonts w:eastAsia="Arial Unicode MS"/>
        </w:rPr>
        <w:t>Psychology distinguishes between different types of motivation. Intrinsic motivation</w:t>
      </w:r>
    </w:p>
    <w:p w14:paraId="14DA29A2" w14:textId="6E3E8DB3" w:rsidR="0003589D" w:rsidRDefault="0003589D" w:rsidP="0003589D">
      <w:pPr>
        <w:rPr>
          <w:rFonts w:eastAsia="Arial Unicode MS"/>
        </w:rPr>
      </w:pPr>
      <w:r w:rsidRPr="0003589D">
        <w:rPr>
          <w:rFonts w:eastAsia="Arial Unicode MS"/>
        </w:rPr>
        <w:t>is a deep form driven by an internal drive that emanates from a sense of ownership and autonomy over the change sought.</w:t>
      </w:r>
      <w:r>
        <w:rPr>
          <w:rStyle w:val="FootnoteReference"/>
          <w:rFonts w:eastAsia="Arial Unicode MS"/>
        </w:rPr>
        <w:footnoteReference w:id="16"/>
      </w:r>
      <w:r w:rsidRPr="0003589D">
        <w:rPr>
          <w:rFonts w:eastAsia="Arial Unicode MS"/>
        </w:rPr>
        <w:t xml:space="preserve"> Intrinsic motivation is considered to be more </w:t>
      </w:r>
      <w:r w:rsidRPr="0003589D">
        <w:rPr>
          <w:rFonts w:eastAsia="Arial Unicode MS"/>
        </w:rPr>
        <w:lastRenderedPageBreak/>
        <w:t>durable and effective for achieving complex change. Extrinsic motivation in contrast is geared by external motivators (such as compliance). Extrinsic motivation is considered to be less durable and effective in sustaining complex change.</w:t>
      </w:r>
      <w:r>
        <w:rPr>
          <w:rStyle w:val="FootnoteReference"/>
          <w:rFonts w:eastAsia="Arial Unicode MS"/>
        </w:rPr>
        <w:footnoteReference w:id="17"/>
      </w:r>
    </w:p>
    <w:p w14:paraId="70CEEFE7" w14:textId="4DD67611" w:rsidR="0003589D" w:rsidRDefault="0003589D" w:rsidP="0003589D">
      <w:pPr>
        <w:rPr>
          <w:rFonts w:eastAsia="Arial Unicode MS"/>
        </w:rPr>
      </w:pPr>
    </w:p>
    <w:p w14:paraId="377C3B79" w14:textId="60F93AB0" w:rsidR="0003589D" w:rsidRDefault="0003589D" w:rsidP="0003589D">
      <w:pPr>
        <w:rPr>
          <w:rFonts w:eastAsia="Arial Unicode MS"/>
        </w:rPr>
      </w:pPr>
      <w:r w:rsidRPr="0003589D">
        <w:rPr>
          <w:rFonts w:eastAsia="Arial Unicode MS"/>
        </w:rPr>
        <w:t>We consider that the type of motivation triggered by different change levers is important to assess in strategising about the movement pathway. Too much reliance on extrinsic motivation will result in short- term change that is likely to be less ‘sticky’ than change which is driven by a</w:t>
      </w:r>
      <w:r>
        <w:rPr>
          <w:rFonts w:eastAsia="Arial Unicode MS"/>
        </w:rPr>
        <w:t xml:space="preserve"> </w:t>
      </w:r>
      <w:r w:rsidRPr="0003589D">
        <w:rPr>
          <w:rFonts w:eastAsia="Arial Unicode MS"/>
        </w:rPr>
        <w:t>deeper sense of internal drive and autonomous action.</w:t>
      </w:r>
      <w:r>
        <w:rPr>
          <w:rStyle w:val="FootnoteReference"/>
          <w:rFonts w:eastAsia="Arial Unicode MS"/>
        </w:rPr>
        <w:footnoteReference w:id="18"/>
      </w:r>
    </w:p>
    <w:p w14:paraId="5268FD7B" w14:textId="77777777" w:rsidR="0003589D" w:rsidRPr="0003589D" w:rsidRDefault="0003589D" w:rsidP="0003589D">
      <w:pPr>
        <w:pStyle w:val="Heading2"/>
        <w:rPr>
          <w:rFonts w:eastAsia="Arial Unicode MS"/>
        </w:rPr>
      </w:pPr>
      <w:bookmarkStart w:id="17" w:name="_Toc128745945"/>
      <w:r w:rsidRPr="0003589D">
        <w:rPr>
          <w:rFonts w:eastAsia="Arial Unicode MS"/>
        </w:rPr>
        <w:t xml:space="preserve">Te Aho Tapu </w:t>
      </w:r>
      <w:r w:rsidRPr="0003589D">
        <w:rPr>
          <w:rFonts w:eastAsia="Arial Unicode MS"/>
          <w:b w:val="0"/>
          <w:bCs/>
        </w:rPr>
        <w:t>Starting</w:t>
      </w:r>
      <w:bookmarkEnd w:id="17"/>
    </w:p>
    <w:p w14:paraId="20D13C04" w14:textId="77777777" w:rsidR="0003589D" w:rsidRPr="0003589D" w:rsidRDefault="0003589D" w:rsidP="0003589D">
      <w:pPr>
        <w:rPr>
          <w:rFonts w:eastAsia="Arial Unicode MS"/>
        </w:rPr>
      </w:pPr>
      <w:r w:rsidRPr="0003589D">
        <w:rPr>
          <w:rFonts w:eastAsia="Arial Unicode MS"/>
        </w:rPr>
        <w:t>The first line of any weaving effort is crucially significant. It sets the basis of every aho (weft) and whenu (warp) that is to come later, it is the foundation on which the final pattern is built. In the context of Whiria te Muka Tangata, this means ensuring that the order in which the threads and strands are brought together is consistent with your intended design or strategy.</w:t>
      </w:r>
    </w:p>
    <w:p w14:paraId="15F82140" w14:textId="77777777" w:rsidR="0003589D" w:rsidRPr="0003589D" w:rsidRDefault="0003589D" w:rsidP="0003589D">
      <w:pPr>
        <w:rPr>
          <w:rFonts w:eastAsia="Arial Unicode MS"/>
        </w:rPr>
      </w:pPr>
    </w:p>
    <w:p w14:paraId="1F2C018D" w14:textId="68CF9CFB" w:rsidR="0003589D" w:rsidRDefault="0003589D" w:rsidP="0003589D">
      <w:pPr>
        <w:rPr>
          <w:rFonts w:eastAsia="Arial Unicode MS"/>
        </w:rPr>
      </w:pPr>
      <w:r w:rsidRPr="0003589D">
        <w:rPr>
          <w:rFonts w:eastAsia="Arial Unicode MS"/>
        </w:rPr>
        <w:t>Whiria te Muka draws upon a Social Labs methodology</w:t>
      </w:r>
      <w:r>
        <w:rPr>
          <w:rStyle w:val="FootnoteReference"/>
          <w:rFonts w:eastAsia="Arial Unicode MS"/>
        </w:rPr>
        <w:footnoteReference w:id="19"/>
      </w:r>
      <w:r w:rsidRPr="0003589D">
        <w:rPr>
          <w:rFonts w:eastAsia="Arial Unicode MS"/>
        </w:rPr>
        <w:t xml:space="preserve"> in which people from within the organisation and those that have experience of the issues collaboratively design solutions. These solutions are experimental, systemic and numerous as the idea is not to place a large bet on a single solution but many smaller bets on multiple interventions.</w:t>
      </w:r>
    </w:p>
    <w:p w14:paraId="7FC64ABC" w14:textId="752E014F" w:rsidR="0003589D" w:rsidRDefault="0003589D" w:rsidP="0003589D">
      <w:pPr>
        <w:rPr>
          <w:rFonts w:eastAsia="Arial Unicode MS"/>
        </w:rPr>
      </w:pPr>
    </w:p>
    <w:p w14:paraId="00F52D03" w14:textId="538EDBFC" w:rsidR="0003589D" w:rsidRDefault="0003589D" w:rsidP="0003589D">
      <w:pPr>
        <w:rPr>
          <w:rFonts w:eastAsia="Arial Unicode MS"/>
        </w:rPr>
      </w:pPr>
      <w:r w:rsidRPr="0003589D">
        <w:rPr>
          <w:rFonts w:eastAsia="Arial Unicode MS"/>
        </w:rPr>
        <w:t>As all organisations are different, there is no magic formula for how this should roll out. It takes time to order things and have the confidence to make a start. Weaving a new future takes ongoing leadership and a vision that people want to support. However, the desired end-state of Whiria te Muka Tangata is one where that future</w:t>
      </w:r>
      <w:r>
        <w:rPr>
          <w:rFonts w:eastAsia="Arial Unicode MS"/>
        </w:rPr>
        <w:t xml:space="preserve"> </w:t>
      </w:r>
      <w:r w:rsidRPr="0003589D">
        <w:rPr>
          <w:rFonts w:eastAsia="Arial Unicode MS"/>
        </w:rPr>
        <w:t>is self-sustaining and driven by an inherent desire from within the organisation. The introduction of different aho (levers for change) within the model at different stages in an organisation’s development can be helpful in building momentum.</w:t>
      </w:r>
    </w:p>
    <w:p w14:paraId="2EC7B24E" w14:textId="60AD0D2A" w:rsidR="002F126B" w:rsidRDefault="00BA7954" w:rsidP="00BA7954">
      <w:pPr>
        <w:pStyle w:val="Heading1"/>
        <w:rPr>
          <w:rFonts w:eastAsia="Arial Unicode MS"/>
          <w:bCs/>
        </w:rPr>
      </w:pPr>
      <w:bookmarkStart w:id="18" w:name="_Toc128745946"/>
      <w:r w:rsidRPr="00BA7954">
        <w:rPr>
          <w:rFonts w:eastAsia="Arial Unicode MS"/>
        </w:rPr>
        <w:lastRenderedPageBreak/>
        <w:t xml:space="preserve">Kupu Whakamutunga </w:t>
      </w:r>
      <w:r w:rsidR="00FF3F96">
        <w:t xml:space="preserve">| </w:t>
      </w:r>
      <w:r w:rsidRPr="00BA7954">
        <w:rPr>
          <w:rFonts w:eastAsia="Arial Unicode MS"/>
          <w:b w:val="0"/>
        </w:rPr>
        <w:t>Conclusion</w:t>
      </w:r>
      <w:bookmarkEnd w:id="18"/>
    </w:p>
    <w:p w14:paraId="10B5F598" w14:textId="77777777" w:rsidR="00BA7954" w:rsidRDefault="00BA7954" w:rsidP="00BA7954">
      <w:pPr>
        <w:rPr>
          <w:rFonts w:eastAsia="Arial Unicode MS"/>
        </w:rPr>
        <w:sectPr w:rsidR="00BA7954" w:rsidSect="00C67BC1">
          <w:footerReference w:type="even" r:id="rId40"/>
          <w:footerReference w:type="default" r:id="rId41"/>
          <w:pgSz w:w="11907" w:h="16840" w:code="9"/>
          <w:pgMar w:top="1418" w:right="1701" w:bottom="1134" w:left="1843" w:header="284" w:footer="425" w:gutter="284"/>
          <w:cols w:space="720"/>
        </w:sectPr>
      </w:pPr>
      <w:r w:rsidRPr="00BA7954">
        <w:rPr>
          <w:rFonts w:eastAsia="Arial Unicode MS"/>
        </w:rPr>
        <w:t>The information in this document is preliminary and needs further testing, iteration and insight during the next phase of Ao Mai te Rā. This document provides a practical sense of how Whiria te Muka could be deployed within health organisations, so that we can deepen the dialogue we are able to have in the next phase of Ao Mai te Rā. We also plan to prototype Whiria te Muka in two to three organisations, which we are confident will be powerful learning opportunities to drive changes in Whiria te Muka.</w:t>
      </w:r>
    </w:p>
    <w:p w14:paraId="15B3F8C2" w14:textId="1CE27CCB" w:rsidR="00BA7954" w:rsidRDefault="00BA7954" w:rsidP="00260E90">
      <w:pPr>
        <w:pStyle w:val="Heading1"/>
        <w:spacing w:before="0"/>
        <w:rPr>
          <w:rFonts w:eastAsia="Arial Unicode MS"/>
        </w:rPr>
      </w:pPr>
      <w:bookmarkStart w:id="19" w:name="_Toc128745947"/>
      <w:r w:rsidRPr="00BA7954">
        <w:rPr>
          <w:rFonts w:eastAsia="Arial Unicode MS"/>
        </w:rPr>
        <w:lastRenderedPageBreak/>
        <w:t>Appendix A</w:t>
      </w:r>
      <w:r w:rsidR="00E046D1">
        <w:rPr>
          <w:rFonts w:eastAsia="Arial Unicode MS"/>
        </w:rPr>
        <w:t xml:space="preserve"> -</w:t>
      </w:r>
      <w:r w:rsidRPr="00BA7954">
        <w:rPr>
          <w:rFonts w:eastAsia="Arial Unicode MS"/>
        </w:rPr>
        <w:t xml:space="preserve"> Scoring Rubric</w:t>
      </w:r>
      <w:bookmarkEnd w:id="19"/>
    </w:p>
    <w:p w14:paraId="214234DB" w14:textId="68D3B671" w:rsidR="00BA7954" w:rsidRDefault="00BA7954" w:rsidP="00BA7954">
      <w:pPr>
        <w:rPr>
          <w:rFonts w:eastAsia="Arial Unicode MS"/>
        </w:rPr>
      </w:pPr>
      <w:r w:rsidRPr="00BA7954">
        <w:rPr>
          <w:rFonts w:eastAsia="Arial Unicode MS"/>
        </w:rPr>
        <w:t>The scoring rubric below is designed to support organisations to benchmark their progress towards anti-racism. The rubric is in preliminary form and we look forward to evolving it with the sector in the next phase of Ao Mai Te R</w:t>
      </w:r>
      <w:r w:rsidR="00260E90" w:rsidRPr="00181D0D">
        <w:rPr>
          <w:w w:val="105"/>
        </w:rPr>
        <w:t>ā</w:t>
      </w:r>
      <w:r w:rsidR="00260E90">
        <w:rPr>
          <w:w w:val="105"/>
        </w:rPr>
        <w:t>.</w:t>
      </w:r>
    </w:p>
    <w:p w14:paraId="4E275522" w14:textId="55F9CB2C" w:rsidR="00BA7954" w:rsidRDefault="00BA7954" w:rsidP="00BA7954">
      <w:pPr>
        <w:rPr>
          <w:rFonts w:eastAsia="Arial Unicode MS"/>
        </w:rPr>
      </w:pPr>
    </w:p>
    <w:tbl>
      <w:tblPr>
        <w:tblStyle w:val="TableGrid"/>
        <w:tblW w:w="2026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60"/>
        <w:gridCol w:w="1854"/>
        <w:gridCol w:w="2457"/>
        <w:gridCol w:w="2939"/>
        <w:gridCol w:w="2939"/>
        <w:gridCol w:w="2939"/>
        <w:gridCol w:w="2939"/>
        <w:gridCol w:w="2939"/>
      </w:tblGrid>
      <w:tr w:rsidR="00555034" w14:paraId="4726027C" w14:textId="77777777" w:rsidTr="00E046D1">
        <w:trPr>
          <w:tblHeader/>
        </w:trPr>
        <w:tc>
          <w:tcPr>
            <w:tcW w:w="1260" w:type="dxa"/>
            <w:tcBorders>
              <w:top w:val="nil"/>
              <w:bottom w:val="nil"/>
            </w:tcBorders>
            <w:shd w:val="clear" w:color="auto" w:fill="D9D9D9" w:themeFill="background1" w:themeFillShade="D9"/>
            <w:vAlign w:val="center"/>
          </w:tcPr>
          <w:p w14:paraId="5585D32C" w14:textId="16BB6A14" w:rsidR="00BA7954" w:rsidRPr="00555034" w:rsidRDefault="00BA7954" w:rsidP="00E046D1">
            <w:pPr>
              <w:pStyle w:val="TableText"/>
              <w:rPr>
                <w:rFonts w:eastAsia="Arial Unicode MS"/>
                <w:b/>
                <w:bCs/>
              </w:rPr>
            </w:pPr>
            <w:r w:rsidRPr="00555034">
              <w:rPr>
                <w:rFonts w:eastAsia="Arial Unicode MS"/>
                <w:b/>
                <w:bCs/>
              </w:rPr>
              <w:t>WHIRA</w:t>
            </w:r>
          </w:p>
        </w:tc>
        <w:tc>
          <w:tcPr>
            <w:tcW w:w="1854" w:type="dxa"/>
            <w:tcBorders>
              <w:top w:val="nil"/>
              <w:bottom w:val="nil"/>
            </w:tcBorders>
            <w:shd w:val="clear" w:color="auto" w:fill="D9D9D9" w:themeFill="background1" w:themeFillShade="D9"/>
            <w:vAlign w:val="center"/>
          </w:tcPr>
          <w:p w14:paraId="0A031621" w14:textId="68B8107C" w:rsidR="00BA7954" w:rsidRPr="00193B0C" w:rsidRDefault="00BA7954" w:rsidP="00E046D1">
            <w:pPr>
              <w:pStyle w:val="TableText"/>
              <w:rPr>
                <w:rFonts w:eastAsia="Arial Unicode MS"/>
                <w:b/>
                <w:bCs/>
                <w:sz w:val="20"/>
              </w:rPr>
            </w:pPr>
            <w:r w:rsidRPr="00193B0C">
              <w:rPr>
                <w:rFonts w:eastAsia="Arial Unicode MS"/>
                <w:b/>
                <w:bCs/>
                <w:sz w:val="20"/>
              </w:rPr>
              <w:t>AHO</w:t>
            </w:r>
          </w:p>
        </w:tc>
        <w:tc>
          <w:tcPr>
            <w:tcW w:w="2457" w:type="dxa"/>
            <w:tcBorders>
              <w:top w:val="nil"/>
              <w:bottom w:val="nil"/>
            </w:tcBorders>
            <w:shd w:val="clear" w:color="auto" w:fill="D9D9D9" w:themeFill="background1" w:themeFillShade="D9"/>
            <w:vAlign w:val="center"/>
          </w:tcPr>
          <w:p w14:paraId="3374ACFB" w14:textId="4A005769" w:rsidR="00BA7954" w:rsidRPr="00193B0C" w:rsidRDefault="00BA7954" w:rsidP="00E046D1">
            <w:pPr>
              <w:pStyle w:val="TableText"/>
              <w:rPr>
                <w:rFonts w:eastAsia="Arial Unicode MS"/>
                <w:b/>
                <w:bCs/>
                <w:sz w:val="20"/>
              </w:rPr>
            </w:pPr>
            <w:r w:rsidRPr="00193B0C">
              <w:rPr>
                <w:rFonts w:eastAsia="Arial Unicode MS"/>
                <w:b/>
                <w:bCs/>
                <w:sz w:val="20"/>
              </w:rPr>
              <w:t>WHENU</w:t>
            </w:r>
          </w:p>
        </w:tc>
        <w:tc>
          <w:tcPr>
            <w:tcW w:w="2939" w:type="dxa"/>
            <w:tcBorders>
              <w:top w:val="nil"/>
              <w:bottom w:val="nil"/>
            </w:tcBorders>
            <w:shd w:val="clear" w:color="auto" w:fill="D9D9D9" w:themeFill="background1" w:themeFillShade="D9"/>
          </w:tcPr>
          <w:p w14:paraId="6991258D" w14:textId="5F087E31" w:rsidR="00BA7954" w:rsidRPr="00193B0C" w:rsidRDefault="00BA7954" w:rsidP="00555034">
            <w:pPr>
              <w:pStyle w:val="TableText"/>
              <w:jc w:val="center"/>
              <w:rPr>
                <w:rFonts w:eastAsia="Arial Unicode MS"/>
                <w:b/>
                <w:bCs/>
                <w:sz w:val="20"/>
              </w:rPr>
            </w:pPr>
            <w:r w:rsidRPr="00193B0C">
              <w:rPr>
                <w:rFonts w:eastAsia="Arial Unicode MS"/>
                <w:b/>
                <w:bCs/>
                <w:sz w:val="20"/>
              </w:rPr>
              <w:t>1</w:t>
            </w:r>
            <w:r w:rsidR="00223D0E">
              <w:rPr>
                <w:rFonts w:eastAsia="Arial Unicode MS"/>
                <w:b/>
                <w:bCs/>
                <w:sz w:val="20"/>
              </w:rPr>
              <w:br/>
            </w:r>
            <w:r w:rsidRPr="00193B0C">
              <w:rPr>
                <w:rFonts w:eastAsia="Arial Unicode MS"/>
                <w:b/>
                <w:bCs/>
                <w:sz w:val="20"/>
              </w:rPr>
              <w:t>RESISTANT</w:t>
            </w:r>
          </w:p>
          <w:p w14:paraId="1E1CED7B" w14:textId="005A90C8" w:rsidR="00BA7954" w:rsidRPr="00193B0C" w:rsidRDefault="00BA7954" w:rsidP="00555034">
            <w:pPr>
              <w:pStyle w:val="TableText"/>
              <w:jc w:val="center"/>
              <w:rPr>
                <w:rFonts w:eastAsia="Arial Unicode MS"/>
                <w:b/>
                <w:bCs/>
                <w:sz w:val="20"/>
              </w:rPr>
            </w:pPr>
            <w:r w:rsidRPr="00193B0C">
              <w:rPr>
                <w:rFonts w:eastAsia="Arial Unicode MS"/>
                <w:b/>
                <w:bCs/>
                <w:sz w:val="20"/>
              </w:rPr>
              <w:t>Overt Racism</w:t>
            </w:r>
          </w:p>
        </w:tc>
        <w:tc>
          <w:tcPr>
            <w:tcW w:w="2939" w:type="dxa"/>
            <w:tcBorders>
              <w:top w:val="nil"/>
              <w:bottom w:val="nil"/>
            </w:tcBorders>
            <w:shd w:val="clear" w:color="auto" w:fill="D9D9D9" w:themeFill="background1" w:themeFillShade="D9"/>
          </w:tcPr>
          <w:p w14:paraId="5FB60EEB" w14:textId="6120D469" w:rsidR="00134547" w:rsidRPr="00193B0C" w:rsidRDefault="00134547" w:rsidP="00555034">
            <w:pPr>
              <w:pStyle w:val="TableText"/>
              <w:jc w:val="center"/>
              <w:rPr>
                <w:rFonts w:eastAsia="Arial Unicode MS"/>
                <w:b/>
                <w:bCs/>
                <w:sz w:val="20"/>
              </w:rPr>
            </w:pPr>
            <w:r w:rsidRPr="00193B0C">
              <w:rPr>
                <w:rFonts w:eastAsia="Arial Unicode MS"/>
                <w:b/>
                <w:bCs/>
                <w:sz w:val="20"/>
              </w:rPr>
              <w:t>2</w:t>
            </w:r>
            <w:r w:rsidR="00223D0E">
              <w:rPr>
                <w:rFonts w:eastAsia="Arial Unicode MS"/>
                <w:b/>
                <w:bCs/>
                <w:sz w:val="20"/>
              </w:rPr>
              <w:br/>
            </w:r>
            <w:r w:rsidRPr="00193B0C">
              <w:rPr>
                <w:rFonts w:eastAsia="Arial Unicode MS"/>
                <w:b/>
                <w:bCs/>
                <w:sz w:val="20"/>
              </w:rPr>
              <w:t>PASSIVE</w:t>
            </w:r>
          </w:p>
          <w:p w14:paraId="56CF486C" w14:textId="666731EC" w:rsidR="00BA7954" w:rsidRPr="00193B0C" w:rsidRDefault="00134547" w:rsidP="00555034">
            <w:pPr>
              <w:pStyle w:val="TableText"/>
              <w:jc w:val="center"/>
              <w:rPr>
                <w:rFonts w:eastAsia="Arial Unicode MS"/>
                <w:b/>
                <w:bCs/>
                <w:sz w:val="20"/>
              </w:rPr>
            </w:pPr>
            <w:r w:rsidRPr="00193B0C">
              <w:rPr>
                <w:rFonts w:eastAsia="Arial Unicode MS"/>
                <w:b/>
                <w:bCs/>
                <w:sz w:val="20"/>
              </w:rPr>
              <w:t>Covert Racism</w:t>
            </w:r>
          </w:p>
        </w:tc>
        <w:tc>
          <w:tcPr>
            <w:tcW w:w="2939" w:type="dxa"/>
            <w:tcBorders>
              <w:top w:val="nil"/>
              <w:bottom w:val="nil"/>
            </w:tcBorders>
            <w:shd w:val="clear" w:color="auto" w:fill="D9D9D9" w:themeFill="background1" w:themeFillShade="D9"/>
          </w:tcPr>
          <w:p w14:paraId="4976597F" w14:textId="0C5B264C" w:rsidR="00134547" w:rsidRPr="00193B0C" w:rsidRDefault="00134547" w:rsidP="00555034">
            <w:pPr>
              <w:pStyle w:val="TableText"/>
              <w:jc w:val="center"/>
              <w:rPr>
                <w:rFonts w:eastAsia="Arial Unicode MS"/>
                <w:b/>
                <w:bCs/>
                <w:sz w:val="20"/>
              </w:rPr>
            </w:pPr>
            <w:r w:rsidRPr="00193B0C">
              <w:rPr>
                <w:rFonts w:eastAsia="Arial Unicode MS"/>
                <w:b/>
                <w:bCs/>
                <w:sz w:val="20"/>
              </w:rPr>
              <w:t>3</w:t>
            </w:r>
            <w:r w:rsidR="00223D0E">
              <w:rPr>
                <w:rFonts w:eastAsia="Arial Unicode MS"/>
                <w:b/>
                <w:bCs/>
                <w:sz w:val="20"/>
              </w:rPr>
              <w:br/>
            </w:r>
            <w:r w:rsidRPr="00193B0C">
              <w:rPr>
                <w:rFonts w:eastAsia="Arial Unicode MS"/>
                <w:b/>
                <w:bCs/>
                <w:sz w:val="20"/>
              </w:rPr>
              <w:t>CURIOUS</w:t>
            </w:r>
          </w:p>
          <w:p w14:paraId="691A2EAC" w14:textId="5C544283" w:rsidR="00BA7954" w:rsidRPr="00193B0C" w:rsidRDefault="00134547" w:rsidP="00555034">
            <w:pPr>
              <w:pStyle w:val="TableText"/>
              <w:jc w:val="center"/>
              <w:rPr>
                <w:rFonts w:eastAsia="Arial Unicode MS"/>
                <w:b/>
                <w:bCs/>
                <w:sz w:val="20"/>
              </w:rPr>
            </w:pPr>
            <w:r w:rsidRPr="00193B0C">
              <w:rPr>
                <w:rFonts w:eastAsia="Arial Unicode MS"/>
                <w:b/>
                <w:bCs/>
                <w:sz w:val="20"/>
              </w:rPr>
              <w:t>Seeking Mana Tangata</w:t>
            </w:r>
          </w:p>
        </w:tc>
        <w:tc>
          <w:tcPr>
            <w:tcW w:w="2939" w:type="dxa"/>
            <w:tcBorders>
              <w:top w:val="nil"/>
              <w:bottom w:val="nil"/>
            </w:tcBorders>
            <w:shd w:val="clear" w:color="auto" w:fill="D9D9D9" w:themeFill="background1" w:themeFillShade="D9"/>
          </w:tcPr>
          <w:p w14:paraId="38E46100" w14:textId="556F4061" w:rsidR="00134547" w:rsidRPr="00193B0C" w:rsidRDefault="00134547" w:rsidP="00555034">
            <w:pPr>
              <w:pStyle w:val="TableText"/>
              <w:jc w:val="center"/>
              <w:rPr>
                <w:rFonts w:eastAsia="Arial Unicode MS"/>
                <w:b/>
                <w:bCs/>
                <w:sz w:val="20"/>
              </w:rPr>
            </w:pPr>
            <w:r w:rsidRPr="00193B0C">
              <w:rPr>
                <w:rFonts w:eastAsia="Arial Unicode MS"/>
                <w:b/>
                <w:bCs/>
                <w:sz w:val="20"/>
              </w:rPr>
              <w:t>4</w:t>
            </w:r>
            <w:r w:rsidR="00223D0E">
              <w:rPr>
                <w:rFonts w:eastAsia="Arial Unicode MS"/>
                <w:b/>
                <w:bCs/>
                <w:sz w:val="20"/>
              </w:rPr>
              <w:br/>
            </w:r>
            <w:r w:rsidRPr="00193B0C">
              <w:rPr>
                <w:rFonts w:eastAsia="Arial Unicode MS"/>
                <w:b/>
                <w:bCs/>
                <w:sz w:val="20"/>
              </w:rPr>
              <w:t>DETERMINED</w:t>
            </w:r>
          </w:p>
          <w:p w14:paraId="2C7D7BB7" w14:textId="2C6A1737" w:rsidR="00BA7954" w:rsidRPr="00193B0C" w:rsidRDefault="00134547" w:rsidP="00555034">
            <w:pPr>
              <w:pStyle w:val="TableText"/>
              <w:jc w:val="center"/>
              <w:rPr>
                <w:rFonts w:eastAsia="Arial Unicode MS"/>
                <w:b/>
                <w:bCs/>
                <w:sz w:val="20"/>
              </w:rPr>
            </w:pPr>
            <w:r w:rsidRPr="00193B0C">
              <w:rPr>
                <w:rFonts w:eastAsia="Arial Unicode MS"/>
                <w:b/>
                <w:bCs/>
                <w:sz w:val="20"/>
              </w:rPr>
              <w:t>Mana Tangata Valued</w:t>
            </w:r>
          </w:p>
        </w:tc>
        <w:tc>
          <w:tcPr>
            <w:tcW w:w="2939" w:type="dxa"/>
            <w:tcBorders>
              <w:top w:val="nil"/>
              <w:bottom w:val="nil"/>
            </w:tcBorders>
            <w:shd w:val="clear" w:color="auto" w:fill="D9D9D9" w:themeFill="background1" w:themeFillShade="D9"/>
          </w:tcPr>
          <w:p w14:paraId="1BAB2277" w14:textId="7BDAE199" w:rsidR="00260E90" w:rsidRPr="00193B0C" w:rsidRDefault="00260E90" w:rsidP="00555034">
            <w:pPr>
              <w:pStyle w:val="TableText"/>
              <w:jc w:val="center"/>
              <w:rPr>
                <w:rFonts w:eastAsia="Arial Unicode MS"/>
                <w:b/>
                <w:bCs/>
                <w:sz w:val="20"/>
              </w:rPr>
            </w:pPr>
            <w:r w:rsidRPr="00193B0C">
              <w:rPr>
                <w:rFonts w:eastAsia="Arial Unicode MS"/>
                <w:b/>
                <w:bCs/>
                <w:sz w:val="20"/>
              </w:rPr>
              <w:t>5</w:t>
            </w:r>
            <w:r w:rsidR="00223D0E">
              <w:rPr>
                <w:rFonts w:eastAsia="Arial Unicode MS"/>
                <w:b/>
                <w:bCs/>
                <w:sz w:val="20"/>
              </w:rPr>
              <w:br/>
            </w:r>
            <w:r w:rsidRPr="00193B0C">
              <w:rPr>
                <w:rFonts w:eastAsia="Arial Unicode MS"/>
                <w:b/>
                <w:bCs/>
                <w:sz w:val="20"/>
              </w:rPr>
              <w:t>CONNECTED</w:t>
            </w:r>
          </w:p>
          <w:p w14:paraId="64FFDF4A" w14:textId="0F55F36B" w:rsidR="00BA7954" w:rsidRPr="00193B0C" w:rsidRDefault="00260E90" w:rsidP="00555034">
            <w:pPr>
              <w:pStyle w:val="TableText"/>
              <w:jc w:val="center"/>
              <w:rPr>
                <w:rFonts w:eastAsia="Arial Unicode MS"/>
                <w:b/>
                <w:bCs/>
                <w:sz w:val="20"/>
              </w:rPr>
            </w:pPr>
            <w:r w:rsidRPr="00193B0C">
              <w:rPr>
                <w:rFonts w:eastAsia="Arial Unicode MS"/>
                <w:b/>
                <w:bCs/>
                <w:sz w:val="20"/>
              </w:rPr>
              <w:t>Mana Tangata Embedded</w:t>
            </w:r>
          </w:p>
        </w:tc>
      </w:tr>
      <w:tr w:rsidR="00555034" w14:paraId="5DC05B72" w14:textId="77777777" w:rsidTr="00CA2803">
        <w:tc>
          <w:tcPr>
            <w:tcW w:w="1260" w:type="dxa"/>
            <w:vMerge w:val="restart"/>
            <w:tcBorders>
              <w:top w:val="nil"/>
            </w:tcBorders>
            <w:shd w:val="clear" w:color="auto" w:fill="4E8AC9"/>
          </w:tcPr>
          <w:p w14:paraId="183A1868" w14:textId="1D1503E4" w:rsidR="00555034" w:rsidRPr="00193B0C" w:rsidRDefault="00555034" w:rsidP="00555034">
            <w:pPr>
              <w:pStyle w:val="TableText"/>
              <w:rPr>
                <w:rFonts w:eastAsia="Arial Unicode MS"/>
                <w:b/>
                <w:bCs/>
                <w:color w:val="FFFFFF" w:themeColor="background1"/>
              </w:rPr>
            </w:pPr>
            <w:r w:rsidRPr="00193B0C">
              <w:rPr>
                <w:rFonts w:eastAsia="Arial Unicode MS"/>
                <w:b/>
                <w:bCs/>
                <w:color w:val="FFFFFF" w:themeColor="background1"/>
              </w:rPr>
              <w:t>KAWA</w:t>
            </w:r>
          </w:p>
        </w:tc>
        <w:tc>
          <w:tcPr>
            <w:tcW w:w="1854" w:type="dxa"/>
            <w:vMerge w:val="restart"/>
            <w:tcBorders>
              <w:top w:val="nil"/>
            </w:tcBorders>
          </w:tcPr>
          <w:p w14:paraId="07C6FA98" w14:textId="024DE886" w:rsidR="00555034" w:rsidRPr="00E046D1" w:rsidRDefault="00555034" w:rsidP="00555034">
            <w:pPr>
              <w:pStyle w:val="TableText"/>
              <w:rPr>
                <w:rFonts w:eastAsia="Arial Unicode MS"/>
                <w:b/>
                <w:bCs/>
              </w:rPr>
            </w:pPr>
            <w:r w:rsidRPr="00E046D1">
              <w:rPr>
                <w:rFonts w:eastAsia="Arial Unicode MS"/>
                <w:b/>
                <w:bCs/>
              </w:rPr>
              <w:t>K1. Leadership</w:t>
            </w:r>
          </w:p>
        </w:tc>
        <w:tc>
          <w:tcPr>
            <w:tcW w:w="2457" w:type="dxa"/>
            <w:tcBorders>
              <w:top w:val="nil"/>
            </w:tcBorders>
          </w:tcPr>
          <w:p w14:paraId="77883E28" w14:textId="0EC56D02" w:rsidR="00555034" w:rsidRDefault="00555034" w:rsidP="00260E90">
            <w:pPr>
              <w:pStyle w:val="TableText"/>
              <w:rPr>
                <w:rFonts w:eastAsia="Arial Unicode MS"/>
              </w:rPr>
            </w:pPr>
            <w:r>
              <w:t>K1.1 Championing</w:t>
            </w:r>
            <w:r>
              <w:rPr>
                <w:spacing w:val="-42"/>
              </w:rPr>
              <w:t xml:space="preserve"> </w:t>
            </w:r>
            <w:r>
              <w:t>Mana</w:t>
            </w:r>
            <w:r>
              <w:rPr>
                <w:spacing w:val="-6"/>
              </w:rPr>
              <w:t xml:space="preserve"> </w:t>
            </w:r>
            <w:r>
              <w:t>Tangata</w:t>
            </w:r>
          </w:p>
        </w:tc>
        <w:tc>
          <w:tcPr>
            <w:tcW w:w="2939" w:type="dxa"/>
            <w:tcBorders>
              <w:top w:val="nil"/>
            </w:tcBorders>
          </w:tcPr>
          <w:p w14:paraId="40C5736D" w14:textId="083118DC" w:rsidR="00555034" w:rsidRPr="00260E90" w:rsidRDefault="00555034" w:rsidP="00260E90">
            <w:pPr>
              <w:pStyle w:val="TableText"/>
              <w:rPr>
                <w:rFonts w:eastAsia="Arial Unicode MS"/>
              </w:rPr>
            </w:pPr>
            <w:r w:rsidRPr="00260E90">
              <w:t>Leaders actively support dominant racist narratives</w:t>
            </w:r>
          </w:p>
        </w:tc>
        <w:tc>
          <w:tcPr>
            <w:tcW w:w="2939" w:type="dxa"/>
            <w:tcBorders>
              <w:top w:val="nil"/>
            </w:tcBorders>
            <w:shd w:val="clear" w:color="auto" w:fill="F1A341"/>
          </w:tcPr>
          <w:p w14:paraId="71E9EFD7" w14:textId="57FFCA39" w:rsidR="00555034" w:rsidRPr="00CA2803" w:rsidRDefault="00555034" w:rsidP="00260E90">
            <w:pPr>
              <w:pStyle w:val="TableText"/>
              <w:rPr>
                <w:rFonts w:eastAsia="Arial Unicode MS"/>
                <w:color w:val="FFFFFF" w:themeColor="background1"/>
              </w:rPr>
            </w:pPr>
            <w:r w:rsidRPr="00CA2803">
              <w:rPr>
                <w:color w:val="FFFFFF" w:themeColor="background1"/>
              </w:rPr>
              <w:t>Leaders passively tolerate dominant racist narratives</w:t>
            </w:r>
          </w:p>
        </w:tc>
        <w:tc>
          <w:tcPr>
            <w:tcW w:w="2939" w:type="dxa"/>
            <w:tcBorders>
              <w:top w:val="nil"/>
            </w:tcBorders>
          </w:tcPr>
          <w:p w14:paraId="36A303BE" w14:textId="697D4C36" w:rsidR="00555034" w:rsidRPr="00260E90" w:rsidRDefault="00555034" w:rsidP="00260E90">
            <w:pPr>
              <w:pStyle w:val="TableText"/>
              <w:rPr>
                <w:rFonts w:eastAsia="Arial Unicode MS"/>
              </w:rPr>
            </w:pPr>
            <w:r w:rsidRPr="00260E90">
              <w:t>Variable levels of visible leadership and commitment to changing racist narratives</w:t>
            </w:r>
          </w:p>
        </w:tc>
        <w:tc>
          <w:tcPr>
            <w:tcW w:w="2939" w:type="dxa"/>
            <w:tcBorders>
              <w:top w:val="nil"/>
            </w:tcBorders>
          </w:tcPr>
          <w:p w14:paraId="26D35496" w14:textId="56C45739" w:rsidR="00555034" w:rsidRPr="00260E90" w:rsidRDefault="00555034" w:rsidP="00260E90">
            <w:pPr>
              <w:pStyle w:val="TableText"/>
              <w:rPr>
                <w:rFonts w:eastAsia="Arial Unicode MS"/>
              </w:rPr>
            </w:pPr>
            <w:r w:rsidRPr="00260E90">
              <w:t>Consistent and strong communication from organisation's leaders about Mana Tangata</w:t>
            </w:r>
          </w:p>
        </w:tc>
        <w:tc>
          <w:tcPr>
            <w:tcW w:w="2939" w:type="dxa"/>
            <w:tcBorders>
              <w:top w:val="nil"/>
            </w:tcBorders>
          </w:tcPr>
          <w:p w14:paraId="1460B9B0" w14:textId="00774FDA" w:rsidR="00555034" w:rsidRPr="00260E90" w:rsidRDefault="00555034" w:rsidP="00260E90">
            <w:pPr>
              <w:pStyle w:val="TableText"/>
              <w:rPr>
                <w:rFonts w:eastAsia="Arial Unicode MS"/>
              </w:rPr>
            </w:pPr>
            <w:r w:rsidRPr="00260E90">
              <w:t>Mana Tangata embedded as a leadership cultural norm and expectation</w:t>
            </w:r>
          </w:p>
        </w:tc>
      </w:tr>
      <w:tr w:rsidR="00555034" w14:paraId="3A238130" w14:textId="77777777" w:rsidTr="00CA2803">
        <w:tc>
          <w:tcPr>
            <w:tcW w:w="1260" w:type="dxa"/>
            <w:vMerge/>
            <w:shd w:val="clear" w:color="auto" w:fill="4E8AC9"/>
          </w:tcPr>
          <w:p w14:paraId="3780FB55" w14:textId="77777777" w:rsidR="00555034" w:rsidRDefault="00555034" w:rsidP="00555034">
            <w:pPr>
              <w:pStyle w:val="TableText"/>
              <w:rPr>
                <w:rFonts w:eastAsia="Arial Unicode MS"/>
              </w:rPr>
            </w:pPr>
          </w:p>
        </w:tc>
        <w:tc>
          <w:tcPr>
            <w:tcW w:w="1854" w:type="dxa"/>
            <w:vMerge/>
          </w:tcPr>
          <w:p w14:paraId="6A36BA54" w14:textId="77777777" w:rsidR="00555034" w:rsidRPr="00E046D1" w:rsidRDefault="00555034" w:rsidP="00555034">
            <w:pPr>
              <w:pStyle w:val="TableText"/>
              <w:rPr>
                <w:rFonts w:eastAsia="Arial Unicode MS"/>
                <w:b/>
                <w:bCs/>
              </w:rPr>
            </w:pPr>
          </w:p>
        </w:tc>
        <w:tc>
          <w:tcPr>
            <w:tcW w:w="2457" w:type="dxa"/>
          </w:tcPr>
          <w:p w14:paraId="5097092C" w14:textId="46F39681" w:rsidR="00555034" w:rsidRDefault="00555034" w:rsidP="00260E90">
            <w:pPr>
              <w:pStyle w:val="TableText"/>
              <w:rPr>
                <w:rFonts w:eastAsia="Arial Unicode MS"/>
              </w:rPr>
            </w:pPr>
            <w:r>
              <w:t>K1.2 Building</w:t>
            </w:r>
            <w:r>
              <w:rPr>
                <w:spacing w:val="1"/>
              </w:rPr>
              <w:t xml:space="preserve"> </w:t>
            </w:r>
            <w:r>
              <w:t>relationships</w:t>
            </w:r>
            <w:r>
              <w:rPr>
                <w:spacing w:val="2"/>
              </w:rPr>
              <w:t xml:space="preserve"> </w:t>
            </w:r>
            <w:r>
              <w:t>and</w:t>
            </w:r>
            <w:r>
              <w:rPr>
                <w:spacing w:val="-41"/>
              </w:rPr>
              <w:t xml:space="preserve"> </w:t>
            </w:r>
            <w:r>
              <w:t>alliances</w:t>
            </w:r>
          </w:p>
        </w:tc>
        <w:tc>
          <w:tcPr>
            <w:tcW w:w="2939" w:type="dxa"/>
          </w:tcPr>
          <w:p w14:paraId="4D47C2F6" w14:textId="4912085A" w:rsidR="00555034" w:rsidRPr="00260E90" w:rsidRDefault="00555034" w:rsidP="00260E90">
            <w:pPr>
              <w:pStyle w:val="TableText"/>
              <w:rPr>
                <w:rFonts w:eastAsia="Arial Unicode MS"/>
              </w:rPr>
            </w:pPr>
            <w:r w:rsidRPr="00260E90">
              <w:t>Denies relevance of sector alliances for change</w:t>
            </w:r>
          </w:p>
        </w:tc>
        <w:tc>
          <w:tcPr>
            <w:tcW w:w="2939" w:type="dxa"/>
            <w:shd w:val="clear" w:color="auto" w:fill="F1A341"/>
          </w:tcPr>
          <w:p w14:paraId="550F395F" w14:textId="054D0B03" w:rsidR="00555034" w:rsidRPr="00CA2803" w:rsidRDefault="00555034" w:rsidP="00260E90">
            <w:pPr>
              <w:pStyle w:val="TableText"/>
              <w:rPr>
                <w:rFonts w:eastAsia="Arial Unicode MS"/>
                <w:color w:val="FFFFFF" w:themeColor="background1"/>
              </w:rPr>
            </w:pPr>
            <w:r w:rsidRPr="00CA2803">
              <w:rPr>
                <w:color w:val="FFFFFF" w:themeColor="background1"/>
              </w:rPr>
              <w:t>Reluctant participant in relationships and alliances focused on creating equity</w:t>
            </w:r>
          </w:p>
        </w:tc>
        <w:tc>
          <w:tcPr>
            <w:tcW w:w="2939" w:type="dxa"/>
          </w:tcPr>
          <w:p w14:paraId="4418E1D4" w14:textId="0DC9C03C" w:rsidR="00555034" w:rsidRPr="00260E90" w:rsidRDefault="00555034" w:rsidP="00555034">
            <w:pPr>
              <w:pStyle w:val="TableText"/>
              <w:rPr>
                <w:rFonts w:eastAsia="Arial Unicode MS"/>
              </w:rPr>
            </w:pPr>
            <w:r w:rsidRPr="00260E90">
              <w:t>Recognises value of equity- focused relationships</w:t>
            </w:r>
            <w:r>
              <w:t xml:space="preserve"> </w:t>
            </w:r>
            <w:r w:rsidRPr="00260E90">
              <w:t>and alliances but minimal implementation</w:t>
            </w:r>
          </w:p>
        </w:tc>
        <w:tc>
          <w:tcPr>
            <w:tcW w:w="2939" w:type="dxa"/>
          </w:tcPr>
          <w:p w14:paraId="099C6693" w14:textId="4552F881" w:rsidR="00555034" w:rsidRPr="00260E90" w:rsidRDefault="00555034" w:rsidP="00260E90">
            <w:pPr>
              <w:pStyle w:val="TableText"/>
              <w:rPr>
                <w:rFonts w:eastAsia="Arial Unicode MS"/>
              </w:rPr>
            </w:pPr>
            <w:r w:rsidRPr="00260E90">
              <w:t>Active relationships and alliances with others helping to advance broader equity objectives</w:t>
            </w:r>
          </w:p>
        </w:tc>
        <w:tc>
          <w:tcPr>
            <w:tcW w:w="2939" w:type="dxa"/>
          </w:tcPr>
          <w:p w14:paraId="5017BFBC" w14:textId="7C3F035B" w:rsidR="00555034" w:rsidRPr="00260E90" w:rsidRDefault="00555034" w:rsidP="00260E90">
            <w:pPr>
              <w:pStyle w:val="TableText"/>
              <w:rPr>
                <w:rFonts w:eastAsia="Arial Unicode MS"/>
              </w:rPr>
            </w:pPr>
            <w:r w:rsidRPr="00260E90">
              <w:t>Recognised by wider sector as a leader and trusted partner in advancing Mana Tangata</w:t>
            </w:r>
          </w:p>
        </w:tc>
      </w:tr>
      <w:tr w:rsidR="00555034" w14:paraId="2E5E378E" w14:textId="77777777" w:rsidTr="00CA2803">
        <w:tc>
          <w:tcPr>
            <w:tcW w:w="1260" w:type="dxa"/>
            <w:vMerge/>
            <w:shd w:val="clear" w:color="auto" w:fill="4E8AC9"/>
          </w:tcPr>
          <w:p w14:paraId="7F1FEBDF" w14:textId="77777777" w:rsidR="00555034" w:rsidRDefault="00555034" w:rsidP="00555034">
            <w:pPr>
              <w:pStyle w:val="TableText"/>
              <w:rPr>
                <w:rFonts w:eastAsia="Arial Unicode MS"/>
              </w:rPr>
            </w:pPr>
          </w:p>
        </w:tc>
        <w:tc>
          <w:tcPr>
            <w:tcW w:w="1854" w:type="dxa"/>
            <w:vMerge/>
          </w:tcPr>
          <w:p w14:paraId="06A8B743" w14:textId="77777777" w:rsidR="00555034" w:rsidRPr="00E046D1" w:rsidRDefault="00555034" w:rsidP="00555034">
            <w:pPr>
              <w:pStyle w:val="TableText"/>
              <w:rPr>
                <w:rFonts w:eastAsia="Arial Unicode MS"/>
                <w:b/>
                <w:bCs/>
              </w:rPr>
            </w:pPr>
          </w:p>
        </w:tc>
        <w:tc>
          <w:tcPr>
            <w:tcW w:w="2457" w:type="dxa"/>
          </w:tcPr>
          <w:p w14:paraId="118B3286" w14:textId="09E1B639" w:rsidR="00555034" w:rsidRDefault="00555034" w:rsidP="00260E90">
            <w:pPr>
              <w:pStyle w:val="TableText"/>
              <w:rPr>
                <w:rFonts w:eastAsia="Arial Unicode MS"/>
              </w:rPr>
            </w:pPr>
            <w:r>
              <w:t>K1.3</w:t>
            </w:r>
            <w:r>
              <w:rPr>
                <w:spacing w:val="3"/>
              </w:rPr>
              <w:t xml:space="preserve"> </w:t>
            </w:r>
            <w:r>
              <w:t>Modelling</w:t>
            </w:r>
            <w:r>
              <w:rPr>
                <w:spacing w:val="1"/>
              </w:rPr>
              <w:t xml:space="preserve"> </w:t>
            </w:r>
            <w:r>
              <w:t>transparency and</w:t>
            </w:r>
            <w:r>
              <w:rPr>
                <w:spacing w:val="-42"/>
              </w:rPr>
              <w:t xml:space="preserve"> </w:t>
            </w:r>
            <w:r>
              <w:t>accountability</w:t>
            </w:r>
          </w:p>
        </w:tc>
        <w:tc>
          <w:tcPr>
            <w:tcW w:w="2939" w:type="dxa"/>
          </w:tcPr>
          <w:p w14:paraId="241E0677" w14:textId="2240FC51" w:rsidR="00555034" w:rsidRPr="00260E90" w:rsidRDefault="00555034" w:rsidP="00260E90">
            <w:pPr>
              <w:pStyle w:val="TableText"/>
              <w:rPr>
                <w:rFonts w:eastAsia="Arial Unicode MS"/>
              </w:rPr>
            </w:pPr>
            <w:r w:rsidRPr="00260E90">
              <w:t>Leaders oppose performance transparency and accountability for equity outcomes</w:t>
            </w:r>
          </w:p>
        </w:tc>
        <w:tc>
          <w:tcPr>
            <w:tcW w:w="2939" w:type="dxa"/>
          </w:tcPr>
          <w:p w14:paraId="2EEAB728" w14:textId="06CE80CD" w:rsidR="00555034" w:rsidRPr="00260E90" w:rsidRDefault="00555034" w:rsidP="00260E90">
            <w:pPr>
              <w:pStyle w:val="TableText"/>
              <w:rPr>
                <w:rFonts w:eastAsia="Arial Unicode MS"/>
              </w:rPr>
            </w:pPr>
            <w:r w:rsidRPr="00260E90">
              <w:t>Leaders comfortable to support low transparency and low accountability for equity outcomes</w:t>
            </w:r>
          </w:p>
        </w:tc>
        <w:tc>
          <w:tcPr>
            <w:tcW w:w="2939" w:type="dxa"/>
          </w:tcPr>
          <w:p w14:paraId="7D814EA5" w14:textId="3A466061" w:rsidR="00555034" w:rsidRPr="00260E90" w:rsidRDefault="00555034" w:rsidP="00260E90">
            <w:pPr>
              <w:pStyle w:val="TableText"/>
              <w:rPr>
                <w:rFonts w:eastAsia="Arial Unicode MS"/>
              </w:rPr>
            </w:pPr>
            <w:r w:rsidRPr="00260E90">
              <w:t>Variable levels of leadership commitment to transparency and accountability for equity outcomes</w:t>
            </w:r>
          </w:p>
        </w:tc>
        <w:tc>
          <w:tcPr>
            <w:tcW w:w="2939" w:type="dxa"/>
          </w:tcPr>
          <w:p w14:paraId="64B31D54" w14:textId="1B143BB1" w:rsidR="00555034" w:rsidRPr="00260E90" w:rsidRDefault="00555034" w:rsidP="00260E90">
            <w:pPr>
              <w:pStyle w:val="TableText"/>
              <w:rPr>
                <w:rFonts w:eastAsia="Arial Unicode MS"/>
              </w:rPr>
            </w:pPr>
            <w:r w:rsidRPr="00260E90">
              <w:t>Consistent visible commitment from organisation's leaders to transparency and accountability for equity outcomes</w:t>
            </w:r>
          </w:p>
        </w:tc>
        <w:tc>
          <w:tcPr>
            <w:tcW w:w="2939" w:type="dxa"/>
            <w:shd w:val="clear" w:color="auto" w:fill="00B050"/>
          </w:tcPr>
          <w:p w14:paraId="4679166D" w14:textId="1870BDDD" w:rsidR="00555034" w:rsidRPr="00260E90" w:rsidRDefault="00555034" w:rsidP="00260E90">
            <w:pPr>
              <w:pStyle w:val="TableText"/>
              <w:rPr>
                <w:rFonts w:eastAsia="Arial Unicode MS"/>
              </w:rPr>
            </w:pPr>
            <w:r w:rsidRPr="00CA2803">
              <w:rPr>
                <w:color w:val="FFFFFF" w:themeColor="background1"/>
              </w:rPr>
              <w:t>Leadership transparency and accountability for equity outcomes is normalised</w:t>
            </w:r>
          </w:p>
        </w:tc>
      </w:tr>
      <w:tr w:rsidR="00555034" w14:paraId="7EF96895" w14:textId="77777777" w:rsidTr="00CA2803">
        <w:tc>
          <w:tcPr>
            <w:tcW w:w="1260" w:type="dxa"/>
            <w:vMerge/>
            <w:shd w:val="clear" w:color="auto" w:fill="4E8AC9"/>
          </w:tcPr>
          <w:p w14:paraId="6F8601E6" w14:textId="77777777" w:rsidR="00555034" w:rsidRDefault="00555034" w:rsidP="00555034">
            <w:pPr>
              <w:pStyle w:val="TableText"/>
              <w:rPr>
                <w:rFonts w:eastAsia="Arial Unicode MS"/>
              </w:rPr>
            </w:pPr>
          </w:p>
        </w:tc>
        <w:tc>
          <w:tcPr>
            <w:tcW w:w="1854" w:type="dxa"/>
            <w:vMerge w:val="restart"/>
          </w:tcPr>
          <w:p w14:paraId="0303C10E" w14:textId="7937C889" w:rsidR="00555034" w:rsidRPr="00E046D1" w:rsidRDefault="00555034" w:rsidP="00555034">
            <w:pPr>
              <w:pStyle w:val="TableText"/>
              <w:rPr>
                <w:rFonts w:eastAsia="Arial Unicode MS"/>
                <w:b/>
                <w:bCs/>
              </w:rPr>
            </w:pPr>
            <w:r w:rsidRPr="00E046D1">
              <w:rPr>
                <w:rFonts w:eastAsia="Arial Unicode MS"/>
                <w:b/>
                <w:bCs/>
              </w:rPr>
              <w:t>K2. Narrative</w:t>
            </w:r>
          </w:p>
        </w:tc>
        <w:tc>
          <w:tcPr>
            <w:tcW w:w="2457" w:type="dxa"/>
          </w:tcPr>
          <w:p w14:paraId="4211EA29" w14:textId="331856A4" w:rsidR="00555034" w:rsidRDefault="00555034" w:rsidP="00260E90">
            <w:pPr>
              <w:pStyle w:val="TableText"/>
              <w:rPr>
                <w:rFonts w:eastAsia="Arial Unicode MS"/>
              </w:rPr>
            </w:pPr>
            <w:r>
              <w:t>K2.1</w:t>
            </w:r>
            <w:r>
              <w:rPr>
                <w:spacing w:val="1"/>
              </w:rPr>
              <w:t xml:space="preserve"> </w:t>
            </w:r>
            <w:r>
              <w:t>Developing</w:t>
            </w:r>
            <w:r>
              <w:rPr>
                <w:spacing w:val="1"/>
              </w:rPr>
              <w:t xml:space="preserve"> </w:t>
            </w:r>
            <w:r>
              <w:t>the</w:t>
            </w:r>
            <w:r>
              <w:rPr>
                <w:spacing w:val="-41"/>
              </w:rPr>
              <w:t xml:space="preserve"> </w:t>
            </w:r>
            <w:r>
              <w:t>Mana</w:t>
            </w:r>
            <w:r>
              <w:rPr>
                <w:spacing w:val="-3"/>
              </w:rPr>
              <w:t xml:space="preserve"> </w:t>
            </w:r>
            <w:r>
              <w:t>Tangata</w:t>
            </w:r>
            <w:r>
              <w:rPr>
                <w:spacing w:val="-2"/>
              </w:rPr>
              <w:t xml:space="preserve"> </w:t>
            </w:r>
            <w:r>
              <w:t>story</w:t>
            </w:r>
          </w:p>
        </w:tc>
        <w:tc>
          <w:tcPr>
            <w:tcW w:w="2939" w:type="dxa"/>
          </w:tcPr>
          <w:p w14:paraId="445109F4" w14:textId="3B2FDFD0" w:rsidR="00555034" w:rsidRPr="00260E90" w:rsidRDefault="00555034" w:rsidP="00260E90">
            <w:pPr>
              <w:pStyle w:val="TableText"/>
              <w:rPr>
                <w:rFonts w:eastAsia="Arial Unicode MS"/>
              </w:rPr>
            </w:pPr>
            <w:r w:rsidRPr="00260E90">
              <w:t>Opposes a Mana Tangata narrative</w:t>
            </w:r>
          </w:p>
        </w:tc>
        <w:tc>
          <w:tcPr>
            <w:tcW w:w="2939" w:type="dxa"/>
          </w:tcPr>
          <w:p w14:paraId="73F7A510" w14:textId="36A9EFE7" w:rsidR="00555034" w:rsidRPr="00260E90" w:rsidRDefault="00555034" w:rsidP="00260E90">
            <w:pPr>
              <w:pStyle w:val="TableText"/>
              <w:rPr>
                <w:rFonts w:eastAsia="Arial Unicode MS"/>
              </w:rPr>
            </w:pPr>
            <w:r w:rsidRPr="00260E90">
              <w:t>Passively supports the status quo</w:t>
            </w:r>
          </w:p>
        </w:tc>
        <w:tc>
          <w:tcPr>
            <w:tcW w:w="2939" w:type="dxa"/>
            <w:shd w:val="clear" w:color="auto" w:fill="FFFF00"/>
          </w:tcPr>
          <w:p w14:paraId="7E844554" w14:textId="38EC3CDC" w:rsidR="00555034" w:rsidRPr="00260E90" w:rsidRDefault="00555034" w:rsidP="00260E90">
            <w:pPr>
              <w:pStyle w:val="TableText"/>
              <w:rPr>
                <w:rFonts w:eastAsia="Arial Unicode MS"/>
              </w:rPr>
            </w:pPr>
            <w:r w:rsidRPr="00260E90">
              <w:t>Tentative/irregular attempts to describe what Mana Tangata would look like in the organisation</w:t>
            </w:r>
          </w:p>
        </w:tc>
        <w:tc>
          <w:tcPr>
            <w:tcW w:w="2939" w:type="dxa"/>
          </w:tcPr>
          <w:p w14:paraId="3364A4B9" w14:textId="7242AC12" w:rsidR="00555034" w:rsidRPr="00260E90" w:rsidRDefault="00555034" w:rsidP="00260E90">
            <w:pPr>
              <w:pStyle w:val="TableText"/>
              <w:rPr>
                <w:rFonts w:eastAsia="Arial Unicode MS"/>
              </w:rPr>
            </w:pPr>
            <w:r w:rsidRPr="00260E90">
              <w:t>Deliberate, sustained effort to describe what Mana Tangata would look like in the organisation</w:t>
            </w:r>
          </w:p>
        </w:tc>
        <w:tc>
          <w:tcPr>
            <w:tcW w:w="2939" w:type="dxa"/>
          </w:tcPr>
          <w:p w14:paraId="371014C4" w14:textId="3830736B" w:rsidR="00555034" w:rsidRPr="00260E90" w:rsidRDefault="00555034" w:rsidP="00260E90">
            <w:pPr>
              <w:pStyle w:val="TableText"/>
              <w:rPr>
                <w:rFonts w:eastAsia="Arial Unicode MS"/>
              </w:rPr>
            </w:pPr>
            <w:r w:rsidRPr="00260E90">
              <w:t>A fully-formed narrative of 'the why' and 'the how' of Mana Tangata is created</w:t>
            </w:r>
          </w:p>
        </w:tc>
      </w:tr>
      <w:tr w:rsidR="00555034" w14:paraId="78928A2E" w14:textId="77777777" w:rsidTr="00CA2803">
        <w:tc>
          <w:tcPr>
            <w:tcW w:w="1260" w:type="dxa"/>
            <w:vMerge/>
            <w:shd w:val="clear" w:color="auto" w:fill="4E8AC9"/>
          </w:tcPr>
          <w:p w14:paraId="412E23F9" w14:textId="77777777" w:rsidR="00555034" w:rsidRDefault="00555034" w:rsidP="00555034">
            <w:pPr>
              <w:pStyle w:val="TableText"/>
              <w:rPr>
                <w:rFonts w:eastAsia="Arial Unicode MS"/>
              </w:rPr>
            </w:pPr>
          </w:p>
        </w:tc>
        <w:tc>
          <w:tcPr>
            <w:tcW w:w="1854" w:type="dxa"/>
            <w:vMerge/>
          </w:tcPr>
          <w:p w14:paraId="2226ED70" w14:textId="77777777" w:rsidR="00555034" w:rsidRPr="00E046D1" w:rsidRDefault="00555034" w:rsidP="00555034">
            <w:pPr>
              <w:pStyle w:val="TableText"/>
              <w:rPr>
                <w:rFonts w:eastAsia="Arial Unicode MS"/>
                <w:b/>
                <w:bCs/>
              </w:rPr>
            </w:pPr>
          </w:p>
        </w:tc>
        <w:tc>
          <w:tcPr>
            <w:tcW w:w="2457" w:type="dxa"/>
          </w:tcPr>
          <w:p w14:paraId="4A6F9D55" w14:textId="47C09251" w:rsidR="00555034" w:rsidRDefault="00555034" w:rsidP="00260E90">
            <w:pPr>
              <w:pStyle w:val="TableText"/>
              <w:rPr>
                <w:rFonts w:eastAsia="Arial Unicode MS"/>
              </w:rPr>
            </w:pPr>
            <w:r>
              <w:t>K2.2 Promoting</w:t>
            </w:r>
            <w:r>
              <w:rPr>
                <w:spacing w:val="1"/>
              </w:rPr>
              <w:t xml:space="preserve"> </w:t>
            </w:r>
            <w:r>
              <w:rPr>
                <w:spacing w:val="-2"/>
                <w:w w:val="105"/>
              </w:rPr>
              <w:t>accountability for</w:t>
            </w:r>
            <w:r>
              <w:rPr>
                <w:spacing w:val="-44"/>
                <w:w w:val="105"/>
              </w:rPr>
              <w:t xml:space="preserve"> </w:t>
            </w:r>
            <w:r>
              <w:rPr>
                <w:w w:val="105"/>
              </w:rPr>
              <w:t>history</w:t>
            </w:r>
          </w:p>
        </w:tc>
        <w:tc>
          <w:tcPr>
            <w:tcW w:w="2939" w:type="dxa"/>
            <w:shd w:val="clear" w:color="auto" w:fill="EB1F99"/>
          </w:tcPr>
          <w:p w14:paraId="36F38FD6" w14:textId="30653361" w:rsidR="00555034" w:rsidRPr="00260E90" w:rsidRDefault="00555034" w:rsidP="00260E90">
            <w:pPr>
              <w:pStyle w:val="TableText"/>
              <w:rPr>
                <w:rFonts w:eastAsia="Arial Unicode MS"/>
              </w:rPr>
            </w:pPr>
            <w:r w:rsidRPr="00CA2803">
              <w:rPr>
                <w:color w:val="FFFFFF" w:themeColor="background1"/>
              </w:rPr>
              <w:t>Overtly discredits impacts of historical racism</w:t>
            </w:r>
          </w:p>
        </w:tc>
        <w:tc>
          <w:tcPr>
            <w:tcW w:w="2939" w:type="dxa"/>
          </w:tcPr>
          <w:p w14:paraId="38E1C2EF" w14:textId="3570EE80" w:rsidR="00555034" w:rsidRPr="00260E90" w:rsidRDefault="00555034" w:rsidP="00260E90">
            <w:pPr>
              <w:pStyle w:val="TableText"/>
              <w:rPr>
                <w:rFonts w:eastAsia="Arial Unicode MS"/>
              </w:rPr>
            </w:pPr>
            <w:r w:rsidRPr="00260E90">
              <w:t>No effort is made to understand impacts of the past</w:t>
            </w:r>
          </w:p>
        </w:tc>
        <w:tc>
          <w:tcPr>
            <w:tcW w:w="2939" w:type="dxa"/>
          </w:tcPr>
          <w:p w14:paraId="48001B86" w14:textId="59E792AC" w:rsidR="00555034" w:rsidRPr="00260E90" w:rsidRDefault="00555034" w:rsidP="00260E90">
            <w:pPr>
              <w:pStyle w:val="TableText"/>
              <w:rPr>
                <w:rFonts w:eastAsia="Arial Unicode MS"/>
              </w:rPr>
            </w:pPr>
            <w:r w:rsidRPr="00260E90">
              <w:t>Ad-hoc attempts to understand impacts of the past</w:t>
            </w:r>
          </w:p>
        </w:tc>
        <w:tc>
          <w:tcPr>
            <w:tcW w:w="2939" w:type="dxa"/>
          </w:tcPr>
          <w:p w14:paraId="472CAF35" w14:textId="02D02647" w:rsidR="00555034" w:rsidRPr="00260E90" w:rsidRDefault="00555034" w:rsidP="00260E90">
            <w:pPr>
              <w:pStyle w:val="TableText"/>
              <w:rPr>
                <w:rFonts w:eastAsia="Arial Unicode MS"/>
              </w:rPr>
            </w:pPr>
            <w:r w:rsidRPr="00260E90">
              <w:t>Acknowledgement of the history of the organisation and its role</w:t>
            </w:r>
          </w:p>
        </w:tc>
        <w:tc>
          <w:tcPr>
            <w:tcW w:w="2939" w:type="dxa"/>
          </w:tcPr>
          <w:p w14:paraId="184A61B1" w14:textId="35C8A930" w:rsidR="00555034" w:rsidRPr="00260E90" w:rsidRDefault="00555034" w:rsidP="00260E90">
            <w:pPr>
              <w:pStyle w:val="TableText"/>
              <w:rPr>
                <w:rFonts w:eastAsia="Arial Unicode MS"/>
              </w:rPr>
            </w:pPr>
            <w:r w:rsidRPr="00260E90">
              <w:t>Promotes ongoing vigilance against repeating historical practices</w:t>
            </w:r>
          </w:p>
        </w:tc>
      </w:tr>
      <w:tr w:rsidR="00555034" w14:paraId="156507FA" w14:textId="77777777" w:rsidTr="00CA2803">
        <w:tc>
          <w:tcPr>
            <w:tcW w:w="1260" w:type="dxa"/>
            <w:vMerge/>
            <w:shd w:val="clear" w:color="auto" w:fill="4E8AC9"/>
          </w:tcPr>
          <w:p w14:paraId="28CC0079" w14:textId="77777777" w:rsidR="00555034" w:rsidRDefault="00555034" w:rsidP="00555034">
            <w:pPr>
              <w:pStyle w:val="TableText"/>
              <w:rPr>
                <w:rFonts w:eastAsia="Arial Unicode MS"/>
              </w:rPr>
            </w:pPr>
          </w:p>
        </w:tc>
        <w:tc>
          <w:tcPr>
            <w:tcW w:w="1854" w:type="dxa"/>
            <w:vMerge/>
          </w:tcPr>
          <w:p w14:paraId="353ADBE1" w14:textId="77777777" w:rsidR="00555034" w:rsidRPr="00E046D1" w:rsidRDefault="00555034" w:rsidP="00555034">
            <w:pPr>
              <w:pStyle w:val="TableText"/>
              <w:rPr>
                <w:rFonts w:eastAsia="Arial Unicode MS"/>
                <w:b/>
                <w:bCs/>
              </w:rPr>
            </w:pPr>
          </w:p>
        </w:tc>
        <w:tc>
          <w:tcPr>
            <w:tcW w:w="2457" w:type="dxa"/>
          </w:tcPr>
          <w:p w14:paraId="2E1209E0" w14:textId="41BA04DE" w:rsidR="00555034" w:rsidRDefault="00555034" w:rsidP="00260E90">
            <w:pPr>
              <w:pStyle w:val="TableText"/>
              <w:rPr>
                <w:rFonts w:eastAsia="Arial Unicode MS"/>
              </w:rPr>
            </w:pPr>
            <w:r>
              <w:rPr>
                <w:spacing w:val="-1"/>
                <w:w w:val="105"/>
              </w:rPr>
              <w:t>K2.3 Promoting</w:t>
            </w:r>
            <w:r>
              <w:rPr>
                <w:w w:val="105"/>
              </w:rPr>
              <w:t xml:space="preserve"> strengths and</w:t>
            </w:r>
            <w:r>
              <w:rPr>
                <w:spacing w:val="1"/>
                <w:w w:val="105"/>
              </w:rPr>
              <w:t xml:space="preserve"> </w:t>
            </w:r>
            <w:r>
              <w:rPr>
                <w:spacing w:val="-2"/>
                <w:w w:val="105"/>
              </w:rPr>
              <w:t xml:space="preserve">capabilities </w:t>
            </w:r>
            <w:r>
              <w:rPr>
                <w:spacing w:val="-1"/>
                <w:w w:val="105"/>
              </w:rPr>
              <w:t>of 'the</w:t>
            </w:r>
            <w:r>
              <w:rPr>
                <w:spacing w:val="-44"/>
                <w:w w:val="105"/>
              </w:rPr>
              <w:t xml:space="preserve"> </w:t>
            </w:r>
            <w:r>
              <w:rPr>
                <w:w w:val="105"/>
              </w:rPr>
              <w:t>other'</w:t>
            </w:r>
          </w:p>
        </w:tc>
        <w:tc>
          <w:tcPr>
            <w:tcW w:w="2939" w:type="dxa"/>
          </w:tcPr>
          <w:p w14:paraId="0511A6A1" w14:textId="7094FDD0" w:rsidR="00555034" w:rsidRPr="00260E90" w:rsidRDefault="00555034" w:rsidP="00260E90">
            <w:pPr>
              <w:pStyle w:val="TableText"/>
              <w:rPr>
                <w:rFonts w:eastAsia="Arial Unicode MS"/>
              </w:rPr>
            </w:pPr>
            <w:r w:rsidRPr="00260E90">
              <w:t>Overt minimisation of contributions of MAPIC</w:t>
            </w:r>
          </w:p>
        </w:tc>
        <w:tc>
          <w:tcPr>
            <w:tcW w:w="2939" w:type="dxa"/>
            <w:shd w:val="clear" w:color="auto" w:fill="F1A341"/>
          </w:tcPr>
          <w:p w14:paraId="11321036" w14:textId="1EDA0243" w:rsidR="00555034" w:rsidRPr="00260E90" w:rsidRDefault="00555034" w:rsidP="00260E90">
            <w:pPr>
              <w:pStyle w:val="TableText"/>
              <w:rPr>
                <w:rFonts w:eastAsia="Arial Unicode MS"/>
              </w:rPr>
            </w:pPr>
            <w:r w:rsidRPr="00CA2803">
              <w:rPr>
                <w:color w:val="FFFFFF" w:themeColor="background1"/>
              </w:rPr>
              <w:t>Colour-blind' whitewashing</w:t>
            </w:r>
          </w:p>
        </w:tc>
        <w:tc>
          <w:tcPr>
            <w:tcW w:w="2939" w:type="dxa"/>
          </w:tcPr>
          <w:p w14:paraId="48A4910D" w14:textId="2C9574D2" w:rsidR="00555034" w:rsidRPr="00260E90" w:rsidRDefault="00555034" w:rsidP="00260E90">
            <w:pPr>
              <w:pStyle w:val="TableText"/>
              <w:rPr>
                <w:rFonts w:eastAsia="Arial Unicode MS"/>
              </w:rPr>
            </w:pPr>
            <w:r w:rsidRPr="00260E90">
              <w:t>Tentative/irregular recognition of value of MAPIC</w:t>
            </w:r>
          </w:p>
        </w:tc>
        <w:tc>
          <w:tcPr>
            <w:tcW w:w="2939" w:type="dxa"/>
          </w:tcPr>
          <w:p w14:paraId="6C5D8AB8" w14:textId="7CAF63C4" w:rsidR="00555034" w:rsidRPr="00260E90" w:rsidRDefault="00555034" w:rsidP="00260E90">
            <w:pPr>
              <w:pStyle w:val="TableText"/>
              <w:rPr>
                <w:rFonts w:eastAsia="Arial Unicode MS"/>
              </w:rPr>
            </w:pPr>
            <w:r w:rsidRPr="00260E90">
              <w:t>Visible acknowledgement of MAPIC contributions</w:t>
            </w:r>
          </w:p>
        </w:tc>
        <w:tc>
          <w:tcPr>
            <w:tcW w:w="2939" w:type="dxa"/>
          </w:tcPr>
          <w:p w14:paraId="5B9F9D5E" w14:textId="6F936158" w:rsidR="00555034" w:rsidRPr="00260E90" w:rsidRDefault="00555034" w:rsidP="00260E90">
            <w:pPr>
              <w:pStyle w:val="TableText"/>
              <w:rPr>
                <w:rFonts w:eastAsia="Arial Unicode MS"/>
              </w:rPr>
            </w:pPr>
            <w:r w:rsidRPr="00260E90">
              <w:t>MAPIC contributions normalised and embedded in practice</w:t>
            </w:r>
          </w:p>
        </w:tc>
      </w:tr>
      <w:tr w:rsidR="00193B0C" w14:paraId="5D98DF5E" w14:textId="77777777" w:rsidTr="00CA2803">
        <w:tc>
          <w:tcPr>
            <w:tcW w:w="1260" w:type="dxa"/>
            <w:vMerge w:val="restart"/>
            <w:shd w:val="clear" w:color="auto" w:fill="573393"/>
          </w:tcPr>
          <w:p w14:paraId="5FEFB9B7" w14:textId="788481F5" w:rsidR="00193B0C" w:rsidRPr="00193B0C" w:rsidRDefault="00193B0C" w:rsidP="00555034">
            <w:pPr>
              <w:pStyle w:val="TableText"/>
              <w:rPr>
                <w:rFonts w:eastAsia="Arial Unicode MS"/>
                <w:b/>
                <w:bCs/>
                <w:color w:val="FFFFFF" w:themeColor="background1"/>
              </w:rPr>
            </w:pPr>
            <w:r w:rsidRPr="00193B0C">
              <w:rPr>
                <w:rFonts w:eastAsia="Arial Unicode MS"/>
                <w:b/>
                <w:bCs/>
                <w:color w:val="FFFFFF" w:themeColor="background1"/>
              </w:rPr>
              <w:t>TIKANGA</w:t>
            </w:r>
          </w:p>
        </w:tc>
        <w:tc>
          <w:tcPr>
            <w:tcW w:w="1854" w:type="dxa"/>
            <w:vMerge w:val="restart"/>
          </w:tcPr>
          <w:p w14:paraId="0AB48EA8" w14:textId="519A7CBA" w:rsidR="00193B0C" w:rsidRPr="00E046D1" w:rsidRDefault="00193B0C" w:rsidP="00193B0C">
            <w:pPr>
              <w:pStyle w:val="TableText"/>
              <w:rPr>
                <w:rFonts w:eastAsia="Arial Unicode MS"/>
                <w:b/>
                <w:bCs/>
              </w:rPr>
            </w:pPr>
            <w:r w:rsidRPr="00E046D1">
              <w:rPr>
                <w:rFonts w:eastAsia="Arial Unicode MS"/>
                <w:b/>
                <w:bCs/>
              </w:rPr>
              <w:t>T1. Organisational Strategy &amp; Goals</w:t>
            </w:r>
          </w:p>
        </w:tc>
        <w:tc>
          <w:tcPr>
            <w:tcW w:w="2457" w:type="dxa"/>
          </w:tcPr>
          <w:p w14:paraId="4BD16918" w14:textId="1023613B" w:rsidR="00193B0C" w:rsidRDefault="00193B0C" w:rsidP="00260E90">
            <w:pPr>
              <w:pStyle w:val="TableText"/>
              <w:rPr>
                <w:rFonts w:eastAsia="Arial Unicode MS"/>
              </w:rPr>
            </w:pPr>
            <w:r>
              <w:t>T1.1 Developing and</w:t>
            </w:r>
            <w:r>
              <w:rPr>
                <w:spacing w:val="-42"/>
              </w:rPr>
              <w:t xml:space="preserve"> </w:t>
            </w:r>
            <w:r>
              <w:t>adopting a Mana</w:t>
            </w:r>
            <w:r>
              <w:rPr>
                <w:spacing w:val="1"/>
              </w:rPr>
              <w:t xml:space="preserve"> </w:t>
            </w:r>
            <w:r>
              <w:t>Tangata</w:t>
            </w:r>
            <w:r>
              <w:rPr>
                <w:spacing w:val="-3"/>
              </w:rPr>
              <w:t xml:space="preserve"> </w:t>
            </w:r>
            <w:r>
              <w:t>strategy</w:t>
            </w:r>
          </w:p>
        </w:tc>
        <w:tc>
          <w:tcPr>
            <w:tcW w:w="2939" w:type="dxa"/>
          </w:tcPr>
          <w:p w14:paraId="3BB9A20C" w14:textId="3855C091" w:rsidR="00193B0C" w:rsidRDefault="00193B0C" w:rsidP="00260E90">
            <w:pPr>
              <w:pStyle w:val="TableText"/>
              <w:rPr>
                <w:rFonts w:eastAsia="Arial Unicode MS"/>
              </w:rPr>
            </w:pPr>
            <w:r>
              <w:rPr>
                <w:spacing w:val="-3"/>
              </w:rPr>
              <w:t>No Mana Tangata strategy</w:t>
            </w:r>
            <w:r>
              <w:rPr>
                <w:spacing w:val="-42"/>
              </w:rPr>
              <w:t xml:space="preserve"> </w:t>
            </w:r>
            <w:r>
              <w:rPr>
                <w:spacing w:val="-3"/>
              </w:rPr>
              <w:t>and current approach</w:t>
            </w:r>
            <w:r>
              <w:rPr>
                <w:spacing w:val="-2"/>
              </w:rPr>
              <w:t xml:space="preserve"> </w:t>
            </w:r>
            <w:r>
              <w:rPr>
                <w:spacing w:val="-4"/>
              </w:rPr>
              <w:t>creates</w:t>
            </w:r>
            <w:r>
              <w:rPr>
                <w:spacing w:val="-10"/>
              </w:rPr>
              <w:t xml:space="preserve"> </w:t>
            </w:r>
            <w:r>
              <w:rPr>
                <w:spacing w:val="-3"/>
              </w:rPr>
              <w:t>inequities</w:t>
            </w:r>
          </w:p>
        </w:tc>
        <w:tc>
          <w:tcPr>
            <w:tcW w:w="2939" w:type="dxa"/>
          </w:tcPr>
          <w:p w14:paraId="5B8A8884" w14:textId="4CC953FD" w:rsidR="00193B0C" w:rsidRDefault="00193B0C" w:rsidP="00260E90">
            <w:pPr>
              <w:pStyle w:val="TableText"/>
              <w:rPr>
                <w:rFonts w:eastAsia="Arial Unicode MS"/>
              </w:rPr>
            </w:pPr>
            <w:r>
              <w:rPr>
                <w:spacing w:val="-3"/>
              </w:rPr>
              <w:t>No</w:t>
            </w:r>
            <w:r>
              <w:rPr>
                <w:spacing w:val="-9"/>
              </w:rPr>
              <w:t xml:space="preserve"> </w:t>
            </w:r>
            <w:r>
              <w:rPr>
                <w:spacing w:val="-3"/>
              </w:rPr>
              <w:t>Mana</w:t>
            </w:r>
            <w:r>
              <w:rPr>
                <w:spacing w:val="-8"/>
              </w:rPr>
              <w:t xml:space="preserve"> </w:t>
            </w:r>
            <w:r>
              <w:rPr>
                <w:spacing w:val="-3"/>
              </w:rPr>
              <w:t>Tangata</w:t>
            </w:r>
            <w:r>
              <w:rPr>
                <w:spacing w:val="-8"/>
              </w:rPr>
              <w:t xml:space="preserve"> </w:t>
            </w:r>
            <w:r>
              <w:rPr>
                <w:spacing w:val="-3"/>
              </w:rPr>
              <w:t>strategy</w:t>
            </w:r>
            <w:r>
              <w:rPr>
                <w:spacing w:val="-42"/>
              </w:rPr>
              <w:t xml:space="preserve"> </w:t>
            </w:r>
            <w:r>
              <w:rPr>
                <w:spacing w:val="-3"/>
              </w:rPr>
              <w:t>and current approach</w:t>
            </w:r>
            <w:r>
              <w:rPr>
                <w:spacing w:val="-2"/>
              </w:rPr>
              <w:t xml:space="preserve"> </w:t>
            </w:r>
            <w:r>
              <w:rPr>
                <w:spacing w:val="-3"/>
              </w:rPr>
              <w:t>passively sustains current</w:t>
            </w:r>
            <w:r>
              <w:rPr>
                <w:spacing w:val="-2"/>
              </w:rPr>
              <w:t xml:space="preserve"> </w:t>
            </w:r>
            <w:r>
              <w:t>inequities</w:t>
            </w:r>
          </w:p>
        </w:tc>
        <w:tc>
          <w:tcPr>
            <w:tcW w:w="2939" w:type="dxa"/>
            <w:shd w:val="clear" w:color="auto" w:fill="FFFF00"/>
          </w:tcPr>
          <w:p w14:paraId="6CA407D7" w14:textId="62A7FE87" w:rsidR="00193B0C" w:rsidRDefault="00193B0C" w:rsidP="00260E90">
            <w:pPr>
              <w:pStyle w:val="TableText"/>
              <w:rPr>
                <w:rFonts w:eastAsia="Arial Unicode MS"/>
              </w:rPr>
            </w:pPr>
            <w:r>
              <w:rPr>
                <w:spacing w:val="-4"/>
              </w:rPr>
              <w:t>Current Mana Tangata</w:t>
            </w:r>
            <w:r>
              <w:rPr>
                <w:spacing w:val="-42"/>
              </w:rPr>
              <w:t xml:space="preserve"> </w:t>
            </w:r>
            <w:r>
              <w:rPr>
                <w:spacing w:val="-2"/>
              </w:rPr>
              <w:t>strategy is narrow,</w:t>
            </w:r>
            <w:r>
              <w:rPr>
                <w:spacing w:val="-1"/>
              </w:rPr>
              <w:t xml:space="preserve"> </w:t>
            </w:r>
            <w:r>
              <w:rPr>
                <w:spacing w:val="-3"/>
              </w:rPr>
              <w:t>incomplete and/or</w:t>
            </w:r>
            <w:r>
              <w:rPr>
                <w:spacing w:val="-2"/>
              </w:rPr>
              <w:t xml:space="preserve"> inconsistently</w:t>
            </w:r>
            <w:r>
              <w:rPr>
                <w:spacing w:val="-10"/>
              </w:rPr>
              <w:t xml:space="preserve"> </w:t>
            </w:r>
            <w:r>
              <w:rPr>
                <w:spacing w:val="-1"/>
              </w:rPr>
              <w:t>applied</w:t>
            </w:r>
          </w:p>
        </w:tc>
        <w:tc>
          <w:tcPr>
            <w:tcW w:w="2939" w:type="dxa"/>
          </w:tcPr>
          <w:p w14:paraId="6BCDC5C7" w14:textId="61DC7747" w:rsidR="00193B0C" w:rsidRDefault="00193B0C" w:rsidP="00260E90">
            <w:pPr>
              <w:pStyle w:val="TableText"/>
              <w:rPr>
                <w:rFonts w:eastAsia="Arial Unicode MS"/>
              </w:rPr>
            </w:pPr>
            <w:r>
              <w:rPr>
                <w:spacing w:val="-4"/>
              </w:rPr>
              <w:t>Current Mana Tangata</w:t>
            </w:r>
            <w:r>
              <w:rPr>
                <w:spacing w:val="-3"/>
              </w:rPr>
              <w:t xml:space="preserve"> </w:t>
            </w:r>
            <w:r>
              <w:rPr>
                <w:spacing w:val="-1"/>
              </w:rPr>
              <w:t>strategy</w:t>
            </w:r>
            <w:r>
              <w:rPr>
                <w:spacing w:val="-10"/>
              </w:rPr>
              <w:t xml:space="preserve"> </w:t>
            </w:r>
            <w:r>
              <w:rPr>
                <w:spacing w:val="-1"/>
              </w:rPr>
              <w:t>is</w:t>
            </w:r>
            <w:r>
              <w:rPr>
                <w:spacing w:val="-10"/>
              </w:rPr>
              <w:t xml:space="preserve"> </w:t>
            </w:r>
            <w:r>
              <w:rPr>
                <w:spacing w:val="-1"/>
              </w:rPr>
              <w:t>complete</w:t>
            </w:r>
            <w:r>
              <w:rPr>
                <w:spacing w:val="-10"/>
              </w:rPr>
              <w:t xml:space="preserve"> </w:t>
            </w:r>
            <w:r>
              <w:t>but</w:t>
            </w:r>
            <w:r>
              <w:rPr>
                <w:spacing w:val="-41"/>
              </w:rPr>
              <w:t xml:space="preserve"> </w:t>
            </w:r>
            <w:r>
              <w:rPr>
                <w:spacing w:val="-2"/>
              </w:rPr>
              <w:t>inconsistently</w:t>
            </w:r>
            <w:r>
              <w:rPr>
                <w:spacing w:val="-10"/>
              </w:rPr>
              <w:t xml:space="preserve"> </w:t>
            </w:r>
            <w:r>
              <w:rPr>
                <w:spacing w:val="-1"/>
              </w:rPr>
              <w:t>applied</w:t>
            </w:r>
          </w:p>
        </w:tc>
        <w:tc>
          <w:tcPr>
            <w:tcW w:w="2939" w:type="dxa"/>
          </w:tcPr>
          <w:p w14:paraId="50295B1A" w14:textId="61D8D0C2" w:rsidR="00193B0C" w:rsidRDefault="00193B0C" w:rsidP="00260E90">
            <w:pPr>
              <w:pStyle w:val="TableText"/>
              <w:rPr>
                <w:rFonts w:eastAsia="Arial Unicode MS"/>
              </w:rPr>
            </w:pPr>
            <w:r>
              <w:rPr>
                <w:spacing w:val="-4"/>
              </w:rPr>
              <w:t>Current Mana Tangata</w:t>
            </w:r>
            <w:r>
              <w:rPr>
                <w:spacing w:val="-42"/>
              </w:rPr>
              <w:t xml:space="preserve"> </w:t>
            </w:r>
            <w:r>
              <w:t>strategy is fully-</w:t>
            </w:r>
            <w:r>
              <w:rPr>
                <w:spacing w:val="1"/>
              </w:rPr>
              <w:t xml:space="preserve"> </w:t>
            </w:r>
            <w:r>
              <w:rPr>
                <w:spacing w:val="-2"/>
              </w:rPr>
              <w:t xml:space="preserve">formed, </w:t>
            </w:r>
            <w:r>
              <w:rPr>
                <w:spacing w:val="-1"/>
              </w:rPr>
              <w:t>supported by</w:t>
            </w:r>
            <w:r>
              <w:t xml:space="preserve"> </w:t>
            </w:r>
            <w:r>
              <w:rPr>
                <w:spacing w:val="-2"/>
              </w:rPr>
              <w:t xml:space="preserve">and embedded </w:t>
            </w:r>
            <w:r>
              <w:rPr>
                <w:spacing w:val="-1"/>
              </w:rPr>
              <w:t>in the</w:t>
            </w:r>
            <w:r>
              <w:t xml:space="preserve"> organisation</w:t>
            </w:r>
          </w:p>
        </w:tc>
      </w:tr>
      <w:tr w:rsidR="00193B0C" w14:paraId="2170FE65" w14:textId="77777777" w:rsidTr="00CA2803">
        <w:tc>
          <w:tcPr>
            <w:tcW w:w="1260" w:type="dxa"/>
            <w:vMerge/>
            <w:shd w:val="clear" w:color="auto" w:fill="573393"/>
          </w:tcPr>
          <w:p w14:paraId="268F2CB2" w14:textId="77777777" w:rsidR="00193B0C" w:rsidRDefault="00193B0C" w:rsidP="00555034">
            <w:pPr>
              <w:pStyle w:val="TableText"/>
              <w:rPr>
                <w:rFonts w:eastAsia="Arial Unicode MS"/>
              </w:rPr>
            </w:pPr>
          </w:p>
        </w:tc>
        <w:tc>
          <w:tcPr>
            <w:tcW w:w="1854" w:type="dxa"/>
            <w:vMerge/>
          </w:tcPr>
          <w:p w14:paraId="5DB25E3C" w14:textId="77777777" w:rsidR="00193B0C" w:rsidRPr="00E046D1" w:rsidRDefault="00193B0C" w:rsidP="00555034">
            <w:pPr>
              <w:pStyle w:val="TableText"/>
              <w:rPr>
                <w:rFonts w:eastAsia="Arial Unicode MS"/>
                <w:b/>
                <w:bCs/>
              </w:rPr>
            </w:pPr>
          </w:p>
        </w:tc>
        <w:tc>
          <w:tcPr>
            <w:tcW w:w="2457" w:type="dxa"/>
          </w:tcPr>
          <w:p w14:paraId="1ED61F22" w14:textId="55CD86E1" w:rsidR="00193B0C" w:rsidRDefault="00193B0C" w:rsidP="00260E90">
            <w:pPr>
              <w:pStyle w:val="TableText"/>
              <w:rPr>
                <w:rFonts w:eastAsia="Arial Unicode MS"/>
              </w:rPr>
            </w:pPr>
            <w:r>
              <w:rPr>
                <w:w w:val="105"/>
              </w:rPr>
              <w:t>T1.2 Integrating</w:t>
            </w:r>
            <w:r>
              <w:rPr>
                <w:spacing w:val="1"/>
                <w:w w:val="105"/>
              </w:rPr>
              <w:t xml:space="preserve"> </w:t>
            </w:r>
            <w:r>
              <w:t>Mana Tangata into</w:t>
            </w:r>
            <w:r>
              <w:rPr>
                <w:spacing w:val="1"/>
              </w:rPr>
              <w:t xml:space="preserve"> </w:t>
            </w:r>
            <w:r>
              <w:t>overarching strategy</w:t>
            </w:r>
          </w:p>
        </w:tc>
        <w:tc>
          <w:tcPr>
            <w:tcW w:w="2939" w:type="dxa"/>
          </w:tcPr>
          <w:p w14:paraId="17750E15" w14:textId="48BC4EDD" w:rsidR="00193B0C" w:rsidRPr="00260E90" w:rsidRDefault="00193B0C" w:rsidP="00260E90">
            <w:pPr>
              <w:pStyle w:val="TableText"/>
              <w:rPr>
                <w:rFonts w:eastAsia="Arial Unicode MS"/>
              </w:rPr>
            </w:pPr>
            <w:r w:rsidRPr="00260E90">
              <w:t>Overarching strategy creates inequities</w:t>
            </w:r>
          </w:p>
        </w:tc>
        <w:tc>
          <w:tcPr>
            <w:tcW w:w="2939" w:type="dxa"/>
            <w:shd w:val="clear" w:color="auto" w:fill="F1A341"/>
          </w:tcPr>
          <w:p w14:paraId="00A9EDFC" w14:textId="7B2A480D" w:rsidR="00193B0C" w:rsidRPr="00CA2803" w:rsidRDefault="00193B0C" w:rsidP="00260E90">
            <w:pPr>
              <w:pStyle w:val="TableText"/>
              <w:rPr>
                <w:rFonts w:eastAsia="Arial Unicode MS"/>
                <w:color w:val="FFFFFF" w:themeColor="background1"/>
              </w:rPr>
            </w:pPr>
            <w:r w:rsidRPr="00CA2803">
              <w:rPr>
                <w:color w:val="FFFFFF" w:themeColor="background1"/>
              </w:rPr>
              <w:t>Overarching strategy ignores equity and sustains inequities</w:t>
            </w:r>
          </w:p>
        </w:tc>
        <w:tc>
          <w:tcPr>
            <w:tcW w:w="2939" w:type="dxa"/>
          </w:tcPr>
          <w:p w14:paraId="121B926C" w14:textId="2D7BAB46" w:rsidR="00193B0C" w:rsidRDefault="00193B0C" w:rsidP="00260E90">
            <w:pPr>
              <w:pStyle w:val="TableText"/>
              <w:rPr>
                <w:rFonts w:eastAsia="Arial Unicode MS"/>
              </w:rPr>
            </w:pPr>
            <w:r>
              <w:rPr>
                <w:spacing w:val="-3"/>
              </w:rPr>
              <w:t xml:space="preserve">Overarching </w:t>
            </w:r>
            <w:r>
              <w:rPr>
                <w:spacing w:val="-2"/>
              </w:rPr>
              <w:t>strategy</w:t>
            </w:r>
            <w:r>
              <w:rPr>
                <w:spacing w:val="-1"/>
              </w:rPr>
              <w:t xml:space="preserve"> </w:t>
            </w:r>
            <w:r w:rsidR="00E00568">
              <w:rPr>
                <w:spacing w:val="-3"/>
              </w:rPr>
              <w:t>references</w:t>
            </w:r>
            <w:r>
              <w:rPr>
                <w:spacing w:val="-9"/>
              </w:rPr>
              <w:t xml:space="preserve"> </w:t>
            </w:r>
            <w:r>
              <w:rPr>
                <w:spacing w:val="-2"/>
              </w:rPr>
              <w:t>equity</w:t>
            </w:r>
            <w:r>
              <w:rPr>
                <w:spacing w:val="-9"/>
              </w:rPr>
              <w:t xml:space="preserve"> </w:t>
            </w:r>
            <w:r>
              <w:rPr>
                <w:spacing w:val="-2"/>
              </w:rPr>
              <w:t>but</w:t>
            </w:r>
            <w:r>
              <w:rPr>
                <w:spacing w:val="-9"/>
              </w:rPr>
              <w:t xml:space="preserve"> </w:t>
            </w:r>
            <w:r>
              <w:rPr>
                <w:spacing w:val="-2"/>
              </w:rPr>
              <w:t>in</w:t>
            </w:r>
            <w:r>
              <w:rPr>
                <w:spacing w:val="-42"/>
              </w:rPr>
              <w:t xml:space="preserve"> </w:t>
            </w:r>
            <w:r>
              <w:rPr>
                <w:spacing w:val="-3"/>
              </w:rPr>
              <w:t>narrow,</w:t>
            </w:r>
            <w:r>
              <w:rPr>
                <w:spacing w:val="-10"/>
              </w:rPr>
              <w:t xml:space="preserve"> </w:t>
            </w:r>
            <w:r>
              <w:rPr>
                <w:spacing w:val="-2"/>
              </w:rPr>
              <w:t>contained</w:t>
            </w:r>
            <w:r>
              <w:rPr>
                <w:spacing w:val="-9"/>
              </w:rPr>
              <w:t xml:space="preserve"> </w:t>
            </w:r>
            <w:r>
              <w:rPr>
                <w:spacing w:val="-2"/>
              </w:rPr>
              <w:t>ways</w:t>
            </w:r>
          </w:p>
        </w:tc>
        <w:tc>
          <w:tcPr>
            <w:tcW w:w="2939" w:type="dxa"/>
          </w:tcPr>
          <w:p w14:paraId="46CD03B7" w14:textId="4B5202EE" w:rsidR="00193B0C" w:rsidRDefault="00193B0C" w:rsidP="00260E90">
            <w:pPr>
              <w:pStyle w:val="TableText"/>
              <w:rPr>
                <w:rFonts w:eastAsia="Arial Unicode MS"/>
              </w:rPr>
            </w:pPr>
            <w:r>
              <w:rPr>
                <w:spacing w:val="-3"/>
              </w:rPr>
              <w:t xml:space="preserve">Overarching </w:t>
            </w:r>
            <w:r>
              <w:rPr>
                <w:spacing w:val="-2"/>
              </w:rPr>
              <w:t>strategy is</w:t>
            </w:r>
            <w:r>
              <w:rPr>
                <w:spacing w:val="-1"/>
              </w:rPr>
              <w:t xml:space="preserve"> </w:t>
            </w:r>
            <w:r>
              <w:rPr>
                <w:spacing w:val="-2"/>
              </w:rPr>
              <w:t>aligned</w:t>
            </w:r>
            <w:r>
              <w:rPr>
                <w:spacing w:val="-10"/>
              </w:rPr>
              <w:t xml:space="preserve"> </w:t>
            </w:r>
            <w:r>
              <w:rPr>
                <w:spacing w:val="-2"/>
              </w:rPr>
              <w:t>with</w:t>
            </w:r>
            <w:r>
              <w:rPr>
                <w:spacing w:val="-10"/>
              </w:rPr>
              <w:t xml:space="preserve"> </w:t>
            </w:r>
            <w:r>
              <w:rPr>
                <w:spacing w:val="-2"/>
              </w:rPr>
              <w:t>Mana</w:t>
            </w:r>
            <w:r>
              <w:rPr>
                <w:spacing w:val="-9"/>
              </w:rPr>
              <w:t xml:space="preserve"> </w:t>
            </w:r>
            <w:r>
              <w:rPr>
                <w:spacing w:val="-1"/>
              </w:rPr>
              <w:t>Tangata</w:t>
            </w:r>
          </w:p>
        </w:tc>
        <w:tc>
          <w:tcPr>
            <w:tcW w:w="2939" w:type="dxa"/>
          </w:tcPr>
          <w:p w14:paraId="42145796" w14:textId="244741AC" w:rsidR="00193B0C" w:rsidRDefault="00193B0C" w:rsidP="00260E90">
            <w:pPr>
              <w:pStyle w:val="TableText"/>
              <w:rPr>
                <w:rFonts w:eastAsia="Arial Unicode MS"/>
              </w:rPr>
            </w:pPr>
            <w:r>
              <w:rPr>
                <w:spacing w:val="-3"/>
              </w:rPr>
              <w:t xml:space="preserve">Overarching </w:t>
            </w:r>
            <w:r>
              <w:rPr>
                <w:spacing w:val="-2"/>
              </w:rPr>
              <w:t>strategy</w:t>
            </w:r>
            <w:r>
              <w:rPr>
                <w:spacing w:val="-42"/>
              </w:rPr>
              <w:t xml:space="preserve"> </w:t>
            </w:r>
            <w:r>
              <w:rPr>
                <w:spacing w:val="-2"/>
              </w:rPr>
              <w:t>embeds and visibly</w:t>
            </w:r>
            <w:r>
              <w:rPr>
                <w:spacing w:val="-1"/>
              </w:rPr>
              <w:t xml:space="preserve"> </w:t>
            </w:r>
            <w:r>
              <w:rPr>
                <w:spacing w:val="-3"/>
              </w:rPr>
              <w:t xml:space="preserve">prioritises </w:t>
            </w:r>
            <w:r>
              <w:rPr>
                <w:spacing w:val="-2"/>
              </w:rPr>
              <w:t>the Mana</w:t>
            </w:r>
            <w:r>
              <w:rPr>
                <w:spacing w:val="-1"/>
              </w:rPr>
              <w:t xml:space="preserve"> </w:t>
            </w:r>
            <w:r>
              <w:rPr>
                <w:spacing w:val="-3"/>
              </w:rPr>
              <w:t>Tangata</w:t>
            </w:r>
            <w:r>
              <w:rPr>
                <w:spacing w:val="-10"/>
              </w:rPr>
              <w:t xml:space="preserve"> </w:t>
            </w:r>
            <w:r>
              <w:rPr>
                <w:spacing w:val="-3"/>
              </w:rPr>
              <w:t>strategy</w:t>
            </w:r>
          </w:p>
        </w:tc>
      </w:tr>
      <w:tr w:rsidR="00193B0C" w14:paraId="24593A82" w14:textId="77777777" w:rsidTr="00CA2803">
        <w:tc>
          <w:tcPr>
            <w:tcW w:w="1260" w:type="dxa"/>
            <w:vMerge/>
            <w:shd w:val="clear" w:color="auto" w:fill="573393"/>
          </w:tcPr>
          <w:p w14:paraId="0D235A1D" w14:textId="77777777" w:rsidR="00193B0C" w:rsidRDefault="00193B0C" w:rsidP="00555034">
            <w:pPr>
              <w:pStyle w:val="TableText"/>
              <w:rPr>
                <w:rFonts w:eastAsia="Arial Unicode MS"/>
              </w:rPr>
            </w:pPr>
          </w:p>
        </w:tc>
        <w:tc>
          <w:tcPr>
            <w:tcW w:w="1854" w:type="dxa"/>
            <w:vMerge/>
          </w:tcPr>
          <w:p w14:paraId="2044D398" w14:textId="175A201C" w:rsidR="00193B0C" w:rsidRPr="00E046D1" w:rsidRDefault="00193B0C" w:rsidP="00555034">
            <w:pPr>
              <w:pStyle w:val="TableText"/>
              <w:rPr>
                <w:rFonts w:eastAsia="Arial Unicode MS"/>
                <w:b/>
                <w:bCs/>
              </w:rPr>
            </w:pPr>
          </w:p>
        </w:tc>
        <w:tc>
          <w:tcPr>
            <w:tcW w:w="2457" w:type="dxa"/>
          </w:tcPr>
          <w:p w14:paraId="0B762585" w14:textId="174CBB4C" w:rsidR="00193B0C" w:rsidRDefault="00193B0C" w:rsidP="00260E90">
            <w:pPr>
              <w:pStyle w:val="TableText"/>
              <w:rPr>
                <w:rFonts w:eastAsia="Arial Unicode MS"/>
              </w:rPr>
            </w:pPr>
            <w:r>
              <w:rPr>
                <w:w w:val="105"/>
              </w:rPr>
              <w:t>T1.3 Driving</w:t>
            </w:r>
            <w:r>
              <w:rPr>
                <w:spacing w:val="1"/>
                <w:w w:val="105"/>
              </w:rPr>
              <w:t xml:space="preserve"> </w:t>
            </w:r>
            <w:r>
              <w:rPr>
                <w:spacing w:val="-2"/>
                <w:w w:val="105"/>
              </w:rPr>
              <w:t>accountability for</w:t>
            </w:r>
            <w:r>
              <w:rPr>
                <w:spacing w:val="-44"/>
                <w:w w:val="105"/>
              </w:rPr>
              <w:t xml:space="preserve"> </w:t>
            </w:r>
            <w:r>
              <w:t>achieving Mana</w:t>
            </w:r>
            <w:r>
              <w:rPr>
                <w:spacing w:val="1"/>
              </w:rPr>
              <w:t xml:space="preserve"> </w:t>
            </w:r>
            <w:r>
              <w:t>Tangata</w:t>
            </w:r>
            <w:r>
              <w:rPr>
                <w:spacing w:val="-5"/>
              </w:rPr>
              <w:t xml:space="preserve"> </w:t>
            </w:r>
            <w:r>
              <w:t>goals</w:t>
            </w:r>
          </w:p>
        </w:tc>
        <w:tc>
          <w:tcPr>
            <w:tcW w:w="2939" w:type="dxa"/>
          </w:tcPr>
          <w:p w14:paraId="4E8A14BD" w14:textId="75BA0987" w:rsidR="00193B0C" w:rsidRDefault="00193B0C" w:rsidP="00260E90">
            <w:pPr>
              <w:pStyle w:val="TableText"/>
              <w:rPr>
                <w:rFonts w:eastAsia="Arial Unicode MS"/>
              </w:rPr>
            </w:pPr>
            <w:r>
              <w:rPr>
                <w:spacing w:val="-3"/>
              </w:rPr>
              <w:t xml:space="preserve">Organisation </w:t>
            </w:r>
            <w:r>
              <w:rPr>
                <w:spacing w:val="-2"/>
              </w:rPr>
              <w:t>resists data-</w:t>
            </w:r>
            <w:r>
              <w:rPr>
                <w:spacing w:val="-1"/>
              </w:rPr>
              <w:t xml:space="preserve"> </w:t>
            </w:r>
            <w:r>
              <w:rPr>
                <w:spacing w:val="-2"/>
              </w:rPr>
              <w:t xml:space="preserve">gathering and/or </w:t>
            </w:r>
            <w:r>
              <w:rPr>
                <w:spacing w:val="-1"/>
              </w:rPr>
              <w:t>monitoring</w:t>
            </w:r>
            <w:r>
              <w:rPr>
                <w:spacing w:val="-42"/>
              </w:rPr>
              <w:t xml:space="preserve"> </w:t>
            </w:r>
            <w:r>
              <w:rPr>
                <w:spacing w:val="-3"/>
              </w:rPr>
              <w:t>equity</w:t>
            </w:r>
            <w:r>
              <w:rPr>
                <w:spacing w:val="-10"/>
              </w:rPr>
              <w:t xml:space="preserve"> </w:t>
            </w:r>
            <w:r>
              <w:rPr>
                <w:spacing w:val="-2"/>
              </w:rPr>
              <w:t>goals</w:t>
            </w:r>
            <w:r>
              <w:rPr>
                <w:spacing w:val="-9"/>
              </w:rPr>
              <w:t xml:space="preserve"> </w:t>
            </w:r>
            <w:r>
              <w:rPr>
                <w:spacing w:val="-2"/>
              </w:rPr>
              <w:t>and</w:t>
            </w:r>
            <w:r>
              <w:rPr>
                <w:spacing w:val="-9"/>
              </w:rPr>
              <w:t xml:space="preserve"> </w:t>
            </w:r>
            <w:r>
              <w:rPr>
                <w:spacing w:val="-2"/>
              </w:rPr>
              <w:t>outcomes</w:t>
            </w:r>
          </w:p>
        </w:tc>
        <w:tc>
          <w:tcPr>
            <w:tcW w:w="2939" w:type="dxa"/>
            <w:shd w:val="clear" w:color="auto" w:fill="F1A341"/>
          </w:tcPr>
          <w:p w14:paraId="224A840F" w14:textId="7D0C85B6" w:rsidR="00193B0C" w:rsidRDefault="00193B0C" w:rsidP="00260E90">
            <w:pPr>
              <w:pStyle w:val="TableText"/>
              <w:rPr>
                <w:rFonts w:eastAsia="Arial Unicode MS"/>
              </w:rPr>
            </w:pPr>
            <w:r w:rsidRPr="00CA2803">
              <w:rPr>
                <w:color w:val="FFFFFF" w:themeColor="background1"/>
              </w:rPr>
              <w:t>Organisation uses inconsistent data-gathering, data sets and/or methods for equity reporting</w:t>
            </w:r>
          </w:p>
        </w:tc>
        <w:tc>
          <w:tcPr>
            <w:tcW w:w="2939" w:type="dxa"/>
          </w:tcPr>
          <w:p w14:paraId="1FB8EE6C" w14:textId="6472991E" w:rsidR="00193B0C" w:rsidRDefault="00193B0C" w:rsidP="00260E90">
            <w:pPr>
              <w:pStyle w:val="TableText"/>
              <w:rPr>
                <w:rFonts w:eastAsia="Arial Unicode MS"/>
              </w:rPr>
            </w:pPr>
            <w:r w:rsidRPr="00260E90">
              <w:t>Organisation has a consistent equity reporting approach but reporting is irregular</w:t>
            </w:r>
          </w:p>
        </w:tc>
        <w:tc>
          <w:tcPr>
            <w:tcW w:w="2939" w:type="dxa"/>
          </w:tcPr>
          <w:p w14:paraId="149F56D7" w14:textId="1B68F36F" w:rsidR="00193B0C" w:rsidRDefault="00193B0C" w:rsidP="00260E90">
            <w:pPr>
              <w:pStyle w:val="TableText"/>
              <w:rPr>
                <w:rFonts w:eastAsia="Arial Unicode MS"/>
              </w:rPr>
            </w:pPr>
            <w:r>
              <w:rPr>
                <w:spacing w:val="-3"/>
              </w:rPr>
              <w:t xml:space="preserve">Organisation </w:t>
            </w:r>
            <w:r>
              <w:rPr>
                <w:spacing w:val="-2"/>
              </w:rPr>
              <w:t>has robust</w:t>
            </w:r>
            <w:r>
              <w:rPr>
                <w:spacing w:val="-1"/>
              </w:rPr>
              <w:t xml:space="preserve"> </w:t>
            </w:r>
            <w:r>
              <w:rPr>
                <w:spacing w:val="-2"/>
              </w:rPr>
              <w:t xml:space="preserve">regular </w:t>
            </w:r>
            <w:r>
              <w:rPr>
                <w:spacing w:val="-1"/>
              </w:rPr>
              <w:t>reporting on Mana</w:t>
            </w:r>
            <w:r>
              <w:t xml:space="preserve"> </w:t>
            </w:r>
            <w:r>
              <w:rPr>
                <w:spacing w:val="-2"/>
              </w:rPr>
              <w:t>Tangata</w:t>
            </w:r>
            <w:r>
              <w:rPr>
                <w:spacing w:val="-8"/>
              </w:rPr>
              <w:t xml:space="preserve"> </w:t>
            </w:r>
            <w:r>
              <w:rPr>
                <w:spacing w:val="-2"/>
              </w:rPr>
              <w:t>strategy</w:t>
            </w:r>
            <w:r>
              <w:rPr>
                <w:spacing w:val="-8"/>
              </w:rPr>
              <w:t xml:space="preserve"> </w:t>
            </w:r>
            <w:r>
              <w:rPr>
                <w:spacing w:val="-1"/>
              </w:rPr>
              <w:t>with</w:t>
            </w:r>
            <w:r>
              <w:rPr>
                <w:spacing w:val="-8"/>
              </w:rPr>
              <w:t xml:space="preserve"> </w:t>
            </w:r>
            <w:r>
              <w:rPr>
                <w:spacing w:val="-1"/>
              </w:rPr>
              <w:t>clear</w:t>
            </w:r>
            <w:r>
              <w:rPr>
                <w:spacing w:val="-42"/>
              </w:rPr>
              <w:t xml:space="preserve"> </w:t>
            </w:r>
            <w:r>
              <w:rPr>
                <w:spacing w:val="-2"/>
              </w:rPr>
              <w:t xml:space="preserve">accountabilities is </w:t>
            </w:r>
            <w:r>
              <w:rPr>
                <w:spacing w:val="-1"/>
              </w:rPr>
              <w:t>growing</w:t>
            </w:r>
            <w:r>
              <w:t xml:space="preserve"> </w:t>
            </w:r>
            <w:r>
              <w:rPr>
                <w:spacing w:val="-4"/>
              </w:rPr>
              <w:t>a</w:t>
            </w:r>
            <w:r>
              <w:rPr>
                <w:spacing w:val="-10"/>
              </w:rPr>
              <w:t xml:space="preserve"> </w:t>
            </w:r>
            <w:r>
              <w:rPr>
                <w:spacing w:val="-3"/>
              </w:rPr>
              <w:t>Mana</w:t>
            </w:r>
            <w:r>
              <w:rPr>
                <w:spacing w:val="-10"/>
              </w:rPr>
              <w:t xml:space="preserve"> </w:t>
            </w:r>
            <w:r>
              <w:rPr>
                <w:spacing w:val="-3"/>
              </w:rPr>
              <w:t>Tangata</w:t>
            </w:r>
            <w:r>
              <w:rPr>
                <w:spacing w:val="-10"/>
              </w:rPr>
              <w:t xml:space="preserve"> </w:t>
            </w:r>
            <w:r>
              <w:rPr>
                <w:spacing w:val="-3"/>
              </w:rPr>
              <w:t>culture</w:t>
            </w:r>
          </w:p>
        </w:tc>
        <w:tc>
          <w:tcPr>
            <w:tcW w:w="2939" w:type="dxa"/>
          </w:tcPr>
          <w:p w14:paraId="3FD33306" w14:textId="244FB381" w:rsidR="00193B0C" w:rsidRDefault="00193B0C" w:rsidP="00260E90">
            <w:pPr>
              <w:pStyle w:val="TableText"/>
              <w:rPr>
                <w:rFonts w:eastAsia="Arial Unicode MS"/>
              </w:rPr>
            </w:pPr>
            <w:r>
              <w:rPr>
                <w:spacing w:val="-2"/>
              </w:rPr>
              <w:t>Commitment</w:t>
            </w:r>
            <w:r>
              <w:rPr>
                <w:spacing w:val="-9"/>
              </w:rPr>
              <w:t xml:space="preserve"> </w:t>
            </w:r>
            <w:r>
              <w:rPr>
                <w:spacing w:val="-1"/>
              </w:rPr>
              <w:t>to</w:t>
            </w:r>
            <w:r>
              <w:rPr>
                <w:spacing w:val="-9"/>
              </w:rPr>
              <w:t xml:space="preserve"> </w:t>
            </w:r>
            <w:r>
              <w:rPr>
                <w:spacing w:val="-1"/>
              </w:rPr>
              <w:t>the</w:t>
            </w:r>
            <w:r>
              <w:rPr>
                <w:spacing w:val="-8"/>
              </w:rPr>
              <w:t xml:space="preserve"> </w:t>
            </w:r>
            <w:r>
              <w:rPr>
                <w:spacing w:val="-1"/>
              </w:rPr>
              <w:t>Mana</w:t>
            </w:r>
            <w:r>
              <w:rPr>
                <w:spacing w:val="-42"/>
              </w:rPr>
              <w:t xml:space="preserve"> </w:t>
            </w:r>
            <w:r>
              <w:rPr>
                <w:spacing w:val="-3"/>
              </w:rPr>
              <w:t xml:space="preserve">Tangata strategy </w:t>
            </w:r>
            <w:r>
              <w:rPr>
                <w:spacing w:val="-2"/>
              </w:rPr>
              <w:t>and</w:t>
            </w:r>
            <w:r>
              <w:rPr>
                <w:spacing w:val="-1"/>
              </w:rPr>
              <w:t xml:space="preserve"> </w:t>
            </w:r>
            <w:r>
              <w:rPr>
                <w:spacing w:val="-3"/>
              </w:rPr>
              <w:t xml:space="preserve">accountability </w:t>
            </w:r>
            <w:r>
              <w:rPr>
                <w:spacing w:val="-2"/>
              </w:rPr>
              <w:t>sustains a</w:t>
            </w:r>
            <w:r>
              <w:rPr>
                <w:spacing w:val="-1"/>
              </w:rPr>
              <w:t xml:space="preserve"> </w:t>
            </w:r>
            <w:r>
              <w:rPr>
                <w:spacing w:val="-3"/>
              </w:rPr>
              <w:t>Mana</w:t>
            </w:r>
            <w:r>
              <w:rPr>
                <w:spacing w:val="-10"/>
              </w:rPr>
              <w:t xml:space="preserve"> </w:t>
            </w:r>
            <w:r>
              <w:rPr>
                <w:spacing w:val="-3"/>
              </w:rPr>
              <w:t>Tangata</w:t>
            </w:r>
            <w:r>
              <w:rPr>
                <w:spacing w:val="-10"/>
              </w:rPr>
              <w:t xml:space="preserve"> </w:t>
            </w:r>
            <w:r>
              <w:rPr>
                <w:spacing w:val="-3"/>
              </w:rPr>
              <w:t>culture</w:t>
            </w:r>
          </w:p>
        </w:tc>
      </w:tr>
      <w:tr w:rsidR="00193B0C" w14:paraId="75071390" w14:textId="77777777" w:rsidTr="00CA2803">
        <w:tc>
          <w:tcPr>
            <w:tcW w:w="1260" w:type="dxa"/>
            <w:vMerge/>
            <w:shd w:val="clear" w:color="auto" w:fill="573393"/>
          </w:tcPr>
          <w:p w14:paraId="45F78DCC" w14:textId="77777777" w:rsidR="00193B0C" w:rsidRDefault="00193B0C" w:rsidP="00555034">
            <w:pPr>
              <w:pStyle w:val="TableText"/>
              <w:rPr>
                <w:rFonts w:eastAsia="Arial Unicode MS"/>
              </w:rPr>
            </w:pPr>
          </w:p>
        </w:tc>
        <w:tc>
          <w:tcPr>
            <w:tcW w:w="1854" w:type="dxa"/>
            <w:vMerge w:val="restart"/>
          </w:tcPr>
          <w:p w14:paraId="45079A02" w14:textId="2B835899" w:rsidR="00193B0C" w:rsidRPr="00E046D1" w:rsidRDefault="00193B0C" w:rsidP="00193B0C">
            <w:pPr>
              <w:pStyle w:val="TableText"/>
              <w:keepNext/>
              <w:rPr>
                <w:rFonts w:eastAsia="Arial Unicode MS"/>
                <w:b/>
                <w:bCs/>
              </w:rPr>
            </w:pPr>
            <w:r w:rsidRPr="00E046D1">
              <w:rPr>
                <w:rFonts w:eastAsia="Arial Unicode MS"/>
                <w:b/>
                <w:bCs/>
              </w:rPr>
              <w:t>T2. Power &amp; Commitment</w:t>
            </w:r>
          </w:p>
        </w:tc>
        <w:tc>
          <w:tcPr>
            <w:tcW w:w="2457" w:type="dxa"/>
          </w:tcPr>
          <w:p w14:paraId="4FAC22D5" w14:textId="20A62EF6" w:rsidR="00193B0C" w:rsidRDefault="00193B0C" w:rsidP="00193B0C">
            <w:pPr>
              <w:pStyle w:val="TableText"/>
              <w:keepNext/>
              <w:rPr>
                <w:rFonts w:eastAsia="Arial Unicode MS"/>
              </w:rPr>
            </w:pPr>
            <w:r>
              <w:t>T2.1 Governance-level</w:t>
            </w:r>
            <w:r>
              <w:rPr>
                <w:spacing w:val="-42"/>
              </w:rPr>
              <w:t xml:space="preserve"> </w:t>
            </w:r>
            <w:r>
              <w:rPr>
                <w:w w:val="105"/>
              </w:rPr>
              <w:t>power-sharing</w:t>
            </w:r>
          </w:p>
        </w:tc>
        <w:tc>
          <w:tcPr>
            <w:tcW w:w="2939" w:type="dxa"/>
          </w:tcPr>
          <w:p w14:paraId="19C112A2" w14:textId="226457B4" w:rsidR="00193B0C" w:rsidRPr="00260E90" w:rsidRDefault="00193B0C" w:rsidP="00193B0C">
            <w:pPr>
              <w:pStyle w:val="TableText"/>
              <w:keepNext/>
              <w:rPr>
                <w:rFonts w:eastAsia="Arial Unicode MS"/>
              </w:rPr>
            </w:pPr>
            <w:r>
              <w:rPr>
                <w:spacing w:val="-2"/>
              </w:rPr>
              <w:t xml:space="preserve">Deliberate exclusion </w:t>
            </w:r>
            <w:r>
              <w:rPr>
                <w:spacing w:val="-1"/>
              </w:rPr>
              <w:t>from</w:t>
            </w:r>
            <w:r>
              <w:rPr>
                <w:spacing w:val="-42"/>
              </w:rPr>
              <w:t xml:space="preserve"> </w:t>
            </w:r>
            <w:r>
              <w:rPr>
                <w:w w:val="105"/>
              </w:rPr>
              <w:t>decision-making</w:t>
            </w:r>
          </w:p>
        </w:tc>
        <w:tc>
          <w:tcPr>
            <w:tcW w:w="2939" w:type="dxa"/>
          </w:tcPr>
          <w:p w14:paraId="1EF48EBF" w14:textId="7E85610A" w:rsidR="00193B0C" w:rsidRDefault="00193B0C" w:rsidP="00193B0C">
            <w:pPr>
              <w:pStyle w:val="TableText"/>
              <w:keepNext/>
              <w:rPr>
                <w:rFonts w:eastAsia="Arial Unicode MS"/>
              </w:rPr>
            </w:pPr>
            <w:r>
              <w:rPr>
                <w:spacing w:val="-4"/>
              </w:rPr>
              <w:t xml:space="preserve">Token representation </w:t>
            </w:r>
            <w:r>
              <w:rPr>
                <w:spacing w:val="-3"/>
              </w:rPr>
              <w:t>in</w:t>
            </w:r>
            <w:r>
              <w:rPr>
                <w:spacing w:val="-42"/>
              </w:rPr>
              <w:t xml:space="preserve"> </w:t>
            </w:r>
            <w:r>
              <w:t>decision-making</w:t>
            </w:r>
          </w:p>
        </w:tc>
        <w:tc>
          <w:tcPr>
            <w:tcW w:w="2939" w:type="dxa"/>
            <w:shd w:val="clear" w:color="auto" w:fill="FFFF00"/>
          </w:tcPr>
          <w:p w14:paraId="2714EA37" w14:textId="5DE8B5DE" w:rsidR="00193B0C" w:rsidRDefault="00193B0C" w:rsidP="00193B0C">
            <w:pPr>
              <w:pStyle w:val="TableText"/>
              <w:keepNext/>
              <w:rPr>
                <w:rFonts w:eastAsia="Arial Unicode MS"/>
              </w:rPr>
            </w:pPr>
            <w:r>
              <w:rPr>
                <w:spacing w:val="-3"/>
              </w:rPr>
              <w:t xml:space="preserve">Board members </w:t>
            </w:r>
            <w:r>
              <w:rPr>
                <w:spacing w:val="-2"/>
              </w:rPr>
              <w:t>and</w:t>
            </w:r>
            <w:r>
              <w:rPr>
                <w:spacing w:val="-1"/>
              </w:rPr>
              <w:t xml:space="preserve"> </w:t>
            </w:r>
            <w:r>
              <w:rPr>
                <w:spacing w:val="-3"/>
              </w:rPr>
              <w:t>processes</w:t>
            </w:r>
            <w:r>
              <w:rPr>
                <w:spacing w:val="-10"/>
              </w:rPr>
              <w:t xml:space="preserve"> </w:t>
            </w:r>
            <w:r>
              <w:rPr>
                <w:spacing w:val="-3"/>
              </w:rPr>
              <w:t>aligning</w:t>
            </w:r>
            <w:r>
              <w:rPr>
                <w:spacing w:val="-10"/>
              </w:rPr>
              <w:t xml:space="preserve"> </w:t>
            </w:r>
            <w:r>
              <w:rPr>
                <w:spacing w:val="-3"/>
              </w:rPr>
              <w:t>to</w:t>
            </w:r>
            <w:r>
              <w:rPr>
                <w:spacing w:val="-9"/>
              </w:rPr>
              <w:t xml:space="preserve"> </w:t>
            </w:r>
            <w:r>
              <w:rPr>
                <w:spacing w:val="-2"/>
              </w:rPr>
              <w:t>Mana</w:t>
            </w:r>
            <w:r>
              <w:rPr>
                <w:spacing w:val="-42"/>
              </w:rPr>
              <w:t xml:space="preserve"> </w:t>
            </w:r>
            <w:r>
              <w:rPr>
                <w:spacing w:val="-4"/>
              </w:rPr>
              <w:t>Tangata</w:t>
            </w:r>
            <w:r>
              <w:rPr>
                <w:spacing w:val="-10"/>
              </w:rPr>
              <w:t xml:space="preserve"> </w:t>
            </w:r>
            <w:r>
              <w:rPr>
                <w:spacing w:val="-4"/>
              </w:rPr>
              <w:t>vision</w:t>
            </w:r>
          </w:p>
        </w:tc>
        <w:tc>
          <w:tcPr>
            <w:tcW w:w="2939" w:type="dxa"/>
          </w:tcPr>
          <w:p w14:paraId="6869F5A1" w14:textId="4395DB97" w:rsidR="00193B0C" w:rsidRDefault="00193B0C" w:rsidP="00193B0C">
            <w:pPr>
              <w:pStyle w:val="TableText"/>
              <w:keepNext/>
              <w:rPr>
                <w:rFonts w:eastAsia="Arial Unicode MS"/>
              </w:rPr>
            </w:pPr>
            <w:r>
              <w:rPr>
                <w:spacing w:val="-2"/>
              </w:rPr>
              <w:t xml:space="preserve">Structural changes </w:t>
            </w:r>
            <w:r>
              <w:rPr>
                <w:spacing w:val="-1"/>
              </w:rPr>
              <w:t>to</w:t>
            </w:r>
            <w:r>
              <w:t xml:space="preserve"> </w:t>
            </w:r>
            <w:r>
              <w:rPr>
                <w:spacing w:val="-3"/>
              </w:rPr>
              <w:t>governance for more</w:t>
            </w:r>
            <w:r>
              <w:rPr>
                <w:spacing w:val="-2"/>
              </w:rPr>
              <w:t xml:space="preserve"> </w:t>
            </w:r>
            <w:r>
              <w:rPr>
                <w:spacing w:val="-3"/>
              </w:rPr>
              <w:t>inclusive</w:t>
            </w:r>
            <w:r>
              <w:rPr>
                <w:spacing w:val="-7"/>
              </w:rPr>
              <w:t xml:space="preserve"> </w:t>
            </w:r>
            <w:r>
              <w:rPr>
                <w:spacing w:val="-3"/>
              </w:rPr>
              <w:t>decision-making</w:t>
            </w:r>
          </w:p>
        </w:tc>
        <w:tc>
          <w:tcPr>
            <w:tcW w:w="2939" w:type="dxa"/>
          </w:tcPr>
          <w:p w14:paraId="4400FD6D" w14:textId="671616CE" w:rsidR="00193B0C" w:rsidRDefault="00193B0C" w:rsidP="00193B0C">
            <w:pPr>
              <w:pStyle w:val="TableText"/>
              <w:keepNext/>
              <w:rPr>
                <w:rFonts w:eastAsia="Arial Unicode MS"/>
              </w:rPr>
            </w:pPr>
            <w:r>
              <w:rPr>
                <w:spacing w:val="-4"/>
              </w:rPr>
              <w:t>Te</w:t>
            </w:r>
            <w:r>
              <w:rPr>
                <w:spacing w:val="-10"/>
              </w:rPr>
              <w:t xml:space="preserve"> </w:t>
            </w:r>
            <w:r>
              <w:rPr>
                <w:spacing w:val="-4"/>
              </w:rPr>
              <w:t>Tiriti</w:t>
            </w:r>
            <w:r>
              <w:rPr>
                <w:spacing w:val="-9"/>
              </w:rPr>
              <w:t xml:space="preserve"> </w:t>
            </w:r>
            <w:r>
              <w:rPr>
                <w:spacing w:val="-3"/>
              </w:rPr>
              <w:t>governance</w:t>
            </w:r>
          </w:p>
        </w:tc>
      </w:tr>
      <w:tr w:rsidR="00193B0C" w14:paraId="2BC3247F" w14:textId="77777777" w:rsidTr="00CA2803">
        <w:tc>
          <w:tcPr>
            <w:tcW w:w="1260" w:type="dxa"/>
            <w:vMerge/>
            <w:shd w:val="clear" w:color="auto" w:fill="573393"/>
          </w:tcPr>
          <w:p w14:paraId="1DA5B7C4" w14:textId="77777777" w:rsidR="00193B0C" w:rsidRDefault="00193B0C" w:rsidP="00555034">
            <w:pPr>
              <w:pStyle w:val="TableText"/>
              <w:rPr>
                <w:rFonts w:eastAsia="Arial Unicode MS"/>
              </w:rPr>
            </w:pPr>
          </w:p>
        </w:tc>
        <w:tc>
          <w:tcPr>
            <w:tcW w:w="1854" w:type="dxa"/>
            <w:vMerge/>
          </w:tcPr>
          <w:p w14:paraId="79879192" w14:textId="5C3EE824" w:rsidR="00193B0C" w:rsidRDefault="00193B0C" w:rsidP="00555034">
            <w:pPr>
              <w:pStyle w:val="TableText"/>
              <w:rPr>
                <w:rFonts w:eastAsia="Arial Unicode MS"/>
              </w:rPr>
            </w:pPr>
          </w:p>
        </w:tc>
        <w:tc>
          <w:tcPr>
            <w:tcW w:w="2457" w:type="dxa"/>
          </w:tcPr>
          <w:p w14:paraId="60E89728" w14:textId="5575CCB4" w:rsidR="00193B0C" w:rsidRDefault="00193B0C" w:rsidP="00260E90">
            <w:pPr>
              <w:pStyle w:val="TableText"/>
              <w:rPr>
                <w:rFonts w:eastAsia="Arial Unicode MS"/>
              </w:rPr>
            </w:pPr>
            <w:r>
              <w:rPr>
                <w:w w:val="105"/>
              </w:rPr>
              <w:t>T2.2 High-trust</w:t>
            </w:r>
            <w:r>
              <w:rPr>
                <w:spacing w:val="1"/>
                <w:w w:val="105"/>
              </w:rPr>
              <w:t xml:space="preserve"> </w:t>
            </w:r>
            <w:r>
              <w:t>contracting for service</w:t>
            </w:r>
            <w:r>
              <w:rPr>
                <w:spacing w:val="-42"/>
              </w:rPr>
              <w:t xml:space="preserve"> </w:t>
            </w:r>
            <w:r>
              <w:rPr>
                <w:w w:val="105"/>
              </w:rPr>
              <w:t>delivery</w:t>
            </w:r>
          </w:p>
        </w:tc>
        <w:tc>
          <w:tcPr>
            <w:tcW w:w="2939" w:type="dxa"/>
          </w:tcPr>
          <w:p w14:paraId="55FBC2F4" w14:textId="233AF680" w:rsidR="00193B0C" w:rsidRPr="00260E90" w:rsidRDefault="00193B0C" w:rsidP="00260E90">
            <w:pPr>
              <w:pStyle w:val="TableText"/>
              <w:rPr>
                <w:rFonts w:eastAsia="Arial Unicode MS"/>
              </w:rPr>
            </w:pPr>
            <w:r>
              <w:rPr>
                <w:spacing w:val="-3"/>
              </w:rPr>
              <w:t>Contract for service</w:t>
            </w:r>
            <w:r>
              <w:rPr>
                <w:spacing w:val="-2"/>
              </w:rPr>
              <w:t xml:space="preserve"> </w:t>
            </w:r>
            <w:r>
              <w:t>delivery</w:t>
            </w:r>
            <w:r>
              <w:rPr>
                <w:spacing w:val="-10"/>
              </w:rPr>
              <w:t xml:space="preserve"> </w:t>
            </w:r>
            <w:r>
              <w:t>to</w:t>
            </w:r>
            <w:r>
              <w:rPr>
                <w:spacing w:val="-10"/>
              </w:rPr>
              <w:t xml:space="preserve"> </w:t>
            </w:r>
            <w:r>
              <w:t>MAPIC</w:t>
            </w:r>
            <w:r>
              <w:rPr>
                <w:spacing w:val="-10"/>
              </w:rPr>
              <w:t xml:space="preserve"> </w:t>
            </w:r>
            <w:r>
              <w:t>is</w:t>
            </w:r>
            <w:r>
              <w:rPr>
                <w:spacing w:val="-10"/>
              </w:rPr>
              <w:t xml:space="preserve"> </w:t>
            </w:r>
            <w:r>
              <w:t>with</w:t>
            </w:r>
            <w:r>
              <w:rPr>
                <w:spacing w:val="-42"/>
              </w:rPr>
              <w:t xml:space="preserve"> </w:t>
            </w:r>
            <w:r>
              <w:rPr>
                <w:spacing w:val="-3"/>
              </w:rPr>
              <w:t>mainstream</w:t>
            </w:r>
            <w:r>
              <w:rPr>
                <w:spacing w:val="-10"/>
              </w:rPr>
              <w:t xml:space="preserve"> </w:t>
            </w:r>
            <w:r>
              <w:rPr>
                <w:spacing w:val="-2"/>
              </w:rPr>
              <w:t>providers</w:t>
            </w:r>
          </w:p>
        </w:tc>
        <w:tc>
          <w:tcPr>
            <w:tcW w:w="2939" w:type="dxa"/>
            <w:shd w:val="clear" w:color="auto" w:fill="F1A341"/>
          </w:tcPr>
          <w:p w14:paraId="3672FA49" w14:textId="280F4F90" w:rsidR="00193B0C" w:rsidRPr="00CA2803" w:rsidRDefault="00193B0C" w:rsidP="00260E90">
            <w:pPr>
              <w:pStyle w:val="TableText"/>
              <w:rPr>
                <w:rFonts w:eastAsia="Arial Unicode MS"/>
                <w:color w:val="FFFFFF" w:themeColor="background1"/>
              </w:rPr>
            </w:pPr>
            <w:r w:rsidRPr="00CA2803">
              <w:rPr>
                <w:color w:val="FFFFFF" w:themeColor="background1"/>
              </w:rPr>
              <w:t>Under-funded, high- compliance for MAPIC providers responsible for MAPIC service delivery</w:t>
            </w:r>
          </w:p>
        </w:tc>
        <w:tc>
          <w:tcPr>
            <w:tcW w:w="2939" w:type="dxa"/>
          </w:tcPr>
          <w:p w14:paraId="73F88EB8" w14:textId="6E6C1097" w:rsidR="00193B0C" w:rsidRDefault="00193B0C" w:rsidP="00260E90">
            <w:pPr>
              <w:pStyle w:val="TableText"/>
              <w:rPr>
                <w:rFonts w:eastAsia="Arial Unicode MS"/>
              </w:rPr>
            </w:pPr>
            <w:r>
              <w:rPr>
                <w:spacing w:val="-1"/>
              </w:rPr>
              <w:t>Initial</w:t>
            </w:r>
            <w:r>
              <w:rPr>
                <w:spacing w:val="-10"/>
              </w:rPr>
              <w:t xml:space="preserve"> </w:t>
            </w:r>
            <w:r>
              <w:rPr>
                <w:spacing w:val="-1"/>
              </w:rPr>
              <w:t>efforts</w:t>
            </w:r>
            <w:r>
              <w:rPr>
                <w:spacing w:val="-10"/>
              </w:rPr>
              <w:t xml:space="preserve"> </w:t>
            </w:r>
            <w:r>
              <w:rPr>
                <w:spacing w:val="-1"/>
              </w:rPr>
              <w:t>to</w:t>
            </w:r>
            <w:r>
              <w:rPr>
                <w:spacing w:val="-9"/>
              </w:rPr>
              <w:t xml:space="preserve"> </w:t>
            </w:r>
            <w:r>
              <w:t>understand</w:t>
            </w:r>
            <w:r>
              <w:rPr>
                <w:spacing w:val="-42"/>
              </w:rPr>
              <w:t xml:space="preserve"> </w:t>
            </w:r>
            <w:r>
              <w:rPr>
                <w:spacing w:val="-1"/>
              </w:rPr>
              <w:t>and implement equitable</w:t>
            </w:r>
            <w:r>
              <w:t xml:space="preserve"> </w:t>
            </w:r>
            <w:r>
              <w:rPr>
                <w:spacing w:val="-2"/>
              </w:rPr>
              <w:t xml:space="preserve">operating environment </w:t>
            </w:r>
            <w:r>
              <w:rPr>
                <w:spacing w:val="-1"/>
              </w:rPr>
              <w:t>for</w:t>
            </w:r>
            <w:r>
              <w:t xml:space="preserve"> </w:t>
            </w:r>
            <w:r>
              <w:rPr>
                <w:spacing w:val="-3"/>
              </w:rPr>
              <w:t>MAPIC</w:t>
            </w:r>
            <w:r>
              <w:rPr>
                <w:spacing w:val="-10"/>
              </w:rPr>
              <w:t xml:space="preserve"> </w:t>
            </w:r>
            <w:r>
              <w:rPr>
                <w:spacing w:val="-3"/>
              </w:rPr>
              <w:t>providers</w:t>
            </w:r>
          </w:p>
        </w:tc>
        <w:tc>
          <w:tcPr>
            <w:tcW w:w="2939" w:type="dxa"/>
          </w:tcPr>
          <w:p w14:paraId="21881EA2" w14:textId="42C5636C" w:rsidR="00193B0C" w:rsidRDefault="00193B0C" w:rsidP="00260E90">
            <w:pPr>
              <w:pStyle w:val="TableText"/>
              <w:rPr>
                <w:rFonts w:eastAsia="Arial Unicode MS"/>
              </w:rPr>
            </w:pPr>
            <w:r>
              <w:rPr>
                <w:spacing w:val="-3"/>
              </w:rPr>
              <w:t>Equitable compliance</w:t>
            </w:r>
            <w:r>
              <w:rPr>
                <w:spacing w:val="-2"/>
              </w:rPr>
              <w:t xml:space="preserve"> expectations and funding</w:t>
            </w:r>
            <w:r>
              <w:rPr>
                <w:spacing w:val="-42"/>
              </w:rPr>
              <w:t xml:space="preserve"> </w:t>
            </w:r>
            <w:r>
              <w:rPr>
                <w:spacing w:val="-3"/>
              </w:rPr>
              <w:t>for</w:t>
            </w:r>
            <w:r>
              <w:rPr>
                <w:spacing w:val="-10"/>
              </w:rPr>
              <w:t xml:space="preserve"> </w:t>
            </w:r>
            <w:r>
              <w:rPr>
                <w:spacing w:val="-2"/>
              </w:rPr>
              <w:t>MAPIC</w:t>
            </w:r>
            <w:r>
              <w:rPr>
                <w:spacing w:val="-10"/>
              </w:rPr>
              <w:t xml:space="preserve"> </w:t>
            </w:r>
            <w:r>
              <w:rPr>
                <w:spacing w:val="-2"/>
              </w:rPr>
              <w:t>providers</w:t>
            </w:r>
          </w:p>
        </w:tc>
        <w:tc>
          <w:tcPr>
            <w:tcW w:w="2939" w:type="dxa"/>
          </w:tcPr>
          <w:p w14:paraId="7E0BF501" w14:textId="2983F5BC" w:rsidR="00193B0C" w:rsidRDefault="00193B0C" w:rsidP="00260E90">
            <w:pPr>
              <w:pStyle w:val="TableText"/>
              <w:rPr>
                <w:rFonts w:eastAsia="Arial Unicode MS"/>
              </w:rPr>
            </w:pPr>
            <w:r>
              <w:rPr>
                <w:spacing w:val="-4"/>
              </w:rPr>
              <w:t xml:space="preserve">Reduced compliance, </w:t>
            </w:r>
            <w:r>
              <w:rPr>
                <w:spacing w:val="-3"/>
              </w:rPr>
              <w:t>high-</w:t>
            </w:r>
            <w:r>
              <w:rPr>
                <w:spacing w:val="-42"/>
              </w:rPr>
              <w:t xml:space="preserve"> </w:t>
            </w:r>
            <w:r>
              <w:rPr>
                <w:spacing w:val="-2"/>
              </w:rPr>
              <w:t>trust MAPIC contracting</w:t>
            </w:r>
            <w:r>
              <w:rPr>
                <w:spacing w:val="-1"/>
              </w:rPr>
              <w:t xml:space="preserve"> </w:t>
            </w:r>
            <w:r>
              <w:rPr>
                <w:w w:val="105"/>
              </w:rPr>
              <w:t>normalised</w:t>
            </w:r>
          </w:p>
        </w:tc>
      </w:tr>
      <w:tr w:rsidR="00193B0C" w14:paraId="6D34F571" w14:textId="77777777" w:rsidTr="00CA2803">
        <w:tc>
          <w:tcPr>
            <w:tcW w:w="1260" w:type="dxa"/>
            <w:vMerge/>
            <w:shd w:val="clear" w:color="auto" w:fill="573393"/>
          </w:tcPr>
          <w:p w14:paraId="545DB097" w14:textId="77777777" w:rsidR="00193B0C" w:rsidRDefault="00193B0C" w:rsidP="00555034">
            <w:pPr>
              <w:pStyle w:val="TableText"/>
              <w:rPr>
                <w:rFonts w:eastAsia="Arial Unicode MS"/>
              </w:rPr>
            </w:pPr>
          </w:p>
        </w:tc>
        <w:tc>
          <w:tcPr>
            <w:tcW w:w="1854" w:type="dxa"/>
            <w:vMerge/>
          </w:tcPr>
          <w:p w14:paraId="294C7436" w14:textId="60D332E9" w:rsidR="00193B0C" w:rsidRDefault="00193B0C" w:rsidP="00555034">
            <w:pPr>
              <w:pStyle w:val="TableText"/>
              <w:rPr>
                <w:rFonts w:eastAsia="Arial Unicode MS"/>
              </w:rPr>
            </w:pPr>
          </w:p>
        </w:tc>
        <w:tc>
          <w:tcPr>
            <w:tcW w:w="2457" w:type="dxa"/>
          </w:tcPr>
          <w:p w14:paraId="75130FE9" w14:textId="4676FC6C" w:rsidR="00193B0C" w:rsidRDefault="00193B0C" w:rsidP="00260E90">
            <w:pPr>
              <w:pStyle w:val="TableText"/>
              <w:rPr>
                <w:rFonts w:eastAsia="Arial Unicode MS"/>
              </w:rPr>
            </w:pPr>
            <w:r>
              <w:t>T2.2 Mana Tangata</w:t>
            </w:r>
            <w:r>
              <w:rPr>
                <w:spacing w:val="1"/>
              </w:rPr>
              <w:t xml:space="preserve"> </w:t>
            </w:r>
            <w:r>
              <w:t>strategy and goals</w:t>
            </w:r>
            <w:r>
              <w:rPr>
                <w:spacing w:val="1"/>
              </w:rPr>
              <w:t xml:space="preserve"> </w:t>
            </w:r>
            <w:r>
              <w:t>have</w:t>
            </w:r>
            <w:r>
              <w:rPr>
                <w:spacing w:val="3"/>
              </w:rPr>
              <w:t xml:space="preserve"> </w:t>
            </w:r>
            <w:r>
              <w:t>sufficient</w:t>
            </w:r>
            <w:r>
              <w:rPr>
                <w:spacing w:val="4"/>
              </w:rPr>
              <w:t xml:space="preserve"> </w:t>
            </w:r>
            <w:r>
              <w:t>budget</w:t>
            </w:r>
            <w:r>
              <w:rPr>
                <w:spacing w:val="-42"/>
              </w:rPr>
              <w:t xml:space="preserve"> </w:t>
            </w:r>
            <w:r>
              <w:t>and</w:t>
            </w:r>
            <w:r>
              <w:rPr>
                <w:spacing w:val="-5"/>
              </w:rPr>
              <w:t xml:space="preserve"> </w:t>
            </w:r>
            <w:r>
              <w:t>resource</w:t>
            </w:r>
          </w:p>
        </w:tc>
        <w:tc>
          <w:tcPr>
            <w:tcW w:w="2939" w:type="dxa"/>
          </w:tcPr>
          <w:p w14:paraId="775644BE" w14:textId="5DBE8DE1" w:rsidR="00193B0C" w:rsidRDefault="00193B0C" w:rsidP="00260E90">
            <w:pPr>
              <w:pStyle w:val="TableText"/>
              <w:rPr>
                <w:rFonts w:eastAsia="Arial Unicode MS"/>
              </w:rPr>
            </w:pPr>
            <w:r>
              <w:rPr>
                <w:spacing w:val="-2"/>
              </w:rPr>
              <w:t xml:space="preserve">Deliberate </w:t>
            </w:r>
            <w:r>
              <w:rPr>
                <w:spacing w:val="-1"/>
              </w:rPr>
              <w:t>under-funding</w:t>
            </w:r>
            <w:r>
              <w:rPr>
                <w:spacing w:val="-42"/>
              </w:rPr>
              <w:t xml:space="preserve"> </w:t>
            </w:r>
            <w:r>
              <w:rPr>
                <w:spacing w:val="-3"/>
              </w:rPr>
              <w:t xml:space="preserve">and resourcing </w:t>
            </w:r>
            <w:r>
              <w:rPr>
                <w:spacing w:val="-2"/>
              </w:rPr>
              <w:t>equity</w:t>
            </w:r>
            <w:r>
              <w:rPr>
                <w:spacing w:val="-1"/>
              </w:rPr>
              <w:t xml:space="preserve"> </w:t>
            </w:r>
            <w:r>
              <w:rPr>
                <w:w w:val="105"/>
              </w:rPr>
              <w:t>strategy</w:t>
            </w:r>
          </w:p>
        </w:tc>
        <w:tc>
          <w:tcPr>
            <w:tcW w:w="2939" w:type="dxa"/>
            <w:shd w:val="clear" w:color="auto" w:fill="F1A341"/>
          </w:tcPr>
          <w:p w14:paraId="43982AD4" w14:textId="7255D7FD" w:rsidR="00193B0C" w:rsidRPr="00CA2803" w:rsidRDefault="00193B0C" w:rsidP="00260E90">
            <w:pPr>
              <w:pStyle w:val="TableText"/>
              <w:rPr>
                <w:rFonts w:eastAsia="Arial Unicode MS"/>
                <w:color w:val="FFFFFF" w:themeColor="background1"/>
              </w:rPr>
            </w:pPr>
            <w:r w:rsidRPr="00CA2803">
              <w:rPr>
                <w:color w:val="FFFFFF" w:themeColor="background1"/>
              </w:rPr>
              <w:t>Failure to prioritise funding and resourcing of equity strategy</w:t>
            </w:r>
          </w:p>
        </w:tc>
        <w:tc>
          <w:tcPr>
            <w:tcW w:w="2939" w:type="dxa"/>
          </w:tcPr>
          <w:p w14:paraId="3FAFDFF5" w14:textId="624BEA49" w:rsidR="00193B0C" w:rsidRDefault="00193B0C" w:rsidP="00260E90">
            <w:pPr>
              <w:pStyle w:val="TableText"/>
              <w:rPr>
                <w:rFonts w:eastAsia="Arial Unicode MS"/>
              </w:rPr>
            </w:pPr>
            <w:r>
              <w:rPr>
                <w:spacing w:val="-1"/>
              </w:rPr>
              <w:t>Minimal</w:t>
            </w:r>
            <w:r>
              <w:rPr>
                <w:spacing w:val="-10"/>
              </w:rPr>
              <w:t xml:space="preserve"> </w:t>
            </w:r>
            <w:r>
              <w:rPr>
                <w:spacing w:val="-1"/>
              </w:rPr>
              <w:t>funding</w:t>
            </w:r>
            <w:r>
              <w:rPr>
                <w:spacing w:val="-10"/>
              </w:rPr>
              <w:t xml:space="preserve"> </w:t>
            </w:r>
            <w:r>
              <w:rPr>
                <w:spacing w:val="-1"/>
              </w:rPr>
              <w:t>for</w:t>
            </w:r>
            <w:r>
              <w:rPr>
                <w:spacing w:val="-10"/>
              </w:rPr>
              <w:t xml:space="preserve"> </w:t>
            </w:r>
            <w:r>
              <w:rPr>
                <w:spacing w:val="-1"/>
              </w:rPr>
              <w:t>Mana</w:t>
            </w:r>
            <w:r>
              <w:rPr>
                <w:spacing w:val="-41"/>
              </w:rPr>
              <w:t xml:space="preserve"> </w:t>
            </w:r>
            <w:r>
              <w:rPr>
                <w:spacing w:val="-3"/>
              </w:rPr>
              <w:t>Tangata</w:t>
            </w:r>
            <w:r>
              <w:rPr>
                <w:spacing w:val="-10"/>
              </w:rPr>
              <w:t xml:space="preserve"> </w:t>
            </w:r>
            <w:r>
              <w:rPr>
                <w:spacing w:val="-3"/>
              </w:rPr>
              <w:t>strategy</w:t>
            </w:r>
          </w:p>
        </w:tc>
        <w:tc>
          <w:tcPr>
            <w:tcW w:w="2939" w:type="dxa"/>
          </w:tcPr>
          <w:p w14:paraId="592F84C8" w14:textId="09630C3A" w:rsidR="00193B0C" w:rsidRDefault="00193B0C" w:rsidP="00260E90">
            <w:pPr>
              <w:pStyle w:val="TableText"/>
              <w:rPr>
                <w:rFonts w:eastAsia="Arial Unicode MS"/>
              </w:rPr>
            </w:pPr>
            <w:r>
              <w:rPr>
                <w:spacing w:val="-3"/>
              </w:rPr>
              <w:t>Mana Tangata strategy</w:t>
            </w:r>
            <w:r>
              <w:rPr>
                <w:spacing w:val="-2"/>
              </w:rPr>
              <w:t xml:space="preserve"> </w:t>
            </w:r>
            <w:r>
              <w:rPr>
                <w:spacing w:val="-3"/>
                <w:w w:val="105"/>
              </w:rPr>
              <w:t>mostly</w:t>
            </w:r>
            <w:r>
              <w:rPr>
                <w:spacing w:val="-13"/>
                <w:w w:val="105"/>
              </w:rPr>
              <w:t xml:space="preserve"> </w:t>
            </w:r>
            <w:r w:rsidR="00E00568">
              <w:rPr>
                <w:spacing w:val="-3"/>
                <w:w w:val="105"/>
              </w:rPr>
              <w:t>well</w:t>
            </w:r>
            <w:r w:rsidR="00E00568">
              <w:rPr>
                <w:spacing w:val="-12"/>
                <w:w w:val="105"/>
              </w:rPr>
              <w:t>-</w:t>
            </w:r>
            <w:r w:rsidR="00E00568">
              <w:rPr>
                <w:spacing w:val="-3"/>
                <w:w w:val="105"/>
              </w:rPr>
              <w:t>funded</w:t>
            </w:r>
            <w:r>
              <w:rPr>
                <w:spacing w:val="-12"/>
                <w:w w:val="105"/>
              </w:rPr>
              <w:t xml:space="preserve"> </w:t>
            </w:r>
            <w:r>
              <w:rPr>
                <w:spacing w:val="-3"/>
                <w:w w:val="105"/>
              </w:rPr>
              <w:t>and</w:t>
            </w:r>
            <w:r>
              <w:rPr>
                <w:spacing w:val="-43"/>
                <w:w w:val="105"/>
              </w:rPr>
              <w:t xml:space="preserve"> </w:t>
            </w:r>
            <w:r>
              <w:rPr>
                <w:w w:val="105"/>
              </w:rPr>
              <w:t>resourced</w:t>
            </w:r>
          </w:p>
        </w:tc>
        <w:tc>
          <w:tcPr>
            <w:tcW w:w="2939" w:type="dxa"/>
          </w:tcPr>
          <w:p w14:paraId="0F05D123" w14:textId="4E78C4A8" w:rsidR="00193B0C" w:rsidRDefault="00193B0C" w:rsidP="00260E90">
            <w:pPr>
              <w:pStyle w:val="TableText"/>
              <w:rPr>
                <w:rFonts w:eastAsia="Arial Unicode MS"/>
              </w:rPr>
            </w:pPr>
            <w:r>
              <w:rPr>
                <w:spacing w:val="-4"/>
              </w:rPr>
              <w:t xml:space="preserve">Funding </w:t>
            </w:r>
            <w:r>
              <w:rPr>
                <w:spacing w:val="-3"/>
              </w:rPr>
              <w:t>and resourcing</w:t>
            </w:r>
            <w:r>
              <w:rPr>
                <w:spacing w:val="-42"/>
              </w:rPr>
              <w:t xml:space="preserve"> </w:t>
            </w:r>
            <w:r>
              <w:rPr>
                <w:spacing w:val="-4"/>
              </w:rPr>
              <w:t>of Mana Tangata</w:t>
            </w:r>
            <w:r>
              <w:rPr>
                <w:spacing w:val="-3"/>
              </w:rPr>
              <w:t xml:space="preserve"> </w:t>
            </w:r>
            <w:r>
              <w:rPr>
                <w:spacing w:val="-4"/>
                <w:w w:val="105"/>
              </w:rPr>
              <w:t xml:space="preserve">strategy enables its </w:t>
            </w:r>
            <w:r>
              <w:rPr>
                <w:spacing w:val="-3"/>
                <w:w w:val="105"/>
              </w:rPr>
              <w:t>full</w:t>
            </w:r>
            <w:r>
              <w:rPr>
                <w:spacing w:val="-44"/>
                <w:w w:val="105"/>
              </w:rPr>
              <w:t xml:space="preserve"> </w:t>
            </w:r>
            <w:r>
              <w:rPr>
                <w:w w:val="105"/>
              </w:rPr>
              <w:t>implementation</w:t>
            </w:r>
          </w:p>
        </w:tc>
      </w:tr>
      <w:tr w:rsidR="00193B0C" w14:paraId="044706F7" w14:textId="77777777" w:rsidTr="00CA2803">
        <w:tc>
          <w:tcPr>
            <w:tcW w:w="1260" w:type="dxa"/>
            <w:vMerge/>
            <w:shd w:val="clear" w:color="auto" w:fill="573393"/>
          </w:tcPr>
          <w:p w14:paraId="3D83C057" w14:textId="77777777" w:rsidR="00193B0C" w:rsidRDefault="00193B0C" w:rsidP="00555034">
            <w:pPr>
              <w:pStyle w:val="TableText"/>
              <w:rPr>
                <w:rFonts w:eastAsia="Arial Unicode MS"/>
              </w:rPr>
            </w:pPr>
          </w:p>
        </w:tc>
        <w:tc>
          <w:tcPr>
            <w:tcW w:w="1854" w:type="dxa"/>
            <w:vMerge w:val="restart"/>
          </w:tcPr>
          <w:p w14:paraId="02769DAE" w14:textId="21F8F2B8" w:rsidR="00193B0C" w:rsidRPr="00E046D1" w:rsidRDefault="00193B0C" w:rsidP="00555034">
            <w:pPr>
              <w:pStyle w:val="TableText"/>
              <w:rPr>
                <w:rFonts w:eastAsia="Arial Unicode MS"/>
                <w:b/>
                <w:bCs/>
              </w:rPr>
            </w:pPr>
            <w:r w:rsidRPr="00E046D1">
              <w:rPr>
                <w:rFonts w:eastAsia="Arial Unicode MS"/>
                <w:b/>
                <w:bCs/>
              </w:rPr>
              <w:t>T3. HR Policies</w:t>
            </w:r>
          </w:p>
        </w:tc>
        <w:tc>
          <w:tcPr>
            <w:tcW w:w="2457" w:type="dxa"/>
          </w:tcPr>
          <w:p w14:paraId="1B8BC80C" w14:textId="0A1D3E78" w:rsidR="00193B0C" w:rsidRDefault="00193B0C" w:rsidP="00260E90">
            <w:pPr>
              <w:pStyle w:val="TableText"/>
              <w:rPr>
                <w:rFonts w:eastAsia="Arial Unicode MS"/>
              </w:rPr>
            </w:pPr>
            <w:r>
              <w:t>T3.1</w:t>
            </w:r>
            <w:r>
              <w:rPr>
                <w:spacing w:val="5"/>
              </w:rPr>
              <w:t xml:space="preserve"> </w:t>
            </w:r>
            <w:r>
              <w:t>Diversity</w:t>
            </w:r>
          </w:p>
        </w:tc>
        <w:tc>
          <w:tcPr>
            <w:tcW w:w="2939" w:type="dxa"/>
          </w:tcPr>
          <w:p w14:paraId="5C8631CD" w14:textId="1EF2487A" w:rsidR="00193B0C" w:rsidRDefault="00193B0C" w:rsidP="00260E90">
            <w:pPr>
              <w:pStyle w:val="TableText"/>
              <w:rPr>
                <w:rFonts w:eastAsia="Arial Unicode MS"/>
              </w:rPr>
            </w:pPr>
            <w:r>
              <w:rPr>
                <w:spacing w:val="-5"/>
              </w:rPr>
              <w:t>Recruitment</w:t>
            </w:r>
            <w:r>
              <w:rPr>
                <w:spacing w:val="4"/>
              </w:rPr>
              <w:t xml:space="preserve"> </w:t>
            </w:r>
            <w:r>
              <w:rPr>
                <w:spacing w:val="-4"/>
              </w:rPr>
              <w:t>processes</w:t>
            </w:r>
            <w:r>
              <w:rPr>
                <w:spacing w:val="-3"/>
              </w:rPr>
              <w:t xml:space="preserve"> are discriminatory </w:t>
            </w:r>
            <w:r>
              <w:rPr>
                <w:spacing w:val="-2"/>
              </w:rPr>
              <w:t>against</w:t>
            </w:r>
            <w:r>
              <w:rPr>
                <w:spacing w:val="-42"/>
              </w:rPr>
              <w:t xml:space="preserve"> </w:t>
            </w:r>
            <w:r>
              <w:rPr>
                <w:spacing w:val="-3"/>
              </w:rPr>
              <w:t>MAPIC</w:t>
            </w:r>
            <w:r>
              <w:rPr>
                <w:spacing w:val="-10"/>
              </w:rPr>
              <w:t xml:space="preserve"> </w:t>
            </w:r>
            <w:r>
              <w:rPr>
                <w:spacing w:val="-3"/>
              </w:rPr>
              <w:t>applicants</w:t>
            </w:r>
          </w:p>
        </w:tc>
        <w:tc>
          <w:tcPr>
            <w:tcW w:w="2939" w:type="dxa"/>
          </w:tcPr>
          <w:p w14:paraId="23317438" w14:textId="4FD343B7" w:rsidR="00193B0C" w:rsidRDefault="00193B0C" w:rsidP="00260E90">
            <w:pPr>
              <w:pStyle w:val="TableText"/>
              <w:rPr>
                <w:rFonts w:eastAsia="Arial Unicode MS"/>
              </w:rPr>
            </w:pPr>
            <w:r>
              <w:rPr>
                <w:spacing w:val="-5"/>
              </w:rPr>
              <w:t>Recruitment</w:t>
            </w:r>
            <w:r>
              <w:rPr>
                <w:spacing w:val="-4"/>
              </w:rPr>
              <w:t xml:space="preserve"> processes</w:t>
            </w:r>
            <w:r>
              <w:rPr>
                <w:spacing w:val="-41"/>
              </w:rPr>
              <w:t xml:space="preserve"> </w:t>
            </w:r>
            <w:r>
              <w:rPr>
                <w:spacing w:val="-4"/>
              </w:rPr>
              <w:t>disadvantage</w:t>
            </w:r>
            <w:r>
              <w:rPr>
                <w:spacing w:val="-9"/>
              </w:rPr>
              <w:t xml:space="preserve"> </w:t>
            </w:r>
            <w:r>
              <w:rPr>
                <w:spacing w:val="-3"/>
              </w:rPr>
              <w:t>MAPIC</w:t>
            </w:r>
          </w:p>
        </w:tc>
        <w:tc>
          <w:tcPr>
            <w:tcW w:w="2939" w:type="dxa"/>
            <w:shd w:val="clear" w:color="auto" w:fill="FFFF00"/>
          </w:tcPr>
          <w:p w14:paraId="3B444DA7" w14:textId="76D9A3AF" w:rsidR="00193B0C" w:rsidRDefault="00193B0C" w:rsidP="00260E90">
            <w:pPr>
              <w:pStyle w:val="TableText"/>
              <w:rPr>
                <w:rFonts w:eastAsia="Arial Unicode MS"/>
              </w:rPr>
            </w:pPr>
            <w:r>
              <w:rPr>
                <w:spacing w:val="-5"/>
              </w:rPr>
              <w:t xml:space="preserve">Recruitment </w:t>
            </w:r>
            <w:r>
              <w:rPr>
                <w:spacing w:val="-4"/>
              </w:rPr>
              <w:t>processes</w:t>
            </w:r>
            <w:r>
              <w:rPr>
                <w:spacing w:val="-3"/>
              </w:rPr>
              <w:t xml:space="preserve"> designed</w:t>
            </w:r>
            <w:r>
              <w:rPr>
                <w:spacing w:val="-10"/>
              </w:rPr>
              <w:t xml:space="preserve"> </w:t>
            </w:r>
            <w:r>
              <w:rPr>
                <w:spacing w:val="-3"/>
              </w:rPr>
              <w:t>to</w:t>
            </w:r>
            <w:r>
              <w:rPr>
                <w:spacing w:val="-10"/>
              </w:rPr>
              <w:t xml:space="preserve"> </w:t>
            </w:r>
            <w:r>
              <w:rPr>
                <w:spacing w:val="-3"/>
              </w:rPr>
              <w:t>ensure</w:t>
            </w:r>
            <w:r>
              <w:rPr>
                <w:spacing w:val="-10"/>
              </w:rPr>
              <w:t xml:space="preserve"> </w:t>
            </w:r>
            <w:r>
              <w:rPr>
                <w:spacing w:val="-3"/>
              </w:rPr>
              <w:t>MAPIC</w:t>
            </w:r>
            <w:r>
              <w:rPr>
                <w:spacing w:val="-42"/>
              </w:rPr>
              <w:t xml:space="preserve"> </w:t>
            </w:r>
            <w:r>
              <w:rPr>
                <w:spacing w:val="-3"/>
              </w:rPr>
              <w:t>are</w:t>
            </w:r>
            <w:r>
              <w:rPr>
                <w:spacing w:val="-9"/>
              </w:rPr>
              <w:t xml:space="preserve"> </w:t>
            </w:r>
            <w:r>
              <w:rPr>
                <w:spacing w:val="-3"/>
              </w:rPr>
              <w:t>not</w:t>
            </w:r>
            <w:r>
              <w:rPr>
                <w:spacing w:val="-9"/>
              </w:rPr>
              <w:t xml:space="preserve"> </w:t>
            </w:r>
            <w:r>
              <w:rPr>
                <w:spacing w:val="-3"/>
              </w:rPr>
              <w:t>disadvantaged</w:t>
            </w:r>
          </w:p>
        </w:tc>
        <w:tc>
          <w:tcPr>
            <w:tcW w:w="2939" w:type="dxa"/>
          </w:tcPr>
          <w:p w14:paraId="4663DA2E" w14:textId="16697979" w:rsidR="00193B0C" w:rsidRDefault="00193B0C" w:rsidP="00260E90">
            <w:pPr>
              <w:pStyle w:val="TableText"/>
              <w:rPr>
                <w:rFonts w:eastAsia="Arial Unicode MS"/>
              </w:rPr>
            </w:pPr>
            <w:r>
              <w:rPr>
                <w:spacing w:val="-5"/>
              </w:rPr>
              <w:t xml:space="preserve">Recruitment </w:t>
            </w:r>
            <w:r>
              <w:rPr>
                <w:spacing w:val="-4"/>
              </w:rPr>
              <w:t>processes</w:t>
            </w:r>
            <w:r>
              <w:rPr>
                <w:spacing w:val="-3"/>
              </w:rPr>
              <w:t xml:space="preserve"> </w:t>
            </w:r>
            <w:r>
              <w:rPr>
                <w:spacing w:val="-4"/>
              </w:rPr>
              <w:t>are</w:t>
            </w:r>
            <w:r>
              <w:rPr>
                <w:spacing w:val="-10"/>
              </w:rPr>
              <w:t xml:space="preserve"> </w:t>
            </w:r>
            <w:r>
              <w:rPr>
                <w:spacing w:val="-4"/>
              </w:rPr>
              <w:t>designed</w:t>
            </w:r>
            <w:r>
              <w:rPr>
                <w:spacing w:val="-10"/>
              </w:rPr>
              <w:t xml:space="preserve"> </w:t>
            </w:r>
            <w:r>
              <w:rPr>
                <w:spacing w:val="-3"/>
              </w:rPr>
              <w:t>to</w:t>
            </w:r>
            <w:r>
              <w:rPr>
                <w:spacing w:val="-10"/>
              </w:rPr>
              <w:t xml:space="preserve"> </w:t>
            </w:r>
            <w:r>
              <w:rPr>
                <w:spacing w:val="-3"/>
              </w:rPr>
              <w:t>increase</w:t>
            </w:r>
            <w:r>
              <w:rPr>
                <w:spacing w:val="-42"/>
              </w:rPr>
              <w:t xml:space="preserve"> </w:t>
            </w:r>
            <w:r>
              <w:rPr>
                <w:spacing w:val="-2"/>
              </w:rPr>
              <w:t xml:space="preserve">the number of </w:t>
            </w:r>
            <w:r>
              <w:rPr>
                <w:spacing w:val="-1"/>
              </w:rPr>
              <w:t>MAPIC</w:t>
            </w:r>
            <w:r>
              <w:t xml:space="preserve"> applicants</w:t>
            </w:r>
          </w:p>
        </w:tc>
        <w:tc>
          <w:tcPr>
            <w:tcW w:w="2939" w:type="dxa"/>
          </w:tcPr>
          <w:p w14:paraId="7FB600BB" w14:textId="6765C509" w:rsidR="00193B0C" w:rsidRDefault="00193B0C" w:rsidP="00260E90">
            <w:pPr>
              <w:pStyle w:val="TableText"/>
              <w:rPr>
                <w:rFonts w:eastAsia="Arial Unicode MS"/>
              </w:rPr>
            </w:pPr>
            <w:r>
              <w:rPr>
                <w:spacing w:val="-5"/>
              </w:rPr>
              <w:t xml:space="preserve">Recruitment </w:t>
            </w:r>
            <w:r>
              <w:rPr>
                <w:spacing w:val="-4"/>
              </w:rPr>
              <w:t>processes</w:t>
            </w:r>
            <w:r>
              <w:rPr>
                <w:spacing w:val="-3"/>
              </w:rPr>
              <w:t xml:space="preserve"> ensure </w:t>
            </w:r>
            <w:r>
              <w:rPr>
                <w:spacing w:val="-2"/>
              </w:rPr>
              <w:t>equitable number</w:t>
            </w:r>
            <w:r>
              <w:rPr>
                <w:spacing w:val="-1"/>
              </w:rPr>
              <w:t xml:space="preserve"> </w:t>
            </w:r>
            <w:r>
              <w:rPr>
                <w:spacing w:val="-3"/>
              </w:rPr>
              <w:t xml:space="preserve">of MAPIC </w:t>
            </w:r>
            <w:r>
              <w:rPr>
                <w:spacing w:val="-2"/>
              </w:rPr>
              <w:t>applications and</w:t>
            </w:r>
            <w:r>
              <w:rPr>
                <w:spacing w:val="-43"/>
              </w:rPr>
              <w:t xml:space="preserve"> </w:t>
            </w:r>
            <w:r>
              <w:rPr>
                <w:w w:val="105"/>
              </w:rPr>
              <w:t>appointments</w:t>
            </w:r>
          </w:p>
        </w:tc>
      </w:tr>
      <w:tr w:rsidR="00193B0C" w14:paraId="552BF9A1" w14:textId="77777777" w:rsidTr="00CA2803">
        <w:tc>
          <w:tcPr>
            <w:tcW w:w="1260" w:type="dxa"/>
            <w:vMerge/>
            <w:shd w:val="clear" w:color="auto" w:fill="573393"/>
          </w:tcPr>
          <w:p w14:paraId="6569EF31" w14:textId="77777777" w:rsidR="00193B0C" w:rsidRDefault="00193B0C" w:rsidP="00555034">
            <w:pPr>
              <w:pStyle w:val="TableText"/>
              <w:rPr>
                <w:rFonts w:eastAsia="Arial Unicode MS"/>
              </w:rPr>
            </w:pPr>
          </w:p>
        </w:tc>
        <w:tc>
          <w:tcPr>
            <w:tcW w:w="1854" w:type="dxa"/>
            <w:vMerge/>
          </w:tcPr>
          <w:p w14:paraId="2C0A05D7" w14:textId="44C02B0C" w:rsidR="00193B0C" w:rsidRPr="00E046D1" w:rsidRDefault="00193B0C" w:rsidP="00555034">
            <w:pPr>
              <w:pStyle w:val="TableText"/>
              <w:rPr>
                <w:rFonts w:eastAsia="Arial Unicode MS"/>
                <w:b/>
                <w:bCs/>
              </w:rPr>
            </w:pPr>
          </w:p>
        </w:tc>
        <w:tc>
          <w:tcPr>
            <w:tcW w:w="2457" w:type="dxa"/>
          </w:tcPr>
          <w:p w14:paraId="178ED72F" w14:textId="4644DF4F" w:rsidR="00193B0C" w:rsidRDefault="00193B0C" w:rsidP="00260E90">
            <w:pPr>
              <w:pStyle w:val="TableText"/>
              <w:rPr>
                <w:rFonts w:eastAsia="Arial Unicode MS"/>
              </w:rPr>
            </w:pPr>
            <w:r>
              <w:t>T3.2 Diversity</w:t>
            </w:r>
            <w:r>
              <w:rPr>
                <w:spacing w:val="-41"/>
              </w:rPr>
              <w:t xml:space="preserve"> </w:t>
            </w:r>
            <w:r>
              <w:rPr>
                <w:w w:val="105"/>
              </w:rPr>
              <w:t>promotion</w:t>
            </w:r>
          </w:p>
        </w:tc>
        <w:tc>
          <w:tcPr>
            <w:tcW w:w="2939" w:type="dxa"/>
          </w:tcPr>
          <w:p w14:paraId="5DE1E3E3" w14:textId="5B37A8E6" w:rsidR="00193B0C" w:rsidRDefault="00193B0C" w:rsidP="00260E90">
            <w:pPr>
              <w:pStyle w:val="TableText"/>
              <w:rPr>
                <w:rFonts w:eastAsia="Arial Unicode MS"/>
              </w:rPr>
            </w:pPr>
            <w:r>
              <w:rPr>
                <w:spacing w:val="-4"/>
              </w:rPr>
              <w:t xml:space="preserve">Promotion processes </w:t>
            </w:r>
            <w:r>
              <w:rPr>
                <w:spacing w:val="-3"/>
              </w:rPr>
              <w:t>are</w:t>
            </w:r>
            <w:r>
              <w:rPr>
                <w:spacing w:val="-42"/>
              </w:rPr>
              <w:t xml:space="preserve"> </w:t>
            </w:r>
            <w:r>
              <w:rPr>
                <w:spacing w:val="-2"/>
              </w:rPr>
              <w:t>discriminatory against</w:t>
            </w:r>
            <w:r>
              <w:rPr>
                <w:spacing w:val="-1"/>
              </w:rPr>
              <w:t xml:space="preserve"> </w:t>
            </w:r>
            <w:r>
              <w:t>MAPIC</w:t>
            </w:r>
          </w:p>
        </w:tc>
        <w:tc>
          <w:tcPr>
            <w:tcW w:w="2939" w:type="dxa"/>
          </w:tcPr>
          <w:p w14:paraId="3DF0760C" w14:textId="0157592C" w:rsidR="00193B0C" w:rsidRDefault="00193B0C" w:rsidP="00260E90">
            <w:pPr>
              <w:pStyle w:val="TableText"/>
              <w:rPr>
                <w:rFonts w:eastAsia="Arial Unicode MS"/>
              </w:rPr>
            </w:pPr>
            <w:r>
              <w:rPr>
                <w:spacing w:val="-4"/>
              </w:rPr>
              <w:t>Promotion processes</w:t>
            </w:r>
            <w:r>
              <w:rPr>
                <w:spacing w:val="-42"/>
              </w:rPr>
              <w:t xml:space="preserve"> </w:t>
            </w:r>
            <w:r>
              <w:rPr>
                <w:spacing w:val="-4"/>
              </w:rPr>
              <w:t>disadvantage</w:t>
            </w:r>
            <w:r>
              <w:rPr>
                <w:spacing w:val="-6"/>
              </w:rPr>
              <w:t xml:space="preserve"> </w:t>
            </w:r>
            <w:r>
              <w:rPr>
                <w:spacing w:val="-3"/>
              </w:rPr>
              <w:t>MAPIC</w:t>
            </w:r>
          </w:p>
        </w:tc>
        <w:tc>
          <w:tcPr>
            <w:tcW w:w="2939" w:type="dxa"/>
          </w:tcPr>
          <w:p w14:paraId="4CED8A7E" w14:textId="0F04A9C1" w:rsidR="00193B0C" w:rsidRDefault="00193B0C" w:rsidP="00260E90">
            <w:pPr>
              <w:pStyle w:val="TableText"/>
              <w:rPr>
                <w:rFonts w:eastAsia="Arial Unicode MS"/>
              </w:rPr>
            </w:pPr>
            <w:r>
              <w:rPr>
                <w:spacing w:val="-4"/>
              </w:rPr>
              <w:t xml:space="preserve">Promotion processes </w:t>
            </w:r>
            <w:r>
              <w:rPr>
                <w:spacing w:val="-3"/>
              </w:rPr>
              <w:t>are</w:t>
            </w:r>
            <w:r>
              <w:rPr>
                <w:spacing w:val="-2"/>
              </w:rPr>
              <w:t xml:space="preserve"> </w:t>
            </w:r>
            <w:r>
              <w:rPr>
                <w:spacing w:val="-3"/>
              </w:rPr>
              <w:t>designed</w:t>
            </w:r>
            <w:r>
              <w:rPr>
                <w:spacing w:val="-10"/>
              </w:rPr>
              <w:t xml:space="preserve"> </w:t>
            </w:r>
            <w:r>
              <w:rPr>
                <w:spacing w:val="-3"/>
              </w:rPr>
              <w:t>to</w:t>
            </w:r>
            <w:r>
              <w:rPr>
                <w:spacing w:val="-10"/>
              </w:rPr>
              <w:t xml:space="preserve"> </w:t>
            </w:r>
            <w:r>
              <w:rPr>
                <w:spacing w:val="-3"/>
              </w:rPr>
              <w:t>ensure</w:t>
            </w:r>
            <w:r>
              <w:rPr>
                <w:spacing w:val="-10"/>
              </w:rPr>
              <w:t xml:space="preserve"> </w:t>
            </w:r>
            <w:r>
              <w:rPr>
                <w:spacing w:val="-3"/>
              </w:rPr>
              <w:t>MAPIC</w:t>
            </w:r>
            <w:r>
              <w:rPr>
                <w:spacing w:val="-42"/>
              </w:rPr>
              <w:t xml:space="preserve"> </w:t>
            </w:r>
            <w:r>
              <w:rPr>
                <w:spacing w:val="-3"/>
              </w:rPr>
              <w:t>are</w:t>
            </w:r>
            <w:r>
              <w:rPr>
                <w:spacing w:val="-9"/>
              </w:rPr>
              <w:t xml:space="preserve"> </w:t>
            </w:r>
            <w:r>
              <w:rPr>
                <w:spacing w:val="-3"/>
              </w:rPr>
              <w:t>not</w:t>
            </w:r>
            <w:r>
              <w:rPr>
                <w:spacing w:val="-9"/>
              </w:rPr>
              <w:t xml:space="preserve"> </w:t>
            </w:r>
            <w:r>
              <w:rPr>
                <w:spacing w:val="-3"/>
              </w:rPr>
              <w:t>disadvantaged</w:t>
            </w:r>
          </w:p>
        </w:tc>
        <w:tc>
          <w:tcPr>
            <w:tcW w:w="2939" w:type="dxa"/>
            <w:shd w:val="clear" w:color="auto" w:fill="D6E3BC" w:themeFill="accent3" w:themeFillTint="66"/>
          </w:tcPr>
          <w:p w14:paraId="4FE6DF56" w14:textId="40F11081" w:rsidR="00193B0C" w:rsidRDefault="00193B0C" w:rsidP="00260E90">
            <w:pPr>
              <w:pStyle w:val="TableText"/>
              <w:rPr>
                <w:rFonts w:eastAsia="Arial Unicode MS"/>
              </w:rPr>
            </w:pPr>
            <w:r>
              <w:rPr>
                <w:spacing w:val="-3"/>
              </w:rPr>
              <w:t>MAPIC</w:t>
            </w:r>
            <w:r>
              <w:rPr>
                <w:spacing w:val="-10"/>
              </w:rPr>
              <w:t xml:space="preserve"> </w:t>
            </w:r>
            <w:r>
              <w:rPr>
                <w:spacing w:val="-2"/>
              </w:rPr>
              <w:t>are</w:t>
            </w:r>
            <w:r>
              <w:rPr>
                <w:spacing w:val="-9"/>
              </w:rPr>
              <w:t xml:space="preserve"> </w:t>
            </w:r>
            <w:r>
              <w:rPr>
                <w:spacing w:val="-2"/>
              </w:rPr>
              <w:t>promoted</w:t>
            </w:r>
            <w:r>
              <w:rPr>
                <w:spacing w:val="-9"/>
              </w:rPr>
              <w:t xml:space="preserve"> </w:t>
            </w:r>
            <w:r>
              <w:rPr>
                <w:spacing w:val="-2"/>
              </w:rPr>
              <w:t>at</w:t>
            </w:r>
            <w:r>
              <w:rPr>
                <w:spacing w:val="-41"/>
              </w:rPr>
              <w:t xml:space="preserve"> </w:t>
            </w:r>
            <w:r>
              <w:rPr>
                <w:spacing w:val="-1"/>
              </w:rPr>
              <w:t xml:space="preserve">equitable rates </w:t>
            </w:r>
            <w:r>
              <w:t>to non-</w:t>
            </w:r>
            <w:r>
              <w:rPr>
                <w:spacing w:val="1"/>
              </w:rPr>
              <w:t xml:space="preserve"> </w:t>
            </w:r>
            <w:r>
              <w:rPr>
                <w:w w:val="105"/>
              </w:rPr>
              <w:t>MAPIC</w:t>
            </w:r>
          </w:p>
        </w:tc>
        <w:tc>
          <w:tcPr>
            <w:tcW w:w="2939" w:type="dxa"/>
          </w:tcPr>
          <w:p w14:paraId="6712BEBB" w14:textId="7B12FD76" w:rsidR="00193B0C" w:rsidRDefault="00193B0C" w:rsidP="00260E90">
            <w:pPr>
              <w:pStyle w:val="TableText"/>
              <w:rPr>
                <w:rFonts w:eastAsia="Arial Unicode MS"/>
              </w:rPr>
            </w:pPr>
            <w:r>
              <w:rPr>
                <w:spacing w:val="-3"/>
              </w:rPr>
              <w:t xml:space="preserve">MAPIC are </w:t>
            </w:r>
            <w:r>
              <w:rPr>
                <w:spacing w:val="-2"/>
              </w:rPr>
              <w:t>found at</w:t>
            </w:r>
            <w:r>
              <w:rPr>
                <w:spacing w:val="-1"/>
              </w:rPr>
              <w:t xml:space="preserve"> equitable</w:t>
            </w:r>
            <w:r>
              <w:rPr>
                <w:spacing w:val="-10"/>
              </w:rPr>
              <w:t xml:space="preserve"> </w:t>
            </w:r>
            <w:r>
              <w:rPr>
                <w:spacing w:val="-1"/>
              </w:rPr>
              <w:t>rates</w:t>
            </w:r>
            <w:r>
              <w:rPr>
                <w:spacing w:val="-10"/>
              </w:rPr>
              <w:t xml:space="preserve"> </w:t>
            </w:r>
            <w:r>
              <w:t>at</w:t>
            </w:r>
            <w:r>
              <w:rPr>
                <w:spacing w:val="-10"/>
              </w:rPr>
              <w:t xml:space="preserve"> </w:t>
            </w:r>
            <w:r>
              <w:t>all</w:t>
            </w:r>
            <w:r>
              <w:rPr>
                <w:spacing w:val="-10"/>
              </w:rPr>
              <w:t xml:space="preserve"> </w:t>
            </w:r>
            <w:r>
              <w:t>levels</w:t>
            </w:r>
            <w:r>
              <w:rPr>
                <w:spacing w:val="-41"/>
              </w:rPr>
              <w:t xml:space="preserve"> </w:t>
            </w:r>
            <w:r>
              <w:rPr>
                <w:spacing w:val="-2"/>
              </w:rPr>
              <w:t>in</w:t>
            </w:r>
            <w:r>
              <w:rPr>
                <w:spacing w:val="-10"/>
              </w:rPr>
              <w:t xml:space="preserve"> </w:t>
            </w:r>
            <w:r>
              <w:rPr>
                <w:spacing w:val="-2"/>
              </w:rPr>
              <w:t>the</w:t>
            </w:r>
            <w:r>
              <w:rPr>
                <w:spacing w:val="-10"/>
              </w:rPr>
              <w:t xml:space="preserve"> </w:t>
            </w:r>
            <w:r>
              <w:rPr>
                <w:spacing w:val="-2"/>
              </w:rPr>
              <w:t>organisation</w:t>
            </w:r>
          </w:p>
        </w:tc>
      </w:tr>
      <w:tr w:rsidR="00193B0C" w14:paraId="34273B0B" w14:textId="77777777" w:rsidTr="00CA2803">
        <w:tc>
          <w:tcPr>
            <w:tcW w:w="1260" w:type="dxa"/>
            <w:vMerge/>
            <w:shd w:val="clear" w:color="auto" w:fill="573393"/>
          </w:tcPr>
          <w:p w14:paraId="41DBD9A1" w14:textId="77777777" w:rsidR="00193B0C" w:rsidRDefault="00193B0C" w:rsidP="00555034">
            <w:pPr>
              <w:pStyle w:val="TableText"/>
              <w:rPr>
                <w:rFonts w:eastAsia="Arial Unicode MS"/>
              </w:rPr>
            </w:pPr>
          </w:p>
        </w:tc>
        <w:tc>
          <w:tcPr>
            <w:tcW w:w="1854" w:type="dxa"/>
            <w:vMerge/>
          </w:tcPr>
          <w:p w14:paraId="2A38DB05" w14:textId="424DC3AF" w:rsidR="00193B0C" w:rsidRPr="00E046D1" w:rsidRDefault="00193B0C" w:rsidP="00555034">
            <w:pPr>
              <w:pStyle w:val="TableText"/>
              <w:rPr>
                <w:rFonts w:eastAsia="Arial Unicode MS"/>
                <w:b/>
                <w:bCs/>
              </w:rPr>
            </w:pPr>
          </w:p>
        </w:tc>
        <w:tc>
          <w:tcPr>
            <w:tcW w:w="2457" w:type="dxa"/>
          </w:tcPr>
          <w:p w14:paraId="62370703" w14:textId="2292A33C" w:rsidR="00193B0C" w:rsidRDefault="00193B0C" w:rsidP="00260E90">
            <w:pPr>
              <w:pStyle w:val="TableText"/>
              <w:rPr>
                <w:rFonts w:eastAsia="Arial Unicode MS"/>
              </w:rPr>
            </w:pPr>
            <w:r>
              <w:t>T3.3 Rewards and</w:t>
            </w:r>
            <w:r>
              <w:rPr>
                <w:spacing w:val="-42"/>
              </w:rPr>
              <w:t xml:space="preserve"> </w:t>
            </w:r>
            <w:r>
              <w:t>incentives</w:t>
            </w:r>
          </w:p>
        </w:tc>
        <w:tc>
          <w:tcPr>
            <w:tcW w:w="2939" w:type="dxa"/>
          </w:tcPr>
          <w:p w14:paraId="7414E0C4" w14:textId="6E8D08F0" w:rsidR="00193B0C" w:rsidRDefault="00193B0C" w:rsidP="00260E90">
            <w:pPr>
              <w:pStyle w:val="TableText"/>
              <w:rPr>
                <w:rFonts w:eastAsia="Arial Unicode MS"/>
              </w:rPr>
            </w:pPr>
            <w:r>
              <w:rPr>
                <w:spacing w:val="-3"/>
              </w:rPr>
              <w:t>Reward system enables</w:t>
            </w:r>
            <w:r>
              <w:rPr>
                <w:spacing w:val="-42"/>
              </w:rPr>
              <w:t xml:space="preserve"> </w:t>
            </w:r>
            <w:r>
              <w:rPr>
                <w:w w:val="95"/>
              </w:rPr>
              <w:t>racism because of</w:t>
            </w:r>
            <w:r>
              <w:rPr>
                <w:spacing w:val="1"/>
                <w:w w:val="95"/>
              </w:rPr>
              <w:t xml:space="preserve"> </w:t>
            </w:r>
            <w:r>
              <w:rPr>
                <w:w w:val="105"/>
              </w:rPr>
              <w:t>"blindness"</w:t>
            </w:r>
          </w:p>
        </w:tc>
        <w:tc>
          <w:tcPr>
            <w:tcW w:w="2939" w:type="dxa"/>
          </w:tcPr>
          <w:p w14:paraId="5FFFC7DF" w14:textId="339CDEB7" w:rsidR="00193B0C" w:rsidRDefault="00193B0C" w:rsidP="00260E90">
            <w:pPr>
              <w:pStyle w:val="TableText"/>
              <w:rPr>
                <w:rFonts w:eastAsia="Arial Unicode MS"/>
              </w:rPr>
            </w:pPr>
            <w:r>
              <w:rPr>
                <w:spacing w:val="-1"/>
              </w:rPr>
              <w:t>Reward system allows</w:t>
            </w:r>
            <w:r>
              <w:t xml:space="preserve"> </w:t>
            </w:r>
            <w:r>
              <w:rPr>
                <w:spacing w:val="-4"/>
              </w:rPr>
              <w:t>racism because rewards</w:t>
            </w:r>
            <w:r>
              <w:rPr>
                <w:spacing w:val="-42"/>
              </w:rPr>
              <w:t xml:space="preserve"> </w:t>
            </w:r>
            <w:r>
              <w:t>tied to factors that</w:t>
            </w:r>
            <w:r>
              <w:rPr>
                <w:spacing w:val="1"/>
              </w:rPr>
              <w:t xml:space="preserve"> </w:t>
            </w:r>
            <w:r>
              <w:rPr>
                <w:spacing w:val="-4"/>
              </w:rPr>
              <w:t>disadvantage</w:t>
            </w:r>
            <w:r>
              <w:rPr>
                <w:spacing w:val="-10"/>
              </w:rPr>
              <w:t xml:space="preserve"> </w:t>
            </w:r>
            <w:r>
              <w:rPr>
                <w:spacing w:val="-3"/>
              </w:rPr>
              <w:t>MAPIC</w:t>
            </w:r>
          </w:p>
        </w:tc>
        <w:tc>
          <w:tcPr>
            <w:tcW w:w="2939" w:type="dxa"/>
            <w:shd w:val="clear" w:color="auto" w:fill="FFFF00"/>
          </w:tcPr>
          <w:p w14:paraId="72A39BD6" w14:textId="67B38638" w:rsidR="00193B0C" w:rsidRDefault="00193B0C" w:rsidP="00555034">
            <w:pPr>
              <w:pStyle w:val="TableText"/>
              <w:rPr>
                <w:rFonts w:eastAsia="Arial Unicode MS"/>
              </w:rPr>
            </w:pPr>
            <w:r>
              <w:rPr>
                <w:spacing w:val="-3"/>
              </w:rPr>
              <w:t>Reward</w:t>
            </w:r>
            <w:r>
              <w:rPr>
                <w:spacing w:val="8"/>
              </w:rPr>
              <w:t xml:space="preserve"> </w:t>
            </w:r>
            <w:r>
              <w:rPr>
                <w:spacing w:val="-2"/>
              </w:rPr>
              <w:t>system</w:t>
            </w:r>
            <w:r>
              <w:rPr>
                <w:spacing w:val="-1"/>
              </w:rPr>
              <w:t xml:space="preserve"> </w:t>
            </w:r>
            <w:r>
              <w:rPr>
                <w:spacing w:val="-2"/>
              </w:rPr>
              <w:t>supports</w:t>
            </w:r>
            <w:r>
              <w:rPr>
                <w:spacing w:val="-9"/>
              </w:rPr>
              <w:t xml:space="preserve"> </w:t>
            </w:r>
            <w:r>
              <w:rPr>
                <w:spacing w:val="-1"/>
              </w:rPr>
              <w:t>dialogue</w:t>
            </w:r>
            <w:r>
              <w:rPr>
                <w:spacing w:val="-9"/>
              </w:rPr>
              <w:t xml:space="preserve"> </w:t>
            </w:r>
            <w:r>
              <w:rPr>
                <w:spacing w:val="-1"/>
              </w:rPr>
              <w:t xml:space="preserve">about </w:t>
            </w:r>
            <w:r>
              <w:rPr>
                <w:spacing w:val="-2"/>
              </w:rPr>
              <w:t>interpersonal</w:t>
            </w:r>
            <w:r>
              <w:rPr>
                <w:spacing w:val="-10"/>
              </w:rPr>
              <w:t xml:space="preserve"> </w:t>
            </w:r>
            <w:r>
              <w:rPr>
                <w:spacing w:val="-1"/>
              </w:rPr>
              <w:t>conduct</w:t>
            </w:r>
            <w:r>
              <w:rPr>
                <w:spacing w:val="-10"/>
              </w:rPr>
              <w:t xml:space="preserve"> </w:t>
            </w:r>
            <w:r>
              <w:rPr>
                <w:spacing w:val="-1"/>
              </w:rPr>
              <w:t>but</w:t>
            </w:r>
            <w:r>
              <w:rPr>
                <w:spacing w:val="-42"/>
              </w:rPr>
              <w:t xml:space="preserve"> </w:t>
            </w:r>
            <w:r>
              <w:rPr>
                <w:spacing w:val="-2"/>
              </w:rPr>
              <w:t>does not carry financial</w:t>
            </w:r>
            <w:r>
              <w:rPr>
                <w:spacing w:val="-1"/>
              </w:rPr>
              <w:t xml:space="preserve"> </w:t>
            </w:r>
            <w:r>
              <w:rPr>
                <w:w w:val="105"/>
              </w:rPr>
              <w:t>implications</w:t>
            </w:r>
          </w:p>
        </w:tc>
        <w:tc>
          <w:tcPr>
            <w:tcW w:w="2939" w:type="dxa"/>
          </w:tcPr>
          <w:p w14:paraId="099E5B2E" w14:textId="750DBA82" w:rsidR="00193B0C" w:rsidRDefault="00193B0C" w:rsidP="00260E90">
            <w:pPr>
              <w:pStyle w:val="TableText"/>
              <w:rPr>
                <w:rFonts w:eastAsia="Arial Unicode MS"/>
              </w:rPr>
            </w:pPr>
            <w:r>
              <w:rPr>
                <w:spacing w:val="-3"/>
              </w:rPr>
              <w:t>Some</w:t>
            </w:r>
            <w:r>
              <w:rPr>
                <w:spacing w:val="-10"/>
              </w:rPr>
              <w:t xml:space="preserve"> </w:t>
            </w:r>
            <w:r>
              <w:rPr>
                <w:spacing w:val="-3"/>
              </w:rPr>
              <w:t>incentives</w:t>
            </w:r>
            <w:r>
              <w:rPr>
                <w:spacing w:val="-9"/>
              </w:rPr>
              <w:t xml:space="preserve"> </w:t>
            </w:r>
            <w:r>
              <w:rPr>
                <w:spacing w:val="-3"/>
              </w:rPr>
              <w:t>for</w:t>
            </w:r>
            <w:r>
              <w:rPr>
                <w:spacing w:val="-9"/>
              </w:rPr>
              <w:t xml:space="preserve"> </w:t>
            </w:r>
            <w:r>
              <w:rPr>
                <w:spacing w:val="-2"/>
              </w:rPr>
              <w:t>positive</w:t>
            </w:r>
            <w:r>
              <w:rPr>
                <w:spacing w:val="-41"/>
              </w:rPr>
              <w:t xml:space="preserve"> </w:t>
            </w:r>
            <w:r>
              <w:rPr>
                <w:spacing w:val="-3"/>
              </w:rPr>
              <w:t>interpersonal</w:t>
            </w:r>
            <w:r>
              <w:rPr>
                <w:spacing w:val="-10"/>
              </w:rPr>
              <w:t xml:space="preserve"> </w:t>
            </w:r>
            <w:r>
              <w:rPr>
                <w:spacing w:val="-2"/>
              </w:rPr>
              <w:t>conduct</w:t>
            </w:r>
          </w:p>
        </w:tc>
        <w:tc>
          <w:tcPr>
            <w:tcW w:w="2939" w:type="dxa"/>
          </w:tcPr>
          <w:p w14:paraId="1B1C9FB2" w14:textId="2AB8F980" w:rsidR="00193B0C" w:rsidRDefault="00193B0C" w:rsidP="00260E90">
            <w:pPr>
              <w:pStyle w:val="TableText"/>
              <w:rPr>
                <w:rFonts w:eastAsia="Arial Unicode MS"/>
              </w:rPr>
            </w:pPr>
            <w:r>
              <w:rPr>
                <w:spacing w:val="-3"/>
              </w:rPr>
              <w:t xml:space="preserve">Incentive </w:t>
            </w:r>
            <w:r>
              <w:rPr>
                <w:spacing w:val="-2"/>
              </w:rPr>
              <w:t>framework</w:t>
            </w:r>
            <w:r>
              <w:rPr>
                <w:spacing w:val="-1"/>
              </w:rPr>
              <w:t xml:space="preserve"> </w:t>
            </w:r>
            <w:r>
              <w:rPr>
                <w:spacing w:val="-3"/>
              </w:rPr>
              <w:t xml:space="preserve">embeds </w:t>
            </w:r>
            <w:r>
              <w:rPr>
                <w:spacing w:val="-2"/>
              </w:rPr>
              <w:t>positive</w:t>
            </w:r>
            <w:r>
              <w:rPr>
                <w:spacing w:val="-1"/>
              </w:rPr>
              <w:t xml:space="preserve"> </w:t>
            </w:r>
            <w:r>
              <w:rPr>
                <w:spacing w:val="-3"/>
              </w:rPr>
              <w:t xml:space="preserve">interpersonal </w:t>
            </w:r>
            <w:r>
              <w:rPr>
                <w:spacing w:val="-2"/>
              </w:rPr>
              <w:t>conduct and</w:t>
            </w:r>
            <w:r>
              <w:rPr>
                <w:spacing w:val="-42"/>
              </w:rPr>
              <w:t xml:space="preserve"> </w:t>
            </w:r>
            <w:r>
              <w:rPr>
                <w:spacing w:val="-2"/>
              </w:rPr>
              <w:t xml:space="preserve">delivery </w:t>
            </w:r>
            <w:r>
              <w:rPr>
                <w:spacing w:val="-1"/>
              </w:rPr>
              <w:t>against equity</w:t>
            </w:r>
            <w:r>
              <w:t xml:space="preserve"> outcomes</w:t>
            </w:r>
          </w:p>
        </w:tc>
      </w:tr>
      <w:tr w:rsidR="00193B0C" w14:paraId="6A241865" w14:textId="77777777" w:rsidTr="00CA2803">
        <w:tc>
          <w:tcPr>
            <w:tcW w:w="1260" w:type="dxa"/>
            <w:vMerge/>
            <w:shd w:val="clear" w:color="auto" w:fill="573393"/>
          </w:tcPr>
          <w:p w14:paraId="513A7375" w14:textId="77777777" w:rsidR="00193B0C" w:rsidRDefault="00193B0C" w:rsidP="00555034">
            <w:pPr>
              <w:pStyle w:val="TableText"/>
              <w:rPr>
                <w:rFonts w:eastAsia="Arial Unicode MS"/>
              </w:rPr>
            </w:pPr>
          </w:p>
        </w:tc>
        <w:tc>
          <w:tcPr>
            <w:tcW w:w="1854" w:type="dxa"/>
            <w:vMerge/>
          </w:tcPr>
          <w:p w14:paraId="4A6C2C7D" w14:textId="590B681C" w:rsidR="00193B0C" w:rsidRPr="00E046D1" w:rsidRDefault="00193B0C" w:rsidP="00555034">
            <w:pPr>
              <w:pStyle w:val="TableText"/>
              <w:rPr>
                <w:rFonts w:eastAsia="Arial Unicode MS"/>
                <w:b/>
                <w:bCs/>
              </w:rPr>
            </w:pPr>
          </w:p>
        </w:tc>
        <w:tc>
          <w:tcPr>
            <w:tcW w:w="2457" w:type="dxa"/>
          </w:tcPr>
          <w:p w14:paraId="32F3A136" w14:textId="1548691C" w:rsidR="00193B0C" w:rsidRPr="00260E90" w:rsidRDefault="00193B0C" w:rsidP="00260E90">
            <w:pPr>
              <w:pStyle w:val="TableText"/>
              <w:rPr>
                <w:rFonts w:eastAsia="Arial Unicode MS"/>
              </w:rPr>
            </w:pPr>
            <w:r w:rsidRPr="00260E90">
              <w:t>T3.4 Disciplinary</w:t>
            </w:r>
          </w:p>
        </w:tc>
        <w:tc>
          <w:tcPr>
            <w:tcW w:w="2939" w:type="dxa"/>
          </w:tcPr>
          <w:p w14:paraId="477C5A60" w14:textId="15F52733" w:rsidR="00193B0C" w:rsidRPr="00260E90" w:rsidRDefault="00193B0C" w:rsidP="00260E90">
            <w:pPr>
              <w:pStyle w:val="TableText"/>
              <w:rPr>
                <w:rFonts w:eastAsia="Arial Unicode MS"/>
              </w:rPr>
            </w:pPr>
            <w:r w:rsidRPr="00260E90">
              <w:t>Organisation actively fosters/tolerates racism</w:t>
            </w:r>
          </w:p>
        </w:tc>
        <w:tc>
          <w:tcPr>
            <w:tcW w:w="2939" w:type="dxa"/>
            <w:shd w:val="clear" w:color="auto" w:fill="F1A341"/>
          </w:tcPr>
          <w:p w14:paraId="08A3F2D7" w14:textId="78ED82B3" w:rsidR="00193B0C" w:rsidRPr="00CA2803" w:rsidRDefault="00193B0C" w:rsidP="00260E90">
            <w:pPr>
              <w:pStyle w:val="TableText"/>
              <w:rPr>
                <w:rFonts w:eastAsia="Arial Unicode MS"/>
                <w:color w:val="FFFFFF" w:themeColor="background1"/>
              </w:rPr>
            </w:pPr>
            <w:r w:rsidRPr="00CA2803">
              <w:rPr>
                <w:color w:val="FFFFFF" w:themeColor="background1"/>
              </w:rPr>
              <w:t>Racist discourse goes underground in the organisation</w:t>
            </w:r>
          </w:p>
        </w:tc>
        <w:tc>
          <w:tcPr>
            <w:tcW w:w="2939" w:type="dxa"/>
          </w:tcPr>
          <w:p w14:paraId="14A7CD0B" w14:textId="21681C04" w:rsidR="00193B0C" w:rsidRPr="00260E90" w:rsidRDefault="00193B0C" w:rsidP="00260E90">
            <w:pPr>
              <w:pStyle w:val="TableText"/>
              <w:rPr>
                <w:rFonts w:eastAsia="Arial Unicode MS"/>
              </w:rPr>
            </w:pPr>
            <w:r w:rsidRPr="00260E90">
              <w:t>Racism and/or discriminatory conduct is specifically referenced as misconduct/serious misconduct but enforcement is patchy</w:t>
            </w:r>
          </w:p>
        </w:tc>
        <w:tc>
          <w:tcPr>
            <w:tcW w:w="2939" w:type="dxa"/>
          </w:tcPr>
          <w:p w14:paraId="0471D58C" w14:textId="2BAD7E3F" w:rsidR="00193B0C" w:rsidRPr="00260E90" w:rsidRDefault="00193B0C" w:rsidP="00260E90">
            <w:pPr>
              <w:pStyle w:val="TableText"/>
              <w:rPr>
                <w:rFonts w:eastAsia="Arial Unicode MS"/>
              </w:rPr>
            </w:pPr>
            <w:r w:rsidRPr="00260E90">
              <w:t>Sanctions for racism and/or discriminatory conduct are applied consistently</w:t>
            </w:r>
          </w:p>
        </w:tc>
        <w:tc>
          <w:tcPr>
            <w:tcW w:w="2939" w:type="dxa"/>
          </w:tcPr>
          <w:p w14:paraId="1E1A1854" w14:textId="39D1118D" w:rsidR="00193B0C" w:rsidRPr="00260E90" w:rsidRDefault="00193B0C" w:rsidP="00260E90">
            <w:pPr>
              <w:pStyle w:val="TableText"/>
              <w:rPr>
                <w:rFonts w:eastAsia="Arial Unicode MS"/>
              </w:rPr>
            </w:pPr>
            <w:r w:rsidRPr="00260E90">
              <w:t>Organisational culture discourages racist discourse and practice with broad support for sanctions where necessary</w:t>
            </w:r>
          </w:p>
        </w:tc>
      </w:tr>
      <w:tr w:rsidR="00193B0C" w14:paraId="186D3817" w14:textId="77777777" w:rsidTr="00CA2803">
        <w:tc>
          <w:tcPr>
            <w:tcW w:w="1260" w:type="dxa"/>
            <w:vMerge/>
            <w:shd w:val="clear" w:color="auto" w:fill="573393"/>
          </w:tcPr>
          <w:p w14:paraId="067D9AAE" w14:textId="77777777" w:rsidR="00193B0C" w:rsidRDefault="00193B0C" w:rsidP="00555034">
            <w:pPr>
              <w:pStyle w:val="TableText"/>
              <w:rPr>
                <w:rFonts w:eastAsia="Arial Unicode MS"/>
              </w:rPr>
            </w:pPr>
          </w:p>
        </w:tc>
        <w:tc>
          <w:tcPr>
            <w:tcW w:w="1854" w:type="dxa"/>
            <w:vMerge w:val="restart"/>
          </w:tcPr>
          <w:p w14:paraId="1BA3CB59" w14:textId="174A9549" w:rsidR="00193B0C" w:rsidRPr="00E046D1" w:rsidRDefault="00193B0C" w:rsidP="00555034">
            <w:pPr>
              <w:pStyle w:val="TableText"/>
              <w:rPr>
                <w:rFonts w:eastAsia="Arial Unicode MS"/>
                <w:b/>
                <w:bCs/>
              </w:rPr>
            </w:pPr>
            <w:r w:rsidRPr="00E046D1">
              <w:rPr>
                <w:rFonts w:eastAsia="Arial Unicode MS"/>
                <w:b/>
                <w:bCs/>
              </w:rPr>
              <w:t>T4. Service Design</w:t>
            </w:r>
          </w:p>
        </w:tc>
        <w:tc>
          <w:tcPr>
            <w:tcW w:w="2457" w:type="dxa"/>
          </w:tcPr>
          <w:p w14:paraId="75BCC967" w14:textId="249B1FD2" w:rsidR="00193B0C" w:rsidRDefault="00193B0C" w:rsidP="00260E90">
            <w:pPr>
              <w:pStyle w:val="TableText"/>
              <w:rPr>
                <w:rFonts w:eastAsia="Arial Unicode MS"/>
              </w:rPr>
            </w:pPr>
            <w:r>
              <w:t>T4.1</w:t>
            </w:r>
            <w:r>
              <w:rPr>
                <w:spacing w:val="-10"/>
              </w:rPr>
              <w:t xml:space="preserve"> </w:t>
            </w:r>
            <w:r>
              <w:t>Access</w:t>
            </w:r>
          </w:p>
        </w:tc>
        <w:tc>
          <w:tcPr>
            <w:tcW w:w="2939" w:type="dxa"/>
          </w:tcPr>
          <w:p w14:paraId="66877DD6" w14:textId="6E208DB5" w:rsidR="00193B0C" w:rsidRDefault="00193B0C" w:rsidP="00260E90">
            <w:pPr>
              <w:pStyle w:val="TableText"/>
              <w:rPr>
                <w:rFonts w:eastAsia="Arial Unicode MS"/>
              </w:rPr>
            </w:pPr>
            <w:r>
              <w:rPr>
                <w:spacing w:val="-2"/>
                <w:w w:val="95"/>
              </w:rPr>
              <w:t xml:space="preserve">Service access </w:t>
            </w:r>
            <w:r>
              <w:rPr>
                <w:spacing w:val="-1"/>
                <w:w w:val="95"/>
              </w:rPr>
              <w:t>criteria</w:t>
            </w:r>
            <w:r>
              <w:rPr>
                <w:spacing w:val="-40"/>
                <w:w w:val="95"/>
              </w:rPr>
              <w:t xml:space="preserve"> </w:t>
            </w:r>
            <w:r>
              <w:rPr>
                <w:spacing w:val="-3"/>
              </w:rPr>
              <w:t>actively disadvantage</w:t>
            </w:r>
            <w:r>
              <w:rPr>
                <w:spacing w:val="-42"/>
              </w:rPr>
              <w:t xml:space="preserve"> </w:t>
            </w:r>
            <w:r>
              <w:t>MAPIC</w:t>
            </w:r>
          </w:p>
        </w:tc>
        <w:tc>
          <w:tcPr>
            <w:tcW w:w="2939" w:type="dxa"/>
            <w:shd w:val="clear" w:color="auto" w:fill="F1A341"/>
          </w:tcPr>
          <w:p w14:paraId="76F359AC" w14:textId="71E95176" w:rsidR="00193B0C" w:rsidRPr="00CA2803" w:rsidRDefault="00193B0C" w:rsidP="00260E90">
            <w:pPr>
              <w:pStyle w:val="TableText"/>
              <w:rPr>
                <w:rFonts w:eastAsia="Arial Unicode MS"/>
                <w:color w:val="FFFFFF" w:themeColor="background1"/>
              </w:rPr>
            </w:pPr>
            <w:r w:rsidRPr="00CA2803">
              <w:rPr>
                <w:color w:val="FFFFFF" w:themeColor="background1"/>
                <w:spacing w:val="-2"/>
                <w:w w:val="95"/>
              </w:rPr>
              <w:t xml:space="preserve">Service </w:t>
            </w:r>
            <w:r w:rsidRPr="00CA2803">
              <w:rPr>
                <w:color w:val="FFFFFF" w:themeColor="background1"/>
                <w:w w:val="95"/>
              </w:rPr>
              <w:t xml:space="preserve">access criteria are </w:t>
            </w:r>
            <w:r w:rsidRPr="00CA2803">
              <w:rPr>
                <w:color w:val="FFFFFF" w:themeColor="background1"/>
                <w:spacing w:val="-2"/>
              </w:rPr>
              <w:t>not</w:t>
            </w:r>
            <w:r w:rsidRPr="00CA2803">
              <w:rPr>
                <w:color w:val="FFFFFF" w:themeColor="background1"/>
                <w:spacing w:val="-9"/>
              </w:rPr>
              <w:t xml:space="preserve"> </w:t>
            </w:r>
            <w:r w:rsidRPr="00CA2803">
              <w:rPr>
                <w:color w:val="FFFFFF" w:themeColor="background1"/>
                <w:spacing w:val="-2"/>
              </w:rPr>
              <w:t>consciously</w:t>
            </w:r>
            <w:r w:rsidRPr="00CA2803">
              <w:rPr>
                <w:color w:val="FFFFFF" w:themeColor="background1"/>
                <w:spacing w:val="-9"/>
              </w:rPr>
              <w:t xml:space="preserve"> </w:t>
            </w:r>
            <w:r w:rsidRPr="00CA2803">
              <w:rPr>
                <w:color w:val="FFFFFF" w:themeColor="background1"/>
                <w:spacing w:val="-2"/>
              </w:rPr>
              <w:t>reviewed</w:t>
            </w:r>
            <w:r w:rsidRPr="00CA2803">
              <w:rPr>
                <w:color w:val="FFFFFF" w:themeColor="background1"/>
                <w:spacing w:val="-8"/>
              </w:rPr>
              <w:t xml:space="preserve"> </w:t>
            </w:r>
            <w:r w:rsidRPr="00CA2803">
              <w:rPr>
                <w:color w:val="FFFFFF" w:themeColor="background1"/>
              </w:rPr>
              <w:t>to</w:t>
            </w:r>
            <w:r w:rsidRPr="00CA2803">
              <w:rPr>
                <w:color w:val="FFFFFF" w:themeColor="background1"/>
                <w:spacing w:val="-42"/>
              </w:rPr>
              <w:t xml:space="preserve"> </w:t>
            </w:r>
            <w:r w:rsidRPr="00CA2803">
              <w:rPr>
                <w:color w:val="FFFFFF" w:themeColor="background1"/>
                <w:spacing w:val="-3"/>
              </w:rPr>
              <w:t>eliminate</w:t>
            </w:r>
            <w:r w:rsidRPr="00CA2803">
              <w:rPr>
                <w:color w:val="FFFFFF" w:themeColor="background1"/>
                <w:spacing w:val="-10"/>
              </w:rPr>
              <w:t xml:space="preserve"> </w:t>
            </w:r>
            <w:r w:rsidRPr="00CA2803">
              <w:rPr>
                <w:color w:val="FFFFFF" w:themeColor="background1"/>
                <w:spacing w:val="-2"/>
              </w:rPr>
              <w:t>disadvantage</w:t>
            </w:r>
          </w:p>
        </w:tc>
        <w:tc>
          <w:tcPr>
            <w:tcW w:w="2939" w:type="dxa"/>
          </w:tcPr>
          <w:p w14:paraId="70C42101" w14:textId="1EE70DB0" w:rsidR="00193B0C" w:rsidRDefault="00193B0C" w:rsidP="00260E90">
            <w:pPr>
              <w:pStyle w:val="TableText"/>
              <w:rPr>
                <w:rFonts w:eastAsia="Arial Unicode MS"/>
              </w:rPr>
            </w:pPr>
            <w:r>
              <w:rPr>
                <w:spacing w:val="-2"/>
              </w:rPr>
              <w:t>Efforts</w:t>
            </w:r>
            <w:r>
              <w:rPr>
                <w:spacing w:val="-9"/>
              </w:rPr>
              <w:t xml:space="preserve"> </w:t>
            </w:r>
            <w:r>
              <w:rPr>
                <w:spacing w:val="-2"/>
              </w:rPr>
              <w:t>to</w:t>
            </w:r>
            <w:r>
              <w:rPr>
                <w:spacing w:val="-9"/>
              </w:rPr>
              <w:t xml:space="preserve"> </w:t>
            </w:r>
            <w:r>
              <w:rPr>
                <w:spacing w:val="-2"/>
              </w:rPr>
              <w:t>review</w:t>
            </w:r>
            <w:r>
              <w:rPr>
                <w:spacing w:val="-8"/>
              </w:rPr>
              <w:t xml:space="preserve"> </w:t>
            </w:r>
            <w:r>
              <w:rPr>
                <w:spacing w:val="-1"/>
              </w:rPr>
              <w:t>service</w:t>
            </w:r>
            <w:r>
              <w:rPr>
                <w:spacing w:val="-42"/>
              </w:rPr>
              <w:t xml:space="preserve"> </w:t>
            </w:r>
            <w:r>
              <w:rPr>
                <w:spacing w:val="-1"/>
                <w:w w:val="95"/>
              </w:rPr>
              <w:t>access criteria have</w:t>
            </w:r>
            <w:r>
              <w:rPr>
                <w:w w:val="95"/>
              </w:rPr>
              <w:t xml:space="preserve"> </w:t>
            </w:r>
            <w:r>
              <w:rPr>
                <w:w w:val="105"/>
              </w:rPr>
              <w:t>commenced</w:t>
            </w:r>
          </w:p>
        </w:tc>
        <w:tc>
          <w:tcPr>
            <w:tcW w:w="2939" w:type="dxa"/>
          </w:tcPr>
          <w:p w14:paraId="2F331794" w14:textId="2104C91E" w:rsidR="00193B0C" w:rsidRDefault="00193B0C" w:rsidP="00260E90">
            <w:pPr>
              <w:pStyle w:val="TableText"/>
              <w:rPr>
                <w:rFonts w:eastAsia="Arial Unicode MS"/>
              </w:rPr>
            </w:pPr>
            <w:r>
              <w:rPr>
                <w:spacing w:val="-4"/>
              </w:rPr>
              <w:t>Access criteria have been</w:t>
            </w:r>
            <w:r>
              <w:rPr>
                <w:spacing w:val="-3"/>
              </w:rPr>
              <w:t xml:space="preserve"> reviewed </w:t>
            </w:r>
            <w:r>
              <w:rPr>
                <w:spacing w:val="-2"/>
              </w:rPr>
              <w:t>and changed in</w:t>
            </w:r>
            <w:r>
              <w:rPr>
                <w:spacing w:val="-1"/>
              </w:rPr>
              <w:t xml:space="preserve"> </w:t>
            </w:r>
            <w:r>
              <w:rPr>
                <w:spacing w:val="-3"/>
              </w:rPr>
              <w:t>order</w:t>
            </w:r>
            <w:r>
              <w:rPr>
                <w:spacing w:val="-10"/>
              </w:rPr>
              <w:t xml:space="preserve"> </w:t>
            </w:r>
            <w:r>
              <w:rPr>
                <w:spacing w:val="-3"/>
              </w:rPr>
              <w:t>to</w:t>
            </w:r>
            <w:r>
              <w:rPr>
                <w:spacing w:val="-10"/>
              </w:rPr>
              <w:t xml:space="preserve"> </w:t>
            </w:r>
            <w:r>
              <w:rPr>
                <w:spacing w:val="-3"/>
              </w:rPr>
              <w:t>ensure</w:t>
            </w:r>
            <w:r>
              <w:rPr>
                <w:spacing w:val="-9"/>
              </w:rPr>
              <w:t xml:space="preserve"> </w:t>
            </w:r>
            <w:r>
              <w:rPr>
                <w:spacing w:val="-3"/>
              </w:rPr>
              <w:t>MAPIC</w:t>
            </w:r>
            <w:r>
              <w:rPr>
                <w:spacing w:val="-10"/>
              </w:rPr>
              <w:t xml:space="preserve"> </w:t>
            </w:r>
            <w:r>
              <w:rPr>
                <w:spacing w:val="-2"/>
              </w:rPr>
              <w:t>are</w:t>
            </w:r>
            <w:r>
              <w:rPr>
                <w:spacing w:val="-42"/>
              </w:rPr>
              <w:t xml:space="preserve"> </w:t>
            </w:r>
            <w:r>
              <w:rPr>
                <w:spacing w:val="-2"/>
              </w:rPr>
              <w:t>not</w:t>
            </w:r>
            <w:r>
              <w:rPr>
                <w:spacing w:val="-10"/>
              </w:rPr>
              <w:t xml:space="preserve"> </w:t>
            </w:r>
            <w:r>
              <w:rPr>
                <w:spacing w:val="-2"/>
              </w:rPr>
              <w:t>disadvantaged</w:t>
            </w:r>
          </w:p>
        </w:tc>
        <w:tc>
          <w:tcPr>
            <w:tcW w:w="2939" w:type="dxa"/>
          </w:tcPr>
          <w:p w14:paraId="561C581D" w14:textId="4FA455DF" w:rsidR="00193B0C" w:rsidRDefault="00193B0C" w:rsidP="00260E90">
            <w:pPr>
              <w:pStyle w:val="TableText"/>
              <w:rPr>
                <w:rFonts w:eastAsia="Arial Unicode MS"/>
              </w:rPr>
            </w:pPr>
            <w:r>
              <w:rPr>
                <w:spacing w:val="-3"/>
              </w:rPr>
              <w:t>MAPIC have equitable</w:t>
            </w:r>
            <w:r>
              <w:rPr>
                <w:spacing w:val="-42"/>
              </w:rPr>
              <w:t xml:space="preserve"> </w:t>
            </w:r>
            <w:r>
              <w:rPr>
                <w:spacing w:val="-2"/>
                <w:w w:val="95"/>
              </w:rPr>
              <w:t>access</w:t>
            </w:r>
            <w:r>
              <w:rPr>
                <w:spacing w:val="-8"/>
                <w:w w:val="95"/>
              </w:rPr>
              <w:t xml:space="preserve"> </w:t>
            </w:r>
            <w:r>
              <w:rPr>
                <w:spacing w:val="-1"/>
                <w:w w:val="95"/>
              </w:rPr>
              <w:t>to</w:t>
            </w:r>
            <w:r>
              <w:rPr>
                <w:spacing w:val="-8"/>
                <w:w w:val="95"/>
              </w:rPr>
              <w:t xml:space="preserve"> </w:t>
            </w:r>
            <w:r>
              <w:rPr>
                <w:spacing w:val="-1"/>
                <w:w w:val="95"/>
              </w:rPr>
              <w:t>services</w:t>
            </w:r>
          </w:p>
        </w:tc>
      </w:tr>
      <w:tr w:rsidR="00193B0C" w14:paraId="0AD6DDA0" w14:textId="77777777" w:rsidTr="00223D0E">
        <w:tc>
          <w:tcPr>
            <w:tcW w:w="1260" w:type="dxa"/>
            <w:vMerge/>
            <w:shd w:val="clear" w:color="auto" w:fill="573393"/>
          </w:tcPr>
          <w:p w14:paraId="1F96E4A6" w14:textId="77777777" w:rsidR="00193B0C" w:rsidRDefault="00193B0C" w:rsidP="00555034">
            <w:pPr>
              <w:pStyle w:val="TableText"/>
              <w:rPr>
                <w:rFonts w:eastAsia="Arial Unicode MS"/>
              </w:rPr>
            </w:pPr>
          </w:p>
        </w:tc>
        <w:tc>
          <w:tcPr>
            <w:tcW w:w="1854" w:type="dxa"/>
            <w:vMerge/>
          </w:tcPr>
          <w:p w14:paraId="7ACE87EC" w14:textId="45BC590E" w:rsidR="00193B0C" w:rsidRPr="00E046D1" w:rsidRDefault="00193B0C" w:rsidP="00555034">
            <w:pPr>
              <w:pStyle w:val="TableText"/>
              <w:rPr>
                <w:rFonts w:eastAsia="Arial Unicode MS"/>
                <w:b/>
                <w:bCs/>
              </w:rPr>
            </w:pPr>
          </w:p>
        </w:tc>
        <w:tc>
          <w:tcPr>
            <w:tcW w:w="2457" w:type="dxa"/>
          </w:tcPr>
          <w:p w14:paraId="60415DD8" w14:textId="762AFF4A" w:rsidR="00193B0C" w:rsidRPr="00260E90" w:rsidRDefault="00193B0C" w:rsidP="00555034">
            <w:pPr>
              <w:pStyle w:val="TableText"/>
            </w:pPr>
            <w:r>
              <w:t>T4.2</w:t>
            </w:r>
            <w:r>
              <w:rPr>
                <w:spacing w:val="1"/>
              </w:rPr>
              <w:t xml:space="preserve"> </w:t>
            </w:r>
            <w:r>
              <w:t>Content</w:t>
            </w:r>
          </w:p>
        </w:tc>
        <w:tc>
          <w:tcPr>
            <w:tcW w:w="2939" w:type="dxa"/>
          </w:tcPr>
          <w:p w14:paraId="46BA2413" w14:textId="37D8CEC9" w:rsidR="00193B0C" w:rsidRPr="00260E90" w:rsidRDefault="00193B0C" w:rsidP="00555034">
            <w:pPr>
              <w:pStyle w:val="TableText"/>
            </w:pPr>
            <w:r w:rsidRPr="00260E90">
              <w:t xml:space="preserve">Service content is consciously designed from a </w:t>
            </w:r>
            <w:r w:rsidR="00E00568" w:rsidRPr="00260E90">
              <w:t>Eurocentric</w:t>
            </w:r>
            <w:r w:rsidRPr="00260E90">
              <w:t xml:space="preserve"> worldview</w:t>
            </w:r>
          </w:p>
        </w:tc>
        <w:tc>
          <w:tcPr>
            <w:tcW w:w="2939" w:type="dxa"/>
            <w:shd w:val="clear" w:color="auto" w:fill="F1A341"/>
          </w:tcPr>
          <w:p w14:paraId="6E06C95D" w14:textId="49E71647" w:rsidR="00193B0C" w:rsidRDefault="00193B0C" w:rsidP="00555034">
            <w:pPr>
              <w:pStyle w:val="TableText"/>
              <w:rPr>
                <w:spacing w:val="-2"/>
                <w:w w:val="95"/>
              </w:rPr>
            </w:pPr>
            <w:r w:rsidRPr="00CA2803">
              <w:rPr>
                <w:color w:val="FFFFFF" w:themeColor="background1"/>
              </w:rPr>
              <w:t>Service content is not consciously reviewed for exclusionary elements</w:t>
            </w:r>
          </w:p>
        </w:tc>
        <w:tc>
          <w:tcPr>
            <w:tcW w:w="2939" w:type="dxa"/>
            <w:shd w:val="clear" w:color="auto" w:fill="FFFFFF" w:themeFill="background1"/>
          </w:tcPr>
          <w:p w14:paraId="1567D42C" w14:textId="1594BD18" w:rsidR="00193B0C" w:rsidRDefault="00193B0C" w:rsidP="00555034">
            <w:pPr>
              <w:pStyle w:val="TableText"/>
              <w:rPr>
                <w:spacing w:val="-2"/>
              </w:rPr>
            </w:pPr>
            <w:r>
              <w:rPr>
                <w:spacing w:val="-2"/>
              </w:rPr>
              <w:t xml:space="preserve">Efforts to review </w:t>
            </w:r>
            <w:r>
              <w:rPr>
                <w:spacing w:val="-1"/>
              </w:rPr>
              <w:t>service</w:t>
            </w:r>
            <w:r>
              <w:t xml:space="preserve"> </w:t>
            </w:r>
            <w:r>
              <w:rPr>
                <w:spacing w:val="-2"/>
              </w:rPr>
              <w:t xml:space="preserve">content </w:t>
            </w:r>
            <w:r>
              <w:rPr>
                <w:spacing w:val="-1"/>
              </w:rPr>
              <w:t>elements for</w:t>
            </w:r>
            <w:r>
              <w:t xml:space="preserve"> </w:t>
            </w:r>
            <w:r>
              <w:rPr>
                <w:spacing w:val="-3"/>
              </w:rPr>
              <w:t xml:space="preserve">appropriateness for </w:t>
            </w:r>
            <w:r>
              <w:rPr>
                <w:spacing w:val="-2"/>
              </w:rPr>
              <w:t>MAPIC</w:t>
            </w:r>
            <w:r>
              <w:rPr>
                <w:spacing w:val="-42"/>
              </w:rPr>
              <w:t xml:space="preserve"> </w:t>
            </w:r>
            <w:r>
              <w:rPr>
                <w:spacing w:val="-5"/>
              </w:rPr>
              <w:t>have</w:t>
            </w:r>
            <w:r>
              <w:rPr>
                <w:spacing w:val="-10"/>
              </w:rPr>
              <w:t xml:space="preserve"> </w:t>
            </w:r>
            <w:r>
              <w:rPr>
                <w:spacing w:val="-5"/>
              </w:rPr>
              <w:t>commenced</w:t>
            </w:r>
          </w:p>
        </w:tc>
        <w:tc>
          <w:tcPr>
            <w:tcW w:w="2939" w:type="dxa"/>
          </w:tcPr>
          <w:p w14:paraId="4B43584D" w14:textId="7BF51B7E" w:rsidR="00193B0C" w:rsidRDefault="00193B0C" w:rsidP="00555034">
            <w:pPr>
              <w:pStyle w:val="TableText"/>
              <w:rPr>
                <w:spacing w:val="-4"/>
              </w:rPr>
            </w:pPr>
            <w:r>
              <w:rPr>
                <w:spacing w:val="-4"/>
              </w:rPr>
              <w:t xml:space="preserve">Service content </w:t>
            </w:r>
            <w:r>
              <w:rPr>
                <w:spacing w:val="-3"/>
              </w:rPr>
              <w:t>has been</w:t>
            </w:r>
            <w:r>
              <w:rPr>
                <w:spacing w:val="-2"/>
              </w:rPr>
              <w:t xml:space="preserve"> reviewed</w:t>
            </w:r>
            <w:r>
              <w:rPr>
                <w:spacing w:val="-10"/>
              </w:rPr>
              <w:t xml:space="preserve"> </w:t>
            </w:r>
            <w:r>
              <w:rPr>
                <w:spacing w:val="-2"/>
              </w:rPr>
              <w:t>in</w:t>
            </w:r>
            <w:r>
              <w:rPr>
                <w:spacing w:val="-10"/>
              </w:rPr>
              <w:t xml:space="preserve"> </w:t>
            </w:r>
            <w:r>
              <w:rPr>
                <w:spacing w:val="-2"/>
              </w:rPr>
              <w:t>order</w:t>
            </w:r>
            <w:r>
              <w:rPr>
                <w:spacing w:val="-10"/>
              </w:rPr>
              <w:t xml:space="preserve"> </w:t>
            </w:r>
            <w:r>
              <w:rPr>
                <w:spacing w:val="-2"/>
              </w:rPr>
              <w:t>to</w:t>
            </w:r>
            <w:r>
              <w:rPr>
                <w:spacing w:val="-10"/>
              </w:rPr>
              <w:t xml:space="preserve"> </w:t>
            </w:r>
            <w:r>
              <w:rPr>
                <w:spacing w:val="-1"/>
              </w:rPr>
              <w:t>ensure</w:t>
            </w:r>
            <w:r>
              <w:rPr>
                <w:spacing w:val="-41"/>
              </w:rPr>
              <w:t xml:space="preserve"> </w:t>
            </w:r>
            <w:r>
              <w:rPr>
                <w:spacing w:val="-3"/>
              </w:rPr>
              <w:t xml:space="preserve">MAPIC are </w:t>
            </w:r>
            <w:r>
              <w:rPr>
                <w:spacing w:val="-2"/>
              </w:rPr>
              <w:t>not excluded or</w:t>
            </w:r>
            <w:r>
              <w:rPr>
                <w:spacing w:val="-42"/>
              </w:rPr>
              <w:t xml:space="preserve"> </w:t>
            </w:r>
            <w:r>
              <w:t>disadvantaged</w:t>
            </w:r>
          </w:p>
        </w:tc>
        <w:tc>
          <w:tcPr>
            <w:tcW w:w="2939" w:type="dxa"/>
          </w:tcPr>
          <w:p w14:paraId="719F6447" w14:textId="052CB0E8" w:rsidR="00193B0C" w:rsidRDefault="00193B0C" w:rsidP="00555034">
            <w:pPr>
              <w:pStyle w:val="TableText"/>
              <w:rPr>
                <w:spacing w:val="-3"/>
              </w:rPr>
            </w:pPr>
            <w:r>
              <w:rPr>
                <w:spacing w:val="-4"/>
              </w:rPr>
              <w:t xml:space="preserve">Service </w:t>
            </w:r>
            <w:r>
              <w:rPr>
                <w:spacing w:val="-3"/>
              </w:rPr>
              <w:t>content is</w:t>
            </w:r>
            <w:r>
              <w:rPr>
                <w:spacing w:val="-2"/>
              </w:rPr>
              <w:t xml:space="preserve"> </w:t>
            </w:r>
            <w:r>
              <w:rPr>
                <w:spacing w:val="-3"/>
              </w:rPr>
              <w:t>appropriate</w:t>
            </w:r>
            <w:r>
              <w:rPr>
                <w:spacing w:val="-7"/>
              </w:rPr>
              <w:t xml:space="preserve"> </w:t>
            </w:r>
            <w:r>
              <w:rPr>
                <w:spacing w:val="-2"/>
              </w:rPr>
              <w:t>for</w:t>
            </w:r>
            <w:r>
              <w:rPr>
                <w:spacing w:val="-6"/>
              </w:rPr>
              <w:t xml:space="preserve"> </w:t>
            </w:r>
            <w:r>
              <w:rPr>
                <w:spacing w:val="-2"/>
              </w:rPr>
              <w:t>MAPIC</w:t>
            </w:r>
          </w:p>
        </w:tc>
      </w:tr>
      <w:tr w:rsidR="00193B0C" w14:paraId="48BA57D1" w14:textId="77777777" w:rsidTr="00223D0E">
        <w:tc>
          <w:tcPr>
            <w:tcW w:w="1260" w:type="dxa"/>
            <w:vMerge/>
            <w:shd w:val="clear" w:color="auto" w:fill="573393"/>
          </w:tcPr>
          <w:p w14:paraId="1F69F012" w14:textId="77777777" w:rsidR="00193B0C" w:rsidRDefault="00193B0C" w:rsidP="00555034">
            <w:pPr>
              <w:pStyle w:val="TableText"/>
              <w:rPr>
                <w:rFonts w:eastAsia="Arial Unicode MS"/>
              </w:rPr>
            </w:pPr>
          </w:p>
        </w:tc>
        <w:tc>
          <w:tcPr>
            <w:tcW w:w="1854" w:type="dxa"/>
            <w:vMerge/>
          </w:tcPr>
          <w:p w14:paraId="3E2BA97F" w14:textId="58F028B2" w:rsidR="00193B0C" w:rsidRPr="00E046D1" w:rsidRDefault="00193B0C" w:rsidP="00555034">
            <w:pPr>
              <w:pStyle w:val="TableText"/>
              <w:rPr>
                <w:rFonts w:eastAsia="Arial Unicode MS"/>
                <w:b/>
                <w:bCs/>
              </w:rPr>
            </w:pPr>
          </w:p>
        </w:tc>
        <w:tc>
          <w:tcPr>
            <w:tcW w:w="2457" w:type="dxa"/>
          </w:tcPr>
          <w:p w14:paraId="2C124780" w14:textId="1E8B58C6" w:rsidR="00193B0C" w:rsidRDefault="00193B0C" w:rsidP="00555034">
            <w:pPr>
              <w:pStyle w:val="TableText"/>
            </w:pPr>
            <w:r>
              <w:t>T4.3</w:t>
            </w:r>
            <w:r>
              <w:rPr>
                <w:spacing w:val="8"/>
              </w:rPr>
              <w:t xml:space="preserve"> </w:t>
            </w:r>
            <w:r>
              <w:t>Delivery</w:t>
            </w:r>
            <w:r>
              <w:rPr>
                <w:spacing w:val="9"/>
              </w:rPr>
              <w:t xml:space="preserve"> </w:t>
            </w:r>
            <w:r>
              <w:t>method</w:t>
            </w:r>
          </w:p>
        </w:tc>
        <w:tc>
          <w:tcPr>
            <w:tcW w:w="2939" w:type="dxa"/>
          </w:tcPr>
          <w:p w14:paraId="544DD596" w14:textId="62D96903" w:rsidR="00193B0C" w:rsidRDefault="00193B0C" w:rsidP="00555034">
            <w:pPr>
              <w:pStyle w:val="TableText"/>
              <w:rPr>
                <w:spacing w:val="-2"/>
                <w:w w:val="95"/>
              </w:rPr>
            </w:pPr>
            <w:r>
              <w:rPr>
                <w:spacing w:val="-3"/>
              </w:rPr>
              <w:t xml:space="preserve">Service delivery </w:t>
            </w:r>
            <w:r>
              <w:rPr>
                <w:spacing w:val="-2"/>
              </w:rPr>
              <w:t>methods</w:t>
            </w:r>
            <w:r>
              <w:rPr>
                <w:spacing w:val="-42"/>
              </w:rPr>
              <w:t xml:space="preserve"> </w:t>
            </w:r>
            <w:r>
              <w:rPr>
                <w:spacing w:val="-3"/>
              </w:rPr>
              <w:t>actively disadvantage</w:t>
            </w:r>
            <w:r>
              <w:rPr>
                <w:spacing w:val="-2"/>
              </w:rPr>
              <w:t xml:space="preserve"> </w:t>
            </w:r>
            <w:r>
              <w:t>MAPIC</w:t>
            </w:r>
          </w:p>
        </w:tc>
        <w:tc>
          <w:tcPr>
            <w:tcW w:w="2939" w:type="dxa"/>
          </w:tcPr>
          <w:p w14:paraId="4907BE66" w14:textId="499E8410" w:rsidR="00193B0C" w:rsidRDefault="00193B0C" w:rsidP="00555034">
            <w:pPr>
              <w:pStyle w:val="TableText"/>
              <w:rPr>
                <w:spacing w:val="-2"/>
                <w:w w:val="95"/>
              </w:rPr>
            </w:pPr>
            <w:r>
              <w:rPr>
                <w:spacing w:val="-3"/>
              </w:rPr>
              <w:t xml:space="preserve">Service delivery </w:t>
            </w:r>
            <w:r>
              <w:rPr>
                <w:spacing w:val="-2"/>
              </w:rPr>
              <w:t>methods</w:t>
            </w:r>
            <w:r>
              <w:rPr>
                <w:spacing w:val="-1"/>
              </w:rPr>
              <w:t xml:space="preserve"> </w:t>
            </w:r>
            <w:r>
              <w:rPr>
                <w:spacing w:val="-3"/>
              </w:rPr>
              <w:t>are not consciously</w:t>
            </w:r>
            <w:r>
              <w:rPr>
                <w:spacing w:val="-2"/>
              </w:rPr>
              <w:t xml:space="preserve"> </w:t>
            </w:r>
            <w:r>
              <w:rPr>
                <w:spacing w:val="-3"/>
              </w:rPr>
              <w:t>reviewed for characteristics</w:t>
            </w:r>
            <w:r>
              <w:rPr>
                <w:spacing w:val="-42"/>
              </w:rPr>
              <w:t xml:space="preserve"> </w:t>
            </w:r>
            <w:r>
              <w:rPr>
                <w:spacing w:val="-2"/>
              </w:rPr>
              <w:t>that</w:t>
            </w:r>
            <w:r>
              <w:rPr>
                <w:spacing w:val="-10"/>
              </w:rPr>
              <w:t xml:space="preserve"> </w:t>
            </w:r>
            <w:r>
              <w:rPr>
                <w:spacing w:val="-2"/>
              </w:rPr>
              <w:t>may</w:t>
            </w:r>
            <w:r>
              <w:rPr>
                <w:spacing w:val="-10"/>
              </w:rPr>
              <w:t xml:space="preserve"> </w:t>
            </w:r>
            <w:r>
              <w:rPr>
                <w:spacing w:val="-2"/>
              </w:rPr>
              <w:t>exclude</w:t>
            </w:r>
            <w:r>
              <w:rPr>
                <w:spacing w:val="-10"/>
              </w:rPr>
              <w:t xml:space="preserve"> </w:t>
            </w:r>
            <w:r>
              <w:rPr>
                <w:spacing w:val="-2"/>
              </w:rPr>
              <w:t>MAPIC</w:t>
            </w:r>
          </w:p>
        </w:tc>
        <w:tc>
          <w:tcPr>
            <w:tcW w:w="2939" w:type="dxa"/>
            <w:shd w:val="clear" w:color="auto" w:fill="FFFF00"/>
          </w:tcPr>
          <w:p w14:paraId="49201FE7" w14:textId="170DA039" w:rsidR="00193B0C" w:rsidRDefault="00193B0C" w:rsidP="00555034">
            <w:pPr>
              <w:pStyle w:val="TableText"/>
              <w:rPr>
                <w:spacing w:val="-2"/>
              </w:rPr>
            </w:pPr>
            <w:r>
              <w:rPr>
                <w:spacing w:val="-2"/>
              </w:rPr>
              <w:t xml:space="preserve">Efforts to review </w:t>
            </w:r>
            <w:r>
              <w:rPr>
                <w:spacing w:val="-1"/>
              </w:rPr>
              <w:t>service</w:t>
            </w:r>
            <w:r>
              <w:t xml:space="preserve"> </w:t>
            </w:r>
            <w:r>
              <w:rPr>
                <w:spacing w:val="-1"/>
              </w:rPr>
              <w:t xml:space="preserve">delivery methods </w:t>
            </w:r>
            <w:r>
              <w:t>for</w:t>
            </w:r>
            <w:r>
              <w:rPr>
                <w:spacing w:val="1"/>
              </w:rPr>
              <w:t xml:space="preserve"> </w:t>
            </w:r>
            <w:r>
              <w:rPr>
                <w:spacing w:val="-4"/>
              </w:rPr>
              <w:t>MPAIC accessibility have</w:t>
            </w:r>
            <w:r>
              <w:rPr>
                <w:spacing w:val="-42"/>
              </w:rPr>
              <w:t xml:space="preserve"> </w:t>
            </w:r>
            <w:r w:rsidR="00223D0E">
              <w:rPr>
                <w:spacing w:val="-42"/>
              </w:rPr>
              <w:t xml:space="preserve"> </w:t>
            </w:r>
            <w:r>
              <w:t>commenced</w:t>
            </w:r>
          </w:p>
        </w:tc>
        <w:tc>
          <w:tcPr>
            <w:tcW w:w="2939" w:type="dxa"/>
          </w:tcPr>
          <w:p w14:paraId="7074BA61" w14:textId="027AD049" w:rsidR="00193B0C" w:rsidRDefault="00193B0C" w:rsidP="00555034">
            <w:pPr>
              <w:pStyle w:val="TableText"/>
              <w:rPr>
                <w:spacing w:val="-4"/>
              </w:rPr>
            </w:pPr>
            <w:r>
              <w:rPr>
                <w:spacing w:val="-3"/>
              </w:rPr>
              <w:t xml:space="preserve">Service delivery </w:t>
            </w:r>
            <w:r>
              <w:rPr>
                <w:spacing w:val="-2"/>
              </w:rPr>
              <w:t>methods</w:t>
            </w:r>
            <w:r>
              <w:rPr>
                <w:spacing w:val="-42"/>
              </w:rPr>
              <w:t xml:space="preserve"> </w:t>
            </w:r>
            <w:r>
              <w:rPr>
                <w:spacing w:val="-3"/>
              </w:rPr>
              <w:t xml:space="preserve">have been reviewed </w:t>
            </w:r>
            <w:r>
              <w:rPr>
                <w:spacing w:val="-2"/>
              </w:rPr>
              <w:t>in</w:t>
            </w:r>
            <w:r>
              <w:rPr>
                <w:spacing w:val="-1"/>
              </w:rPr>
              <w:t xml:space="preserve"> </w:t>
            </w:r>
            <w:r>
              <w:rPr>
                <w:spacing w:val="-3"/>
              </w:rPr>
              <w:t>order to ensure MAPIC</w:t>
            </w:r>
            <w:r>
              <w:rPr>
                <w:spacing w:val="-2"/>
              </w:rPr>
              <w:t xml:space="preserve"> are not excluded </w:t>
            </w:r>
            <w:r>
              <w:rPr>
                <w:spacing w:val="-1"/>
              </w:rPr>
              <w:t>or</w:t>
            </w:r>
            <w:r>
              <w:t xml:space="preserve"> disadvantaged</w:t>
            </w:r>
          </w:p>
        </w:tc>
        <w:tc>
          <w:tcPr>
            <w:tcW w:w="2939" w:type="dxa"/>
          </w:tcPr>
          <w:p w14:paraId="491F16CB" w14:textId="3C953652" w:rsidR="00193B0C" w:rsidRDefault="00193B0C" w:rsidP="00555034">
            <w:pPr>
              <w:pStyle w:val="TableText"/>
              <w:rPr>
                <w:spacing w:val="-3"/>
              </w:rPr>
            </w:pPr>
            <w:r>
              <w:rPr>
                <w:spacing w:val="-3"/>
              </w:rPr>
              <w:t xml:space="preserve">Service delivery </w:t>
            </w:r>
            <w:r>
              <w:rPr>
                <w:spacing w:val="-2"/>
              </w:rPr>
              <w:t>methods</w:t>
            </w:r>
            <w:r>
              <w:rPr>
                <w:spacing w:val="-1"/>
              </w:rPr>
              <w:t xml:space="preserve"> </w:t>
            </w:r>
            <w:r>
              <w:rPr>
                <w:w w:val="95"/>
              </w:rPr>
              <w:t>are</w:t>
            </w:r>
            <w:r>
              <w:rPr>
                <w:spacing w:val="-9"/>
                <w:w w:val="95"/>
              </w:rPr>
              <w:t xml:space="preserve"> </w:t>
            </w:r>
            <w:r>
              <w:rPr>
                <w:w w:val="95"/>
              </w:rPr>
              <w:t>inclusive</w:t>
            </w:r>
            <w:r>
              <w:rPr>
                <w:spacing w:val="-8"/>
                <w:w w:val="95"/>
              </w:rPr>
              <w:t xml:space="preserve"> </w:t>
            </w:r>
            <w:r>
              <w:rPr>
                <w:w w:val="95"/>
              </w:rPr>
              <w:t>and</w:t>
            </w:r>
            <w:r>
              <w:rPr>
                <w:spacing w:val="-9"/>
                <w:w w:val="95"/>
              </w:rPr>
              <w:t xml:space="preserve"> </w:t>
            </w:r>
            <w:r>
              <w:rPr>
                <w:w w:val="95"/>
              </w:rPr>
              <w:t>accessible</w:t>
            </w:r>
            <w:r>
              <w:rPr>
                <w:spacing w:val="-39"/>
                <w:w w:val="95"/>
              </w:rPr>
              <w:t xml:space="preserve"> </w:t>
            </w:r>
            <w:r>
              <w:t>for</w:t>
            </w:r>
            <w:r>
              <w:rPr>
                <w:spacing w:val="-11"/>
              </w:rPr>
              <w:t xml:space="preserve"> </w:t>
            </w:r>
            <w:r>
              <w:t>MAPIC</w:t>
            </w:r>
          </w:p>
        </w:tc>
      </w:tr>
      <w:tr w:rsidR="00193B0C" w14:paraId="453C2CBF" w14:textId="77777777" w:rsidTr="00CA2803">
        <w:tc>
          <w:tcPr>
            <w:tcW w:w="1260" w:type="dxa"/>
            <w:vMerge w:val="restart"/>
            <w:shd w:val="clear" w:color="auto" w:fill="EB1F99"/>
          </w:tcPr>
          <w:p w14:paraId="7DC507C0" w14:textId="77777777" w:rsidR="00193B0C" w:rsidRPr="00193B0C" w:rsidRDefault="00193B0C" w:rsidP="00555034">
            <w:pPr>
              <w:pStyle w:val="TableText"/>
              <w:rPr>
                <w:rFonts w:eastAsia="Arial Unicode MS"/>
                <w:b/>
                <w:bCs/>
                <w:color w:val="FFFFFF" w:themeColor="background1"/>
              </w:rPr>
            </w:pPr>
            <w:r w:rsidRPr="00193B0C">
              <w:rPr>
                <w:rFonts w:eastAsia="Arial Unicode MS"/>
                <w:b/>
                <w:bCs/>
                <w:color w:val="FFFFFF" w:themeColor="background1"/>
              </w:rPr>
              <w:t>RITENGA</w:t>
            </w:r>
          </w:p>
          <w:p w14:paraId="1DFA14B7" w14:textId="4A1561FF" w:rsidR="00193B0C" w:rsidRPr="00193B0C" w:rsidRDefault="00193B0C" w:rsidP="00555034">
            <w:pPr>
              <w:pStyle w:val="TableText"/>
              <w:rPr>
                <w:rFonts w:eastAsia="Arial Unicode MS"/>
                <w:b/>
                <w:bCs/>
                <w:color w:val="FFFFFF" w:themeColor="background1"/>
              </w:rPr>
            </w:pPr>
          </w:p>
        </w:tc>
        <w:tc>
          <w:tcPr>
            <w:tcW w:w="1854" w:type="dxa"/>
          </w:tcPr>
          <w:p w14:paraId="1DF981EE" w14:textId="5E0AA8D4" w:rsidR="00193B0C" w:rsidRPr="00E046D1" w:rsidRDefault="00193B0C" w:rsidP="00555034">
            <w:pPr>
              <w:pStyle w:val="TableText"/>
              <w:rPr>
                <w:rFonts w:eastAsia="Arial Unicode MS"/>
                <w:b/>
                <w:bCs/>
              </w:rPr>
            </w:pPr>
            <w:r w:rsidRPr="00E046D1">
              <w:rPr>
                <w:b/>
                <w:bCs/>
              </w:rPr>
              <w:t>R1. Training</w:t>
            </w:r>
          </w:p>
        </w:tc>
        <w:tc>
          <w:tcPr>
            <w:tcW w:w="2457" w:type="dxa"/>
          </w:tcPr>
          <w:p w14:paraId="07FA4BF3" w14:textId="59FBACEC" w:rsidR="00193B0C" w:rsidRPr="00555034" w:rsidRDefault="00193B0C" w:rsidP="00555034">
            <w:pPr>
              <w:pStyle w:val="TableText"/>
            </w:pPr>
            <w:r w:rsidRPr="00555034">
              <w:t>R1.1 Mana Tangata in training</w:t>
            </w:r>
          </w:p>
        </w:tc>
        <w:tc>
          <w:tcPr>
            <w:tcW w:w="2939" w:type="dxa"/>
          </w:tcPr>
          <w:p w14:paraId="28405D81" w14:textId="2725C6C2" w:rsidR="00193B0C" w:rsidRPr="00555034" w:rsidRDefault="00193B0C" w:rsidP="00555034">
            <w:pPr>
              <w:pStyle w:val="TableText"/>
            </w:pPr>
            <w:r w:rsidRPr="00555034">
              <w:t>Training offerings deliberately exclude equity/ anti-racism/Mana Tangata elements</w:t>
            </w:r>
          </w:p>
        </w:tc>
        <w:tc>
          <w:tcPr>
            <w:tcW w:w="2939" w:type="dxa"/>
            <w:shd w:val="clear" w:color="auto" w:fill="F1A341"/>
          </w:tcPr>
          <w:p w14:paraId="484FE87E" w14:textId="6F46BEF7" w:rsidR="00193B0C" w:rsidRPr="00555034" w:rsidRDefault="00193B0C" w:rsidP="00555034">
            <w:pPr>
              <w:pStyle w:val="TableText"/>
            </w:pPr>
            <w:r w:rsidRPr="00CA2803">
              <w:rPr>
                <w:color w:val="FFFFFF" w:themeColor="background1"/>
              </w:rPr>
              <w:t>Training offerings not reviewed for equity/anti- racism/Mana Tangata elements</w:t>
            </w:r>
          </w:p>
        </w:tc>
        <w:tc>
          <w:tcPr>
            <w:tcW w:w="2939" w:type="dxa"/>
          </w:tcPr>
          <w:p w14:paraId="3C970051" w14:textId="6C982B02" w:rsidR="00193B0C" w:rsidRPr="00555034" w:rsidRDefault="00193B0C" w:rsidP="00555034">
            <w:pPr>
              <w:pStyle w:val="TableText"/>
            </w:pPr>
            <w:r w:rsidRPr="00555034">
              <w:t>Efforts to review training offerings with a view to strengthening equity/anti-racism/Mana Tangata elements</w:t>
            </w:r>
          </w:p>
        </w:tc>
        <w:tc>
          <w:tcPr>
            <w:tcW w:w="2939" w:type="dxa"/>
          </w:tcPr>
          <w:p w14:paraId="07F3F567" w14:textId="66164D0B" w:rsidR="00193B0C" w:rsidRPr="00555034" w:rsidRDefault="00193B0C" w:rsidP="00555034">
            <w:pPr>
              <w:pStyle w:val="TableText"/>
            </w:pPr>
            <w:r w:rsidRPr="00555034">
              <w:t>Training offerings have been reviewed and equity/ anti-racism/Mana Tangata elements have been added/ strengthened</w:t>
            </w:r>
          </w:p>
        </w:tc>
        <w:tc>
          <w:tcPr>
            <w:tcW w:w="2939" w:type="dxa"/>
          </w:tcPr>
          <w:p w14:paraId="351A18F5" w14:textId="00967A0A" w:rsidR="00193B0C" w:rsidRPr="00555034" w:rsidRDefault="00193B0C" w:rsidP="00555034">
            <w:pPr>
              <w:pStyle w:val="TableText"/>
            </w:pPr>
            <w:r w:rsidRPr="00555034">
              <w:t>All training offerings embed Mana Tangata throughout as an essential concept</w:t>
            </w:r>
          </w:p>
        </w:tc>
      </w:tr>
      <w:tr w:rsidR="00193B0C" w14:paraId="3EBE8882" w14:textId="77777777" w:rsidTr="00CA2803">
        <w:tc>
          <w:tcPr>
            <w:tcW w:w="1260" w:type="dxa"/>
            <w:vMerge/>
            <w:shd w:val="clear" w:color="auto" w:fill="EB1F99"/>
          </w:tcPr>
          <w:p w14:paraId="4D31D572" w14:textId="6518A6D4" w:rsidR="00193B0C" w:rsidRDefault="00193B0C" w:rsidP="00555034">
            <w:pPr>
              <w:pStyle w:val="TableText"/>
              <w:rPr>
                <w:rFonts w:eastAsia="Arial Unicode MS"/>
              </w:rPr>
            </w:pPr>
          </w:p>
        </w:tc>
        <w:tc>
          <w:tcPr>
            <w:tcW w:w="1854" w:type="dxa"/>
          </w:tcPr>
          <w:p w14:paraId="0BD65653" w14:textId="27D47959" w:rsidR="00193B0C" w:rsidRPr="00E046D1" w:rsidRDefault="00193B0C" w:rsidP="00555034">
            <w:pPr>
              <w:pStyle w:val="TableText"/>
              <w:rPr>
                <w:rFonts w:eastAsia="Arial Unicode MS"/>
                <w:b/>
                <w:bCs/>
              </w:rPr>
            </w:pPr>
            <w:r w:rsidRPr="00E046D1">
              <w:rPr>
                <w:b/>
                <w:bCs/>
              </w:rPr>
              <w:t>R2. Practice</w:t>
            </w:r>
          </w:p>
        </w:tc>
        <w:tc>
          <w:tcPr>
            <w:tcW w:w="2457" w:type="dxa"/>
          </w:tcPr>
          <w:p w14:paraId="38BA74CF" w14:textId="1D400927" w:rsidR="00193B0C" w:rsidRPr="00555034" w:rsidRDefault="00193B0C" w:rsidP="00555034">
            <w:pPr>
              <w:pStyle w:val="TableText"/>
            </w:pPr>
            <w:r w:rsidRPr="00555034">
              <w:t>R2.1 Mana Tangata practice</w:t>
            </w:r>
          </w:p>
        </w:tc>
        <w:tc>
          <w:tcPr>
            <w:tcW w:w="2939" w:type="dxa"/>
          </w:tcPr>
          <w:p w14:paraId="64200E0D" w14:textId="3CABD687" w:rsidR="00193B0C" w:rsidRPr="00555034" w:rsidRDefault="00193B0C" w:rsidP="00555034">
            <w:pPr>
              <w:pStyle w:val="TableText"/>
            </w:pPr>
            <w:r w:rsidRPr="00555034">
              <w:t>Opposition to practices that support Mana Tangata</w:t>
            </w:r>
          </w:p>
        </w:tc>
        <w:tc>
          <w:tcPr>
            <w:tcW w:w="2939" w:type="dxa"/>
          </w:tcPr>
          <w:p w14:paraId="3CC7F54B" w14:textId="2751C177" w:rsidR="00193B0C" w:rsidRPr="00555034" w:rsidRDefault="00193B0C" w:rsidP="00555034">
            <w:pPr>
              <w:pStyle w:val="TableText"/>
            </w:pPr>
            <w:r w:rsidRPr="00555034">
              <w:t>No coherent set of practices that support Mana Tangata</w:t>
            </w:r>
          </w:p>
        </w:tc>
        <w:tc>
          <w:tcPr>
            <w:tcW w:w="2939" w:type="dxa"/>
          </w:tcPr>
          <w:p w14:paraId="5E1A1FA7" w14:textId="0677A7E2" w:rsidR="00193B0C" w:rsidRPr="00555034" w:rsidRDefault="00193B0C" w:rsidP="00555034">
            <w:pPr>
              <w:pStyle w:val="TableText"/>
            </w:pPr>
            <w:r w:rsidRPr="00555034">
              <w:t>Efforts to define a set of practices that support Mana Tangata has commenced</w:t>
            </w:r>
          </w:p>
        </w:tc>
        <w:tc>
          <w:tcPr>
            <w:tcW w:w="2939" w:type="dxa"/>
          </w:tcPr>
          <w:p w14:paraId="2B3D289B" w14:textId="37703EAD" w:rsidR="00193B0C" w:rsidRPr="00555034" w:rsidRDefault="00193B0C" w:rsidP="00555034">
            <w:pPr>
              <w:pStyle w:val="TableText"/>
            </w:pPr>
            <w:r w:rsidRPr="00555034">
              <w:t>A coherent set of practices to support Mana Tangata has been defined and has begun to be used</w:t>
            </w:r>
          </w:p>
        </w:tc>
        <w:tc>
          <w:tcPr>
            <w:tcW w:w="2939" w:type="dxa"/>
            <w:shd w:val="clear" w:color="auto" w:fill="00B050"/>
          </w:tcPr>
          <w:p w14:paraId="644B7B1A" w14:textId="682147D0" w:rsidR="00193B0C" w:rsidRPr="00555034" w:rsidRDefault="00193B0C" w:rsidP="00555034">
            <w:pPr>
              <w:pStyle w:val="TableText"/>
            </w:pPr>
            <w:r w:rsidRPr="00CA2803">
              <w:rPr>
                <w:color w:val="FFFFFF" w:themeColor="background1"/>
              </w:rPr>
              <w:t>A defined, coherent set of Mana Tangata practices is embedded in organisational operations</w:t>
            </w:r>
          </w:p>
        </w:tc>
      </w:tr>
      <w:tr w:rsidR="00193B0C" w14:paraId="3FF4444A" w14:textId="77777777" w:rsidTr="00CA2803">
        <w:tc>
          <w:tcPr>
            <w:tcW w:w="1260" w:type="dxa"/>
            <w:vMerge/>
            <w:shd w:val="clear" w:color="auto" w:fill="EB1F99"/>
          </w:tcPr>
          <w:p w14:paraId="6DF00221" w14:textId="03EDD596" w:rsidR="00193B0C" w:rsidRDefault="00193B0C" w:rsidP="00555034">
            <w:pPr>
              <w:pStyle w:val="TableText"/>
              <w:rPr>
                <w:rFonts w:eastAsia="Arial Unicode MS"/>
              </w:rPr>
            </w:pPr>
          </w:p>
        </w:tc>
        <w:tc>
          <w:tcPr>
            <w:tcW w:w="1854" w:type="dxa"/>
          </w:tcPr>
          <w:p w14:paraId="2B8EA9DF" w14:textId="5FCCF604" w:rsidR="00193B0C" w:rsidRPr="00E046D1" w:rsidRDefault="00193B0C" w:rsidP="00193B0C">
            <w:pPr>
              <w:pStyle w:val="TableText"/>
              <w:keepNext/>
              <w:rPr>
                <w:rFonts w:eastAsia="Arial Unicode MS"/>
                <w:b/>
                <w:bCs/>
              </w:rPr>
            </w:pPr>
            <w:r w:rsidRPr="00E046D1">
              <w:rPr>
                <w:b/>
                <w:bCs/>
              </w:rPr>
              <w:t>P1. Data Collection</w:t>
            </w:r>
          </w:p>
        </w:tc>
        <w:tc>
          <w:tcPr>
            <w:tcW w:w="2457" w:type="dxa"/>
          </w:tcPr>
          <w:p w14:paraId="1B17897C" w14:textId="5506D02B" w:rsidR="00193B0C" w:rsidRPr="00555034" w:rsidRDefault="00193B0C" w:rsidP="00193B0C">
            <w:pPr>
              <w:pStyle w:val="TableText"/>
              <w:keepNext/>
            </w:pPr>
            <w:r w:rsidRPr="00555034">
              <w:t>P1.1 Mana Tangata data collection</w:t>
            </w:r>
          </w:p>
        </w:tc>
        <w:tc>
          <w:tcPr>
            <w:tcW w:w="2939" w:type="dxa"/>
          </w:tcPr>
          <w:p w14:paraId="710219BC" w14:textId="016CDDDD" w:rsidR="00193B0C" w:rsidRPr="00555034" w:rsidRDefault="00193B0C" w:rsidP="00193B0C">
            <w:pPr>
              <w:pStyle w:val="TableText"/>
              <w:keepNext/>
            </w:pPr>
            <w:r w:rsidRPr="00555034">
              <w:t>Organisation is resistant to capturing equity related data</w:t>
            </w:r>
          </w:p>
        </w:tc>
        <w:tc>
          <w:tcPr>
            <w:tcW w:w="2939" w:type="dxa"/>
          </w:tcPr>
          <w:p w14:paraId="78A22A45" w14:textId="48880B67" w:rsidR="00193B0C" w:rsidRPr="00555034" w:rsidRDefault="00193B0C" w:rsidP="00193B0C">
            <w:pPr>
              <w:pStyle w:val="TableText"/>
              <w:keepNext/>
            </w:pPr>
            <w:r w:rsidRPr="00555034">
              <w:t>Organisation ignores equity related data in organisational processes</w:t>
            </w:r>
          </w:p>
        </w:tc>
        <w:tc>
          <w:tcPr>
            <w:tcW w:w="2939" w:type="dxa"/>
          </w:tcPr>
          <w:p w14:paraId="003C8558" w14:textId="262A3707" w:rsidR="00193B0C" w:rsidRPr="00555034" w:rsidRDefault="00193B0C" w:rsidP="00193B0C">
            <w:pPr>
              <w:pStyle w:val="TableText"/>
              <w:keepNext/>
            </w:pPr>
            <w:r w:rsidRPr="00555034">
              <w:t>Equity related data is collected but it lacks consistency and/or reliability</w:t>
            </w:r>
          </w:p>
        </w:tc>
        <w:tc>
          <w:tcPr>
            <w:tcW w:w="2939" w:type="dxa"/>
            <w:shd w:val="clear" w:color="auto" w:fill="D6E3BC" w:themeFill="accent3" w:themeFillTint="66"/>
          </w:tcPr>
          <w:p w14:paraId="2CD42037" w14:textId="3C8DC6DC" w:rsidR="00193B0C" w:rsidRPr="00555034" w:rsidRDefault="00193B0C" w:rsidP="00193B0C">
            <w:pPr>
              <w:pStyle w:val="TableText"/>
              <w:keepNext/>
            </w:pPr>
            <w:r w:rsidRPr="00555034">
              <w:t>Equity data collection is robust but limited to compliance</w:t>
            </w:r>
          </w:p>
        </w:tc>
        <w:tc>
          <w:tcPr>
            <w:tcW w:w="2939" w:type="dxa"/>
          </w:tcPr>
          <w:p w14:paraId="60E4AE01" w14:textId="6702AC48" w:rsidR="00193B0C" w:rsidRPr="00555034" w:rsidRDefault="00193B0C" w:rsidP="00193B0C">
            <w:pPr>
              <w:pStyle w:val="TableText"/>
              <w:keepNext/>
            </w:pPr>
            <w:r w:rsidRPr="00555034">
              <w:t>Equity data collection is prioritised in both business-as-usual and</w:t>
            </w:r>
            <w:r>
              <w:t xml:space="preserve"> </w:t>
            </w:r>
            <w:r w:rsidRPr="00555034">
              <w:t>service innovations with consideration of desired Mana Tangata outcomes</w:t>
            </w:r>
          </w:p>
        </w:tc>
      </w:tr>
      <w:tr w:rsidR="00193B0C" w14:paraId="7C09A674" w14:textId="77777777" w:rsidTr="00223D0E">
        <w:tc>
          <w:tcPr>
            <w:tcW w:w="1260" w:type="dxa"/>
            <w:vMerge w:val="restart"/>
            <w:shd w:val="clear" w:color="auto" w:fill="F1A341"/>
          </w:tcPr>
          <w:p w14:paraId="5B1F3285" w14:textId="315D4B14" w:rsidR="00193B0C" w:rsidRPr="00193B0C" w:rsidRDefault="00193B0C" w:rsidP="00555034">
            <w:pPr>
              <w:pStyle w:val="TableText"/>
              <w:rPr>
                <w:rFonts w:eastAsia="Arial Unicode MS"/>
                <w:color w:val="FFFFFF" w:themeColor="background1"/>
              </w:rPr>
            </w:pPr>
            <w:r w:rsidRPr="00193B0C">
              <w:rPr>
                <w:rFonts w:eastAsia="Arial Unicode MS"/>
                <w:b/>
                <w:bCs/>
                <w:color w:val="FFFFFF" w:themeColor="background1"/>
              </w:rPr>
              <w:lastRenderedPageBreak/>
              <w:t>PUTANGA</w:t>
            </w:r>
          </w:p>
        </w:tc>
        <w:tc>
          <w:tcPr>
            <w:tcW w:w="1854" w:type="dxa"/>
            <w:vMerge w:val="restart"/>
          </w:tcPr>
          <w:p w14:paraId="56E1F467" w14:textId="29464ABD" w:rsidR="00193B0C" w:rsidRPr="00E046D1" w:rsidRDefault="00193B0C" w:rsidP="00555034">
            <w:pPr>
              <w:pStyle w:val="TableText"/>
              <w:rPr>
                <w:rFonts w:eastAsia="Arial Unicode MS"/>
                <w:b/>
                <w:bCs/>
              </w:rPr>
            </w:pPr>
            <w:r w:rsidRPr="00E046D1">
              <w:rPr>
                <w:b/>
                <w:bCs/>
              </w:rPr>
              <w:t>P2. Monitoring, Reporting &amp; Auditing</w:t>
            </w:r>
          </w:p>
        </w:tc>
        <w:tc>
          <w:tcPr>
            <w:tcW w:w="2457" w:type="dxa"/>
          </w:tcPr>
          <w:p w14:paraId="3569F653" w14:textId="08ADED16" w:rsidR="00193B0C" w:rsidRPr="00555034" w:rsidRDefault="00193B0C" w:rsidP="00555034">
            <w:pPr>
              <w:pStyle w:val="TableText"/>
            </w:pPr>
            <w:r w:rsidRPr="00555034">
              <w:t>P2.1 Practice reviews</w:t>
            </w:r>
          </w:p>
        </w:tc>
        <w:tc>
          <w:tcPr>
            <w:tcW w:w="2939" w:type="dxa"/>
          </w:tcPr>
          <w:p w14:paraId="3D1B9F00" w14:textId="136D0FDB" w:rsidR="00193B0C" w:rsidRPr="00555034" w:rsidRDefault="00193B0C" w:rsidP="00555034">
            <w:pPr>
              <w:pStyle w:val="TableText"/>
            </w:pPr>
            <w:r w:rsidRPr="00555034">
              <w:t>Organisation is resistant to regular reviews of practice to ensure consistency with Mana Tangata principles</w:t>
            </w:r>
          </w:p>
        </w:tc>
        <w:tc>
          <w:tcPr>
            <w:tcW w:w="2939" w:type="dxa"/>
            <w:shd w:val="clear" w:color="auto" w:fill="F1A341"/>
          </w:tcPr>
          <w:p w14:paraId="67AF9C76" w14:textId="5A05F423" w:rsidR="00193B0C" w:rsidRPr="00223D0E" w:rsidRDefault="00193B0C" w:rsidP="00555034">
            <w:pPr>
              <w:pStyle w:val="TableText"/>
              <w:rPr>
                <w:color w:val="FFFFFF" w:themeColor="background1"/>
              </w:rPr>
            </w:pPr>
            <w:r w:rsidRPr="00223D0E">
              <w:rPr>
                <w:color w:val="FFFFFF" w:themeColor="background1"/>
              </w:rPr>
              <w:t>Organisation does not prioritise reviews of practice to ensure consistency with Mana Tangata principles</w:t>
            </w:r>
          </w:p>
        </w:tc>
        <w:tc>
          <w:tcPr>
            <w:tcW w:w="2939" w:type="dxa"/>
          </w:tcPr>
          <w:p w14:paraId="5712566C" w14:textId="3173C9AB" w:rsidR="00193B0C" w:rsidRPr="00555034" w:rsidRDefault="00193B0C" w:rsidP="00555034">
            <w:pPr>
              <w:pStyle w:val="TableText"/>
            </w:pPr>
            <w:r w:rsidRPr="00555034">
              <w:t>Tentative/irregular reviews of practice are conducted</w:t>
            </w:r>
          </w:p>
        </w:tc>
        <w:tc>
          <w:tcPr>
            <w:tcW w:w="2939" w:type="dxa"/>
          </w:tcPr>
          <w:p w14:paraId="758A5B3A" w14:textId="420C6EA0" w:rsidR="00193B0C" w:rsidRPr="00555034" w:rsidRDefault="00193B0C" w:rsidP="00555034">
            <w:pPr>
              <w:pStyle w:val="TableText"/>
            </w:pPr>
            <w:r w:rsidRPr="00555034">
              <w:t>Practice reviews with a focus on Mana Tangata principles are reviewed on a regular basis, with lessons shared widely</w:t>
            </w:r>
          </w:p>
        </w:tc>
        <w:tc>
          <w:tcPr>
            <w:tcW w:w="2939" w:type="dxa"/>
          </w:tcPr>
          <w:p w14:paraId="57DAB2C9" w14:textId="71FCD13B" w:rsidR="00193B0C" w:rsidRPr="00555034" w:rsidRDefault="00193B0C" w:rsidP="00555034">
            <w:pPr>
              <w:pStyle w:val="TableText"/>
            </w:pPr>
            <w:r w:rsidRPr="00555034">
              <w:t>Practice reviews with a focus on Mana Tangata principles are normalised and embedded as business- as-usual with lessons leading to identifiable service improvements</w:t>
            </w:r>
          </w:p>
        </w:tc>
      </w:tr>
      <w:tr w:rsidR="00193B0C" w14:paraId="6426BB03" w14:textId="77777777" w:rsidTr="00223D0E">
        <w:tc>
          <w:tcPr>
            <w:tcW w:w="1260" w:type="dxa"/>
            <w:vMerge/>
            <w:shd w:val="clear" w:color="auto" w:fill="F1A341"/>
          </w:tcPr>
          <w:p w14:paraId="3FBA8718" w14:textId="77777777" w:rsidR="00193B0C" w:rsidRPr="00193B0C" w:rsidRDefault="00193B0C" w:rsidP="00555034">
            <w:pPr>
              <w:pStyle w:val="TableText"/>
              <w:rPr>
                <w:rFonts w:eastAsia="Arial Unicode MS"/>
                <w:color w:val="FFFFFF" w:themeColor="background1"/>
              </w:rPr>
            </w:pPr>
          </w:p>
        </w:tc>
        <w:tc>
          <w:tcPr>
            <w:tcW w:w="1854" w:type="dxa"/>
            <w:vMerge/>
          </w:tcPr>
          <w:p w14:paraId="71DD8160" w14:textId="77777777" w:rsidR="00193B0C" w:rsidRPr="00555034" w:rsidRDefault="00193B0C" w:rsidP="00555034">
            <w:pPr>
              <w:pStyle w:val="TableText"/>
              <w:rPr>
                <w:rFonts w:eastAsia="Arial Unicode MS"/>
              </w:rPr>
            </w:pPr>
          </w:p>
        </w:tc>
        <w:tc>
          <w:tcPr>
            <w:tcW w:w="2457" w:type="dxa"/>
          </w:tcPr>
          <w:p w14:paraId="59B94206" w14:textId="0AF3ADDC" w:rsidR="00193B0C" w:rsidRPr="00555034" w:rsidRDefault="00193B0C" w:rsidP="00555034">
            <w:pPr>
              <w:pStyle w:val="TableText"/>
            </w:pPr>
            <w:r w:rsidRPr="00555034">
              <w:t>P2.2 Monitoring</w:t>
            </w:r>
          </w:p>
        </w:tc>
        <w:tc>
          <w:tcPr>
            <w:tcW w:w="2939" w:type="dxa"/>
          </w:tcPr>
          <w:p w14:paraId="3326CDA7" w14:textId="1381B3F6" w:rsidR="00193B0C" w:rsidRPr="00555034" w:rsidRDefault="00193B0C" w:rsidP="00555034">
            <w:pPr>
              <w:pStyle w:val="TableText"/>
            </w:pPr>
            <w:r w:rsidRPr="00555034">
              <w:t xml:space="preserve">Organisation is resistant to </w:t>
            </w:r>
            <w:r w:rsidR="00E00568" w:rsidRPr="00555034">
              <w:t>monitoring</w:t>
            </w:r>
            <w:r w:rsidRPr="00555034">
              <w:t xml:space="preserve"> the efficacy of services in terms of equity outcomes</w:t>
            </w:r>
          </w:p>
        </w:tc>
        <w:tc>
          <w:tcPr>
            <w:tcW w:w="2939" w:type="dxa"/>
          </w:tcPr>
          <w:p w14:paraId="72AC419A" w14:textId="586868F6" w:rsidR="00193B0C" w:rsidRPr="00555034" w:rsidRDefault="00193B0C" w:rsidP="00555034">
            <w:pPr>
              <w:pStyle w:val="TableText"/>
            </w:pPr>
            <w:r w:rsidRPr="00555034">
              <w:t>Organisation does not prioritise or resource monitoring the efficacy of services in terms of equity outcomes</w:t>
            </w:r>
          </w:p>
        </w:tc>
        <w:tc>
          <w:tcPr>
            <w:tcW w:w="2939" w:type="dxa"/>
          </w:tcPr>
          <w:p w14:paraId="555DAB27" w14:textId="388F9709" w:rsidR="00193B0C" w:rsidRPr="00555034" w:rsidRDefault="00193B0C" w:rsidP="00555034">
            <w:pPr>
              <w:pStyle w:val="TableText"/>
            </w:pPr>
            <w:r w:rsidRPr="00555034">
              <w:t>Organisation limits monitoring of equity outcomes of services to where it is required for compliance and does not routinely use monitoring to inform ongoing Mana Tangata efforts</w:t>
            </w:r>
          </w:p>
        </w:tc>
        <w:tc>
          <w:tcPr>
            <w:tcW w:w="2939" w:type="dxa"/>
            <w:shd w:val="clear" w:color="auto" w:fill="D6E3BC" w:themeFill="accent3" w:themeFillTint="66"/>
          </w:tcPr>
          <w:p w14:paraId="057BDAE7" w14:textId="77A1FCCC" w:rsidR="00193B0C" w:rsidRPr="00555034" w:rsidRDefault="00193B0C" w:rsidP="00555034">
            <w:pPr>
              <w:pStyle w:val="TableText"/>
            </w:pPr>
            <w:r w:rsidRPr="00555034">
              <w:t>Equity monitoring goes beyond what is required and is used to guide organisational priorities, resourcing and decision- making.</w:t>
            </w:r>
          </w:p>
        </w:tc>
        <w:tc>
          <w:tcPr>
            <w:tcW w:w="2939" w:type="dxa"/>
          </w:tcPr>
          <w:p w14:paraId="7B897A53" w14:textId="71C199A2" w:rsidR="00193B0C" w:rsidRPr="00555034" w:rsidRDefault="00193B0C" w:rsidP="00555034">
            <w:pPr>
              <w:pStyle w:val="TableText"/>
            </w:pPr>
            <w:r w:rsidRPr="00555034">
              <w:t>Equity monitoring is embedded in the</w:t>
            </w:r>
            <w:r>
              <w:t xml:space="preserve"> </w:t>
            </w:r>
            <w:r w:rsidRPr="00555034">
              <w:t>organisation's operations, with lessons learnt shared widely and used to inform service improvements and innovation.</w:t>
            </w:r>
          </w:p>
        </w:tc>
      </w:tr>
    </w:tbl>
    <w:p w14:paraId="6E81A96A" w14:textId="77777777" w:rsidR="00193B0C" w:rsidRDefault="00193B0C" w:rsidP="00BA7954">
      <w:pPr>
        <w:rPr>
          <w:rFonts w:eastAsia="Arial Unicode MS"/>
        </w:rPr>
        <w:sectPr w:rsidR="00193B0C" w:rsidSect="00555034">
          <w:footerReference w:type="even" r:id="rId42"/>
          <w:footerReference w:type="default" r:id="rId43"/>
          <w:pgSz w:w="23811" w:h="16838" w:orient="landscape" w:code="8"/>
          <w:pgMar w:top="1134" w:right="1701" w:bottom="1418" w:left="1701" w:header="284" w:footer="425" w:gutter="284"/>
          <w:cols w:space="720"/>
          <w:docGrid w:linePitch="286"/>
        </w:sectPr>
      </w:pPr>
    </w:p>
    <w:p w14:paraId="3307B21A" w14:textId="64CD5450" w:rsidR="00B47594" w:rsidRDefault="00B47594" w:rsidP="00B47594">
      <w:pPr>
        <w:pStyle w:val="Heading1"/>
        <w:spacing w:before="0"/>
        <w:rPr>
          <w:rFonts w:eastAsia="Lucida Sans Unicode"/>
        </w:rPr>
      </w:pPr>
      <w:bookmarkStart w:id="20" w:name="_Toc128745948"/>
      <w:r w:rsidRPr="00B47594">
        <w:rPr>
          <w:rFonts w:eastAsia="Lucida Sans Unicode"/>
        </w:rPr>
        <w:lastRenderedPageBreak/>
        <w:t>References</w:t>
      </w:r>
      <w:bookmarkEnd w:id="20"/>
    </w:p>
    <w:p w14:paraId="552E1CB3" w14:textId="77777777" w:rsidR="00193B0C" w:rsidRPr="00193B0C" w:rsidRDefault="00193B0C" w:rsidP="00193B0C">
      <w:pPr>
        <w:pStyle w:val="References"/>
        <w:rPr>
          <w:rFonts w:eastAsia="Lucida Sans Unicode"/>
        </w:rPr>
      </w:pPr>
      <w:r w:rsidRPr="00193B0C">
        <w:rPr>
          <w:rFonts w:eastAsia="Lucida Sans Unicode"/>
        </w:rPr>
        <w:t>Coker, R, Atun, R, &amp; McKee, M 2008, Health Systems and the Challenge of Communicable Diseases: Experiences from Europe and Latin America, McGraw-Hill Education, Berkshire. Available from: ProQuest Ebook Central.</w:t>
      </w:r>
    </w:p>
    <w:p w14:paraId="650FDCC3" w14:textId="77777777" w:rsidR="00193B0C" w:rsidRPr="00193B0C" w:rsidRDefault="00193B0C" w:rsidP="00193B0C">
      <w:pPr>
        <w:pStyle w:val="References"/>
        <w:rPr>
          <w:rFonts w:eastAsia="Lucida Sans Unicode"/>
        </w:rPr>
      </w:pPr>
      <w:r w:rsidRPr="00193B0C">
        <w:rPr>
          <w:rFonts w:eastAsia="Lucida Sans Unicode"/>
        </w:rPr>
        <w:t>Foster-Fishman, P.G. and Behrens, T.R., 2007. Systems change reborn: Rethinking our theories, methods, and efforts in human services reform and community-based change. American journal of community psychology, 39(3), pp.191-196.,;</w:t>
      </w:r>
    </w:p>
    <w:p w14:paraId="2C950799" w14:textId="77777777" w:rsidR="00193B0C" w:rsidRPr="00193B0C" w:rsidRDefault="00193B0C" w:rsidP="00193B0C">
      <w:pPr>
        <w:pStyle w:val="References"/>
        <w:rPr>
          <w:rFonts w:eastAsia="Lucida Sans Unicode"/>
        </w:rPr>
      </w:pPr>
      <w:r w:rsidRPr="00193B0C">
        <w:rPr>
          <w:rFonts w:eastAsia="Lucida Sans Unicode"/>
        </w:rPr>
        <w:t>Gahan, P. and Pekarek, A., 2013. Social movement theory, collective action frames and union theory: A critique and extension. British Journal of Industrial Relations, 51(4), pp.754-776</w:t>
      </w:r>
    </w:p>
    <w:p w14:paraId="6C513B7E" w14:textId="77777777" w:rsidR="00193B0C" w:rsidRPr="00193B0C" w:rsidRDefault="00193B0C" w:rsidP="00193B0C">
      <w:pPr>
        <w:pStyle w:val="References"/>
        <w:rPr>
          <w:rFonts w:eastAsia="Lucida Sans Unicode"/>
        </w:rPr>
      </w:pPr>
      <w:r w:rsidRPr="00193B0C">
        <w:rPr>
          <w:rFonts w:eastAsia="Lucida Sans Unicode"/>
        </w:rPr>
        <w:t>Gray, B., Purdy, J.M. and Ansari, S., 2015. From interactions to institutions: Microprocesses of framing and mechanisms for the structuring of institutional fields. Academy of management review, 40(1), pp.115-143.</w:t>
      </w:r>
    </w:p>
    <w:p w14:paraId="0364327C" w14:textId="77777777" w:rsidR="00193B0C" w:rsidRPr="00193B0C" w:rsidRDefault="00193B0C" w:rsidP="00193B0C">
      <w:pPr>
        <w:pStyle w:val="References"/>
        <w:rPr>
          <w:rFonts w:eastAsia="Lucida Sans Unicode"/>
        </w:rPr>
      </w:pPr>
      <w:r w:rsidRPr="00193B0C">
        <w:rPr>
          <w:rFonts w:eastAsia="Lucida Sans Unicode"/>
        </w:rPr>
        <w:t>Hassan, Z., 2014. The social labs revolution: A new approach to solving our most complex challenges. Berrett-Koehler Publishers.</w:t>
      </w:r>
    </w:p>
    <w:p w14:paraId="35F16D21" w14:textId="77777777" w:rsidR="00193B0C" w:rsidRPr="00193B0C" w:rsidRDefault="00193B0C" w:rsidP="00193B0C">
      <w:pPr>
        <w:pStyle w:val="References"/>
        <w:rPr>
          <w:rFonts w:eastAsia="Lucida Sans Unicode"/>
        </w:rPr>
      </w:pPr>
      <w:r w:rsidRPr="00193B0C">
        <w:rPr>
          <w:rFonts w:eastAsia="Lucida Sans Unicode"/>
        </w:rPr>
        <w:t>Henare, M., 1988. Nga tikanga me nga ritenga o te ao Maori: Standards and foundations of Maori society. Report of the Royal Commission on Social Policy, Wellington.,</w:t>
      </w:r>
    </w:p>
    <w:p w14:paraId="7E209DF4" w14:textId="77777777" w:rsidR="00193B0C" w:rsidRPr="00193B0C" w:rsidRDefault="00193B0C" w:rsidP="00193B0C">
      <w:pPr>
        <w:pStyle w:val="References"/>
        <w:rPr>
          <w:rFonts w:eastAsia="Lucida Sans Unicode"/>
        </w:rPr>
      </w:pPr>
      <w:r w:rsidRPr="00193B0C">
        <w:rPr>
          <w:rFonts w:eastAsia="Lucida Sans Unicode"/>
        </w:rPr>
        <w:t>Levesque, J.F. and Sutherland, K., 2017. What role does performance information play in securing improvement in healthcare? A conceptual framework for levers of change. BMJ open, 7(8)</w:t>
      </w:r>
    </w:p>
    <w:p w14:paraId="4458999E" w14:textId="77777777" w:rsidR="00193B0C" w:rsidRPr="00193B0C" w:rsidRDefault="00193B0C" w:rsidP="00193B0C">
      <w:pPr>
        <w:pStyle w:val="References"/>
        <w:rPr>
          <w:rFonts w:eastAsia="Lucida Sans Unicode"/>
        </w:rPr>
      </w:pPr>
      <w:r w:rsidRPr="00193B0C">
        <w:rPr>
          <w:rFonts w:eastAsia="Lucida Sans Unicode"/>
        </w:rPr>
        <w:t>Michie, S., Van Stralen, M.M. and West, R., 2011. The behaviour change wheel: a new method for characterising and designing behaviour change interventions. Implementation science, 6(1), pp.1-12.</w:t>
      </w:r>
    </w:p>
    <w:p w14:paraId="1E4E91CC" w14:textId="77777777" w:rsidR="00193B0C" w:rsidRPr="00193B0C" w:rsidRDefault="00193B0C" w:rsidP="00193B0C">
      <w:pPr>
        <w:pStyle w:val="References"/>
        <w:rPr>
          <w:rFonts w:eastAsia="Lucida Sans Unicode"/>
        </w:rPr>
      </w:pPr>
      <w:r w:rsidRPr="00193B0C">
        <w:rPr>
          <w:rFonts w:eastAsia="Lucida Sans Unicode"/>
        </w:rPr>
        <w:t>Michie, S., Atkins, L. and West, R., 2014. The behaviour change wheel. A guide to designing interventions. 1st ed. Great Britain: Silverback Publishing, pp.1003-1010.</w:t>
      </w:r>
    </w:p>
    <w:p w14:paraId="473C0C36" w14:textId="77777777" w:rsidR="00193B0C" w:rsidRPr="00193B0C" w:rsidRDefault="00193B0C" w:rsidP="00193B0C">
      <w:pPr>
        <w:pStyle w:val="References"/>
        <w:rPr>
          <w:rFonts w:eastAsia="Lucida Sans Unicode"/>
        </w:rPr>
      </w:pPr>
      <w:r w:rsidRPr="00193B0C">
        <w:rPr>
          <w:rFonts w:eastAsia="Lucida Sans Unicode"/>
        </w:rPr>
        <w:t>Morris, A., 2000. Reflections on social movement theory: Criticisms and proposals. Contemporary sociology, 29(3), pp.445-454.</w:t>
      </w:r>
    </w:p>
    <w:p w14:paraId="65AD49EF" w14:textId="77777777" w:rsidR="00193B0C" w:rsidRPr="00193B0C" w:rsidRDefault="00193B0C" w:rsidP="00193B0C">
      <w:pPr>
        <w:pStyle w:val="References"/>
        <w:rPr>
          <w:rFonts w:eastAsia="Lucida Sans Unicode"/>
        </w:rPr>
      </w:pPr>
      <w:r w:rsidRPr="00193B0C">
        <w:rPr>
          <w:rFonts w:eastAsia="Lucida Sans Unicode"/>
        </w:rPr>
        <w:t>Nulman, E. &amp; Schlembach, R. 2018, “Advances in social movement theory since the global financial crisis”, European journal of social theory, vol. 21, no. 3, pp. 376-390.</w:t>
      </w:r>
    </w:p>
    <w:p w14:paraId="43FA3941" w14:textId="77777777" w:rsidR="00193B0C" w:rsidRPr="00193B0C" w:rsidRDefault="00193B0C" w:rsidP="00193B0C">
      <w:pPr>
        <w:pStyle w:val="References"/>
        <w:rPr>
          <w:rFonts w:eastAsia="Lucida Sans Unicode"/>
        </w:rPr>
      </w:pPr>
      <w:r w:rsidRPr="00193B0C">
        <w:rPr>
          <w:rFonts w:eastAsia="Lucida Sans Unicode"/>
        </w:rPr>
        <w:t>Reinecke, J. and Ansari, S., 2021. Microfoundations of framing: The interactional production of collective action frames in the occupy movement. Academy of Management Journal, 64(2), pp.378-408</w:t>
      </w:r>
    </w:p>
    <w:p w14:paraId="71734DE0" w14:textId="77777777" w:rsidR="00193B0C" w:rsidRPr="00193B0C" w:rsidRDefault="00193B0C" w:rsidP="00193B0C">
      <w:pPr>
        <w:pStyle w:val="References"/>
        <w:rPr>
          <w:rFonts w:eastAsia="Lucida Sans Unicode"/>
        </w:rPr>
      </w:pPr>
      <w:r w:rsidRPr="00193B0C">
        <w:rPr>
          <w:rFonts w:eastAsia="Lucida Sans Unicode"/>
        </w:rPr>
        <w:t>Ryan, R.M. and Deci, E.L., 2000. Intrinsic and extrinsic motivations: Classic definitions and new directions. Contemporary educational psychology, 25(1), pp.54-67.,</w:t>
      </w:r>
    </w:p>
    <w:p w14:paraId="069313F4" w14:textId="77777777" w:rsidR="00193B0C" w:rsidRPr="00193B0C" w:rsidRDefault="00193B0C" w:rsidP="00193B0C">
      <w:pPr>
        <w:pStyle w:val="References"/>
        <w:rPr>
          <w:rFonts w:eastAsia="Lucida Sans Unicode"/>
        </w:rPr>
      </w:pPr>
      <w:r w:rsidRPr="00193B0C">
        <w:rPr>
          <w:rFonts w:eastAsia="Lucida Sans Unicode"/>
        </w:rPr>
        <w:t>Sage., Holt, R. and Cornelissen, J., 2014. Sensemaking revisited. Management Learning, 45(5), pp.525-539</w:t>
      </w:r>
    </w:p>
    <w:p w14:paraId="53712DAA" w14:textId="77777777" w:rsidR="00193B0C" w:rsidRPr="00193B0C" w:rsidRDefault="00193B0C" w:rsidP="00193B0C">
      <w:pPr>
        <w:pStyle w:val="References"/>
        <w:rPr>
          <w:rFonts w:eastAsia="Lucida Sans Unicode"/>
        </w:rPr>
      </w:pPr>
      <w:r w:rsidRPr="00193B0C">
        <w:rPr>
          <w:rFonts w:eastAsia="Lucida Sans Unicode"/>
        </w:rPr>
        <w:t xml:space="preserve"> </w:t>
      </w:r>
    </w:p>
    <w:p w14:paraId="37F1AB2D" w14:textId="77777777" w:rsidR="00193B0C" w:rsidRPr="00193B0C" w:rsidRDefault="00193B0C" w:rsidP="00193B0C">
      <w:pPr>
        <w:pStyle w:val="References"/>
        <w:rPr>
          <w:rFonts w:eastAsia="Lucida Sans Unicode"/>
        </w:rPr>
      </w:pPr>
      <w:r w:rsidRPr="00193B0C">
        <w:rPr>
          <w:rFonts w:eastAsia="Lucida Sans Unicode"/>
        </w:rPr>
        <w:lastRenderedPageBreak/>
        <w:t>This, A., 2000. WITH A LEVER</w:t>
      </w:r>
    </w:p>
    <w:p w14:paraId="4D409DB6" w14:textId="77777777" w:rsidR="00193B0C" w:rsidRPr="00193B0C" w:rsidRDefault="00193B0C" w:rsidP="00193B0C">
      <w:pPr>
        <w:pStyle w:val="References"/>
        <w:rPr>
          <w:rFonts w:eastAsia="Lucida Sans Unicode"/>
        </w:rPr>
      </w:pPr>
      <w:r w:rsidRPr="00193B0C">
        <w:rPr>
          <w:rFonts w:eastAsia="Lucida Sans Unicode"/>
        </w:rPr>
        <w:t>Vallerand, R.J., 1997. Toward a hierarchical model of intrinsic and extrinsic motivation. In Advances in experimental social psychology (Vol. 29, pp. 271-360)</w:t>
      </w:r>
    </w:p>
    <w:p w14:paraId="42EF2A15" w14:textId="77777777" w:rsidR="00193B0C" w:rsidRPr="00193B0C" w:rsidRDefault="00193B0C" w:rsidP="00193B0C">
      <w:pPr>
        <w:pStyle w:val="References"/>
        <w:rPr>
          <w:rFonts w:eastAsia="Lucida Sans Unicode"/>
        </w:rPr>
      </w:pPr>
      <w:r w:rsidRPr="00193B0C">
        <w:rPr>
          <w:rFonts w:eastAsia="Lucida Sans Unicode"/>
        </w:rPr>
        <w:t>Weick, K.E., 1995. Sensemaking in organizations (Vol. 3).</w:t>
      </w:r>
    </w:p>
    <w:p w14:paraId="76BF15C7" w14:textId="739BF040" w:rsidR="00B23D83" w:rsidRDefault="00193B0C" w:rsidP="00193B0C">
      <w:pPr>
        <w:pStyle w:val="References"/>
      </w:pPr>
      <w:r w:rsidRPr="00193B0C">
        <w:rPr>
          <w:rFonts w:eastAsia="Lucida Sans Unicode"/>
        </w:rPr>
        <w:t>Williams, L.R.T. and Henare, M., 2009. The double spiral and ways of knowing. Mai Review,</w:t>
      </w:r>
      <w:r>
        <w:rPr>
          <w:rFonts w:eastAsia="Lucida Sans Unicode"/>
        </w:rPr>
        <w:t xml:space="preserve"> </w:t>
      </w:r>
      <w:r w:rsidRPr="00193B0C">
        <w:rPr>
          <w:rFonts w:eastAsia="Lucida Sans Unicode"/>
        </w:rPr>
        <w:t>3, pp.1-9.</w:t>
      </w:r>
    </w:p>
    <w:sectPr w:rsidR="00B23D83" w:rsidSect="00561369">
      <w:headerReference w:type="default" r:id="rId44"/>
      <w:footerReference w:type="even" r:id="rId45"/>
      <w:footerReference w:type="default" r:id="rId46"/>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16A5A" w14:textId="77777777" w:rsidR="00791D61" w:rsidRDefault="00791D61">
      <w:r>
        <w:separator/>
      </w:r>
    </w:p>
    <w:p w14:paraId="6C99EEEF" w14:textId="77777777" w:rsidR="00791D61" w:rsidRDefault="00791D61"/>
  </w:endnote>
  <w:endnote w:type="continuationSeparator" w:id="0">
    <w:p w14:paraId="36F162D3" w14:textId="77777777" w:rsidR="00791D61" w:rsidRDefault="00791D61">
      <w:r>
        <w:continuationSeparator/>
      </w:r>
    </w:p>
    <w:p w14:paraId="65690AC6" w14:textId="77777777" w:rsidR="00791D61" w:rsidRDefault="00791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20984846" w:rsidR="000F3014" w:rsidRPr="00581136" w:rsidRDefault="000F3014" w:rsidP="005A79E5">
    <w:pPr>
      <w:pStyle w:val="Footer"/>
      <w:pBdr>
        <w:bottom w:val="single" w:sz="4" w:space="1" w:color="auto"/>
      </w:pBdr>
      <w:tabs>
        <w:tab w:val="right" w:pos="9639"/>
      </w:tabs>
      <w:rPr>
        <w:b/>
      </w:rPr>
    </w:pPr>
    <w:r w:rsidRPr="00581136">
      <w:rPr>
        <w:b/>
      </w:rPr>
      <w:t>Released 20</w:t>
    </w:r>
    <w:r>
      <w:rPr>
        <w:b/>
      </w:rPr>
      <w:t>2</w:t>
    </w:r>
    <w:r w:rsidR="00313868">
      <w:rPr>
        <w:b/>
      </w:rPr>
      <w:t>3</w:t>
    </w:r>
    <w:r w:rsidRPr="00581136">
      <w:rPr>
        <w:b/>
      </w:rPr>
      <w:tab/>
      <w:t>health.govt.nz</w:t>
    </w:r>
  </w:p>
  <w:p w14:paraId="524869F6" w14:textId="77777777" w:rsidR="000F3014" w:rsidRPr="005A79E5" w:rsidRDefault="000F3014">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F3014" w14:paraId="331AD307" w14:textId="77777777" w:rsidTr="00D662F8">
      <w:trPr>
        <w:cantSplit/>
      </w:trPr>
      <w:tc>
        <w:tcPr>
          <w:tcW w:w="709" w:type="dxa"/>
          <w:vAlign w:val="center"/>
        </w:tcPr>
        <w:p w14:paraId="75DB1433" w14:textId="77777777" w:rsidR="000F3014" w:rsidRPr="00931466" w:rsidRDefault="000F301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0A2DD90" w14:textId="27FC530F" w:rsidR="000F3014" w:rsidRDefault="000F3014" w:rsidP="00926083">
          <w:pPr>
            <w:pStyle w:val="RectoFooter"/>
            <w:jc w:val="left"/>
          </w:pPr>
          <w:r w:rsidRPr="00BA7954">
            <w:t>Whiria te Muka</w:t>
          </w:r>
          <w:r w:rsidR="0044244B">
            <w:t xml:space="preserve"> </w:t>
          </w:r>
          <w:r w:rsidR="0044244B" w:rsidRPr="0044244B">
            <w:t>TANGATA:</w:t>
          </w:r>
          <w:r w:rsidRPr="00BA7954">
            <w:t xml:space="preserve"> Anti-Racism Systems Change. </w:t>
          </w:r>
          <w:r>
            <w:br/>
          </w:r>
          <w:r w:rsidRPr="00BA7954">
            <w:t>A Preliminary Model for the Aotearoa New Zealand Health System</w:t>
          </w:r>
        </w:p>
      </w:tc>
    </w:tr>
  </w:tbl>
  <w:p w14:paraId="271E74CF" w14:textId="77777777" w:rsidR="000F3014" w:rsidRPr="00571223" w:rsidRDefault="000F3014"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F3014" w14:paraId="1D97F15F" w14:textId="77777777" w:rsidTr="00D662F8">
      <w:trPr>
        <w:cantSplit/>
      </w:trPr>
      <w:tc>
        <w:tcPr>
          <w:tcW w:w="8080" w:type="dxa"/>
          <w:vAlign w:val="center"/>
        </w:tcPr>
        <w:p w14:paraId="2A024428" w14:textId="07461E12" w:rsidR="000F3014" w:rsidRDefault="000F3014" w:rsidP="00926083">
          <w:pPr>
            <w:pStyle w:val="RectoFooter"/>
          </w:pPr>
          <w:r w:rsidRPr="00BA7954">
            <w:t>Whiria te Muka</w:t>
          </w:r>
          <w:r w:rsidR="0044244B">
            <w:t xml:space="preserve"> </w:t>
          </w:r>
          <w:r w:rsidR="0044244B" w:rsidRPr="0044244B">
            <w:t>TANGATA:</w:t>
          </w:r>
          <w:r w:rsidR="0044244B">
            <w:t xml:space="preserve"> </w:t>
          </w:r>
          <w:r w:rsidRPr="00BA7954">
            <w:t xml:space="preserve">Anti-Racism Systems Change. </w:t>
          </w:r>
          <w:r>
            <w:br/>
          </w:r>
          <w:r w:rsidRPr="00BA7954">
            <w:t>A Preliminary Model for the Aotearoa New Zealand Health System</w:t>
          </w:r>
        </w:p>
      </w:tc>
      <w:tc>
        <w:tcPr>
          <w:tcW w:w="709" w:type="dxa"/>
          <w:vAlign w:val="center"/>
        </w:tcPr>
        <w:p w14:paraId="33FD75AB" w14:textId="77777777" w:rsidR="000F3014" w:rsidRPr="00931466" w:rsidRDefault="000F301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69139197" w14:textId="77777777" w:rsidR="000F3014" w:rsidRPr="00581EB8" w:rsidRDefault="000F3014"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F3014" w14:paraId="61CDE2A8" w14:textId="77777777" w:rsidTr="00D662F8">
      <w:trPr>
        <w:cantSplit/>
      </w:trPr>
      <w:tc>
        <w:tcPr>
          <w:tcW w:w="709" w:type="dxa"/>
          <w:vAlign w:val="center"/>
        </w:tcPr>
        <w:p w14:paraId="71A1D0A3" w14:textId="77777777" w:rsidR="000F3014" w:rsidRPr="00931466" w:rsidRDefault="000F301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7CDEB6F" w14:textId="3839D851" w:rsidR="000F3014" w:rsidRDefault="000F3014" w:rsidP="00926083">
          <w:pPr>
            <w:pStyle w:val="RectoFooter"/>
            <w:jc w:val="left"/>
          </w:pPr>
          <w:r w:rsidRPr="00BA7954">
            <w:t>Whiria te Muka</w:t>
          </w:r>
          <w:r w:rsidR="001050AB">
            <w:t xml:space="preserve"> </w:t>
          </w:r>
          <w:r w:rsidR="001050AB" w:rsidRPr="001050AB">
            <w:t>TANGATA:</w:t>
          </w:r>
          <w:r w:rsidR="001050AB">
            <w:t xml:space="preserve"> </w:t>
          </w:r>
          <w:r w:rsidRPr="00BA7954">
            <w:t xml:space="preserve"> Anti-Racism Systems Change. </w:t>
          </w:r>
          <w:r>
            <w:br/>
          </w:r>
          <w:r w:rsidRPr="00BA7954">
            <w:t>A Preliminary Model for the Aotearoa New Zealand Health System</w:t>
          </w:r>
        </w:p>
      </w:tc>
    </w:tr>
  </w:tbl>
  <w:p w14:paraId="327D1F00" w14:textId="77777777" w:rsidR="000F3014" w:rsidRPr="00571223" w:rsidRDefault="000F3014"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0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704"/>
      <w:gridCol w:w="709"/>
    </w:tblGrid>
    <w:tr w:rsidR="000F3014" w14:paraId="3781B1F1" w14:textId="77777777" w:rsidTr="00193B0C">
      <w:trPr>
        <w:cantSplit/>
      </w:trPr>
      <w:tc>
        <w:tcPr>
          <w:tcW w:w="19704" w:type="dxa"/>
          <w:vAlign w:val="center"/>
        </w:tcPr>
        <w:p w14:paraId="0703376F" w14:textId="7BD7A0CB" w:rsidR="000F3014" w:rsidRDefault="000F3014" w:rsidP="00926083">
          <w:pPr>
            <w:pStyle w:val="RectoFooter"/>
          </w:pPr>
          <w:r w:rsidRPr="00BA7954">
            <w:t>Whiria te Muka</w:t>
          </w:r>
          <w:r w:rsidR="0044244B">
            <w:t xml:space="preserve"> </w:t>
          </w:r>
          <w:r w:rsidR="0044244B" w:rsidRPr="0044244B">
            <w:t>TANGATA:</w:t>
          </w:r>
          <w:r w:rsidRPr="00BA7954">
            <w:t xml:space="preserve"> Anti-Racism Systems Change. </w:t>
          </w:r>
          <w:r>
            <w:br/>
          </w:r>
          <w:r w:rsidRPr="00BA7954">
            <w:t>A Preliminary Model for the Aotearoa New Zealand Health System</w:t>
          </w:r>
        </w:p>
      </w:tc>
      <w:tc>
        <w:tcPr>
          <w:tcW w:w="709" w:type="dxa"/>
          <w:vAlign w:val="center"/>
        </w:tcPr>
        <w:p w14:paraId="21724304" w14:textId="77777777" w:rsidR="000F3014" w:rsidRPr="00931466" w:rsidRDefault="000F301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5943AF4" w14:textId="77777777" w:rsidR="000F3014" w:rsidRPr="00581EB8" w:rsidRDefault="000F3014"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0F3014" w14:paraId="7E34FA6B" w14:textId="77777777" w:rsidTr="00D662F8">
      <w:trPr>
        <w:cantSplit/>
      </w:trPr>
      <w:tc>
        <w:tcPr>
          <w:tcW w:w="675" w:type="dxa"/>
          <w:vAlign w:val="center"/>
        </w:tcPr>
        <w:p w14:paraId="6281C317" w14:textId="77777777" w:rsidR="000F3014" w:rsidRPr="00931466" w:rsidRDefault="000F301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565431FA" w:rsidR="000F3014" w:rsidRDefault="000F3014" w:rsidP="000D58DD">
          <w:pPr>
            <w:pStyle w:val="RectoFooter"/>
            <w:jc w:val="left"/>
          </w:pPr>
          <w:r w:rsidRPr="00BA7954">
            <w:t>Whiria te Muka</w:t>
          </w:r>
          <w:r w:rsidR="001050AB">
            <w:t xml:space="preserve"> </w:t>
          </w:r>
          <w:r w:rsidR="001050AB" w:rsidRPr="001050AB">
            <w:t>TANGATA:</w:t>
          </w:r>
          <w:r w:rsidRPr="00BA7954">
            <w:t xml:space="preserve"> Anti-Racism Systems Change. </w:t>
          </w:r>
          <w:r>
            <w:br/>
          </w:r>
          <w:r w:rsidRPr="00BA7954">
            <w:t>A Preliminary Model for the Aotearoa New Zealand Health System</w:t>
          </w:r>
        </w:p>
      </w:tc>
    </w:tr>
  </w:tbl>
  <w:p w14:paraId="5177CEA2" w14:textId="77777777" w:rsidR="000F3014" w:rsidRPr="00571223" w:rsidRDefault="000F3014" w:rsidP="00571223">
    <w:pPr>
      <w:pStyle w:val="Verso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F3014" w14:paraId="47337729" w14:textId="77777777" w:rsidTr="00D662F8">
      <w:trPr>
        <w:cantSplit/>
      </w:trPr>
      <w:tc>
        <w:tcPr>
          <w:tcW w:w="8080" w:type="dxa"/>
          <w:vAlign w:val="center"/>
        </w:tcPr>
        <w:p w14:paraId="1A33CBD1" w14:textId="0F84D818" w:rsidR="000F3014" w:rsidRDefault="000F3014" w:rsidP="00931466">
          <w:pPr>
            <w:pStyle w:val="RectoFooter"/>
          </w:pPr>
          <w:r w:rsidRPr="00BA7954">
            <w:t>Whiria te Muka</w:t>
          </w:r>
          <w:r w:rsidR="001050AB">
            <w:t xml:space="preserve"> </w:t>
          </w:r>
          <w:r w:rsidR="001050AB" w:rsidRPr="001050AB">
            <w:t>TANGATA:</w:t>
          </w:r>
          <w:r w:rsidRPr="00BA7954">
            <w:t xml:space="preserve"> Anti-Racism Systems Change. </w:t>
          </w:r>
          <w:r>
            <w:br/>
          </w:r>
          <w:r w:rsidRPr="00BA7954">
            <w:t>A Preliminary Model for the Aotearoa New Zealand Health System</w:t>
          </w:r>
        </w:p>
      </w:tc>
      <w:tc>
        <w:tcPr>
          <w:tcW w:w="709" w:type="dxa"/>
          <w:vAlign w:val="center"/>
        </w:tcPr>
        <w:p w14:paraId="501EC334" w14:textId="77777777" w:rsidR="000F3014" w:rsidRPr="00931466" w:rsidRDefault="000F301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0F3014" w:rsidRPr="00581EB8" w:rsidRDefault="000F301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0F3014" w:rsidRDefault="000F301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0F3014" w:rsidRDefault="000F30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F3014" w14:paraId="4C3A3BF7" w14:textId="77777777" w:rsidTr="00D662F8">
      <w:trPr>
        <w:cantSplit/>
      </w:trPr>
      <w:tc>
        <w:tcPr>
          <w:tcW w:w="709" w:type="dxa"/>
          <w:vAlign w:val="center"/>
        </w:tcPr>
        <w:p w14:paraId="28F87ED7" w14:textId="77777777" w:rsidR="000F3014" w:rsidRPr="00931466" w:rsidRDefault="000F301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FB7EF8A" w14:textId="77777777" w:rsidR="000F3014" w:rsidRDefault="000F3014" w:rsidP="00F45B28">
          <w:pPr>
            <w:pStyle w:val="RectoFooter"/>
            <w:jc w:val="left"/>
          </w:pPr>
          <w:r w:rsidRPr="00785282">
            <w:t xml:space="preserve">Ao Mai te Rā: The Anti-Racism Kaupapa. Evolution of Racism and Anti-Racism. </w:t>
          </w:r>
        </w:p>
        <w:p w14:paraId="6026D159" w14:textId="535785E1" w:rsidR="000F3014" w:rsidRDefault="000F3014" w:rsidP="00F45B28">
          <w:pPr>
            <w:pStyle w:val="RectoFooter"/>
            <w:jc w:val="left"/>
          </w:pPr>
          <w:r w:rsidRPr="00785282">
            <w:t>Lessons for the Aotearoa New Zealand Health System. Stage One Literature Review</w:t>
          </w:r>
        </w:p>
      </w:tc>
    </w:tr>
  </w:tbl>
  <w:p w14:paraId="711B5D80" w14:textId="77777777" w:rsidR="000F3014" w:rsidRPr="00571223" w:rsidRDefault="000F301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F3014" w14:paraId="58AAB149" w14:textId="77777777" w:rsidTr="00D662F8">
      <w:trPr>
        <w:cantSplit/>
      </w:trPr>
      <w:tc>
        <w:tcPr>
          <w:tcW w:w="8080" w:type="dxa"/>
          <w:vAlign w:val="center"/>
        </w:tcPr>
        <w:p w14:paraId="20E2F0CC" w14:textId="213649DB" w:rsidR="000F3014" w:rsidRDefault="000F3014" w:rsidP="00926083">
          <w:pPr>
            <w:pStyle w:val="RectoFooter"/>
          </w:pPr>
          <w:r w:rsidRPr="00BA7954">
            <w:t>Whiria te Muka</w:t>
          </w:r>
          <w:r w:rsidR="002C686F">
            <w:t xml:space="preserve"> Tangata</w:t>
          </w:r>
          <w:r w:rsidR="00202F11">
            <w:t>:</w:t>
          </w:r>
          <w:r w:rsidRPr="00BA7954">
            <w:t xml:space="preserve"> Anti-Racism Systems Change. </w:t>
          </w:r>
          <w:r>
            <w:br/>
          </w:r>
          <w:r w:rsidRPr="00BA7954">
            <w:t>A Preliminary Model for the Aotearoa New Zealand Health System</w:t>
          </w:r>
        </w:p>
      </w:tc>
      <w:tc>
        <w:tcPr>
          <w:tcW w:w="709" w:type="dxa"/>
          <w:vAlign w:val="center"/>
        </w:tcPr>
        <w:p w14:paraId="3D3C9847" w14:textId="77777777" w:rsidR="000F3014" w:rsidRPr="00931466" w:rsidRDefault="000F301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0F3014" w:rsidRPr="00581EB8" w:rsidRDefault="000F301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F3014" w14:paraId="7DB74E0B" w14:textId="77777777" w:rsidTr="00D662F8">
      <w:trPr>
        <w:cantSplit/>
      </w:trPr>
      <w:tc>
        <w:tcPr>
          <w:tcW w:w="709" w:type="dxa"/>
          <w:vAlign w:val="center"/>
        </w:tcPr>
        <w:p w14:paraId="7FB9EB7B" w14:textId="77777777" w:rsidR="000F3014" w:rsidRPr="00931466" w:rsidRDefault="000F301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1B2F4EA3" w:rsidR="000F3014" w:rsidRDefault="000F3014" w:rsidP="00926083">
          <w:pPr>
            <w:pStyle w:val="RectoFooter"/>
            <w:jc w:val="left"/>
          </w:pPr>
          <w:r w:rsidRPr="00BA7954">
            <w:t>Whiria te Muka</w:t>
          </w:r>
          <w:r w:rsidR="00E63E69">
            <w:t xml:space="preserve"> </w:t>
          </w:r>
          <w:r w:rsidR="00E63E69" w:rsidRPr="00E63E69">
            <w:t>TANGATA:</w:t>
          </w:r>
          <w:r w:rsidR="00E63E69">
            <w:t xml:space="preserve"> </w:t>
          </w:r>
          <w:r w:rsidRPr="00BA7954">
            <w:t xml:space="preserve">Anti-Racism Systems Change. </w:t>
          </w:r>
          <w:r>
            <w:br/>
          </w:r>
          <w:r w:rsidRPr="00BA7954">
            <w:t>A Preliminary Model for the Aotearoa New Zealand Health System</w:t>
          </w:r>
        </w:p>
      </w:tc>
    </w:tr>
  </w:tbl>
  <w:p w14:paraId="7C39EF3C" w14:textId="77777777" w:rsidR="000F3014" w:rsidRPr="00571223" w:rsidRDefault="000F301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F3014" w14:paraId="423138CB" w14:textId="77777777" w:rsidTr="00D662F8">
      <w:trPr>
        <w:cantSplit/>
      </w:trPr>
      <w:tc>
        <w:tcPr>
          <w:tcW w:w="8080" w:type="dxa"/>
          <w:vAlign w:val="center"/>
        </w:tcPr>
        <w:p w14:paraId="520A68A6" w14:textId="1F2B5275" w:rsidR="000F3014" w:rsidRDefault="000F3014" w:rsidP="00926083">
          <w:pPr>
            <w:pStyle w:val="RectoFooter"/>
          </w:pPr>
          <w:r w:rsidRPr="00BA7954">
            <w:t>Whiria te Muka</w:t>
          </w:r>
          <w:r w:rsidR="00E63E69">
            <w:t xml:space="preserve"> tANGATA:</w:t>
          </w:r>
          <w:r w:rsidRPr="00BA7954">
            <w:t xml:space="preserve"> Anti-Racism Systems Change. </w:t>
          </w:r>
          <w:r>
            <w:br/>
          </w:r>
          <w:r w:rsidRPr="00BA7954">
            <w:t>A Preliminary Model for the Aotearoa New Zealand Health System</w:t>
          </w:r>
        </w:p>
      </w:tc>
      <w:tc>
        <w:tcPr>
          <w:tcW w:w="709" w:type="dxa"/>
          <w:vAlign w:val="center"/>
        </w:tcPr>
        <w:p w14:paraId="745D812B" w14:textId="77777777" w:rsidR="000F3014" w:rsidRPr="00931466" w:rsidRDefault="000F301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0F3014" w:rsidRPr="00581EB8" w:rsidRDefault="000F301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CA2803" w14:paraId="17B301EF" w14:textId="77777777" w:rsidTr="00CA2803">
      <w:trPr>
        <w:cantSplit/>
      </w:trPr>
      <w:tc>
        <w:tcPr>
          <w:tcW w:w="13750" w:type="dxa"/>
          <w:vAlign w:val="center"/>
        </w:tcPr>
        <w:p w14:paraId="0FA43215" w14:textId="0F9A55A1" w:rsidR="00CA2803" w:rsidRDefault="00CA2803" w:rsidP="00926083">
          <w:pPr>
            <w:pStyle w:val="RectoFooter"/>
          </w:pPr>
          <w:r w:rsidRPr="00BA7954">
            <w:t>Whiria te Muka</w:t>
          </w:r>
          <w:r w:rsidR="00E63E69">
            <w:t xml:space="preserve"> </w:t>
          </w:r>
          <w:r w:rsidR="00E63E69">
            <w:t>tANGATA:</w:t>
          </w:r>
          <w:r w:rsidRPr="00BA7954">
            <w:t xml:space="preserve"> Anti-Racism Systems Change. </w:t>
          </w:r>
          <w:r>
            <w:br/>
          </w:r>
          <w:r w:rsidRPr="00BA7954">
            <w:t>A Preliminary Model for the Aotearoa New Zealand Health System</w:t>
          </w:r>
        </w:p>
      </w:tc>
      <w:tc>
        <w:tcPr>
          <w:tcW w:w="709" w:type="dxa"/>
          <w:vAlign w:val="center"/>
        </w:tcPr>
        <w:p w14:paraId="2921FB50" w14:textId="77777777" w:rsidR="00CA2803" w:rsidRPr="00931466" w:rsidRDefault="00CA280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95DE772" w14:textId="77777777" w:rsidR="00CA2803" w:rsidRPr="00581EB8" w:rsidRDefault="00CA2803"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2803" w14:paraId="2E47C35E" w14:textId="77777777" w:rsidTr="00D662F8">
      <w:trPr>
        <w:cantSplit/>
      </w:trPr>
      <w:tc>
        <w:tcPr>
          <w:tcW w:w="8080" w:type="dxa"/>
          <w:vAlign w:val="center"/>
        </w:tcPr>
        <w:p w14:paraId="72B60560" w14:textId="52A602FE" w:rsidR="00CA2803" w:rsidRDefault="00CA2803" w:rsidP="00926083">
          <w:pPr>
            <w:pStyle w:val="RectoFooter"/>
          </w:pPr>
          <w:r w:rsidRPr="00BA7954">
            <w:t>Whiria te Muka</w:t>
          </w:r>
          <w:r w:rsidR="0044244B">
            <w:t xml:space="preserve"> </w:t>
          </w:r>
          <w:r w:rsidR="0044244B" w:rsidRPr="0044244B">
            <w:t>TANGATA:</w:t>
          </w:r>
          <w:r w:rsidRPr="00BA7954">
            <w:t xml:space="preserve"> Anti-Racism Systems Change. </w:t>
          </w:r>
          <w:r>
            <w:br/>
          </w:r>
          <w:r w:rsidRPr="00BA7954">
            <w:t>A Preliminary Model for the Aotearoa New Zealand Health System</w:t>
          </w:r>
        </w:p>
      </w:tc>
      <w:tc>
        <w:tcPr>
          <w:tcW w:w="709" w:type="dxa"/>
          <w:vAlign w:val="center"/>
        </w:tcPr>
        <w:p w14:paraId="4BF9192D" w14:textId="77777777" w:rsidR="00CA2803" w:rsidRPr="00931466" w:rsidRDefault="00CA280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121EB5D5" w14:textId="77777777" w:rsidR="00CA2803" w:rsidRPr="00581EB8" w:rsidRDefault="00CA280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F7402" w14:textId="77777777" w:rsidR="00791D61" w:rsidRPr="00A26E6B" w:rsidRDefault="00791D61" w:rsidP="00A26E6B"/>
  </w:footnote>
  <w:footnote w:type="continuationSeparator" w:id="0">
    <w:p w14:paraId="58B4FE70" w14:textId="77777777" w:rsidR="00791D61" w:rsidRDefault="00791D61">
      <w:r>
        <w:continuationSeparator/>
      </w:r>
    </w:p>
    <w:p w14:paraId="32920659" w14:textId="77777777" w:rsidR="00791D61" w:rsidRDefault="00791D61"/>
  </w:footnote>
  <w:footnote w:id="1">
    <w:p w14:paraId="4E8F1CE4" w14:textId="1A3C8599" w:rsidR="000F3014" w:rsidRPr="00181D0D" w:rsidRDefault="000F3014">
      <w:pPr>
        <w:pStyle w:val="FootnoteText"/>
        <w:rPr>
          <w:lang w:val="en-US"/>
        </w:rPr>
      </w:pPr>
      <w:r>
        <w:rPr>
          <w:rStyle w:val="FootnoteReference"/>
        </w:rPr>
        <w:footnoteRef/>
      </w:r>
      <w:r>
        <w:t xml:space="preserve"> </w:t>
      </w:r>
      <w:r w:rsidRPr="00181D0D">
        <w:t xml:space="preserve">Henare, M., 1988. Nga tikanga me nga ritenga o te ao Maori: Standards and foundations of Maori society. </w:t>
      </w:r>
      <w:r w:rsidRPr="00181D0D">
        <w:rPr>
          <w:i/>
          <w:iCs/>
        </w:rPr>
        <w:t>Report of the Royal Commission on Social Policy Wellington</w:t>
      </w:r>
      <w:r w:rsidRPr="00181D0D">
        <w:t>.</w:t>
      </w:r>
    </w:p>
  </w:footnote>
  <w:footnote w:id="2">
    <w:p w14:paraId="389DDB9E" w14:textId="2B1DD46D" w:rsidR="000F3014" w:rsidRPr="00181D0D" w:rsidRDefault="000F3014">
      <w:pPr>
        <w:pStyle w:val="FootnoteText"/>
        <w:rPr>
          <w:lang w:val="en-US"/>
        </w:rPr>
      </w:pPr>
      <w:r>
        <w:rPr>
          <w:rStyle w:val="FootnoteReference"/>
        </w:rPr>
        <w:footnoteRef/>
      </w:r>
      <w:r>
        <w:t xml:space="preserve"> </w:t>
      </w:r>
      <w:r w:rsidRPr="00181D0D">
        <w:t xml:space="preserve">Henare, M., 1988. Nga tikanga me nga ritenga o te ao Maori: Standards and foundations of Maori society. </w:t>
      </w:r>
      <w:r w:rsidRPr="00181D0D">
        <w:rPr>
          <w:i/>
          <w:iCs/>
        </w:rPr>
        <w:t>Report of the Royal Commission on Social Policy</w:t>
      </w:r>
      <w:r w:rsidRPr="00181D0D">
        <w:t>, Wellington., Williams, L.R.T. and Henare, M., 2009. The double spiral and ways of knowing. Mai Review, 3, pp.1-9.</w:t>
      </w:r>
    </w:p>
  </w:footnote>
  <w:footnote w:id="3">
    <w:p w14:paraId="4B93D0A4" w14:textId="0D90577C" w:rsidR="000F3014" w:rsidRPr="00181D0D" w:rsidRDefault="000F3014">
      <w:pPr>
        <w:pStyle w:val="FootnoteText"/>
        <w:rPr>
          <w:lang w:val="en-US"/>
        </w:rPr>
      </w:pPr>
      <w:r>
        <w:rPr>
          <w:rStyle w:val="FootnoteReference"/>
        </w:rPr>
        <w:footnoteRef/>
      </w:r>
      <w:r>
        <w:t xml:space="preserve"> </w:t>
      </w:r>
      <w:r w:rsidRPr="00181D0D">
        <w:t>Williams, L.R.T. and Henare, M., 2009. The double spiral and ways of knowing. Mai Review, 3, pp.1-9.</w:t>
      </w:r>
    </w:p>
  </w:footnote>
  <w:footnote w:id="4">
    <w:p w14:paraId="6ACCD8A3" w14:textId="0E9BFD01" w:rsidR="000F3014" w:rsidRPr="0003589D" w:rsidRDefault="000F3014">
      <w:pPr>
        <w:pStyle w:val="FootnoteText"/>
        <w:rPr>
          <w:lang w:val="en-US"/>
        </w:rPr>
      </w:pPr>
      <w:r>
        <w:rPr>
          <w:rStyle w:val="FootnoteReference"/>
        </w:rPr>
        <w:footnoteRef/>
      </w:r>
      <w:r>
        <w:t xml:space="preserve"> </w:t>
      </w:r>
      <w:r w:rsidRPr="0003589D">
        <w:t>Nulman, E. &amp; Schlembach, R. 2018, “Advances in social movement theory since the global financial crisis”, European journal of social theory, vol. 21, no. 3, pp. 376-390</w:t>
      </w:r>
      <w:r>
        <w:t>.</w:t>
      </w:r>
    </w:p>
  </w:footnote>
  <w:footnote w:id="5">
    <w:p w14:paraId="3B053DB3" w14:textId="1C27EA7C" w:rsidR="000F3014" w:rsidRPr="0003589D" w:rsidRDefault="000F3014">
      <w:pPr>
        <w:pStyle w:val="FootnoteText"/>
        <w:rPr>
          <w:lang w:val="en-US"/>
        </w:rPr>
      </w:pPr>
      <w:r>
        <w:rPr>
          <w:rStyle w:val="FootnoteReference"/>
        </w:rPr>
        <w:footnoteRef/>
      </w:r>
      <w:r>
        <w:t xml:space="preserve"> </w:t>
      </w:r>
      <w:r w:rsidRPr="0003589D">
        <w:t>Morris, A., 2000. Reflections on social movement theory: Criticisms and proposals. Contemporary sociology, 29(3), pp.445-454</w:t>
      </w:r>
      <w:r>
        <w:t>.</w:t>
      </w:r>
    </w:p>
  </w:footnote>
  <w:footnote w:id="6">
    <w:p w14:paraId="65032092" w14:textId="1325E371" w:rsidR="000F3014" w:rsidRPr="0003589D" w:rsidRDefault="000F3014">
      <w:pPr>
        <w:pStyle w:val="FootnoteText"/>
        <w:rPr>
          <w:lang w:val="en-US"/>
        </w:rPr>
      </w:pPr>
      <w:r>
        <w:rPr>
          <w:rStyle w:val="FootnoteReference"/>
        </w:rPr>
        <w:footnoteRef/>
      </w:r>
      <w:r>
        <w:t xml:space="preserve"> </w:t>
      </w:r>
      <w:r w:rsidRPr="0003589D">
        <w:t>Reinecke, J. and Ansari, S., 2021. Microfoundations of framing: The interactional production of collective action frames in the occupy movement. Academy of Management Journal, 64(2), pp.378-408; Gray, B., Purdy, J.M. and Ansari, S., 2015. From interactions to institutions: Microprocesses of framing and mechanisms for the structuring of institutional fields. Academy of management review, 40(1), pp.115-143.</w:t>
      </w:r>
    </w:p>
  </w:footnote>
  <w:footnote w:id="7">
    <w:p w14:paraId="18BFD8C3" w14:textId="43AAF47A" w:rsidR="000F3014" w:rsidRPr="0003589D" w:rsidRDefault="000F3014" w:rsidP="0003589D">
      <w:pPr>
        <w:pStyle w:val="FootnoteText"/>
        <w:rPr>
          <w:lang w:val="en-US"/>
        </w:rPr>
      </w:pPr>
      <w:r>
        <w:rPr>
          <w:rStyle w:val="FootnoteReference"/>
        </w:rPr>
        <w:footnoteRef/>
      </w:r>
      <w:r>
        <w:t xml:space="preserve"> Gahan, P. and Pekarek, A., 2013. Social movement theory, collective action frames and union theory: A critique and extension. British Journal of Industrial Relations, 51(4), pp.754-776., Morris, A., 2000. Reflections on social movement theory: Criticisms and proposals. Contemporary sociology, 29(3), pp.445-454.</w:t>
      </w:r>
    </w:p>
  </w:footnote>
  <w:footnote w:id="8">
    <w:p w14:paraId="2B1DF620" w14:textId="10310574" w:rsidR="000F3014" w:rsidRPr="0003589D" w:rsidRDefault="000F3014">
      <w:pPr>
        <w:pStyle w:val="FootnoteText"/>
        <w:rPr>
          <w:lang w:val="en-US"/>
        </w:rPr>
      </w:pPr>
      <w:r>
        <w:rPr>
          <w:rStyle w:val="FootnoteReference"/>
        </w:rPr>
        <w:footnoteRef/>
      </w:r>
      <w:r>
        <w:t xml:space="preserve"> </w:t>
      </w:r>
      <w:r w:rsidRPr="0003589D">
        <w:t>Reinecke, J. and Ansari, S., 2021. Microfoundations of framing: The interactional production of collective action frames in the occupy movement. Academy of Management Journal, 64(2), pp.378-408; Gray, B., Purdy, J.M. and Ansari, S., 2015. From interactions to institutions: Microprocesses of framing and mechanisms for the structuring of institutional fields. Academy of management review, 40(1), pp.115-143.</w:t>
      </w:r>
    </w:p>
  </w:footnote>
  <w:footnote w:id="9">
    <w:p w14:paraId="592EEFA8" w14:textId="1BDE796A" w:rsidR="000F3014" w:rsidRPr="0003589D" w:rsidRDefault="000F3014">
      <w:pPr>
        <w:pStyle w:val="FootnoteText"/>
        <w:rPr>
          <w:lang w:val="en-US"/>
        </w:rPr>
      </w:pPr>
      <w:r>
        <w:rPr>
          <w:rStyle w:val="FootnoteReference"/>
        </w:rPr>
        <w:footnoteRef/>
      </w:r>
      <w:r>
        <w:t xml:space="preserve"> </w:t>
      </w:r>
      <w:r w:rsidRPr="0003589D">
        <w:t>Coker, R, Atun, R, &amp; McKee, M 2008, Health Systems and the Challenge of Communicable Diseases: Experiences from Europe and Latin America, McGraw-Hill Education, Berkshire. Available from: ProQuest Ebook Central.</w:t>
      </w:r>
    </w:p>
  </w:footnote>
  <w:footnote w:id="10">
    <w:p w14:paraId="150EA9E6" w14:textId="5D8E4EEF" w:rsidR="000F3014" w:rsidRPr="0003589D" w:rsidRDefault="000F3014">
      <w:pPr>
        <w:pStyle w:val="FootnoteText"/>
        <w:rPr>
          <w:lang w:val="en-US"/>
        </w:rPr>
      </w:pPr>
      <w:r>
        <w:rPr>
          <w:rStyle w:val="FootnoteReference"/>
        </w:rPr>
        <w:footnoteRef/>
      </w:r>
      <w:r>
        <w:t xml:space="preserve"> </w:t>
      </w:r>
      <w:r w:rsidRPr="0003589D">
        <w:t>Weick, K.E., 1995. Sensemaking in organizations (Vol. 3). Sage., Holt, R. and Cornelissen, J., 2014. Sensemaking revisited. Management Learning, 45(5), pp.525-539</w:t>
      </w:r>
      <w:r>
        <w:t>.</w:t>
      </w:r>
    </w:p>
  </w:footnote>
  <w:footnote w:id="11">
    <w:p w14:paraId="2E25FC08" w14:textId="3ACEBAF4" w:rsidR="000F3014" w:rsidRPr="0003589D" w:rsidRDefault="000F3014">
      <w:pPr>
        <w:pStyle w:val="FootnoteText"/>
        <w:rPr>
          <w:lang w:val="en-US"/>
        </w:rPr>
      </w:pPr>
      <w:r>
        <w:rPr>
          <w:rStyle w:val="FootnoteReference"/>
        </w:rPr>
        <w:footnoteRef/>
      </w:r>
      <w:r>
        <w:t xml:space="preserve"> </w:t>
      </w:r>
      <w:r w:rsidRPr="0003589D">
        <w:t>Ibid</w:t>
      </w:r>
    </w:p>
  </w:footnote>
  <w:footnote w:id="12">
    <w:p w14:paraId="32A5396A" w14:textId="63E3C72E" w:rsidR="000F3014" w:rsidRPr="0003589D" w:rsidRDefault="000F3014">
      <w:pPr>
        <w:pStyle w:val="FootnoteText"/>
        <w:rPr>
          <w:lang w:val="en-US"/>
        </w:rPr>
      </w:pPr>
      <w:r>
        <w:rPr>
          <w:rStyle w:val="FootnoteReference"/>
        </w:rPr>
        <w:footnoteRef/>
      </w:r>
      <w:r>
        <w:t xml:space="preserve"> </w:t>
      </w:r>
      <w:r w:rsidRPr="0003589D">
        <w:t>Ibid</w:t>
      </w:r>
    </w:p>
  </w:footnote>
  <w:footnote w:id="13">
    <w:p w14:paraId="42F1DAE3" w14:textId="262F6A46" w:rsidR="000F3014" w:rsidRPr="0003589D" w:rsidRDefault="000F3014">
      <w:pPr>
        <w:pStyle w:val="FootnoteText"/>
        <w:rPr>
          <w:lang w:val="en-US"/>
        </w:rPr>
      </w:pPr>
      <w:r>
        <w:rPr>
          <w:rStyle w:val="FootnoteReference"/>
        </w:rPr>
        <w:footnoteRef/>
      </w:r>
      <w:r>
        <w:t xml:space="preserve"> </w:t>
      </w:r>
      <w:r w:rsidRPr="0003589D">
        <w:t>13 Michie, S., Atkins, L. and West, R., 2014. The behaviour change wheel. A guide to designing interventions. 1st ed. Great Britain: Silverback Publishing, pp.1003-1010., Michie, S., Van Stralen, M.M. and West, R., 2011. The behaviour change wheel: a new method for characterising and designing behaviour change interventions. Implementation science, 6(1), pp.1-12.</w:t>
      </w:r>
    </w:p>
  </w:footnote>
  <w:footnote w:id="14">
    <w:p w14:paraId="69F56C77" w14:textId="788B50AE" w:rsidR="000F3014" w:rsidRPr="0003589D" w:rsidRDefault="000F3014">
      <w:pPr>
        <w:pStyle w:val="FootnoteText"/>
        <w:rPr>
          <w:lang w:val="en-US"/>
        </w:rPr>
      </w:pPr>
      <w:r>
        <w:rPr>
          <w:rStyle w:val="FootnoteReference"/>
        </w:rPr>
        <w:footnoteRef/>
      </w:r>
      <w:r>
        <w:t xml:space="preserve"> </w:t>
      </w:r>
      <w:r w:rsidRPr="0003589D">
        <w:t>Ibid</w:t>
      </w:r>
    </w:p>
  </w:footnote>
  <w:footnote w:id="15">
    <w:p w14:paraId="02000D0F" w14:textId="13A3288D" w:rsidR="000F3014" w:rsidRPr="0003589D" w:rsidRDefault="000F3014">
      <w:pPr>
        <w:pStyle w:val="FootnoteText"/>
        <w:rPr>
          <w:lang w:val="en-US"/>
        </w:rPr>
      </w:pPr>
      <w:r>
        <w:rPr>
          <w:rStyle w:val="FootnoteReference"/>
        </w:rPr>
        <w:footnoteRef/>
      </w:r>
      <w:r>
        <w:t xml:space="preserve"> </w:t>
      </w:r>
      <w:r w:rsidRPr="0003589D">
        <w:t>Ibid</w:t>
      </w:r>
    </w:p>
  </w:footnote>
  <w:footnote w:id="16">
    <w:p w14:paraId="605873CB" w14:textId="143D4F6A" w:rsidR="000F3014" w:rsidRPr="0003589D" w:rsidRDefault="000F3014">
      <w:pPr>
        <w:pStyle w:val="FootnoteText"/>
        <w:rPr>
          <w:lang w:val="en-US"/>
        </w:rPr>
      </w:pPr>
      <w:r>
        <w:rPr>
          <w:rStyle w:val="FootnoteReference"/>
        </w:rPr>
        <w:footnoteRef/>
      </w:r>
      <w:r>
        <w:t xml:space="preserve"> </w:t>
      </w:r>
      <w:r w:rsidRPr="0003589D">
        <w:t>Ryan, R.M. and Deci, E.L., 2000. Intrinsic and extrinsic motivations: Classic definitions and new directions. Contemporary educational psychology, 25(1), pp.54-67., Vallerand, R.J., 1997. Toward a hierarchical model of intrinsic and extrinsic motivation. In Advances in experimental social psychology (Vol. 29, pp. 271-360). Academic Press.</w:t>
      </w:r>
    </w:p>
  </w:footnote>
  <w:footnote w:id="17">
    <w:p w14:paraId="6C5D0897" w14:textId="02A0E893" w:rsidR="000F3014" w:rsidRDefault="000F3014">
      <w:pPr>
        <w:pStyle w:val="FootnoteText"/>
      </w:pPr>
      <w:r>
        <w:rPr>
          <w:rStyle w:val="FootnoteReference"/>
        </w:rPr>
        <w:footnoteRef/>
      </w:r>
      <w:r>
        <w:t xml:space="preserve"> </w:t>
      </w:r>
      <w:r w:rsidRPr="0003589D">
        <w:t>Levesque, J.F. and Sutherland, K., 2017. What role does performance information play in securing improvement in healthcare? A conceptual framework for levers of change. BMJ open, 7(8), p.e014825.</w:t>
      </w:r>
    </w:p>
    <w:p w14:paraId="7206F2EA" w14:textId="149692AC" w:rsidR="000F3014" w:rsidRPr="0003589D" w:rsidRDefault="000F3014" w:rsidP="0003589D">
      <w:pPr>
        <w:pStyle w:val="FootnoteText"/>
        <w:ind w:firstLine="0"/>
        <w:rPr>
          <w:lang w:val="en-US"/>
        </w:rPr>
      </w:pPr>
      <w:r w:rsidRPr="0003589D">
        <w:rPr>
          <w:lang w:val="en-US"/>
        </w:rPr>
        <w:t>Foster-Fishman, P.G. and Behrens, T.R., 2007. Systems change reborn: Rethinking our theories, methods, and efforts in human services reform and community-based change. American journal of community psychology, 39(3), pp.191-196.,; This, A., 2000. WITH A LEVER.</w:t>
      </w:r>
    </w:p>
  </w:footnote>
  <w:footnote w:id="18">
    <w:p w14:paraId="4E4EB808" w14:textId="78F1FF8B" w:rsidR="000F3014" w:rsidRPr="0003589D" w:rsidRDefault="000F3014">
      <w:pPr>
        <w:pStyle w:val="FootnoteText"/>
        <w:rPr>
          <w:lang w:val="en-US"/>
        </w:rPr>
      </w:pPr>
      <w:r>
        <w:rPr>
          <w:rStyle w:val="FootnoteReference"/>
        </w:rPr>
        <w:footnoteRef/>
      </w:r>
      <w:r>
        <w:t xml:space="preserve"> </w:t>
      </w:r>
      <w:r w:rsidRPr="0003589D">
        <w:t>Ryan, R.M. and Deci, E.L., 2000. Intrinsic and extrinsic motivations: Classic definitions and new directions. Contemporary educational psychology, 25(1), pp.54-67., Vallerand, R.J., 1997. Toward a hierarchical model of intrinsic and extrinsic motivation. In Advances in experimental social psychology (Vol. 29, pp. 271-360). Academic Press.</w:t>
      </w:r>
    </w:p>
  </w:footnote>
  <w:footnote w:id="19">
    <w:p w14:paraId="57C7A565" w14:textId="636030D4" w:rsidR="000F3014" w:rsidRPr="0003589D" w:rsidRDefault="000F3014">
      <w:pPr>
        <w:pStyle w:val="FootnoteText"/>
        <w:rPr>
          <w:lang w:val="en-US"/>
        </w:rPr>
      </w:pPr>
      <w:r>
        <w:rPr>
          <w:rStyle w:val="FootnoteReference"/>
        </w:rPr>
        <w:footnoteRef/>
      </w:r>
      <w:r>
        <w:t xml:space="preserve"> </w:t>
      </w:r>
      <w:r w:rsidRPr="0003589D">
        <w:t>Hassan, Z., 2014. The social labs revolution: A new approach to solving our most complex challenges. Berrett-Koehler Publishers.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0F3014" w:rsidRDefault="000F3014"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0F3014" w:rsidRDefault="000F3014"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0F3014" w:rsidRDefault="000F30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811"/>
    <w:multiLevelType w:val="hybridMultilevel"/>
    <w:tmpl w:val="F878CBFE"/>
    <w:lvl w:ilvl="0" w:tplc="5C3CDA24">
      <w:numFmt w:val="bullet"/>
      <w:lvlText w:val="•"/>
      <w:lvlJc w:val="left"/>
      <w:pPr>
        <w:ind w:left="266" w:hanging="227"/>
      </w:pPr>
      <w:rPr>
        <w:rFonts w:ascii="Arial" w:eastAsia="Arial" w:hAnsi="Arial" w:cs="Arial" w:hint="default"/>
        <w:b w:val="0"/>
        <w:bCs w:val="0"/>
        <w:i w:val="0"/>
        <w:iCs w:val="0"/>
        <w:color w:val="4B4FA1"/>
        <w:w w:val="149"/>
        <w:sz w:val="18"/>
        <w:szCs w:val="18"/>
        <w:lang w:val="en-US" w:eastAsia="en-US" w:bidi="ar-SA"/>
      </w:rPr>
    </w:lvl>
    <w:lvl w:ilvl="1" w:tplc="3B64FE84">
      <w:numFmt w:val="bullet"/>
      <w:lvlText w:val="•"/>
      <w:lvlJc w:val="left"/>
      <w:pPr>
        <w:ind w:left="475" w:hanging="227"/>
      </w:pPr>
      <w:rPr>
        <w:rFonts w:hint="default"/>
        <w:lang w:val="en-US" w:eastAsia="en-US" w:bidi="ar-SA"/>
      </w:rPr>
    </w:lvl>
    <w:lvl w:ilvl="2" w:tplc="AFB2BF32">
      <w:numFmt w:val="bullet"/>
      <w:lvlText w:val="•"/>
      <w:lvlJc w:val="left"/>
      <w:pPr>
        <w:ind w:left="690" w:hanging="227"/>
      </w:pPr>
      <w:rPr>
        <w:rFonts w:hint="default"/>
        <w:lang w:val="en-US" w:eastAsia="en-US" w:bidi="ar-SA"/>
      </w:rPr>
    </w:lvl>
    <w:lvl w:ilvl="3" w:tplc="56685B64">
      <w:numFmt w:val="bullet"/>
      <w:lvlText w:val="•"/>
      <w:lvlJc w:val="left"/>
      <w:pPr>
        <w:ind w:left="905" w:hanging="227"/>
      </w:pPr>
      <w:rPr>
        <w:rFonts w:hint="default"/>
        <w:lang w:val="en-US" w:eastAsia="en-US" w:bidi="ar-SA"/>
      </w:rPr>
    </w:lvl>
    <w:lvl w:ilvl="4" w:tplc="60E481D2">
      <w:numFmt w:val="bullet"/>
      <w:lvlText w:val="•"/>
      <w:lvlJc w:val="left"/>
      <w:pPr>
        <w:ind w:left="1120" w:hanging="227"/>
      </w:pPr>
      <w:rPr>
        <w:rFonts w:hint="default"/>
        <w:lang w:val="en-US" w:eastAsia="en-US" w:bidi="ar-SA"/>
      </w:rPr>
    </w:lvl>
    <w:lvl w:ilvl="5" w:tplc="FA3C52C8">
      <w:numFmt w:val="bullet"/>
      <w:lvlText w:val="•"/>
      <w:lvlJc w:val="left"/>
      <w:pPr>
        <w:ind w:left="1335" w:hanging="227"/>
      </w:pPr>
      <w:rPr>
        <w:rFonts w:hint="default"/>
        <w:lang w:val="en-US" w:eastAsia="en-US" w:bidi="ar-SA"/>
      </w:rPr>
    </w:lvl>
    <w:lvl w:ilvl="6" w:tplc="4C20E7F8">
      <w:numFmt w:val="bullet"/>
      <w:lvlText w:val="•"/>
      <w:lvlJc w:val="left"/>
      <w:pPr>
        <w:ind w:left="1550" w:hanging="227"/>
      </w:pPr>
      <w:rPr>
        <w:rFonts w:hint="default"/>
        <w:lang w:val="en-US" w:eastAsia="en-US" w:bidi="ar-SA"/>
      </w:rPr>
    </w:lvl>
    <w:lvl w:ilvl="7" w:tplc="9F52B308">
      <w:numFmt w:val="bullet"/>
      <w:lvlText w:val="•"/>
      <w:lvlJc w:val="left"/>
      <w:pPr>
        <w:ind w:left="1765" w:hanging="227"/>
      </w:pPr>
      <w:rPr>
        <w:rFonts w:hint="default"/>
        <w:lang w:val="en-US" w:eastAsia="en-US" w:bidi="ar-SA"/>
      </w:rPr>
    </w:lvl>
    <w:lvl w:ilvl="8" w:tplc="E8AA6800">
      <w:numFmt w:val="bullet"/>
      <w:lvlText w:val="•"/>
      <w:lvlJc w:val="left"/>
      <w:pPr>
        <w:ind w:left="1980" w:hanging="227"/>
      </w:pPr>
      <w:rPr>
        <w:rFonts w:hint="default"/>
        <w:lang w:val="en-US" w:eastAsia="en-US" w:bidi="ar-SA"/>
      </w:rPr>
    </w:lvl>
  </w:abstractNum>
  <w:abstractNum w:abstractNumId="1" w15:restartNumberingAfterBreak="0">
    <w:nsid w:val="038C354E"/>
    <w:multiLevelType w:val="hybridMultilevel"/>
    <w:tmpl w:val="5450EF82"/>
    <w:lvl w:ilvl="0" w:tplc="E6E6CCD0">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C7AEDD94">
      <w:numFmt w:val="bullet"/>
      <w:lvlText w:val="•"/>
      <w:lvlJc w:val="left"/>
      <w:pPr>
        <w:ind w:left="731" w:hanging="227"/>
      </w:pPr>
      <w:rPr>
        <w:rFonts w:hint="default"/>
        <w:lang w:val="en-US" w:eastAsia="en-US" w:bidi="ar-SA"/>
      </w:rPr>
    </w:lvl>
    <w:lvl w:ilvl="2" w:tplc="171E59EC">
      <w:numFmt w:val="bullet"/>
      <w:lvlText w:val="•"/>
      <w:lvlJc w:val="left"/>
      <w:pPr>
        <w:ind w:left="1142" w:hanging="227"/>
      </w:pPr>
      <w:rPr>
        <w:rFonts w:hint="default"/>
        <w:lang w:val="en-US" w:eastAsia="en-US" w:bidi="ar-SA"/>
      </w:rPr>
    </w:lvl>
    <w:lvl w:ilvl="3" w:tplc="1BC4A578">
      <w:numFmt w:val="bullet"/>
      <w:lvlText w:val="•"/>
      <w:lvlJc w:val="left"/>
      <w:pPr>
        <w:ind w:left="1553" w:hanging="227"/>
      </w:pPr>
      <w:rPr>
        <w:rFonts w:hint="default"/>
        <w:lang w:val="en-US" w:eastAsia="en-US" w:bidi="ar-SA"/>
      </w:rPr>
    </w:lvl>
    <w:lvl w:ilvl="4" w:tplc="5CE09572">
      <w:numFmt w:val="bullet"/>
      <w:lvlText w:val="•"/>
      <w:lvlJc w:val="left"/>
      <w:pPr>
        <w:ind w:left="1964" w:hanging="227"/>
      </w:pPr>
      <w:rPr>
        <w:rFonts w:hint="default"/>
        <w:lang w:val="en-US" w:eastAsia="en-US" w:bidi="ar-SA"/>
      </w:rPr>
    </w:lvl>
    <w:lvl w:ilvl="5" w:tplc="BCD24CDC">
      <w:numFmt w:val="bullet"/>
      <w:lvlText w:val="•"/>
      <w:lvlJc w:val="left"/>
      <w:pPr>
        <w:ind w:left="2375" w:hanging="227"/>
      </w:pPr>
      <w:rPr>
        <w:rFonts w:hint="default"/>
        <w:lang w:val="en-US" w:eastAsia="en-US" w:bidi="ar-SA"/>
      </w:rPr>
    </w:lvl>
    <w:lvl w:ilvl="6" w:tplc="2076D66C">
      <w:numFmt w:val="bullet"/>
      <w:lvlText w:val="•"/>
      <w:lvlJc w:val="left"/>
      <w:pPr>
        <w:ind w:left="2786" w:hanging="227"/>
      </w:pPr>
      <w:rPr>
        <w:rFonts w:hint="default"/>
        <w:lang w:val="en-US" w:eastAsia="en-US" w:bidi="ar-SA"/>
      </w:rPr>
    </w:lvl>
    <w:lvl w:ilvl="7" w:tplc="6F885790">
      <w:numFmt w:val="bullet"/>
      <w:lvlText w:val="•"/>
      <w:lvlJc w:val="left"/>
      <w:pPr>
        <w:ind w:left="3197" w:hanging="227"/>
      </w:pPr>
      <w:rPr>
        <w:rFonts w:hint="default"/>
        <w:lang w:val="en-US" w:eastAsia="en-US" w:bidi="ar-SA"/>
      </w:rPr>
    </w:lvl>
    <w:lvl w:ilvl="8" w:tplc="AAA05CA6">
      <w:numFmt w:val="bullet"/>
      <w:lvlText w:val="•"/>
      <w:lvlJc w:val="left"/>
      <w:pPr>
        <w:ind w:left="3608" w:hanging="227"/>
      </w:pPr>
      <w:rPr>
        <w:rFonts w:hint="default"/>
        <w:lang w:val="en-US" w:eastAsia="en-US" w:bidi="ar-SA"/>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4"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6905F9"/>
    <w:multiLevelType w:val="hybridMultilevel"/>
    <w:tmpl w:val="B2DAFAFE"/>
    <w:lvl w:ilvl="0" w:tplc="8FCE545C">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9EA4A7DC">
      <w:numFmt w:val="bullet"/>
      <w:lvlText w:val="–"/>
      <w:lvlJc w:val="left"/>
      <w:pPr>
        <w:ind w:left="542" w:hanging="227"/>
      </w:pPr>
      <w:rPr>
        <w:rFonts w:ascii="Arial" w:eastAsia="Arial" w:hAnsi="Arial" w:cs="Arial" w:hint="default"/>
        <w:b w:val="0"/>
        <w:bCs w:val="0"/>
        <w:i w:val="0"/>
        <w:iCs w:val="0"/>
        <w:color w:val="4B4FA1"/>
        <w:w w:val="89"/>
        <w:sz w:val="18"/>
        <w:szCs w:val="18"/>
        <w:lang w:val="en-US" w:eastAsia="en-US" w:bidi="ar-SA"/>
      </w:rPr>
    </w:lvl>
    <w:lvl w:ilvl="2" w:tplc="1A962E42">
      <w:numFmt w:val="bullet"/>
      <w:lvlText w:val="•"/>
      <w:lvlJc w:val="left"/>
      <w:pPr>
        <w:ind w:left="972" w:hanging="227"/>
      </w:pPr>
      <w:rPr>
        <w:rFonts w:hint="default"/>
        <w:lang w:val="en-US" w:eastAsia="en-US" w:bidi="ar-SA"/>
      </w:rPr>
    </w:lvl>
    <w:lvl w:ilvl="3" w:tplc="F08018BE">
      <w:numFmt w:val="bullet"/>
      <w:lvlText w:val="•"/>
      <w:lvlJc w:val="left"/>
      <w:pPr>
        <w:ind w:left="1404" w:hanging="227"/>
      </w:pPr>
      <w:rPr>
        <w:rFonts w:hint="default"/>
        <w:lang w:val="en-US" w:eastAsia="en-US" w:bidi="ar-SA"/>
      </w:rPr>
    </w:lvl>
    <w:lvl w:ilvl="4" w:tplc="71741056">
      <w:numFmt w:val="bullet"/>
      <w:lvlText w:val="•"/>
      <w:lvlJc w:val="left"/>
      <w:pPr>
        <w:ind w:left="1836" w:hanging="227"/>
      </w:pPr>
      <w:rPr>
        <w:rFonts w:hint="default"/>
        <w:lang w:val="en-US" w:eastAsia="en-US" w:bidi="ar-SA"/>
      </w:rPr>
    </w:lvl>
    <w:lvl w:ilvl="5" w:tplc="0AF0F894">
      <w:numFmt w:val="bullet"/>
      <w:lvlText w:val="•"/>
      <w:lvlJc w:val="left"/>
      <w:pPr>
        <w:ind w:left="2268" w:hanging="227"/>
      </w:pPr>
      <w:rPr>
        <w:rFonts w:hint="default"/>
        <w:lang w:val="en-US" w:eastAsia="en-US" w:bidi="ar-SA"/>
      </w:rPr>
    </w:lvl>
    <w:lvl w:ilvl="6" w:tplc="FAC27A52">
      <w:numFmt w:val="bullet"/>
      <w:lvlText w:val="•"/>
      <w:lvlJc w:val="left"/>
      <w:pPr>
        <w:ind w:left="2701" w:hanging="227"/>
      </w:pPr>
      <w:rPr>
        <w:rFonts w:hint="default"/>
        <w:lang w:val="en-US" w:eastAsia="en-US" w:bidi="ar-SA"/>
      </w:rPr>
    </w:lvl>
    <w:lvl w:ilvl="7" w:tplc="38F22FC8">
      <w:numFmt w:val="bullet"/>
      <w:lvlText w:val="•"/>
      <w:lvlJc w:val="left"/>
      <w:pPr>
        <w:ind w:left="3133" w:hanging="227"/>
      </w:pPr>
      <w:rPr>
        <w:rFonts w:hint="default"/>
        <w:lang w:val="en-US" w:eastAsia="en-US" w:bidi="ar-SA"/>
      </w:rPr>
    </w:lvl>
    <w:lvl w:ilvl="8" w:tplc="60644484">
      <w:numFmt w:val="bullet"/>
      <w:lvlText w:val="•"/>
      <w:lvlJc w:val="left"/>
      <w:pPr>
        <w:ind w:left="3565" w:hanging="227"/>
      </w:pPr>
      <w:rPr>
        <w:rFonts w:hint="default"/>
        <w:lang w:val="en-US" w:eastAsia="en-US" w:bidi="ar-SA"/>
      </w:rPr>
    </w:lvl>
  </w:abstractNum>
  <w:abstractNum w:abstractNumId="6"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8"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10"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CD84DA5"/>
    <w:multiLevelType w:val="hybridMultilevel"/>
    <w:tmpl w:val="F5FA2D9C"/>
    <w:lvl w:ilvl="0" w:tplc="461AE9B8">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B6E87F80">
      <w:numFmt w:val="bullet"/>
      <w:lvlText w:val="•"/>
      <w:lvlJc w:val="left"/>
      <w:pPr>
        <w:ind w:left="540" w:hanging="227"/>
      </w:pPr>
      <w:rPr>
        <w:rFonts w:hint="default"/>
        <w:lang w:val="en-US" w:eastAsia="en-US" w:bidi="ar-SA"/>
      </w:rPr>
    </w:lvl>
    <w:lvl w:ilvl="2" w:tplc="BF14E172">
      <w:numFmt w:val="bullet"/>
      <w:lvlText w:val="•"/>
      <w:lvlJc w:val="left"/>
      <w:pPr>
        <w:ind w:left="972" w:hanging="227"/>
      </w:pPr>
      <w:rPr>
        <w:rFonts w:hint="default"/>
        <w:lang w:val="en-US" w:eastAsia="en-US" w:bidi="ar-SA"/>
      </w:rPr>
    </w:lvl>
    <w:lvl w:ilvl="3" w:tplc="6C546166">
      <w:numFmt w:val="bullet"/>
      <w:lvlText w:val="•"/>
      <w:lvlJc w:val="left"/>
      <w:pPr>
        <w:ind w:left="1404" w:hanging="227"/>
      </w:pPr>
      <w:rPr>
        <w:rFonts w:hint="default"/>
        <w:lang w:val="en-US" w:eastAsia="en-US" w:bidi="ar-SA"/>
      </w:rPr>
    </w:lvl>
    <w:lvl w:ilvl="4" w:tplc="EFE4B946">
      <w:numFmt w:val="bullet"/>
      <w:lvlText w:val="•"/>
      <w:lvlJc w:val="left"/>
      <w:pPr>
        <w:ind w:left="1836" w:hanging="227"/>
      </w:pPr>
      <w:rPr>
        <w:rFonts w:hint="default"/>
        <w:lang w:val="en-US" w:eastAsia="en-US" w:bidi="ar-SA"/>
      </w:rPr>
    </w:lvl>
    <w:lvl w:ilvl="5" w:tplc="44607406">
      <w:numFmt w:val="bullet"/>
      <w:lvlText w:val="•"/>
      <w:lvlJc w:val="left"/>
      <w:pPr>
        <w:ind w:left="2268" w:hanging="227"/>
      </w:pPr>
      <w:rPr>
        <w:rFonts w:hint="default"/>
        <w:lang w:val="en-US" w:eastAsia="en-US" w:bidi="ar-SA"/>
      </w:rPr>
    </w:lvl>
    <w:lvl w:ilvl="6" w:tplc="74B602B4">
      <w:numFmt w:val="bullet"/>
      <w:lvlText w:val="•"/>
      <w:lvlJc w:val="left"/>
      <w:pPr>
        <w:ind w:left="2701" w:hanging="227"/>
      </w:pPr>
      <w:rPr>
        <w:rFonts w:hint="default"/>
        <w:lang w:val="en-US" w:eastAsia="en-US" w:bidi="ar-SA"/>
      </w:rPr>
    </w:lvl>
    <w:lvl w:ilvl="7" w:tplc="227A034E">
      <w:numFmt w:val="bullet"/>
      <w:lvlText w:val="•"/>
      <w:lvlJc w:val="left"/>
      <w:pPr>
        <w:ind w:left="3133" w:hanging="227"/>
      </w:pPr>
      <w:rPr>
        <w:rFonts w:hint="default"/>
        <w:lang w:val="en-US" w:eastAsia="en-US" w:bidi="ar-SA"/>
      </w:rPr>
    </w:lvl>
    <w:lvl w:ilvl="8" w:tplc="22E63D7E">
      <w:numFmt w:val="bullet"/>
      <w:lvlText w:val="•"/>
      <w:lvlJc w:val="left"/>
      <w:pPr>
        <w:ind w:left="3565" w:hanging="227"/>
      </w:pPr>
      <w:rPr>
        <w:rFonts w:hint="default"/>
        <w:lang w:val="en-US" w:eastAsia="en-US" w:bidi="ar-SA"/>
      </w:rPr>
    </w:lvl>
  </w:abstractNum>
  <w:abstractNum w:abstractNumId="13"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4"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762C19"/>
    <w:multiLevelType w:val="hybridMultilevel"/>
    <w:tmpl w:val="FE3AABEC"/>
    <w:lvl w:ilvl="0" w:tplc="F3A0FC28">
      <w:numFmt w:val="bullet"/>
      <w:lvlText w:val="•"/>
      <w:lvlJc w:val="left"/>
      <w:pPr>
        <w:ind w:left="386" w:hanging="227"/>
      </w:pPr>
      <w:rPr>
        <w:rFonts w:ascii="Arial" w:eastAsia="Arial" w:hAnsi="Arial" w:cs="Arial" w:hint="default"/>
        <w:b w:val="0"/>
        <w:bCs w:val="0"/>
        <w:i w:val="0"/>
        <w:iCs w:val="0"/>
        <w:color w:val="4B4FA1"/>
        <w:w w:val="149"/>
        <w:sz w:val="18"/>
        <w:szCs w:val="18"/>
        <w:lang w:val="en-US" w:eastAsia="en-US" w:bidi="ar-SA"/>
      </w:rPr>
    </w:lvl>
    <w:lvl w:ilvl="1" w:tplc="55B6AFA6">
      <w:numFmt w:val="bullet"/>
      <w:lvlText w:val="•"/>
      <w:lvlJc w:val="left"/>
      <w:pPr>
        <w:ind w:left="595" w:hanging="227"/>
      </w:pPr>
      <w:rPr>
        <w:rFonts w:hint="default"/>
        <w:lang w:val="en-US" w:eastAsia="en-US" w:bidi="ar-SA"/>
      </w:rPr>
    </w:lvl>
    <w:lvl w:ilvl="2" w:tplc="E80475BE">
      <w:numFmt w:val="bullet"/>
      <w:lvlText w:val="•"/>
      <w:lvlJc w:val="left"/>
      <w:pPr>
        <w:ind w:left="810" w:hanging="227"/>
      </w:pPr>
      <w:rPr>
        <w:rFonts w:hint="default"/>
        <w:lang w:val="en-US" w:eastAsia="en-US" w:bidi="ar-SA"/>
      </w:rPr>
    </w:lvl>
    <w:lvl w:ilvl="3" w:tplc="7C44C368">
      <w:numFmt w:val="bullet"/>
      <w:lvlText w:val="•"/>
      <w:lvlJc w:val="left"/>
      <w:pPr>
        <w:ind w:left="1025" w:hanging="227"/>
      </w:pPr>
      <w:rPr>
        <w:rFonts w:hint="default"/>
        <w:lang w:val="en-US" w:eastAsia="en-US" w:bidi="ar-SA"/>
      </w:rPr>
    </w:lvl>
    <w:lvl w:ilvl="4" w:tplc="15E68C8C">
      <w:numFmt w:val="bullet"/>
      <w:lvlText w:val="•"/>
      <w:lvlJc w:val="left"/>
      <w:pPr>
        <w:ind w:left="1240" w:hanging="227"/>
      </w:pPr>
      <w:rPr>
        <w:rFonts w:hint="default"/>
        <w:lang w:val="en-US" w:eastAsia="en-US" w:bidi="ar-SA"/>
      </w:rPr>
    </w:lvl>
    <w:lvl w:ilvl="5" w:tplc="62B07ACA">
      <w:numFmt w:val="bullet"/>
      <w:lvlText w:val="•"/>
      <w:lvlJc w:val="left"/>
      <w:pPr>
        <w:ind w:left="1455" w:hanging="227"/>
      </w:pPr>
      <w:rPr>
        <w:rFonts w:hint="default"/>
        <w:lang w:val="en-US" w:eastAsia="en-US" w:bidi="ar-SA"/>
      </w:rPr>
    </w:lvl>
    <w:lvl w:ilvl="6" w:tplc="33E06A32">
      <w:numFmt w:val="bullet"/>
      <w:lvlText w:val="•"/>
      <w:lvlJc w:val="left"/>
      <w:pPr>
        <w:ind w:left="1670" w:hanging="227"/>
      </w:pPr>
      <w:rPr>
        <w:rFonts w:hint="default"/>
        <w:lang w:val="en-US" w:eastAsia="en-US" w:bidi="ar-SA"/>
      </w:rPr>
    </w:lvl>
    <w:lvl w:ilvl="7" w:tplc="63E24EBA">
      <w:numFmt w:val="bullet"/>
      <w:lvlText w:val="•"/>
      <w:lvlJc w:val="left"/>
      <w:pPr>
        <w:ind w:left="1885" w:hanging="227"/>
      </w:pPr>
      <w:rPr>
        <w:rFonts w:hint="default"/>
        <w:lang w:val="en-US" w:eastAsia="en-US" w:bidi="ar-SA"/>
      </w:rPr>
    </w:lvl>
    <w:lvl w:ilvl="8" w:tplc="CC1CFA7A">
      <w:numFmt w:val="bullet"/>
      <w:lvlText w:val="•"/>
      <w:lvlJc w:val="left"/>
      <w:pPr>
        <w:ind w:left="2100" w:hanging="227"/>
      </w:pPr>
      <w:rPr>
        <w:rFonts w:hint="default"/>
        <w:lang w:val="en-US" w:eastAsia="en-US" w:bidi="ar-SA"/>
      </w:rPr>
    </w:lvl>
  </w:abstractNum>
  <w:abstractNum w:abstractNumId="16"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7" w15:restartNumberingAfterBreak="0">
    <w:nsid w:val="27DD70A1"/>
    <w:multiLevelType w:val="hybridMultilevel"/>
    <w:tmpl w:val="432A2316"/>
    <w:lvl w:ilvl="0" w:tplc="7F12502E">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74263692">
      <w:numFmt w:val="bullet"/>
      <w:lvlText w:val="•"/>
      <w:lvlJc w:val="left"/>
      <w:pPr>
        <w:ind w:left="591" w:hanging="227"/>
      </w:pPr>
      <w:rPr>
        <w:rFonts w:hint="default"/>
        <w:lang w:val="en-US" w:eastAsia="en-US" w:bidi="ar-SA"/>
      </w:rPr>
    </w:lvl>
    <w:lvl w:ilvl="2" w:tplc="0A4C64E4">
      <w:numFmt w:val="bullet"/>
      <w:lvlText w:val="•"/>
      <w:lvlJc w:val="left"/>
      <w:pPr>
        <w:ind w:left="802" w:hanging="227"/>
      </w:pPr>
      <w:rPr>
        <w:rFonts w:hint="default"/>
        <w:lang w:val="en-US" w:eastAsia="en-US" w:bidi="ar-SA"/>
      </w:rPr>
    </w:lvl>
    <w:lvl w:ilvl="3" w:tplc="D868AAF0">
      <w:numFmt w:val="bullet"/>
      <w:lvlText w:val="•"/>
      <w:lvlJc w:val="left"/>
      <w:pPr>
        <w:ind w:left="1013" w:hanging="227"/>
      </w:pPr>
      <w:rPr>
        <w:rFonts w:hint="default"/>
        <w:lang w:val="en-US" w:eastAsia="en-US" w:bidi="ar-SA"/>
      </w:rPr>
    </w:lvl>
    <w:lvl w:ilvl="4" w:tplc="5C989384">
      <w:numFmt w:val="bullet"/>
      <w:lvlText w:val="•"/>
      <w:lvlJc w:val="left"/>
      <w:pPr>
        <w:ind w:left="1225" w:hanging="227"/>
      </w:pPr>
      <w:rPr>
        <w:rFonts w:hint="default"/>
        <w:lang w:val="en-US" w:eastAsia="en-US" w:bidi="ar-SA"/>
      </w:rPr>
    </w:lvl>
    <w:lvl w:ilvl="5" w:tplc="9F98259A">
      <w:numFmt w:val="bullet"/>
      <w:lvlText w:val="•"/>
      <w:lvlJc w:val="left"/>
      <w:pPr>
        <w:ind w:left="1436" w:hanging="227"/>
      </w:pPr>
      <w:rPr>
        <w:rFonts w:hint="default"/>
        <w:lang w:val="en-US" w:eastAsia="en-US" w:bidi="ar-SA"/>
      </w:rPr>
    </w:lvl>
    <w:lvl w:ilvl="6" w:tplc="F0DCCF18">
      <w:numFmt w:val="bullet"/>
      <w:lvlText w:val="•"/>
      <w:lvlJc w:val="left"/>
      <w:pPr>
        <w:ind w:left="1647" w:hanging="227"/>
      </w:pPr>
      <w:rPr>
        <w:rFonts w:hint="default"/>
        <w:lang w:val="en-US" w:eastAsia="en-US" w:bidi="ar-SA"/>
      </w:rPr>
    </w:lvl>
    <w:lvl w:ilvl="7" w:tplc="6E42340C">
      <w:numFmt w:val="bullet"/>
      <w:lvlText w:val="•"/>
      <w:lvlJc w:val="left"/>
      <w:pPr>
        <w:ind w:left="1859" w:hanging="227"/>
      </w:pPr>
      <w:rPr>
        <w:rFonts w:hint="default"/>
        <w:lang w:val="en-US" w:eastAsia="en-US" w:bidi="ar-SA"/>
      </w:rPr>
    </w:lvl>
    <w:lvl w:ilvl="8" w:tplc="0BF4E558">
      <w:numFmt w:val="bullet"/>
      <w:lvlText w:val="•"/>
      <w:lvlJc w:val="left"/>
      <w:pPr>
        <w:ind w:left="2070" w:hanging="227"/>
      </w:pPr>
      <w:rPr>
        <w:rFonts w:hint="default"/>
        <w:lang w:val="en-US" w:eastAsia="en-US" w:bidi="ar-SA"/>
      </w:rPr>
    </w:lvl>
  </w:abstractNum>
  <w:abstractNum w:abstractNumId="18"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9"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20"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3108B"/>
    <w:multiLevelType w:val="hybridMultilevel"/>
    <w:tmpl w:val="A21CB236"/>
    <w:lvl w:ilvl="0" w:tplc="48F08CE4">
      <w:numFmt w:val="bullet"/>
      <w:lvlText w:val="•"/>
      <w:lvlJc w:val="left"/>
      <w:pPr>
        <w:ind w:left="386" w:hanging="227"/>
      </w:pPr>
      <w:rPr>
        <w:rFonts w:ascii="Arial" w:eastAsia="Arial" w:hAnsi="Arial" w:cs="Arial" w:hint="default"/>
        <w:b w:val="0"/>
        <w:bCs w:val="0"/>
        <w:i w:val="0"/>
        <w:iCs w:val="0"/>
        <w:color w:val="4B4FA1"/>
        <w:w w:val="149"/>
        <w:sz w:val="18"/>
        <w:szCs w:val="18"/>
        <w:lang w:val="en-US" w:eastAsia="en-US" w:bidi="ar-SA"/>
      </w:rPr>
    </w:lvl>
    <w:lvl w:ilvl="1" w:tplc="B30C469C">
      <w:numFmt w:val="bullet"/>
      <w:lvlText w:val="•"/>
      <w:lvlJc w:val="left"/>
      <w:pPr>
        <w:ind w:left="595" w:hanging="227"/>
      </w:pPr>
      <w:rPr>
        <w:rFonts w:hint="default"/>
        <w:lang w:val="en-US" w:eastAsia="en-US" w:bidi="ar-SA"/>
      </w:rPr>
    </w:lvl>
    <w:lvl w:ilvl="2" w:tplc="1AF44BCE">
      <w:numFmt w:val="bullet"/>
      <w:lvlText w:val="•"/>
      <w:lvlJc w:val="left"/>
      <w:pPr>
        <w:ind w:left="810" w:hanging="227"/>
      </w:pPr>
      <w:rPr>
        <w:rFonts w:hint="default"/>
        <w:lang w:val="en-US" w:eastAsia="en-US" w:bidi="ar-SA"/>
      </w:rPr>
    </w:lvl>
    <w:lvl w:ilvl="3" w:tplc="B0A087BA">
      <w:numFmt w:val="bullet"/>
      <w:lvlText w:val="•"/>
      <w:lvlJc w:val="left"/>
      <w:pPr>
        <w:ind w:left="1025" w:hanging="227"/>
      </w:pPr>
      <w:rPr>
        <w:rFonts w:hint="default"/>
        <w:lang w:val="en-US" w:eastAsia="en-US" w:bidi="ar-SA"/>
      </w:rPr>
    </w:lvl>
    <w:lvl w:ilvl="4" w:tplc="69A2ED8E">
      <w:numFmt w:val="bullet"/>
      <w:lvlText w:val="•"/>
      <w:lvlJc w:val="left"/>
      <w:pPr>
        <w:ind w:left="1240" w:hanging="227"/>
      </w:pPr>
      <w:rPr>
        <w:rFonts w:hint="default"/>
        <w:lang w:val="en-US" w:eastAsia="en-US" w:bidi="ar-SA"/>
      </w:rPr>
    </w:lvl>
    <w:lvl w:ilvl="5" w:tplc="07384230">
      <w:numFmt w:val="bullet"/>
      <w:lvlText w:val="•"/>
      <w:lvlJc w:val="left"/>
      <w:pPr>
        <w:ind w:left="1455" w:hanging="227"/>
      </w:pPr>
      <w:rPr>
        <w:rFonts w:hint="default"/>
        <w:lang w:val="en-US" w:eastAsia="en-US" w:bidi="ar-SA"/>
      </w:rPr>
    </w:lvl>
    <w:lvl w:ilvl="6" w:tplc="B6487FAA">
      <w:numFmt w:val="bullet"/>
      <w:lvlText w:val="•"/>
      <w:lvlJc w:val="left"/>
      <w:pPr>
        <w:ind w:left="1670" w:hanging="227"/>
      </w:pPr>
      <w:rPr>
        <w:rFonts w:hint="default"/>
        <w:lang w:val="en-US" w:eastAsia="en-US" w:bidi="ar-SA"/>
      </w:rPr>
    </w:lvl>
    <w:lvl w:ilvl="7" w:tplc="06AC765A">
      <w:numFmt w:val="bullet"/>
      <w:lvlText w:val="•"/>
      <w:lvlJc w:val="left"/>
      <w:pPr>
        <w:ind w:left="1885" w:hanging="227"/>
      </w:pPr>
      <w:rPr>
        <w:rFonts w:hint="default"/>
        <w:lang w:val="en-US" w:eastAsia="en-US" w:bidi="ar-SA"/>
      </w:rPr>
    </w:lvl>
    <w:lvl w:ilvl="8" w:tplc="DC2ACA8C">
      <w:numFmt w:val="bullet"/>
      <w:lvlText w:val="•"/>
      <w:lvlJc w:val="left"/>
      <w:pPr>
        <w:ind w:left="2100" w:hanging="227"/>
      </w:pPr>
      <w:rPr>
        <w:rFonts w:hint="default"/>
        <w:lang w:val="en-US" w:eastAsia="en-US" w:bidi="ar-SA"/>
      </w:rPr>
    </w:lvl>
  </w:abstractNum>
  <w:abstractNum w:abstractNumId="24"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5"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6" w15:restartNumberingAfterBreak="0">
    <w:nsid w:val="58D51ADC"/>
    <w:multiLevelType w:val="hybridMultilevel"/>
    <w:tmpl w:val="3988991A"/>
    <w:lvl w:ilvl="0" w:tplc="E856E3BC">
      <w:numFmt w:val="bullet"/>
      <w:lvlText w:val="•"/>
      <w:lvlJc w:val="left"/>
      <w:pPr>
        <w:ind w:left="266" w:hanging="227"/>
      </w:pPr>
      <w:rPr>
        <w:rFonts w:ascii="Arial" w:eastAsia="Arial" w:hAnsi="Arial" w:cs="Arial" w:hint="default"/>
        <w:b w:val="0"/>
        <w:bCs w:val="0"/>
        <w:i w:val="0"/>
        <w:iCs w:val="0"/>
        <w:color w:val="4B4FA1"/>
        <w:w w:val="149"/>
        <w:sz w:val="18"/>
        <w:szCs w:val="18"/>
        <w:lang w:val="en-US" w:eastAsia="en-US" w:bidi="ar-SA"/>
      </w:rPr>
    </w:lvl>
    <w:lvl w:ilvl="1" w:tplc="23F85664">
      <w:numFmt w:val="bullet"/>
      <w:lvlText w:val="•"/>
      <w:lvlJc w:val="left"/>
      <w:pPr>
        <w:ind w:left="475" w:hanging="227"/>
      </w:pPr>
      <w:rPr>
        <w:rFonts w:hint="default"/>
        <w:lang w:val="en-US" w:eastAsia="en-US" w:bidi="ar-SA"/>
      </w:rPr>
    </w:lvl>
    <w:lvl w:ilvl="2" w:tplc="AF0AB276">
      <w:numFmt w:val="bullet"/>
      <w:lvlText w:val="•"/>
      <w:lvlJc w:val="left"/>
      <w:pPr>
        <w:ind w:left="690" w:hanging="227"/>
      </w:pPr>
      <w:rPr>
        <w:rFonts w:hint="default"/>
        <w:lang w:val="en-US" w:eastAsia="en-US" w:bidi="ar-SA"/>
      </w:rPr>
    </w:lvl>
    <w:lvl w:ilvl="3" w:tplc="00BC94F4">
      <w:numFmt w:val="bullet"/>
      <w:lvlText w:val="•"/>
      <w:lvlJc w:val="left"/>
      <w:pPr>
        <w:ind w:left="905" w:hanging="227"/>
      </w:pPr>
      <w:rPr>
        <w:rFonts w:hint="default"/>
        <w:lang w:val="en-US" w:eastAsia="en-US" w:bidi="ar-SA"/>
      </w:rPr>
    </w:lvl>
    <w:lvl w:ilvl="4" w:tplc="BD20E926">
      <w:numFmt w:val="bullet"/>
      <w:lvlText w:val="•"/>
      <w:lvlJc w:val="left"/>
      <w:pPr>
        <w:ind w:left="1120" w:hanging="227"/>
      </w:pPr>
      <w:rPr>
        <w:rFonts w:hint="default"/>
        <w:lang w:val="en-US" w:eastAsia="en-US" w:bidi="ar-SA"/>
      </w:rPr>
    </w:lvl>
    <w:lvl w:ilvl="5" w:tplc="E8A6EC0C">
      <w:numFmt w:val="bullet"/>
      <w:lvlText w:val="•"/>
      <w:lvlJc w:val="left"/>
      <w:pPr>
        <w:ind w:left="1335" w:hanging="227"/>
      </w:pPr>
      <w:rPr>
        <w:rFonts w:hint="default"/>
        <w:lang w:val="en-US" w:eastAsia="en-US" w:bidi="ar-SA"/>
      </w:rPr>
    </w:lvl>
    <w:lvl w:ilvl="6" w:tplc="400A3B04">
      <w:numFmt w:val="bullet"/>
      <w:lvlText w:val="•"/>
      <w:lvlJc w:val="left"/>
      <w:pPr>
        <w:ind w:left="1550" w:hanging="227"/>
      </w:pPr>
      <w:rPr>
        <w:rFonts w:hint="default"/>
        <w:lang w:val="en-US" w:eastAsia="en-US" w:bidi="ar-SA"/>
      </w:rPr>
    </w:lvl>
    <w:lvl w:ilvl="7" w:tplc="73F86366">
      <w:numFmt w:val="bullet"/>
      <w:lvlText w:val="•"/>
      <w:lvlJc w:val="left"/>
      <w:pPr>
        <w:ind w:left="1765" w:hanging="227"/>
      </w:pPr>
      <w:rPr>
        <w:rFonts w:hint="default"/>
        <w:lang w:val="en-US" w:eastAsia="en-US" w:bidi="ar-SA"/>
      </w:rPr>
    </w:lvl>
    <w:lvl w:ilvl="8" w:tplc="AFF6F672">
      <w:numFmt w:val="bullet"/>
      <w:lvlText w:val="•"/>
      <w:lvlJc w:val="left"/>
      <w:pPr>
        <w:ind w:left="1980" w:hanging="227"/>
      </w:pPr>
      <w:rPr>
        <w:rFonts w:hint="default"/>
        <w:lang w:val="en-US" w:eastAsia="en-US" w:bidi="ar-SA"/>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5E052974"/>
    <w:multiLevelType w:val="hybridMultilevel"/>
    <w:tmpl w:val="10AABDA6"/>
    <w:lvl w:ilvl="0" w:tplc="1DBC05C8">
      <w:numFmt w:val="bullet"/>
      <w:lvlText w:val="•"/>
      <w:lvlJc w:val="left"/>
      <w:pPr>
        <w:ind w:left="316" w:hanging="227"/>
      </w:pPr>
      <w:rPr>
        <w:rFonts w:ascii="Arial" w:eastAsia="Arial" w:hAnsi="Arial" w:cs="Arial" w:hint="default"/>
        <w:b w:val="0"/>
        <w:bCs w:val="0"/>
        <w:i w:val="0"/>
        <w:iCs w:val="0"/>
        <w:color w:val="4B4FA1"/>
        <w:w w:val="149"/>
        <w:sz w:val="18"/>
        <w:szCs w:val="18"/>
        <w:lang w:val="en-US" w:eastAsia="en-US" w:bidi="ar-SA"/>
      </w:rPr>
    </w:lvl>
    <w:lvl w:ilvl="1" w:tplc="378452FC">
      <w:numFmt w:val="bullet"/>
      <w:lvlText w:val="•"/>
      <w:lvlJc w:val="left"/>
      <w:pPr>
        <w:ind w:left="731" w:hanging="227"/>
      </w:pPr>
      <w:rPr>
        <w:rFonts w:hint="default"/>
        <w:lang w:val="en-US" w:eastAsia="en-US" w:bidi="ar-SA"/>
      </w:rPr>
    </w:lvl>
    <w:lvl w:ilvl="2" w:tplc="26528B54">
      <w:numFmt w:val="bullet"/>
      <w:lvlText w:val="•"/>
      <w:lvlJc w:val="left"/>
      <w:pPr>
        <w:ind w:left="1142" w:hanging="227"/>
      </w:pPr>
      <w:rPr>
        <w:rFonts w:hint="default"/>
        <w:lang w:val="en-US" w:eastAsia="en-US" w:bidi="ar-SA"/>
      </w:rPr>
    </w:lvl>
    <w:lvl w:ilvl="3" w:tplc="B7C6AFB2">
      <w:numFmt w:val="bullet"/>
      <w:lvlText w:val="•"/>
      <w:lvlJc w:val="left"/>
      <w:pPr>
        <w:ind w:left="1553" w:hanging="227"/>
      </w:pPr>
      <w:rPr>
        <w:rFonts w:hint="default"/>
        <w:lang w:val="en-US" w:eastAsia="en-US" w:bidi="ar-SA"/>
      </w:rPr>
    </w:lvl>
    <w:lvl w:ilvl="4" w:tplc="DB561750">
      <w:numFmt w:val="bullet"/>
      <w:lvlText w:val="•"/>
      <w:lvlJc w:val="left"/>
      <w:pPr>
        <w:ind w:left="1964" w:hanging="227"/>
      </w:pPr>
      <w:rPr>
        <w:rFonts w:hint="default"/>
        <w:lang w:val="en-US" w:eastAsia="en-US" w:bidi="ar-SA"/>
      </w:rPr>
    </w:lvl>
    <w:lvl w:ilvl="5" w:tplc="B0CAD892">
      <w:numFmt w:val="bullet"/>
      <w:lvlText w:val="•"/>
      <w:lvlJc w:val="left"/>
      <w:pPr>
        <w:ind w:left="2375" w:hanging="227"/>
      </w:pPr>
      <w:rPr>
        <w:rFonts w:hint="default"/>
        <w:lang w:val="en-US" w:eastAsia="en-US" w:bidi="ar-SA"/>
      </w:rPr>
    </w:lvl>
    <w:lvl w:ilvl="6" w:tplc="DF80F618">
      <w:numFmt w:val="bullet"/>
      <w:lvlText w:val="•"/>
      <w:lvlJc w:val="left"/>
      <w:pPr>
        <w:ind w:left="2786" w:hanging="227"/>
      </w:pPr>
      <w:rPr>
        <w:rFonts w:hint="default"/>
        <w:lang w:val="en-US" w:eastAsia="en-US" w:bidi="ar-SA"/>
      </w:rPr>
    </w:lvl>
    <w:lvl w:ilvl="7" w:tplc="7EE47A6A">
      <w:numFmt w:val="bullet"/>
      <w:lvlText w:val="•"/>
      <w:lvlJc w:val="left"/>
      <w:pPr>
        <w:ind w:left="3197" w:hanging="227"/>
      </w:pPr>
      <w:rPr>
        <w:rFonts w:hint="default"/>
        <w:lang w:val="en-US" w:eastAsia="en-US" w:bidi="ar-SA"/>
      </w:rPr>
    </w:lvl>
    <w:lvl w:ilvl="8" w:tplc="D656207E">
      <w:numFmt w:val="bullet"/>
      <w:lvlText w:val="•"/>
      <w:lvlJc w:val="left"/>
      <w:pPr>
        <w:ind w:left="3608" w:hanging="227"/>
      </w:pPr>
      <w:rPr>
        <w:rFonts w:hint="default"/>
        <w:lang w:val="en-US" w:eastAsia="en-US" w:bidi="ar-SA"/>
      </w:rPr>
    </w:lvl>
  </w:abstractNum>
  <w:abstractNum w:abstractNumId="31" w15:restartNumberingAfterBreak="0">
    <w:nsid w:val="68706720"/>
    <w:multiLevelType w:val="hybridMultilevel"/>
    <w:tmpl w:val="06D21B2E"/>
    <w:lvl w:ilvl="0" w:tplc="F960A2AC">
      <w:numFmt w:val="bullet"/>
      <w:lvlText w:val="•"/>
      <w:lvlJc w:val="left"/>
      <w:pPr>
        <w:ind w:left="662" w:hanging="360"/>
      </w:pPr>
      <w:rPr>
        <w:rFonts w:ascii="Arial" w:eastAsia="Arial" w:hAnsi="Arial" w:cs="Arial" w:hint="default"/>
        <w:b/>
        <w:bCs/>
        <w:i w:val="0"/>
        <w:iCs w:val="0"/>
        <w:color w:val="4E8AC9"/>
        <w:w w:val="149"/>
        <w:sz w:val="24"/>
        <w:szCs w:val="24"/>
        <w:lang w:val="en-US" w:eastAsia="en-US" w:bidi="ar-SA"/>
      </w:rPr>
    </w:lvl>
    <w:lvl w:ilvl="1" w:tplc="336C31D4">
      <w:numFmt w:val="bullet"/>
      <w:lvlText w:val="•"/>
      <w:lvlJc w:val="left"/>
      <w:pPr>
        <w:ind w:left="1591" w:hanging="360"/>
      </w:pPr>
      <w:rPr>
        <w:rFonts w:hint="default"/>
        <w:lang w:val="en-US" w:eastAsia="en-US" w:bidi="ar-SA"/>
      </w:rPr>
    </w:lvl>
    <w:lvl w:ilvl="2" w:tplc="0546C852">
      <w:numFmt w:val="bullet"/>
      <w:lvlText w:val="•"/>
      <w:lvlJc w:val="left"/>
      <w:pPr>
        <w:ind w:left="2523" w:hanging="360"/>
      </w:pPr>
      <w:rPr>
        <w:rFonts w:hint="default"/>
        <w:lang w:val="en-US" w:eastAsia="en-US" w:bidi="ar-SA"/>
      </w:rPr>
    </w:lvl>
    <w:lvl w:ilvl="3" w:tplc="9AB20A00">
      <w:numFmt w:val="bullet"/>
      <w:lvlText w:val="•"/>
      <w:lvlJc w:val="left"/>
      <w:pPr>
        <w:ind w:left="3455" w:hanging="360"/>
      </w:pPr>
      <w:rPr>
        <w:rFonts w:hint="default"/>
        <w:lang w:val="en-US" w:eastAsia="en-US" w:bidi="ar-SA"/>
      </w:rPr>
    </w:lvl>
    <w:lvl w:ilvl="4" w:tplc="EB94488C">
      <w:numFmt w:val="bullet"/>
      <w:lvlText w:val="•"/>
      <w:lvlJc w:val="left"/>
      <w:pPr>
        <w:ind w:left="4387" w:hanging="360"/>
      </w:pPr>
      <w:rPr>
        <w:rFonts w:hint="default"/>
        <w:lang w:val="en-US" w:eastAsia="en-US" w:bidi="ar-SA"/>
      </w:rPr>
    </w:lvl>
    <w:lvl w:ilvl="5" w:tplc="983233FA">
      <w:numFmt w:val="bullet"/>
      <w:lvlText w:val="•"/>
      <w:lvlJc w:val="left"/>
      <w:pPr>
        <w:ind w:left="5318" w:hanging="360"/>
      </w:pPr>
      <w:rPr>
        <w:rFonts w:hint="default"/>
        <w:lang w:val="en-US" w:eastAsia="en-US" w:bidi="ar-SA"/>
      </w:rPr>
    </w:lvl>
    <w:lvl w:ilvl="6" w:tplc="5D9E03DE">
      <w:numFmt w:val="bullet"/>
      <w:lvlText w:val="•"/>
      <w:lvlJc w:val="left"/>
      <w:pPr>
        <w:ind w:left="6250" w:hanging="360"/>
      </w:pPr>
      <w:rPr>
        <w:rFonts w:hint="default"/>
        <w:lang w:val="en-US" w:eastAsia="en-US" w:bidi="ar-SA"/>
      </w:rPr>
    </w:lvl>
    <w:lvl w:ilvl="7" w:tplc="B8E8230A">
      <w:numFmt w:val="bullet"/>
      <w:lvlText w:val="•"/>
      <w:lvlJc w:val="left"/>
      <w:pPr>
        <w:ind w:left="7182" w:hanging="360"/>
      </w:pPr>
      <w:rPr>
        <w:rFonts w:hint="default"/>
        <w:lang w:val="en-US" w:eastAsia="en-US" w:bidi="ar-SA"/>
      </w:rPr>
    </w:lvl>
    <w:lvl w:ilvl="8" w:tplc="885809FC">
      <w:numFmt w:val="bullet"/>
      <w:lvlText w:val="•"/>
      <w:lvlJc w:val="left"/>
      <w:pPr>
        <w:ind w:left="8114" w:hanging="360"/>
      </w:pPr>
      <w:rPr>
        <w:rFonts w:hint="default"/>
        <w:lang w:val="en-US" w:eastAsia="en-US" w:bidi="ar-SA"/>
      </w:rPr>
    </w:lvl>
  </w:abstractNum>
  <w:abstractNum w:abstractNumId="3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6" w15:restartNumberingAfterBreak="0">
    <w:nsid w:val="72AD2F1D"/>
    <w:multiLevelType w:val="hybridMultilevel"/>
    <w:tmpl w:val="4D9CC6B8"/>
    <w:lvl w:ilvl="0" w:tplc="F97CA518">
      <w:numFmt w:val="bullet"/>
      <w:lvlText w:val="–"/>
      <w:lvlJc w:val="left"/>
      <w:pPr>
        <w:ind w:left="542" w:hanging="227"/>
      </w:pPr>
      <w:rPr>
        <w:rFonts w:ascii="Arial" w:eastAsia="Arial" w:hAnsi="Arial" w:cs="Arial" w:hint="default"/>
        <w:b w:val="0"/>
        <w:bCs w:val="0"/>
        <w:i w:val="0"/>
        <w:iCs w:val="0"/>
        <w:color w:val="4B4FA1"/>
        <w:w w:val="89"/>
        <w:sz w:val="18"/>
        <w:szCs w:val="18"/>
        <w:lang w:val="en-US" w:eastAsia="en-US" w:bidi="ar-SA"/>
      </w:rPr>
    </w:lvl>
    <w:lvl w:ilvl="1" w:tplc="22C66FEA">
      <w:numFmt w:val="bullet"/>
      <w:lvlText w:val="•"/>
      <w:lvlJc w:val="left"/>
      <w:pPr>
        <w:ind w:left="929" w:hanging="227"/>
      </w:pPr>
      <w:rPr>
        <w:rFonts w:hint="default"/>
        <w:lang w:val="en-US" w:eastAsia="en-US" w:bidi="ar-SA"/>
      </w:rPr>
    </w:lvl>
    <w:lvl w:ilvl="2" w:tplc="E5FA39B0">
      <w:numFmt w:val="bullet"/>
      <w:lvlText w:val="•"/>
      <w:lvlJc w:val="left"/>
      <w:pPr>
        <w:ind w:left="1318" w:hanging="227"/>
      </w:pPr>
      <w:rPr>
        <w:rFonts w:hint="default"/>
        <w:lang w:val="en-US" w:eastAsia="en-US" w:bidi="ar-SA"/>
      </w:rPr>
    </w:lvl>
    <w:lvl w:ilvl="3" w:tplc="A3DE20E0">
      <w:numFmt w:val="bullet"/>
      <w:lvlText w:val="•"/>
      <w:lvlJc w:val="left"/>
      <w:pPr>
        <w:ind w:left="1707" w:hanging="227"/>
      </w:pPr>
      <w:rPr>
        <w:rFonts w:hint="default"/>
        <w:lang w:val="en-US" w:eastAsia="en-US" w:bidi="ar-SA"/>
      </w:rPr>
    </w:lvl>
    <w:lvl w:ilvl="4" w:tplc="B7BC46E2">
      <w:numFmt w:val="bullet"/>
      <w:lvlText w:val="•"/>
      <w:lvlJc w:val="left"/>
      <w:pPr>
        <w:ind w:left="2096" w:hanging="227"/>
      </w:pPr>
      <w:rPr>
        <w:rFonts w:hint="default"/>
        <w:lang w:val="en-US" w:eastAsia="en-US" w:bidi="ar-SA"/>
      </w:rPr>
    </w:lvl>
    <w:lvl w:ilvl="5" w:tplc="9C482048">
      <w:numFmt w:val="bullet"/>
      <w:lvlText w:val="•"/>
      <w:lvlJc w:val="left"/>
      <w:pPr>
        <w:ind w:left="2485" w:hanging="227"/>
      </w:pPr>
      <w:rPr>
        <w:rFonts w:hint="default"/>
        <w:lang w:val="en-US" w:eastAsia="en-US" w:bidi="ar-SA"/>
      </w:rPr>
    </w:lvl>
    <w:lvl w:ilvl="6" w:tplc="D09EDE66">
      <w:numFmt w:val="bullet"/>
      <w:lvlText w:val="•"/>
      <w:lvlJc w:val="left"/>
      <w:pPr>
        <w:ind w:left="2874" w:hanging="227"/>
      </w:pPr>
      <w:rPr>
        <w:rFonts w:hint="default"/>
        <w:lang w:val="en-US" w:eastAsia="en-US" w:bidi="ar-SA"/>
      </w:rPr>
    </w:lvl>
    <w:lvl w:ilvl="7" w:tplc="757A69D4">
      <w:numFmt w:val="bullet"/>
      <w:lvlText w:val="•"/>
      <w:lvlJc w:val="left"/>
      <w:pPr>
        <w:ind w:left="3263" w:hanging="227"/>
      </w:pPr>
      <w:rPr>
        <w:rFonts w:hint="default"/>
        <w:lang w:val="en-US" w:eastAsia="en-US" w:bidi="ar-SA"/>
      </w:rPr>
    </w:lvl>
    <w:lvl w:ilvl="8" w:tplc="5A8AF58A">
      <w:numFmt w:val="bullet"/>
      <w:lvlText w:val="•"/>
      <w:lvlJc w:val="left"/>
      <w:pPr>
        <w:ind w:left="3652" w:hanging="227"/>
      </w:pPr>
      <w:rPr>
        <w:rFonts w:hint="default"/>
        <w:lang w:val="en-US" w:eastAsia="en-US" w:bidi="ar-SA"/>
      </w:rPr>
    </w:lvl>
  </w:abstractNum>
  <w:abstractNum w:abstractNumId="37" w15:restartNumberingAfterBreak="0">
    <w:nsid w:val="75BE390C"/>
    <w:multiLevelType w:val="hybridMultilevel"/>
    <w:tmpl w:val="6804FFEC"/>
    <w:lvl w:ilvl="0" w:tplc="AC00012C">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6AF6C596">
      <w:numFmt w:val="bullet"/>
      <w:lvlText w:val="•"/>
      <w:lvlJc w:val="left"/>
      <w:pPr>
        <w:ind w:left="595" w:hanging="227"/>
      </w:pPr>
      <w:rPr>
        <w:rFonts w:hint="default"/>
        <w:lang w:val="en-US" w:eastAsia="en-US" w:bidi="ar-SA"/>
      </w:rPr>
    </w:lvl>
    <w:lvl w:ilvl="2" w:tplc="C186D13A">
      <w:numFmt w:val="bullet"/>
      <w:lvlText w:val="•"/>
      <w:lvlJc w:val="left"/>
      <w:pPr>
        <w:ind w:left="810" w:hanging="227"/>
      </w:pPr>
      <w:rPr>
        <w:rFonts w:hint="default"/>
        <w:lang w:val="en-US" w:eastAsia="en-US" w:bidi="ar-SA"/>
      </w:rPr>
    </w:lvl>
    <w:lvl w:ilvl="3" w:tplc="4C6A165A">
      <w:numFmt w:val="bullet"/>
      <w:lvlText w:val="•"/>
      <w:lvlJc w:val="left"/>
      <w:pPr>
        <w:ind w:left="1025" w:hanging="227"/>
      </w:pPr>
      <w:rPr>
        <w:rFonts w:hint="default"/>
        <w:lang w:val="en-US" w:eastAsia="en-US" w:bidi="ar-SA"/>
      </w:rPr>
    </w:lvl>
    <w:lvl w:ilvl="4" w:tplc="F38CC930">
      <w:numFmt w:val="bullet"/>
      <w:lvlText w:val="•"/>
      <w:lvlJc w:val="left"/>
      <w:pPr>
        <w:ind w:left="1240" w:hanging="227"/>
      </w:pPr>
      <w:rPr>
        <w:rFonts w:hint="default"/>
        <w:lang w:val="en-US" w:eastAsia="en-US" w:bidi="ar-SA"/>
      </w:rPr>
    </w:lvl>
    <w:lvl w:ilvl="5" w:tplc="B02AE7CA">
      <w:numFmt w:val="bullet"/>
      <w:lvlText w:val="•"/>
      <w:lvlJc w:val="left"/>
      <w:pPr>
        <w:ind w:left="1455" w:hanging="227"/>
      </w:pPr>
      <w:rPr>
        <w:rFonts w:hint="default"/>
        <w:lang w:val="en-US" w:eastAsia="en-US" w:bidi="ar-SA"/>
      </w:rPr>
    </w:lvl>
    <w:lvl w:ilvl="6" w:tplc="C51672BC">
      <w:numFmt w:val="bullet"/>
      <w:lvlText w:val="•"/>
      <w:lvlJc w:val="left"/>
      <w:pPr>
        <w:ind w:left="1670" w:hanging="227"/>
      </w:pPr>
      <w:rPr>
        <w:rFonts w:hint="default"/>
        <w:lang w:val="en-US" w:eastAsia="en-US" w:bidi="ar-SA"/>
      </w:rPr>
    </w:lvl>
    <w:lvl w:ilvl="7" w:tplc="FD0EB580">
      <w:numFmt w:val="bullet"/>
      <w:lvlText w:val="•"/>
      <w:lvlJc w:val="left"/>
      <w:pPr>
        <w:ind w:left="1885" w:hanging="227"/>
      </w:pPr>
      <w:rPr>
        <w:rFonts w:hint="default"/>
        <w:lang w:val="en-US" w:eastAsia="en-US" w:bidi="ar-SA"/>
      </w:rPr>
    </w:lvl>
    <w:lvl w:ilvl="8" w:tplc="A5B6CE5C">
      <w:numFmt w:val="bullet"/>
      <w:lvlText w:val="•"/>
      <w:lvlJc w:val="left"/>
      <w:pPr>
        <w:ind w:left="2100" w:hanging="227"/>
      </w:pPr>
      <w:rPr>
        <w:rFonts w:hint="default"/>
        <w:lang w:val="en-US" w:eastAsia="en-US" w:bidi="ar-SA"/>
      </w:rPr>
    </w:lvl>
  </w:abstractNum>
  <w:abstractNum w:abstractNumId="38"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4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2"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3"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D016EFF"/>
    <w:multiLevelType w:val="hybridMultilevel"/>
    <w:tmpl w:val="ED324FE4"/>
    <w:lvl w:ilvl="0" w:tplc="6FBE6DFC">
      <w:numFmt w:val="bullet"/>
      <w:lvlText w:val="•"/>
      <w:lvlJc w:val="left"/>
      <w:pPr>
        <w:ind w:left="387" w:hanging="227"/>
      </w:pPr>
      <w:rPr>
        <w:rFonts w:ascii="Arial" w:eastAsia="Arial" w:hAnsi="Arial" w:cs="Arial" w:hint="default"/>
        <w:b w:val="0"/>
        <w:bCs w:val="0"/>
        <w:i w:val="0"/>
        <w:iCs w:val="0"/>
        <w:color w:val="4B4FA1"/>
        <w:w w:val="149"/>
        <w:sz w:val="18"/>
        <w:szCs w:val="18"/>
        <w:lang w:val="en-US" w:eastAsia="en-US" w:bidi="ar-SA"/>
      </w:rPr>
    </w:lvl>
    <w:lvl w:ilvl="1" w:tplc="F5905ECE">
      <w:numFmt w:val="bullet"/>
      <w:lvlText w:val="•"/>
      <w:lvlJc w:val="left"/>
      <w:pPr>
        <w:ind w:left="593" w:hanging="227"/>
      </w:pPr>
      <w:rPr>
        <w:rFonts w:hint="default"/>
        <w:lang w:val="en-US" w:eastAsia="en-US" w:bidi="ar-SA"/>
      </w:rPr>
    </w:lvl>
    <w:lvl w:ilvl="2" w:tplc="9890629E">
      <w:numFmt w:val="bullet"/>
      <w:lvlText w:val="•"/>
      <w:lvlJc w:val="left"/>
      <w:pPr>
        <w:ind w:left="807" w:hanging="227"/>
      </w:pPr>
      <w:rPr>
        <w:rFonts w:hint="default"/>
        <w:lang w:val="en-US" w:eastAsia="en-US" w:bidi="ar-SA"/>
      </w:rPr>
    </w:lvl>
    <w:lvl w:ilvl="3" w:tplc="AD20150A">
      <w:numFmt w:val="bullet"/>
      <w:lvlText w:val="•"/>
      <w:lvlJc w:val="left"/>
      <w:pPr>
        <w:ind w:left="1021" w:hanging="227"/>
      </w:pPr>
      <w:rPr>
        <w:rFonts w:hint="default"/>
        <w:lang w:val="en-US" w:eastAsia="en-US" w:bidi="ar-SA"/>
      </w:rPr>
    </w:lvl>
    <w:lvl w:ilvl="4" w:tplc="9A84470C">
      <w:numFmt w:val="bullet"/>
      <w:lvlText w:val="•"/>
      <w:lvlJc w:val="left"/>
      <w:pPr>
        <w:ind w:left="1235" w:hanging="227"/>
      </w:pPr>
      <w:rPr>
        <w:rFonts w:hint="default"/>
        <w:lang w:val="en-US" w:eastAsia="en-US" w:bidi="ar-SA"/>
      </w:rPr>
    </w:lvl>
    <w:lvl w:ilvl="5" w:tplc="1414AE68">
      <w:numFmt w:val="bullet"/>
      <w:lvlText w:val="•"/>
      <w:lvlJc w:val="left"/>
      <w:pPr>
        <w:ind w:left="1449" w:hanging="227"/>
      </w:pPr>
      <w:rPr>
        <w:rFonts w:hint="default"/>
        <w:lang w:val="en-US" w:eastAsia="en-US" w:bidi="ar-SA"/>
      </w:rPr>
    </w:lvl>
    <w:lvl w:ilvl="6" w:tplc="46C68258">
      <w:numFmt w:val="bullet"/>
      <w:lvlText w:val="•"/>
      <w:lvlJc w:val="left"/>
      <w:pPr>
        <w:ind w:left="1662" w:hanging="227"/>
      </w:pPr>
      <w:rPr>
        <w:rFonts w:hint="default"/>
        <w:lang w:val="en-US" w:eastAsia="en-US" w:bidi="ar-SA"/>
      </w:rPr>
    </w:lvl>
    <w:lvl w:ilvl="7" w:tplc="F89E61FE">
      <w:numFmt w:val="bullet"/>
      <w:lvlText w:val="•"/>
      <w:lvlJc w:val="left"/>
      <w:pPr>
        <w:ind w:left="1876" w:hanging="227"/>
      </w:pPr>
      <w:rPr>
        <w:rFonts w:hint="default"/>
        <w:lang w:val="en-US" w:eastAsia="en-US" w:bidi="ar-SA"/>
      </w:rPr>
    </w:lvl>
    <w:lvl w:ilvl="8" w:tplc="D9C613FC">
      <w:numFmt w:val="bullet"/>
      <w:lvlText w:val="•"/>
      <w:lvlJc w:val="left"/>
      <w:pPr>
        <w:ind w:left="2090" w:hanging="227"/>
      </w:pPr>
      <w:rPr>
        <w:rFonts w:hint="default"/>
        <w:lang w:val="en-US" w:eastAsia="en-US" w:bidi="ar-SA"/>
      </w:rPr>
    </w:lvl>
  </w:abstractNum>
  <w:num w:numId="1">
    <w:abstractNumId w:val="41"/>
  </w:num>
  <w:num w:numId="2">
    <w:abstractNumId w:val="32"/>
  </w:num>
  <w:num w:numId="3">
    <w:abstractNumId w:val="21"/>
  </w:num>
  <w:num w:numId="4">
    <w:abstractNumId w:val="22"/>
  </w:num>
  <w:num w:numId="5">
    <w:abstractNumId w:val="2"/>
  </w:num>
  <w:num w:numId="6">
    <w:abstractNumId w:val="43"/>
  </w:num>
  <w:num w:numId="7">
    <w:abstractNumId w:val="18"/>
  </w:num>
  <w:num w:numId="8">
    <w:abstractNumId w:val="4"/>
  </w:num>
  <w:num w:numId="9">
    <w:abstractNumId w:val="40"/>
  </w:num>
  <w:num w:numId="10">
    <w:abstractNumId w:val="3"/>
  </w:num>
  <w:num w:numId="11">
    <w:abstractNumId w:val="38"/>
  </w:num>
  <w:num w:numId="12">
    <w:abstractNumId w:val="6"/>
  </w:num>
  <w:num w:numId="13">
    <w:abstractNumId w:val="10"/>
  </w:num>
  <w:num w:numId="14">
    <w:abstractNumId w:val="8"/>
  </w:num>
  <w:num w:numId="15">
    <w:abstractNumId w:val="11"/>
  </w:num>
  <w:num w:numId="16">
    <w:abstractNumId w:val="27"/>
  </w:num>
  <w:num w:numId="17">
    <w:abstractNumId w:val="14"/>
  </w:num>
  <w:num w:numId="18">
    <w:abstractNumId w:val="34"/>
  </w:num>
  <w:num w:numId="19">
    <w:abstractNumId w:val="16"/>
  </w:num>
  <w:num w:numId="20">
    <w:abstractNumId w:val="25"/>
  </w:num>
  <w:num w:numId="21">
    <w:abstractNumId w:val="9"/>
  </w:num>
  <w:num w:numId="22">
    <w:abstractNumId w:val="7"/>
  </w:num>
  <w:num w:numId="23">
    <w:abstractNumId w:val="29"/>
  </w:num>
  <w:num w:numId="24">
    <w:abstractNumId w:val="28"/>
  </w:num>
  <w:num w:numId="25">
    <w:abstractNumId w:val="42"/>
  </w:num>
  <w:num w:numId="26">
    <w:abstractNumId w:val="19"/>
  </w:num>
  <w:num w:numId="27">
    <w:abstractNumId w:val="35"/>
  </w:num>
  <w:num w:numId="28">
    <w:abstractNumId w:val="33"/>
  </w:num>
  <w:num w:numId="29">
    <w:abstractNumId w:val="24"/>
  </w:num>
  <w:num w:numId="30">
    <w:abstractNumId w:val="13"/>
  </w:num>
  <w:num w:numId="31">
    <w:abstractNumId w:val="39"/>
  </w:num>
  <w:num w:numId="32">
    <w:abstractNumId w:val="20"/>
  </w:num>
  <w:num w:numId="33">
    <w:abstractNumId w:val="31"/>
  </w:num>
  <w:num w:numId="34">
    <w:abstractNumId w:val="5"/>
  </w:num>
  <w:num w:numId="35">
    <w:abstractNumId w:val="1"/>
  </w:num>
  <w:num w:numId="36">
    <w:abstractNumId w:val="30"/>
  </w:num>
  <w:num w:numId="37">
    <w:abstractNumId w:val="36"/>
  </w:num>
  <w:num w:numId="38">
    <w:abstractNumId w:val="12"/>
  </w:num>
  <w:num w:numId="39">
    <w:abstractNumId w:val="2"/>
  </w:num>
  <w:num w:numId="40">
    <w:abstractNumId w:val="2"/>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23"/>
  </w:num>
  <w:num w:numId="45">
    <w:abstractNumId w:val="0"/>
  </w:num>
  <w:num w:numId="46">
    <w:abstractNumId w:val="26"/>
  </w:num>
  <w:num w:numId="47">
    <w:abstractNumId w:val="15"/>
  </w:num>
  <w:num w:numId="48">
    <w:abstractNumId w:val="37"/>
  </w:num>
  <w:num w:numId="4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89D"/>
    <w:rsid w:val="00035D68"/>
    <w:rsid w:val="00054B44"/>
    <w:rsid w:val="0006228D"/>
    <w:rsid w:val="00072BD6"/>
    <w:rsid w:val="00075B78"/>
    <w:rsid w:val="000763E9"/>
    <w:rsid w:val="00081493"/>
    <w:rsid w:val="00082CD6"/>
    <w:rsid w:val="0008437D"/>
    <w:rsid w:val="00085AFE"/>
    <w:rsid w:val="00094800"/>
    <w:rsid w:val="00096692"/>
    <w:rsid w:val="000A41ED"/>
    <w:rsid w:val="000B0730"/>
    <w:rsid w:val="000C2CB2"/>
    <w:rsid w:val="000D19F4"/>
    <w:rsid w:val="000D58DD"/>
    <w:rsid w:val="000F2AE2"/>
    <w:rsid w:val="000F2BFF"/>
    <w:rsid w:val="000F3014"/>
    <w:rsid w:val="00102063"/>
    <w:rsid w:val="001026C5"/>
    <w:rsid w:val="001050AB"/>
    <w:rsid w:val="0010541C"/>
    <w:rsid w:val="00106F93"/>
    <w:rsid w:val="00111D50"/>
    <w:rsid w:val="00113B8E"/>
    <w:rsid w:val="00115B2A"/>
    <w:rsid w:val="0012053C"/>
    <w:rsid w:val="00122363"/>
    <w:rsid w:val="001342C7"/>
    <w:rsid w:val="00134547"/>
    <w:rsid w:val="0013585C"/>
    <w:rsid w:val="00142261"/>
    <w:rsid w:val="00142954"/>
    <w:rsid w:val="001460E0"/>
    <w:rsid w:val="001472F0"/>
    <w:rsid w:val="00147F71"/>
    <w:rsid w:val="00150A6E"/>
    <w:rsid w:val="00162775"/>
    <w:rsid w:val="0016304B"/>
    <w:rsid w:val="0016468A"/>
    <w:rsid w:val="00181D0D"/>
    <w:rsid w:val="00182B87"/>
    <w:rsid w:val="0018662D"/>
    <w:rsid w:val="00193B0C"/>
    <w:rsid w:val="00197427"/>
    <w:rsid w:val="001A21B4"/>
    <w:rsid w:val="001A5CF5"/>
    <w:rsid w:val="001B26CC"/>
    <w:rsid w:val="001B39D2"/>
    <w:rsid w:val="001B4BF8"/>
    <w:rsid w:val="001C4326"/>
    <w:rsid w:val="001C665E"/>
    <w:rsid w:val="001D3541"/>
    <w:rsid w:val="001D3E4E"/>
    <w:rsid w:val="001E254A"/>
    <w:rsid w:val="001E36BC"/>
    <w:rsid w:val="001E7386"/>
    <w:rsid w:val="001F45A7"/>
    <w:rsid w:val="00201A01"/>
    <w:rsid w:val="00202F11"/>
    <w:rsid w:val="0020754B"/>
    <w:rsid w:val="002104D3"/>
    <w:rsid w:val="00213A33"/>
    <w:rsid w:val="0021763B"/>
    <w:rsid w:val="00223D0E"/>
    <w:rsid w:val="00246DB1"/>
    <w:rsid w:val="002476B5"/>
    <w:rsid w:val="002520CC"/>
    <w:rsid w:val="00253ECF"/>
    <w:rsid w:val="002546A1"/>
    <w:rsid w:val="00260E90"/>
    <w:rsid w:val="002628F4"/>
    <w:rsid w:val="00275D08"/>
    <w:rsid w:val="002858E3"/>
    <w:rsid w:val="00286A2A"/>
    <w:rsid w:val="0029190A"/>
    <w:rsid w:val="00292C5A"/>
    <w:rsid w:val="00295241"/>
    <w:rsid w:val="002A4DFC"/>
    <w:rsid w:val="002B047D"/>
    <w:rsid w:val="002B0582"/>
    <w:rsid w:val="002B732B"/>
    <w:rsid w:val="002B76A7"/>
    <w:rsid w:val="002C2219"/>
    <w:rsid w:val="002C2552"/>
    <w:rsid w:val="002C380A"/>
    <w:rsid w:val="002C686F"/>
    <w:rsid w:val="002D0DF2"/>
    <w:rsid w:val="002D23BD"/>
    <w:rsid w:val="002D7DA4"/>
    <w:rsid w:val="002E0B47"/>
    <w:rsid w:val="002F126B"/>
    <w:rsid w:val="002F4685"/>
    <w:rsid w:val="002F7213"/>
    <w:rsid w:val="0030382F"/>
    <w:rsid w:val="0030408D"/>
    <w:rsid w:val="003060E4"/>
    <w:rsid w:val="00313868"/>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3962"/>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44B"/>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6810"/>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3609A"/>
    <w:rsid w:val="005410F8"/>
    <w:rsid w:val="005448EC"/>
    <w:rsid w:val="00545963"/>
    <w:rsid w:val="00550256"/>
    <w:rsid w:val="00553165"/>
    <w:rsid w:val="00553958"/>
    <w:rsid w:val="00555034"/>
    <w:rsid w:val="00556BB7"/>
    <w:rsid w:val="0055763D"/>
    <w:rsid w:val="00561369"/>
    <w:rsid w:val="00561516"/>
    <w:rsid w:val="00561F40"/>
    <w:rsid w:val="005621F2"/>
    <w:rsid w:val="005665FD"/>
    <w:rsid w:val="00567B58"/>
    <w:rsid w:val="00571223"/>
    <w:rsid w:val="005763E0"/>
    <w:rsid w:val="00581136"/>
    <w:rsid w:val="00581EB8"/>
    <w:rsid w:val="00597923"/>
    <w:rsid w:val="005A27CA"/>
    <w:rsid w:val="005A43BD"/>
    <w:rsid w:val="005A79E5"/>
    <w:rsid w:val="005D034C"/>
    <w:rsid w:val="005E226E"/>
    <w:rsid w:val="005E2636"/>
    <w:rsid w:val="005F77FC"/>
    <w:rsid w:val="006015D7"/>
    <w:rsid w:val="00601B21"/>
    <w:rsid w:val="006041F0"/>
    <w:rsid w:val="00605C6D"/>
    <w:rsid w:val="00610F4C"/>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37F5"/>
    <w:rsid w:val="006C78EB"/>
    <w:rsid w:val="006D1660"/>
    <w:rsid w:val="006D63E5"/>
    <w:rsid w:val="006E1753"/>
    <w:rsid w:val="006E3911"/>
    <w:rsid w:val="006F1B67"/>
    <w:rsid w:val="006F4D9C"/>
    <w:rsid w:val="0070024D"/>
    <w:rsid w:val="0070091D"/>
    <w:rsid w:val="00702854"/>
    <w:rsid w:val="007047BC"/>
    <w:rsid w:val="007110A9"/>
    <w:rsid w:val="0071741C"/>
    <w:rsid w:val="00742B90"/>
    <w:rsid w:val="0074434D"/>
    <w:rsid w:val="007514CD"/>
    <w:rsid w:val="007570C4"/>
    <w:rsid w:val="007605B8"/>
    <w:rsid w:val="00771B1E"/>
    <w:rsid w:val="00773C95"/>
    <w:rsid w:val="0078171E"/>
    <w:rsid w:val="00785282"/>
    <w:rsid w:val="0078658E"/>
    <w:rsid w:val="00791D61"/>
    <w:rsid w:val="007920E2"/>
    <w:rsid w:val="0079566E"/>
    <w:rsid w:val="00795B34"/>
    <w:rsid w:val="007A067F"/>
    <w:rsid w:val="007B1770"/>
    <w:rsid w:val="007B4D3E"/>
    <w:rsid w:val="007B7C70"/>
    <w:rsid w:val="007B7DEB"/>
    <w:rsid w:val="007C0449"/>
    <w:rsid w:val="007D0F83"/>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5697"/>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0A83"/>
    <w:rsid w:val="00921216"/>
    <w:rsid w:val="009216CC"/>
    <w:rsid w:val="00921845"/>
    <w:rsid w:val="00926083"/>
    <w:rsid w:val="00930D08"/>
    <w:rsid w:val="00931466"/>
    <w:rsid w:val="00932D69"/>
    <w:rsid w:val="00934DC4"/>
    <w:rsid w:val="00935589"/>
    <w:rsid w:val="00941469"/>
    <w:rsid w:val="00944647"/>
    <w:rsid w:val="00945C74"/>
    <w:rsid w:val="0095565C"/>
    <w:rsid w:val="00964AB6"/>
    <w:rsid w:val="00966F9A"/>
    <w:rsid w:val="0096728D"/>
    <w:rsid w:val="00977B8A"/>
    <w:rsid w:val="0098150E"/>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065F"/>
    <w:rsid w:val="00A1166A"/>
    <w:rsid w:val="00A20B2E"/>
    <w:rsid w:val="00A24F33"/>
    <w:rsid w:val="00A25069"/>
    <w:rsid w:val="00A26E6B"/>
    <w:rsid w:val="00A3068F"/>
    <w:rsid w:val="00A3145B"/>
    <w:rsid w:val="00A339D0"/>
    <w:rsid w:val="00A33EF6"/>
    <w:rsid w:val="00A41002"/>
    <w:rsid w:val="00A4201A"/>
    <w:rsid w:val="00A45FC1"/>
    <w:rsid w:val="00A5465D"/>
    <w:rsid w:val="00A553CE"/>
    <w:rsid w:val="00A5677A"/>
    <w:rsid w:val="00A56DCC"/>
    <w:rsid w:val="00A625E8"/>
    <w:rsid w:val="00A63DFF"/>
    <w:rsid w:val="00A6490D"/>
    <w:rsid w:val="00A6777F"/>
    <w:rsid w:val="00A73796"/>
    <w:rsid w:val="00A7415D"/>
    <w:rsid w:val="00A80363"/>
    <w:rsid w:val="00A80939"/>
    <w:rsid w:val="00A83E9D"/>
    <w:rsid w:val="00A87C05"/>
    <w:rsid w:val="00A9169D"/>
    <w:rsid w:val="00AA240C"/>
    <w:rsid w:val="00AA5A2B"/>
    <w:rsid w:val="00AC101C"/>
    <w:rsid w:val="00AD4CF1"/>
    <w:rsid w:val="00AD5988"/>
    <w:rsid w:val="00AD6293"/>
    <w:rsid w:val="00AF1BA8"/>
    <w:rsid w:val="00AF7800"/>
    <w:rsid w:val="00B00CF5"/>
    <w:rsid w:val="00B00F4C"/>
    <w:rsid w:val="00B072E0"/>
    <w:rsid w:val="00B1007E"/>
    <w:rsid w:val="00B10AEA"/>
    <w:rsid w:val="00B10EDC"/>
    <w:rsid w:val="00B23D83"/>
    <w:rsid w:val="00B253F6"/>
    <w:rsid w:val="00B26675"/>
    <w:rsid w:val="00B26A99"/>
    <w:rsid w:val="00B26F0F"/>
    <w:rsid w:val="00B305DB"/>
    <w:rsid w:val="00B31DBE"/>
    <w:rsid w:val="00B332F8"/>
    <w:rsid w:val="00B3492B"/>
    <w:rsid w:val="00B4646F"/>
    <w:rsid w:val="00B47594"/>
    <w:rsid w:val="00B55C7D"/>
    <w:rsid w:val="00B62871"/>
    <w:rsid w:val="00B62C69"/>
    <w:rsid w:val="00B63038"/>
    <w:rsid w:val="00B64BD8"/>
    <w:rsid w:val="00B701D1"/>
    <w:rsid w:val="00B73AF2"/>
    <w:rsid w:val="00B7551A"/>
    <w:rsid w:val="00B773F1"/>
    <w:rsid w:val="00B86AB1"/>
    <w:rsid w:val="00B97F07"/>
    <w:rsid w:val="00BA7954"/>
    <w:rsid w:val="00BA7EBA"/>
    <w:rsid w:val="00BB2A06"/>
    <w:rsid w:val="00BB2CBB"/>
    <w:rsid w:val="00BB4198"/>
    <w:rsid w:val="00BB6EA9"/>
    <w:rsid w:val="00BB7DF0"/>
    <w:rsid w:val="00BC03EE"/>
    <w:rsid w:val="00BC28D5"/>
    <w:rsid w:val="00BC59F1"/>
    <w:rsid w:val="00BE101B"/>
    <w:rsid w:val="00BF3DE1"/>
    <w:rsid w:val="00BF4843"/>
    <w:rsid w:val="00BF5205"/>
    <w:rsid w:val="00C05132"/>
    <w:rsid w:val="00C06906"/>
    <w:rsid w:val="00C12508"/>
    <w:rsid w:val="00C23728"/>
    <w:rsid w:val="00C3026C"/>
    <w:rsid w:val="00C313A9"/>
    <w:rsid w:val="00C441CF"/>
    <w:rsid w:val="00C45AA2"/>
    <w:rsid w:val="00C4792C"/>
    <w:rsid w:val="00C55BEF"/>
    <w:rsid w:val="00C601AF"/>
    <w:rsid w:val="00C61A63"/>
    <w:rsid w:val="00C66296"/>
    <w:rsid w:val="00C67BC1"/>
    <w:rsid w:val="00C737A0"/>
    <w:rsid w:val="00C7394D"/>
    <w:rsid w:val="00C77282"/>
    <w:rsid w:val="00C84DE5"/>
    <w:rsid w:val="00C86248"/>
    <w:rsid w:val="00C90B31"/>
    <w:rsid w:val="00CA0D6F"/>
    <w:rsid w:val="00CA2803"/>
    <w:rsid w:val="00CA4C33"/>
    <w:rsid w:val="00CA6F4A"/>
    <w:rsid w:val="00CB6427"/>
    <w:rsid w:val="00CC0FBE"/>
    <w:rsid w:val="00CD2119"/>
    <w:rsid w:val="00CD237A"/>
    <w:rsid w:val="00CD36AC"/>
    <w:rsid w:val="00CE13A3"/>
    <w:rsid w:val="00CE2493"/>
    <w:rsid w:val="00CE36BC"/>
    <w:rsid w:val="00CF1747"/>
    <w:rsid w:val="00CF60ED"/>
    <w:rsid w:val="00D03E30"/>
    <w:rsid w:val="00D05D74"/>
    <w:rsid w:val="00D11BB4"/>
    <w:rsid w:val="00D20C59"/>
    <w:rsid w:val="00D23323"/>
    <w:rsid w:val="00D2392A"/>
    <w:rsid w:val="00D25D46"/>
    <w:rsid w:val="00D25FFE"/>
    <w:rsid w:val="00D30BBE"/>
    <w:rsid w:val="00D31593"/>
    <w:rsid w:val="00D361D3"/>
    <w:rsid w:val="00D37D80"/>
    <w:rsid w:val="00D4476F"/>
    <w:rsid w:val="00D50333"/>
    <w:rsid w:val="00D50573"/>
    <w:rsid w:val="00D54D50"/>
    <w:rsid w:val="00D560B4"/>
    <w:rsid w:val="00D608A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00568"/>
    <w:rsid w:val="00E046D1"/>
    <w:rsid w:val="00E079DC"/>
    <w:rsid w:val="00E14F1D"/>
    <w:rsid w:val="00E23271"/>
    <w:rsid w:val="00E24F80"/>
    <w:rsid w:val="00E259F3"/>
    <w:rsid w:val="00E30895"/>
    <w:rsid w:val="00E30985"/>
    <w:rsid w:val="00E33238"/>
    <w:rsid w:val="00E376B7"/>
    <w:rsid w:val="00E42F5D"/>
    <w:rsid w:val="00E4486C"/>
    <w:rsid w:val="00E44F92"/>
    <w:rsid w:val="00E460B6"/>
    <w:rsid w:val="00E511D5"/>
    <w:rsid w:val="00E53A9F"/>
    <w:rsid w:val="00E60249"/>
    <w:rsid w:val="00E63E69"/>
    <w:rsid w:val="00E64891"/>
    <w:rsid w:val="00E65269"/>
    <w:rsid w:val="00E76D66"/>
    <w:rsid w:val="00E94B2A"/>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0FAB"/>
    <w:rsid w:val="00F24805"/>
    <w:rsid w:val="00F25970"/>
    <w:rsid w:val="00F311A9"/>
    <w:rsid w:val="00F45B28"/>
    <w:rsid w:val="00F5180D"/>
    <w:rsid w:val="00F63781"/>
    <w:rsid w:val="00F67496"/>
    <w:rsid w:val="00F801BA"/>
    <w:rsid w:val="00F9366A"/>
    <w:rsid w:val="00F946C9"/>
    <w:rsid w:val="00FA0EA5"/>
    <w:rsid w:val="00FA74EE"/>
    <w:rsid w:val="00FB2A0D"/>
    <w:rsid w:val="00FC1173"/>
    <w:rsid w:val="00FC3711"/>
    <w:rsid w:val="00FC46E7"/>
    <w:rsid w:val="00FC5D25"/>
    <w:rsid w:val="00FD0D7E"/>
    <w:rsid w:val="00FD34DA"/>
    <w:rsid w:val="00FD4FFB"/>
    <w:rsid w:val="00FE6E13"/>
    <w:rsid w:val="00FF15F6"/>
    <w:rsid w:val="00FF3F96"/>
    <w:rsid w:val="00FF4A1D"/>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A45FC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81D0D"/>
    <w:rPr>
      <w:color w:val="605E5C"/>
      <w:shd w:val="clear" w:color="auto" w:fill="E1DFDD"/>
    </w:rPr>
  </w:style>
  <w:style w:type="paragraph" w:customStyle="1" w:styleId="TableParagraph">
    <w:name w:val="Table Paragraph"/>
    <w:basedOn w:val="Normal"/>
    <w:uiPriority w:val="1"/>
    <w:qFormat/>
    <w:rsid w:val="00A1065F"/>
    <w:pPr>
      <w:widowControl w:val="0"/>
      <w:autoSpaceDE w:val="0"/>
      <w:autoSpaceDN w:val="0"/>
      <w:spacing w:before="86"/>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hyperlink" Target="https://www.health.govt.nz/publication/best-practice-approaches-addressing-racism-lessons-aotearoa-new-zealand-health-system-stage-two" TargetMode="Externa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s://www.health.govt.nz/publication/best-practice-approaches-addressing-racism-lessons-aotearoa-new-zealand-health-system-stage-two" TargetMode="Externa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health.govt.nz/publication/evolution-racism-and-anti-racism-lessons-aotearoa-new-zealand-health-system-stage-one-literature" TargetMode="External"/><Relationship Id="rId29" Type="http://schemas.openxmlformats.org/officeDocument/2006/relationships/image" Target="media/image5.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footer" Target="footer10.xml"/><Relationship Id="rId45"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t.nz/publication/ao-mai-te-ra-anti-racism-kaupapa-literature-review-summary-paper-lessons-aotearoa-new-zealand-health"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t.nz/publication/anti-racism-maturity-models-lessons-aotearoa-new-zealand-health-system-stage-three-literature-review"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13.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1001</TotalTime>
  <Pages>37</Pages>
  <Words>9097</Words>
  <Characters>54221</Characters>
  <Application>Microsoft Office Word</Application>
  <DocSecurity>0</DocSecurity>
  <Lines>1004</Lines>
  <Paragraphs>287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Whiria te Muka Tangata: Anti-Racism Systems Change. A Preliminary Model for the Aotearoa New Zealand Health System</dc:title>
  <dc:creator>S McMeeking;E Tarena;M Williams</dc:creator>
  <cp:lastModifiedBy>Ministry of Health</cp:lastModifiedBy>
  <cp:revision>60</cp:revision>
  <cp:lastPrinted>2023-02-23T03:46:00Z</cp:lastPrinted>
  <dcterms:created xsi:type="dcterms:W3CDTF">2022-08-09T00:39:00Z</dcterms:created>
  <dcterms:modified xsi:type="dcterms:W3CDTF">2023-03-03T01:29:00Z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