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33" w:rsidRDefault="00052533" w:rsidP="00595FD6"/>
    <w:p w:rsidR="003025BD" w:rsidRDefault="003025BD" w:rsidP="00595FD6"/>
    <w:p w:rsidR="003025BD" w:rsidRDefault="003025BD" w:rsidP="00595FD6">
      <w:pPr>
        <w:pStyle w:val="Heading1"/>
      </w:pPr>
    </w:p>
    <w:p w:rsidR="003025BD" w:rsidRDefault="003025BD" w:rsidP="00595FD6">
      <w:pPr>
        <w:pStyle w:val="Heading1"/>
      </w:pPr>
    </w:p>
    <w:p w:rsidR="003025BD" w:rsidRPr="00F448B4" w:rsidRDefault="009E69FF" w:rsidP="00F448B4">
      <w:pPr>
        <w:pStyle w:val="Title"/>
      </w:pPr>
      <w:r w:rsidRPr="00F448B4">
        <w:t>The</w:t>
      </w:r>
      <w:r w:rsidR="003025BD" w:rsidRPr="00F448B4">
        <w:t xml:space="preserve"> </w:t>
      </w:r>
      <w:r w:rsidR="002B15E1">
        <w:t>S</w:t>
      </w:r>
      <w:r w:rsidR="003025BD" w:rsidRPr="00F448B4">
        <w:t>tandards</w:t>
      </w:r>
      <w:r w:rsidR="00E22465" w:rsidRPr="00F448B4">
        <w:br/>
      </w:r>
      <w:r w:rsidR="002B15E1">
        <w:t>R</w:t>
      </w:r>
      <w:r w:rsidR="003025BD" w:rsidRPr="00F448B4">
        <w:t xml:space="preserve">eview </w:t>
      </w:r>
    </w:p>
    <w:p w:rsidR="003025BD" w:rsidRDefault="003025BD" w:rsidP="00595FD6">
      <w:pPr>
        <w:pStyle w:val="Heading1"/>
      </w:pPr>
    </w:p>
    <w:p w:rsidR="009E69FF" w:rsidRPr="00E22465" w:rsidRDefault="009E69FF" w:rsidP="00595FD6"/>
    <w:p w:rsidR="009E69FF" w:rsidRPr="00F448B4" w:rsidRDefault="00B87B65" w:rsidP="00F448B4">
      <w:pPr>
        <w:pStyle w:val="Subtitle"/>
      </w:pPr>
      <w:r w:rsidRPr="00F448B4">
        <w:t>Mapping</w:t>
      </w:r>
      <w:r w:rsidR="009E69FF" w:rsidRPr="00F448B4">
        <w:t xml:space="preserve">: </w:t>
      </w:r>
    </w:p>
    <w:p w:rsidR="003025BD" w:rsidRPr="00F448B4" w:rsidRDefault="009E69FF" w:rsidP="00F448B4">
      <w:pPr>
        <w:pStyle w:val="Subtitle"/>
        <w:rPr>
          <w:b w:val="0"/>
        </w:rPr>
      </w:pPr>
      <w:r w:rsidRPr="00F448B4">
        <w:rPr>
          <w:b w:val="0"/>
        </w:rPr>
        <w:t>Health and Disability Services Standards</w:t>
      </w:r>
      <w:r w:rsidR="006056E4" w:rsidRPr="00F448B4">
        <w:rPr>
          <w:b w:val="0"/>
        </w:rPr>
        <w:t xml:space="preserve"> (NZS 8134:2008)</w:t>
      </w:r>
    </w:p>
    <w:p w:rsidR="009E69FF" w:rsidRPr="00F448B4" w:rsidRDefault="009E69FF" w:rsidP="00F448B4">
      <w:pPr>
        <w:pStyle w:val="Subtitle"/>
        <w:rPr>
          <w:b w:val="0"/>
        </w:rPr>
      </w:pPr>
      <w:r w:rsidRPr="00F448B4">
        <w:rPr>
          <w:b w:val="0"/>
        </w:rPr>
        <w:t xml:space="preserve">Fertility </w:t>
      </w:r>
      <w:r w:rsidR="000753C0">
        <w:rPr>
          <w:b w:val="0"/>
        </w:rPr>
        <w:t>S</w:t>
      </w:r>
      <w:r w:rsidRPr="00F448B4">
        <w:rPr>
          <w:b w:val="0"/>
        </w:rPr>
        <w:t>ervices Standard</w:t>
      </w:r>
      <w:r w:rsidR="006056E4" w:rsidRPr="00F448B4">
        <w:rPr>
          <w:b w:val="0"/>
        </w:rPr>
        <w:t xml:space="preserve"> (NZS 8181:2007)</w:t>
      </w:r>
    </w:p>
    <w:p w:rsidR="009E69FF" w:rsidRPr="00F448B4" w:rsidRDefault="009E69FF" w:rsidP="00F448B4">
      <w:pPr>
        <w:pStyle w:val="Subtitle"/>
        <w:rPr>
          <w:b w:val="0"/>
        </w:rPr>
      </w:pPr>
      <w:r w:rsidRPr="00F448B4">
        <w:rPr>
          <w:b w:val="0"/>
        </w:rPr>
        <w:t xml:space="preserve">Home and </w:t>
      </w:r>
      <w:r w:rsidR="000753C0">
        <w:rPr>
          <w:b w:val="0"/>
        </w:rPr>
        <w:t>C</w:t>
      </w:r>
      <w:r w:rsidRPr="00F448B4">
        <w:rPr>
          <w:b w:val="0"/>
        </w:rPr>
        <w:t xml:space="preserve">ommunity </w:t>
      </w:r>
      <w:r w:rsidR="000753C0">
        <w:rPr>
          <w:b w:val="0"/>
        </w:rPr>
        <w:t>S</w:t>
      </w:r>
      <w:r w:rsidRPr="00F448B4">
        <w:rPr>
          <w:b w:val="0"/>
        </w:rPr>
        <w:t xml:space="preserve">upport </w:t>
      </w:r>
      <w:r w:rsidR="000753C0">
        <w:rPr>
          <w:b w:val="0"/>
        </w:rPr>
        <w:t>S</w:t>
      </w:r>
      <w:r w:rsidRPr="00F448B4">
        <w:rPr>
          <w:b w:val="0"/>
        </w:rPr>
        <w:t>ector Standard</w:t>
      </w:r>
      <w:r w:rsidR="006056E4" w:rsidRPr="00F448B4">
        <w:rPr>
          <w:b w:val="0"/>
        </w:rPr>
        <w:t xml:space="preserve"> (</w:t>
      </w:r>
      <w:r w:rsidR="00B04EA0" w:rsidRPr="00F448B4">
        <w:rPr>
          <w:b w:val="0"/>
        </w:rPr>
        <w:t>NZS 8158:2012)</w:t>
      </w:r>
    </w:p>
    <w:p w:rsidR="009E69FF" w:rsidRPr="009E69FF" w:rsidRDefault="009E69FF" w:rsidP="005064EE">
      <w:pPr>
        <w:ind w:left="360" w:hanging="360"/>
      </w:pPr>
    </w:p>
    <w:p w:rsidR="009E69FF" w:rsidRPr="009E69FF" w:rsidRDefault="009E69FF" w:rsidP="00595FD6"/>
    <w:p w:rsidR="003025BD" w:rsidRDefault="003025BD" w:rsidP="00595FD6"/>
    <w:p w:rsidR="003025BD" w:rsidRDefault="003025BD" w:rsidP="00595FD6"/>
    <w:p w:rsidR="003025BD" w:rsidRDefault="003025BD" w:rsidP="00595FD6"/>
    <w:p w:rsidR="008453BC" w:rsidRDefault="008453BC" w:rsidP="00595FD6"/>
    <w:p w:rsidR="008453BC" w:rsidRDefault="008453BC" w:rsidP="00595FD6"/>
    <w:p w:rsidR="008453BC" w:rsidRDefault="008453BC" w:rsidP="00595FD6"/>
    <w:p w:rsidR="008453BC" w:rsidRDefault="008453BC" w:rsidP="00595FD6"/>
    <w:p w:rsidR="008453BC" w:rsidRDefault="008453BC" w:rsidP="00595FD6"/>
    <w:p w:rsidR="008453BC" w:rsidRDefault="008453BC" w:rsidP="00595FD6"/>
    <w:p w:rsidR="00DF5A28" w:rsidRDefault="008453BC" w:rsidP="00595FD6">
      <w:pPr>
        <w:rPr>
          <w:color w:val="000000" w:themeColor="text1"/>
        </w:rPr>
        <w:sectPr w:rsidR="00DF5A28" w:rsidSect="00F448B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pPr>
      <w:r w:rsidRPr="00F448B4">
        <w:rPr>
          <w:color w:val="000000" w:themeColor="text1"/>
        </w:rPr>
        <w:t>July 2019</w:t>
      </w:r>
    </w:p>
    <w:p w:rsidR="00DF5A28" w:rsidRDefault="00DF5A28" w:rsidP="00DF5A28">
      <w:pPr>
        <w:pStyle w:val="IntroHead"/>
        <w:keepNext/>
        <w:pageBreakBefore w:val="0"/>
        <w:spacing w:before="600"/>
      </w:pPr>
      <w:bookmarkStart w:id="0" w:name="_Toc405792991"/>
      <w:bookmarkStart w:id="1" w:name="_Toc405793224"/>
    </w:p>
    <w:p w:rsidR="00DF5A28" w:rsidRPr="005026EE" w:rsidRDefault="00DF5A28" w:rsidP="00DF5A28">
      <w:pPr>
        <w:pStyle w:val="IntroHead"/>
        <w:keepNext/>
        <w:pageBreakBefore w:val="0"/>
        <w:spacing w:before="600"/>
      </w:pPr>
      <w:r w:rsidRPr="00EB06C1">
        <w:t>Contents</w:t>
      </w:r>
      <w:bookmarkEnd w:id="0"/>
      <w:bookmarkEnd w:id="1"/>
    </w:p>
    <w:p w:rsidR="005064EE" w:rsidRDefault="005064EE">
      <w:pPr>
        <w:pStyle w:val="TOC2"/>
        <w:rPr>
          <w:rFonts w:asciiTheme="minorHAnsi" w:eastAsiaTheme="minorEastAsia" w:hAnsiTheme="minorHAnsi" w:cstheme="minorBidi"/>
          <w:noProof/>
          <w:szCs w:val="22"/>
          <w:lang w:eastAsia="en-NZ"/>
        </w:rPr>
      </w:pPr>
      <w:r>
        <w:rPr>
          <w:b/>
          <w:color w:val="000000" w:themeColor="text1"/>
        </w:rPr>
        <w:fldChar w:fldCharType="begin"/>
      </w:r>
      <w:r>
        <w:rPr>
          <w:b/>
          <w:color w:val="000000" w:themeColor="text1"/>
        </w:rPr>
        <w:instrText xml:space="preserve"> TOC \o "1-3" \h \z \u </w:instrText>
      </w:r>
      <w:r>
        <w:rPr>
          <w:b/>
          <w:color w:val="000000" w:themeColor="text1"/>
        </w:rPr>
        <w:fldChar w:fldCharType="separate"/>
      </w:r>
      <w:hyperlink w:anchor="_Toc19179520" w:history="1">
        <w:r w:rsidRPr="009B37F4">
          <w:rPr>
            <w:rStyle w:val="Hyperlink"/>
            <w:noProof/>
          </w:rPr>
          <w:t>Purpose</w:t>
        </w:r>
        <w:r>
          <w:rPr>
            <w:noProof/>
            <w:webHidden/>
          </w:rPr>
          <w:tab/>
        </w:r>
        <w:r>
          <w:rPr>
            <w:noProof/>
            <w:webHidden/>
          </w:rPr>
          <w:fldChar w:fldCharType="begin"/>
        </w:r>
        <w:r>
          <w:rPr>
            <w:noProof/>
            <w:webHidden/>
          </w:rPr>
          <w:instrText xml:space="preserve"> PAGEREF _Toc19179520 \h </w:instrText>
        </w:r>
        <w:r>
          <w:rPr>
            <w:noProof/>
            <w:webHidden/>
          </w:rPr>
        </w:r>
        <w:r>
          <w:rPr>
            <w:noProof/>
            <w:webHidden/>
          </w:rPr>
          <w:fldChar w:fldCharType="separate"/>
        </w:r>
        <w:r w:rsidR="001E1F52">
          <w:rPr>
            <w:noProof/>
            <w:webHidden/>
          </w:rPr>
          <w:t>2</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21" w:history="1">
        <w:r w:rsidRPr="009B37F4">
          <w:rPr>
            <w:rStyle w:val="Hyperlink"/>
            <w:noProof/>
          </w:rPr>
          <w:t>Background</w:t>
        </w:r>
        <w:r>
          <w:rPr>
            <w:noProof/>
            <w:webHidden/>
          </w:rPr>
          <w:tab/>
        </w:r>
        <w:r>
          <w:rPr>
            <w:noProof/>
            <w:webHidden/>
          </w:rPr>
          <w:fldChar w:fldCharType="begin"/>
        </w:r>
        <w:r>
          <w:rPr>
            <w:noProof/>
            <w:webHidden/>
          </w:rPr>
          <w:instrText xml:space="preserve"> PAGEREF _Toc19179521 \h </w:instrText>
        </w:r>
        <w:r>
          <w:rPr>
            <w:noProof/>
            <w:webHidden/>
          </w:rPr>
        </w:r>
        <w:r>
          <w:rPr>
            <w:noProof/>
            <w:webHidden/>
          </w:rPr>
          <w:fldChar w:fldCharType="separate"/>
        </w:r>
        <w:r w:rsidR="001E1F52">
          <w:rPr>
            <w:noProof/>
            <w:webHidden/>
          </w:rPr>
          <w:t>2</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22" w:history="1">
        <w:r w:rsidRPr="009B37F4">
          <w:rPr>
            <w:rStyle w:val="Hyperlink"/>
            <w:noProof/>
          </w:rPr>
          <w:t>The standards</w:t>
        </w:r>
        <w:r>
          <w:rPr>
            <w:noProof/>
            <w:webHidden/>
          </w:rPr>
          <w:tab/>
        </w:r>
        <w:r>
          <w:rPr>
            <w:noProof/>
            <w:webHidden/>
          </w:rPr>
          <w:fldChar w:fldCharType="begin"/>
        </w:r>
        <w:r>
          <w:rPr>
            <w:noProof/>
            <w:webHidden/>
          </w:rPr>
          <w:instrText xml:space="preserve"> PAGEREF _Toc19179522 \h </w:instrText>
        </w:r>
        <w:r>
          <w:rPr>
            <w:noProof/>
            <w:webHidden/>
          </w:rPr>
        </w:r>
        <w:r>
          <w:rPr>
            <w:noProof/>
            <w:webHidden/>
          </w:rPr>
          <w:fldChar w:fldCharType="separate"/>
        </w:r>
        <w:r w:rsidR="001E1F52">
          <w:rPr>
            <w:noProof/>
            <w:webHidden/>
          </w:rPr>
          <w:t>2</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23" w:history="1">
        <w:r w:rsidRPr="009B37F4">
          <w:rPr>
            <w:rStyle w:val="Hyperlink"/>
            <w:noProof/>
          </w:rPr>
          <w:t>Mapping methodology</w:t>
        </w:r>
        <w:r>
          <w:rPr>
            <w:noProof/>
            <w:webHidden/>
          </w:rPr>
          <w:tab/>
        </w:r>
        <w:r>
          <w:rPr>
            <w:noProof/>
            <w:webHidden/>
          </w:rPr>
          <w:fldChar w:fldCharType="begin"/>
        </w:r>
        <w:r>
          <w:rPr>
            <w:noProof/>
            <w:webHidden/>
          </w:rPr>
          <w:instrText xml:space="preserve"> PAGEREF _Toc19179523 \h </w:instrText>
        </w:r>
        <w:r>
          <w:rPr>
            <w:noProof/>
            <w:webHidden/>
          </w:rPr>
        </w:r>
        <w:r>
          <w:rPr>
            <w:noProof/>
            <w:webHidden/>
          </w:rPr>
          <w:fldChar w:fldCharType="separate"/>
        </w:r>
        <w:r w:rsidR="001E1F52">
          <w:rPr>
            <w:noProof/>
            <w:webHidden/>
          </w:rPr>
          <w:t>3</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24" w:history="1">
        <w:r w:rsidRPr="009B37F4">
          <w:rPr>
            <w:rStyle w:val="Hyperlink"/>
            <w:noProof/>
          </w:rPr>
          <w:t>Part 1: Consumer rights</w:t>
        </w:r>
        <w:r>
          <w:rPr>
            <w:noProof/>
            <w:webHidden/>
          </w:rPr>
          <w:tab/>
        </w:r>
        <w:r>
          <w:rPr>
            <w:noProof/>
            <w:webHidden/>
          </w:rPr>
          <w:fldChar w:fldCharType="begin"/>
        </w:r>
        <w:r>
          <w:rPr>
            <w:noProof/>
            <w:webHidden/>
          </w:rPr>
          <w:instrText xml:space="preserve"> PAGEREF _Toc19179524 \h </w:instrText>
        </w:r>
        <w:r>
          <w:rPr>
            <w:noProof/>
            <w:webHidden/>
          </w:rPr>
        </w:r>
        <w:r>
          <w:rPr>
            <w:noProof/>
            <w:webHidden/>
          </w:rPr>
          <w:fldChar w:fldCharType="separate"/>
        </w:r>
        <w:r w:rsidR="001E1F52">
          <w:rPr>
            <w:noProof/>
            <w:webHidden/>
          </w:rPr>
          <w:t>5</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28" w:history="1">
        <w:r w:rsidRPr="009B37F4">
          <w:rPr>
            <w:rStyle w:val="Hyperlink"/>
            <w:noProof/>
          </w:rPr>
          <w:t>Part 2: Organisational management</w:t>
        </w:r>
        <w:r>
          <w:rPr>
            <w:noProof/>
            <w:webHidden/>
          </w:rPr>
          <w:tab/>
        </w:r>
        <w:r>
          <w:rPr>
            <w:noProof/>
            <w:webHidden/>
          </w:rPr>
          <w:fldChar w:fldCharType="begin"/>
        </w:r>
        <w:r>
          <w:rPr>
            <w:noProof/>
            <w:webHidden/>
          </w:rPr>
          <w:instrText xml:space="preserve"> PAGEREF _Toc19179528 \h </w:instrText>
        </w:r>
        <w:r>
          <w:rPr>
            <w:noProof/>
            <w:webHidden/>
          </w:rPr>
        </w:r>
        <w:r>
          <w:rPr>
            <w:noProof/>
            <w:webHidden/>
          </w:rPr>
          <w:fldChar w:fldCharType="separate"/>
        </w:r>
        <w:r w:rsidR="001E1F52">
          <w:rPr>
            <w:noProof/>
            <w:webHidden/>
          </w:rPr>
          <w:t>7</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32" w:history="1">
        <w:r w:rsidRPr="009B37F4">
          <w:rPr>
            <w:rStyle w:val="Hyperlink"/>
            <w:noProof/>
          </w:rPr>
          <w:t>Part 3: Continuum of service delivery</w:t>
        </w:r>
        <w:r>
          <w:rPr>
            <w:noProof/>
            <w:webHidden/>
          </w:rPr>
          <w:tab/>
        </w:r>
        <w:r>
          <w:rPr>
            <w:noProof/>
            <w:webHidden/>
          </w:rPr>
          <w:fldChar w:fldCharType="begin"/>
        </w:r>
        <w:r>
          <w:rPr>
            <w:noProof/>
            <w:webHidden/>
          </w:rPr>
          <w:instrText xml:space="preserve"> PAGEREF _Toc19179532 \h </w:instrText>
        </w:r>
        <w:r>
          <w:rPr>
            <w:noProof/>
            <w:webHidden/>
          </w:rPr>
        </w:r>
        <w:r>
          <w:rPr>
            <w:noProof/>
            <w:webHidden/>
          </w:rPr>
          <w:fldChar w:fldCharType="separate"/>
        </w:r>
        <w:r w:rsidR="001E1F52">
          <w:rPr>
            <w:noProof/>
            <w:webHidden/>
          </w:rPr>
          <w:t>8</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36" w:history="1">
        <w:r w:rsidRPr="009B37F4">
          <w:rPr>
            <w:rStyle w:val="Hyperlink"/>
            <w:noProof/>
          </w:rPr>
          <w:t>Part 4: Safe and appropriate environment</w:t>
        </w:r>
        <w:r>
          <w:rPr>
            <w:noProof/>
            <w:webHidden/>
          </w:rPr>
          <w:tab/>
        </w:r>
        <w:r>
          <w:rPr>
            <w:noProof/>
            <w:webHidden/>
          </w:rPr>
          <w:fldChar w:fldCharType="begin"/>
        </w:r>
        <w:r>
          <w:rPr>
            <w:noProof/>
            <w:webHidden/>
          </w:rPr>
          <w:instrText xml:space="preserve"> PAGEREF _Toc19179536 \h </w:instrText>
        </w:r>
        <w:r>
          <w:rPr>
            <w:noProof/>
            <w:webHidden/>
          </w:rPr>
        </w:r>
        <w:r>
          <w:rPr>
            <w:noProof/>
            <w:webHidden/>
          </w:rPr>
          <w:fldChar w:fldCharType="separate"/>
        </w:r>
        <w:r w:rsidR="001E1F52">
          <w:rPr>
            <w:noProof/>
            <w:webHidden/>
          </w:rPr>
          <w:t>10</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40" w:history="1">
        <w:r w:rsidRPr="009B37F4">
          <w:rPr>
            <w:rStyle w:val="Hyperlink"/>
            <w:noProof/>
          </w:rPr>
          <w:t>Restraint Minimisation and Safe Practice (RMSP)</w:t>
        </w:r>
        <w:r>
          <w:rPr>
            <w:noProof/>
            <w:webHidden/>
          </w:rPr>
          <w:tab/>
        </w:r>
        <w:r>
          <w:rPr>
            <w:noProof/>
            <w:webHidden/>
          </w:rPr>
          <w:fldChar w:fldCharType="begin"/>
        </w:r>
        <w:r>
          <w:rPr>
            <w:noProof/>
            <w:webHidden/>
          </w:rPr>
          <w:instrText xml:space="preserve"> PAGEREF _Toc19179540 \h </w:instrText>
        </w:r>
        <w:r>
          <w:rPr>
            <w:noProof/>
            <w:webHidden/>
          </w:rPr>
        </w:r>
        <w:r>
          <w:rPr>
            <w:noProof/>
            <w:webHidden/>
          </w:rPr>
          <w:fldChar w:fldCharType="separate"/>
        </w:r>
        <w:r w:rsidR="001E1F52">
          <w:rPr>
            <w:noProof/>
            <w:webHidden/>
          </w:rPr>
          <w:t>12</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41" w:history="1">
        <w:r w:rsidRPr="009B37F4">
          <w:rPr>
            <w:rStyle w:val="Hyperlink"/>
            <w:noProof/>
          </w:rPr>
          <w:t>Infection Prevention and Control</w:t>
        </w:r>
        <w:r>
          <w:rPr>
            <w:noProof/>
            <w:webHidden/>
          </w:rPr>
          <w:tab/>
        </w:r>
        <w:r>
          <w:rPr>
            <w:noProof/>
            <w:webHidden/>
          </w:rPr>
          <w:fldChar w:fldCharType="begin"/>
        </w:r>
        <w:r>
          <w:rPr>
            <w:noProof/>
            <w:webHidden/>
          </w:rPr>
          <w:instrText xml:space="preserve"> PAGEREF _Toc19179541 \h </w:instrText>
        </w:r>
        <w:r>
          <w:rPr>
            <w:noProof/>
            <w:webHidden/>
          </w:rPr>
        </w:r>
        <w:r>
          <w:rPr>
            <w:noProof/>
            <w:webHidden/>
          </w:rPr>
          <w:fldChar w:fldCharType="separate"/>
        </w:r>
        <w:r w:rsidR="001E1F52">
          <w:rPr>
            <w:noProof/>
            <w:webHidden/>
          </w:rPr>
          <w:t>12</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42" w:history="1">
        <w:r w:rsidRPr="009B37F4">
          <w:rPr>
            <w:rStyle w:val="Hyperlink"/>
            <w:noProof/>
          </w:rPr>
          <w:t>Summary</w:t>
        </w:r>
        <w:r>
          <w:rPr>
            <w:noProof/>
            <w:webHidden/>
          </w:rPr>
          <w:tab/>
        </w:r>
        <w:r>
          <w:rPr>
            <w:noProof/>
            <w:webHidden/>
          </w:rPr>
          <w:fldChar w:fldCharType="begin"/>
        </w:r>
        <w:r>
          <w:rPr>
            <w:noProof/>
            <w:webHidden/>
          </w:rPr>
          <w:instrText xml:space="preserve"> PAGEREF _Toc19179542 \h </w:instrText>
        </w:r>
        <w:r>
          <w:rPr>
            <w:noProof/>
            <w:webHidden/>
          </w:rPr>
        </w:r>
        <w:r>
          <w:rPr>
            <w:noProof/>
            <w:webHidden/>
          </w:rPr>
          <w:fldChar w:fldCharType="separate"/>
        </w:r>
        <w:r w:rsidR="001E1F52">
          <w:rPr>
            <w:noProof/>
            <w:webHidden/>
          </w:rPr>
          <w:t>13</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43" w:history="1">
        <w:r w:rsidRPr="009B37F4">
          <w:rPr>
            <w:rStyle w:val="Hyperlink"/>
            <w:noProof/>
          </w:rPr>
          <w:t>Opportunities</w:t>
        </w:r>
        <w:r>
          <w:rPr>
            <w:noProof/>
            <w:webHidden/>
          </w:rPr>
          <w:tab/>
        </w:r>
        <w:r>
          <w:rPr>
            <w:noProof/>
            <w:webHidden/>
          </w:rPr>
          <w:fldChar w:fldCharType="begin"/>
        </w:r>
        <w:r>
          <w:rPr>
            <w:noProof/>
            <w:webHidden/>
          </w:rPr>
          <w:instrText xml:space="preserve"> PAGEREF _Toc19179543 \h </w:instrText>
        </w:r>
        <w:r>
          <w:rPr>
            <w:noProof/>
            <w:webHidden/>
          </w:rPr>
        </w:r>
        <w:r>
          <w:rPr>
            <w:noProof/>
            <w:webHidden/>
          </w:rPr>
          <w:fldChar w:fldCharType="separate"/>
        </w:r>
        <w:r w:rsidR="001E1F52">
          <w:rPr>
            <w:noProof/>
            <w:webHidden/>
          </w:rPr>
          <w:t>14</w:t>
        </w:r>
        <w:r>
          <w:rPr>
            <w:noProof/>
            <w:webHidden/>
          </w:rPr>
          <w:fldChar w:fldCharType="end"/>
        </w:r>
      </w:hyperlink>
    </w:p>
    <w:p w:rsidR="005064EE" w:rsidRDefault="005064EE">
      <w:pPr>
        <w:pStyle w:val="TOC2"/>
        <w:rPr>
          <w:rFonts w:asciiTheme="minorHAnsi" w:eastAsiaTheme="minorEastAsia" w:hAnsiTheme="minorHAnsi" w:cstheme="minorBidi"/>
          <w:noProof/>
          <w:szCs w:val="22"/>
          <w:lang w:eastAsia="en-NZ"/>
        </w:rPr>
      </w:pPr>
      <w:hyperlink w:anchor="_Toc19179544" w:history="1">
        <w:r w:rsidRPr="009B37F4">
          <w:rPr>
            <w:rStyle w:val="Hyperlink"/>
            <w:noProof/>
          </w:rPr>
          <w:t>Appendix 1: Mapping the Standards</w:t>
        </w:r>
        <w:r>
          <w:rPr>
            <w:noProof/>
            <w:webHidden/>
          </w:rPr>
          <w:tab/>
        </w:r>
        <w:r>
          <w:rPr>
            <w:noProof/>
            <w:webHidden/>
          </w:rPr>
          <w:fldChar w:fldCharType="begin"/>
        </w:r>
        <w:r>
          <w:rPr>
            <w:noProof/>
            <w:webHidden/>
          </w:rPr>
          <w:instrText xml:space="preserve"> PAGEREF _Toc19179544 \h </w:instrText>
        </w:r>
        <w:r>
          <w:rPr>
            <w:noProof/>
            <w:webHidden/>
          </w:rPr>
        </w:r>
        <w:r>
          <w:rPr>
            <w:noProof/>
            <w:webHidden/>
          </w:rPr>
          <w:fldChar w:fldCharType="separate"/>
        </w:r>
        <w:r w:rsidR="001E1F52">
          <w:rPr>
            <w:noProof/>
            <w:webHidden/>
          </w:rPr>
          <w:t>16</w:t>
        </w:r>
        <w:r>
          <w:rPr>
            <w:noProof/>
            <w:webHidden/>
          </w:rPr>
          <w:fldChar w:fldCharType="end"/>
        </w:r>
      </w:hyperlink>
    </w:p>
    <w:p w:rsidR="00DF5A28" w:rsidRDefault="005064EE" w:rsidP="00DF5A28">
      <w:pPr>
        <w:rPr>
          <w:color w:val="000000" w:themeColor="text1"/>
        </w:rPr>
        <w:sectPr w:rsidR="00DF5A28" w:rsidSect="00DF5A28">
          <w:footerReference w:type="first" r:id="rId14"/>
          <w:pgSz w:w="11906" w:h="16838"/>
          <w:pgMar w:top="1418" w:right="1418" w:bottom="1134" w:left="1418" w:header="709" w:footer="709" w:gutter="0"/>
          <w:pgNumType w:start="1"/>
          <w:cols w:space="708"/>
          <w:titlePg/>
          <w:docGrid w:linePitch="360"/>
        </w:sectPr>
      </w:pPr>
      <w:r>
        <w:rPr>
          <w:rFonts w:eastAsia="Times New Roman" w:cs="Times New Roman"/>
          <w:b/>
          <w:color w:val="000000" w:themeColor="text1"/>
          <w:sz w:val="22"/>
          <w:szCs w:val="20"/>
          <w:lang w:eastAsia="en-GB"/>
        </w:rPr>
        <w:fldChar w:fldCharType="end"/>
      </w:r>
    </w:p>
    <w:p w:rsidR="008453BC" w:rsidRPr="00F448B4" w:rsidRDefault="008453BC" w:rsidP="00595FD6">
      <w:pPr>
        <w:rPr>
          <w:color w:val="000000" w:themeColor="text1"/>
        </w:rPr>
      </w:pPr>
    </w:p>
    <w:p w:rsidR="00411DE2" w:rsidRPr="00595FD6" w:rsidRDefault="00411DE2" w:rsidP="00595FD6">
      <w:pPr>
        <w:pStyle w:val="Heading2"/>
      </w:pPr>
      <w:bookmarkStart w:id="2" w:name="_Toc19179520"/>
      <w:r w:rsidRPr="00595FD6">
        <w:t>Purpose</w:t>
      </w:r>
      <w:bookmarkEnd w:id="2"/>
    </w:p>
    <w:p w:rsidR="00411DE2" w:rsidRPr="00595FD6" w:rsidRDefault="00411DE2" w:rsidP="00595FD6">
      <w:r w:rsidRPr="00595FD6">
        <w:t xml:space="preserve">The purpose of this document is to compare three standards – the Health and Disability Services Standards (NZS 8134:2008), Fertility Services Standard (NZS 8181:2007), and Home and </w:t>
      </w:r>
      <w:r w:rsidR="000753C0">
        <w:t>C</w:t>
      </w:r>
      <w:r w:rsidRPr="00595FD6">
        <w:t xml:space="preserve">ommunity </w:t>
      </w:r>
      <w:r w:rsidR="000753C0">
        <w:t>S</w:t>
      </w:r>
      <w:r w:rsidRPr="00595FD6">
        <w:t xml:space="preserve">upport </w:t>
      </w:r>
      <w:r w:rsidR="000753C0">
        <w:t>S</w:t>
      </w:r>
      <w:r w:rsidRPr="00595FD6">
        <w:t>ector Standard (NZS 8158:2012</w:t>
      </w:r>
      <w:r w:rsidR="0032255B" w:rsidRPr="00595FD6">
        <w:t>). T</w:t>
      </w:r>
      <w:r w:rsidRPr="00595FD6">
        <w:t xml:space="preserve">he aim </w:t>
      </w:r>
      <w:r w:rsidR="007E6F27" w:rsidRPr="00595FD6">
        <w:t>being</w:t>
      </w:r>
      <w:r w:rsidR="003B03EA" w:rsidRPr="00595FD6">
        <w:t xml:space="preserve"> </w:t>
      </w:r>
      <w:r w:rsidR="001D059F" w:rsidRPr="00595FD6">
        <w:t xml:space="preserve">to </w:t>
      </w:r>
      <w:r w:rsidR="00D67913" w:rsidRPr="00595FD6">
        <w:t>consider</w:t>
      </w:r>
      <w:r w:rsidR="001D059F" w:rsidRPr="00595FD6">
        <w:t xml:space="preserve"> the duplication</w:t>
      </w:r>
      <w:r w:rsidR="007E6F27" w:rsidRPr="00595FD6">
        <w:t xml:space="preserve"> (and differences)</w:t>
      </w:r>
      <w:r w:rsidR="001D059F" w:rsidRPr="00595FD6">
        <w:t xml:space="preserve"> across the three</w:t>
      </w:r>
      <w:r w:rsidR="0032255B" w:rsidRPr="00595FD6">
        <w:t xml:space="preserve"> standards</w:t>
      </w:r>
      <w:r w:rsidR="001D059F" w:rsidRPr="00595FD6">
        <w:t>.</w:t>
      </w:r>
      <w:r w:rsidR="0032255B" w:rsidRPr="00595FD6">
        <w:t xml:space="preserve"> </w:t>
      </w:r>
    </w:p>
    <w:p w:rsidR="003025BD" w:rsidRPr="003025BD" w:rsidRDefault="003025BD" w:rsidP="00595FD6">
      <w:pPr>
        <w:pStyle w:val="Heading2"/>
      </w:pPr>
      <w:bookmarkStart w:id="3" w:name="_Toc19179521"/>
      <w:r w:rsidRPr="003025BD">
        <w:t>Background</w:t>
      </w:r>
      <w:bookmarkEnd w:id="3"/>
    </w:p>
    <w:p w:rsidR="007E5139" w:rsidRDefault="003025BD" w:rsidP="00595FD6">
      <w:r w:rsidRPr="003025BD">
        <w:t xml:space="preserve">The Health and Disability Services (Safety) Act 2001 (the Act) prescribes the requirement to review the </w:t>
      </w:r>
      <w:r w:rsidRPr="0012447D">
        <w:rPr>
          <w:i/>
        </w:rPr>
        <w:t>relevant standards</w:t>
      </w:r>
      <w:r w:rsidRPr="003025BD">
        <w:t xml:space="preserve"> at least every four years.</w:t>
      </w:r>
      <w:r w:rsidR="00E30267">
        <w:t xml:space="preserve"> </w:t>
      </w:r>
      <w:r w:rsidR="007E5139" w:rsidRPr="007E5139">
        <w:t xml:space="preserve">The relevant standards </w:t>
      </w:r>
      <w:r w:rsidR="007E5139">
        <w:t xml:space="preserve">in terms of the Act </w:t>
      </w:r>
      <w:r w:rsidR="007E5139" w:rsidRPr="007E5139">
        <w:t>are the Health and Disability Services Standards</w:t>
      </w:r>
      <w:r w:rsidR="0012447D">
        <w:t xml:space="preserve"> </w:t>
      </w:r>
      <w:r w:rsidR="0012447D" w:rsidRPr="0012447D">
        <w:t>(NZS 8134:2008)</w:t>
      </w:r>
      <w:r w:rsidR="007E5139" w:rsidRPr="007E5139">
        <w:t xml:space="preserve"> and the Fertility Services Standard</w:t>
      </w:r>
      <w:r w:rsidR="0012447D">
        <w:t xml:space="preserve"> </w:t>
      </w:r>
      <w:r w:rsidR="0012447D" w:rsidRPr="0012447D">
        <w:t>(NZS 8181:2007)</w:t>
      </w:r>
      <w:r w:rsidR="007E5139">
        <w:t>.</w:t>
      </w:r>
    </w:p>
    <w:p w:rsidR="007E5139" w:rsidRDefault="007E5139" w:rsidP="00595FD6">
      <w:r>
        <w:t>I</w:t>
      </w:r>
      <w:r w:rsidR="003025BD" w:rsidRPr="003025BD">
        <w:t>n 2017</w:t>
      </w:r>
      <w:r>
        <w:t xml:space="preserve"> an initial review was undertaken to </w:t>
      </w:r>
      <w:r w:rsidR="007E054D">
        <w:t>determine</w:t>
      </w:r>
      <w:r>
        <w:t xml:space="preserve"> if the </w:t>
      </w:r>
      <w:r w:rsidR="00E30267">
        <w:t xml:space="preserve">relevant </w:t>
      </w:r>
      <w:r w:rsidR="003025BD" w:rsidRPr="003025BD">
        <w:t>standards require</w:t>
      </w:r>
      <w:r>
        <w:t>d</w:t>
      </w:r>
      <w:r w:rsidR="003025BD" w:rsidRPr="003025BD">
        <w:t xml:space="preserve"> amendment</w:t>
      </w:r>
      <w:r w:rsidR="00D67913">
        <w:t>/</w:t>
      </w:r>
      <w:r>
        <w:t xml:space="preserve">review </w:t>
      </w:r>
      <w:r w:rsidR="003025BD" w:rsidRPr="003025BD">
        <w:t>to meet contemporary health practice.</w:t>
      </w:r>
      <w:r w:rsidR="00E30267">
        <w:t xml:space="preserve"> At th</w:t>
      </w:r>
      <w:r>
        <w:t>is</w:t>
      </w:r>
      <w:r w:rsidR="00E30267">
        <w:t xml:space="preserve"> time the Home and Community Health Association (HCHA) reported interest in </w:t>
      </w:r>
      <w:r>
        <w:t xml:space="preserve">having the </w:t>
      </w:r>
      <w:r w:rsidR="00E30267">
        <w:t xml:space="preserve">Home and </w:t>
      </w:r>
      <w:r w:rsidR="000753C0">
        <w:t>C</w:t>
      </w:r>
      <w:r w:rsidR="00E30267">
        <w:t xml:space="preserve">ommunity </w:t>
      </w:r>
      <w:r w:rsidR="000753C0">
        <w:t>S</w:t>
      </w:r>
      <w:r w:rsidR="00E30267">
        <w:t xml:space="preserve">upport </w:t>
      </w:r>
      <w:r w:rsidR="000753C0">
        <w:t>S</w:t>
      </w:r>
      <w:r w:rsidR="00E30267">
        <w:t xml:space="preserve">ector Standard </w:t>
      </w:r>
      <w:r w:rsidR="0012447D" w:rsidRPr="0012447D">
        <w:t>(NZS 8</w:t>
      </w:r>
      <w:bookmarkStart w:id="4" w:name="_GoBack"/>
      <w:bookmarkEnd w:id="4"/>
      <w:r w:rsidR="0012447D" w:rsidRPr="0012447D">
        <w:t xml:space="preserve">158:2012) </w:t>
      </w:r>
      <w:r w:rsidR="00E30267">
        <w:t xml:space="preserve">considered as part of </w:t>
      </w:r>
      <w:r w:rsidR="007E6F27">
        <w:t xml:space="preserve">the </w:t>
      </w:r>
      <w:r w:rsidR="00E30267">
        <w:t>review</w:t>
      </w:r>
      <w:r>
        <w:t xml:space="preserve"> of the relevant standards</w:t>
      </w:r>
      <w:r w:rsidR="00E30267">
        <w:t xml:space="preserve">. </w:t>
      </w:r>
    </w:p>
    <w:p w:rsidR="00E30267" w:rsidRDefault="00302984" w:rsidP="00595FD6">
      <w:r>
        <w:t xml:space="preserve"> F</w:t>
      </w:r>
      <w:r w:rsidR="00E30267">
        <w:t xml:space="preserve">or the purpose of this </w:t>
      </w:r>
      <w:r w:rsidR="00B87B65">
        <w:t>document</w:t>
      </w:r>
      <w:r w:rsidR="00E30267">
        <w:t xml:space="preserve"> ‘the standards’ means:</w:t>
      </w:r>
    </w:p>
    <w:p w:rsidR="00E30267" w:rsidRPr="00595FD6" w:rsidRDefault="00E30267" w:rsidP="005A62EE">
      <w:pPr>
        <w:pStyle w:val="Bullets"/>
      </w:pPr>
      <w:r w:rsidRPr="00595FD6">
        <w:t>The Health and Disability Services Standards (NZS 8134:2008) (HDSS)</w:t>
      </w:r>
    </w:p>
    <w:p w:rsidR="00E30267" w:rsidRPr="00595FD6" w:rsidRDefault="00E30267" w:rsidP="005A62EE">
      <w:pPr>
        <w:pStyle w:val="Bullets"/>
      </w:pPr>
      <w:r w:rsidRPr="00595FD6">
        <w:t>Fertility Services Standard (NZS 8181:2007) (FSS)</w:t>
      </w:r>
    </w:p>
    <w:p w:rsidR="00E30267" w:rsidRPr="00595FD6" w:rsidRDefault="00E30267" w:rsidP="005A62EE">
      <w:pPr>
        <w:pStyle w:val="Bullets"/>
      </w:pPr>
      <w:r w:rsidRPr="00595FD6">
        <w:t xml:space="preserve">Home and </w:t>
      </w:r>
      <w:r w:rsidR="000753C0">
        <w:t>C</w:t>
      </w:r>
      <w:r w:rsidRPr="00595FD6">
        <w:t xml:space="preserve">ommunity </w:t>
      </w:r>
      <w:r w:rsidR="000753C0">
        <w:t>S</w:t>
      </w:r>
      <w:r w:rsidRPr="00595FD6">
        <w:t xml:space="preserve">upport </w:t>
      </w:r>
      <w:r w:rsidR="000753C0">
        <w:t>S</w:t>
      </w:r>
      <w:r w:rsidRPr="00595FD6">
        <w:t>ector Standard (NZS 8158:2012) (HCSS)</w:t>
      </w:r>
    </w:p>
    <w:p w:rsidR="009325E8" w:rsidRPr="009325E8" w:rsidRDefault="009325E8" w:rsidP="00595FD6">
      <w:pPr>
        <w:pStyle w:val="Heading2"/>
      </w:pPr>
      <w:bookmarkStart w:id="5" w:name="_Toc19179522"/>
      <w:r w:rsidRPr="009325E8">
        <w:t>The standards</w:t>
      </w:r>
      <w:bookmarkEnd w:id="5"/>
    </w:p>
    <w:p w:rsidR="009F0E1B" w:rsidRDefault="0012447D" w:rsidP="00595FD6">
      <w:r>
        <w:t xml:space="preserve">The standards are </w:t>
      </w:r>
      <w:r w:rsidR="00FA5A89">
        <w:t>organised</w:t>
      </w:r>
      <w:r>
        <w:t xml:space="preserve"> in</w:t>
      </w:r>
      <w:r w:rsidR="007E054D">
        <w:t xml:space="preserve">to </w:t>
      </w:r>
      <w:r w:rsidR="003B03EA">
        <w:t xml:space="preserve">‘parts’ </w:t>
      </w:r>
      <w:r w:rsidR="00DF5A28">
        <w:t>i.e.</w:t>
      </w:r>
      <w:r w:rsidR="007E054D">
        <w:t xml:space="preserve"> Consumer</w:t>
      </w:r>
      <w:r w:rsidR="003B03EA">
        <w:t xml:space="preserve"> rights, organisational management</w:t>
      </w:r>
      <w:r w:rsidR="007E054D">
        <w:t xml:space="preserve">, </w:t>
      </w:r>
      <w:r w:rsidR="003B03EA">
        <w:t>etc</w:t>
      </w:r>
      <w:r>
        <w:t>.</w:t>
      </w:r>
      <w:r w:rsidR="003B03EA">
        <w:t xml:space="preserve"> </w:t>
      </w:r>
      <w:r w:rsidR="007E054D">
        <w:t>E</w:t>
      </w:r>
      <w:r w:rsidR="003B03EA">
        <w:t xml:space="preserve">ach part </w:t>
      </w:r>
      <w:r w:rsidR="007E054D">
        <w:t>is made up of</w:t>
      </w:r>
      <w:r w:rsidR="003B03EA">
        <w:t xml:space="preserve"> a number of ‘standards’. </w:t>
      </w:r>
      <w:r w:rsidR="00E1739F">
        <w:t>T</w:t>
      </w:r>
      <w:r w:rsidR="006B70FB">
        <w:t>o</w:t>
      </w:r>
      <w:r w:rsidR="003B03EA">
        <w:t xml:space="preserve"> avoid confusion, these </w:t>
      </w:r>
      <w:r w:rsidR="0032255B">
        <w:t xml:space="preserve">standards </w:t>
      </w:r>
      <w:r w:rsidR="003B03EA">
        <w:t xml:space="preserve">will be referred to </w:t>
      </w:r>
      <w:r w:rsidR="007E6F27">
        <w:t>as</w:t>
      </w:r>
      <w:r w:rsidR="003B03EA">
        <w:t xml:space="preserve"> ‘outcome statements’.</w:t>
      </w:r>
      <w:r>
        <w:t xml:space="preserve"> </w:t>
      </w:r>
      <w:r w:rsidR="0032255B">
        <w:t xml:space="preserve">As seen in </w:t>
      </w:r>
      <w:r w:rsidR="00DF5A28">
        <w:fldChar w:fldCharType="begin"/>
      </w:r>
      <w:r w:rsidR="00DF5A28">
        <w:instrText xml:space="preserve"> REF _Ref19009999 \h </w:instrText>
      </w:r>
      <w:r w:rsidR="00DF5A28">
        <w:fldChar w:fldCharType="separate"/>
      </w:r>
      <w:r w:rsidR="001E1F52" w:rsidRPr="005A62EE">
        <w:t xml:space="preserve">Diagram </w:t>
      </w:r>
      <w:r w:rsidR="001E1F52">
        <w:rPr>
          <w:noProof/>
        </w:rPr>
        <w:t>1</w:t>
      </w:r>
      <w:r w:rsidR="00DF5A28">
        <w:fldChar w:fldCharType="end"/>
      </w:r>
      <w:r w:rsidR="00DF5A28">
        <w:t xml:space="preserve"> </w:t>
      </w:r>
      <w:r w:rsidR="0032255B">
        <w:t xml:space="preserve">there are </w:t>
      </w:r>
      <w:r w:rsidR="00FA5A89">
        <w:t xml:space="preserve">57 </w:t>
      </w:r>
      <w:r w:rsidR="0032255B">
        <w:t xml:space="preserve">outcome statements </w:t>
      </w:r>
      <w:r w:rsidR="00FA5A89">
        <w:t>in the</w:t>
      </w:r>
      <w:r>
        <w:t xml:space="preserve"> HDSS</w:t>
      </w:r>
      <w:r w:rsidR="0032255B">
        <w:t xml:space="preserve">, 42 outcome statements in FSS, and 31 in HCSS. </w:t>
      </w:r>
    </w:p>
    <w:p w:rsidR="009F0E1B" w:rsidRDefault="009F0E1B" w:rsidP="00595FD6"/>
    <w:p w:rsidR="00F448B4" w:rsidRDefault="00F448B4" w:rsidP="00595FD6">
      <w:pPr>
        <w:sectPr w:rsidR="00F448B4" w:rsidSect="00F448B4">
          <w:pgSz w:w="11906" w:h="16838"/>
          <w:pgMar w:top="1418" w:right="1418" w:bottom="1134" w:left="1418" w:header="709" w:footer="709" w:gutter="0"/>
          <w:cols w:space="708"/>
          <w:titlePg/>
          <w:docGrid w:linePitch="360"/>
        </w:sectPr>
      </w:pPr>
    </w:p>
    <w:p w:rsidR="0012447D" w:rsidRPr="005A62EE" w:rsidRDefault="00F448B4" w:rsidP="005A62EE">
      <w:pPr>
        <w:pStyle w:val="Caption"/>
      </w:pPr>
      <w:bookmarkStart w:id="6" w:name="_Ref19009999"/>
      <w:r w:rsidRPr="005A62EE">
        <w:lastRenderedPageBreak/>
        <w:t xml:space="preserve">Diagram </w:t>
      </w:r>
      <w:r w:rsidR="002B15E1">
        <w:rPr>
          <w:noProof/>
        </w:rPr>
        <w:fldChar w:fldCharType="begin"/>
      </w:r>
      <w:r w:rsidR="002B15E1">
        <w:rPr>
          <w:noProof/>
        </w:rPr>
        <w:instrText xml:space="preserve"> SEQ Diagram \* ARABIC </w:instrText>
      </w:r>
      <w:r w:rsidR="002B15E1">
        <w:rPr>
          <w:noProof/>
        </w:rPr>
        <w:fldChar w:fldCharType="separate"/>
      </w:r>
      <w:r w:rsidR="001E1F52">
        <w:rPr>
          <w:noProof/>
        </w:rPr>
        <w:t>1</w:t>
      </w:r>
      <w:r w:rsidR="002B15E1">
        <w:rPr>
          <w:noProof/>
        </w:rPr>
        <w:fldChar w:fldCharType="end"/>
      </w:r>
      <w:bookmarkEnd w:id="6"/>
      <w:r w:rsidRPr="005A62EE">
        <w:t>: T</w:t>
      </w:r>
      <w:r w:rsidR="0012447D" w:rsidRPr="005A62EE">
        <w:t xml:space="preserve">he Standards </w:t>
      </w:r>
    </w:p>
    <w:p w:rsidR="009325E8" w:rsidRDefault="003B03EA" w:rsidP="00595FD6">
      <w:pPr>
        <w:rPr>
          <w:rFonts w:ascii="Arial" w:hAnsi="Arial"/>
        </w:rPr>
      </w:pPr>
      <w:r w:rsidRPr="003B03EA">
        <w:t xml:space="preserve"> </w:t>
      </w:r>
      <w:r w:rsidR="005064EE">
        <w:object w:dxaOrig="11053" w:dyaOrig="8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diagram shows how the standards flow from either the Health and Disability Services (Safety) Act 2001 or contractual requirements and the rights and outcome statements of each path." style="width:441.75pt;height:314.25pt" o:ole="">
            <v:imagedata r:id="rId15" o:title=""/>
          </v:shape>
          <o:OLEObject Type="Embed" ProgID="Visio.Drawing.15" ShapeID="_x0000_i1025" DrawAspect="Content" ObjectID="_1629792536" r:id="rId16"/>
        </w:object>
      </w:r>
    </w:p>
    <w:p w:rsidR="009F3751" w:rsidRDefault="00411DE2" w:rsidP="00595FD6">
      <w:pPr>
        <w:pStyle w:val="Heading2"/>
      </w:pPr>
      <w:bookmarkStart w:id="7" w:name="_Toc19179523"/>
      <w:r>
        <w:t>Mapping m</w:t>
      </w:r>
      <w:r w:rsidR="009F3751" w:rsidRPr="009F3751">
        <w:t>ethodology</w:t>
      </w:r>
      <w:bookmarkEnd w:id="7"/>
    </w:p>
    <w:p w:rsidR="00F346E7" w:rsidRDefault="00AD4242" w:rsidP="00595FD6">
      <w:r>
        <w:t>The</w:t>
      </w:r>
      <w:r w:rsidR="007E054D">
        <w:t xml:space="preserve"> mapping</w:t>
      </w:r>
      <w:r>
        <w:t xml:space="preserve"> approach has </w:t>
      </w:r>
      <w:r w:rsidR="00F346E7">
        <w:t xml:space="preserve">primarily </w:t>
      </w:r>
      <w:r>
        <w:t>compare</w:t>
      </w:r>
      <w:r w:rsidR="007E054D">
        <w:t>d</w:t>
      </w:r>
      <w:r>
        <w:t xml:space="preserve"> outcome statements across the three standards</w:t>
      </w:r>
      <w:r w:rsidR="00F346E7">
        <w:t xml:space="preserve">, except when </w:t>
      </w:r>
      <w:r w:rsidR="00E1739F">
        <w:t xml:space="preserve">determining </w:t>
      </w:r>
      <w:r w:rsidR="00AB018A">
        <w:t>a ‘partial match’ which look</w:t>
      </w:r>
      <w:r w:rsidR="00F346E7">
        <w:t>ed</w:t>
      </w:r>
      <w:r w:rsidR="00AB018A">
        <w:t xml:space="preserve"> </w:t>
      </w:r>
      <w:r w:rsidR="00F346E7">
        <w:t>a</w:t>
      </w:r>
      <w:r w:rsidR="00AB018A">
        <w:t xml:space="preserve">t criteria </w:t>
      </w:r>
      <w:r w:rsidR="007E6F27">
        <w:t xml:space="preserve">contained </w:t>
      </w:r>
      <w:r w:rsidR="00F346E7">
        <w:t xml:space="preserve">within </w:t>
      </w:r>
      <w:r w:rsidR="00AB018A">
        <w:t>each outcome statement</w:t>
      </w:r>
      <w:r>
        <w:t>.</w:t>
      </w:r>
      <w:r w:rsidR="00F346E7">
        <w:t xml:space="preserve"> Appendix 1 shows the completed mapping.</w:t>
      </w:r>
      <w:r>
        <w:t xml:space="preserve"> </w:t>
      </w:r>
    </w:p>
    <w:p w:rsidR="00F346E7" w:rsidRDefault="00AB018A" w:rsidP="00595FD6">
      <w:r>
        <w:t>A pragmatic approach to th</w:t>
      </w:r>
      <w:r w:rsidR="007E6F27">
        <w:t>is</w:t>
      </w:r>
      <w:r>
        <w:t xml:space="preserve"> mapping has been taken</w:t>
      </w:r>
      <w:r w:rsidR="00F346E7">
        <w:t xml:space="preserve"> with the intent of offering</w:t>
      </w:r>
      <w:r w:rsidR="00D67913">
        <w:t xml:space="preserve"> an indication of high level synergies between the standards</w:t>
      </w:r>
      <w:r w:rsidR="00F346E7">
        <w:t xml:space="preserve">, and it is acknowledged in some case there may be a ‘better fit’ than </w:t>
      </w:r>
      <w:r w:rsidR="007E6F27">
        <w:t xml:space="preserve">that presented </w:t>
      </w:r>
      <w:r w:rsidR="00F346E7">
        <w:t>in this document</w:t>
      </w:r>
      <w:r w:rsidR="00D67913">
        <w:t xml:space="preserve">. </w:t>
      </w:r>
    </w:p>
    <w:p w:rsidR="00A85240" w:rsidRPr="00761BBF" w:rsidRDefault="00761BBF" w:rsidP="00595FD6">
      <w:r w:rsidRPr="00761BBF">
        <w:t>T</w:t>
      </w:r>
      <w:r w:rsidR="00A85240" w:rsidRPr="00761BBF">
        <w:t xml:space="preserve">hree </w:t>
      </w:r>
      <w:r w:rsidR="00531ABC">
        <w:t>term</w:t>
      </w:r>
      <w:r w:rsidR="00A85240" w:rsidRPr="00761BBF">
        <w:t>s have been used</w:t>
      </w:r>
      <w:r w:rsidRPr="00761BBF">
        <w:t xml:space="preserve"> to map the standards</w:t>
      </w:r>
      <w:r w:rsidR="00A85240" w:rsidRPr="00761BBF">
        <w:t>:</w:t>
      </w:r>
    </w:p>
    <w:p w:rsidR="0047517B" w:rsidRPr="005A62EE" w:rsidRDefault="00A85240" w:rsidP="005A62EE">
      <w:pPr>
        <w:pStyle w:val="ListParagraph"/>
        <w:numPr>
          <w:ilvl w:val="0"/>
          <w:numId w:val="17"/>
        </w:numPr>
      </w:pPr>
      <w:r w:rsidRPr="005A62EE">
        <w:t>Exact match</w:t>
      </w:r>
      <w:r w:rsidR="00AB018A" w:rsidRPr="005A62EE">
        <w:t xml:space="preserve"> - </w:t>
      </w:r>
      <w:r w:rsidRPr="005A62EE">
        <w:t xml:space="preserve">the </w:t>
      </w:r>
      <w:r w:rsidR="00451212" w:rsidRPr="005A62EE">
        <w:t>outcome</w:t>
      </w:r>
      <w:r w:rsidR="00531ABC" w:rsidRPr="005A62EE">
        <w:t xml:space="preserve"> </w:t>
      </w:r>
      <w:r w:rsidRPr="005A62EE">
        <w:t>s</w:t>
      </w:r>
      <w:r w:rsidR="00531ABC" w:rsidRPr="005A62EE">
        <w:t>tatements</w:t>
      </w:r>
      <w:r w:rsidRPr="005A62EE">
        <w:t xml:space="preserve"> are essentially the same </w:t>
      </w:r>
    </w:p>
    <w:tbl>
      <w:tblPr>
        <w:tblStyle w:val="TableGrid"/>
        <w:tblW w:w="9002" w:type="dxa"/>
        <w:tblInd w:w="65"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211"/>
        <w:gridCol w:w="7791"/>
      </w:tblGrid>
      <w:tr w:rsidR="0047517B" w:rsidRPr="0047517B" w:rsidTr="00EB17F7">
        <w:tc>
          <w:tcPr>
            <w:tcW w:w="1211" w:type="dxa"/>
            <w:shd w:val="clear" w:color="auto" w:fill="F2F2F2" w:themeFill="background1" w:themeFillShade="F2"/>
          </w:tcPr>
          <w:p w:rsidR="0047517B" w:rsidRPr="00EB17F7" w:rsidRDefault="0047517B" w:rsidP="005A62EE">
            <w:pPr>
              <w:pStyle w:val="TableText"/>
              <w:rPr>
                <w:b/>
              </w:rPr>
            </w:pPr>
            <w:r w:rsidRPr="00EB17F7">
              <w:rPr>
                <w:b/>
              </w:rPr>
              <w:t>HDSS</w:t>
            </w:r>
          </w:p>
        </w:tc>
        <w:tc>
          <w:tcPr>
            <w:tcW w:w="7791" w:type="dxa"/>
          </w:tcPr>
          <w:p w:rsidR="0047517B" w:rsidRPr="00F448B4" w:rsidRDefault="0047517B" w:rsidP="005A62EE">
            <w:pPr>
              <w:pStyle w:val="TableText"/>
            </w:pPr>
            <w:r w:rsidRPr="00F448B4">
              <w:t xml:space="preserve">1.1.3: Independence, Personal Privacy, Dignity, And Respect </w:t>
            </w:r>
          </w:p>
          <w:p w:rsidR="0047517B" w:rsidRPr="00F448B4" w:rsidRDefault="0047517B" w:rsidP="005A62EE">
            <w:pPr>
              <w:pStyle w:val="TableText"/>
            </w:pPr>
            <w:r w:rsidRPr="00F448B4">
              <w:t>Consumers are treated with respect and receive services in a manner that has regard for their dignity, privacy, and independence</w:t>
            </w:r>
          </w:p>
        </w:tc>
      </w:tr>
      <w:tr w:rsidR="0047517B" w:rsidRPr="0047517B" w:rsidTr="00EB17F7">
        <w:tc>
          <w:tcPr>
            <w:tcW w:w="1211" w:type="dxa"/>
            <w:shd w:val="clear" w:color="auto" w:fill="F2F2F2" w:themeFill="background1" w:themeFillShade="F2"/>
          </w:tcPr>
          <w:p w:rsidR="0047517B" w:rsidRPr="00EB17F7" w:rsidRDefault="0047517B" w:rsidP="005A62EE">
            <w:pPr>
              <w:pStyle w:val="TableText"/>
              <w:rPr>
                <w:b/>
              </w:rPr>
            </w:pPr>
            <w:r w:rsidRPr="00EB17F7">
              <w:rPr>
                <w:b/>
              </w:rPr>
              <w:t>FSS</w:t>
            </w:r>
          </w:p>
        </w:tc>
        <w:tc>
          <w:tcPr>
            <w:tcW w:w="7791" w:type="dxa"/>
          </w:tcPr>
          <w:p w:rsidR="0047517B" w:rsidRPr="00F448B4" w:rsidRDefault="0047517B" w:rsidP="005A62EE">
            <w:pPr>
              <w:pStyle w:val="TableText"/>
            </w:pPr>
            <w:r w:rsidRPr="00F448B4">
              <w:t xml:space="preserve">1.5: Personal Privacy and Dignity  </w:t>
            </w:r>
          </w:p>
          <w:p w:rsidR="0047517B" w:rsidRPr="00F448B4" w:rsidRDefault="0047517B" w:rsidP="005A62EE">
            <w:pPr>
              <w:pStyle w:val="TableText"/>
            </w:pPr>
            <w:r w:rsidRPr="00F448B4">
              <w:t>The personal privacy and dignity of the consumer is respected and met during service provision</w:t>
            </w:r>
          </w:p>
        </w:tc>
      </w:tr>
      <w:tr w:rsidR="0047517B" w:rsidRPr="0047517B" w:rsidTr="00EB17F7">
        <w:tc>
          <w:tcPr>
            <w:tcW w:w="1211" w:type="dxa"/>
            <w:shd w:val="clear" w:color="auto" w:fill="F2F2F2" w:themeFill="background1" w:themeFillShade="F2"/>
          </w:tcPr>
          <w:p w:rsidR="0047517B" w:rsidRPr="00EB17F7" w:rsidRDefault="0047517B" w:rsidP="005A62EE">
            <w:pPr>
              <w:pStyle w:val="TableText"/>
              <w:rPr>
                <w:b/>
              </w:rPr>
            </w:pPr>
            <w:r w:rsidRPr="00EB17F7">
              <w:rPr>
                <w:b/>
              </w:rPr>
              <w:t>HCSS</w:t>
            </w:r>
          </w:p>
        </w:tc>
        <w:tc>
          <w:tcPr>
            <w:tcW w:w="7791" w:type="dxa"/>
          </w:tcPr>
          <w:p w:rsidR="0047517B" w:rsidRPr="00F448B4" w:rsidRDefault="0047517B" w:rsidP="005A62EE">
            <w:pPr>
              <w:pStyle w:val="TableText"/>
            </w:pPr>
            <w:r w:rsidRPr="00F448B4">
              <w:t xml:space="preserve">1.2: Individual Privacy, Dignity and Respect </w:t>
            </w:r>
          </w:p>
          <w:p w:rsidR="0047517B" w:rsidRPr="00F448B4" w:rsidRDefault="0047517B" w:rsidP="005A62EE">
            <w:pPr>
              <w:pStyle w:val="TableText"/>
            </w:pPr>
            <w:r w:rsidRPr="00F448B4">
              <w:t>Consumers are treated with respect and receive services in a manner that has regard for their dignity, privacy, confidentiality, and independence</w:t>
            </w:r>
          </w:p>
        </w:tc>
      </w:tr>
    </w:tbl>
    <w:p w:rsidR="005A62EE" w:rsidRDefault="005A62EE" w:rsidP="005A62EE">
      <w:pPr>
        <w:pStyle w:val="ListParagraph"/>
        <w:sectPr w:rsidR="005A62EE" w:rsidSect="005A62EE">
          <w:pgSz w:w="11906" w:h="16838"/>
          <w:pgMar w:top="1418" w:right="1418" w:bottom="1134" w:left="1418" w:header="567" w:footer="709" w:gutter="0"/>
          <w:cols w:space="708"/>
          <w:titlePg/>
          <w:docGrid w:linePitch="360"/>
        </w:sectPr>
      </w:pPr>
    </w:p>
    <w:p w:rsidR="00451212" w:rsidRPr="005A62EE" w:rsidRDefault="00A85240" w:rsidP="005A62EE">
      <w:pPr>
        <w:pStyle w:val="ListParagraph"/>
      </w:pPr>
      <w:r w:rsidRPr="005A62EE">
        <w:lastRenderedPageBreak/>
        <w:t xml:space="preserve">Partial </w:t>
      </w:r>
      <w:r w:rsidR="0047517B" w:rsidRPr="005A62EE">
        <w:t>match</w:t>
      </w:r>
      <w:r w:rsidR="00637F8A" w:rsidRPr="005A62EE">
        <w:t xml:space="preserve"> -</w:t>
      </w:r>
      <w:r w:rsidR="0047517B" w:rsidRPr="005A62EE">
        <w:t xml:space="preserve"> the </w:t>
      </w:r>
      <w:r w:rsidR="00451212" w:rsidRPr="005A62EE">
        <w:t xml:space="preserve">outcome </w:t>
      </w:r>
      <w:r w:rsidR="0047517B" w:rsidRPr="005A62EE">
        <w:t>statements</w:t>
      </w:r>
      <w:r w:rsidR="00451212" w:rsidRPr="005A62EE">
        <w:t xml:space="preserve"> either:</w:t>
      </w:r>
    </w:p>
    <w:p w:rsidR="00A85240" w:rsidRPr="00761BBF" w:rsidRDefault="0047517B" w:rsidP="005A62EE">
      <w:pPr>
        <w:pStyle w:val="ListParagraph"/>
        <w:numPr>
          <w:ilvl w:val="1"/>
          <w:numId w:val="9"/>
        </w:numPr>
      </w:pPr>
      <w:r w:rsidRPr="00761BBF">
        <w:t>‘loosely’ align</w:t>
      </w:r>
      <w:r w:rsidR="00773DD9">
        <w:t xml:space="preserve"> </w:t>
      </w:r>
    </w:p>
    <w:tbl>
      <w:tblPr>
        <w:tblStyle w:val="TableGrid"/>
        <w:tblW w:w="8930" w:type="dxa"/>
        <w:tblInd w:w="13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39"/>
        <w:gridCol w:w="7791"/>
      </w:tblGrid>
      <w:tr w:rsidR="0047517B" w:rsidRPr="0047517B" w:rsidTr="00EB17F7">
        <w:tc>
          <w:tcPr>
            <w:tcW w:w="1139" w:type="dxa"/>
            <w:shd w:val="clear" w:color="auto" w:fill="F2F2F2" w:themeFill="background1" w:themeFillShade="F2"/>
          </w:tcPr>
          <w:p w:rsidR="0047517B" w:rsidRPr="00EB17F7" w:rsidRDefault="0047517B" w:rsidP="005A62EE">
            <w:pPr>
              <w:pStyle w:val="TableText"/>
              <w:rPr>
                <w:b/>
              </w:rPr>
            </w:pPr>
            <w:r w:rsidRPr="00EB17F7">
              <w:rPr>
                <w:b/>
              </w:rPr>
              <w:t>HDSS</w:t>
            </w:r>
          </w:p>
        </w:tc>
        <w:tc>
          <w:tcPr>
            <w:tcW w:w="7791" w:type="dxa"/>
          </w:tcPr>
          <w:p w:rsidR="0047517B" w:rsidRPr="005A62EE" w:rsidRDefault="0047517B" w:rsidP="005A62EE">
            <w:pPr>
              <w:pStyle w:val="TableText"/>
            </w:pPr>
            <w:r w:rsidRPr="005A62EE">
              <w:t xml:space="preserve">1.1.9: Communication </w:t>
            </w:r>
          </w:p>
          <w:p w:rsidR="0047517B" w:rsidRPr="005A62EE" w:rsidRDefault="0047517B" w:rsidP="005A62EE">
            <w:pPr>
              <w:pStyle w:val="TableText"/>
            </w:pPr>
            <w:r w:rsidRPr="005A62EE">
              <w:t>Service providers communicate effectively with consumers and provide an environment conducive to effective communication.</w:t>
            </w:r>
          </w:p>
        </w:tc>
      </w:tr>
      <w:tr w:rsidR="0047517B" w:rsidRPr="0047517B" w:rsidTr="00EB17F7">
        <w:tc>
          <w:tcPr>
            <w:tcW w:w="1139" w:type="dxa"/>
            <w:shd w:val="clear" w:color="auto" w:fill="F2F2F2" w:themeFill="background1" w:themeFillShade="F2"/>
          </w:tcPr>
          <w:p w:rsidR="0047517B" w:rsidRPr="00EB17F7" w:rsidRDefault="0047517B" w:rsidP="005A62EE">
            <w:pPr>
              <w:pStyle w:val="TableText"/>
              <w:rPr>
                <w:b/>
              </w:rPr>
            </w:pPr>
            <w:r w:rsidRPr="00EB17F7">
              <w:rPr>
                <w:b/>
              </w:rPr>
              <w:t>FSS</w:t>
            </w:r>
          </w:p>
        </w:tc>
        <w:tc>
          <w:tcPr>
            <w:tcW w:w="7791" w:type="dxa"/>
          </w:tcPr>
          <w:p w:rsidR="0047517B" w:rsidRPr="005A62EE" w:rsidRDefault="0047517B" w:rsidP="005A62EE">
            <w:pPr>
              <w:pStyle w:val="TableText"/>
            </w:pPr>
            <w:r w:rsidRPr="005A62EE">
              <w:t xml:space="preserve">1.6: Consumer Information  </w:t>
            </w:r>
          </w:p>
          <w:p w:rsidR="0047517B" w:rsidRPr="005A62EE" w:rsidRDefault="0047517B" w:rsidP="005A62EE">
            <w:pPr>
              <w:pStyle w:val="TableText"/>
            </w:pPr>
            <w:r w:rsidRPr="005A62EE">
              <w:t>Consumers receive information that is accurate, timely and in formats appropriate to the consumer.</w:t>
            </w:r>
          </w:p>
        </w:tc>
      </w:tr>
      <w:tr w:rsidR="0047517B" w:rsidRPr="0047517B" w:rsidTr="00EB17F7">
        <w:tc>
          <w:tcPr>
            <w:tcW w:w="1139" w:type="dxa"/>
            <w:shd w:val="clear" w:color="auto" w:fill="F2F2F2" w:themeFill="background1" w:themeFillShade="F2"/>
          </w:tcPr>
          <w:p w:rsidR="0047517B" w:rsidRPr="00EB17F7" w:rsidRDefault="0047517B" w:rsidP="005A62EE">
            <w:pPr>
              <w:pStyle w:val="TableText"/>
              <w:rPr>
                <w:b/>
              </w:rPr>
            </w:pPr>
            <w:r w:rsidRPr="00EB17F7">
              <w:rPr>
                <w:b/>
              </w:rPr>
              <w:t>HCSS</w:t>
            </w:r>
          </w:p>
        </w:tc>
        <w:tc>
          <w:tcPr>
            <w:tcW w:w="7791" w:type="dxa"/>
          </w:tcPr>
          <w:p w:rsidR="0047517B" w:rsidRPr="005A62EE" w:rsidRDefault="0047517B" w:rsidP="005A62EE">
            <w:pPr>
              <w:pStyle w:val="TableText"/>
            </w:pPr>
            <w:r w:rsidRPr="005A62EE">
              <w:t>1.6: Communication in a Manner that the Consumer can understand</w:t>
            </w:r>
          </w:p>
          <w:p w:rsidR="0047517B" w:rsidRPr="005A62EE" w:rsidRDefault="0047517B" w:rsidP="005A62EE">
            <w:pPr>
              <w:pStyle w:val="TableText"/>
            </w:pPr>
            <w:r w:rsidRPr="005A62EE">
              <w:t>Information is communicated to consumers in a manner that the consumer can understand.</w:t>
            </w:r>
          </w:p>
        </w:tc>
      </w:tr>
    </w:tbl>
    <w:p w:rsidR="0047517B" w:rsidRDefault="00637F8A" w:rsidP="005A62EE">
      <w:pPr>
        <w:pStyle w:val="ListParagraph"/>
        <w:numPr>
          <w:ilvl w:val="1"/>
          <w:numId w:val="9"/>
        </w:numPr>
      </w:pPr>
      <w:r>
        <w:t xml:space="preserve">OR </w:t>
      </w:r>
      <w:r w:rsidR="00773DD9">
        <w:t>a</w:t>
      </w:r>
      <w:r>
        <w:t>n outcome statement</w:t>
      </w:r>
      <w:r w:rsidR="00773DD9">
        <w:t xml:space="preserve"> can be mapped to </w:t>
      </w:r>
      <w:r w:rsidR="00773DD9" w:rsidRPr="00761BBF">
        <w:t>criteria</w:t>
      </w:r>
      <w:r w:rsidR="00773DD9">
        <w:t xml:space="preserve"> in one or both of the </w:t>
      </w:r>
      <w:r w:rsidR="00042784">
        <w:t>other</w:t>
      </w:r>
      <w:r w:rsidR="00773DD9">
        <w:t xml:space="preserve"> two standards:</w:t>
      </w:r>
    </w:p>
    <w:tbl>
      <w:tblPr>
        <w:tblStyle w:val="TableGrid"/>
        <w:tblW w:w="8930" w:type="dxa"/>
        <w:tblInd w:w="13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39"/>
        <w:gridCol w:w="7791"/>
      </w:tblGrid>
      <w:tr w:rsidR="0047517B" w:rsidRPr="0047517B" w:rsidTr="00EB17F7">
        <w:tc>
          <w:tcPr>
            <w:tcW w:w="1139" w:type="dxa"/>
            <w:shd w:val="clear" w:color="auto" w:fill="F2F2F2" w:themeFill="background1" w:themeFillShade="F2"/>
          </w:tcPr>
          <w:p w:rsidR="0047517B" w:rsidRPr="00EB17F7" w:rsidRDefault="0047517B" w:rsidP="005A62EE">
            <w:pPr>
              <w:pStyle w:val="TableText"/>
              <w:rPr>
                <w:b/>
              </w:rPr>
            </w:pPr>
            <w:r w:rsidRPr="00EB17F7">
              <w:rPr>
                <w:b/>
              </w:rPr>
              <w:t>HDSS</w:t>
            </w:r>
          </w:p>
        </w:tc>
        <w:tc>
          <w:tcPr>
            <w:tcW w:w="7791" w:type="dxa"/>
          </w:tcPr>
          <w:p w:rsidR="000D6A76" w:rsidRPr="005A62EE" w:rsidRDefault="00E1739F" w:rsidP="005A62EE">
            <w:pPr>
              <w:pStyle w:val="TableText"/>
            </w:pPr>
            <w:r w:rsidRPr="005A62EE">
              <w:t>Standard 1.1.10: Informed Consent</w:t>
            </w:r>
            <w:r w:rsidR="0047517B" w:rsidRPr="005A62EE">
              <w:t>.</w:t>
            </w:r>
            <w:r w:rsidRPr="005A62EE">
              <w:t xml:space="preserve"> Consumers and where appropriate their family/whānau of choice are provided with the information they need to make informed choices and give informed consent.</w:t>
            </w:r>
          </w:p>
        </w:tc>
      </w:tr>
      <w:tr w:rsidR="0047517B" w:rsidRPr="0047517B" w:rsidTr="00EB17F7">
        <w:tc>
          <w:tcPr>
            <w:tcW w:w="1139" w:type="dxa"/>
            <w:shd w:val="clear" w:color="auto" w:fill="F2F2F2" w:themeFill="background1" w:themeFillShade="F2"/>
          </w:tcPr>
          <w:p w:rsidR="0047517B" w:rsidRPr="00EB17F7" w:rsidRDefault="0047517B" w:rsidP="005A62EE">
            <w:pPr>
              <w:pStyle w:val="TableText"/>
              <w:rPr>
                <w:b/>
              </w:rPr>
            </w:pPr>
            <w:r w:rsidRPr="00EB17F7">
              <w:rPr>
                <w:b/>
              </w:rPr>
              <w:t>FSS</w:t>
            </w:r>
          </w:p>
        </w:tc>
        <w:tc>
          <w:tcPr>
            <w:tcW w:w="7791" w:type="dxa"/>
          </w:tcPr>
          <w:p w:rsidR="00761BBF" w:rsidRPr="005A62EE" w:rsidRDefault="00E1739F" w:rsidP="005A62EE">
            <w:pPr>
              <w:pStyle w:val="TableText"/>
            </w:pPr>
            <w:r w:rsidRPr="005A62EE">
              <w:t>Standard 1.7: Informed Consent: Consumer consent is obtained in line with the requirements of the Code of Health and Disability Services Consumers’ Rights and the principles of the Human Assisted Reproductive Technology Act.</w:t>
            </w:r>
          </w:p>
        </w:tc>
      </w:tr>
      <w:tr w:rsidR="0047517B" w:rsidRPr="0047517B" w:rsidTr="00EB17F7">
        <w:tc>
          <w:tcPr>
            <w:tcW w:w="1139" w:type="dxa"/>
            <w:shd w:val="clear" w:color="auto" w:fill="F2F2F2" w:themeFill="background1" w:themeFillShade="F2"/>
          </w:tcPr>
          <w:p w:rsidR="0047517B" w:rsidRPr="00EB17F7" w:rsidRDefault="0047517B" w:rsidP="005A62EE">
            <w:pPr>
              <w:pStyle w:val="TableText"/>
              <w:rPr>
                <w:b/>
              </w:rPr>
            </w:pPr>
            <w:r w:rsidRPr="00EB17F7">
              <w:rPr>
                <w:b/>
              </w:rPr>
              <w:t>HCSS</w:t>
            </w:r>
          </w:p>
        </w:tc>
        <w:tc>
          <w:tcPr>
            <w:tcW w:w="7791" w:type="dxa"/>
          </w:tcPr>
          <w:p w:rsidR="006D6000" w:rsidRPr="005A62EE" w:rsidRDefault="00E1739F" w:rsidP="005A62EE">
            <w:pPr>
              <w:pStyle w:val="TableText"/>
            </w:pPr>
            <w:r w:rsidRPr="005A62EE">
              <w:t>Standard 1.1: Consumer Rights Under Legislation: Consumers receive services in accordance with their rights – match at criterion level</w:t>
            </w:r>
          </w:p>
          <w:p w:rsidR="00E1739F" w:rsidRPr="005A62EE" w:rsidRDefault="00E1739F" w:rsidP="005A62EE">
            <w:pPr>
              <w:pStyle w:val="TableText"/>
            </w:pPr>
            <w:r w:rsidRPr="005A62EE">
              <w:t>Consumers have the right to make an informed choice and give informed consent to actively participate in decision making and in support service delivery.</w:t>
            </w:r>
          </w:p>
        </w:tc>
      </w:tr>
    </w:tbl>
    <w:p w:rsidR="00A85240" w:rsidRDefault="00A85240" w:rsidP="00595FD6"/>
    <w:p w:rsidR="00C97685" w:rsidRPr="00C97685" w:rsidRDefault="00C97685" w:rsidP="005A62EE">
      <w:pPr>
        <w:pStyle w:val="ListParagraph"/>
      </w:pPr>
      <w:r w:rsidRPr="00C97685">
        <w:t xml:space="preserve">No match: </w:t>
      </w:r>
      <w:r w:rsidR="00042784">
        <w:t xml:space="preserve">outcome </w:t>
      </w:r>
      <w:r w:rsidRPr="00C97685">
        <w:t xml:space="preserve">statements do not appear </w:t>
      </w:r>
      <w:r w:rsidR="007E6F27">
        <w:t xml:space="preserve">across the </w:t>
      </w:r>
      <w:r w:rsidRPr="00C97685">
        <w:t xml:space="preserve">three standards. For </w:t>
      </w:r>
      <w:r w:rsidR="00DF5A28" w:rsidRPr="00C97685">
        <w:t>example,</w:t>
      </w:r>
      <w:r w:rsidRPr="00C97685">
        <w:t xml:space="preserve"> HDSS and HCSS have a standard relating to the recognition of </w:t>
      </w:r>
      <w:r w:rsidR="00652A0E">
        <w:t>p</w:t>
      </w:r>
      <w:r w:rsidRPr="00C97685">
        <w:t>acific people’s values and beliefs, however FSS do not. This is reported as ‘no match’.</w:t>
      </w:r>
    </w:p>
    <w:p w:rsidR="00AD19CD" w:rsidRDefault="00AD19CD" w:rsidP="00595FD6">
      <w:pPr>
        <w:rPr>
          <w:rFonts w:asciiTheme="majorHAnsi" w:eastAsiaTheme="majorEastAsia" w:hAnsiTheme="majorHAnsi" w:cstheme="majorBidi"/>
          <w:color w:val="2E74B5" w:themeColor="accent1" w:themeShade="BF"/>
          <w:sz w:val="26"/>
          <w:szCs w:val="26"/>
        </w:rPr>
      </w:pPr>
      <w:r>
        <w:br w:type="page"/>
      </w:r>
    </w:p>
    <w:p w:rsidR="003025BD" w:rsidRDefault="003025BD" w:rsidP="00595FD6">
      <w:pPr>
        <w:pStyle w:val="Heading2"/>
      </w:pPr>
      <w:bookmarkStart w:id="8" w:name="_Toc19179524"/>
      <w:r w:rsidRPr="003025BD">
        <w:lastRenderedPageBreak/>
        <w:t>Part 1: Consumer rights</w:t>
      </w:r>
      <w:bookmarkEnd w:id="8"/>
    </w:p>
    <w:p w:rsidR="009F3751" w:rsidRDefault="00AC1D57" w:rsidP="00595FD6">
      <w:r>
        <w:t>Part 1:</w:t>
      </w:r>
      <w:r w:rsidR="00381C12">
        <w:t xml:space="preserve"> </w:t>
      </w:r>
      <w:r w:rsidR="009F3751" w:rsidRPr="00381C12">
        <w:rPr>
          <w:i/>
        </w:rPr>
        <w:t>Consumer rights</w:t>
      </w:r>
      <w:r w:rsidR="009F3751" w:rsidRPr="00DF1AED">
        <w:t xml:space="preserve"> </w:t>
      </w:r>
      <w:r>
        <w:t>appears in the three standards</w:t>
      </w:r>
      <w:r w:rsidR="00F32682">
        <w:t>, each containing a different</w:t>
      </w:r>
      <w:r w:rsidR="00B047AA">
        <w:t xml:space="preserve"> number</w:t>
      </w:r>
      <w:r w:rsidR="00F32682">
        <w:t xml:space="preserve"> of</w:t>
      </w:r>
      <w:r w:rsidR="00B047AA">
        <w:t xml:space="preserve"> outcome statements</w:t>
      </w:r>
      <w:r w:rsidR="005A62EE">
        <w:t xml:space="preserve"> </w:t>
      </w:r>
      <w:r w:rsidR="001945DC">
        <w:t xml:space="preserve">– refer </w:t>
      </w:r>
      <w:r w:rsidR="00DF5A28">
        <w:fldChar w:fldCharType="begin"/>
      </w:r>
      <w:r w:rsidR="00DF5A28">
        <w:instrText xml:space="preserve"> REF _Ref19009999 \h </w:instrText>
      </w:r>
      <w:r w:rsidR="00DF5A28">
        <w:fldChar w:fldCharType="separate"/>
      </w:r>
      <w:r w:rsidR="001E1F52" w:rsidRPr="005A62EE">
        <w:t xml:space="preserve">Diagram </w:t>
      </w:r>
      <w:r w:rsidR="001E1F52">
        <w:rPr>
          <w:noProof/>
        </w:rPr>
        <w:t>1</w:t>
      </w:r>
      <w:r w:rsidR="00DF5A28">
        <w:fldChar w:fldCharType="end"/>
      </w:r>
      <w:r>
        <w:t xml:space="preserve">. </w:t>
      </w:r>
    </w:p>
    <w:p w:rsidR="006564CC" w:rsidRPr="005A62EE" w:rsidRDefault="003D0BB9" w:rsidP="005A62EE">
      <w:pPr>
        <w:pStyle w:val="Heading3"/>
      </w:pPr>
      <w:bookmarkStart w:id="9" w:name="_Toc19179525"/>
      <w:r w:rsidRPr="005A62EE">
        <w:t>Exact m</w:t>
      </w:r>
      <w:r w:rsidR="00DF1AED" w:rsidRPr="005A62EE">
        <w:t>atch</w:t>
      </w:r>
      <w:bookmarkEnd w:id="9"/>
    </w:p>
    <w:p w:rsidR="009F3751" w:rsidRDefault="0091495B" w:rsidP="005A62EE">
      <w:r>
        <w:t>F</w:t>
      </w:r>
      <w:r w:rsidR="00C97685">
        <w:t xml:space="preserve">ive </w:t>
      </w:r>
      <w:r w:rsidR="00B047AA">
        <w:t xml:space="preserve">outcome statements </w:t>
      </w:r>
      <w:r w:rsidR="00C97685">
        <w:t xml:space="preserve">were </w:t>
      </w:r>
      <w:r w:rsidR="00A3220A">
        <w:t xml:space="preserve">considered to be </w:t>
      </w:r>
      <w:r w:rsidR="00C97685">
        <w:t>an exact match</w:t>
      </w:r>
      <w:r>
        <w:t xml:space="preserve"> within</w:t>
      </w:r>
      <w:r w:rsidR="00A3220A">
        <w:t xml:space="preserve"> Part 1:</w:t>
      </w:r>
      <w:r>
        <w:t xml:space="preserve"> </w:t>
      </w:r>
      <w:r>
        <w:rPr>
          <w:i/>
        </w:rPr>
        <w:t xml:space="preserve">Consumer </w:t>
      </w:r>
      <w:r w:rsidRPr="0091495B">
        <w:rPr>
          <w:i/>
        </w:rPr>
        <w:t>rights</w:t>
      </w:r>
      <w:r>
        <w:t xml:space="preserve"> </w:t>
      </w:r>
      <w:r w:rsidR="00B047AA">
        <w:t xml:space="preserve">– see </w:t>
      </w:r>
      <w:r>
        <w:t>Table 1</w:t>
      </w:r>
      <w:r w:rsidRPr="00A3220A">
        <w:t xml:space="preserve">. The </w:t>
      </w:r>
      <w:r w:rsidR="00B047AA" w:rsidRPr="00A3220A">
        <w:t>outcome</w:t>
      </w:r>
      <w:r w:rsidR="00B047AA">
        <w:t xml:space="preserve"> statements </w:t>
      </w:r>
      <w:r>
        <w:t>relate to consumer rights, being treated with respect, recognition of Maori values and beliefs, recognition of individual’s values and beliefs and complaints management.</w:t>
      </w:r>
    </w:p>
    <w:p w:rsidR="00C97685" w:rsidRPr="005A62EE" w:rsidRDefault="005A62EE" w:rsidP="005A62EE">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w:t>
      </w:r>
      <w:r w:rsidR="002B15E1">
        <w:rPr>
          <w:noProof/>
        </w:rPr>
        <w:fldChar w:fldCharType="end"/>
      </w:r>
      <w:r w:rsidRPr="005A62EE">
        <w:t xml:space="preserve">: </w:t>
      </w:r>
      <w:r w:rsidR="00C97685" w:rsidRPr="005A62EE">
        <w:t>Consumer rights – exact match</w:t>
      </w:r>
    </w:p>
    <w:tbl>
      <w:tblPr>
        <w:tblStyle w:val="TableGrid"/>
        <w:tblW w:w="92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4"/>
        <w:gridCol w:w="2977"/>
        <w:gridCol w:w="3119"/>
      </w:tblGrid>
      <w:tr w:rsidR="000C4E2B" w:rsidRPr="00B047AA" w:rsidTr="00EB17F7">
        <w:tc>
          <w:tcPr>
            <w:tcW w:w="3114" w:type="dxa"/>
            <w:tcBorders>
              <w:top w:val="nil"/>
              <w:bottom w:val="nil"/>
            </w:tcBorders>
            <w:shd w:val="clear" w:color="auto" w:fill="F2F2F2" w:themeFill="background1" w:themeFillShade="F2"/>
          </w:tcPr>
          <w:p w:rsidR="000C4E2B" w:rsidRPr="00EB17F7" w:rsidRDefault="000C4E2B" w:rsidP="005A62EE">
            <w:pPr>
              <w:pStyle w:val="TableText"/>
              <w:rPr>
                <w:b/>
                <w:lang w:eastAsia="en-NZ"/>
              </w:rPr>
            </w:pPr>
            <w:r w:rsidRPr="00EB17F7">
              <w:rPr>
                <w:b/>
                <w:lang w:eastAsia="en-NZ"/>
              </w:rPr>
              <w:t xml:space="preserve">Health and Disability Services Standards </w:t>
            </w:r>
          </w:p>
        </w:tc>
        <w:tc>
          <w:tcPr>
            <w:tcW w:w="2977" w:type="dxa"/>
            <w:tcBorders>
              <w:top w:val="nil"/>
              <w:bottom w:val="nil"/>
            </w:tcBorders>
            <w:shd w:val="clear" w:color="auto" w:fill="F2F2F2" w:themeFill="background1" w:themeFillShade="F2"/>
          </w:tcPr>
          <w:p w:rsidR="000C4E2B" w:rsidRPr="00EB17F7" w:rsidRDefault="000C4E2B" w:rsidP="005A62EE">
            <w:pPr>
              <w:pStyle w:val="TableText"/>
              <w:rPr>
                <w:b/>
                <w:lang w:eastAsia="en-NZ"/>
              </w:rPr>
            </w:pPr>
            <w:r w:rsidRPr="00EB17F7">
              <w:rPr>
                <w:b/>
                <w:lang w:eastAsia="en-NZ"/>
              </w:rPr>
              <w:t xml:space="preserve">Fertility Services Standard </w:t>
            </w:r>
          </w:p>
        </w:tc>
        <w:tc>
          <w:tcPr>
            <w:tcW w:w="3119" w:type="dxa"/>
            <w:tcBorders>
              <w:top w:val="nil"/>
              <w:bottom w:val="nil"/>
            </w:tcBorders>
            <w:shd w:val="clear" w:color="auto" w:fill="F2F2F2" w:themeFill="background1" w:themeFillShade="F2"/>
          </w:tcPr>
          <w:p w:rsidR="000C4E2B" w:rsidRPr="00EB17F7" w:rsidRDefault="000C4E2B" w:rsidP="005A62EE">
            <w:pPr>
              <w:pStyle w:val="TableText"/>
              <w:rPr>
                <w:b/>
                <w:lang w:eastAsia="en-NZ"/>
              </w:rPr>
            </w:pPr>
            <w:r w:rsidRPr="00EB17F7">
              <w:rPr>
                <w:b/>
                <w:lang w:eastAsia="en-NZ"/>
              </w:rPr>
              <w:t>Home and community s</w:t>
            </w:r>
            <w:r w:rsidR="0091495B" w:rsidRPr="00EB17F7">
              <w:rPr>
                <w:b/>
                <w:lang w:eastAsia="en-NZ"/>
              </w:rPr>
              <w:t xml:space="preserve">upport sector Standard </w:t>
            </w:r>
          </w:p>
        </w:tc>
      </w:tr>
      <w:tr w:rsidR="000C4E2B" w:rsidRPr="00B047AA" w:rsidTr="00EB17F7">
        <w:tc>
          <w:tcPr>
            <w:tcW w:w="3114" w:type="dxa"/>
            <w:tcBorders>
              <w:top w:val="nil"/>
            </w:tcBorders>
          </w:tcPr>
          <w:p w:rsidR="000C4E2B" w:rsidRPr="00B047AA" w:rsidRDefault="000C4E2B" w:rsidP="005A62EE">
            <w:pPr>
              <w:pStyle w:val="TableText"/>
              <w:rPr>
                <w:lang w:eastAsia="en-NZ"/>
              </w:rPr>
            </w:pPr>
            <w:r w:rsidRPr="00B047AA">
              <w:rPr>
                <w:lang w:eastAsia="en-NZ"/>
              </w:rPr>
              <w:t xml:space="preserve">1.1.1: </w:t>
            </w:r>
            <w:r w:rsidR="00B047AA" w:rsidRPr="00B047AA">
              <w:rPr>
                <w:lang w:eastAsia="en-NZ"/>
              </w:rPr>
              <w:t xml:space="preserve">Consumer Rights during Service Delivery </w:t>
            </w:r>
          </w:p>
        </w:tc>
        <w:tc>
          <w:tcPr>
            <w:tcW w:w="2977" w:type="dxa"/>
            <w:tcBorders>
              <w:top w:val="nil"/>
            </w:tcBorders>
          </w:tcPr>
          <w:p w:rsidR="000C4E2B" w:rsidRPr="00B047AA" w:rsidRDefault="000C4E2B" w:rsidP="005A62EE">
            <w:pPr>
              <w:pStyle w:val="TableText"/>
              <w:rPr>
                <w:lang w:eastAsia="en-NZ"/>
              </w:rPr>
            </w:pPr>
            <w:r w:rsidRPr="00B047AA">
              <w:rPr>
                <w:lang w:eastAsia="en-NZ"/>
              </w:rPr>
              <w:t xml:space="preserve">1.1: </w:t>
            </w:r>
            <w:r w:rsidR="00B047AA" w:rsidRPr="00B047AA">
              <w:rPr>
                <w:lang w:eastAsia="en-NZ"/>
              </w:rPr>
              <w:t>Consumer Rights during Service Delivery</w:t>
            </w:r>
          </w:p>
        </w:tc>
        <w:tc>
          <w:tcPr>
            <w:tcW w:w="3119" w:type="dxa"/>
            <w:tcBorders>
              <w:top w:val="nil"/>
            </w:tcBorders>
          </w:tcPr>
          <w:p w:rsidR="000C4E2B" w:rsidRPr="00B047AA" w:rsidRDefault="000C4E2B" w:rsidP="005A62EE">
            <w:pPr>
              <w:pStyle w:val="TableText"/>
              <w:rPr>
                <w:lang w:eastAsia="en-NZ"/>
              </w:rPr>
            </w:pPr>
            <w:r w:rsidRPr="00B047AA">
              <w:rPr>
                <w:lang w:eastAsia="en-NZ"/>
              </w:rPr>
              <w:t xml:space="preserve">1.1: </w:t>
            </w:r>
            <w:r w:rsidR="00B047AA" w:rsidRPr="00B047AA">
              <w:rPr>
                <w:lang w:eastAsia="en-NZ"/>
              </w:rPr>
              <w:t>Consumer Rights under Legislation</w:t>
            </w:r>
          </w:p>
        </w:tc>
      </w:tr>
      <w:tr w:rsidR="000C4E2B" w:rsidRPr="00B047AA" w:rsidTr="005A62EE">
        <w:tc>
          <w:tcPr>
            <w:tcW w:w="3114" w:type="dxa"/>
          </w:tcPr>
          <w:p w:rsidR="000C4E2B" w:rsidRPr="00B047AA" w:rsidRDefault="000C4E2B" w:rsidP="005A62EE">
            <w:pPr>
              <w:pStyle w:val="TableText"/>
              <w:rPr>
                <w:lang w:eastAsia="en-NZ"/>
              </w:rPr>
            </w:pPr>
            <w:r w:rsidRPr="00B047AA">
              <w:rPr>
                <w:lang w:eastAsia="en-NZ"/>
              </w:rPr>
              <w:t xml:space="preserve">1.1.3: </w:t>
            </w:r>
            <w:r w:rsidR="00B047AA" w:rsidRPr="00B047AA">
              <w:rPr>
                <w:lang w:eastAsia="en-NZ"/>
              </w:rPr>
              <w:t>Independence, Personal Privacy, Dignity, and Respect</w:t>
            </w:r>
          </w:p>
        </w:tc>
        <w:tc>
          <w:tcPr>
            <w:tcW w:w="2977" w:type="dxa"/>
          </w:tcPr>
          <w:p w:rsidR="000C4E2B" w:rsidRPr="00B047AA" w:rsidRDefault="000C4E2B" w:rsidP="005A62EE">
            <w:pPr>
              <w:pStyle w:val="TableText"/>
              <w:rPr>
                <w:lang w:eastAsia="en-NZ"/>
              </w:rPr>
            </w:pPr>
            <w:r w:rsidRPr="00B047AA">
              <w:rPr>
                <w:lang w:eastAsia="en-NZ"/>
              </w:rPr>
              <w:t xml:space="preserve">1.5: </w:t>
            </w:r>
            <w:r w:rsidR="00B047AA" w:rsidRPr="00B047AA">
              <w:rPr>
                <w:lang w:eastAsia="en-NZ"/>
              </w:rPr>
              <w:t>Personal Privacy and Dignity</w:t>
            </w:r>
          </w:p>
        </w:tc>
        <w:tc>
          <w:tcPr>
            <w:tcW w:w="3119" w:type="dxa"/>
          </w:tcPr>
          <w:p w:rsidR="000C4E2B" w:rsidRPr="00B047AA" w:rsidRDefault="000C4E2B" w:rsidP="005A62EE">
            <w:pPr>
              <w:pStyle w:val="TableText"/>
              <w:rPr>
                <w:lang w:eastAsia="en-NZ"/>
              </w:rPr>
            </w:pPr>
            <w:r w:rsidRPr="00B047AA">
              <w:rPr>
                <w:lang w:eastAsia="en-NZ"/>
              </w:rPr>
              <w:t xml:space="preserve">1.2: </w:t>
            </w:r>
            <w:r w:rsidR="00B047AA" w:rsidRPr="00B047AA">
              <w:rPr>
                <w:lang w:eastAsia="en-NZ"/>
              </w:rPr>
              <w:t>Individual Privacy, Dignity and Respect</w:t>
            </w:r>
          </w:p>
        </w:tc>
      </w:tr>
      <w:tr w:rsidR="000C4E2B" w:rsidRPr="00B047AA" w:rsidTr="005A62EE">
        <w:tc>
          <w:tcPr>
            <w:tcW w:w="3114" w:type="dxa"/>
          </w:tcPr>
          <w:p w:rsidR="000C4E2B" w:rsidRPr="00B047AA" w:rsidRDefault="000C4E2B" w:rsidP="005A62EE">
            <w:pPr>
              <w:pStyle w:val="TableText"/>
              <w:rPr>
                <w:lang w:eastAsia="en-NZ"/>
              </w:rPr>
            </w:pPr>
            <w:r w:rsidRPr="00B047AA">
              <w:rPr>
                <w:lang w:eastAsia="en-NZ"/>
              </w:rPr>
              <w:t xml:space="preserve">1.1.4: </w:t>
            </w:r>
            <w:r w:rsidR="00B047AA" w:rsidRPr="00B047AA">
              <w:rPr>
                <w:lang w:eastAsia="en-NZ"/>
              </w:rPr>
              <w:t>Recognition of Māori Values and Beliefs</w:t>
            </w:r>
          </w:p>
        </w:tc>
        <w:tc>
          <w:tcPr>
            <w:tcW w:w="2977" w:type="dxa"/>
          </w:tcPr>
          <w:p w:rsidR="000C4E2B" w:rsidRPr="00B047AA" w:rsidRDefault="000C4E2B" w:rsidP="005A62EE">
            <w:pPr>
              <w:pStyle w:val="TableText"/>
              <w:rPr>
                <w:lang w:eastAsia="en-NZ"/>
              </w:rPr>
            </w:pPr>
            <w:r w:rsidRPr="00B047AA">
              <w:rPr>
                <w:lang w:eastAsia="en-NZ"/>
              </w:rPr>
              <w:t xml:space="preserve">1.2: </w:t>
            </w:r>
            <w:r w:rsidR="00B047AA" w:rsidRPr="00B047AA">
              <w:rPr>
                <w:lang w:eastAsia="en-NZ"/>
              </w:rPr>
              <w:t>Tāngata Whenua</w:t>
            </w:r>
          </w:p>
        </w:tc>
        <w:tc>
          <w:tcPr>
            <w:tcW w:w="3119" w:type="dxa"/>
          </w:tcPr>
          <w:p w:rsidR="000C4E2B" w:rsidRPr="00B047AA" w:rsidRDefault="000C4E2B" w:rsidP="005A62EE">
            <w:pPr>
              <w:pStyle w:val="TableText"/>
              <w:rPr>
                <w:lang w:eastAsia="en-NZ"/>
              </w:rPr>
            </w:pPr>
            <w:r w:rsidRPr="00B047AA">
              <w:rPr>
                <w:lang w:eastAsia="en-NZ"/>
              </w:rPr>
              <w:t xml:space="preserve">1.4: </w:t>
            </w:r>
            <w:r w:rsidR="00B047AA" w:rsidRPr="00B047AA">
              <w:rPr>
                <w:lang w:eastAsia="en-NZ"/>
              </w:rPr>
              <w:t>Recognition of Maori Values and Beliefs</w:t>
            </w:r>
          </w:p>
        </w:tc>
      </w:tr>
      <w:tr w:rsidR="000C4E2B" w:rsidRPr="00B047AA" w:rsidTr="005A62EE">
        <w:tc>
          <w:tcPr>
            <w:tcW w:w="3114" w:type="dxa"/>
          </w:tcPr>
          <w:p w:rsidR="000C4E2B" w:rsidRPr="00B047AA" w:rsidRDefault="000C4E2B" w:rsidP="005A62EE">
            <w:pPr>
              <w:pStyle w:val="TableText"/>
              <w:rPr>
                <w:lang w:eastAsia="en-NZ"/>
              </w:rPr>
            </w:pPr>
            <w:r w:rsidRPr="00B047AA">
              <w:rPr>
                <w:lang w:eastAsia="en-NZ"/>
              </w:rPr>
              <w:t xml:space="preserve">1.1.6: </w:t>
            </w:r>
            <w:r w:rsidR="00B047AA" w:rsidRPr="00B047AA">
              <w:rPr>
                <w:lang w:eastAsia="en-NZ"/>
              </w:rPr>
              <w:t>Recognition and Respect of the Individual's Culture, Values, and Beliefs</w:t>
            </w:r>
          </w:p>
        </w:tc>
        <w:tc>
          <w:tcPr>
            <w:tcW w:w="2977" w:type="dxa"/>
          </w:tcPr>
          <w:p w:rsidR="000C4E2B" w:rsidRPr="00B047AA" w:rsidRDefault="000C4E2B" w:rsidP="005A62EE">
            <w:pPr>
              <w:pStyle w:val="TableText"/>
              <w:rPr>
                <w:lang w:eastAsia="en-NZ"/>
              </w:rPr>
            </w:pPr>
            <w:r w:rsidRPr="00B047AA">
              <w:rPr>
                <w:lang w:eastAsia="en-NZ"/>
              </w:rPr>
              <w:t xml:space="preserve">1.3: </w:t>
            </w:r>
            <w:r w:rsidR="00B047AA" w:rsidRPr="00B047AA">
              <w:rPr>
                <w:lang w:eastAsia="en-NZ"/>
              </w:rPr>
              <w:t>Recognition of Individual Values and Beliefs</w:t>
            </w:r>
          </w:p>
        </w:tc>
        <w:tc>
          <w:tcPr>
            <w:tcW w:w="3119" w:type="dxa"/>
          </w:tcPr>
          <w:p w:rsidR="000C4E2B" w:rsidRPr="00B047AA" w:rsidRDefault="000C4E2B" w:rsidP="005A62EE">
            <w:pPr>
              <w:pStyle w:val="TableText"/>
              <w:rPr>
                <w:lang w:eastAsia="en-NZ"/>
              </w:rPr>
            </w:pPr>
            <w:r w:rsidRPr="00B047AA">
              <w:rPr>
                <w:lang w:eastAsia="en-NZ"/>
              </w:rPr>
              <w:t xml:space="preserve">1.3: </w:t>
            </w:r>
            <w:r w:rsidR="00B047AA" w:rsidRPr="00B047AA">
              <w:rPr>
                <w:lang w:eastAsia="en-NZ"/>
              </w:rPr>
              <w:t>Individual Values and Beliefs Respected</w:t>
            </w:r>
          </w:p>
        </w:tc>
      </w:tr>
      <w:tr w:rsidR="000C4E2B" w:rsidRPr="00B047AA" w:rsidTr="005A62EE">
        <w:tc>
          <w:tcPr>
            <w:tcW w:w="3114" w:type="dxa"/>
          </w:tcPr>
          <w:p w:rsidR="000C4E2B" w:rsidRPr="00B047AA" w:rsidRDefault="000C4E2B" w:rsidP="005A62EE">
            <w:pPr>
              <w:pStyle w:val="TableText"/>
              <w:rPr>
                <w:lang w:eastAsia="en-NZ"/>
              </w:rPr>
            </w:pPr>
            <w:r w:rsidRPr="00B047AA">
              <w:rPr>
                <w:lang w:eastAsia="en-NZ"/>
              </w:rPr>
              <w:t xml:space="preserve">1.1.13: </w:t>
            </w:r>
            <w:r w:rsidR="005B5CA0" w:rsidRPr="005B5CA0">
              <w:rPr>
                <w:lang w:eastAsia="en-NZ"/>
              </w:rPr>
              <w:t>Complaints Management</w:t>
            </w:r>
          </w:p>
        </w:tc>
        <w:tc>
          <w:tcPr>
            <w:tcW w:w="2977" w:type="dxa"/>
          </w:tcPr>
          <w:p w:rsidR="000C4E2B" w:rsidRPr="00B047AA" w:rsidRDefault="000C4E2B" w:rsidP="005A62EE">
            <w:pPr>
              <w:pStyle w:val="TableText"/>
              <w:rPr>
                <w:lang w:eastAsia="en-NZ"/>
              </w:rPr>
            </w:pPr>
            <w:r w:rsidRPr="00B047AA">
              <w:rPr>
                <w:lang w:eastAsia="en-NZ"/>
              </w:rPr>
              <w:t xml:space="preserve">2.5: </w:t>
            </w:r>
            <w:r w:rsidR="005B5CA0" w:rsidRPr="005B5CA0">
              <w:rPr>
                <w:lang w:eastAsia="en-NZ"/>
              </w:rPr>
              <w:t>Complaints Management</w:t>
            </w:r>
          </w:p>
        </w:tc>
        <w:tc>
          <w:tcPr>
            <w:tcW w:w="3119" w:type="dxa"/>
          </w:tcPr>
          <w:p w:rsidR="000C4E2B" w:rsidRPr="00B047AA" w:rsidRDefault="000C4E2B" w:rsidP="005A62EE">
            <w:pPr>
              <w:pStyle w:val="TableText"/>
              <w:rPr>
                <w:lang w:eastAsia="en-NZ"/>
              </w:rPr>
            </w:pPr>
            <w:r w:rsidRPr="00B047AA">
              <w:rPr>
                <w:lang w:eastAsia="en-NZ"/>
              </w:rPr>
              <w:t xml:space="preserve">1.9: </w:t>
            </w:r>
            <w:r w:rsidR="005B5CA0" w:rsidRPr="005B5CA0">
              <w:rPr>
                <w:lang w:eastAsia="en-NZ"/>
              </w:rPr>
              <w:t>Complaints</w:t>
            </w:r>
          </w:p>
        </w:tc>
      </w:tr>
    </w:tbl>
    <w:p w:rsidR="00DF1AED" w:rsidRDefault="00DF1AED" w:rsidP="005A62EE">
      <w:pPr>
        <w:pStyle w:val="Heading3"/>
      </w:pPr>
      <w:bookmarkStart w:id="10" w:name="_Toc19179526"/>
      <w:r>
        <w:t>Partial match</w:t>
      </w:r>
      <w:bookmarkEnd w:id="10"/>
    </w:p>
    <w:p w:rsidR="00AD19CD" w:rsidRDefault="008D2E6B" w:rsidP="00595FD6">
      <w:r w:rsidRPr="008D2E6B">
        <w:t xml:space="preserve">There </w:t>
      </w:r>
      <w:r>
        <w:t>are five H</w:t>
      </w:r>
      <w:r w:rsidR="001945DC">
        <w:t>D</w:t>
      </w:r>
      <w:r>
        <w:t xml:space="preserve">SS </w:t>
      </w:r>
      <w:r w:rsidR="00FB286F">
        <w:t>outcome statements</w:t>
      </w:r>
      <w:r>
        <w:t xml:space="preserve"> that </w:t>
      </w:r>
      <w:r w:rsidR="00DF1AED" w:rsidRPr="008D2E6B">
        <w:t>partial</w:t>
      </w:r>
      <w:r>
        <w:t>ly</w:t>
      </w:r>
      <w:r w:rsidR="00DF1AED" w:rsidRPr="008D2E6B">
        <w:t xml:space="preserve"> match</w:t>
      </w:r>
      <w:r>
        <w:t xml:space="preserve"> to FSS and/or HCSS. Of these, three of the five </w:t>
      </w:r>
      <w:r w:rsidR="00AD19CD">
        <w:t xml:space="preserve">HDSS outcome statements </w:t>
      </w:r>
      <w:r>
        <w:t xml:space="preserve">map to </w:t>
      </w:r>
      <w:r w:rsidRPr="00FB286F">
        <w:rPr>
          <w:i/>
        </w:rPr>
        <w:t>criteria</w:t>
      </w:r>
      <w:r>
        <w:t xml:space="preserve"> contained within </w:t>
      </w:r>
      <w:r w:rsidR="00AD19CD">
        <w:t xml:space="preserve">1.1 Consumer Rights during Service Delivery </w:t>
      </w:r>
      <w:r>
        <w:t xml:space="preserve">of FSS and </w:t>
      </w:r>
      <w:r w:rsidR="00CD79B4">
        <w:t xml:space="preserve">1.1 Consumer rights under legislation in </w:t>
      </w:r>
      <w:r>
        <w:t>HCSS</w:t>
      </w:r>
      <w:r w:rsidR="00AD19CD">
        <w:t xml:space="preserve"> </w:t>
      </w:r>
      <w:r w:rsidR="00CD79B4">
        <w:t xml:space="preserve">- </w:t>
      </w:r>
      <w:r w:rsidR="00AD19CD">
        <w:t xml:space="preserve">see Table </w:t>
      </w:r>
      <w:r w:rsidR="001945DC">
        <w:t>2</w:t>
      </w:r>
      <w:r w:rsidR="00AD19CD">
        <w:t xml:space="preserve">. </w:t>
      </w:r>
    </w:p>
    <w:p w:rsidR="00EB17F7" w:rsidRDefault="00EB17F7" w:rsidP="005A62EE">
      <w:pPr>
        <w:pStyle w:val="Caption"/>
        <w:sectPr w:rsidR="00EB17F7" w:rsidSect="005A62EE">
          <w:pgSz w:w="11906" w:h="16838"/>
          <w:pgMar w:top="1418" w:right="1418" w:bottom="1134" w:left="1418" w:header="567" w:footer="709" w:gutter="0"/>
          <w:cols w:space="708"/>
          <w:titlePg/>
          <w:docGrid w:linePitch="360"/>
        </w:sectPr>
      </w:pPr>
    </w:p>
    <w:p w:rsidR="008D2E6B" w:rsidRDefault="005A62EE" w:rsidP="005A62EE">
      <w:pPr>
        <w:pStyle w:val="Caption"/>
      </w:pPr>
      <w:r w:rsidRPr="005A62EE">
        <w:lastRenderedPageBreak/>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2</w:t>
      </w:r>
      <w:r w:rsidR="002B15E1">
        <w:rPr>
          <w:noProof/>
        </w:rPr>
        <w:fldChar w:fldCharType="end"/>
      </w:r>
      <w:r w:rsidRPr="005A62EE">
        <w:t xml:space="preserve">: </w:t>
      </w:r>
      <w:r w:rsidR="008D2E6B">
        <w:t>Consumer rights – partial match</w:t>
      </w:r>
    </w:p>
    <w:tbl>
      <w:tblPr>
        <w:tblStyle w:val="TableGrid"/>
        <w:tblW w:w="92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4"/>
        <w:gridCol w:w="2977"/>
        <w:gridCol w:w="3119"/>
      </w:tblGrid>
      <w:tr w:rsidR="00DF1AED" w:rsidRPr="00AD19CD" w:rsidTr="00EB17F7">
        <w:tc>
          <w:tcPr>
            <w:tcW w:w="3114" w:type="dxa"/>
            <w:tcBorders>
              <w:top w:val="nil"/>
              <w:bottom w:val="nil"/>
            </w:tcBorders>
            <w:shd w:val="clear" w:color="auto" w:fill="F2F2F2" w:themeFill="background1" w:themeFillShade="F2"/>
          </w:tcPr>
          <w:p w:rsidR="00DF1AED" w:rsidRPr="00EB17F7" w:rsidRDefault="00DF1AED" w:rsidP="005A62EE">
            <w:pPr>
              <w:pStyle w:val="TableText"/>
              <w:rPr>
                <w:b/>
                <w:lang w:eastAsia="en-NZ"/>
              </w:rPr>
            </w:pPr>
            <w:r w:rsidRPr="00EB17F7">
              <w:rPr>
                <w:b/>
                <w:lang w:eastAsia="en-NZ"/>
              </w:rPr>
              <w:t xml:space="preserve">Health and Disability Services Standards </w:t>
            </w:r>
          </w:p>
        </w:tc>
        <w:tc>
          <w:tcPr>
            <w:tcW w:w="2977" w:type="dxa"/>
            <w:tcBorders>
              <w:top w:val="nil"/>
              <w:bottom w:val="nil"/>
            </w:tcBorders>
            <w:shd w:val="clear" w:color="auto" w:fill="F2F2F2" w:themeFill="background1" w:themeFillShade="F2"/>
          </w:tcPr>
          <w:p w:rsidR="00DF1AED" w:rsidRPr="00EB17F7" w:rsidRDefault="00DF1AED" w:rsidP="005A62EE">
            <w:pPr>
              <w:pStyle w:val="TableText"/>
              <w:rPr>
                <w:b/>
                <w:lang w:eastAsia="en-NZ"/>
              </w:rPr>
            </w:pPr>
            <w:r w:rsidRPr="00EB17F7">
              <w:rPr>
                <w:b/>
                <w:lang w:eastAsia="en-NZ"/>
              </w:rPr>
              <w:t xml:space="preserve">Fertility Services Standard </w:t>
            </w:r>
          </w:p>
        </w:tc>
        <w:tc>
          <w:tcPr>
            <w:tcW w:w="3119" w:type="dxa"/>
            <w:tcBorders>
              <w:top w:val="nil"/>
              <w:bottom w:val="nil"/>
            </w:tcBorders>
            <w:shd w:val="clear" w:color="auto" w:fill="F2F2F2" w:themeFill="background1" w:themeFillShade="F2"/>
          </w:tcPr>
          <w:p w:rsidR="00DF1AED" w:rsidRPr="00EB17F7" w:rsidRDefault="00DF1AED" w:rsidP="005A62EE">
            <w:pPr>
              <w:pStyle w:val="TableText"/>
              <w:rPr>
                <w:b/>
                <w:lang w:eastAsia="en-NZ"/>
              </w:rPr>
            </w:pPr>
            <w:r w:rsidRPr="00EB17F7">
              <w:rPr>
                <w:b/>
                <w:lang w:eastAsia="en-NZ"/>
              </w:rPr>
              <w:t xml:space="preserve">Home and community support sector Standard </w:t>
            </w:r>
          </w:p>
        </w:tc>
      </w:tr>
      <w:tr w:rsidR="00DF1AED" w:rsidRPr="00AD19CD" w:rsidTr="00EB17F7">
        <w:tc>
          <w:tcPr>
            <w:tcW w:w="3114" w:type="dxa"/>
            <w:tcBorders>
              <w:top w:val="nil"/>
            </w:tcBorders>
          </w:tcPr>
          <w:p w:rsidR="00DF1AED" w:rsidRPr="00AD19CD" w:rsidRDefault="00DF1AED" w:rsidP="005A62EE">
            <w:pPr>
              <w:pStyle w:val="TableText"/>
              <w:rPr>
                <w:lang w:eastAsia="en-NZ"/>
              </w:rPr>
            </w:pPr>
            <w:r w:rsidRPr="00AD19CD">
              <w:rPr>
                <w:lang w:eastAsia="en-NZ"/>
              </w:rPr>
              <w:t xml:space="preserve">1.1.2: </w:t>
            </w:r>
            <w:r w:rsidR="00A3220A" w:rsidRPr="00AD19CD">
              <w:rPr>
                <w:lang w:eastAsia="en-NZ"/>
              </w:rPr>
              <w:t>Consumer Rights during Service Delivery [</w:t>
            </w:r>
            <w:r w:rsidRPr="00AD19CD">
              <w:rPr>
                <w:lang w:eastAsia="en-NZ"/>
              </w:rPr>
              <w:t>Consumers are informed of their rights</w:t>
            </w:r>
            <w:r w:rsidR="00A3220A" w:rsidRPr="00AD19CD">
              <w:rPr>
                <w:lang w:eastAsia="en-NZ"/>
              </w:rPr>
              <w:t>]</w:t>
            </w:r>
          </w:p>
        </w:tc>
        <w:tc>
          <w:tcPr>
            <w:tcW w:w="2977" w:type="dxa"/>
            <w:tcBorders>
              <w:top w:val="nil"/>
            </w:tcBorders>
          </w:tcPr>
          <w:p w:rsidR="00DF1AED" w:rsidRPr="00AD19CD" w:rsidRDefault="00DF1AED" w:rsidP="005A62EE">
            <w:pPr>
              <w:pStyle w:val="TableText"/>
              <w:rPr>
                <w:lang w:eastAsia="en-NZ"/>
              </w:rPr>
            </w:pPr>
            <w:r w:rsidRPr="00AD19CD">
              <w:rPr>
                <w:lang w:eastAsia="en-NZ"/>
              </w:rPr>
              <w:t xml:space="preserve">1.1: </w:t>
            </w:r>
            <w:r w:rsidR="00A3220A" w:rsidRPr="00AD19CD">
              <w:rPr>
                <w:lang w:eastAsia="en-NZ"/>
              </w:rPr>
              <w:t>Consumer Rights during Service Delivery</w:t>
            </w:r>
            <w:r w:rsidR="00591BC4" w:rsidRPr="00AD19CD">
              <w:rPr>
                <w:lang w:eastAsia="en-NZ"/>
              </w:rPr>
              <w:t xml:space="preserve"> (</w:t>
            </w:r>
            <w:r w:rsidRPr="00AD19CD">
              <w:rPr>
                <w:b/>
                <w:lang w:eastAsia="en-NZ"/>
              </w:rPr>
              <w:t>criterion</w:t>
            </w:r>
            <w:r w:rsidR="00591BC4" w:rsidRPr="00AD19CD">
              <w:rPr>
                <w:b/>
                <w:lang w:eastAsia="en-NZ"/>
              </w:rPr>
              <w:t>)</w:t>
            </w:r>
          </w:p>
        </w:tc>
        <w:tc>
          <w:tcPr>
            <w:tcW w:w="3119" w:type="dxa"/>
            <w:tcBorders>
              <w:top w:val="nil"/>
            </w:tcBorders>
          </w:tcPr>
          <w:p w:rsidR="00DF1AED" w:rsidRPr="00AD19CD" w:rsidRDefault="00D406DF" w:rsidP="005A62EE">
            <w:pPr>
              <w:pStyle w:val="TableText"/>
              <w:rPr>
                <w:lang w:eastAsia="en-NZ"/>
              </w:rPr>
            </w:pPr>
            <w:r w:rsidRPr="00AD19CD">
              <w:rPr>
                <w:lang w:eastAsia="en-NZ"/>
              </w:rPr>
              <w:t xml:space="preserve">1.1: </w:t>
            </w:r>
            <w:r w:rsidR="00A3220A" w:rsidRPr="00AD19CD">
              <w:rPr>
                <w:lang w:eastAsia="en-NZ"/>
              </w:rPr>
              <w:t>Consumer Rights Under Legislation</w:t>
            </w:r>
            <w:r w:rsidRPr="00AD19CD">
              <w:rPr>
                <w:lang w:eastAsia="en-NZ"/>
              </w:rPr>
              <w:t xml:space="preserve"> </w:t>
            </w:r>
            <w:r w:rsidR="00591BC4" w:rsidRPr="00AD19CD">
              <w:rPr>
                <w:lang w:eastAsia="en-NZ"/>
              </w:rPr>
              <w:t>(</w:t>
            </w:r>
            <w:r w:rsidRPr="00AD19CD">
              <w:rPr>
                <w:b/>
                <w:lang w:eastAsia="en-NZ"/>
              </w:rPr>
              <w:t>criterion</w:t>
            </w:r>
            <w:r w:rsidR="00591BC4" w:rsidRPr="00AD19CD">
              <w:rPr>
                <w:b/>
                <w:lang w:eastAsia="en-NZ"/>
              </w:rPr>
              <w:t>)</w:t>
            </w:r>
          </w:p>
        </w:tc>
      </w:tr>
      <w:tr w:rsidR="00DF1AED" w:rsidRPr="00AD19CD" w:rsidTr="005A62EE">
        <w:tc>
          <w:tcPr>
            <w:tcW w:w="3114" w:type="dxa"/>
          </w:tcPr>
          <w:p w:rsidR="00DF1AED" w:rsidRPr="00AD19CD" w:rsidRDefault="00123F5B" w:rsidP="005A62EE">
            <w:pPr>
              <w:pStyle w:val="TableText"/>
              <w:rPr>
                <w:lang w:eastAsia="en-NZ"/>
              </w:rPr>
            </w:pPr>
            <w:r w:rsidRPr="00AD19CD">
              <w:rPr>
                <w:lang w:eastAsia="en-NZ"/>
              </w:rPr>
              <w:t>1</w:t>
            </w:r>
            <w:r w:rsidR="00D406DF" w:rsidRPr="00AD19CD">
              <w:rPr>
                <w:lang w:eastAsia="en-NZ"/>
              </w:rPr>
              <w:t xml:space="preserve">.1.7: </w:t>
            </w:r>
            <w:r w:rsidR="00A3220A" w:rsidRPr="00AD19CD">
              <w:rPr>
                <w:lang w:eastAsia="en-NZ"/>
              </w:rPr>
              <w:t>Discrimination</w:t>
            </w:r>
          </w:p>
        </w:tc>
        <w:tc>
          <w:tcPr>
            <w:tcW w:w="2977" w:type="dxa"/>
          </w:tcPr>
          <w:p w:rsidR="00DF1AED" w:rsidRPr="00AD19CD" w:rsidRDefault="00D406DF" w:rsidP="005A62EE">
            <w:pPr>
              <w:pStyle w:val="TableText"/>
              <w:rPr>
                <w:lang w:eastAsia="en-NZ"/>
              </w:rPr>
            </w:pPr>
            <w:r w:rsidRPr="00AD19CD">
              <w:rPr>
                <w:lang w:eastAsia="en-NZ"/>
              </w:rPr>
              <w:t xml:space="preserve">1.1: </w:t>
            </w:r>
            <w:r w:rsidR="00A3220A" w:rsidRPr="00AD19CD">
              <w:rPr>
                <w:lang w:eastAsia="en-NZ"/>
              </w:rPr>
              <w:t xml:space="preserve">Consumer Rights during Service Delivery </w:t>
            </w:r>
            <w:r w:rsidR="00591BC4" w:rsidRPr="00AD19CD">
              <w:rPr>
                <w:lang w:eastAsia="en-NZ"/>
              </w:rPr>
              <w:t>(</w:t>
            </w:r>
            <w:r w:rsidRPr="00AD19CD">
              <w:rPr>
                <w:b/>
                <w:lang w:eastAsia="en-NZ"/>
              </w:rPr>
              <w:t>criterion</w:t>
            </w:r>
            <w:r w:rsidR="00591BC4" w:rsidRPr="00AD19CD">
              <w:rPr>
                <w:b/>
                <w:lang w:eastAsia="en-NZ"/>
              </w:rPr>
              <w:t>)</w:t>
            </w:r>
            <w:r w:rsidRPr="00AD19CD">
              <w:rPr>
                <w:b/>
                <w:lang w:eastAsia="en-NZ"/>
              </w:rPr>
              <w:t xml:space="preserve"> </w:t>
            </w:r>
          </w:p>
        </w:tc>
        <w:tc>
          <w:tcPr>
            <w:tcW w:w="3119" w:type="dxa"/>
          </w:tcPr>
          <w:p w:rsidR="00DF1AED" w:rsidRPr="00AD19CD" w:rsidRDefault="00D406DF" w:rsidP="005A62EE">
            <w:pPr>
              <w:pStyle w:val="TableText"/>
              <w:rPr>
                <w:lang w:eastAsia="en-NZ"/>
              </w:rPr>
            </w:pPr>
            <w:r w:rsidRPr="00AD19CD">
              <w:rPr>
                <w:lang w:eastAsia="en-NZ"/>
              </w:rPr>
              <w:t xml:space="preserve">1.7: </w:t>
            </w:r>
            <w:r w:rsidR="00A3220A" w:rsidRPr="00AD19CD">
              <w:rPr>
                <w:lang w:eastAsia="en-NZ"/>
              </w:rPr>
              <w:t>Freedom from Abuse or Neglect</w:t>
            </w:r>
          </w:p>
        </w:tc>
      </w:tr>
      <w:tr w:rsidR="00D406DF" w:rsidRPr="00AD19CD" w:rsidTr="005A62EE">
        <w:tc>
          <w:tcPr>
            <w:tcW w:w="3114" w:type="dxa"/>
          </w:tcPr>
          <w:p w:rsidR="00D406DF" w:rsidRPr="00AD19CD" w:rsidRDefault="00D406DF" w:rsidP="005A62EE">
            <w:pPr>
              <w:pStyle w:val="TableText"/>
              <w:rPr>
                <w:lang w:eastAsia="en-NZ"/>
              </w:rPr>
            </w:pPr>
            <w:r w:rsidRPr="00AD19CD">
              <w:rPr>
                <w:lang w:eastAsia="en-NZ"/>
              </w:rPr>
              <w:t xml:space="preserve">1.1.9: </w:t>
            </w:r>
            <w:r w:rsidR="00A3220A" w:rsidRPr="00AD19CD">
              <w:rPr>
                <w:lang w:eastAsia="en-NZ"/>
              </w:rPr>
              <w:t>Communication</w:t>
            </w:r>
          </w:p>
        </w:tc>
        <w:tc>
          <w:tcPr>
            <w:tcW w:w="2977" w:type="dxa"/>
          </w:tcPr>
          <w:p w:rsidR="00D406DF" w:rsidRPr="00AD19CD" w:rsidRDefault="00D406DF" w:rsidP="005A62EE">
            <w:pPr>
              <w:pStyle w:val="TableText"/>
              <w:rPr>
                <w:lang w:eastAsia="en-NZ"/>
              </w:rPr>
            </w:pPr>
            <w:r w:rsidRPr="00AD19CD">
              <w:rPr>
                <w:lang w:eastAsia="en-NZ"/>
              </w:rPr>
              <w:t xml:space="preserve">1.6: </w:t>
            </w:r>
            <w:r w:rsidR="00A3220A" w:rsidRPr="00AD19CD">
              <w:rPr>
                <w:lang w:eastAsia="en-NZ"/>
              </w:rPr>
              <w:t>Consumer Information</w:t>
            </w:r>
          </w:p>
        </w:tc>
        <w:tc>
          <w:tcPr>
            <w:tcW w:w="3119" w:type="dxa"/>
          </w:tcPr>
          <w:p w:rsidR="00D406DF" w:rsidRPr="00AD19CD" w:rsidRDefault="00D406DF" w:rsidP="005A62EE">
            <w:pPr>
              <w:pStyle w:val="TableText"/>
              <w:rPr>
                <w:lang w:eastAsia="en-NZ"/>
              </w:rPr>
            </w:pPr>
            <w:r w:rsidRPr="00AD19CD">
              <w:rPr>
                <w:lang w:eastAsia="en-NZ"/>
              </w:rPr>
              <w:t xml:space="preserve">1.6: </w:t>
            </w:r>
            <w:r w:rsidR="00A3220A" w:rsidRPr="00AD19CD">
              <w:rPr>
                <w:lang w:eastAsia="en-NZ"/>
              </w:rPr>
              <w:t xml:space="preserve">Communication in a Manner that the Consumer can </w:t>
            </w:r>
            <w:r w:rsidR="00D05CD3" w:rsidRPr="00AD19CD">
              <w:rPr>
                <w:lang w:eastAsia="en-NZ"/>
              </w:rPr>
              <w:t>understand</w:t>
            </w:r>
          </w:p>
        </w:tc>
      </w:tr>
      <w:tr w:rsidR="00D406DF" w:rsidRPr="00AD19CD" w:rsidTr="005A62EE">
        <w:tc>
          <w:tcPr>
            <w:tcW w:w="3114" w:type="dxa"/>
          </w:tcPr>
          <w:p w:rsidR="00D406DF" w:rsidRPr="00AD19CD" w:rsidRDefault="00D406DF" w:rsidP="005A62EE">
            <w:pPr>
              <w:pStyle w:val="TableText"/>
              <w:rPr>
                <w:lang w:eastAsia="en-NZ"/>
              </w:rPr>
            </w:pPr>
            <w:r w:rsidRPr="00AD19CD">
              <w:rPr>
                <w:lang w:eastAsia="en-NZ"/>
              </w:rPr>
              <w:t xml:space="preserve">1.1.10: </w:t>
            </w:r>
            <w:r w:rsidR="00D05CD3" w:rsidRPr="00AD19CD">
              <w:rPr>
                <w:lang w:eastAsia="en-NZ"/>
              </w:rPr>
              <w:t>Informed Consent</w:t>
            </w:r>
          </w:p>
        </w:tc>
        <w:tc>
          <w:tcPr>
            <w:tcW w:w="2977" w:type="dxa"/>
          </w:tcPr>
          <w:p w:rsidR="00D406DF" w:rsidRPr="00AD19CD" w:rsidRDefault="00D406DF" w:rsidP="005A62EE">
            <w:pPr>
              <w:pStyle w:val="TableText"/>
              <w:rPr>
                <w:lang w:eastAsia="en-NZ"/>
              </w:rPr>
            </w:pPr>
            <w:r w:rsidRPr="00AD19CD">
              <w:rPr>
                <w:lang w:eastAsia="en-NZ"/>
              </w:rPr>
              <w:t xml:space="preserve">1.7: </w:t>
            </w:r>
            <w:r w:rsidR="00D05CD3" w:rsidRPr="00AD19CD">
              <w:rPr>
                <w:lang w:eastAsia="en-NZ"/>
              </w:rPr>
              <w:t>Informed Consent</w:t>
            </w:r>
          </w:p>
        </w:tc>
        <w:tc>
          <w:tcPr>
            <w:tcW w:w="3119" w:type="dxa"/>
          </w:tcPr>
          <w:p w:rsidR="00D406DF" w:rsidRPr="00AD19CD" w:rsidRDefault="00123F5B" w:rsidP="005A62EE">
            <w:pPr>
              <w:pStyle w:val="TableText"/>
              <w:rPr>
                <w:lang w:eastAsia="en-NZ"/>
              </w:rPr>
            </w:pPr>
            <w:r w:rsidRPr="00AD19CD">
              <w:rPr>
                <w:lang w:eastAsia="en-NZ"/>
              </w:rPr>
              <w:t xml:space="preserve">1.1: Consumer Rights </w:t>
            </w:r>
            <w:r w:rsidR="00591BC4" w:rsidRPr="00AD19CD">
              <w:rPr>
                <w:lang w:eastAsia="en-NZ"/>
              </w:rPr>
              <w:t>under</w:t>
            </w:r>
            <w:r w:rsidRPr="00AD19CD">
              <w:rPr>
                <w:lang w:eastAsia="en-NZ"/>
              </w:rPr>
              <w:t xml:space="preserve"> Legislation </w:t>
            </w:r>
            <w:r w:rsidR="00591BC4" w:rsidRPr="00AD19CD">
              <w:rPr>
                <w:lang w:eastAsia="en-NZ"/>
              </w:rPr>
              <w:t>(</w:t>
            </w:r>
            <w:r w:rsidR="00591BC4" w:rsidRPr="00AD19CD">
              <w:rPr>
                <w:b/>
                <w:lang w:eastAsia="en-NZ"/>
              </w:rPr>
              <w:t>criterion)</w:t>
            </w:r>
          </w:p>
        </w:tc>
      </w:tr>
      <w:tr w:rsidR="00D406DF" w:rsidRPr="00AD19CD" w:rsidTr="005A62EE">
        <w:tc>
          <w:tcPr>
            <w:tcW w:w="3114" w:type="dxa"/>
          </w:tcPr>
          <w:p w:rsidR="00D406DF" w:rsidRPr="00AD19CD" w:rsidRDefault="00D406DF" w:rsidP="005A62EE">
            <w:pPr>
              <w:pStyle w:val="TableText"/>
              <w:rPr>
                <w:lang w:eastAsia="en-NZ"/>
              </w:rPr>
            </w:pPr>
            <w:r w:rsidRPr="00AD19CD">
              <w:rPr>
                <w:lang w:eastAsia="en-NZ"/>
              </w:rPr>
              <w:t xml:space="preserve">1.1.11: </w:t>
            </w:r>
            <w:r w:rsidR="00D05CD3" w:rsidRPr="00AD19CD">
              <w:rPr>
                <w:lang w:eastAsia="en-NZ"/>
              </w:rPr>
              <w:t>Advocacy and Support</w:t>
            </w:r>
          </w:p>
        </w:tc>
        <w:tc>
          <w:tcPr>
            <w:tcW w:w="2977" w:type="dxa"/>
          </w:tcPr>
          <w:p w:rsidR="00D406DF" w:rsidRPr="00AD19CD" w:rsidRDefault="00D406DF" w:rsidP="005A62EE">
            <w:pPr>
              <w:pStyle w:val="TableText"/>
              <w:rPr>
                <w:lang w:eastAsia="en-NZ"/>
              </w:rPr>
            </w:pPr>
            <w:r w:rsidRPr="00AD19CD">
              <w:rPr>
                <w:lang w:eastAsia="en-NZ"/>
              </w:rPr>
              <w:t xml:space="preserve">1.1: </w:t>
            </w:r>
            <w:r w:rsidR="00D05CD3" w:rsidRPr="00AD19CD">
              <w:rPr>
                <w:lang w:eastAsia="en-NZ"/>
              </w:rPr>
              <w:t xml:space="preserve">Consumer Rights during Service Delivery </w:t>
            </w:r>
            <w:r w:rsidR="00591BC4" w:rsidRPr="00AD19CD">
              <w:rPr>
                <w:lang w:eastAsia="en-NZ"/>
              </w:rPr>
              <w:t>(</w:t>
            </w:r>
            <w:r w:rsidR="00591BC4" w:rsidRPr="00AD19CD">
              <w:rPr>
                <w:b/>
                <w:lang w:eastAsia="en-NZ"/>
              </w:rPr>
              <w:t>criterion)</w:t>
            </w:r>
          </w:p>
        </w:tc>
        <w:tc>
          <w:tcPr>
            <w:tcW w:w="3119" w:type="dxa"/>
          </w:tcPr>
          <w:p w:rsidR="00D406DF" w:rsidRPr="00AD19CD" w:rsidRDefault="00123F5B" w:rsidP="005A62EE">
            <w:pPr>
              <w:pStyle w:val="TableText"/>
              <w:rPr>
                <w:lang w:eastAsia="en-NZ"/>
              </w:rPr>
            </w:pPr>
            <w:r w:rsidRPr="00AD19CD">
              <w:rPr>
                <w:lang w:eastAsia="en-NZ"/>
              </w:rPr>
              <w:t xml:space="preserve">1.1: Consumer Rights </w:t>
            </w:r>
            <w:r w:rsidR="00591BC4" w:rsidRPr="00AD19CD">
              <w:rPr>
                <w:lang w:eastAsia="en-NZ"/>
              </w:rPr>
              <w:t>under</w:t>
            </w:r>
            <w:r w:rsidRPr="00AD19CD">
              <w:rPr>
                <w:lang w:eastAsia="en-NZ"/>
              </w:rPr>
              <w:t xml:space="preserve"> Legislation </w:t>
            </w:r>
            <w:r w:rsidR="00591BC4" w:rsidRPr="00AD19CD">
              <w:rPr>
                <w:lang w:eastAsia="en-NZ"/>
              </w:rPr>
              <w:t>(</w:t>
            </w:r>
            <w:r w:rsidR="00591BC4" w:rsidRPr="00AD19CD">
              <w:rPr>
                <w:b/>
                <w:lang w:eastAsia="en-NZ"/>
              </w:rPr>
              <w:t>criterion)</w:t>
            </w:r>
          </w:p>
        </w:tc>
      </w:tr>
    </w:tbl>
    <w:p w:rsidR="00E4555E" w:rsidRDefault="00E4555E" w:rsidP="005A62EE">
      <w:pPr>
        <w:pStyle w:val="Heading3"/>
      </w:pPr>
      <w:bookmarkStart w:id="11" w:name="_Toc19179527"/>
      <w:r>
        <w:t>No match</w:t>
      </w:r>
      <w:bookmarkEnd w:id="11"/>
    </w:p>
    <w:p w:rsidR="00E558F3" w:rsidRDefault="00E558F3" w:rsidP="00595FD6">
      <w:r>
        <w:t>T</w:t>
      </w:r>
      <w:r w:rsidR="00E4555E">
        <w:t xml:space="preserve">here are </w:t>
      </w:r>
      <w:r w:rsidR="009F6246">
        <w:t>ten</w:t>
      </w:r>
      <w:r w:rsidR="00E4555E">
        <w:t xml:space="preserve"> </w:t>
      </w:r>
      <w:r w:rsidR="00AB20C1">
        <w:t xml:space="preserve">outcome </w:t>
      </w:r>
      <w:r w:rsidR="00E4555E">
        <w:t>s</w:t>
      </w:r>
      <w:r w:rsidR="00AB20C1">
        <w:t>tatements across the three standards that do not ma</w:t>
      </w:r>
      <w:r w:rsidR="00CD79B4">
        <w:t>tch (</w:t>
      </w:r>
      <w:r w:rsidR="00C53F55">
        <w:t>Table 3</w:t>
      </w:r>
      <w:r w:rsidR="00CD79B4">
        <w:t>)</w:t>
      </w:r>
      <w:r w:rsidR="00AB20C1">
        <w:t>.</w:t>
      </w:r>
      <w:r w:rsidR="00C53F55">
        <w:t xml:space="preserve"> Note that in HDSS outcome statement 1.1.5 (</w:t>
      </w:r>
      <w:r w:rsidR="00C53F55" w:rsidRPr="00C53F55">
        <w:t xml:space="preserve">Recognition </w:t>
      </w:r>
      <w:r w:rsidR="007E6F27" w:rsidRPr="00C53F55">
        <w:t>of Pacific Values and</w:t>
      </w:r>
      <w:r w:rsidR="00C53F55" w:rsidRPr="00C53F55">
        <w:t xml:space="preserve"> Beliefs</w:t>
      </w:r>
      <w:r w:rsidR="00C53F55">
        <w:t>) is</w:t>
      </w:r>
      <w:r w:rsidR="007E6F27">
        <w:t xml:space="preserve"> a match to </w:t>
      </w:r>
      <w:r w:rsidR="00C53F55">
        <w:t xml:space="preserve">HCSS 1.5 of the same name, </w:t>
      </w:r>
      <w:r w:rsidR="009F6246">
        <w:t>however as the</w:t>
      </w:r>
      <w:r w:rsidR="0029547F">
        <w:t>re is no equivalent in FSS</w:t>
      </w:r>
      <w:r w:rsidR="007E6F27">
        <w:t xml:space="preserve"> this</w:t>
      </w:r>
      <w:r w:rsidR="00CD79B4">
        <w:t xml:space="preserve"> is reported as ‘no match’.</w:t>
      </w:r>
      <w:r w:rsidR="0029547F">
        <w:t xml:space="preserve"> </w:t>
      </w:r>
    </w:p>
    <w:p w:rsidR="00AB20C1" w:rsidRDefault="005A62EE" w:rsidP="005A62EE">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3</w:t>
      </w:r>
      <w:r w:rsidR="002B15E1">
        <w:rPr>
          <w:noProof/>
        </w:rPr>
        <w:fldChar w:fldCharType="end"/>
      </w:r>
      <w:r w:rsidRPr="005A62EE">
        <w:t xml:space="preserve">: </w:t>
      </w:r>
      <w:r w:rsidR="0029547F">
        <w:t xml:space="preserve">Consumer rights - </w:t>
      </w:r>
      <w:r w:rsidR="00AB20C1">
        <w:t>no match</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42"/>
        <w:gridCol w:w="7603"/>
      </w:tblGrid>
      <w:tr w:rsidR="00AB20C1" w:rsidRPr="00FB5E7F" w:rsidTr="00EB17F7">
        <w:tc>
          <w:tcPr>
            <w:tcW w:w="1052" w:type="dxa"/>
            <w:tcBorders>
              <w:top w:val="nil"/>
              <w:bottom w:val="nil"/>
            </w:tcBorders>
            <w:shd w:val="clear" w:color="auto" w:fill="F2F2F2" w:themeFill="background1" w:themeFillShade="F2"/>
          </w:tcPr>
          <w:p w:rsidR="00AB20C1" w:rsidRPr="005A62EE" w:rsidRDefault="00AB20C1" w:rsidP="005A62EE">
            <w:pPr>
              <w:pStyle w:val="TableText"/>
              <w:rPr>
                <w:b/>
                <w:lang w:eastAsia="en-NZ"/>
              </w:rPr>
            </w:pPr>
            <w:r w:rsidRPr="005A62EE">
              <w:rPr>
                <w:b/>
                <w:lang w:eastAsia="en-NZ"/>
              </w:rPr>
              <w:t>Standard</w:t>
            </w:r>
          </w:p>
        </w:tc>
        <w:tc>
          <w:tcPr>
            <w:tcW w:w="7603" w:type="dxa"/>
            <w:tcBorders>
              <w:top w:val="nil"/>
              <w:bottom w:val="nil"/>
            </w:tcBorders>
            <w:shd w:val="clear" w:color="auto" w:fill="F2F2F2" w:themeFill="background1" w:themeFillShade="F2"/>
          </w:tcPr>
          <w:p w:rsidR="00AB20C1" w:rsidRPr="005A62EE" w:rsidRDefault="00AB20C1" w:rsidP="005A62EE">
            <w:pPr>
              <w:pStyle w:val="TableText"/>
              <w:rPr>
                <w:b/>
                <w:lang w:eastAsia="en-NZ"/>
              </w:rPr>
            </w:pPr>
            <w:r w:rsidRPr="005A62EE">
              <w:rPr>
                <w:b/>
                <w:lang w:eastAsia="en-NZ"/>
              </w:rPr>
              <w:t>No match –</w:t>
            </w:r>
            <w:r w:rsidR="00F35B13" w:rsidRPr="005A62EE">
              <w:rPr>
                <w:b/>
                <w:lang w:eastAsia="en-NZ"/>
              </w:rPr>
              <w:t xml:space="preserve"> </w:t>
            </w:r>
            <w:r w:rsidRPr="005A62EE">
              <w:rPr>
                <w:b/>
                <w:lang w:eastAsia="en-NZ"/>
              </w:rPr>
              <w:t>outcome statements</w:t>
            </w:r>
          </w:p>
        </w:tc>
      </w:tr>
      <w:tr w:rsidR="00E558F3" w:rsidRPr="00FB5E7F" w:rsidTr="00EB17F7">
        <w:tc>
          <w:tcPr>
            <w:tcW w:w="1052" w:type="dxa"/>
            <w:tcBorders>
              <w:top w:val="nil"/>
              <w:right w:val="nil"/>
            </w:tcBorders>
          </w:tcPr>
          <w:p w:rsidR="00E558F3" w:rsidRPr="00FB5E7F" w:rsidRDefault="00E558F3" w:rsidP="00EB17F7">
            <w:pPr>
              <w:pStyle w:val="TableText"/>
              <w:spacing w:before="100" w:after="100"/>
              <w:rPr>
                <w:lang w:eastAsia="en-NZ"/>
              </w:rPr>
            </w:pPr>
            <w:r w:rsidRPr="00FB5E7F">
              <w:rPr>
                <w:lang w:eastAsia="en-NZ"/>
              </w:rPr>
              <w:t xml:space="preserve">HDSS </w:t>
            </w:r>
          </w:p>
        </w:tc>
        <w:tc>
          <w:tcPr>
            <w:tcW w:w="7603" w:type="dxa"/>
            <w:tcBorders>
              <w:top w:val="nil"/>
              <w:left w:val="nil"/>
            </w:tcBorders>
          </w:tcPr>
          <w:p w:rsidR="00E558F3" w:rsidRDefault="0043614E" w:rsidP="00EB17F7">
            <w:pPr>
              <w:pStyle w:val="TableText"/>
              <w:spacing w:before="100" w:after="100"/>
              <w:rPr>
                <w:lang w:eastAsia="en-NZ"/>
              </w:rPr>
            </w:pPr>
            <w:r w:rsidRPr="00FB5E7F">
              <w:rPr>
                <w:lang w:eastAsia="en-NZ"/>
              </w:rPr>
              <w:t xml:space="preserve">1.1.5: Recognition </w:t>
            </w:r>
            <w:r w:rsidR="00DF5A28" w:rsidRPr="00FB5E7F">
              <w:rPr>
                <w:lang w:eastAsia="en-NZ"/>
              </w:rPr>
              <w:t>of</w:t>
            </w:r>
            <w:r w:rsidRPr="00FB5E7F">
              <w:rPr>
                <w:lang w:eastAsia="en-NZ"/>
              </w:rPr>
              <w:t xml:space="preserve"> Pacific Values </w:t>
            </w:r>
            <w:r w:rsidR="00DF5A28" w:rsidRPr="00FB5E7F">
              <w:rPr>
                <w:lang w:eastAsia="en-NZ"/>
              </w:rPr>
              <w:t>and</w:t>
            </w:r>
            <w:r w:rsidRPr="00FB5E7F">
              <w:rPr>
                <w:lang w:eastAsia="en-NZ"/>
              </w:rPr>
              <w:t xml:space="preserve"> Beliefs</w:t>
            </w:r>
            <w:r w:rsidR="005551DD" w:rsidRPr="00FB5E7F">
              <w:rPr>
                <w:lang w:eastAsia="en-NZ"/>
              </w:rPr>
              <w:t xml:space="preserve"> </w:t>
            </w:r>
          </w:p>
          <w:p w:rsidR="00FB5E7F" w:rsidRPr="00FB5E7F" w:rsidRDefault="00FB5E7F" w:rsidP="00EB17F7">
            <w:pPr>
              <w:pStyle w:val="TableBullet"/>
              <w:spacing w:before="100" w:after="100"/>
              <w:rPr>
                <w:rFonts w:eastAsiaTheme="majorEastAsia"/>
                <w:sz w:val="20"/>
                <w:szCs w:val="20"/>
                <w:lang w:eastAsia="en-NZ"/>
              </w:rPr>
            </w:pPr>
            <w:r w:rsidRPr="00FB5E7F">
              <w:t>HCSS: 1.5: Recognition of Pacific People’s Values and Beliefs</w:t>
            </w:r>
          </w:p>
          <w:p w:rsidR="0043614E" w:rsidRPr="00FB5E7F" w:rsidRDefault="0043614E" w:rsidP="00EB17F7">
            <w:pPr>
              <w:pStyle w:val="TableText"/>
              <w:spacing w:before="100" w:after="100"/>
              <w:rPr>
                <w:lang w:eastAsia="en-NZ"/>
              </w:rPr>
            </w:pPr>
            <w:r w:rsidRPr="00FB5E7F">
              <w:rPr>
                <w:lang w:eastAsia="en-NZ"/>
              </w:rPr>
              <w:t>1.1.8: Good Practice</w:t>
            </w:r>
          </w:p>
          <w:p w:rsidR="0043614E" w:rsidRPr="00FB5E7F" w:rsidRDefault="0043614E" w:rsidP="00EB17F7">
            <w:pPr>
              <w:pStyle w:val="TableText"/>
              <w:spacing w:before="100" w:after="100"/>
              <w:rPr>
                <w:lang w:eastAsia="en-NZ"/>
              </w:rPr>
            </w:pPr>
            <w:r w:rsidRPr="00FB5E7F">
              <w:rPr>
                <w:lang w:eastAsia="en-NZ"/>
              </w:rPr>
              <w:t xml:space="preserve">1.1.12: Links </w:t>
            </w:r>
            <w:r w:rsidR="00DF5A28" w:rsidRPr="00FB5E7F">
              <w:rPr>
                <w:lang w:eastAsia="en-NZ"/>
              </w:rPr>
              <w:t>with</w:t>
            </w:r>
            <w:r w:rsidRPr="00FB5E7F">
              <w:rPr>
                <w:lang w:eastAsia="en-NZ"/>
              </w:rPr>
              <w:t xml:space="preserve"> Family/Whānau And Other Community Resources </w:t>
            </w:r>
          </w:p>
        </w:tc>
      </w:tr>
      <w:tr w:rsidR="00E558F3" w:rsidRPr="00FB5E7F" w:rsidTr="00EB17F7">
        <w:tc>
          <w:tcPr>
            <w:tcW w:w="1052" w:type="dxa"/>
            <w:tcBorders>
              <w:right w:val="nil"/>
            </w:tcBorders>
          </w:tcPr>
          <w:p w:rsidR="00E558F3" w:rsidRPr="00FB5E7F" w:rsidRDefault="0043614E" w:rsidP="00EB17F7">
            <w:pPr>
              <w:pStyle w:val="TableText"/>
              <w:spacing w:before="100" w:after="100"/>
              <w:rPr>
                <w:lang w:eastAsia="en-NZ"/>
              </w:rPr>
            </w:pPr>
            <w:r w:rsidRPr="00FB5E7F">
              <w:rPr>
                <w:lang w:eastAsia="en-NZ"/>
              </w:rPr>
              <w:t>FSS</w:t>
            </w:r>
          </w:p>
        </w:tc>
        <w:tc>
          <w:tcPr>
            <w:tcW w:w="7603" w:type="dxa"/>
            <w:tcBorders>
              <w:left w:val="nil"/>
            </w:tcBorders>
          </w:tcPr>
          <w:p w:rsidR="00E558F3" w:rsidRPr="00FB5E7F" w:rsidRDefault="00AB20C1" w:rsidP="00EB17F7">
            <w:pPr>
              <w:pStyle w:val="TableText"/>
              <w:spacing w:before="100" w:after="100"/>
              <w:rPr>
                <w:lang w:eastAsia="en-NZ"/>
              </w:rPr>
            </w:pPr>
            <w:r w:rsidRPr="00FB5E7F">
              <w:rPr>
                <w:lang w:eastAsia="en-NZ"/>
              </w:rPr>
              <w:t>1.4: Consumer Confidentiality</w:t>
            </w:r>
          </w:p>
          <w:p w:rsidR="00AB20C1" w:rsidRPr="00FB5E7F" w:rsidRDefault="00AB20C1" w:rsidP="00EB17F7">
            <w:pPr>
              <w:pStyle w:val="TableText"/>
              <w:spacing w:before="100" w:after="100"/>
              <w:rPr>
                <w:lang w:eastAsia="en-NZ"/>
              </w:rPr>
            </w:pPr>
            <w:r w:rsidRPr="00FB5E7F">
              <w:rPr>
                <w:lang w:eastAsia="en-NZ"/>
              </w:rPr>
              <w:t xml:space="preserve">1.8: Health and Well-being of Offspring as a Result of Reproductive Technologies  </w:t>
            </w:r>
          </w:p>
          <w:p w:rsidR="00AB20C1" w:rsidRPr="00FB5E7F" w:rsidRDefault="00AB20C1" w:rsidP="00EB17F7">
            <w:pPr>
              <w:pStyle w:val="TableText"/>
              <w:spacing w:before="100" w:after="100"/>
              <w:rPr>
                <w:lang w:eastAsia="en-NZ"/>
              </w:rPr>
            </w:pPr>
            <w:r w:rsidRPr="00FB5E7F">
              <w:rPr>
                <w:lang w:eastAsia="en-NZ"/>
              </w:rPr>
              <w:t>1.9: Right to Know One's Genetic Origins</w:t>
            </w:r>
          </w:p>
          <w:p w:rsidR="00AB20C1" w:rsidRPr="00FB5E7F" w:rsidRDefault="00AB20C1" w:rsidP="00EB17F7">
            <w:pPr>
              <w:pStyle w:val="TableText"/>
              <w:spacing w:before="100" w:after="100"/>
              <w:rPr>
                <w:lang w:eastAsia="en-NZ"/>
              </w:rPr>
            </w:pPr>
            <w:r w:rsidRPr="00FB5E7F">
              <w:rPr>
                <w:lang w:eastAsia="en-NZ"/>
              </w:rPr>
              <w:t>1.10: Donation and Information Giving</w:t>
            </w:r>
          </w:p>
          <w:p w:rsidR="00AB20C1" w:rsidRPr="00FB5E7F" w:rsidRDefault="00AB20C1" w:rsidP="00EB17F7">
            <w:pPr>
              <w:pStyle w:val="TableText"/>
              <w:spacing w:before="100" w:after="100"/>
              <w:rPr>
                <w:lang w:eastAsia="en-NZ"/>
              </w:rPr>
            </w:pPr>
            <w:r w:rsidRPr="00FB5E7F">
              <w:rPr>
                <w:lang w:eastAsia="en-NZ"/>
              </w:rPr>
              <w:t>1.11: Donor's Rights and Responsibilities</w:t>
            </w:r>
          </w:p>
        </w:tc>
      </w:tr>
      <w:tr w:rsidR="00E558F3" w:rsidRPr="00FB5E7F" w:rsidTr="00EB17F7">
        <w:tc>
          <w:tcPr>
            <w:tcW w:w="1052" w:type="dxa"/>
            <w:tcBorders>
              <w:right w:val="nil"/>
            </w:tcBorders>
          </w:tcPr>
          <w:p w:rsidR="00E558F3" w:rsidRPr="00FB5E7F" w:rsidRDefault="00AB20C1" w:rsidP="00EB17F7">
            <w:pPr>
              <w:pStyle w:val="TableText"/>
              <w:spacing w:before="100" w:after="100"/>
              <w:rPr>
                <w:lang w:eastAsia="en-NZ"/>
              </w:rPr>
            </w:pPr>
            <w:r w:rsidRPr="00FB5E7F">
              <w:rPr>
                <w:lang w:eastAsia="en-NZ"/>
              </w:rPr>
              <w:t>HCSS</w:t>
            </w:r>
          </w:p>
        </w:tc>
        <w:tc>
          <w:tcPr>
            <w:tcW w:w="7603" w:type="dxa"/>
            <w:tcBorders>
              <w:left w:val="nil"/>
            </w:tcBorders>
          </w:tcPr>
          <w:p w:rsidR="00FB5E7F" w:rsidRPr="00FB5E7F" w:rsidRDefault="00FB5E7F" w:rsidP="00EB17F7">
            <w:pPr>
              <w:pStyle w:val="TableText"/>
              <w:spacing w:before="100" w:after="100"/>
              <w:rPr>
                <w:lang w:eastAsia="en-NZ"/>
              </w:rPr>
            </w:pPr>
            <w:r w:rsidRPr="00FB5E7F">
              <w:rPr>
                <w:lang w:eastAsia="en-NZ"/>
              </w:rPr>
              <w:t>1.5 Recognition of Pacific People’s Values and Beliefs</w:t>
            </w:r>
          </w:p>
          <w:p w:rsidR="00FB5E7F" w:rsidRPr="00FB5E7F" w:rsidRDefault="00FB5E7F" w:rsidP="00EB17F7">
            <w:pPr>
              <w:pStyle w:val="TableBullet"/>
              <w:spacing w:before="100" w:after="100"/>
            </w:pPr>
            <w:r w:rsidRPr="00FB5E7F">
              <w:t xml:space="preserve">HDSS 1.1.5: Recognition </w:t>
            </w:r>
            <w:r w:rsidR="00DF5A28" w:rsidRPr="00FB5E7F">
              <w:t>of</w:t>
            </w:r>
            <w:r w:rsidRPr="00FB5E7F">
              <w:t xml:space="preserve"> Pacific Values </w:t>
            </w:r>
            <w:r w:rsidR="00DF5A28" w:rsidRPr="00FB5E7F">
              <w:t>and</w:t>
            </w:r>
            <w:r w:rsidRPr="00FB5E7F">
              <w:t xml:space="preserve"> Beliefs</w:t>
            </w:r>
          </w:p>
          <w:p w:rsidR="00E558F3" w:rsidRPr="00FB5E7F" w:rsidRDefault="00AB20C1" w:rsidP="00EB17F7">
            <w:pPr>
              <w:pStyle w:val="TableText"/>
              <w:spacing w:before="100" w:after="100"/>
              <w:rPr>
                <w:lang w:eastAsia="en-NZ"/>
              </w:rPr>
            </w:pPr>
            <w:r w:rsidRPr="00FB5E7F">
              <w:rPr>
                <w:lang w:eastAsia="en-NZ"/>
              </w:rPr>
              <w:t>1.8: Consumers' Belongings, Property, and Finances are Respected and Protected</w:t>
            </w:r>
          </w:p>
        </w:tc>
      </w:tr>
    </w:tbl>
    <w:p w:rsidR="00EB17F7" w:rsidRDefault="00EB17F7" w:rsidP="00595FD6">
      <w:pPr>
        <w:pStyle w:val="Heading2"/>
        <w:sectPr w:rsidR="00EB17F7" w:rsidSect="005A62EE">
          <w:pgSz w:w="11906" w:h="16838"/>
          <w:pgMar w:top="1418" w:right="1418" w:bottom="1134" w:left="1418" w:header="567" w:footer="709" w:gutter="0"/>
          <w:cols w:space="708"/>
          <w:titlePg/>
          <w:docGrid w:linePitch="360"/>
        </w:sectPr>
      </w:pPr>
    </w:p>
    <w:p w:rsidR="00460A5E" w:rsidRDefault="00460A5E" w:rsidP="00595FD6">
      <w:pPr>
        <w:pStyle w:val="Heading2"/>
      </w:pPr>
      <w:bookmarkStart w:id="12" w:name="_Toc19179528"/>
      <w:r w:rsidRPr="003025BD">
        <w:lastRenderedPageBreak/>
        <w:t xml:space="preserve">Part </w:t>
      </w:r>
      <w:r>
        <w:t>2</w:t>
      </w:r>
      <w:r w:rsidRPr="003025BD">
        <w:t xml:space="preserve">: </w:t>
      </w:r>
      <w:r>
        <w:t>Organisational management</w:t>
      </w:r>
      <w:bookmarkEnd w:id="12"/>
    </w:p>
    <w:p w:rsidR="00724C6F" w:rsidRDefault="00724C6F" w:rsidP="00595FD6">
      <w:r>
        <w:t xml:space="preserve">Part 2: </w:t>
      </w:r>
      <w:r>
        <w:rPr>
          <w:i/>
        </w:rPr>
        <w:t>Organisational management</w:t>
      </w:r>
      <w:r w:rsidRPr="00DF1AED">
        <w:t xml:space="preserve"> </w:t>
      </w:r>
      <w:r w:rsidR="007E6F27">
        <w:t xml:space="preserve">also </w:t>
      </w:r>
      <w:r>
        <w:t>appears in each of the three standards.</w:t>
      </w:r>
    </w:p>
    <w:p w:rsidR="00724C6F" w:rsidRPr="00DF1AED" w:rsidRDefault="00724C6F" w:rsidP="005A62EE">
      <w:pPr>
        <w:pStyle w:val="Heading3"/>
        <w:rPr>
          <w:rFonts w:cstheme="minorBidi"/>
        </w:rPr>
      </w:pPr>
      <w:bookmarkStart w:id="13" w:name="_Toc19179529"/>
      <w:r>
        <w:t>Exact match</w:t>
      </w:r>
      <w:bookmarkEnd w:id="13"/>
    </w:p>
    <w:p w:rsidR="00724C6F" w:rsidRDefault="00496A28" w:rsidP="00595FD6">
      <w:r>
        <w:t>Six</w:t>
      </w:r>
      <w:r w:rsidR="00724C6F">
        <w:t xml:space="preserve"> outcome statements match</w:t>
      </w:r>
      <w:r w:rsidR="009F455D">
        <w:t>ed</w:t>
      </w:r>
      <w:r w:rsidR="00724C6F">
        <w:t xml:space="preserve"> within</w:t>
      </w:r>
      <w:r>
        <w:t xml:space="preserve"> Part 2:</w:t>
      </w:r>
      <w:r w:rsidR="00724C6F">
        <w:t xml:space="preserve"> </w:t>
      </w:r>
      <w:r w:rsidR="00724C6F">
        <w:rPr>
          <w:i/>
        </w:rPr>
        <w:t>Organisational management</w:t>
      </w:r>
      <w:r w:rsidR="00724C6F">
        <w:t xml:space="preserve"> </w:t>
      </w:r>
      <w:r w:rsidR="009F455D">
        <w:t xml:space="preserve">noting HDSS </w:t>
      </w:r>
      <w:r>
        <w:t xml:space="preserve">1.2.7 </w:t>
      </w:r>
      <w:r w:rsidR="00CD79B4">
        <w:t xml:space="preserve">has been mapped to HCSS 3.1 and 3.2; and HDSS </w:t>
      </w:r>
      <w:r w:rsidR="009F455D">
        <w:t xml:space="preserve">1.2.9 </w:t>
      </w:r>
      <w:r w:rsidR="00CD79B4">
        <w:t xml:space="preserve">to FSS 2.11 and 2.12 – refer </w:t>
      </w:r>
      <w:r>
        <w:t>Table 4</w:t>
      </w:r>
      <w:r w:rsidR="00724C6F">
        <w:t xml:space="preserve">. The </w:t>
      </w:r>
      <w:r w:rsidR="00CD79B4">
        <w:t xml:space="preserve">matched </w:t>
      </w:r>
      <w:r w:rsidR="009F455D">
        <w:t>outcome statements</w:t>
      </w:r>
      <w:r w:rsidR="00724C6F">
        <w:t xml:space="preserve"> </w:t>
      </w:r>
      <w:r>
        <w:t>cover</w:t>
      </w:r>
      <w:r w:rsidR="00724C6F">
        <w:t xml:space="preserve"> governance</w:t>
      </w:r>
      <w:r w:rsidR="009F455D">
        <w:t>,</w:t>
      </w:r>
      <w:r w:rsidR="00724C6F">
        <w:t xml:space="preserve"> service management, quality and risk systems, </w:t>
      </w:r>
      <w:r w:rsidR="009F455D">
        <w:t>and adverse</w:t>
      </w:r>
      <w:r w:rsidR="00724C6F">
        <w:t xml:space="preserve"> event reporting</w:t>
      </w:r>
      <w:r>
        <w:t>, human resource management</w:t>
      </w:r>
      <w:r w:rsidR="00724C6F">
        <w:t xml:space="preserve"> and consumer information.</w:t>
      </w:r>
    </w:p>
    <w:p w:rsidR="00460A5E" w:rsidRPr="00C97685" w:rsidRDefault="00EB17F7" w:rsidP="00EB17F7">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4</w:t>
      </w:r>
      <w:r w:rsidR="002B15E1">
        <w:rPr>
          <w:noProof/>
        </w:rPr>
        <w:fldChar w:fldCharType="end"/>
      </w:r>
      <w:r w:rsidRPr="005A62EE">
        <w:t xml:space="preserve">: </w:t>
      </w:r>
      <w:r w:rsidR="00460A5E">
        <w:t>Organisational management – exact match</w:t>
      </w:r>
    </w:p>
    <w:tbl>
      <w:tblPr>
        <w:tblStyle w:val="TableGrid"/>
        <w:tblW w:w="92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4"/>
        <w:gridCol w:w="2977"/>
        <w:gridCol w:w="3119"/>
      </w:tblGrid>
      <w:tr w:rsidR="00460A5E" w:rsidRPr="009F455D" w:rsidTr="00EB17F7">
        <w:tc>
          <w:tcPr>
            <w:tcW w:w="3114" w:type="dxa"/>
            <w:tcBorders>
              <w:top w:val="nil"/>
              <w:bottom w:val="nil"/>
            </w:tcBorders>
            <w:shd w:val="clear" w:color="auto" w:fill="F2F2F2" w:themeFill="background1" w:themeFillShade="F2"/>
          </w:tcPr>
          <w:p w:rsidR="00460A5E" w:rsidRPr="00EB17F7" w:rsidRDefault="00460A5E" w:rsidP="00EB17F7">
            <w:pPr>
              <w:pStyle w:val="TableText"/>
              <w:rPr>
                <w:b/>
                <w:lang w:eastAsia="en-NZ"/>
              </w:rPr>
            </w:pPr>
            <w:r w:rsidRPr="00EB17F7">
              <w:rPr>
                <w:b/>
                <w:lang w:eastAsia="en-NZ"/>
              </w:rPr>
              <w:t xml:space="preserve">Health and Disability Services Standards </w:t>
            </w:r>
          </w:p>
        </w:tc>
        <w:tc>
          <w:tcPr>
            <w:tcW w:w="2977" w:type="dxa"/>
            <w:tcBorders>
              <w:top w:val="nil"/>
              <w:bottom w:val="nil"/>
            </w:tcBorders>
            <w:shd w:val="clear" w:color="auto" w:fill="F2F2F2" w:themeFill="background1" w:themeFillShade="F2"/>
          </w:tcPr>
          <w:p w:rsidR="00460A5E" w:rsidRPr="00EB17F7" w:rsidRDefault="00460A5E" w:rsidP="00EB17F7">
            <w:pPr>
              <w:pStyle w:val="TableText"/>
              <w:rPr>
                <w:b/>
                <w:lang w:eastAsia="en-NZ"/>
              </w:rPr>
            </w:pPr>
            <w:r w:rsidRPr="00EB17F7">
              <w:rPr>
                <w:b/>
                <w:lang w:eastAsia="en-NZ"/>
              </w:rPr>
              <w:t xml:space="preserve">Fertility Services Standard </w:t>
            </w:r>
          </w:p>
        </w:tc>
        <w:tc>
          <w:tcPr>
            <w:tcW w:w="3119" w:type="dxa"/>
            <w:tcBorders>
              <w:top w:val="nil"/>
              <w:bottom w:val="nil"/>
            </w:tcBorders>
            <w:shd w:val="clear" w:color="auto" w:fill="F2F2F2" w:themeFill="background1" w:themeFillShade="F2"/>
          </w:tcPr>
          <w:p w:rsidR="00460A5E" w:rsidRPr="00EB17F7" w:rsidRDefault="00460A5E" w:rsidP="00EB17F7">
            <w:pPr>
              <w:pStyle w:val="TableText"/>
              <w:rPr>
                <w:b/>
                <w:lang w:eastAsia="en-NZ"/>
              </w:rPr>
            </w:pPr>
            <w:r w:rsidRPr="00EB17F7">
              <w:rPr>
                <w:b/>
                <w:lang w:eastAsia="en-NZ"/>
              </w:rPr>
              <w:t xml:space="preserve">Home and community support sector Standard </w:t>
            </w:r>
          </w:p>
        </w:tc>
      </w:tr>
      <w:tr w:rsidR="00460A5E" w:rsidRPr="009F455D" w:rsidTr="00EB17F7">
        <w:tc>
          <w:tcPr>
            <w:tcW w:w="3114" w:type="dxa"/>
            <w:tcBorders>
              <w:top w:val="nil"/>
            </w:tcBorders>
          </w:tcPr>
          <w:p w:rsidR="00460A5E" w:rsidRPr="009F455D" w:rsidRDefault="00460A5E" w:rsidP="00EB17F7">
            <w:pPr>
              <w:pStyle w:val="TableText"/>
              <w:rPr>
                <w:lang w:eastAsia="en-NZ"/>
              </w:rPr>
            </w:pPr>
            <w:r w:rsidRPr="009F455D">
              <w:rPr>
                <w:lang w:eastAsia="en-NZ"/>
              </w:rPr>
              <w:t xml:space="preserve">1.2.1: </w:t>
            </w:r>
            <w:r w:rsidR="009F455D" w:rsidRPr="009F455D">
              <w:rPr>
                <w:lang w:eastAsia="en-NZ"/>
              </w:rPr>
              <w:t>Governance</w:t>
            </w:r>
          </w:p>
        </w:tc>
        <w:tc>
          <w:tcPr>
            <w:tcW w:w="2977" w:type="dxa"/>
            <w:tcBorders>
              <w:top w:val="nil"/>
            </w:tcBorders>
          </w:tcPr>
          <w:p w:rsidR="00460A5E" w:rsidRPr="009F455D" w:rsidRDefault="00460A5E" w:rsidP="00EB17F7">
            <w:pPr>
              <w:pStyle w:val="TableText"/>
              <w:rPr>
                <w:lang w:eastAsia="en-NZ"/>
              </w:rPr>
            </w:pPr>
            <w:r w:rsidRPr="009F455D">
              <w:rPr>
                <w:lang w:eastAsia="en-NZ"/>
              </w:rPr>
              <w:t xml:space="preserve">2.1: </w:t>
            </w:r>
            <w:r w:rsidR="009F455D" w:rsidRPr="009F455D">
              <w:rPr>
                <w:lang w:eastAsia="en-NZ"/>
              </w:rPr>
              <w:t>Governance</w:t>
            </w:r>
          </w:p>
        </w:tc>
        <w:tc>
          <w:tcPr>
            <w:tcW w:w="3119" w:type="dxa"/>
            <w:tcBorders>
              <w:top w:val="nil"/>
            </w:tcBorders>
          </w:tcPr>
          <w:p w:rsidR="00460A5E" w:rsidRPr="009F455D" w:rsidRDefault="00460A5E" w:rsidP="00EB17F7">
            <w:pPr>
              <w:pStyle w:val="TableText"/>
              <w:rPr>
                <w:lang w:eastAsia="en-NZ"/>
              </w:rPr>
            </w:pPr>
            <w:r w:rsidRPr="009F455D">
              <w:rPr>
                <w:lang w:eastAsia="en-NZ"/>
              </w:rPr>
              <w:t xml:space="preserve">2.1: </w:t>
            </w:r>
            <w:r w:rsidR="009F455D" w:rsidRPr="009F455D">
              <w:rPr>
                <w:lang w:eastAsia="en-NZ"/>
              </w:rPr>
              <w:t>Governance</w:t>
            </w:r>
          </w:p>
        </w:tc>
      </w:tr>
      <w:tr w:rsidR="00460A5E" w:rsidRPr="009F455D" w:rsidTr="00EB17F7">
        <w:tc>
          <w:tcPr>
            <w:tcW w:w="3114" w:type="dxa"/>
          </w:tcPr>
          <w:p w:rsidR="00460A5E" w:rsidRPr="009F455D" w:rsidRDefault="00460A5E" w:rsidP="00EB17F7">
            <w:pPr>
              <w:pStyle w:val="TableText"/>
              <w:rPr>
                <w:lang w:eastAsia="en-NZ"/>
              </w:rPr>
            </w:pPr>
            <w:r w:rsidRPr="009F455D">
              <w:rPr>
                <w:lang w:eastAsia="en-NZ"/>
              </w:rPr>
              <w:t xml:space="preserve">1.2.2: </w:t>
            </w:r>
            <w:r w:rsidR="009F455D" w:rsidRPr="009F455D">
              <w:rPr>
                <w:lang w:eastAsia="en-NZ"/>
              </w:rPr>
              <w:t>Service Management</w:t>
            </w:r>
          </w:p>
        </w:tc>
        <w:tc>
          <w:tcPr>
            <w:tcW w:w="2977" w:type="dxa"/>
          </w:tcPr>
          <w:p w:rsidR="00460A5E" w:rsidRPr="009F455D" w:rsidRDefault="00460A5E" w:rsidP="00EB17F7">
            <w:pPr>
              <w:pStyle w:val="TableText"/>
              <w:rPr>
                <w:lang w:eastAsia="en-NZ"/>
              </w:rPr>
            </w:pPr>
            <w:r w:rsidRPr="009F455D">
              <w:rPr>
                <w:lang w:eastAsia="en-NZ"/>
              </w:rPr>
              <w:t xml:space="preserve">2.6: </w:t>
            </w:r>
            <w:r w:rsidR="009F455D" w:rsidRPr="009F455D">
              <w:rPr>
                <w:lang w:eastAsia="en-NZ"/>
              </w:rPr>
              <w:t>Service Management</w:t>
            </w:r>
          </w:p>
        </w:tc>
        <w:tc>
          <w:tcPr>
            <w:tcW w:w="3119" w:type="dxa"/>
          </w:tcPr>
          <w:p w:rsidR="00460A5E" w:rsidRPr="009F455D" w:rsidRDefault="00460A5E" w:rsidP="00EB17F7">
            <w:pPr>
              <w:pStyle w:val="TableText"/>
              <w:rPr>
                <w:lang w:eastAsia="en-NZ"/>
              </w:rPr>
            </w:pPr>
            <w:r w:rsidRPr="009F455D">
              <w:rPr>
                <w:lang w:eastAsia="en-NZ"/>
              </w:rPr>
              <w:t xml:space="preserve">2.2: </w:t>
            </w:r>
            <w:r w:rsidR="009F455D" w:rsidRPr="009F455D">
              <w:rPr>
                <w:lang w:eastAsia="en-NZ"/>
              </w:rPr>
              <w:t>Service Management</w:t>
            </w:r>
          </w:p>
        </w:tc>
      </w:tr>
      <w:tr w:rsidR="00460A5E" w:rsidRPr="009F455D" w:rsidTr="00EB17F7">
        <w:tc>
          <w:tcPr>
            <w:tcW w:w="3114" w:type="dxa"/>
          </w:tcPr>
          <w:p w:rsidR="00460A5E" w:rsidRPr="009F455D" w:rsidRDefault="00460A5E" w:rsidP="00EB17F7">
            <w:pPr>
              <w:pStyle w:val="TableText"/>
              <w:rPr>
                <w:lang w:eastAsia="en-NZ"/>
              </w:rPr>
            </w:pPr>
            <w:r w:rsidRPr="009F455D">
              <w:rPr>
                <w:lang w:eastAsia="en-NZ"/>
              </w:rPr>
              <w:t xml:space="preserve">1.2.3: </w:t>
            </w:r>
            <w:r w:rsidR="009F455D" w:rsidRPr="009F455D">
              <w:rPr>
                <w:lang w:eastAsia="en-NZ"/>
              </w:rPr>
              <w:t>Quality and Risk Management Systems</w:t>
            </w:r>
          </w:p>
        </w:tc>
        <w:tc>
          <w:tcPr>
            <w:tcW w:w="2977" w:type="dxa"/>
          </w:tcPr>
          <w:p w:rsidR="00460A5E" w:rsidRPr="009F455D" w:rsidRDefault="00460A5E" w:rsidP="00EB17F7">
            <w:pPr>
              <w:pStyle w:val="TableText"/>
              <w:rPr>
                <w:lang w:eastAsia="en-NZ"/>
              </w:rPr>
            </w:pPr>
            <w:r w:rsidRPr="009F455D">
              <w:rPr>
                <w:lang w:eastAsia="en-NZ"/>
              </w:rPr>
              <w:t xml:space="preserve">2.2: </w:t>
            </w:r>
            <w:r w:rsidR="009F455D" w:rsidRPr="009F455D">
              <w:rPr>
                <w:lang w:eastAsia="en-NZ"/>
              </w:rPr>
              <w:t>Quality and Risk Management Systems</w:t>
            </w:r>
          </w:p>
        </w:tc>
        <w:tc>
          <w:tcPr>
            <w:tcW w:w="3119" w:type="dxa"/>
          </w:tcPr>
          <w:p w:rsidR="00460A5E" w:rsidRPr="009F455D" w:rsidRDefault="00460A5E" w:rsidP="00EB17F7">
            <w:pPr>
              <w:pStyle w:val="TableText"/>
              <w:rPr>
                <w:lang w:eastAsia="en-NZ"/>
              </w:rPr>
            </w:pPr>
            <w:r w:rsidRPr="009F455D">
              <w:rPr>
                <w:lang w:eastAsia="en-NZ"/>
              </w:rPr>
              <w:t xml:space="preserve">2.3: </w:t>
            </w:r>
            <w:r w:rsidR="009F455D" w:rsidRPr="009F455D">
              <w:rPr>
                <w:lang w:eastAsia="en-NZ"/>
              </w:rPr>
              <w:t>Quality and Risk Management</w:t>
            </w:r>
          </w:p>
        </w:tc>
      </w:tr>
      <w:tr w:rsidR="00460A5E" w:rsidRPr="009F455D" w:rsidTr="00EB17F7">
        <w:tc>
          <w:tcPr>
            <w:tcW w:w="3114" w:type="dxa"/>
          </w:tcPr>
          <w:p w:rsidR="00460A5E" w:rsidRPr="009F455D" w:rsidRDefault="00460A5E" w:rsidP="00EB17F7">
            <w:pPr>
              <w:pStyle w:val="TableText"/>
              <w:rPr>
                <w:lang w:eastAsia="en-NZ"/>
              </w:rPr>
            </w:pPr>
            <w:r w:rsidRPr="009F455D">
              <w:rPr>
                <w:lang w:eastAsia="en-NZ"/>
              </w:rPr>
              <w:t xml:space="preserve">1.2.4: </w:t>
            </w:r>
            <w:r w:rsidR="009F455D" w:rsidRPr="009F455D">
              <w:rPr>
                <w:lang w:eastAsia="en-NZ"/>
              </w:rPr>
              <w:t>Adverse Event Reporting</w:t>
            </w:r>
          </w:p>
        </w:tc>
        <w:tc>
          <w:tcPr>
            <w:tcW w:w="2977" w:type="dxa"/>
          </w:tcPr>
          <w:p w:rsidR="00460A5E" w:rsidRPr="009F455D" w:rsidRDefault="00460A5E" w:rsidP="00EB17F7">
            <w:pPr>
              <w:pStyle w:val="TableText"/>
              <w:rPr>
                <w:lang w:eastAsia="en-NZ"/>
              </w:rPr>
            </w:pPr>
            <w:r w:rsidRPr="009F455D">
              <w:rPr>
                <w:lang w:eastAsia="en-NZ"/>
              </w:rPr>
              <w:t xml:space="preserve">2.4: </w:t>
            </w:r>
            <w:r w:rsidR="009F455D" w:rsidRPr="009F455D">
              <w:rPr>
                <w:lang w:eastAsia="en-NZ"/>
              </w:rPr>
              <w:t>Exception Reporting</w:t>
            </w:r>
          </w:p>
        </w:tc>
        <w:tc>
          <w:tcPr>
            <w:tcW w:w="3119" w:type="dxa"/>
          </w:tcPr>
          <w:p w:rsidR="00460A5E" w:rsidRPr="009F455D" w:rsidRDefault="00460A5E" w:rsidP="00EB17F7">
            <w:pPr>
              <w:pStyle w:val="TableText"/>
              <w:rPr>
                <w:lang w:eastAsia="en-NZ"/>
              </w:rPr>
            </w:pPr>
            <w:r w:rsidRPr="009F455D">
              <w:rPr>
                <w:lang w:eastAsia="en-NZ"/>
              </w:rPr>
              <w:t xml:space="preserve">2.4: </w:t>
            </w:r>
            <w:r w:rsidR="009F455D" w:rsidRPr="009F455D">
              <w:rPr>
                <w:lang w:eastAsia="en-NZ"/>
              </w:rPr>
              <w:t>Adverse Event Reporting and Resolution</w:t>
            </w:r>
          </w:p>
        </w:tc>
      </w:tr>
      <w:tr w:rsidR="00496A28" w:rsidRPr="009F455D" w:rsidTr="00EB17F7">
        <w:tc>
          <w:tcPr>
            <w:tcW w:w="3114" w:type="dxa"/>
          </w:tcPr>
          <w:p w:rsidR="00496A28" w:rsidRPr="00F35B13" w:rsidRDefault="00496A28" w:rsidP="00EB17F7">
            <w:pPr>
              <w:pStyle w:val="TableText"/>
              <w:rPr>
                <w:lang w:eastAsia="en-NZ"/>
              </w:rPr>
            </w:pPr>
            <w:r w:rsidRPr="00F35B13">
              <w:rPr>
                <w:lang w:eastAsia="en-NZ"/>
              </w:rPr>
              <w:t>1.2.7: Human Resource Management</w:t>
            </w:r>
          </w:p>
        </w:tc>
        <w:tc>
          <w:tcPr>
            <w:tcW w:w="2977" w:type="dxa"/>
          </w:tcPr>
          <w:p w:rsidR="00496A28" w:rsidRPr="00F35B13" w:rsidRDefault="00496A28" w:rsidP="00EB17F7">
            <w:pPr>
              <w:pStyle w:val="TableText"/>
              <w:rPr>
                <w:lang w:eastAsia="en-NZ"/>
              </w:rPr>
            </w:pPr>
            <w:r w:rsidRPr="00F35B13">
              <w:rPr>
                <w:lang w:eastAsia="en-NZ"/>
              </w:rPr>
              <w:t>2.8: Human Resource Management</w:t>
            </w:r>
          </w:p>
        </w:tc>
        <w:tc>
          <w:tcPr>
            <w:tcW w:w="3119" w:type="dxa"/>
          </w:tcPr>
          <w:p w:rsidR="00496A28" w:rsidRPr="00F35B13" w:rsidRDefault="00496A28" w:rsidP="00EB17F7">
            <w:pPr>
              <w:pStyle w:val="TableText"/>
              <w:rPr>
                <w:lang w:eastAsia="en-NZ"/>
              </w:rPr>
            </w:pPr>
            <w:r w:rsidRPr="00F35B13">
              <w:rPr>
                <w:lang w:eastAsia="en-NZ"/>
              </w:rPr>
              <w:t xml:space="preserve">3.1: Recruitment </w:t>
            </w:r>
          </w:p>
          <w:p w:rsidR="00496A28" w:rsidRPr="00F35B13" w:rsidRDefault="00496A28" w:rsidP="00EB17F7">
            <w:pPr>
              <w:pStyle w:val="TableText"/>
              <w:rPr>
                <w:lang w:eastAsia="en-NZ"/>
              </w:rPr>
            </w:pPr>
            <w:r w:rsidRPr="00F35B13">
              <w:rPr>
                <w:lang w:eastAsia="en-NZ"/>
              </w:rPr>
              <w:t>3.2: Orientation, Induction, Ongoing Development, and Competency</w:t>
            </w:r>
          </w:p>
        </w:tc>
      </w:tr>
      <w:tr w:rsidR="00496A28" w:rsidRPr="009F455D" w:rsidTr="00EB17F7">
        <w:tc>
          <w:tcPr>
            <w:tcW w:w="3114" w:type="dxa"/>
          </w:tcPr>
          <w:p w:rsidR="00496A28" w:rsidRPr="009F455D" w:rsidRDefault="00496A28" w:rsidP="00EB17F7">
            <w:pPr>
              <w:pStyle w:val="TableText"/>
              <w:rPr>
                <w:lang w:eastAsia="en-NZ"/>
              </w:rPr>
            </w:pPr>
            <w:r w:rsidRPr="009F455D">
              <w:rPr>
                <w:lang w:eastAsia="en-NZ"/>
              </w:rPr>
              <w:t>1.2.9: Consumer Information Management Systems</w:t>
            </w:r>
          </w:p>
        </w:tc>
        <w:tc>
          <w:tcPr>
            <w:tcW w:w="2977" w:type="dxa"/>
          </w:tcPr>
          <w:p w:rsidR="00496A28" w:rsidRPr="009F455D" w:rsidRDefault="00496A28" w:rsidP="00EB17F7">
            <w:pPr>
              <w:pStyle w:val="TableText"/>
              <w:rPr>
                <w:lang w:eastAsia="en-NZ"/>
              </w:rPr>
            </w:pPr>
            <w:r w:rsidRPr="009F455D">
              <w:rPr>
                <w:lang w:eastAsia="en-NZ"/>
              </w:rPr>
              <w:t xml:space="preserve">2.11: Consumer Information Management System </w:t>
            </w:r>
          </w:p>
          <w:p w:rsidR="00496A28" w:rsidRPr="009F455D" w:rsidRDefault="00496A28" w:rsidP="00EB17F7">
            <w:pPr>
              <w:pStyle w:val="TableText"/>
              <w:rPr>
                <w:lang w:eastAsia="en-NZ"/>
              </w:rPr>
            </w:pPr>
            <w:r w:rsidRPr="009F455D">
              <w:rPr>
                <w:lang w:eastAsia="en-NZ"/>
              </w:rPr>
              <w:t>2.12: Recording Systems</w:t>
            </w:r>
          </w:p>
        </w:tc>
        <w:tc>
          <w:tcPr>
            <w:tcW w:w="3119" w:type="dxa"/>
          </w:tcPr>
          <w:p w:rsidR="00496A28" w:rsidRPr="009F455D" w:rsidRDefault="00496A28" w:rsidP="00EB17F7">
            <w:pPr>
              <w:pStyle w:val="TableText"/>
              <w:rPr>
                <w:lang w:eastAsia="en-NZ"/>
              </w:rPr>
            </w:pPr>
            <w:r w:rsidRPr="009F455D">
              <w:rPr>
                <w:lang w:eastAsia="en-NZ"/>
              </w:rPr>
              <w:t>2.6: Consumer Information Management Systems</w:t>
            </w:r>
          </w:p>
        </w:tc>
      </w:tr>
    </w:tbl>
    <w:p w:rsidR="00460A5E" w:rsidRDefault="00460A5E" w:rsidP="005A62EE">
      <w:pPr>
        <w:pStyle w:val="Heading3"/>
      </w:pPr>
      <w:bookmarkStart w:id="14" w:name="_Toc19179530"/>
      <w:r>
        <w:t>Partial match</w:t>
      </w:r>
      <w:bookmarkEnd w:id="14"/>
    </w:p>
    <w:p w:rsidR="00460A5E" w:rsidRDefault="00496A28" w:rsidP="00595FD6">
      <w:r w:rsidRPr="00551B62">
        <w:t xml:space="preserve">There are no outcome statements that have been </w:t>
      </w:r>
      <w:r w:rsidR="00CD79B4">
        <w:t>reported</w:t>
      </w:r>
      <w:r w:rsidRPr="00551B62">
        <w:t xml:space="preserve"> as a partial match</w:t>
      </w:r>
      <w:r w:rsidR="00724C6F" w:rsidRPr="00551B62">
        <w:t>.</w:t>
      </w:r>
      <w:r w:rsidR="00724C6F" w:rsidRPr="005E7CE3">
        <w:t xml:space="preserve"> </w:t>
      </w:r>
    </w:p>
    <w:p w:rsidR="00460A5E" w:rsidRDefault="00460A5E" w:rsidP="005A62EE">
      <w:pPr>
        <w:pStyle w:val="Heading3"/>
      </w:pPr>
      <w:bookmarkStart w:id="15" w:name="_Toc19179531"/>
      <w:r>
        <w:t>No match</w:t>
      </w:r>
      <w:bookmarkEnd w:id="15"/>
    </w:p>
    <w:p w:rsidR="00551B62" w:rsidRDefault="00CD79B4" w:rsidP="00595FD6">
      <w:r>
        <w:t xml:space="preserve">Table 5 shows the eight outcomes statements that do not match across the standards - noting in order to match the outcome statement (and/or criteria) need to match across the three standards.  </w:t>
      </w:r>
    </w:p>
    <w:p w:rsidR="00EB17F7" w:rsidRDefault="00EB17F7" w:rsidP="00EB17F7">
      <w:pPr>
        <w:pStyle w:val="Caption"/>
        <w:sectPr w:rsidR="00EB17F7" w:rsidSect="005A62EE">
          <w:pgSz w:w="11906" w:h="16838"/>
          <w:pgMar w:top="1418" w:right="1418" w:bottom="1134" w:left="1418" w:header="567" w:footer="709" w:gutter="0"/>
          <w:cols w:space="708"/>
          <w:titlePg/>
          <w:docGrid w:linePitch="360"/>
        </w:sectPr>
      </w:pPr>
    </w:p>
    <w:p w:rsidR="005E7CE3" w:rsidRDefault="00EB17F7" w:rsidP="00EB17F7">
      <w:pPr>
        <w:pStyle w:val="Caption"/>
      </w:pPr>
      <w:r w:rsidRPr="005A62EE">
        <w:lastRenderedPageBreak/>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5</w:t>
      </w:r>
      <w:r w:rsidR="002B15E1">
        <w:rPr>
          <w:noProof/>
        </w:rPr>
        <w:fldChar w:fldCharType="end"/>
      </w:r>
      <w:r w:rsidRPr="005A62EE">
        <w:t>:</w:t>
      </w:r>
      <w:r>
        <w:t xml:space="preserve"> </w:t>
      </w:r>
      <w:r w:rsidR="006C1751">
        <w:t>Organisation management – no match</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13"/>
        <w:gridCol w:w="7603"/>
      </w:tblGrid>
      <w:tr w:rsidR="005E7CE3" w:rsidRPr="00EB17F7" w:rsidTr="00EB17F7">
        <w:tc>
          <w:tcPr>
            <w:tcW w:w="1052" w:type="dxa"/>
            <w:tcBorders>
              <w:top w:val="nil"/>
              <w:bottom w:val="nil"/>
            </w:tcBorders>
            <w:shd w:val="clear" w:color="auto" w:fill="F2F2F2" w:themeFill="background1" w:themeFillShade="F2"/>
          </w:tcPr>
          <w:p w:rsidR="005E7CE3" w:rsidRPr="00EB17F7" w:rsidRDefault="005E7CE3" w:rsidP="00595FD6">
            <w:pPr>
              <w:rPr>
                <w:b/>
                <w:lang w:eastAsia="en-NZ"/>
              </w:rPr>
            </w:pPr>
            <w:r w:rsidRPr="00EB17F7">
              <w:rPr>
                <w:b/>
                <w:lang w:eastAsia="en-NZ"/>
              </w:rPr>
              <w:t>Standard</w:t>
            </w:r>
          </w:p>
        </w:tc>
        <w:tc>
          <w:tcPr>
            <w:tcW w:w="7603" w:type="dxa"/>
            <w:tcBorders>
              <w:top w:val="nil"/>
              <w:bottom w:val="nil"/>
            </w:tcBorders>
            <w:shd w:val="clear" w:color="auto" w:fill="F2F2F2" w:themeFill="background1" w:themeFillShade="F2"/>
          </w:tcPr>
          <w:p w:rsidR="005E7CE3" w:rsidRPr="00EB17F7" w:rsidRDefault="005E7CE3" w:rsidP="00595FD6">
            <w:pPr>
              <w:rPr>
                <w:b/>
                <w:lang w:eastAsia="en-NZ"/>
              </w:rPr>
            </w:pPr>
            <w:r w:rsidRPr="00EB17F7">
              <w:rPr>
                <w:b/>
                <w:lang w:eastAsia="en-NZ"/>
              </w:rPr>
              <w:t>No match –</w:t>
            </w:r>
            <w:r w:rsidR="0056735E" w:rsidRPr="00EB17F7">
              <w:rPr>
                <w:b/>
                <w:lang w:eastAsia="en-NZ"/>
              </w:rPr>
              <w:t xml:space="preserve"> </w:t>
            </w:r>
            <w:r w:rsidRPr="00EB17F7">
              <w:rPr>
                <w:b/>
                <w:lang w:eastAsia="en-NZ"/>
              </w:rPr>
              <w:t>outcome statements</w:t>
            </w:r>
          </w:p>
        </w:tc>
      </w:tr>
      <w:tr w:rsidR="005E7CE3" w:rsidRPr="0056735E" w:rsidTr="00EB17F7">
        <w:tc>
          <w:tcPr>
            <w:tcW w:w="1052" w:type="dxa"/>
            <w:tcBorders>
              <w:top w:val="nil"/>
              <w:right w:val="nil"/>
            </w:tcBorders>
          </w:tcPr>
          <w:p w:rsidR="005E7CE3" w:rsidRPr="0056735E" w:rsidRDefault="005E7CE3" w:rsidP="00EB17F7">
            <w:pPr>
              <w:pStyle w:val="TableText"/>
              <w:rPr>
                <w:lang w:eastAsia="en-NZ"/>
              </w:rPr>
            </w:pPr>
            <w:r w:rsidRPr="0056735E">
              <w:rPr>
                <w:lang w:eastAsia="en-NZ"/>
              </w:rPr>
              <w:t xml:space="preserve">HDSS </w:t>
            </w:r>
          </w:p>
        </w:tc>
        <w:tc>
          <w:tcPr>
            <w:tcW w:w="7603" w:type="dxa"/>
            <w:tcBorders>
              <w:top w:val="nil"/>
              <w:left w:val="nil"/>
            </w:tcBorders>
          </w:tcPr>
          <w:p w:rsidR="005551DD" w:rsidRPr="0056735E" w:rsidRDefault="005551DD" w:rsidP="00EB17F7">
            <w:pPr>
              <w:pStyle w:val="TableText"/>
              <w:rPr>
                <w:lang w:eastAsia="en-NZ"/>
              </w:rPr>
            </w:pPr>
            <w:r w:rsidRPr="0056735E">
              <w:rPr>
                <w:lang w:eastAsia="en-NZ"/>
              </w:rPr>
              <w:t>1.2.5: Consumer Participation</w:t>
            </w:r>
          </w:p>
          <w:p w:rsidR="005551DD" w:rsidRPr="0056735E" w:rsidRDefault="005551DD" w:rsidP="00EB17F7">
            <w:pPr>
              <w:pStyle w:val="TableText"/>
              <w:rPr>
                <w:lang w:eastAsia="en-NZ"/>
              </w:rPr>
            </w:pPr>
            <w:r w:rsidRPr="0056735E">
              <w:rPr>
                <w:lang w:eastAsia="en-NZ"/>
              </w:rPr>
              <w:t>1.2.6: Family/Whānau Participation</w:t>
            </w:r>
          </w:p>
          <w:p w:rsidR="005E7CE3" w:rsidRDefault="005551DD" w:rsidP="00EB17F7">
            <w:pPr>
              <w:pStyle w:val="TableText"/>
              <w:rPr>
                <w:lang w:eastAsia="en-NZ"/>
              </w:rPr>
            </w:pPr>
            <w:r w:rsidRPr="0056735E">
              <w:rPr>
                <w:lang w:eastAsia="en-NZ"/>
              </w:rPr>
              <w:t xml:space="preserve">1.2.8: Service Provider Availability </w:t>
            </w:r>
          </w:p>
          <w:p w:rsidR="00233155" w:rsidRPr="00233155" w:rsidRDefault="00233155" w:rsidP="00EB17F7">
            <w:pPr>
              <w:pStyle w:val="TableBullet"/>
              <w:rPr>
                <w:rFonts w:eastAsiaTheme="majorEastAsia"/>
                <w:sz w:val="20"/>
                <w:szCs w:val="20"/>
                <w:lang w:eastAsia="en-NZ"/>
              </w:rPr>
            </w:pPr>
            <w:r>
              <w:t>FSS</w:t>
            </w:r>
            <w:r w:rsidRPr="00233155">
              <w:t xml:space="preserve"> 2.9: Service Provider Availability</w:t>
            </w:r>
            <w:r w:rsidRPr="00A747B7">
              <w:rPr>
                <w:rFonts w:eastAsiaTheme="majorEastAsia"/>
                <w:bCs/>
                <w:iCs/>
                <w:color w:val="323E4F" w:themeColor="text2" w:themeShade="BF"/>
              </w:rPr>
              <w:t xml:space="preserve">  </w:t>
            </w:r>
          </w:p>
        </w:tc>
      </w:tr>
      <w:tr w:rsidR="005E7CE3" w:rsidRPr="0056735E" w:rsidTr="00EB17F7">
        <w:tc>
          <w:tcPr>
            <w:tcW w:w="1052" w:type="dxa"/>
            <w:tcBorders>
              <w:right w:val="nil"/>
            </w:tcBorders>
          </w:tcPr>
          <w:p w:rsidR="005E7CE3" w:rsidRPr="0056735E" w:rsidRDefault="005E7CE3" w:rsidP="00EB17F7">
            <w:pPr>
              <w:pStyle w:val="TableText"/>
              <w:rPr>
                <w:lang w:eastAsia="en-NZ"/>
              </w:rPr>
            </w:pPr>
            <w:r w:rsidRPr="0056735E">
              <w:rPr>
                <w:lang w:eastAsia="en-NZ"/>
              </w:rPr>
              <w:t>FSS</w:t>
            </w:r>
          </w:p>
        </w:tc>
        <w:tc>
          <w:tcPr>
            <w:tcW w:w="7603" w:type="dxa"/>
            <w:tcBorders>
              <w:left w:val="nil"/>
            </w:tcBorders>
          </w:tcPr>
          <w:p w:rsidR="005551DD" w:rsidRDefault="005551DD" w:rsidP="00EB17F7">
            <w:pPr>
              <w:pStyle w:val="TableText"/>
              <w:rPr>
                <w:lang w:eastAsia="en-NZ"/>
              </w:rPr>
            </w:pPr>
            <w:r w:rsidRPr="0056735E">
              <w:rPr>
                <w:lang w:eastAsia="en-NZ"/>
              </w:rPr>
              <w:t xml:space="preserve">2.3: Occupational Health and Safety </w:t>
            </w:r>
          </w:p>
          <w:p w:rsidR="00233155" w:rsidRPr="00233155" w:rsidRDefault="00233155" w:rsidP="00EB17F7">
            <w:pPr>
              <w:pStyle w:val="TableBullet"/>
            </w:pPr>
            <w:r w:rsidRPr="00233155">
              <w:t>HCSS 3.3: Health and Safety</w:t>
            </w:r>
          </w:p>
          <w:p w:rsidR="00233155" w:rsidRDefault="005551DD" w:rsidP="00EB17F7">
            <w:pPr>
              <w:pStyle w:val="TableText"/>
              <w:rPr>
                <w:lang w:eastAsia="en-NZ"/>
              </w:rPr>
            </w:pPr>
            <w:r w:rsidRPr="0056735E">
              <w:rPr>
                <w:lang w:eastAsia="en-NZ"/>
              </w:rPr>
              <w:t>2.7: Design and Implementation of Services Using New Assisted Reproductive Technology</w:t>
            </w:r>
          </w:p>
          <w:p w:rsidR="00233155" w:rsidRDefault="00233155" w:rsidP="00EB17F7">
            <w:pPr>
              <w:pStyle w:val="TableText"/>
              <w:rPr>
                <w:lang w:eastAsia="en-NZ"/>
              </w:rPr>
            </w:pPr>
            <w:r>
              <w:rPr>
                <w:lang w:eastAsia="en-NZ"/>
              </w:rPr>
              <w:t xml:space="preserve">2.9: Service Provider Availability </w:t>
            </w:r>
          </w:p>
          <w:p w:rsidR="005E7CE3" w:rsidRPr="00233155" w:rsidRDefault="00233155" w:rsidP="00EB17F7">
            <w:pPr>
              <w:pStyle w:val="TableBullet"/>
            </w:pPr>
            <w:r w:rsidRPr="00233155">
              <w:t>HDSS 1.2.8: Service Provider Availability</w:t>
            </w:r>
          </w:p>
          <w:p w:rsidR="005E7CE3" w:rsidRPr="0056735E" w:rsidRDefault="0099433A" w:rsidP="00EB17F7">
            <w:pPr>
              <w:pStyle w:val="TableText"/>
              <w:rPr>
                <w:lang w:eastAsia="en-NZ"/>
              </w:rPr>
            </w:pPr>
            <w:r w:rsidRPr="0056735E">
              <w:rPr>
                <w:lang w:eastAsia="en-NZ"/>
              </w:rPr>
              <w:t>2.10: Advertising and Marketing Strategies</w:t>
            </w:r>
          </w:p>
        </w:tc>
      </w:tr>
      <w:tr w:rsidR="005E7CE3" w:rsidRPr="0056735E" w:rsidTr="00EB17F7">
        <w:tc>
          <w:tcPr>
            <w:tcW w:w="1052" w:type="dxa"/>
            <w:tcBorders>
              <w:right w:val="nil"/>
            </w:tcBorders>
          </w:tcPr>
          <w:p w:rsidR="005E7CE3" w:rsidRPr="0056735E" w:rsidRDefault="005E7CE3" w:rsidP="00EB17F7">
            <w:pPr>
              <w:pStyle w:val="TableText"/>
              <w:rPr>
                <w:lang w:eastAsia="en-NZ"/>
              </w:rPr>
            </w:pPr>
            <w:r w:rsidRPr="0056735E">
              <w:rPr>
                <w:lang w:eastAsia="en-NZ"/>
              </w:rPr>
              <w:t>HCSS</w:t>
            </w:r>
          </w:p>
        </w:tc>
        <w:tc>
          <w:tcPr>
            <w:tcW w:w="7603" w:type="dxa"/>
            <w:tcBorders>
              <w:left w:val="nil"/>
            </w:tcBorders>
          </w:tcPr>
          <w:p w:rsidR="005E7CE3" w:rsidRDefault="0099433A" w:rsidP="00EB17F7">
            <w:pPr>
              <w:pStyle w:val="TableText"/>
              <w:rPr>
                <w:lang w:eastAsia="en-NZ"/>
              </w:rPr>
            </w:pPr>
            <w:r w:rsidRPr="0056735E">
              <w:rPr>
                <w:lang w:eastAsia="en-NZ"/>
              </w:rPr>
              <w:t xml:space="preserve">Standard 3.3: Health and Safety </w:t>
            </w:r>
          </w:p>
          <w:p w:rsidR="00233155" w:rsidRPr="00233155" w:rsidRDefault="00233155" w:rsidP="00EB17F7">
            <w:pPr>
              <w:pStyle w:val="TableBullet"/>
              <w:rPr>
                <w:rFonts w:eastAsiaTheme="majorEastAsia"/>
                <w:sz w:val="20"/>
                <w:szCs w:val="20"/>
                <w:lang w:eastAsia="en-NZ"/>
              </w:rPr>
            </w:pPr>
            <w:r w:rsidRPr="00233155">
              <w:t>FSS: 2.3 Occupational Health and Safety</w:t>
            </w:r>
          </w:p>
        </w:tc>
      </w:tr>
    </w:tbl>
    <w:p w:rsidR="006C1751" w:rsidRDefault="006C1751" w:rsidP="00595FD6">
      <w:pPr>
        <w:pStyle w:val="Heading2"/>
      </w:pPr>
      <w:bookmarkStart w:id="16" w:name="_Toc19179532"/>
      <w:r w:rsidRPr="003025BD">
        <w:t xml:space="preserve">Part </w:t>
      </w:r>
      <w:r>
        <w:t>3</w:t>
      </w:r>
      <w:r w:rsidRPr="003025BD">
        <w:t xml:space="preserve">: </w:t>
      </w:r>
      <w:r>
        <w:t>Continuum of service delivery</w:t>
      </w:r>
      <w:bookmarkEnd w:id="16"/>
      <w:r>
        <w:t xml:space="preserve"> </w:t>
      </w:r>
    </w:p>
    <w:p w:rsidR="000319DA" w:rsidRPr="000319DA" w:rsidRDefault="000319DA" w:rsidP="00595FD6">
      <w:r>
        <w:t xml:space="preserve">Outcome statements relating to service delivery are </w:t>
      </w:r>
      <w:r w:rsidR="00652A0E">
        <w:t xml:space="preserve">included in </w:t>
      </w:r>
      <w:r>
        <w:t xml:space="preserve">each of the standards, with HCSS recording these in </w:t>
      </w:r>
      <w:r w:rsidR="00652A0E">
        <w:t>P</w:t>
      </w:r>
      <w:r>
        <w:t>art 4</w:t>
      </w:r>
      <w:r w:rsidR="00C60F70">
        <w:t xml:space="preserve"> (Service Delivery)</w:t>
      </w:r>
      <w:r w:rsidR="00652A0E">
        <w:t>, while HDSS and FSS record in Part 3</w:t>
      </w:r>
      <w:r>
        <w:t xml:space="preserve"> – refer </w:t>
      </w:r>
      <w:r w:rsidR="00DF5A28">
        <w:fldChar w:fldCharType="begin"/>
      </w:r>
      <w:r w:rsidR="00DF5A28">
        <w:instrText xml:space="preserve"> REF _Ref19009999 \h </w:instrText>
      </w:r>
      <w:r w:rsidR="00DF5A28">
        <w:fldChar w:fldCharType="separate"/>
      </w:r>
      <w:r w:rsidR="001E1F52" w:rsidRPr="005A62EE">
        <w:t xml:space="preserve">Diagram </w:t>
      </w:r>
      <w:r w:rsidR="001E1F52">
        <w:rPr>
          <w:noProof/>
        </w:rPr>
        <w:t>1</w:t>
      </w:r>
      <w:r w:rsidR="00DF5A28">
        <w:fldChar w:fldCharType="end"/>
      </w:r>
      <w:r>
        <w:t>.</w:t>
      </w:r>
    </w:p>
    <w:p w:rsidR="0024502D" w:rsidRPr="00DF1AED" w:rsidRDefault="0024502D" w:rsidP="00EB17F7">
      <w:pPr>
        <w:pStyle w:val="Heading3"/>
        <w:rPr>
          <w:rFonts w:cstheme="minorBidi"/>
        </w:rPr>
      </w:pPr>
      <w:bookmarkStart w:id="17" w:name="_Toc19179533"/>
      <w:r>
        <w:t>Exact match</w:t>
      </w:r>
      <w:bookmarkEnd w:id="17"/>
    </w:p>
    <w:p w:rsidR="000319DA" w:rsidRPr="000319DA" w:rsidRDefault="000319DA" w:rsidP="00595FD6">
      <w:r w:rsidRPr="000319DA">
        <w:t>Four outcome statement</w:t>
      </w:r>
      <w:r>
        <w:t>s within HDSS and FSS have been matched to three outcome statements in HCSS. As shown in Table 6 HCSS has an outcome statement that considers entry to and exit from services, while HDSS and FSS have dedicated outcome statements for entry and exit.</w:t>
      </w:r>
      <w:r w:rsidRPr="000319DA">
        <w:t xml:space="preserve"> </w:t>
      </w:r>
    </w:p>
    <w:p w:rsidR="0024502D" w:rsidRPr="00C97685" w:rsidRDefault="00EB17F7" w:rsidP="00EB17F7">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6</w:t>
      </w:r>
      <w:r w:rsidR="002B15E1">
        <w:rPr>
          <w:noProof/>
        </w:rPr>
        <w:fldChar w:fldCharType="end"/>
      </w:r>
      <w:r w:rsidRPr="005A62EE">
        <w:t>:</w:t>
      </w:r>
      <w:r>
        <w:t xml:space="preserve"> </w:t>
      </w:r>
      <w:r w:rsidR="0024502D">
        <w:t>Continuum of service delivery – exact match</w:t>
      </w:r>
    </w:p>
    <w:tbl>
      <w:tblPr>
        <w:tblStyle w:val="TableGrid"/>
        <w:tblW w:w="92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4"/>
        <w:gridCol w:w="2977"/>
        <w:gridCol w:w="3119"/>
      </w:tblGrid>
      <w:tr w:rsidR="0024502D" w:rsidRPr="00E558F3" w:rsidTr="006A08E6">
        <w:tc>
          <w:tcPr>
            <w:tcW w:w="3114" w:type="dxa"/>
            <w:tcBorders>
              <w:top w:val="nil"/>
              <w:bottom w:val="nil"/>
            </w:tcBorders>
            <w:shd w:val="clear" w:color="auto" w:fill="F2F2F2" w:themeFill="background1" w:themeFillShade="F2"/>
          </w:tcPr>
          <w:p w:rsidR="0024502D" w:rsidRPr="006A08E6" w:rsidRDefault="0024502D" w:rsidP="00EB17F7">
            <w:pPr>
              <w:pStyle w:val="TableText"/>
              <w:rPr>
                <w:b/>
                <w:lang w:eastAsia="en-NZ"/>
              </w:rPr>
            </w:pPr>
            <w:r w:rsidRPr="006A08E6">
              <w:rPr>
                <w:b/>
                <w:lang w:eastAsia="en-NZ"/>
              </w:rPr>
              <w:t xml:space="preserve">Health and Disability Services Standards </w:t>
            </w:r>
          </w:p>
        </w:tc>
        <w:tc>
          <w:tcPr>
            <w:tcW w:w="2977" w:type="dxa"/>
            <w:tcBorders>
              <w:top w:val="nil"/>
              <w:bottom w:val="nil"/>
            </w:tcBorders>
            <w:shd w:val="clear" w:color="auto" w:fill="F2F2F2" w:themeFill="background1" w:themeFillShade="F2"/>
          </w:tcPr>
          <w:p w:rsidR="0024502D" w:rsidRPr="006A08E6" w:rsidRDefault="0024502D" w:rsidP="00EB17F7">
            <w:pPr>
              <w:pStyle w:val="TableText"/>
              <w:rPr>
                <w:b/>
                <w:lang w:eastAsia="en-NZ"/>
              </w:rPr>
            </w:pPr>
            <w:r w:rsidRPr="006A08E6">
              <w:rPr>
                <w:b/>
                <w:lang w:eastAsia="en-NZ"/>
              </w:rPr>
              <w:t xml:space="preserve">Fertility Services Standard </w:t>
            </w:r>
          </w:p>
        </w:tc>
        <w:tc>
          <w:tcPr>
            <w:tcW w:w="3119" w:type="dxa"/>
            <w:tcBorders>
              <w:top w:val="nil"/>
              <w:bottom w:val="nil"/>
            </w:tcBorders>
            <w:shd w:val="clear" w:color="auto" w:fill="F2F2F2" w:themeFill="background1" w:themeFillShade="F2"/>
          </w:tcPr>
          <w:p w:rsidR="0024502D" w:rsidRPr="006A08E6" w:rsidRDefault="0024502D" w:rsidP="00EB17F7">
            <w:pPr>
              <w:pStyle w:val="TableText"/>
              <w:rPr>
                <w:b/>
                <w:lang w:eastAsia="en-NZ"/>
              </w:rPr>
            </w:pPr>
            <w:r w:rsidRPr="006A08E6">
              <w:rPr>
                <w:b/>
                <w:lang w:eastAsia="en-NZ"/>
              </w:rPr>
              <w:t xml:space="preserve">Home and community support sector Standard </w:t>
            </w:r>
          </w:p>
        </w:tc>
      </w:tr>
      <w:tr w:rsidR="0024502D" w:rsidRPr="00540BC4" w:rsidTr="006A08E6">
        <w:tc>
          <w:tcPr>
            <w:tcW w:w="3114" w:type="dxa"/>
            <w:tcBorders>
              <w:top w:val="nil"/>
            </w:tcBorders>
          </w:tcPr>
          <w:p w:rsidR="0024502D" w:rsidRDefault="0024502D" w:rsidP="00EB17F7">
            <w:pPr>
              <w:pStyle w:val="TableText"/>
              <w:rPr>
                <w:lang w:eastAsia="en-NZ"/>
              </w:rPr>
            </w:pPr>
            <w:r w:rsidRPr="00756EA4">
              <w:rPr>
                <w:lang w:eastAsia="en-NZ"/>
              </w:rPr>
              <w:t xml:space="preserve">1.3.1: Entry </w:t>
            </w:r>
            <w:r w:rsidR="00540BC4" w:rsidRPr="00756EA4">
              <w:rPr>
                <w:lang w:eastAsia="en-NZ"/>
              </w:rPr>
              <w:t>to</w:t>
            </w:r>
            <w:r w:rsidRPr="00756EA4">
              <w:rPr>
                <w:lang w:eastAsia="en-NZ"/>
              </w:rPr>
              <w:t xml:space="preserve"> Services  </w:t>
            </w:r>
          </w:p>
          <w:p w:rsidR="00540BC4" w:rsidRPr="00540BC4" w:rsidRDefault="00540BC4" w:rsidP="00EB17F7">
            <w:pPr>
              <w:pStyle w:val="TableText"/>
              <w:rPr>
                <w:lang w:eastAsia="en-NZ"/>
              </w:rPr>
            </w:pPr>
            <w:r w:rsidRPr="00540BC4">
              <w:rPr>
                <w:lang w:eastAsia="en-NZ"/>
              </w:rPr>
              <w:t xml:space="preserve">1.3.10: Transition, Exit, Discharge, Or Transfer  </w:t>
            </w:r>
          </w:p>
        </w:tc>
        <w:tc>
          <w:tcPr>
            <w:tcW w:w="2977" w:type="dxa"/>
            <w:tcBorders>
              <w:top w:val="nil"/>
            </w:tcBorders>
          </w:tcPr>
          <w:p w:rsidR="0024502D" w:rsidRDefault="0024502D" w:rsidP="00EB17F7">
            <w:pPr>
              <w:pStyle w:val="TableText"/>
              <w:rPr>
                <w:lang w:eastAsia="en-NZ"/>
              </w:rPr>
            </w:pPr>
            <w:r w:rsidRPr="00756EA4">
              <w:rPr>
                <w:lang w:eastAsia="en-NZ"/>
              </w:rPr>
              <w:t>3.1: Entry to Services</w:t>
            </w:r>
          </w:p>
          <w:p w:rsidR="00540BC4" w:rsidRPr="00540BC4" w:rsidRDefault="00540BC4" w:rsidP="00EB17F7">
            <w:pPr>
              <w:pStyle w:val="TableText"/>
              <w:rPr>
                <w:lang w:eastAsia="en-NZ"/>
              </w:rPr>
            </w:pPr>
            <w:r w:rsidRPr="00540BC4">
              <w:rPr>
                <w:lang w:eastAsia="en-NZ"/>
              </w:rPr>
              <w:t>3.9: Exit, Discharge or Transfer</w:t>
            </w:r>
          </w:p>
        </w:tc>
        <w:tc>
          <w:tcPr>
            <w:tcW w:w="3119" w:type="dxa"/>
            <w:tcBorders>
              <w:top w:val="nil"/>
            </w:tcBorders>
          </w:tcPr>
          <w:p w:rsidR="0024502D" w:rsidRPr="00756EA4" w:rsidRDefault="00756EA4" w:rsidP="00EB17F7">
            <w:pPr>
              <w:pStyle w:val="TableText"/>
              <w:rPr>
                <w:lang w:eastAsia="en-NZ"/>
              </w:rPr>
            </w:pPr>
            <w:r>
              <w:rPr>
                <w:lang w:eastAsia="en-NZ"/>
              </w:rPr>
              <w:t xml:space="preserve">2.5: </w:t>
            </w:r>
            <w:r w:rsidR="0024502D" w:rsidRPr="00756EA4">
              <w:rPr>
                <w:lang w:eastAsia="en-NZ"/>
              </w:rPr>
              <w:t>Entry to and Exit from Services</w:t>
            </w:r>
          </w:p>
        </w:tc>
      </w:tr>
      <w:tr w:rsidR="0024502D" w:rsidRPr="00540BC4" w:rsidTr="00EB17F7">
        <w:tc>
          <w:tcPr>
            <w:tcW w:w="3114" w:type="dxa"/>
          </w:tcPr>
          <w:p w:rsidR="0024502D" w:rsidRPr="00756EA4" w:rsidRDefault="0024502D" w:rsidP="00EB17F7">
            <w:pPr>
              <w:pStyle w:val="TableText"/>
              <w:rPr>
                <w:lang w:eastAsia="en-NZ"/>
              </w:rPr>
            </w:pPr>
            <w:r w:rsidRPr="00756EA4">
              <w:rPr>
                <w:lang w:eastAsia="en-NZ"/>
              </w:rPr>
              <w:t xml:space="preserve">1.3.8: Evaluation  </w:t>
            </w:r>
          </w:p>
        </w:tc>
        <w:tc>
          <w:tcPr>
            <w:tcW w:w="2977" w:type="dxa"/>
          </w:tcPr>
          <w:p w:rsidR="0024502D" w:rsidRPr="00756EA4" w:rsidRDefault="0024502D" w:rsidP="00EB17F7">
            <w:pPr>
              <w:pStyle w:val="TableText"/>
              <w:rPr>
                <w:lang w:eastAsia="en-NZ"/>
              </w:rPr>
            </w:pPr>
            <w:r w:rsidRPr="00756EA4">
              <w:rPr>
                <w:lang w:eastAsia="en-NZ"/>
              </w:rPr>
              <w:t>3.8: Clinical Review</w:t>
            </w:r>
          </w:p>
        </w:tc>
        <w:tc>
          <w:tcPr>
            <w:tcW w:w="3119" w:type="dxa"/>
          </w:tcPr>
          <w:p w:rsidR="0024502D" w:rsidRPr="00756EA4" w:rsidRDefault="0024502D" w:rsidP="00EB17F7">
            <w:pPr>
              <w:pStyle w:val="TableText"/>
              <w:rPr>
                <w:lang w:eastAsia="en-NZ"/>
              </w:rPr>
            </w:pPr>
            <w:r w:rsidRPr="00756EA4">
              <w:rPr>
                <w:lang w:eastAsia="en-NZ"/>
              </w:rPr>
              <w:t>4.11: Review of Service Delivery</w:t>
            </w:r>
          </w:p>
        </w:tc>
      </w:tr>
      <w:tr w:rsidR="00756EA4" w:rsidRPr="00540BC4" w:rsidTr="00EB17F7">
        <w:tc>
          <w:tcPr>
            <w:tcW w:w="3114" w:type="dxa"/>
          </w:tcPr>
          <w:p w:rsidR="00540BC4" w:rsidRPr="00540BC4" w:rsidRDefault="00756EA4" w:rsidP="00EB17F7">
            <w:pPr>
              <w:pStyle w:val="TableText"/>
              <w:rPr>
                <w:lang w:eastAsia="en-NZ"/>
              </w:rPr>
            </w:pPr>
            <w:r w:rsidRPr="00540BC4">
              <w:rPr>
                <w:lang w:eastAsia="en-NZ"/>
              </w:rPr>
              <w:t xml:space="preserve">1.3.12: Medicine Management </w:t>
            </w:r>
          </w:p>
          <w:p w:rsidR="00756EA4" w:rsidRPr="00540BC4" w:rsidRDefault="00756EA4" w:rsidP="00EB17F7">
            <w:pPr>
              <w:pStyle w:val="TableText"/>
              <w:rPr>
                <w:lang w:eastAsia="en-NZ"/>
              </w:rPr>
            </w:pPr>
          </w:p>
        </w:tc>
        <w:tc>
          <w:tcPr>
            <w:tcW w:w="2977" w:type="dxa"/>
          </w:tcPr>
          <w:p w:rsidR="00756EA4" w:rsidRPr="00540BC4" w:rsidRDefault="00756EA4" w:rsidP="00EB17F7">
            <w:pPr>
              <w:pStyle w:val="TableText"/>
              <w:rPr>
                <w:lang w:eastAsia="en-NZ"/>
              </w:rPr>
            </w:pPr>
            <w:r w:rsidRPr="00540BC4">
              <w:rPr>
                <w:lang w:eastAsia="en-NZ"/>
              </w:rPr>
              <w:t xml:space="preserve">3.11: Medicines, Therapeutic Goods and </w:t>
            </w:r>
            <w:r w:rsidRPr="00347A64">
              <w:rPr>
                <w:lang w:eastAsia="en-NZ"/>
              </w:rPr>
              <w:t>Medical Devices</w:t>
            </w:r>
            <w:r w:rsidRPr="00540BC4">
              <w:rPr>
                <w:lang w:eastAsia="en-NZ"/>
              </w:rPr>
              <w:t xml:space="preserve"> Management  </w:t>
            </w:r>
          </w:p>
        </w:tc>
        <w:tc>
          <w:tcPr>
            <w:tcW w:w="3119" w:type="dxa"/>
          </w:tcPr>
          <w:p w:rsidR="00756EA4" w:rsidRPr="00540BC4" w:rsidRDefault="00756EA4" w:rsidP="00EB17F7">
            <w:pPr>
              <w:pStyle w:val="TableText"/>
              <w:rPr>
                <w:lang w:eastAsia="en-NZ"/>
              </w:rPr>
            </w:pPr>
            <w:r w:rsidRPr="00540BC4">
              <w:rPr>
                <w:lang w:eastAsia="en-NZ"/>
              </w:rPr>
              <w:t>4.6: Medicine Management</w:t>
            </w:r>
          </w:p>
          <w:p w:rsidR="00756EA4" w:rsidRPr="00540BC4" w:rsidRDefault="00756EA4" w:rsidP="00EB17F7">
            <w:pPr>
              <w:pStyle w:val="TableText"/>
              <w:rPr>
                <w:lang w:eastAsia="en-NZ"/>
              </w:rPr>
            </w:pPr>
          </w:p>
        </w:tc>
      </w:tr>
    </w:tbl>
    <w:p w:rsidR="0024502D" w:rsidRDefault="0024502D" w:rsidP="006A08E6">
      <w:pPr>
        <w:pStyle w:val="Heading3"/>
      </w:pPr>
      <w:bookmarkStart w:id="18" w:name="_Toc19179534"/>
      <w:r>
        <w:t>Partial match</w:t>
      </w:r>
      <w:bookmarkEnd w:id="18"/>
    </w:p>
    <w:p w:rsidR="0024502D" w:rsidRDefault="00347A64" w:rsidP="00595FD6">
      <w:r>
        <w:t>One outcome statement has been partially</w:t>
      </w:r>
      <w:r w:rsidR="0024502D">
        <w:t xml:space="preserve"> </w:t>
      </w:r>
      <w:r>
        <w:t>matched across the three standards, relating to service delivery.</w:t>
      </w:r>
    </w:p>
    <w:p w:rsidR="0024502D" w:rsidRDefault="00EB17F7" w:rsidP="00EB17F7">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7</w:t>
      </w:r>
      <w:r w:rsidR="002B15E1">
        <w:rPr>
          <w:noProof/>
        </w:rPr>
        <w:fldChar w:fldCharType="end"/>
      </w:r>
      <w:r w:rsidRPr="005A62EE">
        <w:t>:</w:t>
      </w:r>
      <w:r>
        <w:t xml:space="preserve"> </w:t>
      </w:r>
      <w:r w:rsidR="00347A64">
        <w:t>Continuum of service delivery</w:t>
      </w:r>
      <w:r w:rsidR="0024502D" w:rsidRPr="00347A64">
        <w:t xml:space="preserve"> – partial</w:t>
      </w:r>
      <w:r w:rsidR="0024502D">
        <w:t xml:space="preserve"> match</w:t>
      </w:r>
    </w:p>
    <w:tbl>
      <w:tblPr>
        <w:tblStyle w:val="TableGrid"/>
        <w:tblW w:w="92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4"/>
        <w:gridCol w:w="2977"/>
        <w:gridCol w:w="3119"/>
      </w:tblGrid>
      <w:tr w:rsidR="0024502D" w:rsidRPr="006A08E6" w:rsidTr="006A08E6">
        <w:tc>
          <w:tcPr>
            <w:tcW w:w="3114" w:type="dxa"/>
            <w:tcBorders>
              <w:top w:val="nil"/>
              <w:bottom w:val="nil"/>
            </w:tcBorders>
            <w:shd w:val="clear" w:color="auto" w:fill="F2F2F2" w:themeFill="background1" w:themeFillShade="F2"/>
          </w:tcPr>
          <w:p w:rsidR="0024502D" w:rsidRPr="006A08E6" w:rsidRDefault="0024502D" w:rsidP="00EB17F7">
            <w:pPr>
              <w:pStyle w:val="TableText"/>
              <w:rPr>
                <w:b/>
                <w:lang w:eastAsia="en-NZ"/>
              </w:rPr>
            </w:pPr>
            <w:r w:rsidRPr="006A08E6">
              <w:rPr>
                <w:b/>
                <w:lang w:eastAsia="en-NZ"/>
              </w:rPr>
              <w:t xml:space="preserve">Health and Disability Services Standards </w:t>
            </w:r>
          </w:p>
        </w:tc>
        <w:tc>
          <w:tcPr>
            <w:tcW w:w="2977" w:type="dxa"/>
            <w:tcBorders>
              <w:top w:val="nil"/>
              <w:bottom w:val="nil"/>
            </w:tcBorders>
            <w:shd w:val="clear" w:color="auto" w:fill="F2F2F2" w:themeFill="background1" w:themeFillShade="F2"/>
          </w:tcPr>
          <w:p w:rsidR="0024502D" w:rsidRPr="006A08E6" w:rsidRDefault="0024502D" w:rsidP="00EB17F7">
            <w:pPr>
              <w:pStyle w:val="TableText"/>
              <w:rPr>
                <w:b/>
                <w:lang w:eastAsia="en-NZ"/>
              </w:rPr>
            </w:pPr>
            <w:r w:rsidRPr="006A08E6">
              <w:rPr>
                <w:b/>
                <w:lang w:eastAsia="en-NZ"/>
              </w:rPr>
              <w:t xml:space="preserve">Fertility Services Standard </w:t>
            </w:r>
          </w:p>
        </w:tc>
        <w:tc>
          <w:tcPr>
            <w:tcW w:w="3119" w:type="dxa"/>
            <w:tcBorders>
              <w:top w:val="nil"/>
              <w:bottom w:val="nil"/>
            </w:tcBorders>
            <w:shd w:val="clear" w:color="auto" w:fill="F2F2F2" w:themeFill="background1" w:themeFillShade="F2"/>
          </w:tcPr>
          <w:p w:rsidR="0024502D" w:rsidRPr="006A08E6" w:rsidRDefault="0024502D" w:rsidP="00EB17F7">
            <w:pPr>
              <w:pStyle w:val="TableText"/>
              <w:rPr>
                <w:b/>
                <w:lang w:eastAsia="en-NZ"/>
              </w:rPr>
            </w:pPr>
            <w:r w:rsidRPr="006A08E6">
              <w:rPr>
                <w:b/>
                <w:lang w:eastAsia="en-NZ"/>
              </w:rPr>
              <w:t xml:space="preserve">Home and community support sector Standard </w:t>
            </w:r>
          </w:p>
        </w:tc>
      </w:tr>
      <w:tr w:rsidR="00756EA4" w:rsidRPr="00E558F3" w:rsidTr="006A08E6">
        <w:tc>
          <w:tcPr>
            <w:tcW w:w="3114" w:type="dxa"/>
            <w:tcBorders>
              <w:top w:val="nil"/>
            </w:tcBorders>
          </w:tcPr>
          <w:p w:rsidR="00756EA4" w:rsidRPr="00540BC4" w:rsidRDefault="00756EA4" w:rsidP="00787D02">
            <w:pPr>
              <w:pStyle w:val="TableText"/>
              <w:rPr>
                <w:lang w:eastAsia="en-NZ"/>
              </w:rPr>
            </w:pPr>
            <w:r w:rsidRPr="00540BC4">
              <w:rPr>
                <w:lang w:eastAsia="en-NZ"/>
              </w:rPr>
              <w:t xml:space="preserve">1.3.6: Service Delivery/Interventions </w:t>
            </w:r>
          </w:p>
        </w:tc>
        <w:tc>
          <w:tcPr>
            <w:tcW w:w="2977" w:type="dxa"/>
            <w:tcBorders>
              <w:top w:val="nil"/>
            </w:tcBorders>
          </w:tcPr>
          <w:p w:rsidR="00756EA4" w:rsidRPr="00540BC4" w:rsidRDefault="00756EA4" w:rsidP="00EB17F7">
            <w:pPr>
              <w:pStyle w:val="TableText"/>
              <w:rPr>
                <w:lang w:eastAsia="en-NZ"/>
              </w:rPr>
            </w:pPr>
            <w:r w:rsidRPr="00540BC4">
              <w:rPr>
                <w:lang w:eastAsia="en-NZ"/>
              </w:rPr>
              <w:t xml:space="preserve">3.5: Treatment Provision </w:t>
            </w:r>
          </w:p>
        </w:tc>
        <w:tc>
          <w:tcPr>
            <w:tcW w:w="3119" w:type="dxa"/>
            <w:tcBorders>
              <w:top w:val="nil"/>
            </w:tcBorders>
          </w:tcPr>
          <w:p w:rsidR="00756EA4" w:rsidRPr="00540BC4" w:rsidRDefault="00756EA4" w:rsidP="00EB17F7">
            <w:pPr>
              <w:pStyle w:val="TableText"/>
              <w:rPr>
                <w:lang w:eastAsia="en-NZ"/>
              </w:rPr>
            </w:pPr>
            <w:r w:rsidRPr="00540BC4">
              <w:rPr>
                <w:lang w:eastAsia="en-NZ"/>
              </w:rPr>
              <w:t>4.5: Implementation of Individual Service Plan</w:t>
            </w:r>
          </w:p>
        </w:tc>
      </w:tr>
    </w:tbl>
    <w:p w:rsidR="0024502D" w:rsidRDefault="0024502D" w:rsidP="006A08E6">
      <w:pPr>
        <w:pStyle w:val="Heading3"/>
      </w:pPr>
      <w:bookmarkStart w:id="19" w:name="_Toc19179535"/>
      <w:r>
        <w:t>No match</w:t>
      </w:r>
      <w:bookmarkEnd w:id="19"/>
    </w:p>
    <w:p w:rsidR="00347A64" w:rsidRDefault="00347A64" w:rsidP="00595FD6">
      <w:r w:rsidRPr="00347A64">
        <w:t xml:space="preserve">There are 22 outcome statements that </w:t>
      </w:r>
      <w:r>
        <w:t>do not easily match</w:t>
      </w:r>
      <w:r w:rsidR="00D57F91">
        <w:t xml:space="preserve"> across the standards</w:t>
      </w:r>
      <w:r>
        <w:t>. This is the most significant variance seen so far as shown in Table 8</w:t>
      </w:r>
      <w:r w:rsidR="00F646DD">
        <w:t xml:space="preserve"> and when reviewing the</w:t>
      </w:r>
      <w:r>
        <w:t xml:space="preserve"> </w:t>
      </w:r>
      <w:r w:rsidR="00F646DD">
        <w:t xml:space="preserve">outcome statements highlight </w:t>
      </w:r>
      <w:r>
        <w:t xml:space="preserve">differences </w:t>
      </w:r>
      <w:r w:rsidR="00F646DD">
        <w:t xml:space="preserve">between the different </w:t>
      </w:r>
      <w:r>
        <w:t>service type</w:t>
      </w:r>
      <w:r w:rsidR="00F646DD">
        <w:t>s.</w:t>
      </w:r>
    </w:p>
    <w:p w:rsidR="0024502D"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8</w:t>
      </w:r>
      <w:r w:rsidR="002B15E1">
        <w:rPr>
          <w:noProof/>
        </w:rPr>
        <w:fldChar w:fldCharType="end"/>
      </w:r>
      <w:r w:rsidRPr="005A62EE">
        <w:t>:</w:t>
      </w:r>
      <w:r w:rsidR="0024502D">
        <w:t xml:space="preserve"> </w:t>
      </w:r>
      <w:r w:rsidR="00347A64">
        <w:t>Continuum of service delivery</w:t>
      </w:r>
      <w:r w:rsidR="00347A64" w:rsidRPr="00347A64">
        <w:t xml:space="preserve"> –</w:t>
      </w:r>
      <w:r w:rsidR="00347A64">
        <w:t xml:space="preserve"> </w:t>
      </w:r>
      <w:r w:rsidR="0024502D" w:rsidRPr="00347A64">
        <w:t>no match</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42"/>
        <w:gridCol w:w="7603"/>
      </w:tblGrid>
      <w:tr w:rsidR="0024502D" w:rsidRPr="006A08E6" w:rsidTr="006A08E6">
        <w:trPr>
          <w:tblHeader/>
        </w:trPr>
        <w:tc>
          <w:tcPr>
            <w:tcW w:w="1083" w:type="dxa"/>
            <w:tcBorders>
              <w:top w:val="nil"/>
              <w:bottom w:val="nil"/>
            </w:tcBorders>
            <w:shd w:val="clear" w:color="auto" w:fill="F2F2F2" w:themeFill="background1" w:themeFillShade="F2"/>
          </w:tcPr>
          <w:p w:rsidR="0024502D" w:rsidRPr="006A08E6" w:rsidRDefault="0024502D" w:rsidP="006A08E6">
            <w:pPr>
              <w:pStyle w:val="TableText"/>
              <w:rPr>
                <w:b/>
                <w:lang w:eastAsia="en-NZ"/>
              </w:rPr>
            </w:pPr>
            <w:r w:rsidRPr="006A08E6">
              <w:rPr>
                <w:b/>
                <w:lang w:eastAsia="en-NZ"/>
              </w:rPr>
              <w:t>Standard</w:t>
            </w:r>
          </w:p>
        </w:tc>
        <w:tc>
          <w:tcPr>
            <w:tcW w:w="7603" w:type="dxa"/>
            <w:tcBorders>
              <w:top w:val="nil"/>
              <w:bottom w:val="nil"/>
            </w:tcBorders>
            <w:shd w:val="clear" w:color="auto" w:fill="F2F2F2" w:themeFill="background1" w:themeFillShade="F2"/>
          </w:tcPr>
          <w:p w:rsidR="0024502D" w:rsidRPr="006A08E6" w:rsidRDefault="0024502D" w:rsidP="006A08E6">
            <w:pPr>
              <w:pStyle w:val="TableText"/>
              <w:rPr>
                <w:b/>
                <w:lang w:eastAsia="en-NZ"/>
              </w:rPr>
            </w:pPr>
            <w:r w:rsidRPr="006A08E6">
              <w:rPr>
                <w:b/>
                <w:lang w:eastAsia="en-NZ"/>
              </w:rPr>
              <w:t>No match – standard outcome statements</w:t>
            </w:r>
          </w:p>
        </w:tc>
      </w:tr>
      <w:tr w:rsidR="00540BC4" w:rsidRPr="00AB20C1" w:rsidTr="006A08E6">
        <w:tc>
          <w:tcPr>
            <w:tcW w:w="1083" w:type="dxa"/>
            <w:tcBorders>
              <w:top w:val="nil"/>
            </w:tcBorders>
          </w:tcPr>
          <w:p w:rsidR="00540BC4" w:rsidRPr="00540BC4" w:rsidRDefault="00540BC4" w:rsidP="006A08E6">
            <w:pPr>
              <w:pStyle w:val="TableText"/>
              <w:rPr>
                <w:lang w:eastAsia="en-NZ"/>
              </w:rPr>
            </w:pPr>
            <w:r w:rsidRPr="00540BC4">
              <w:rPr>
                <w:lang w:eastAsia="en-NZ"/>
              </w:rPr>
              <w:t xml:space="preserve">HDSS </w:t>
            </w:r>
          </w:p>
        </w:tc>
        <w:tc>
          <w:tcPr>
            <w:tcW w:w="7603" w:type="dxa"/>
            <w:tcBorders>
              <w:top w:val="nil"/>
            </w:tcBorders>
          </w:tcPr>
          <w:p w:rsidR="00540BC4" w:rsidRPr="00D515C3" w:rsidRDefault="00540BC4" w:rsidP="006A08E6">
            <w:pPr>
              <w:pStyle w:val="TableText"/>
              <w:rPr>
                <w:lang w:eastAsia="en-NZ"/>
              </w:rPr>
            </w:pPr>
            <w:r w:rsidRPr="00D515C3">
              <w:rPr>
                <w:lang w:eastAsia="en-NZ"/>
              </w:rPr>
              <w:t xml:space="preserve">1.3.2: Declining Referral/Entry </w:t>
            </w:r>
            <w:r w:rsidR="00D515C3" w:rsidRPr="00D515C3">
              <w:rPr>
                <w:lang w:eastAsia="en-NZ"/>
              </w:rPr>
              <w:t>to</w:t>
            </w:r>
            <w:r w:rsidRPr="00D515C3">
              <w:rPr>
                <w:lang w:eastAsia="en-NZ"/>
              </w:rPr>
              <w:t xml:space="preserve"> Services </w:t>
            </w:r>
          </w:p>
          <w:p w:rsidR="00540BC4" w:rsidRPr="00D515C3" w:rsidRDefault="00540BC4" w:rsidP="006A08E6">
            <w:pPr>
              <w:pStyle w:val="TableBullet"/>
              <w:ind w:left="644" w:hanging="283"/>
            </w:pPr>
            <w:r w:rsidRPr="00D515C3">
              <w:t>FSS</w:t>
            </w:r>
            <w:r w:rsidR="00D515C3">
              <w:t xml:space="preserve"> 3.2: Declining Entry to Services</w:t>
            </w:r>
          </w:p>
          <w:p w:rsidR="00540BC4" w:rsidRPr="00D515C3" w:rsidRDefault="00540BC4" w:rsidP="006A08E6">
            <w:pPr>
              <w:pStyle w:val="TableText"/>
              <w:rPr>
                <w:lang w:eastAsia="en-NZ"/>
              </w:rPr>
            </w:pPr>
            <w:r w:rsidRPr="00D515C3">
              <w:rPr>
                <w:lang w:eastAsia="en-NZ"/>
              </w:rPr>
              <w:t>1.3.3: Service Provision Requirements</w:t>
            </w:r>
          </w:p>
          <w:p w:rsidR="00540BC4" w:rsidRPr="00D515C3" w:rsidRDefault="00540BC4" w:rsidP="006A08E6">
            <w:pPr>
              <w:pStyle w:val="TableText"/>
              <w:rPr>
                <w:lang w:eastAsia="en-NZ"/>
              </w:rPr>
            </w:pPr>
            <w:r w:rsidRPr="00D515C3">
              <w:rPr>
                <w:lang w:eastAsia="en-NZ"/>
              </w:rPr>
              <w:t xml:space="preserve">1.3.4: Assessment  </w:t>
            </w:r>
          </w:p>
          <w:p w:rsidR="00540BC4" w:rsidRPr="00D515C3" w:rsidRDefault="00540BC4" w:rsidP="006A08E6">
            <w:pPr>
              <w:pStyle w:val="TableBullet"/>
              <w:ind w:left="644" w:hanging="283"/>
            </w:pPr>
            <w:r w:rsidRPr="00D515C3">
              <w:t>HCSS 4.1</w:t>
            </w:r>
            <w:r w:rsidR="00D515C3" w:rsidRPr="00D515C3">
              <w:t xml:space="preserve"> Service Agreement</w:t>
            </w:r>
          </w:p>
          <w:p w:rsidR="00540BC4" w:rsidRPr="00D515C3" w:rsidRDefault="00540BC4" w:rsidP="006A08E6">
            <w:pPr>
              <w:pStyle w:val="TableText"/>
              <w:rPr>
                <w:lang w:eastAsia="en-NZ"/>
              </w:rPr>
            </w:pPr>
            <w:r w:rsidRPr="00D515C3">
              <w:rPr>
                <w:lang w:eastAsia="en-NZ"/>
              </w:rPr>
              <w:t>1.3.5: Planning</w:t>
            </w:r>
          </w:p>
          <w:p w:rsidR="00540BC4" w:rsidRPr="00D515C3" w:rsidRDefault="00540BC4" w:rsidP="006A08E6">
            <w:pPr>
              <w:pStyle w:val="TableBullet"/>
              <w:ind w:left="644" w:hanging="283"/>
            </w:pPr>
            <w:r w:rsidRPr="00D515C3">
              <w:t>HCSS 4.4: Service Delivery Planning</w:t>
            </w:r>
          </w:p>
          <w:p w:rsidR="00540BC4" w:rsidRPr="00D515C3" w:rsidRDefault="00540BC4" w:rsidP="006A08E6">
            <w:pPr>
              <w:pStyle w:val="TableText"/>
              <w:rPr>
                <w:lang w:eastAsia="en-NZ"/>
              </w:rPr>
            </w:pPr>
            <w:r w:rsidRPr="00D515C3">
              <w:rPr>
                <w:lang w:eastAsia="en-NZ"/>
              </w:rPr>
              <w:t>1.3.7: Planned Activities</w:t>
            </w:r>
          </w:p>
          <w:p w:rsidR="00540BC4" w:rsidRPr="00D515C3" w:rsidRDefault="00540BC4" w:rsidP="006A08E6">
            <w:pPr>
              <w:pStyle w:val="TableText"/>
              <w:rPr>
                <w:lang w:eastAsia="en-NZ"/>
              </w:rPr>
            </w:pPr>
            <w:r w:rsidRPr="00D515C3">
              <w:rPr>
                <w:lang w:eastAsia="en-NZ"/>
              </w:rPr>
              <w:t xml:space="preserve">1.3.9: Referral </w:t>
            </w:r>
            <w:r w:rsidR="00DF5A28" w:rsidRPr="00D515C3">
              <w:rPr>
                <w:lang w:eastAsia="en-NZ"/>
              </w:rPr>
              <w:t>to</w:t>
            </w:r>
            <w:r w:rsidRPr="00D515C3">
              <w:rPr>
                <w:lang w:eastAsia="en-NZ"/>
              </w:rPr>
              <w:t xml:space="preserve"> Other Health </w:t>
            </w:r>
            <w:r w:rsidR="00DF5A28" w:rsidRPr="00D515C3">
              <w:rPr>
                <w:lang w:eastAsia="en-NZ"/>
              </w:rPr>
              <w:t>and</w:t>
            </w:r>
            <w:r w:rsidRPr="00D515C3">
              <w:rPr>
                <w:lang w:eastAsia="en-NZ"/>
              </w:rPr>
              <w:t xml:space="preserve"> Disability Services (Internal </w:t>
            </w:r>
            <w:r w:rsidR="00DF5A28" w:rsidRPr="00D515C3">
              <w:rPr>
                <w:lang w:eastAsia="en-NZ"/>
              </w:rPr>
              <w:t>and</w:t>
            </w:r>
            <w:r w:rsidRPr="00D515C3">
              <w:rPr>
                <w:lang w:eastAsia="en-NZ"/>
              </w:rPr>
              <w:t xml:space="preserve"> External) </w:t>
            </w:r>
          </w:p>
          <w:p w:rsidR="00D515C3" w:rsidRDefault="00D515C3" w:rsidP="006A08E6">
            <w:pPr>
              <w:pStyle w:val="TableText"/>
              <w:rPr>
                <w:lang w:eastAsia="en-NZ"/>
              </w:rPr>
            </w:pPr>
            <w:r w:rsidRPr="00D515C3">
              <w:rPr>
                <w:lang w:eastAsia="en-NZ"/>
              </w:rPr>
              <w:t xml:space="preserve">1.3.11: Use </w:t>
            </w:r>
            <w:r w:rsidR="00DF5A28" w:rsidRPr="00D515C3">
              <w:rPr>
                <w:lang w:eastAsia="en-NZ"/>
              </w:rPr>
              <w:t>of</w:t>
            </w:r>
            <w:r w:rsidRPr="00D515C3">
              <w:rPr>
                <w:lang w:eastAsia="en-NZ"/>
              </w:rPr>
              <w:t xml:space="preserve"> Electroconvulsive Therapy </w:t>
            </w:r>
          </w:p>
          <w:p w:rsidR="00D515C3" w:rsidRPr="00D515C3" w:rsidRDefault="00D515C3" w:rsidP="006A08E6">
            <w:pPr>
              <w:pStyle w:val="TableText"/>
              <w:rPr>
                <w:lang w:eastAsia="en-NZ"/>
              </w:rPr>
            </w:pPr>
            <w:r w:rsidRPr="00D515C3">
              <w:rPr>
                <w:lang w:eastAsia="en-NZ"/>
              </w:rPr>
              <w:t xml:space="preserve">1.3.13: Nutrition, Safe Food, And Fluid Management </w:t>
            </w:r>
          </w:p>
          <w:p w:rsidR="00D515C3" w:rsidRPr="00D515C3" w:rsidRDefault="00D515C3" w:rsidP="006A08E6">
            <w:pPr>
              <w:pStyle w:val="TableBullet"/>
              <w:ind w:left="644" w:hanging="283"/>
              <w:rPr>
                <w:rFonts w:eastAsiaTheme="majorEastAsia"/>
                <w:sz w:val="20"/>
                <w:szCs w:val="20"/>
                <w:lang w:eastAsia="en-NZ"/>
              </w:rPr>
            </w:pPr>
            <w:r w:rsidRPr="00D515C3">
              <w:t>HCSS: 4.9: Nutrition and Safe Food Management</w:t>
            </w:r>
          </w:p>
        </w:tc>
      </w:tr>
      <w:tr w:rsidR="00540BC4" w:rsidRPr="00AB20C1" w:rsidTr="006A08E6">
        <w:tc>
          <w:tcPr>
            <w:tcW w:w="1083" w:type="dxa"/>
          </w:tcPr>
          <w:p w:rsidR="00540BC4" w:rsidRPr="00540BC4" w:rsidRDefault="00540BC4" w:rsidP="006A08E6">
            <w:pPr>
              <w:pStyle w:val="TableText"/>
              <w:rPr>
                <w:lang w:eastAsia="en-NZ"/>
              </w:rPr>
            </w:pPr>
            <w:r w:rsidRPr="00540BC4">
              <w:rPr>
                <w:lang w:eastAsia="en-NZ"/>
              </w:rPr>
              <w:t>FSS</w:t>
            </w:r>
          </w:p>
        </w:tc>
        <w:tc>
          <w:tcPr>
            <w:tcW w:w="7603" w:type="dxa"/>
          </w:tcPr>
          <w:p w:rsidR="00540BC4" w:rsidRPr="00D515C3" w:rsidRDefault="00540BC4" w:rsidP="006A08E6">
            <w:pPr>
              <w:pStyle w:val="TableText"/>
              <w:rPr>
                <w:lang w:eastAsia="en-NZ"/>
              </w:rPr>
            </w:pPr>
            <w:r w:rsidRPr="00D515C3">
              <w:rPr>
                <w:lang w:eastAsia="en-NZ"/>
              </w:rPr>
              <w:t>3.2: Declining Entry to Services</w:t>
            </w:r>
          </w:p>
          <w:p w:rsidR="00540BC4" w:rsidRPr="00CA0E67" w:rsidRDefault="00540BC4" w:rsidP="006A08E6">
            <w:pPr>
              <w:pStyle w:val="TableBullet"/>
              <w:ind w:left="644" w:hanging="283"/>
            </w:pPr>
            <w:r w:rsidRPr="00CA0E67">
              <w:t>HDSS</w:t>
            </w:r>
            <w:r w:rsidR="00CA0E67" w:rsidRPr="00CA0E67">
              <w:t xml:space="preserve"> 1.3.2: Declining Referral/Entry to Services </w:t>
            </w:r>
          </w:p>
          <w:p w:rsidR="00D515C3" w:rsidRPr="00D515C3" w:rsidRDefault="00D515C3" w:rsidP="006A08E6">
            <w:pPr>
              <w:pStyle w:val="TableText"/>
              <w:rPr>
                <w:lang w:eastAsia="en-NZ"/>
              </w:rPr>
            </w:pPr>
            <w:r w:rsidRPr="00D515C3">
              <w:rPr>
                <w:lang w:eastAsia="en-NZ"/>
              </w:rPr>
              <w:t>3.3: Donated Gametes and Embryos are Safe and Fit for Purpose</w:t>
            </w:r>
          </w:p>
          <w:p w:rsidR="00D515C3" w:rsidRPr="00D515C3" w:rsidRDefault="00D515C3" w:rsidP="006A08E6">
            <w:pPr>
              <w:pStyle w:val="TableText"/>
              <w:rPr>
                <w:lang w:eastAsia="en-NZ"/>
              </w:rPr>
            </w:pPr>
            <w:r w:rsidRPr="00D515C3">
              <w:rPr>
                <w:lang w:eastAsia="en-NZ"/>
              </w:rPr>
              <w:t>3.4: Identification processes</w:t>
            </w:r>
          </w:p>
          <w:p w:rsidR="00D515C3" w:rsidRPr="00D515C3" w:rsidRDefault="00D515C3" w:rsidP="006A08E6">
            <w:pPr>
              <w:pStyle w:val="TableText"/>
              <w:rPr>
                <w:lang w:eastAsia="en-NZ"/>
              </w:rPr>
            </w:pPr>
            <w:r w:rsidRPr="00D515C3">
              <w:rPr>
                <w:lang w:eastAsia="en-NZ"/>
              </w:rPr>
              <w:t>3.6: Safety of ART Treatment</w:t>
            </w:r>
          </w:p>
          <w:p w:rsidR="00D515C3" w:rsidRPr="00D515C3" w:rsidRDefault="00D515C3" w:rsidP="006A08E6">
            <w:pPr>
              <w:pStyle w:val="TableText"/>
              <w:rPr>
                <w:lang w:eastAsia="en-NZ"/>
              </w:rPr>
            </w:pPr>
            <w:r w:rsidRPr="00D515C3">
              <w:rPr>
                <w:lang w:eastAsia="en-NZ"/>
              </w:rPr>
              <w:t>3.7: Day-stay Procedures</w:t>
            </w:r>
          </w:p>
          <w:p w:rsidR="00D515C3" w:rsidRPr="00D515C3" w:rsidRDefault="00D515C3" w:rsidP="006A08E6">
            <w:pPr>
              <w:pStyle w:val="TableText"/>
              <w:rPr>
                <w:lang w:eastAsia="en-NZ"/>
              </w:rPr>
            </w:pPr>
            <w:r w:rsidRPr="00D515C3">
              <w:rPr>
                <w:lang w:eastAsia="en-NZ"/>
              </w:rPr>
              <w:t>3.10: Evaluation</w:t>
            </w:r>
            <w:r w:rsidR="00CA0E67">
              <w:rPr>
                <w:lang w:eastAsia="en-NZ"/>
              </w:rPr>
              <w:t xml:space="preserve"> </w:t>
            </w:r>
            <w:r w:rsidR="00CA0E67" w:rsidRPr="00CA0E67">
              <w:rPr>
                <w:lang w:eastAsia="en-NZ"/>
              </w:rPr>
              <w:t>[</w:t>
            </w:r>
            <w:r w:rsidRPr="00CA0E67">
              <w:rPr>
                <w:lang w:eastAsia="en-NZ"/>
              </w:rPr>
              <w:t>Future consumers benefit from the review and</w:t>
            </w:r>
            <w:r w:rsidR="00CA0E67">
              <w:rPr>
                <w:lang w:eastAsia="en-NZ"/>
              </w:rPr>
              <w:t xml:space="preserve"> evaluation of service delivery]</w:t>
            </w:r>
          </w:p>
        </w:tc>
      </w:tr>
      <w:tr w:rsidR="00540BC4" w:rsidRPr="00AB20C1" w:rsidTr="006A08E6">
        <w:tc>
          <w:tcPr>
            <w:tcW w:w="1083" w:type="dxa"/>
          </w:tcPr>
          <w:p w:rsidR="00540BC4" w:rsidRPr="00540BC4" w:rsidRDefault="00540BC4" w:rsidP="006A08E6">
            <w:pPr>
              <w:pStyle w:val="TableText"/>
              <w:rPr>
                <w:lang w:eastAsia="en-NZ"/>
              </w:rPr>
            </w:pPr>
            <w:r w:rsidRPr="00540BC4">
              <w:rPr>
                <w:lang w:eastAsia="en-NZ"/>
              </w:rPr>
              <w:t>HCSS</w:t>
            </w:r>
          </w:p>
        </w:tc>
        <w:tc>
          <w:tcPr>
            <w:tcW w:w="7603" w:type="dxa"/>
          </w:tcPr>
          <w:p w:rsidR="00540BC4" w:rsidRPr="00D515C3" w:rsidRDefault="00540BC4" w:rsidP="006A08E6">
            <w:pPr>
              <w:pStyle w:val="TableText"/>
              <w:rPr>
                <w:lang w:eastAsia="en-NZ"/>
              </w:rPr>
            </w:pPr>
            <w:r w:rsidRPr="00D515C3">
              <w:rPr>
                <w:lang w:eastAsia="en-NZ"/>
              </w:rPr>
              <w:t>4.1: Service Agreement</w:t>
            </w:r>
          </w:p>
          <w:p w:rsidR="00540BC4" w:rsidRPr="005C5C59" w:rsidRDefault="00540BC4" w:rsidP="006A08E6">
            <w:pPr>
              <w:pStyle w:val="TableBullet"/>
              <w:ind w:left="644" w:hanging="283"/>
            </w:pPr>
            <w:r w:rsidRPr="005C5C59">
              <w:t>HDSS 1.3.4</w:t>
            </w:r>
            <w:r w:rsidR="005C5C59" w:rsidRPr="005C5C59">
              <w:t xml:space="preserve"> Assessment</w:t>
            </w:r>
          </w:p>
          <w:p w:rsidR="00E33215" w:rsidRPr="00D515C3" w:rsidRDefault="00E33215" w:rsidP="006A08E6">
            <w:pPr>
              <w:pStyle w:val="TableText"/>
              <w:rPr>
                <w:lang w:eastAsia="en-NZ"/>
              </w:rPr>
            </w:pPr>
            <w:r w:rsidRPr="00D515C3">
              <w:rPr>
                <w:lang w:eastAsia="en-NZ"/>
              </w:rPr>
              <w:t>4.2: Promoting and Supporting Independence</w:t>
            </w:r>
          </w:p>
          <w:p w:rsidR="00E33215" w:rsidRPr="00D515C3" w:rsidRDefault="00E33215" w:rsidP="006A08E6">
            <w:pPr>
              <w:pStyle w:val="TableText"/>
              <w:rPr>
                <w:lang w:eastAsia="en-NZ"/>
              </w:rPr>
            </w:pPr>
            <w:r w:rsidRPr="00D515C3">
              <w:rPr>
                <w:lang w:eastAsia="en-NZ"/>
              </w:rPr>
              <w:t>4.3: Links with Other Groups</w:t>
            </w:r>
          </w:p>
          <w:p w:rsidR="00540BC4" w:rsidRPr="00D515C3" w:rsidRDefault="00540BC4" w:rsidP="006A08E6">
            <w:pPr>
              <w:pStyle w:val="TableText"/>
              <w:rPr>
                <w:lang w:eastAsia="en-NZ"/>
              </w:rPr>
            </w:pPr>
            <w:r w:rsidRPr="00D515C3">
              <w:rPr>
                <w:lang w:eastAsia="en-NZ"/>
              </w:rPr>
              <w:t>4.4: Service Delivery Planning</w:t>
            </w:r>
          </w:p>
          <w:p w:rsidR="00540BC4" w:rsidRPr="005C5C59" w:rsidRDefault="00540BC4" w:rsidP="006A08E6">
            <w:pPr>
              <w:pStyle w:val="TableBullet"/>
              <w:ind w:left="644" w:hanging="283"/>
            </w:pPr>
            <w:r w:rsidRPr="005C5C59">
              <w:t>HDSS</w:t>
            </w:r>
            <w:r w:rsidR="005C5C59" w:rsidRPr="005C5C59">
              <w:t xml:space="preserve"> 1.3.5 Planning</w:t>
            </w:r>
          </w:p>
          <w:p w:rsidR="00E33215" w:rsidRDefault="00E33215" w:rsidP="006A08E6">
            <w:pPr>
              <w:pStyle w:val="TableText"/>
              <w:rPr>
                <w:lang w:eastAsia="en-NZ"/>
              </w:rPr>
            </w:pPr>
            <w:r w:rsidRPr="00D515C3">
              <w:rPr>
                <w:lang w:eastAsia="en-NZ"/>
              </w:rPr>
              <w:t>4.8: Equipment, Aids and Enablers</w:t>
            </w:r>
          </w:p>
          <w:p w:rsidR="00540BC4" w:rsidRPr="00D515C3" w:rsidRDefault="00D515C3" w:rsidP="006A08E6">
            <w:pPr>
              <w:pStyle w:val="TableText"/>
              <w:rPr>
                <w:lang w:eastAsia="en-NZ"/>
              </w:rPr>
            </w:pPr>
            <w:r w:rsidRPr="00D515C3">
              <w:rPr>
                <w:lang w:eastAsia="en-NZ"/>
              </w:rPr>
              <w:t>4.9: Nutrition and Safe Food Management</w:t>
            </w:r>
          </w:p>
          <w:p w:rsidR="005C5C59" w:rsidRPr="00067246" w:rsidRDefault="00D515C3" w:rsidP="006A08E6">
            <w:pPr>
              <w:pStyle w:val="TableBullet"/>
              <w:ind w:left="644" w:hanging="283"/>
            </w:pPr>
            <w:r w:rsidRPr="00067246">
              <w:t>HDSS</w:t>
            </w:r>
            <w:r w:rsidR="005C5C59" w:rsidRPr="00067246">
              <w:t xml:space="preserve"> 1.3.13: Nutrition, Safe Food, And Fluid Management </w:t>
            </w:r>
          </w:p>
          <w:p w:rsidR="00D515C3" w:rsidRPr="00D515C3" w:rsidRDefault="00D515C3" w:rsidP="006A08E6">
            <w:pPr>
              <w:pStyle w:val="TableText"/>
              <w:rPr>
                <w:lang w:eastAsia="en-NZ"/>
              </w:rPr>
            </w:pPr>
            <w:r w:rsidRPr="00D515C3">
              <w:rPr>
                <w:lang w:eastAsia="en-NZ"/>
              </w:rPr>
              <w:t>4.10: Skin Integrity</w:t>
            </w:r>
          </w:p>
          <w:p w:rsidR="00D515C3" w:rsidRPr="00D515C3" w:rsidRDefault="00D515C3" w:rsidP="006A08E6">
            <w:pPr>
              <w:pStyle w:val="TableText"/>
              <w:rPr>
                <w:lang w:eastAsia="en-NZ"/>
              </w:rPr>
            </w:pPr>
            <w:r w:rsidRPr="00D515C3">
              <w:rPr>
                <w:lang w:eastAsia="en-NZ"/>
              </w:rPr>
              <w:t>4.12: Challenging Behaviours</w:t>
            </w:r>
          </w:p>
        </w:tc>
      </w:tr>
    </w:tbl>
    <w:p w:rsidR="00842317" w:rsidRDefault="00842317" w:rsidP="00595FD6">
      <w:pPr>
        <w:pStyle w:val="Heading2"/>
      </w:pPr>
      <w:bookmarkStart w:id="20" w:name="_Toc19179536"/>
      <w:r w:rsidRPr="003025BD">
        <w:t xml:space="preserve">Part </w:t>
      </w:r>
      <w:r>
        <w:t>4</w:t>
      </w:r>
      <w:r w:rsidRPr="003025BD">
        <w:t xml:space="preserve">: </w:t>
      </w:r>
      <w:r>
        <w:t>Safe and appropriate environment</w:t>
      </w:r>
      <w:bookmarkEnd w:id="20"/>
    </w:p>
    <w:p w:rsidR="00842317" w:rsidRDefault="009609E1" w:rsidP="006A08E6">
      <w:r>
        <w:t>This part of the HDSS and FSS pertains to the environment that health services are being delivered from. There is no equivalent part within the HCSS.</w:t>
      </w:r>
    </w:p>
    <w:p w:rsidR="00842317" w:rsidRPr="00DF1AED" w:rsidRDefault="00842317" w:rsidP="006A08E6">
      <w:pPr>
        <w:pStyle w:val="Heading3"/>
        <w:rPr>
          <w:rFonts w:cstheme="minorBidi"/>
        </w:rPr>
      </w:pPr>
      <w:bookmarkStart w:id="21" w:name="_Toc19179537"/>
      <w:r>
        <w:t>Exact match</w:t>
      </w:r>
      <w:bookmarkEnd w:id="21"/>
    </w:p>
    <w:p w:rsidR="00842317" w:rsidRDefault="009609E1" w:rsidP="00595FD6">
      <w:r w:rsidRPr="009609E1">
        <w:t xml:space="preserve">One outcome statement is a match within this part of the standards. This relates to essential and emergency services. </w:t>
      </w:r>
    </w:p>
    <w:p w:rsidR="00842317" w:rsidRPr="00C97685"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9</w:t>
      </w:r>
      <w:r w:rsidR="002B15E1">
        <w:rPr>
          <w:noProof/>
        </w:rPr>
        <w:fldChar w:fldCharType="end"/>
      </w:r>
      <w:r w:rsidRPr="005A62EE">
        <w:t>:</w:t>
      </w:r>
      <w:r>
        <w:t xml:space="preserve"> </w:t>
      </w:r>
      <w:r w:rsidR="00842317">
        <w:t>Safe and appropriate environment – exact match</w:t>
      </w:r>
    </w:p>
    <w:tbl>
      <w:tblPr>
        <w:tblStyle w:val="TableGrid"/>
        <w:tblW w:w="9210"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114"/>
        <w:gridCol w:w="2977"/>
        <w:gridCol w:w="3119"/>
      </w:tblGrid>
      <w:tr w:rsidR="00842317" w:rsidRPr="00E558F3" w:rsidTr="006A08E6">
        <w:tc>
          <w:tcPr>
            <w:tcW w:w="3114" w:type="dxa"/>
            <w:shd w:val="clear" w:color="auto" w:fill="F2F2F2" w:themeFill="background1" w:themeFillShade="F2"/>
          </w:tcPr>
          <w:p w:rsidR="00842317" w:rsidRPr="006A08E6" w:rsidRDefault="00842317" w:rsidP="006A08E6">
            <w:pPr>
              <w:pStyle w:val="TableText"/>
              <w:rPr>
                <w:b/>
                <w:lang w:eastAsia="en-NZ"/>
              </w:rPr>
            </w:pPr>
            <w:r w:rsidRPr="006A08E6">
              <w:rPr>
                <w:b/>
                <w:lang w:eastAsia="en-NZ"/>
              </w:rPr>
              <w:t xml:space="preserve">Health and Disability Services Standards </w:t>
            </w:r>
          </w:p>
        </w:tc>
        <w:tc>
          <w:tcPr>
            <w:tcW w:w="2977" w:type="dxa"/>
            <w:shd w:val="clear" w:color="auto" w:fill="F2F2F2" w:themeFill="background1" w:themeFillShade="F2"/>
          </w:tcPr>
          <w:p w:rsidR="00842317" w:rsidRPr="006A08E6" w:rsidRDefault="00842317" w:rsidP="006A08E6">
            <w:pPr>
              <w:pStyle w:val="TableText"/>
              <w:rPr>
                <w:b/>
                <w:lang w:eastAsia="en-NZ"/>
              </w:rPr>
            </w:pPr>
            <w:r w:rsidRPr="006A08E6">
              <w:rPr>
                <w:b/>
                <w:lang w:eastAsia="en-NZ"/>
              </w:rPr>
              <w:t xml:space="preserve">Fertility Services Standard </w:t>
            </w:r>
          </w:p>
        </w:tc>
        <w:tc>
          <w:tcPr>
            <w:tcW w:w="3119" w:type="dxa"/>
            <w:shd w:val="clear" w:color="auto" w:fill="F2F2F2" w:themeFill="background1" w:themeFillShade="F2"/>
          </w:tcPr>
          <w:p w:rsidR="00842317" w:rsidRPr="006A08E6" w:rsidRDefault="00842317" w:rsidP="006A08E6">
            <w:pPr>
              <w:pStyle w:val="TableText"/>
              <w:rPr>
                <w:b/>
                <w:lang w:eastAsia="en-NZ"/>
              </w:rPr>
            </w:pPr>
            <w:r w:rsidRPr="006A08E6">
              <w:rPr>
                <w:b/>
                <w:lang w:eastAsia="en-NZ"/>
              </w:rPr>
              <w:t xml:space="preserve">Home and community support sector Standard </w:t>
            </w:r>
          </w:p>
        </w:tc>
      </w:tr>
      <w:tr w:rsidR="00842317" w:rsidRPr="00540BC4" w:rsidTr="006A08E6">
        <w:tc>
          <w:tcPr>
            <w:tcW w:w="3114" w:type="dxa"/>
          </w:tcPr>
          <w:p w:rsidR="00842317" w:rsidRPr="00540BC4" w:rsidRDefault="00842317" w:rsidP="006A08E6">
            <w:pPr>
              <w:pStyle w:val="TableText"/>
              <w:rPr>
                <w:lang w:eastAsia="en-NZ"/>
              </w:rPr>
            </w:pPr>
            <w:r w:rsidRPr="001704D4">
              <w:rPr>
                <w:lang w:eastAsia="en-NZ"/>
              </w:rPr>
              <w:t>1.4.7: Essential, Emergency, And Security Systems</w:t>
            </w:r>
          </w:p>
        </w:tc>
        <w:tc>
          <w:tcPr>
            <w:tcW w:w="2977" w:type="dxa"/>
          </w:tcPr>
          <w:p w:rsidR="00842317" w:rsidRPr="00540BC4" w:rsidRDefault="00842317" w:rsidP="006A08E6">
            <w:pPr>
              <w:pStyle w:val="TableText"/>
              <w:rPr>
                <w:lang w:eastAsia="en-NZ"/>
              </w:rPr>
            </w:pPr>
            <w:r w:rsidRPr="001704D4">
              <w:rPr>
                <w:lang w:eastAsia="en-NZ"/>
              </w:rPr>
              <w:t>4.6: Essential, Emergency and Security Systems</w:t>
            </w:r>
          </w:p>
        </w:tc>
        <w:tc>
          <w:tcPr>
            <w:tcW w:w="3119" w:type="dxa"/>
          </w:tcPr>
          <w:p w:rsidR="00842317" w:rsidRPr="00756EA4" w:rsidRDefault="00842317" w:rsidP="006A08E6">
            <w:pPr>
              <w:pStyle w:val="TableText"/>
              <w:rPr>
                <w:lang w:eastAsia="en-NZ"/>
              </w:rPr>
            </w:pPr>
            <w:r w:rsidRPr="001704D4">
              <w:rPr>
                <w:lang w:eastAsia="en-NZ"/>
              </w:rPr>
              <w:t>2.7: Essential and Emergency Systems</w:t>
            </w:r>
          </w:p>
        </w:tc>
      </w:tr>
    </w:tbl>
    <w:p w:rsidR="00842317" w:rsidRDefault="00842317" w:rsidP="006A08E6">
      <w:pPr>
        <w:pStyle w:val="Heading3"/>
      </w:pPr>
      <w:bookmarkStart w:id="22" w:name="_Toc19179538"/>
      <w:r>
        <w:t>Partial match</w:t>
      </w:r>
      <w:bookmarkEnd w:id="22"/>
    </w:p>
    <w:p w:rsidR="00842317" w:rsidRPr="00756EA4" w:rsidRDefault="009609E1" w:rsidP="00595FD6">
      <w:pPr>
        <w:rPr>
          <w:highlight w:val="yellow"/>
        </w:rPr>
      </w:pPr>
      <w:r w:rsidRPr="009609E1">
        <w:t>There are no partially matched outcome statements across the standards.</w:t>
      </w:r>
      <w:r w:rsidR="00842317" w:rsidRPr="00756EA4">
        <w:rPr>
          <w:highlight w:val="yellow"/>
        </w:rPr>
        <w:t xml:space="preserve"> </w:t>
      </w:r>
    </w:p>
    <w:p w:rsidR="00842317" w:rsidRDefault="00842317" w:rsidP="006A08E6">
      <w:pPr>
        <w:pStyle w:val="Heading3"/>
      </w:pPr>
      <w:bookmarkStart w:id="23" w:name="_Toc19179539"/>
      <w:r>
        <w:t>No match</w:t>
      </w:r>
      <w:bookmarkEnd w:id="23"/>
    </w:p>
    <w:p w:rsidR="009D7AD5" w:rsidRPr="00D57F91" w:rsidRDefault="00D57F91" w:rsidP="00595FD6">
      <w:r w:rsidRPr="00D57F91">
        <w:t xml:space="preserve">There are </w:t>
      </w:r>
      <w:r w:rsidR="009D7AD5" w:rsidRPr="00D57F91">
        <w:t>13</w:t>
      </w:r>
      <w:r w:rsidRPr="00D57F91">
        <w:t xml:space="preserve"> outcome statements that could not be matched across the standards. This is of no surprise as HCSS services are provided in an individual’s home. There are four outcome statements that match across HDSS and FSS (management of waste, facility specifications, cleaning and laundry and natural light.</w:t>
      </w:r>
    </w:p>
    <w:p w:rsidR="00842317"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10</w:t>
      </w:r>
      <w:r w:rsidR="002B15E1">
        <w:rPr>
          <w:noProof/>
        </w:rPr>
        <w:fldChar w:fldCharType="end"/>
      </w:r>
      <w:r w:rsidRPr="005A62EE">
        <w:t>:</w:t>
      </w:r>
      <w:r>
        <w:t xml:space="preserve"> </w:t>
      </w:r>
      <w:r w:rsidR="00842317" w:rsidRPr="009D7AD5">
        <w:t>S</w:t>
      </w:r>
      <w:r w:rsidR="009D7AD5" w:rsidRPr="009D7AD5">
        <w:t>afe and appropriate environment – no match</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13"/>
        <w:gridCol w:w="7603"/>
      </w:tblGrid>
      <w:tr w:rsidR="00842317" w:rsidRPr="006A08E6" w:rsidTr="006A08E6">
        <w:tc>
          <w:tcPr>
            <w:tcW w:w="1083" w:type="dxa"/>
            <w:tcBorders>
              <w:top w:val="nil"/>
              <w:bottom w:val="nil"/>
            </w:tcBorders>
            <w:shd w:val="clear" w:color="auto" w:fill="F2F2F2" w:themeFill="background1" w:themeFillShade="F2"/>
          </w:tcPr>
          <w:p w:rsidR="00842317" w:rsidRPr="006A08E6" w:rsidRDefault="00842317" w:rsidP="00595FD6">
            <w:pPr>
              <w:rPr>
                <w:b/>
                <w:lang w:eastAsia="en-NZ"/>
              </w:rPr>
            </w:pPr>
            <w:r w:rsidRPr="006A08E6">
              <w:rPr>
                <w:b/>
                <w:lang w:eastAsia="en-NZ"/>
              </w:rPr>
              <w:t>Standard</w:t>
            </w:r>
          </w:p>
        </w:tc>
        <w:tc>
          <w:tcPr>
            <w:tcW w:w="7603" w:type="dxa"/>
            <w:tcBorders>
              <w:top w:val="nil"/>
              <w:bottom w:val="nil"/>
            </w:tcBorders>
            <w:shd w:val="clear" w:color="auto" w:fill="F2F2F2" w:themeFill="background1" w:themeFillShade="F2"/>
          </w:tcPr>
          <w:p w:rsidR="00842317" w:rsidRPr="006A08E6" w:rsidRDefault="00842317" w:rsidP="00595FD6">
            <w:pPr>
              <w:rPr>
                <w:b/>
                <w:lang w:eastAsia="en-NZ"/>
              </w:rPr>
            </w:pPr>
            <w:r w:rsidRPr="006A08E6">
              <w:rPr>
                <w:b/>
                <w:lang w:eastAsia="en-NZ"/>
              </w:rPr>
              <w:t>No match – standard outcome statements</w:t>
            </w:r>
          </w:p>
        </w:tc>
      </w:tr>
      <w:tr w:rsidR="00842317" w:rsidRPr="00AB20C1" w:rsidTr="006A08E6">
        <w:tc>
          <w:tcPr>
            <w:tcW w:w="1083" w:type="dxa"/>
            <w:tcBorders>
              <w:top w:val="nil"/>
            </w:tcBorders>
          </w:tcPr>
          <w:p w:rsidR="00842317" w:rsidRPr="00540BC4" w:rsidRDefault="00842317" w:rsidP="00595FD6">
            <w:pPr>
              <w:rPr>
                <w:lang w:eastAsia="en-NZ"/>
              </w:rPr>
            </w:pPr>
            <w:r w:rsidRPr="00540BC4">
              <w:rPr>
                <w:lang w:eastAsia="en-NZ"/>
              </w:rPr>
              <w:t xml:space="preserve">HDSS </w:t>
            </w:r>
          </w:p>
        </w:tc>
        <w:tc>
          <w:tcPr>
            <w:tcW w:w="7603" w:type="dxa"/>
            <w:tcBorders>
              <w:top w:val="nil"/>
            </w:tcBorders>
          </w:tcPr>
          <w:p w:rsidR="0059318F" w:rsidRPr="0059318F" w:rsidRDefault="0059318F" w:rsidP="00595FD6">
            <w:pPr>
              <w:rPr>
                <w:lang w:eastAsia="en-NZ"/>
              </w:rPr>
            </w:pPr>
            <w:r w:rsidRPr="0059318F">
              <w:rPr>
                <w:lang w:eastAsia="en-NZ"/>
              </w:rPr>
              <w:t xml:space="preserve">1.4.1: Management Of Waste And Hazardous Substances </w:t>
            </w:r>
          </w:p>
          <w:p w:rsidR="0059318F" w:rsidRPr="0059318F" w:rsidRDefault="00842317" w:rsidP="005A62EE">
            <w:pPr>
              <w:pStyle w:val="ListParagraph"/>
              <w:numPr>
                <w:ilvl w:val="0"/>
                <w:numId w:val="12"/>
              </w:numPr>
            </w:pPr>
            <w:r w:rsidRPr="0059318F">
              <w:t xml:space="preserve">FSS </w:t>
            </w:r>
            <w:r w:rsidR="0059318F" w:rsidRPr="0059318F">
              <w:t xml:space="preserve">3.13: Management of Waste and Hazardous Substances  </w:t>
            </w:r>
          </w:p>
          <w:p w:rsidR="00842317" w:rsidRPr="0059318F" w:rsidRDefault="0059318F" w:rsidP="00595FD6">
            <w:pPr>
              <w:rPr>
                <w:lang w:eastAsia="en-NZ"/>
              </w:rPr>
            </w:pPr>
            <w:r w:rsidRPr="0059318F">
              <w:rPr>
                <w:lang w:eastAsia="en-NZ"/>
              </w:rPr>
              <w:t>1.4.2: Facility Specifications</w:t>
            </w:r>
          </w:p>
          <w:p w:rsidR="0059318F" w:rsidRPr="0059318F" w:rsidRDefault="0059318F" w:rsidP="005A62EE">
            <w:pPr>
              <w:pStyle w:val="ListParagraph"/>
              <w:numPr>
                <w:ilvl w:val="0"/>
                <w:numId w:val="12"/>
              </w:numPr>
            </w:pPr>
            <w:r w:rsidRPr="0059318F">
              <w:t>FSS 4.2: Facility and Equipment Specifications and Maintenance</w:t>
            </w:r>
          </w:p>
          <w:p w:rsidR="0059318F" w:rsidRPr="0059318F" w:rsidRDefault="0059318F" w:rsidP="00595FD6">
            <w:pPr>
              <w:rPr>
                <w:lang w:eastAsia="en-NZ"/>
              </w:rPr>
            </w:pPr>
            <w:r w:rsidRPr="0059318F">
              <w:rPr>
                <w:lang w:eastAsia="en-NZ"/>
              </w:rPr>
              <w:t xml:space="preserve">1.4.3: Toilet, Shower, And Bathing Facilities </w:t>
            </w:r>
          </w:p>
          <w:p w:rsidR="00842317" w:rsidRPr="0059318F" w:rsidRDefault="0059318F" w:rsidP="00595FD6">
            <w:pPr>
              <w:rPr>
                <w:lang w:eastAsia="en-NZ"/>
              </w:rPr>
            </w:pPr>
            <w:r w:rsidRPr="0059318F">
              <w:rPr>
                <w:lang w:eastAsia="en-NZ"/>
              </w:rPr>
              <w:t>1.4.4: Personal space/ bed areas</w:t>
            </w:r>
          </w:p>
          <w:p w:rsidR="0059318F" w:rsidRPr="0059318F" w:rsidRDefault="0059318F" w:rsidP="00595FD6">
            <w:pPr>
              <w:rPr>
                <w:lang w:eastAsia="en-NZ"/>
              </w:rPr>
            </w:pPr>
            <w:r w:rsidRPr="0059318F">
              <w:rPr>
                <w:lang w:eastAsia="en-NZ"/>
              </w:rPr>
              <w:t>1.4.5: Communal Areas For Entertainment, Recreation, And Dining</w:t>
            </w:r>
          </w:p>
          <w:p w:rsidR="0059318F" w:rsidRPr="0059318F" w:rsidRDefault="0059318F" w:rsidP="00595FD6">
            <w:pPr>
              <w:rPr>
                <w:lang w:eastAsia="en-NZ"/>
              </w:rPr>
            </w:pPr>
            <w:r w:rsidRPr="0059318F">
              <w:rPr>
                <w:lang w:eastAsia="en-NZ"/>
              </w:rPr>
              <w:t>1.4.6: Cleaning And Laundry Services</w:t>
            </w:r>
          </w:p>
          <w:p w:rsidR="0059318F" w:rsidRPr="0059318F" w:rsidRDefault="0059318F" w:rsidP="005A62EE">
            <w:pPr>
              <w:pStyle w:val="ListParagraph"/>
              <w:numPr>
                <w:ilvl w:val="0"/>
                <w:numId w:val="12"/>
              </w:numPr>
            </w:pPr>
            <w:r w:rsidRPr="0059318F">
              <w:t>FSS 4.5: Cleaning and Laundry Services</w:t>
            </w:r>
          </w:p>
          <w:p w:rsidR="0059318F" w:rsidRPr="0059318F" w:rsidRDefault="0059318F" w:rsidP="00595FD6">
            <w:pPr>
              <w:rPr>
                <w:lang w:eastAsia="en-NZ"/>
              </w:rPr>
            </w:pPr>
            <w:r w:rsidRPr="0059318F">
              <w:rPr>
                <w:lang w:eastAsia="en-NZ"/>
              </w:rPr>
              <w:t>1.4.8: Natural Light, Ventilation, And Heating:</w:t>
            </w:r>
          </w:p>
          <w:p w:rsidR="0059318F" w:rsidRPr="0059318F" w:rsidRDefault="0059318F" w:rsidP="005A62EE">
            <w:pPr>
              <w:pStyle w:val="ListParagraph"/>
              <w:numPr>
                <w:ilvl w:val="0"/>
                <w:numId w:val="12"/>
              </w:numPr>
              <w:rPr>
                <w:rFonts w:eastAsiaTheme="majorEastAsia"/>
                <w:sz w:val="20"/>
                <w:szCs w:val="20"/>
                <w:lang w:eastAsia="en-NZ"/>
              </w:rPr>
            </w:pPr>
            <w:r w:rsidRPr="0059318F">
              <w:t>FSS: 4.3: Natural Light, Ventilation and Heating</w:t>
            </w:r>
          </w:p>
        </w:tc>
      </w:tr>
      <w:tr w:rsidR="00842317" w:rsidRPr="00AB20C1" w:rsidTr="006A08E6">
        <w:tc>
          <w:tcPr>
            <w:tcW w:w="1083" w:type="dxa"/>
          </w:tcPr>
          <w:p w:rsidR="00842317" w:rsidRPr="00540BC4" w:rsidRDefault="00842317" w:rsidP="00595FD6">
            <w:pPr>
              <w:rPr>
                <w:lang w:eastAsia="en-NZ"/>
              </w:rPr>
            </w:pPr>
            <w:r w:rsidRPr="00540BC4">
              <w:rPr>
                <w:lang w:eastAsia="en-NZ"/>
              </w:rPr>
              <w:t>FSS</w:t>
            </w:r>
          </w:p>
        </w:tc>
        <w:tc>
          <w:tcPr>
            <w:tcW w:w="7603" w:type="dxa"/>
          </w:tcPr>
          <w:p w:rsidR="0059318F" w:rsidRPr="0059318F" w:rsidRDefault="0059318F" w:rsidP="00595FD6">
            <w:pPr>
              <w:rPr>
                <w:lang w:eastAsia="en-NZ"/>
              </w:rPr>
            </w:pPr>
            <w:r w:rsidRPr="0059318F">
              <w:rPr>
                <w:lang w:eastAsia="en-NZ"/>
              </w:rPr>
              <w:t>3.13: Management of Waste and Hazardous Substances</w:t>
            </w:r>
          </w:p>
          <w:p w:rsidR="0059318F" w:rsidRPr="0059318F" w:rsidRDefault="0059318F" w:rsidP="005A62EE">
            <w:pPr>
              <w:pStyle w:val="ListParagraph"/>
              <w:numPr>
                <w:ilvl w:val="0"/>
                <w:numId w:val="12"/>
              </w:numPr>
            </w:pPr>
            <w:r>
              <w:t xml:space="preserve">HDSS </w:t>
            </w:r>
            <w:r w:rsidRPr="0059318F">
              <w:t xml:space="preserve">1.4.1: Management </w:t>
            </w:r>
            <w:r w:rsidR="00DF5A28" w:rsidRPr="0059318F">
              <w:t>of</w:t>
            </w:r>
            <w:r w:rsidRPr="0059318F">
              <w:t xml:space="preserve"> Waste </w:t>
            </w:r>
            <w:r w:rsidR="00DF5A28" w:rsidRPr="0059318F">
              <w:t>and</w:t>
            </w:r>
            <w:r w:rsidRPr="0059318F">
              <w:t xml:space="preserve"> Hazardous Substances</w:t>
            </w:r>
          </w:p>
          <w:p w:rsidR="0059318F" w:rsidRPr="0059318F" w:rsidRDefault="0059318F" w:rsidP="00595FD6">
            <w:pPr>
              <w:rPr>
                <w:lang w:eastAsia="en-NZ"/>
              </w:rPr>
            </w:pPr>
            <w:r w:rsidRPr="0059318F">
              <w:rPr>
                <w:lang w:eastAsia="en-NZ"/>
              </w:rPr>
              <w:t>4.1: Physical Privacy</w:t>
            </w:r>
          </w:p>
          <w:p w:rsidR="0059318F" w:rsidRPr="0059318F" w:rsidRDefault="0059318F" w:rsidP="00595FD6">
            <w:pPr>
              <w:rPr>
                <w:lang w:eastAsia="en-NZ"/>
              </w:rPr>
            </w:pPr>
            <w:r w:rsidRPr="0059318F">
              <w:rPr>
                <w:lang w:eastAsia="en-NZ"/>
              </w:rPr>
              <w:t>4.2: Facility and Equipment Specifications and Maintenance</w:t>
            </w:r>
          </w:p>
          <w:p w:rsidR="0059318F" w:rsidRPr="0059318F" w:rsidRDefault="0059318F" w:rsidP="005A62EE">
            <w:pPr>
              <w:pStyle w:val="ListParagraph"/>
              <w:numPr>
                <w:ilvl w:val="0"/>
                <w:numId w:val="12"/>
              </w:numPr>
              <w:rPr>
                <w:rFonts w:eastAsiaTheme="majorEastAsia"/>
                <w:sz w:val="20"/>
                <w:szCs w:val="20"/>
                <w:lang w:eastAsia="en-NZ"/>
              </w:rPr>
            </w:pPr>
            <w:r>
              <w:t xml:space="preserve">HDSS </w:t>
            </w:r>
            <w:r w:rsidRPr="0059318F">
              <w:t>1.4.2: Facility Specifications</w:t>
            </w:r>
          </w:p>
          <w:p w:rsidR="0059318F" w:rsidRPr="0059318F" w:rsidRDefault="0059318F" w:rsidP="00595FD6">
            <w:pPr>
              <w:rPr>
                <w:lang w:eastAsia="en-NZ"/>
              </w:rPr>
            </w:pPr>
            <w:r w:rsidRPr="0059318F">
              <w:rPr>
                <w:lang w:eastAsia="en-NZ"/>
              </w:rPr>
              <w:t>4.4: Reception, Waiting and Other Public Areas</w:t>
            </w:r>
          </w:p>
          <w:p w:rsidR="0059318F" w:rsidRPr="0059318F" w:rsidRDefault="0059318F" w:rsidP="00595FD6">
            <w:pPr>
              <w:rPr>
                <w:lang w:eastAsia="en-NZ"/>
              </w:rPr>
            </w:pPr>
            <w:r w:rsidRPr="0059318F">
              <w:rPr>
                <w:lang w:eastAsia="en-NZ"/>
              </w:rPr>
              <w:t>4.5: Cleaning and Laundry Services</w:t>
            </w:r>
          </w:p>
          <w:p w:rsidR="0059318F" w:rsidRPr="0059318F" w:rsidRDefault="0059318F" w:rsidP="005A62EE">
            <w:pPr>
              <w:pStyle w:val="ListParagraph"/>
              <w:numPr>
                <w:ilvl w:val="0"/>
                <w:numId w:val="12"/>
              </w:numPr>
            </w:pPr>
            <w:r>
              <w:t xml:space="preserve">HDSS </w:t>
            </w:r>
            <w:r w:rsidRPr="0059318F">
              <w:t xml:space="preserve">1.4.6: Cleaning </w:t>
            </w:r>
            <w:r w:rsidR="00DF5A28" w:rsidRPr="0059318F">
              <w:t>and</w:t>
            </w:r>
            <w:r w:rsidRPr="0059318F">
              <w:t xml:space="preserve"> Laundry Services</w:t>
            </w:r>
          </w:p>
          <w:p w:rsidR="0059318F" w:rsidRPr="0059318F" w:rsidRDefault="0059318F" w:rsidP="00595FD6">
            <w:pPr>
              <w:rPr>
                <w:lang w:eastAsia="en-NZ"/>
              </w:rPr>
            </w:pPr>
            <w:r w:rsidRPr="0059318F">
              <w:rPr>
                <w:lang w:eastAsia="en-NZ"/>
              </w:rPr>
              <w:t>4.3: Natural Light, Ventilation and Heating</w:t>
            </w:r>
          </w:p>
          <w:p w:rsidR="00842317" w:rsidRPr="0059318F" w:rsidRDefault="0059318F" w:rsidP="005A62EE">
            <w:pPr>
              <w:pStyle w:val="ListParagraph"/>
              <w:numPr>
                <w:ilvl w:val="0"/>
                <w:numId w:val="12"/>
              </w:numPr>
              <w:rPr>
                <w:rFonts w:eastAsiaTheme="majorEastAsia"/>
                <w:sz w:val="20"/>
                <w:szCs w:val="20"/>
                <w:lang w:eastAsia="en-NZ"/>
              </w:rPr>
            </w:pPr>
            <w:r>
              <w:t xml:space="preserve">HDSS </w:t>
            </w:r>
            <w:r w:rsidRPr="0059318F">
              <w:t>1.4.8: Natural Light, Ventilation, And Heating</w:t>
            </w:r>
          </w:p>
        </w:tc>
      </w:tr>
      <w:tr w:rsidR="00842317" w:rsidRPr="00AB20C1" w:rsidTr="006A08E6">
        <w:tc>
          <w:tcPr>
            <w:tcW w:w="1083" w:type="dxa"/>
          </w:tcPr>
          <w:p w:rsidR="00842317" w:rsidRPr="00540BC4" w:rsidRDefault="00842317" w:rsidP="00595FD6">
            <w:pPr>
              <w:rPr>
                <w:lang w:eastAsia="en-NZ"/>
              </w:rPr>
            </w:pPr>
            <w:r w:rsidRPr="00540BC4">
              <w:rPr>
                <w:lang w:eastAsia="en-NZ"/>
              </w:rPr>
              <w:t>HCSS</w:t>
            </w:r>
          </w:p>
        </w:tc>
        <w:tc>
          <w:tcPr>
            <w:tcW w:w="7603" w:type="dxa"/>
          </w:tcPr>
          <w:p w:rsidR="00842317" w:rsidRPr="00D515C3" w:rsidRDefault="0059318F" w:rsidP="00595FD6">
            <w:pPr>
              <w:rPr>
                <w:lang w:eastAsia="en-NZ"/>
              </w:rPr>
            </w:pPr>
            <w:r>
              <w:rPr>
                <w:lang w:eastAsia="en-NZ"/>
              </w:rPr>
              <w:t>Nil</w:t>
            </w:r>
          </w:p>
        </w:tc>
      </w:tr>
    </w:tbl>
    <w:p w:rsidR="00CB323F" w:rsidRDefault="00CB323F" w:rsidP="00595FD6"/>
    <w:p w:rsidR="006C1751" w:rsidRDefault="00ED46E3" w:rsidP="00595FD6">
      <w:pPr>
        <w:pStyle w:val="Heading2"/>
      </w:pPr>
      <w:bookmarkStart w:id="24" w:name="_Toc19179540"/>
      <w:r>
        <w:t>Restraint Minimisation and Safe Practice</w:t>
      </w:r>
      <w:r w:rsidR="00D57F91">
        <w:t xml:space="preserve"> (RMSP)</w:t>
      </w:r>
      <w:bookmarkEnd w:id="24"/>
    </w:p>
    <w:p w:rsidR="006C1751" w:rsidRPr="00D57F91" w:rsidRDefault="00D57F91" w:rsidP="00595FD6">
      <w:r w:rsidRPr="00D57F91">
        <w:t xml:space="preserve">There are no matches (or partial </w:t>
      </w:r>
      <w:r w:rsidR="008E5921" w:rsidRPr="00D57F91">
        <w:t>matches</w:t>
      </w:r>
      <w:r w:rsidRPr="00D57F91">
        <w:t>)</w:t>
      </w:r>
      <w:r w:rsidR="008E5921" w:rsidRPr="00D57F91">
        <w:t xml:space="preserve"> across</w:t>
      </w:r>
      <w:r w:rsidRPr="00D57F91">
        <w:t xml:space="preserve"> the </w:t>
      </w:r>
      <w:r w:rsidR="007E279A">
        <w:t>RMSP outcome statements</w:t>
      </w:r>
      <w:r w:rsidRPr="00D57F91">
        <w:t xml:space="preserve">. It is noted HCSS outcome statement 4.12: Challenging Behaviours links </w:t>
      </w:r>
      <w:r w:rsidR="00C60F70">
        <w:t>to</w:t>
      </w:r>
      <w:r w:rsidRPr="00D57F91">
        <w:t xml:space="preserve"> RMSP</w:t>
      </w:r>
      <w:r w:rsidR="00C60F70">
        <w:t>, however is not considered a match</w:t>
      </w:r>
      <w:r w:rsidRPr="00D57F91">
        <w:t xml:space="preserve">. </w:t>
      </w:r>
      <w:r w:rsidR="00E307EC">
        <w:t>The outcomes statements as listed in HDSS are in Table 11.</w:t>
      </w:r>
    </w:p>
    <w:p w:rsidR="004F3084" w:rsidRPr="00E307EC"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11</w:t>
      </w:r>
      <w:r w:rsidR="002B15E1">
        <w:rPr>
          <w:noProof/>
        </w:rPr>
        <w:fldChar w:fldCharType="end"/>
      </w:r>
      <w:r w:rsidRPr="005A62EE">
        <w:t>:</w:t>
      </w:r>
      <w:r>
        <w:t xml:space="preserve"> </w:t>
      </w:r>
      <w:r w:rsidR="004F3084" w:rsidRPr="00E307EC">
        <w:t>RMSP</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08"/>
        <w:gridCol w:w="4508"/>
      </w:tblGrid>
      <w:tr w:rsidR="008E5921" w:rsidTr="006A08E6">
        <w:tc>
          <w:tcPr>
            <w:tcW w:w="4508" w:type="dxa"/>
          </w:tcPr>
          <w:p w:rsidR="008E5921" w:rsidRPr="005C557B" w:rsidRDefault="008E5921" w:rsidP="00595FD6">
            <w:pPr>
              <w:rPr>
                <w:lang w:eastAsia="en-NZ"/>
              </w:rPr>
            </w:pPr>
            <w:r w:rsidRPr="005C557B">
              <w:rPr>
                <w:lang w:eastAsia="en-NZ"/>
              </w:rPr>
              <w:t>Restraint Minimisation: Services demonstrate that the use of restraint is actively minimised</w:t>
            </w:r>
          </w:p>
        </w:tc>
        <w:tc>
          <w:tcPr>
            <w:tcW w:w="4508" w:type="dxa"/>
          </w:tcPr>
          <w:p w:rsidR="008E5921" w:rsidRPr="005C557B" w:rsidRDefault="005C557B" w:rsidP="00595FD6">
            <w:pPr>
              <w:rPr>
                <w:lang w:eastAsia="en-NZ"/>
              </w:rPr>
            </w:pPr>
            <w:r w:rsidRPr="005C557B">
              <w:rPr>
                <w:lang w:eastAsia="en-NZ"/>
              </w:rPr>
              <w:t>2.1</w:t>
            </w:r>
            <w:r>
              <w:rPr>
                <w:lang w:eastAsia="en-NZ"/>
              </w:rPr>
              <w:t>.1</w:t>
            </w:r>
            <w:r w:rsidRPr="005C557B">
              <w:rPr>
                <w:lang w:eastAsia="en-NZ"/>
              </w:rPr>
              <w:t xml:space="preserve"> Services demonstrate that the use of restraint is actively minimised </w:t>
            </w:r>
          </w:p>
        </w:tc>
      </w:tr>
      <w:tr w:rsidR="008E5921" w:rsidTr="006A08E6">
        <w:tc>
          <w:tcPr>
            <w:tcW w:w="4508" w:type="dxa"/>
          </w:tcPr>
          <w:p w:rsidR="008E5921" w:rsidRPr="005C557B" w:rsidRDefault="008E5921" w:rsidP="00595FD6">
            <w:pPr>
              <w:rPr>
                <w:lang w:eastAsia="en-NZ"/>
              </w:rPr>
            </w:pPr>
            <w:r w:rsidRPr="005C557B">
              <w:rPr>
                <w:lang w:eastAsia="en-NZ"/>
              </w:rPr>
              <w:t>Safe Restraint Practice</w:t>
            </w:r>
          </w:p>
        </w:tc>
        <w:tc>
          <w:tcPr>
            <w:tcW w:w="4508" w:type="dxa"/>
          </w:tcPr>
          <w:p w:rsidR="008E5921" w:rsidRPr="005C557B" w:rsidRDefault="008E5921" w:rsidP="00595FD6">
            <w:pPr>
              <w:rPr>
                <w:lang w:eastAsia="en-NZ"/>
              </w:rPr>
            </w:pPr>
            <w:r w:rsidRPr="005C557B">
              <w:rPr>
                <w:lang w:eastAsia="en-NZ"/>
              </w:rPr>
              <w:t>2.</w:t>
            </w:r>
            <w:r w:rsidR="005C557B" w:rsidRPr="005C557B">
              <w:rPr>
                <w:lang w:eastAsia="en-NZ"/>
              </w:rPr>
              <w:t>2.1: Restraint approval and processes</w:t>
            </w:r>
          </w:p>
          <w:p w:rsidR="008E5921" w:rsidRPr="005C557B" w:rsidRDefault="008E5921" w:rsidP="00595FD6">
            <w:pPr>
              <w:rPr>
                <w:lang w:eastAsia="en-NZ"/>
              </w:rPr>
            </w:pPr>
            <w:r w:rsidRPr="005C557B">
              <w:rPr>
                <w:lang w:eastAsia="en-NZ"/>
              </w:rPr>
              <w:t xml:space="preserve">2.2.2: Assessment </w:t>
            </w:r>
          </w:p>
          <w:p w:rsidR="008E5921" w:rsidRPr="005C557B" w:rsidRDefault="008E5921" w:rsidP="00595FD6">
            <w:pPr>
              <w:rPr>
                <w:lang w:eastAsia="en-NZ"/>
              </w:rPr>
            </w:pPr>
            <w:r w:rsidRPr="005C557B">
              <w:rPr>
                <w:lang w:eastAsia="en-NZ"/>
              </w:rPr>
              <w:t>2.2.3: Safe Restraint Use</w:t>
            </w:r>
          </w:p>
          <w:p w:rsidR="008E5921" w:rsidRPr="005C557B" w:rsidRDefault="008E5921" w:rsidP="00595FD6">
            <w:pPr>
              <w:rPr>
                <w:lang w:eastAsia="en-NZ"/>
              </w:rPr>
            </w:pPr>
            <w:r w:rsidRPr="005C557B">
              <w:rPr>
                <w:lang w:eastAsia="en-NZ"/>
              </w:rPr>
              <w:t>2.2.4: Evaluation</w:t>
            </w:r>
          </w:p>
          <w:p w:rsidR="008E5921" w:rsidRPr="005C557B" w:rsidRDefault="008E5921" w:rsidP="00595FD6">
            <w:pPr>
              <w:rPr>
                <w:lang w:eastAsia="en-NZ"/>
              </w:rPr>
            </w:pPr>
            <w:r w:rsidRPr="005C557B">
              <w:rPr>
                <w:lang w:eastAsia="en-NZ"/>
              </w:rPr>
              <w:t>2.2.5: Restraint Monitoring and Quality Review</w:t>
            </w:r>
          </w:p>
        </w:tc>
      </w:tr>
      <w:tr w:rsidR="008E5921" w:rsidTr="006A08E6">
        <w:tc>
          <w:tcPr>
            <w:tcW w:w="4508" w:type="dxa"/>
          </w:tcPr>
          <w:p w:rsidR="008E5921" w:rsidRPr="005C557B" w:rsidRDefault="008E5921" w:rsidP="00595FD6">
            <w:pPr>
              <w:rPr>
                <w:lang w:eastAsia="en-NZ"/>
              </w:rPr>
            </w:pPr>
            <w:r w:rsidRPr="005C557B">
              <w:rPr>
                <w:lang w:eastAsia="en-NZ"/>
              </w:rPr>
              <w:t>Seclusion</w:t>
            </w:r>
          </w:p>
        </w:tc>
        <w:tc>
          <w:tcPr>
            <w:tcW w:w="4508" w:type="dxa"/>
          </w:tcPr>
          <w:p w:rsidR="008E5921" w:rsidRPr="005C557B" w:rsidRDefault="008E5921" w:rsidP="00595FD6">
            <w:pPr>
              <w:rPr>
                <w:lang w:eastAsia="en-NZ"/>
              </w:rPr>
            </w:pPr>
            <w:r w:rsidRPr="005C557B">
              <w:rPr>
                <w:lang w:eastAsia="en-NZ"/>
              </w:rPr>
              <w:t>2.3.1: Safe Seclusion Use</w:t>
            </w:r>
          </w:p>
          <w:p w:rsidR="008E5921" w:rsidRPr="005C557B" w:rsidRDefault="008E5921" w:rsidP="00595FD6">
            <w:pPr>
              <w:rPr>
                <w:lang w:eastAsia="en-NZ"/>
              </w:rPr>
            </w:pPr>
            <w:r w:rsidRPr="005C557B">
              <w:rPr>
                <w:lang w:eastAsia="en-NZ"/>
              </w:rPr>
              <w:t>2.3.2: Approved Seclusion Rooms</w:t>
            </w:r>
          </w:p>
        </w:tc>
      </w:tr>
    </w:tbl>
    <w:p w:rsidR="006C1751" w:rsidRDefault="00ED46E3" w:rsidP="00595FD6">
      <w:pPr>
        <w:pStyle w:val="Heading2"/>
      </w:pPr>
      <w:bookmarkStart w:id="25" w:name="_Toc19179541"/>
      <w:r>
        <w:t>Infection Prevention and Control</w:t>
      </w:r>
      <w:bookmarkEnd w:id="25"/>
    </w:p>
    <w:p w:rsidR="00091067" w:rsidRDefault="00C60F70" w:rsidP="00595FD6">
      <w:r>
        <w:t xml:space="preserve">Each of the standards includes infection prevention and control (IPC) practices. In HDSS there are six </w:t>
      </w:r>
      <w:r w:rsidR="00091067">
        <w:t>outcome statements</w:t>
      </w:r>
      <w:r>
        <w:t xml:space="preserve"> that cover the IPC programme and its implementation, policy, education, surveillance, and antimicrobial use. </w:t>
      </w:r>
      <w:r w:rsidR="00C4080A">
        <w:t xml:space="preserve">In the FSS and HCSS infection control is covered within one outcome statement. </w:t>
      </w:r>
    </w:p>
    <w:p w:rsidR="00C60F70" w:rsidRDefault="00C4080A" w:rsidP="00595FD6">
      <w:r>
        <w:t xml:space="preserve">For the purpose of this high level mapping the HDSS IPC </w:t>
      </w:r>
      <w:r w:rsidR="00091067">
        <w:t xml:space="preserve">outcome statements 3.1 through 3.4 </w:t>
      </w:r>
      <w:r>
        <w:t>are considered to be a partial match with FSS and HCSS</w:t>
      </w:r>
      <w:r w:rsidR="00091067">
        <w:t>, while outcome statements 3.5 (surveillance) and 3.6 (antimicrobial usage) are considered to not match – see tables 12 and 13</w:t>
      </w:r>
      <w:r>
        <w:t>.</w:t>
      </w:r>
    </w:p>
    <w:p w:rsidR="004F3084" w:rsidRPr="00C97685"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12</w:t>
      </w:r>
      <w:r w:rsidR="002B15E1">
        <w:rPr>
          <w:noProof/>
        </w:rPr>
        <w:fldChar w:fldCharType="end"/>
      </w:r>
      <w:r w:rsidRPr="005A62EE">
        <w:t>:</w:t>
      </w:r>
      <w:r>
        <w:t xml:space="preserve"> </w:t>
      </w:r>
      <w:r w:rsidR="004F3084">
        <w:t xml:space="preserve">Infection prevention and control – </w:t>
      </w:r>
      <w:r w:rsidR="00C4080A">
        <w:t>partial</w:t>
      </w:r>
      <w:r w:rsidR="004F3084">
        <w:t xml:space="preserve"> match</w:t>
      </w:r>
    </w:p>
    <w:tbl>
      <w:tblPr>
        <w:tblStyle w:val="TableGrid"/>
        <w:tblW w:w="8925" w:type="dxa"/>
        <w:tblLook w:val="04A0" w:firstRow="1" w:lastRow="0" w:firstColumn="1" w:lastColumn="0" w:noHBand="0" w:noVBand="1"/>
      </w:tblPr>
      <w:tblGrid>
        <w:gridCol w:w="4106"/>
        <w:gridCol w:w="2410"/>
        <w:gridCol w:w="2409"/>
      </w:tblGrid>
      <w:tr w:rsidR="004F3084" w:rsidRPr="00E558F3" w:rsidTr="006A08E6">
        <w:tc>
          <w:tcPr>
            <w:tcW w:w="4106" w:type="dxa"/>
            <w:tcBorders>
              <w:top w:val="nil"/>
              <w:left w:val="nil"/>
              <w:bottom w:val="nil"/>
              <w:right w:val="nil"/>
            </w:tcBorders>
            <w:shd w:val="clear" w:color="auto" w:fill="F2F2F2" w:themeFill="background1" w:themeFillShade="F2"/>
          </w:tcPr>
          <w:p w:rsidR="004F3084" w:rsidRPr="006A08E6" w:rsidRDefault="004F3084" w:rsidP="006A08E6">
            <w:pPr>
              <w:pStyle w:val="TableText"/>
              <w:rPr>
                <w:b/>
                <w:lang w:eastAsia="en-NZ"/>
              </w:rPr>
            </w:pPr>
            <w:r w:rsidRPr="006A08E6">
              <w:rPr>
                <w:b/>
                <w:lang w:eastAsia="en-NZ"/>
              </w:rPr>
              <w:t xml:space="preserve">Health and Disability Services Standards </w:t>
            </w:r>
          </w:p>
        </w:tc>
        <w:tc>
          <w:tcPr>
            <w:tcW w:w="2410" w:type="dxa"/>
            <w:tcBorders>
              <w:top w:val="nil"/>
              <w:left w:val="nil"/>
              <w:bottom w:val="nil"/>
              <w:right w:val="nil"/>
            </w:tcBorders>
            <w:shd w:val="clear" w:color="auto" w:fill="F2F2F2" w:themeFill="background1" w:themeFillShade="F2"/>
          </w:tcPr>
          <w:p w:rsidR="004F3084" w:rsidRPr="006A08E6" w:rsidRDefault="004F3084" w:rsidP="006A08E6">
            <w:pPr>
              <w:pStyle w:val="TableText"/>
              <w:rPr>
                <w:b/>
                <w:lang w:eastAsia="en-NZ"/>
              </w:rPr>
            </w:pPr>
            <w:r w:rsidRPr="006A08E6">
              <w:rPr>
                <w:b/>
                <w:lang w:eastAsia="en-NZ"/>
              </w:rPr>
              <w:t xml:space="preserve">Fertility Services Standard </w:t>
            </w:r>
          </w:p>
        </w:tc>
        <w:tc>
          <w:tcPr>
            <w:tcW w:w="2409" w:type="dxa"/>
            <w:tcBorders>
              <w:top w:val="nil"/>
              <w:left w:val="nil"/>
              <w:bottom w:val="nil"/>
              <w:right w:val="nil"/>
            </w:tcBorders>
            <w:shd w:val="clear" w:color="auto" w:fill="F2F2F2" w:themeFill="background1" w:themeFillShade="F2"/>
          </w:tcPr>
          <w:p w:rsidR="004F3084" w:rsidRPr="006A08E6" w:rsidRDefault="004F3084" w:rsidP="006A08E6">
            <w:pPr>
              <w:pStyle w:val="TableText"/>
              <w:rPr>
                <w:b/>
                <w:lang w:eastAsia="en-NZ"/>
              </w:rPr>
            </w:pPr>
            <w:r w:rsidRPr="006A08E6">
              <w:rPr>
                <w:b/>
                <w:lang w:eastAsia="en-NZ"/>
              </w:rPr>
              <w:t xml:space="preserve">Home and community support sector Standard </w:t>
            </w:r>
          </w:p>
        </w:tc>
      </w:tr>
      <w:tr w:rsidR="004F3084" w:rsidRPr="00540BC4" w:rsidTr="006A08E6">
        <w:tc>
          <w:tcPr>
            <w:tcW w:w="4106" w:type="dxa"/>
            <w:tcBorders>
              <w:top w:val="nil"/>
              <w:left w:val="nil"/>
              <w:bottom w:val="single" w:sz="4" w:space="0" w:color="808080" w:themeColor="background1" w:themeShade="80"/>
              <w:right w:val="nil"/>
            </w:tcBorders>
          </w:tcPr>
          <w:p w:rsidR="004F3084" w:rsidRDefault="004F3084" w:rsidP="006A08E6">
            <w:pPr>
              <w:pStyle w:val="TableText"/>
              <w:rPr>
                <w:lang w:eastAsia="en-NZ"/>
              </w:rPr>
            </w:pPr>
            <w:r w:rsidRPr="004941B8">
              <w:rPr>
                <w:lang w:eastAsia="en-NZ"/>
              </w:rPr>
              <w:t>3.1: Infection control management</w:t>
            </w:r>
          </w:p>
          <w:p w:rsidR="00C4080A" w:rsidRPr="004941B8" w:rsidRDefault="00C4080A" w:rsidP="006A08E6">
            <w:pPr>
              <w:pStyle w:val="TableText"/>
              <w:rPr>
                <w:lang w:eastAsia="en-NZ"/>
              </w:rPr>
            </w:pPr>
            <w:r w:rsidRPr="004941B8">
              <w:rPr>
                <w:lang w:eastAsia="en-NZ"/>
              </w:rPr>
              <w:t>3.2: Implementing the infection control programme</w:t>
            </w:r>
          </w:p>
          <w:p w:rsidR="00C4080A" w:rsidRPr="004941B8" w:rsidRDefault="00C4080A" w:rsidP="006A08E6">
            <w:pPr>
              <w:pStyle w:val="TableText"/>
              <w:rPr>
                <w:lang w:eastAsia="en-NZ"/>
              </w:rPr>
            </w:pPr>
            <w:r w:rsidRPr="004941B8">
              <w:rPr>
                <w:lang w:eastAsia="en-NZ"/>
              </w:rPr>
              <w:t>3.3: Policies and procedures</w:t>
            </w:r>
          </w:p>
          <w:p w:rsidR="00C4080A" w:rsidRPr="00540BC4" w:rsidRDefault="00C4080A" w:rsidP="006A08E6">
            <w:pPr>
              <w:pStyle w:val="TableText"/>
              <w:rPr>
                <w:lang w:eastAsia="en-NZ"/>
              </w:rPr>
            </w:pPr>
            <w:r w:rsidRPr="004941B8">
              <w:rPr>
                <w:lang w:eastAsia="en-NZ"/>
              </w:rPr>
              <w:t>3.4: Education</w:t>
            </w:r>
          </w:p>
        </w:tc>
        <w:tc>
          <w:tcPr>
            <w:tcW w:w="2410" w:type="dxa"/>
            <w:tcBorders>
              <w:top w:val="nil"/>
              <w:left w:val="nil"/>
              <w:bottom w:val="single" w:sz="4" w:space="0" w:color="808080" w:themeColor="background1" w:themeShade="80"/>
              <w:right w:val="nil"/>
            </w:tcBorders>
          </w:tcPr>
          <w:p w:rsidR="004F3084" w:rsidRPr="00540BC4" w:rsidRDefault="004F3084" w:rsidP="006A08E6">
            <w:pPr>
              <w:pStyle w:val="TableText"/>
              <w:rPr>
                <w:lang w:eastAsia="en-NZ"/>
              </w:rPr>
            </w:pPr>
            <w:r w:rsidRPr="004941B8">
              <w:rPr>
                <w:lang w:eastAsia="en-NZ"/>
              </w:rPr>
              <w:t>Standard 3.1</w:t>
            </w:r>
            <w:r w:rsidR="004941B8">
              <w:rPr>
                <w:lang w:eastAsia="en-NZ"/>
              </w:rPr>
              <w:t>2: Infection Control Management</w:t>
            </w:r>
          </w:p>
        </w:tc>
        <w:tc>
          <w:tcPr>
            <w:tcW w:w="2409" w:type="dxa"/>
            <w:tcBorders>
              <w:top w:val="nil"/>
              <w:left w:val="nil"/>
              <w:bottom w:val="single" w:sz="4" w:space="0" w:color="808080" w:themeColor="background1" w:themeShade="80"/>
              <w:right w:val="nil"/>
            </w:tcBorders>
          </w:tcPr>
          <w:p w:rsidR="004F3084" w:rsidRPr="00756EA4" w:rsidRDefault="004F3084" w:rsidP="006A08E6">
            <w:pPr>
              <w:pStyle w:val="TableText"/>
              <w:rPr>
                <w:lang w:eastAsia="en-NZ"/>
              </w:rPr>
            </w:pPr>
            <w:r w:rsidRPr="004941B8">
              <w:rPr>
                <w:lang w:eastAsia="en-NZ"/>
              </w:rPr>
              <w:t>Standard 4.7: Infection Prevention and Control</w:t>
            </w:r>
          </w:p>
        </w:tc>
      </w:tr>
    </w:tbl>
    <w:p w:rsidR="00091067" w:rsidRPr="00C97685"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13</w:t>
      </w:r>
      <w:r w:rsidR="002B15E1">
        <w:rPr>
          <w:noProof/>
        </w:rPr>
        <w:fldChar w:fldCharType="end"/>
      </w:r>
      <w:r w:rsidRPr="005A62EE">
        <w:t>:</w:t>
      </w:r>
      <w:r>
        <w:t xml:space="preserve"> </w:t>
      </w:r>
      <w:r w:rsidR="00091067">
        <w:t>Infection prevention and control – no match</w:t>
      </w:r>
    </w:p>
    <w:tbl>
      <w:tblPr>
        <w:tblStyle w:val="TableGrid"/>
        <w:tblW w:w="9072"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113"/>
        <w:gridCol w:w="7959"/>
      </w:tblGrid>
      <w:tr w:rsidR="00091067" w:rsidRPr="00540BC4" w:rsidTr="00787D02">
        <w:tc>
          <w:tcPr>
            <w:tcW w:w="1113" w:type="dxa"/>
            <w:shd w:val="clear" w:color="auto" w:fill="F2F2F2" w:themeFill="background1" w:themeFillShade="F2"/>
          </w:tcPr>
          <w:p w:rsidR="00091067" w:rsidRPr="006A08E6" w:rsidRDefault="00091067" w:rsidP="00595FD6">
            <w:pPr>
              <w:rPr>
                <w:b/>
                <w:lang w:eastAsia="en-NZ"/>
              </w:rPr>
            </w:pPr>
            <w:r w:rsidRPr="006A08E6">
              <w:rPr>
                <w:b/>
                <w:lang w:eastAsia="en-NZ"/>
              </w:rPr>
              <w:t>Standard</w:t>
            </w:r>
          </w:p>
        </w:tc>
        <w:tc>
          <w:tcPr>
            <w:tcW w:w="7959" w:type="dxa"/>
            <w:shd w:val="clear" w:color="auto" w:fill="F2F2F2" w:themeFill="background1" w:themeFillShade="F2"/>
          </w:tcPr>
          <w:p w:rsidR="00091067" w:rsidRPr="006A08E6" w:rsidRDefault="00091067" w:rsidP="00595FD6">
            <w:pPr>
              <w:rPr>
                <w:b/>
                <w:lang w:eastAsia="en-NZ"/>
              </w:rPr>
            </w:pPr>
            <w:r w:rsidRPr="006A08E6">
              <w:rPr>
                <w:b/>
                <w:lang w:eastAsia="en-NZ"/>
              </w:rPr>
              <w:t>No match – standard outcome statements</w:t>
            </w:r>
          </w:p>
        </w:tc>
      </w:tr>
      <w:tr w:rsidR="00091067" w:rsidRPr="00AB20C1" w:rsidTr="00787D02">
        <w:tc>
          <w:tcPr>
            <w:tcW w:w="1113" w:type="dxa"/>
          </w:tcPr>
          <w:p w:rsidR="00091067" w:rsidRPr="00540BC4" w:rsidRDefault="00091067" w:rsidP="00595FD6">
            <w:pPr>
              <w:rPr>
                <w:lang w:eastAsia="en-NZ"/>
              </w:rPr>
            </w:pPr>
            <w:r w:rsidRPr="00540BC4">
              <w:rPr>
                <w:lang w:eastAsia="en-NZ"/>
              </w:rPr>
              <w:t xml:space="preserve">HDSS </w:t>
            </w:r>
          </w:p>
        </w:tc>
        <w:tc>
          <w:tcPr>
            <w:tcW w:w="7959" w:type="dxa"/>
          </w:tcPr>
          <w:p w:rsidR="00091067" w:rsidRPr="00091067" w:rsidRDefault="00091067" w:rsidP="00595FD6">
            <w:pPr>
              <w:rPr>
                <w:lang w:eastAsia="en-NZ"/>
              </w:rPr>
            </w:pPr>
            <w:r w:rsidRPr="00091067">
              <w:rPr>
                <w:lang w:eastAsia="en-NZ"/>
              </w:rPr>
              <w:t>3.5 IPC Surveillance</w:t>
            </w:r>
          </w:p>
          <w:p w:rsidR="00091067" w:rsidRPr="00091067" w:rsidRDefault="00091067" w:rsidP="00595FD6">
            <w:pPr>
              <w:rPr>
                <w:lang w:eastAsia="en-NZ"/>
              </w:rPr>
            </w:pPr>
            <w:r w:rsidRPr="00091067">
              <w:rPr>
                <w:lang w:eastAsia="en-NZ"/>
              </w:rPr>
              <w:t>3.6 ICP Antimicrobial usage</w:t>
            </w:r>
          </w:p>
        </w:tc>
      </w:tr>
    </w:tbl>
    <w:p w:rsidR="00ED46E3" w:rsidRPr="006A08E6" w:rsidRDefault="00652A0E" w:rsidP="006A08E6">
      <w:pPr>
        <w:pStyle w:val="Heading2"/>
      </w:pPr>
      <w:bookmarkStart w:id="26" w:name="_Toc19179542"/>
      <w:r w:rsidRPr="006A08E6">
        <w:t>Summary</w:t>
      </w:r>
      <w:bookmarkEnd w:id="26"/>
    </w:p>
    <w:p w:rsidR="00652A0E" w:rsidRDefault="000C31BA" w:rsidP="00595FD6">
      <w:r>
        <w:t xml:space="preserve">This </w:t>
      </w:r>
      <w:r w:rsidR="00770E7D">
        <w:t xml:space="preserve">mapping exercise </w:t>
      </w:r>
      <w:r>
        <w:t xml:space="preserve">has shown </w:t>
      </w:r>
      <w:r w:rsidR="009071FA">
        <w:t>between 2</w:t>
      </w:r>
      <w:r>
        <w:t>8</w:t>
      </w:r>
      <w:r w:rsidR="00770E7D">
        <w:t xml:space="preserve">% (HDSS) and 55% (HCSS) of all outcome statements can be matched across the standards, and between 35% (HCSS) and </w:t>
      </w:r>
      <w:r>
        <w:t>54</w:t>
      </w:r>
      <w:r w:rsidR="00770E7D">
        <w:t xml:space="preserve">% (HDSS) </w:t>
      </w:r>
      <w:r w:rsidR="00F50D1D">
        <w:t>could not be matched</w:t>
      </w:r>
      <w:r>
        <w:t xml:space="preserve"> – refer Table 13.</w:t>
      </w:r>
      <w:r w:rsidR="00F50D1D">
        <w:t xml:space="preserve"> </w:t>
      </w:r>
    </w:p>
    <w:p w:rsidR="00652A0E" w:rsidRPr="006F18F5" w:rsidRDefault="006A08E6" w:rsidP="006A08E6">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14</w:t>
      </w:r>
      <w:r w:rsidR="002B15E1">
        <w:rPr>
          <w:noProof/>
        </w:rPr>
        <w:fldChar w:fldCharType="end"/>
      </w:r>
      <w:r w:rsidRPr="005A62EE">
        <w:t>:</w:t>
      </w:r>
      <w:r>
        <w:t xml:space="preserve"> </w:t>
      </w:r>
      <w:r w:rsidR="006F18F5" w:rsidRPr="006F18F5">
        <w:t>Matched outcome statements across the standards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3384"/>
        <w:gridCol w:w="1513"/>
        <w:gridCol w:w="1513"/>
        <w:gridCol w:w="1514"/>
      </w:tblGrid>
      <w:tr w:rsidR="00652A0E" w:rsidRPr="00787D02" w:rsidTr="00787D02">
        <w:tc>
          <w:tcPr>
            <w:tcW w:w="1143" w:type="dxa"/>
            <w:shd w:val="clear" w:color="auto" w:fill="F2F2F2" w:themeFill="background1" w:themeFillShade="F2"/>
          </w:tcPr>
          <w:p w:rsidR="00652A0E" w:rsidRPr="00787D02" w:rsidRDefault="00652A0E" w:rsidP="00787D02">
            <w:pPr>
              <w:pStyle w:val="TableText"/>
              <w:rPr>
                <w:b/>
              </w:rPr>
            </w:pPr>
            <w:r w:rsidRPr="00787D02">
              <w:rPr>
                <w:b/>
              </w:rPr>
              <w:t>Standard</w:t>
            </w:r>
          </w:p>
        </w:tc>
        <w:tc>
          <w:tcPr>
            <w:tcW w:w="3384" w:type="dxa"/>
            <w:shd w:val="clear" w:color="auto" w:fill="F2F2F2" w:themeFill="background1" w:themeFillShade="F2"/>
          </w:tcPr>
          <w:p w:rsidR="00652A0E" w:rsidRPr="00787D02" w:rsidRDefault="00652A0E" w:rsidP="00787D02">
            <w:pPr>
              <w:pStyle w:val="TableText"/>
              <w:jc w:val="center"/>
              <w:rPr>
                <w:b/>
              </w:rPr>
            </w:pPr>
            <w:r w:rsidRPr="00787D02">
              <w:rPr>
                <w:b/>
              </w:rPr>
              <w:t>No. Outcome Statements</w:t>
            </w:r>
          </w:p>
        </w:tc>
        <w:tc>
          <w:tcPr>
            <w:tcW w:w="1513" w:type="dxa"/>
            <w:shd w:val="clear" w:color="auto" w:fill="F2F2F2" w:themeFill="background1" w:themeFillShade="F2"/>
          </w:tcPr>
          <w:p w:rsidR="00652A0E" w:rsidRPr="00787D02" w:rsidRDefault="00652A0E" w:rsidP="00787D02">
            <w:pPr>
              <w:pStyle w:val="TableText"/>
              <w:rPr>
                <w:b/>
              </w:rPr>
            </w:pPr>
            <w:r w:rsidRPr="00787D02">
              <w:rPr>
                <w:b/>
              </w:rPr>
              <w:t>Match</w:t>
            </w:r>
          </w:p>
        </w:tc>
        <w:tc>
          <w:tcPr>
            <w:tcW w:w="1513" w:type="dxa"/>
            <w:shd w:val="clear" w:color="auto" w:fill="F2F2F2" w:themeFill="background1" w:themeFillShade="F2"/>
          </w:tcPr>
          <w:p w:rsidR="00652A0E" w:rsidRPr="00787D02" w:rsidRDefault="00652A0E" w:rsidP="00787D02">
            <w:pPr>
              <w:pStyle w:val="TableText"/>
              <w:rPr>
                <w:b/>
                <w:highlight w:val="yellow"/>
              </w:rPr>
            </w:pPr>
            <w:r w:rsidRPr="00787D02">
              <w:rPr>
                <w:b/>
              </w:rPr>
              <w:t>Partial Match</w:t>
            </w:r>
            <w:r w:rsidR="000C31BA" w:rsidRPr="00787D02">
              <w:rPr>
                <w:b/>
              </w:rPr>
              <w:t xml:space="preserve"> </w:t>
            </w:r>
          </w:p>
        </w:tc>
        <w:tc>
          <w:tcPr>
            <w:tcW w:w="1514" w:type="dxa"/>
            <w:shd w:val="clear" w:color="auto" w:fill="F2F2F2" w:themeFill="background1" w:themeFillShade="F2"/>
          </w:tcPr>
          <w:p w:rsidR="00652A0E" w:rsidRPr="00787D02" w:rsidRDefault="00652A0E" w:rsidP="00787D02">
            <w:pPr>
              <w:pStyle w:val="TableText"/>
              <w:rPr>
                <w:b/>
              </w:rPr>
            </w:pPr>
            <w:r w:rsidRPr="00787D02">
              <w:rPr>
                <w:b/>
              </w:rPr>
              <w:t>No Match</w:t>
            </w:r>
          </w:p>
        </w:tc>
      </w:tr>
      <w:tr w:rsidR="00652A0E" w:rsidRPr="00652A0E" w:rsidTr="00787D02">
        <w:tc>
          <w:tcPr>
            <w:tcW w:w="1143" w:type="dxa"/>
            <w:tcBorders>
              <w:bottom w:val="single" w:sz="4" w:space="0" w:color="808080" w:themeColor="background1" w:themeShade="80"/>
            </w:tcBorders>
          </w:tcPr>
          <w:p w:rsidR="00652A0E" w:rsidRPr="00652A0E" w:rsidRDefault="00652A0E" w:rsidP="00787D02">
            <w:pPr>
              <w:pStyle w:val="TableText"/>
            </w:pPr>
            <w:r w:rsidRPr="00652A0E">
              <w:t>HDSS</w:t>
            </w:r>
          </w:p>
        </w:tc>
        <w:tc>
          <w:tcPr>
            <w:tcW w:w="3384" w:type="dxa"/>
            <w:tcBorders>
              <w:bottom w:val="single" w:sz="4" w:space="0" w:color="808080" w:themeColor="background1" w:themeShade="80"/>
            </w:tcBorders>
            <w:shd w:val="clear" w:color="auto" w:fill="D9D9D9" w:themeFill="background1" w:themeFillShade="D9"/>
          </w:tcPr>
          <w:p w:rsidR="00652A0E" w:rsidRPr="00652A0E" w:rsidRDefault="00652A0E" w:rsidP="00787D02">
            <w:pPr>
              <w:pStyle w:val="TableText"/>
              <w:jc w:val="center"/>
            </w:pPr>
            <w:r>
              <w:t>57</w:t>
            </w:r>
          </w:p>
        </w:tc>
        <w:tc>
          <w:tcPr>
            <w:tcW w:w="1513" w:type="dxa"/>
            <w:tcBorders>
              <w:bottom w:val="single" w:sz="4" w:space="0" w:color="808080" w:themeColor="background1" w:themeShade="80"/>
            </w:tcBorders>
          </w:tcPr>
          <w:p w:rsidR="00652A0E" w:rsidRPr="00652A0E" w:rsidRDefault="00652A0E" w:rsidP="00787D02">
            <w:pPr>
              <w:pStyle w:val="TableText"/>
            </w:pPr>
            <w:r>
              <w:t>1</w:t>
            </w:r>
            <w:r w:rsidR="000C31BA">
              <w:t>6</w:t>
            </w:r>
            <w:r>
              <w:t xml:space="preserve"> (</w:t>
            </w:r>
            <w:r w:rsidR="000C31BA">
              <w:t>28</w:t>
            </w:r>
            <w:r>
              <w:t>%)</w:t>
            </w:r>
          </w:p>
        </w:tc>
        <w:tc>
          <w:tcPr>
            <w:tcW w:w="1513" w:type="dxa"/>
            <w:tcBorders>
              <w:bottom w:val="single" w:sz="4" w:space="0" w:color="808080" w:themeColor="background1" w:themeShade="80"/>
            </w:tcBorders>
          </w:tcPr>
          <w:p w:rsidR="00652A0E" w:rsidRPr="00652A0E" w:rsidRDefault="000C31BA" w:rsidP="00787D02">
            <w:pPr>
              <w:pStyle w:val="TableText"/>
            </w:pPr>
            <w:r>
              <w:t>10</w:t>
            </w:r>
            <w:r w:rsidR="00652A0E">
              <w:t xml:space="preserve"> (</w:t>
            </w:r>
            <w:r>
              <w:t>18</w:t>
            </w:r>
            <w:r w:rsidR="00652A0E">
              <w:t>%)</w:t>
            </w:r>
          </w:p>
        </w:tc>
        <w:tc>
          <w:tcPr>
            <w:tcW w:w="1514" w:type="dxa"/>
            <w:tcBorders>
              <w:bottom w:val="single" w:sz="4" w:space="0" w:color="808080" w:themeColor="background1" w:themeShade="80"/>
            </w:tcBorders>
          </w:tcPr>
          <w:p w:rsidR="00652A0E" w:rsidRPr="00652A0E" w:rsidRDefault="00652A0E" w:rsidP="00787D02">
            <w:pPr>
              <w:pStyle w:val="TableText"/>
            </w:pPr>
            <w:r>
              <w:t>3</w:t>
            </w:r>
            <w:r w:rsidR="000C31BA">
              <w:t>1</w:t>
            </w:r>
            <w:r>
              <w:t xml:space="preserve"> (</w:t>
            </w:r>
            <w:r w:rsidR="000C31BA">
              <w:t>54</w:t>
            </w:r>
            <w:r>
              <w:t>%)</w:t>
            </w:r>
          </w:p>
        </w:tc>
      </w:tr>
      <w:tr w:rsidR="00652A0E" w:rsidRPr="00652A0E" w:rsidTr="00787D02">
        <w:tc>
          <w:tcPr>
            <w:tcW w:w="1143"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rsidRPr="00652A0E">
              <w:t>FSS</w:t>
            </w:r>
          </w:p>
        </w:tc>
        <w:tc>
          <w:tcPr>
            <w:tcW w:w="3384"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52A0E" w:rsidRPr="00652A0E" w:rsidRDefault="00652A0E" w:rsidP="00787D02">
            <w:pPr>
              <w:pStyle w:val="TableText"/>
              <w:jc w:val="center"/>
            </w:pPr>
            <w:r>
              <w:t>42</w:t>
            </w:r>
          </w:p>
        </w:tc>
        <w:tc>
          <w:tcPr>
            <w:tcW w:w="1513"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t>18 (43%)</w:t>
            </w:r>
          </w:p>
        </w:tc>
        <w:tc>
          <w:tcPr>
            <w:tcW w:w="1513"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t>3 (7%)</w:t>
            </w:r>
          </w:p>
        </w:tc>
        <w:tc>
          <w:tcPr>
            <w:tcW w:w="1514"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t>21 (50%)</w:t>
            </w:r>
          </w:p>
        </w:tc>
      </w:tr>
      <w:tr w:rsidR="00652A0E" w:rsidRPr="00652A0E" w:rsidTr="00787D02">
        <w:tc>
          <w:tcPr>
            <w:tcW w:w="1143"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rsidRPr="00652A0E">
              <w:t>HCSS</w:t>
            </w:r>
          </w:p>
        </w:tc>
        <w:tc>
          <w:tcPr>
            <w:tcW w:w="3384"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52A0E" w:rsidRPr="00652A0E" w:rsidRDefault="00652A0E" w:rsidP="00787D02">
            <w:pPr>
              <w:pStyle w:val="TableText"/>
              <w:jc w:val="center"/>
            </w:pPr>
            <w:r>
              <w:t>31</w:t>
            </w:r>
          </w:p>
        </w:tc>
        <w:tc>
          <w:tcPr>
            <w:tcW w:w="1513"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t>17 (55%)</w:t>
            </w:r>
          </w:p>
        </w:tc>
        <w:tc>
          <w:tcPr>
            <w:tcW w:w="1513"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t>3 (10%)</w:t>
            </w:r>
          </w:p>
        </w:tc>
        <w:tc>
          <w:tcPr>
            <w:tcW w:w="1514" w:type="dxa"/>
            <w:tcBorders>
              <w:top w:val="single" w:sz="4" w:space="0" w:color="808080" w:themeColor="background1" w:themeShade="80"/>
              <w:bottom w:val="single" w:sz="4" w:space="0" w:color="808080" w:themeColor="background1" w:themeShade="80"/>
            </w:tcBorders>
          </w:tcPr>
          <w:p w:rsidR="00652A0E" w:rsidRPr="00652A0E" w:rsidRDefault="00652A0E" w:rsidP="00787D02">
            <w:pPr>
              <w:pStyle w:val="TableText"/>
            </w:pPr>
            <w:r>
              <w:t>11 (35%)</w:t>
            </w:r>
          </w:p>
        </w:tc>
      </w:tr>
    </w:tbl>
    <w:p w:rsidR="0087783E" w:rsidRDefault="000C31BA" w:rsidP="00595FD6">
      <w:r>
        <w:t xml:space="preserve">When considering the overall </w:t>
      </w:r>
      <w:r w:rsidR="00787D02">
        <w:t>picture,</w:t>
      </w:r>
      <w:r>
        <w:t xml:space="preserve"> it could be argued that there is little synergy between the standards, however when </w:t>
      </w:r>
      <w:r w:rsidR="0087783E">
        <w:t>looking at</w:t>
      </w:r>
      <w:r>
        <w:t xml:space="preserve"> the number of matches across each part a slightly different picture emerges.</w:t>
      </w:r>
      <w:r w:rsidR="0087783E">
        <w:t xml:space="preserve"> Table 14 shows that 50-70% of the outcome statements within Part 1 (Consumer Rights) and Part 2 (Organisational Management) match. This increased to over 61% if the matched and partially matched outcome statements are combined. </w:t>
      </w:r>
    </w:p>
    <w:p w:rsidR="00D274BD" w:rsidRPr="00F50D1D" w:rsidRDefault="00787D02" w:rsidP="00787D02">
      <w:pPr>
        <w:pStyle w:val="Caption"/>
      </w:pPr>
      <w:r w:rsidRPr="005A62EE">
        <w:t xml:space="preserve">Table </w:t>
      </w:r>
      <w:r w:rsidR="002B15E1">
        <w:rPr>
          <w:noProof/>
        </w:rPr>
        <w:fldChar w:fldCharType="begin"/>
      </w:r>
      <w:r w:rsidR="002B15E1">
        <w:rPr>
          <w:noProof/>
        </w:rPr>
        <w:instrText xml:space="preserve"> SEQ Table \* ARABIC </w:instrText>
      </w:r>
      <w:r w:rsidR="002B15E1">
        <w:rPr>
          <w:noProof/>
        </w:rPr>
        <w:fldChar w:fldCharType="separate"/>
      </w:r>
      <w:r w:rsidR="001E1F52">
        <w:rPr>
          <w:noProof/>
        </w:rPr>
        <w:t>15</w:t>
      </w:r>
      <w:r w:rsidR="002B15E1">
        <w:rPr>
          <w:noProof/>
        </w:rPr>
        <w:fldChar w:fldCharType="end"/>
      </w:r>
      <w:r w:rsidRPr="005A62EE">
        <w:t>:</w:t>
      </w:r>
      <w:r>
        <w:t xml:space="preserve"> </w:t>
      </w:r>
      <w:r w:rsidR="00F50D1D">
        <w:t>Outcome statements Parts 1 &amp; 2</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3420"/>
        <w:gridCol w:w="1501"/>
        <w:gridCol w:w="1502"/>
        <w:gridCol w:w="1502"/>
      </w:tblGrid>
      <w:tr w:rsidR="00F50D1D" w:rsidRPr="00652A0E" w:rsidTr="00787D02">
        <w:tc>
          <w:tcPr>
            <w:tcW w:w="1142" w:type="dxa"/>
            <w:shd w:val="clear" w:color="auto" w:fill="F2F2F2" w:themeFill="background1" w:themeFillShade="F2"/>
          </w:tcPr>
          <w:p w:rsidR="00F50D1D" w:rsidRPr="00787D02" w:rsidRDefault="00F50D1D" w:rsidP="00787D02">
            <w:pPr>
              <w:pStyle w:val="TableText"/>
              <w:rPr>
                <w:b/>
              </w:rPr>
            </w:pPr>
            <w:r w:rsidRPr="00787D02">
              <w:rPr>
                <w:b/>
              </w:rPr>
              <w:t>Standard</w:t>
            </w:r>
          </w:p>
        </w:tc>
        <w:tc>
          <w:tcPr>
            <w:tcW w:w="3420" w:type="dxa"/>
            <w:shd w:val="clear" w:color="auto" w:fill="F2F2F2" w:themeFill="background1" w:themeFillShade="F2"/>
          </w:tcPr>
          <w:p w:rsidR="00F50D1D" w:rsidRPr="00787D02" w:rsidRDefault="00F50D1D" w:rsidP="00787D02">
            <w:pPr>
              <w:pStyle w:val="TableText"/>
              <w:jc w:val="center"/>
              <w:rPr>
                <w:b/>
              </w:rPr>
            </w:pPr>
            <w:r w:rsidRPr="00787D02">
              <w:rPr>
                <w:b/>
              </w:rPr>
              <w:t>Consumer Rights &amp; Organisational Management</w:t>
            </w:r>
          </w:p>
        </w:tc>
        <w:tc>
          <w:tcPr>
            <w:tcW w:w="1501" w:type="dxa"/>
            <w:shd w:val="clear" w:color="auto" w:fill="F2F2F2" w:themeFill="background1" w:themeFillShade="F2"/>
          </w:tcPr>
          <w:p w:rsidR="00F50D1D" w:rsidRPr="00787D02" w:rsidRDefault="00F50D1D" w:rsidP="00787D02">
            <w:pPr>
              <w:pStyle w:val="TableText"/>
              <w:rPr>
                <w:b/>
              </w:rPr>
            </w:pPr>
            <w:r w:rsidRPr="00787D02">
              <w:rPr>
                <w:b/>
              </w:rPr>
              <w:t>Match</w:t>
            </w:r>
          </w:p>
        </w:tc>
        <w:tc>
          <w:tcPr>
            <w:tcW w:w="1502" w:type="dxa"/>
            <w:shd w:val="clear" w:color="auto" w:fill="F2F2F2" w:themeFill="background1" w:themeFillShade="F2"/>
          </w:tcPr>
          <w:p w:rsidR="00F50D1D" w:rsidRPr="00787D02" w:rsidRDefault="00F50D1D" w:rsidP="00787D02">
            <w:pPr>
              <w:pStyle w:val="TableText"/>
              <w:rPr>
                <w:b/>
              </w:rPr>
            </w:pPr>
            <w:r w:rsidRPr="00787D02">
              <w:rPr>
                <w:b/>
              </w:rPr>
              <w:t>Partial Match</w:t>
            </w:r>
          </w:p>
        </w:tc>
        <w:tc>
          <w:tcPr>
            <w:tcW w:w="1502" w:type="dxa"/>
            <w:shd w:val="clear" w:color="auto" w:fill="F2F2F2" w:themeFill="background1" w:themeFillShade="F2"/>
          </w:tcPr>
          <w:p w:rsidR="00F50D1D" w:rsidRPr="00787D02" w:rsidRDefault="00F50D1D" w:rsidP="00787D02">
            <w:pPr>
              <w:pStyle w:val="TableText"/>
              <w:rPr>
                <w:b/>
              </w:rPr>
            </w:pPr>
            <w:r w:rsidRPr="00787D02">
              <w:rPr>
                <w:b/>
              </w:rPr>
              <w:t>No Match</w:t>
            </w:r>
          </w:p>
        </w:tc>
      </w:tr>
      <w:tr w:rsidR="00F50D1D" w:rsidRPr="00652A0E" w:rsidTr="00787D02">
        <w:tc>
          <w:tcPr>
            <w:tcW w:w="1142" w:type="dxa"/>
            <w:tcBorders>
              <w:bottom w:val="single" w:sz="4" w:space="0" w:color="808080" w:themeColor="background1" w:themeShade="80"/>
            </w:tcBorders>
          </w:tcPr>
          <w:p w:rsidR="00F50D1D" w:rsidRPr="00652A0E" w:rsidRDefault="00F50D1D" w:rsidP="00787D02">
            <w:pPr>
              <w:pStyle w:val="TableText"/>
            </w:pPr>
            <w:r w:rsidRPr="00652A0E">
              <w:t>HDSS</w:t>
            </w:r>
          </w:p>
        </w:tc>
        <w:tc>
          <w:tcPr>
            <w:tcW w:w="3420" w:type="dxa"/>
            <w:tcBorders>
              <w:bottom w:val="single" w:sz="4" w:space="0" w:color="808080" w:themeColor="background1" w:themeShade="80"/>
            </w:tcBorders>
            <w:shd w:val="clear" w:color="auto" w:fill="EDEDED" w:themeFill="accent3" w:themeFillTint="33"/>
          </w:tcPr>
          <w:p w:rsidR="00F50D1D" w:rsidRPr="007D3AF5" w:rsidRDefault="00F50D1D" w:rsidP="00787D02">
            <w:pPr>
              <w:pStyle w:val="TableText"/>
              <w:jc w:val="center"/>
            </w:pPr>
            <w:r>
              <w:t>22</w:t>
            </w:r>
          </w:p>
        </w:tc>
        <w:tc>
          <w:tcPr>
            <w:tcW w:w="1501" w:type="dxa"/>
            <w:tcBorders>
              <w:bottom w:val="single" w:sz="4" w:space="0" w:color="808080" w:themeColor="background1" w:themeShade="80"/>
            </w:tcBorders>
          </w:tcPr>
          <w:p w:rsidR="00F50D1D" w:rsidRPr="00652A0E" w:rsidRDefault="00F50D1D" w:rsidP="00787D02">
            <w:pPr>
              <w:pStyle w:val="TableText"/>
            </w:pPr>
            <w:r>
              <w:t>11</w:t>
            </w:r>
            <w:r w:rsidR="000C31BA">
              <w:t xml:space="preserve"> (50%)</w:t>
            </w:r>
          </w:p>
        </w:tc>
        <w:tc>
          <w:tcPr>
            <w:tcW w:w="1502" w:type="dxa"/>
            <w:tcBorders>
              <w:bottom w:val="single" w:sz="4" w:space="0" w:color="808080" w:themeColor="background1" w:themeShade="80"/>
            </w:tcBorders>
          </w:tcPr>
          <w:p w:rsidR="00F50D1D" w:rsidRPr="00652A0E" w:rsidRDefault="00F50D1D" w:rsidP="00787D02">
            <w:pPr>
              <w:pStyle w:val="TableText"/>
            </w:pPr>
            <w:r>
              <w:t xml:space="preserve">5 </w:t>
            </w:r>
            <w:r w:rsidR="0087783E">
              <w:t>(23%)</w:t>
            </w:r>
          </w:p>
        </w:tc>
        <w:tc>
          <w:tcPr>
            <w:tcW w:w="1502" w:type="dxa"/>
            <w:tcBorders>
              <w:bottom w:val="single" w:sz="4" w:space="0" w:color="808080" w:themeColor="background1" w:themeShade="80"/>
            </w:tcBorders>
          </w:tcPr>
          <w:p w:rsidR="00F50D1D" w:rsidRPr="00652A0E" w:rsidRDefault="00F50D1D" w:rsidP="00787D02">
            <w:pPr>
              <w:pStyle w:val="TableText"/>
            </w:pPr>
            <w:r>
              <w:t>6</w:t>
            </w:r>
            <w:r w:rsidR="0087783E">
              <w:t xml:space="preserve"> (27%)</w:t>
            </w:r>
            <w:r>
              <w:t xml:space="preserve"> </w:t>
            </w:r>
          </w:p>
        </w:tc>
      </w:tr>
      <w:tr w:rsidR="00F50D1D" w:rsidRPr="00652A0E" w:rsidTr="00787D02">
        <w:tc>
          <w:tcPr>
            <w:tcW w:w="1142"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rsidRPr="00652A0E">
              <w:t>FSS</w:t>
            </w:r>
          </w:p>
        </w:tc>
        <w:tc>
          <w:tcPr>
            <w:tcW w:w="3420" w:type="dxa"/>
            <w:tcBorders>
              <w:top w:val="single" w:sz="4" w:space="0" w:color="808080" w:themeColor="background1" w:themeShade="80"/>
              <w:bottom w:val="single" w:sz="4" w:space="0" w:color="808080" w:themeColor="background1" w:themeShade="80"/>
            </w:tcBorders>
            <w:shd w:val="clear" w:color="auto" w:fill="EDEDED" w:themeFill="accent3" w:themeFillTint="33"/>
          </w:tcPr>
          <w:p w:rsidR="00F50D1D" w:rsidRPr="007D3AF5" w:rsidRDefault="00F50D1D" w:rsidP="00787D02">
            <w:pPr>
              <w:pStyle w:val="TableText"/>
              <w:jc w:val="center"/>
            </w:pPr>
            <w:r>
              <w:t>23</w:t>
            </w:r>
          </w:p>
        </w:tc>
        <w:tc>
          <w:tcPr>
            <w:tcW w:w="1501"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t>12</w:t>
            </w:r>
            <w:r w:rsidR="0087783E">
              <w:t xml:space="preserve"> (52%)</w:t>
            </w:r>
          </w:p>
        </w:tc>
        <w:tc>
          <w:tcPr>
            <w:tcW w:w="1502"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t xml:space="preserve">2 </w:t>
            </w:r>
            <w:r w:rsidR="0087783E">
              <w:t>(9%)</w:t>
            </w:r>
          </w:p>
        </w:tc>
        <w:tc>
          <w:tcPr>
            <w:tcW w:w="1502"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t xml:space="preserve">9 </w:t>
            </w:r>
            <w:r w:rsidR="0087783E">
              <w:t>(39%)</w:t>
            </w:r>
          </w:p>
        </w:tc>
      </w:tr>
      <w:tr w:rsidR="00F50D1D" w:rsidRPr="00652A0E" w:rsidTr="00787D02">
        <w:tc>
          <w:tcPr>
            <w:tcW w:w="1142"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rsidRPr="00652A0E">
              <w:t>HCSS</w:t>
            </w:r>
          </w:p>
        </w:tc>
        <w:tc>
          <w:tcPr>
            <w:tcW w:w="3420" w:type="dxa"/>
            <w:tcBorders>
              <w:top w:val="single" w:sz="4" w:space="0" w:color="808080" w:themeColor="background1" w:themeShade="80"/>
              <w:bottom w:val="single" w:sz="4" w:space="0" w:color="808080" w:themeColor="background1" w:themeShade="80"/>
            </w:tcBorders>
            <w:shd w:val="clear" w:color="auto" w:fill="EDEDED" w:themeFill="accent3" w:themeFillTint="33"/>
          </w:tcPr>
          <w:p w:rsidR="00F50D1D" w:rsidRPr="007D3AF5" w:rsidRDefault="00F50D1D" w:rsidP="00787D02">
            <w:pPr>
              <w:pStyle w:val="TableText"/>
              <w:jc w:val="center"/>
            </w:pPr>
            <w:r>
              <w:t>17</w:t>
            </w:r>
            <w:r>
              <w:rPr>
                <w:rStyle w:val="FootnoteReference"/>
                <w:rFonts w:ascii="Arial" w:hAnsi="Arial"/>
                <w:i/>
                <w:sz w:val="20"/>
                <w:szCs w:val="20"/>
              </w:rPr>
              <w:footnoteReference w:id="1"/>
            </w:r>
          </w:p>
        </w:tc>
        <w:tc>
          <w:tcPr>
            <w:tcW w:w="1501"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t>12</w:t>
            </w:r>
            <w:r w:rsidR="0087783E">
              <w:t xml:space="preserve"> (70%)</w:t>
            </w:r>
          </w:p>
        </w:tc>
        <w:tc>
          <w:tcPr>
            <w:tcW w:w="1502"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t>2</w:t>
            </w:r>
            <w:r w:rsidR="0087783E">
              <w:t xml:space="preserve"> (12%)</w:t>
            </w:r>
            <w:r>
              <w:t xml:space="preserve"> </w:t>
            </w:r>
          </w:p>
        </w:tc>
        <w:tc>
          <w:tcPr>
            <w:tcW w:w="1502" w:type="dxa"/>
            <w:tcBorders>
              <w:top w:val="single" w:sz="4" w:space="0" w:color="808080" w:themeColor="background1" w:themeShade="80"/>
              <w:bottom w:val="single" w:sz="4" w:space="0" w:color="808080" w:themeColor="background1" w:themeShade="80"/>
            </w:tcBorders>
          </w:tcPr>
          <w:p w:rsidR="00F50D1D" w:rsidRPr="00652A0E" w:rsidRDefault="00F50D1D" w:rsidP="00787D02">
            <w:pPr>
              <w:pStyle w:val="TableText"/>
            </w:pPr>
            <w:r>
              <w:t>3</w:t>
            </w:r>
            <w:r w:rsidR="0087783E">
              <w:t xml:space="preserve"> (18%)</w:t>
            </w:r>
            <w:r>
              <w:t xml:space="preserve"> </w:t>
            </w:r>
          </w:p>
        </w:tc>
      </w:tr>
    </w:tbl>
    <w:p w:rsidR="00787D02" w:rsidRDefault="00787D02" w:rsidP="00595FD6">
      <w:pPr>
        <w:sectPr w:rsidR="00787D02" w:rsidSect="005A62EE">
          <w:pgSz w:w="11906" w:h="16838"/>
          <w:pgMar w:top="1418" w:right="1418" w:bottom="1134" w:left="1418" w:header="567" w:footer="709" w:gutter="0"/>
          <w:cols w:space="708"/>
          <w:titlePg/>
          <w:docGrid w:linePitch="360"/>
        </w:sectPr>
      </w:pPr>
    </w:p>
    <w:p w:rsidR="0087783E" w:rsidRDefault="00144F9F" w:rsidP="00595FD6">
      <w:r>
        <w:t>The most significant variation between the standards is seen within Part 3 (Continuum of Service Delivery) with a total of 22 outcome statements across the</w:t>
      </w:r>
      <w:r w:rsidR="007D7068">
        <w:t xml:space="preserve"> three</w:t>
      </w:r>
      <w:r>
        <w:t xml:space="preserve"> standards not matching. </w:t>
      </w:r>
      <w:r w:rsidR="007D7068">
        <w:t>It is assumed that this accounts for the technical aspects of fertility services, and the nature of home based services</w:t>
      </w:r>
      <w:r w:rsidR="0087783E">
        <w:rPr>
          <w:rStyle w:val="FootnoteReference"/>
          <w:rFonts w:ascii="Arial" w:hAnsi="Arial"/>
        </w:rPr>
        <w:footnoteReference w:id="2"/>
      </w:r>
      <w:r w:rsidR="006A7C52">
        <w:t>.</w:t>
      </w:r>
    </w:p>
    <w:p w:rsidR="006A7C52" w:rsidRDefault="006A7C52" w:rsidP="00595FD6">
      <w:pPr>
        <w:pStyle w:val="Heading2"/>
      </w:pPr>
      <w:bookmarkStart w:id="27" w:name="_Toc19179543"/>
      <w:r>
        <w:t>Opportunities</w:t>
      </w:r>
      <w:bookmarkEnd w:id="27"/>
      <w:r>
        <w:t xml:space="preserve"> </w:t>
      </w:r>
    </w:p>
    <w:p w:rsidR="00302750" w:rsidRDefault="006A7C52" w:rsidP="00787D02">
      <w:r w:rsidRPr="006A7C52">
        <w:t>This</w:t>
      </w:r>
      <w:r>
        <w:t xml:space="preserve"> mapping presents two options for to consider as this review progresses:</w:t>
      </w:r>
    </w:p>
    <w:p w:rsidR="006A7C52" w:rsidRDefault="006A7C52" w:rsidP="005A62EE">
      <w:pPr>
        <w:pStyle w:val="ListParagraph"/>
        <w:numPr>
          <w:ilvl w:val="0"/>
          <w:numId w:val="15"/>
        </w:numPr>
      </w:pPr>
      <w:r w:rsidRPr="006A7C52">
        <w:t>Retain</w:t>
      </w:r>
      <w:r>
        <w:t xml:space="preserve"> the current three standards (HDSS, FSS, HCSS) in their current form</w:t>
      </w:r>
    </w:p>
    <w:p w:rsidR="006A7C52" w:rsidRDefault="006A7C52" w:rsidP="005A62EE">
      <w:pPr>
        <w:pStyle w:val="ListParagraph"/>
        <w:numPr>
          <w:ilvl w:val="0"/>
          <w:numId w:val="15"/>
        </w:numPr>
      </w:pPr>
      <w:r>
        <w:t xml:space="preserve">Develop modules – grouping outcome statements relevant to all services where synergies exist and develop technical/ service specific outcome statements where alignment does not exist. </w:t>
      </w:r>
    </w:p>
    <w:p w:rsidR="006A7C52" w:rsidRDefault="00DF5A28" w:rsidP="00787D02">
      <w:r>
        <w:fldChar w:fldCharType="begin"/>
      </w:r>
      <w:r>
        <w:instrText xml:space="preserve"> REF _Ref19010028 \h </w:instrText>
      </w:r>
      <w:r>
        <w:fldChar w:fldCharType="separate"/>
      </w:r>
      <w:r w:rsidR="001E1F52">
        <w:t xml:space="preserve">Diagram </w:t>
      </w:r>
      <w:r w:rsidR="001E1F52">
        <w:rPr>
          <w:noProof/>
        </w:rPr>
        <w:t>2</w:t>
      </w:r>
      <w:r>
        <w:fldChar w:fldCharType="end"/>
      </w:r>
      <w:r w:rsidR="00783C04" w:rsidRPr="00783C04">
        <w:t xml:space="preserve"> highlights what a</w:t>
      </w:r>
      <w:r w:rsidR="006A7C52" w:rsidRPr="00783C04">
        <w:t xml:space="preserve"> modular approach could look like</w:t>
      </w:r>
      <w:r w:rsidR="00783C04">
        <w:t>. The current Parts as outlined in this document have been renamed with no particular intent other than to invite the creation of a new vision.</w:t>
      </w:r>
      <w:r w:rsidR="00D43724">
        <w:t xml:space="preserve"> Module 1 – the people and their rights</w:t>
      </w:r>
      <w:r w:rsidR="00663BD2">
        <w:t xml:space="preserve"> -</w:t>
      </w:r>
      <w:r w:rsidR="00D43724">
        <w:t xml:space="preserve"> could contain two </w:t>
      </w:r>
      <w:r w:rsidR="00B90CEF">
        <w:t>clusters of outcome statements</w:t>
      </w:r>
      <w:r w:rsidR="00D43724">
        <w:t>, one that applies to all service types and one that relates to fertility services only</w:t>
      </w:r>
      <w:r w:rsidR="00B90CEF">
        <w:t xml:space="preserve">. The latter </w:t>
      </w:r>
      <w:r w:rsidR="00D43724">
        <w:t xml:space="preserve">capturing </w:t>
      </w:r>
      <w:r w:rsidR="00B90CEF">
        <w:t xml:space="preserve">the </w:t>
      </w:r>
      <w:r w:rsidR="00D43724">
        <w:t>rights of offspring resulting from reproductive technologies, and donors</w:t>
      </w:r>
      <w:r w:rsidR="00B90CEF">
        <w:t xml:space="preserve"> </w:t>
      </w:r>
      <w:r w:rsidR="00E25F20">
        <w:t>for</w:t>
      </w:r>
      <w:r w:rsidR="00B90CEF">
        <w:t xml:space="preserve"> examples</w:t>
      </w:r>
      <w:r w:rsidR="00D43724">
        <w:t xml:space="preserve">. </w:t>
      </w:r>
      <w:r w:rsidR="00663BD2">
        <w:t xml:space="preserve">Module 2 – staff and structure – could similarly contain two clusters of outcome statements. Variation surfaces when moving to Module 3 – the services I receive – with clusters of outcome statements for the various service types. </w:t>
      </w:r>
    </w:p>
    <w:p w:rsidR="0016527C" w:rsidRPr="00783C04" w:rsidRDefault="0016527C" w:rsidP="00787D02">
      <w:r>
        <w:t>This concept can be further considered as the outcomes from the scoping workshops present.</w:t>
      </w:r>
    </w:p>
    <w:p w:rsidR="00787D02" w:rsidRDefault="00787D02" w:rsidP="00595FD6">
      <w:pPr>
        <w:sectPr w:rsidR="00787D02" w:rsidSect="005A62EE">
          <w:pgSz w:w="11906" w:h="16838"/>
          <w:pgMar w:top="1418" w:right="1418" w:bottom="1134" w:left="1418" w:header="567" w:footer="709" w:gutter="0"/>
          <w:cols w:space="708"/>
          <w:titlePg/>
          <w:docGrid w:linePitch="360"/>
        </w:sectPr>
      </w:pPr>
    </w:p>
    <w:p w:rsidR="00663BD2" w:rsidRDefault="00787D02" w:rsidP="00787D02">
      <w:pPr>
        <w:pStyle w:val="Caption"/>
      </w:pPr>
      <w:bookmarkStart w:id="28" w:name="_Ref19010028"/>
      <w:r>
        <w:t xml:space="preserve">Diagram </w:t>
      </w:r>
      <w:r w:rsidR="002B15E1">
        <w:rPr>
          <w:noProof/>
        </w:rPr>
        <w:fldChar w:fldCharType="begin"/>
      </w:r>
      <w:r w:rsidR="002B15E1">
        <w:rPr>
          <w:noProof/>
        </w:rPr>
        <w:instrText xml:space="preserve"> SEQ Diagram \* ARABIC </w:instrText>
      </w:r>
      <w:r w:rsidR="002B15E1">
        <w:rPr>
          <w:noProof/>
        </w:rPr>
        <w:fldChar w:fldCharType="separate"/>
      </w:r>
      <w:r w:rsidR="001E1F52">
        <w:rPr>
          <w:noProof/>
        </w:rPr>
        <w:t>2</w:t>
      </w:r>
      <w:r w:rsidR="002B15E1">
        <w:rPr>
          <w:noProof/>
        </w:rPr>
        <w:fldChar w:fldCharType="end"/>
      </w:r>
      <w:bookmarkEnd w:id="28"/>
      <w:r>
        <w:t xml:space="preserve">: </w:t>
      </w:r>
      <w:r w:rsidR="002B15E1">
        <w:t>Example of a possible structure for revised standards</w:t>
      </w:r>
    </w:p>
    <w:p w:rsidR="00B52A90" w:rsidRPr="00663BD2" w:rsidRDefault="00B52A90" w:rsidP="00595FD6"/>
    <w:p w:rsidR="006A7C52" w:rsidRDefault="005064EE" w:rsidP="00595FD6">
      <w:pPr>
        <w:rPr>
          <w:rFonts w:ascii="Arial" w:hAnsi="Arial"/>
        </w:rPr>
      </w:pPr>
      <w:r>
        <w:object w:dxaOrig="12877" w:dyaOrig="10548">
          <v:shape id="_x0000_i1026" type="#_x0000_t75" alt="This diagram shows how the standards lead to 4 different modules and guidelines within them." style="width:450.75pt;height:369pt" o:ole="">
            <v:imagedata r:id="rId17" o:title=""/>
          </v:shape>
          <o:OLEObject Type="Embed" ProgID="Visio.Drawing.15" ShapeID="_x0000_i1026" DrawAspect="Content" ObjectID="_1629792537" r:id="rId18"/>
        </w:object>
      </w:r>
    </w:p>
    <w:p w:rsidR="006A7C52" w:rsidRDefault="006A7C52" w:rsidP="00595FD6"/>
    <w:p w:rsidR="006A7C52" w:rsidRDefault="006A7C52" w:rsidP="00595FD6"/>
    <w:p w:rsidR="006A7C52" w:rsidRDefault="006A7C52" w:rsidP="00595FD6"/>
    <w:p w:rsidR="006A7C52" w:rsidRDefault="006A7C52" w:rsidP="00595FD6"/>
    <w:p w:rsidR="006A7C52" w:rsidRDefault="006A7C52" w:rsidP="00595FD6">
      <w:pPr>
        <w:sectPr w:rsidR="006A7C52" w:rsidSect="005A62EE">
          <w:pgSz w:w="11906" w:h="16838"/>
          <w:pgMar w:top="1418" w:right="1418" w:bottom="1134" w:left="1418" w:header="567" w:footer="709" w:gutter="0"/>
          <w:cols w:space="708"/>
          <w:titlePg/>
          <w:docGrid w:linePitch="360"/>
        </w:sectPr>
      </w:pPr>
    </w:p>
    <w:p w:rsidR="00787D02" w:rsidRDefault="00302750" w:rsidP="00787D02">
      <w:pPr>
        <w:pStyle w:val="Heading2"/>
        <w:sectPr w:rsidR="00787D02" w:rsidSect="00787D02">
          <w:pgSz w:w="11906" w:h="16838"/>
          <w:pgMar w:top="1418" w:right="1134" w:bottom="1418" w:left="1418" w:header="709" w:footer="709" w:gutter="0"/>
          <w:cols w:space="708"/>
          <w:titlePg/>
          <w:docGrid w:linePitch="360"/>
        </w:sectPr>
      </w:pPr>
      <w:bookmarkStart w:id="29" w:name="_Toc19179544"/>
      <w:r>
        <w:t xml:space="preserve">Appendix 1: Mapping </w:t>
      </w:r>
      <w:r w:rsidR="00E01104">
        <w:t xml:space="preserve">the </w:t>
      </w:r>
      <w:r>
        <w:t>Standard</w:t>
      </w:r>
      <w:r w:rsidR="00E01104">
        <w:t>s</w:t>
      </w:r>
      <w:bookmarkEnd w:id="29"/>
    </w:p>
    <w:tbl>
      <w:tblPr>
        <w:tblStyle w:val="PlainTable1"/>
        <w:tblpPr w:leftFromText="181" w:rightFromText="181" w:topFromText="2279" w:bottomFromText="862" w:vertAnchor="text" w:horzAnchor="margin" w:tblpXSpec="center" w:tblpY="1"/>
        <w:tblOverlap w:val="never"/>
        <w:tblW w:w="5007" w:type="pct"/>
        <w:tblLook w:val="0480" w:firstRow="0" w:lastRow="0" w:firstColumn="1" w:lastColumn="0" w:noHBand="0" w:noVBand="1"/>
      </w:tblPr>
      <w:tblGrid>
        <w:gridCol w:w="990"/>
        <w:gridCol w:w="1276"/>
        <w:gridCol w:w="8511"/>
        <w:gridCol w:w="1080"/>
        <w:gridCol w:w="1105"/>
        <w:gridCol w:w="1060"/>
      </w:tblGrid>
      <w:tr w:rsidR="009C3842" w:rsidRPr="001C31AF" w:rsidTr="00585B58">
        <w:trPr>
          <w:trHeight w:val="397"/>
          <w:tblHeader/>
        </w:trPr>
        <w:tc>
          <w:tcPr>
            <w:cnfStyle w:val="001000000000" w:firstRow="0" w:lastRow="0" w:firstColumn="1" w:lastColumn="0" w:oddVBand="0" w:evenVBand="0" w:oddHBand="0" w:evenHBand="0" w:firstRowFirstColumn="0" w:firstRowLastColumn="0" w:lastRowFirstColumn="0" w:lastRowLastColumn="0"/>
            <w:tcW w:w="3842" w:type="pct"/>
            <w:gridSpan w:val="3"/>
            <w:tcBorders>
              <w:top w:val="nil"/>
              <w:left w:val="nil"/>
              <w:bottom w:val="nil"/>
              <w:right w:val="nil"/>
            </w:tcBorders>
            <w:shd w:val="clear" w:color="auto" w:fill="F2F2F2" w:themeFill="background1" w:themeFillShade="F2"/>
            <w:vAlign w:val="center"/>
          </w:tcPr>
          <w:p w:rsidR="001C31AF" w:rsidRPr="009C3842" w:rsidRDefault="001C31AF" w:rsidP="00BE5787">
            <w:pPr>
              <w:pStyle w:val="TableText"/>
              <w:spacing w:before="40" w:after="40"/>
              <w:rPr>
                <w:lang w:eastAsia="en-NZ"/>
              </w:rPr>
            </w:pPr>
            <w:r w:rsidRPr="009C3842">
              <w:rPr>
                <w:lang w:eastAsia="en-NZ"/>
              </w:rPr>
              <w:t>PART 1: C</w:t>
            </w:r>
            <w:r w:rsidR="00580FDB" w:rsidRPr="009C3842">
              <w:rPr>
                <w:lang w:eastAsia="en-NZ"/>
              </w:rPr>
              <w:t>ONSUMER RIGHTS</w:t>
            </w:r>
          </w:p>
        </w:tc>
        <w:tc>
          <w:tcPr>
            <w:tcW w:w="385" w:type="pct"/>
            <w:tcBorders>
              <w:top w:val="nil"/>
              <w:left w:val="nil"/>
              <w:bottom w:val="nil"/>
              <w:right w:val="nil"/>
            </w:tcBorders>
            <w:shd w:val="clear" w:color="auto" w:fill="F2F2F2" w:themeFill="background1" w:themeFillShade="F2"/>
            <w:vAlign w:val="center"/>
          </w:tcPr>
          <w:p w:rsidR="001C31AF" w:rsidRPr="009C3842" w:rsidRDefault="001C31AF"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9C3842">
              <w:rPr>
                <w:b/>
                <w:lang w:eastAsia="en-NZ"/>
              </w:rPr>
              <w:t>Exact Match</w:t>
            </w:r>
          </w:p>
        </w:tc>
        <w:tc>
          <w:tcPr>
            <w:tcW w:w="394" w:type="pct"/>
            <w:tcBorders>
              <w:top w:val="nil"/>
              <w:left w:val="nil"/>
              <w:bottom w:val="nil"/>
              <w:right w:val="nil"/>
            </w:tcBorders>
            <w:shd w:val="clear" w:color="auto" w:fill="F2F2F2" w:themeFill="background1" w:themeFillShade="F2"/>
            <w:vAlign w:val="center"/>
          </w:tcPr>
          <w:p w:rsidR="001C31AF" w:rsidRPr="009C3842" w:rsidRDefault="001C31AF"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9C3842">
              <w:rPr>
                <w:b/>
                <w:lang w:eastAsia="en-NZ"/>
              </w:rPr>
              <w:t>Partial</w:t>
            </w:r>
          </w:p>
        </w:tc>
        <w:tc>
          <w:tcPr>
            <w:tcW w:w="379" w:type="pct"/>
            <w:tcBorders>
              <w:top w:val="nil"/>
              <w:left w:val="nil"/>
              <w:bottom w:val="nil"/>
              <w:right w:val="nil"/>
            </w:tcBorders>
            <w:shd w:val="clear" w:color="auto" w:fill="F2F2F2" w:themeFill="background1" w:themeFillShade="F2"/>
            <w:vAlign w:val="center"/>
          </w:tcPr>
          <w:p w:rsidR="001C31AF" w:rsidRPr="009C3842" w:rsidRDefault="001C31AF"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9C3842">
              <w:rPr>
                <w:b/>
                <w:lang w:eastAsia="en-NZ"/>
              </w:rPr>
              <w:t xml:space="preserve">No </w:t>
            </w:r>
            <w:r w:rsidR="00585B58">
              <w:rPr>
                <w:b/>
                <w:lang w:eastAsia="en-NZ"/>
              </w:rPr>
              <w:t>M</w:t>
            </w:r>
            <w:r w:rsidRPr="009C3842">
              <w:rPr>
                <w:b/>
                <w:lang w:eastAsia="en-NZ"/>
              </w:rPr>
              <w:t>atch</w:t>
            </w: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tcBorders>
              <w:top w:val="nil"/>
              <w:left w:val="nil"/>
            </w:tcBorders>
            <w:shd w:val="clear" w:color="auto" w:fill="auto"/>
          </w:tcPr>
          <w:p w:rsidR="001C31AF" w:rsidRPr="009C3842" w:rsidRDefault="001C31AF" w:rsidP="00BE5787">
            <w:pPr>
              <w:pStyle w:val="TableText"/>
              <w:spacing w:before="40" w:after="40"/>
            </w:pPr>
            <w:r w:rsidRPr="009C3842">
              <w:t>HDSS</w:t>
            </w:r>
          </w:p>
        </w:tc>
        <w:tc>
          <w:tcPr>
            <w:tcW w:w="3489" w:type="pct"/>
            <w:gridSpan w:val="2"/>
            <w:tcBorders>
              <w:top w:val="nil"/>
            </w:tcBorders>
            <w:shd w:val="clear" w:color="auto" w:fill="auto"/>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1.1.1: Consumer Rights During Service Delivery HDSS(C)S.2008:1.1.1): Consumers receive services in accordance with consumer rights legislation.</w:t>
            </w:r>
          </w:p>
        </w:tc>
        <w:tc>
          <w:tcPr>
            <w:tcW w:w="385" w:type="pct"/>
            <w:tcBorders>
              <w:top w:val="nil"/>
            </w:tcBorders>
            <w:shd w:val="clear" w:color="auto" w:fill="auto"/>
            <w:vAlign w:val="center"/>
          </w:tcPr>
          <w:p w:rsidR="001C31AF" w:rsidRPr="009D6533" w:rsidRDefault="00580FDB"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lang w:eastAsia="en-NZ"/>
              </w:rPr>
              <w:t>√</w:t>
            </w:r>
          </w:p>
        </w:tc>
        <w:tc>
          <w:tcPr>
            <w:tcW w:w="394" w:type="pct"/>
            <w:tcBorders>
              <w:top w:val="nil"/>
            </w:tcBorders>
            <w:shd w:val="clear" w:color="auto" w:fill="auto"/>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tcBorders>
              <w:top w:val="nil"/>
              <w:right w:val="nil"/>
            </w:tcBorders>
            <w:shd w:val="clear" w:color="auto" w:fill="auto"/>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tcBorders>
              <w:left w:val="nil"/>
            </w:tcBorders>
            <w:shd w:val="clear" w:color="auto" w:fill="auto"/>
          </w:tcPr>
          <w:p w:rsidR="001C31AF" w:rsidRPr="009C3842" w:rsidRDefault="001C31AF" w:rsidP="00BE5787">
            <w:pPr>
              <w:pStyle w:val="TableText"/>
              <w:spacing w:before="40" w:after="40"/>
            </w:pPr>
          </w:p>
        </w:tc>
        <w:tc>
          <w:tcPr>
            <w:tcW w:w="455" w:type="pct"/>
            <w:shd w:val="clear" w:color="auto" w:fill="auto"/>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FSS</w:t>
            </w:r>
          </w:p>
        </w:tc>
        <w:tc>
          <w:tcPr>
            <w:tcW w:w="3035" w:type="pct"/>
            <w:shd w:val="clear" w:color="auto" w:fill="auto"/>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1.1: Consumer Rights during Service Delivery: Consumers receive services in accordance with consumer rights legislation.</w:t>
            </w:r>
          </w:p>
        </w:tc>
        <w:tc>
          <w:tcPr>
            <w:tcW w:w="385" w:type="pct"/>
            <w:shd w:val="clear" w:color="auto" w:fill="auto"/>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shd w:val="clear" w:color="auto" w:fill="auto"/>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9" w:type="pct"/>
            <w:tcBorders>
              <w:right w:val="nil"/>
            </w:tcBorders>
            <w:shd w:val="clear" w:color="auto" w:fill="auto"/>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tcBorders>
              <w:left w:val="nil"/>
            </w:tcBorders>
            <w:shd w:val="clear" w:color="auto" w:fill="auto"/>
          </w:tcPr>
          <w:p w:rsidR="001C31AF" w:rsidRPr="009C3842" w:rsidRDefault="001C31AF" w:rsidP="00BE5787">
            <w:pPr>
              <w:pStyle w:val="TableText"/>
              <w:spacing w:before="40" w:after="40"/>
            </w:pPr>
          </w:p>
        </w:tc>
        <w:tc>
          <w:tcPr>
            <w:tcW w:w="455" w:type="pct"/>
            <w:shd w:val="clear" w:color="auto" w:fill="auto"/>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HCSS</w:t>
            </w:r>
          </w:p>
        </w:tc>
        <w:tc>
          <w:tcPr>
            <w:tcW w:w="3035" w:type="pct"/>
            <w:shd w:val="clear" w:color="auto" w:fill="auto"/>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 xml:space="preserve">1.1: Consumer Rights under Legislation: </w:t>
            </w:r>
            <w:r w:rsidRPr="009C3842">
              <w:rPr>
                <w:rStyle w:val="BodyTextChar"/>
                <w:rFonts w:ascii="Segoe UI" w:hAnsi="Segoe UI"/>
                <w:sz w:val="21"/>
                <w:szCs w:val="21"/>
              </w:rPr>
              <w:t>Consumers receive services in accordance with their rights.</w:t>
            </w:r>
          </w:p>
        </w:tc>
        <w:tc>
          <w:tcPr>
            <w:tcW w:w="385" w:type="pct"/>
            <w:shd w:val="clear" w:color="auto" w:fill="auto"/>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shd w:val="clear" w:color="auto" w:fill="auto"/>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tcBorders>
              <w:right w:val="nil"/>
            </w:tcBorders>
            <w:shd w:val="clear" w:color="auto" w:fill="auto"/>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9C3842" w:rsidRDefault="001C31AF" w:rsidP="00BE5787">
            <w:pPr>
              <w:pStyle w:val="TableText"/>
              <w:spacing w:before="40" w:after="40"/>
            </w:pPr>
            <w:r w:rsidRPr="009C3842">
              <w:t>HDSS</w:t>
            </w:r>
          </w:p>
        </w:tc>
        <w:tc>
          <w:tcPr>
            <w:tcW w:w="3489" w:type="pct"/>
            <w:gridSpan w:val="2"/>
            <w:shd w:val="clear" w:color="auto" w:fill="F2F2F2" w:themeFill="background1" w:themeFillShade="F2"/>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1.1.2: Consumer Rights during Service Delivery (HDS(C) S.2008:1.1.2): Consumers are informed of their rights.</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r w:rsidRPr="009D6533">
              <w:rPr>
                <w:b/>
                <w:sz w:val="24"/>
                <w:lang w:eastAsia="en-NZ"/>
              </w:rPr>
              <w:t>√</w:t>
            </w: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9C3842" w:rsidRDefault="001C31AF" w:rsidP="00BE5787">
            <w:pPr>
              <w:pStyle w:val="TableText"/>
              <w:spacing w:before="40" w:after="40"/>
            </w:pPr>
          </w:p>
        </w:tc>
        <w:tc>
          <w:tcPr>
            <w:tcW w:w="455" w:type="pct"/>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FSS</w:t>
            </w:r>
          </w:p>
        </w:tc>
        <w:tc>
          <w:tcPr>
            <w:tcW w:w="3035" w:type="pct"/>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1.1: Consumer Rights during Service Delivery: Consumers receive services in accordance with consumer rights legislation – match at criterion level</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9D6533"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1C31AF" w:rsidRPr="009C3842" w:rsidRDefault="001C31AF" w:rsidP="00BE5787">
            <w:pPr>
              <w:pStyle w:val="TableText"/>
              <w:spacing w:before="40" w:after="40"/>
            </w:pPr>
          </w:p>
        </w:tc>
        <w:tc>
          <w:tcPr>
            <w:tcW w:w="455" w:type="pct"/>
            <w:shd w:val="clear" w:color="auto" w:fill="F2F2F2" w:themeFill="background1" w:themeFillShade="F2"/>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HCSS</w:t>
            </w:r>
          </w:p>
        </w:tc>
        <w:tc>
          <w:tcPr>
            <w:tcW w:w="3035" w:type="pct"/>
            <w:shd w:val="clear" w:color="auto" w:fill="F2F2F2" w:themeFill="background1" w:themeFillShade="F2"/>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1.1: Consumer Rights under Legislation: Consumers receive services in accordance with their rights – match at criterion level</w:t>
            </w:r>
          </w:p>
        </w:tc>
        <w:tc>
          <w:tcPr>
            <w:tcW w:w="385" w:type="pct"/>
            <w:vMerge/>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9" w:type="pct"/>
            <w:vMerge/>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9C3842" w:rsidRDefault="001C31AF" w:rsidP="00BE5787">
            <w:pPr>
              <w:pStyle w:val="TableText"/>
              <w:spacing w:before="40" w:after="40"/>
            </w:pPr>
            <w:r w:rsidRPr="009C3842">
              <w:t>HDSS</w:t>
            </w:r>
          </w:p>
        </w:tc>
        <w:tc>
          <w:tcPr>
            <w:tcW w:w="3489" w:type="pct"/>
            <w:gridSpan w:val="2"/>
            <w:shd w:val="clear" w:color="auto" w:fill="FFFFFF" w:themeFill="background1"/>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 xml:space="preserve">1.1.3: Independence, Personal Privacy, Dignity, </w:t>
            </w:r>
            <w:r w:rsidR="00E0176A">
              <w:t>a</w:t>
            </w:r>
            <w:r w:rsidRPr="009C3842">
              <w:t xml:space="preserve">nd Respect (HDS©S.2008:1.1.3): Consumers are treated with respect and receive services in a manner that has regard for their dignity, privacy, and independence.  </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lang w:eastAsia="en-NZ"/>
              </w:rPr>
              <w:t>√</w:t>
            </w: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9C3842" w:rsidRDefault="001C31AF" w:rsidP="00BE5787">
            <w:pPr>
              <w:pStyle w:val="TableText"/>
              <w:spacing w:before="40" w:after="40"/>
            </w:pPr>
          </w:p>
        </w:tc>
        <w:tc>
          <w:tcPr>
            <w:tcW w:w="455" w:type="pct"/>
            <w:shd w:val="clear" w:color="auto" w:fill="auto"/>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FSS</w:t>
            </w:r>
          </w:p>
        </w:tc>
        <w:tc>
          <w:tcPr>
            <w:tcW w:w="3035" w:type="pct"/>
            <w:shd w:val="clear" w:color="auto" w:fill="auto"/>
          </w:tcPr>
          <w:p w:rsidR="001C31AF" w:rsidRPr="009C3842"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C3842">
              <w:t>1.5: Personal Privacy and Dignity: The personal privacy and dignity of the consumer is respected and met during service provision</w:t>
            </w:r>
          </w:p>
        </w:tc>
        <w:tc>
          <w:tcPr>
            <w:tcW w:w="385"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9C3842" w:rsidRDefault="001C31AF" w:rsidP="00BE5787">
            <w:pPr>
              <w:pStyle w:val="TableText"/>
              <w:spacing w:before="40" w:after="40"/>
            </w:pPr>
          </w:p>
        </w:tc>
        <w:tc>
          <w:tcPr>
            <w:tcW w:w="455" w:type="pct"/>
            <w:shd w:val="clear" w:color="auto" w:fill="FFFFFF" w:themeFill="background1"/>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HCSS</w:t>
            </w:r>
          </w:p>
        </w:tc>
        <w:tc>
          <w:tcPr>
            <w:tcW w:w="3035" w:type="pct"/>
            <w:shd w:val="clear" w:color="auto" w:fill="FFFFFF" w:themeFill="background1"/>
          </w:tcPr>
          <w:p w:rsidR="001C31AF" w:rsidRPr="009C3842"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C3842">
              <w:t>1.2: Individual Privacy, Dignity and Respect: Consumers are treated with respect and receive services in a manner that has regard for their dignity, privacy, confidentiality, and independence</w:t>
            </w:r>
          </w:p>
        </w:tc>
        <w:tc>
          <w:tcPr>
            <w:tcW w:w="385"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F344D3" w:rsidRDefault="001C31AF" w:rsidP="00BE5787">
            <w:pPr>
              <w:pStyle w:val="TableText"/>
              <w:spacing w:before="40" w:after="40"/>
            </w:pPr>
            <w:r w:rsidRPr="00F344D3">
              <w:t>HDSS</w:t>
            </w:r>
          </w:p>
        </w:tc>
        <w:tc>
          <w:tcPr>
            <w:tcW w:w="3489" w:type="pct"/>
            <w:gridSpan w:val="2"/>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 xml:space="preserve">1.1.4: Recognition </w:t>
            </w:r>
            <w:r w:rsidR="00E0176A" w:rsidRPr="00580FDB">
              <w:t>of</w:t>
            </w:r>
            <w:r w:rsidRPr="00580FDB">
              <w:t xml:space="preserve"> Māori Values </w:t>
            </w:r>
            <w:r w:rsidR="00E0176A">
              <w:t>a</w:t>
            </w:r>
            <w:r w:rsidRPr="00580FDB">
              <w:t>nd Beliefs (HDS©S.2008:1.1.4): Consumers who identify as Māori have their health and disability needs met in a manner that respects and acknowledges their individual and cultural, values and beliefs</w:t>
            </w:r>
          </w:p>
        </w:tc>
        <w:tc>
          <w:tcPr>
            <w:tcW w:w="385" w:type="pct"/>
            <w:vMerge w:val="restart"/>
            <w:shd w:val="clear" w:color="auto" w:fill="F2F2F2" w:themeFill="background1" w:themeFillShade="F2"/>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r w:rsidRPr="009C3842">
              <w:rPr>
                <w:b/>
                <w:sz w:val="24"/>
                <w:lang w:eastAsia="en-NZ"/>
              </w:rPr>
              <w:t>√</w:t>
            </w:r>
          </w:p>
        </w:tc>
        <w:tc>
          <w:tcPr>
            <w:tcW w:w="394" w:type="pct"/>
            <w:vMerge w:val="restart"/>
            <w:shd w:val="clear" w:color="auto" w:fill="F2F2F2" w:themeFill="background1" w:themeFillShade="F2"/>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9" w:type="pct"/>
            <w:vMerge w:val="restart"/>
            <w:tcBorders>
              <w:right w:val="nil"/>
            </w:tcBorders>
            <w:shd w:val="clear" w:color="auto" w:fill="F2F2F2" w:themeFill="background1" w:themeFillShade="F2"/>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F344D3"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1.2: Tāngata Whenua: Consumers who identify as Māori have their health and disability needs met in a manner that respects and acknowledges their individual values and beliefs.</w:t>
            </w:r>
          </w:p>
        </w:tc>
        <w:tc>
          <w:tcPr>
            <w:tcW w:w="385" w:type="pct"/>
            <w:vMerge/>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vMerge/>
            <w:tcBorders>
              <w:right w:val="nil"/>
            </w:tcBorders>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F344D3"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1.4: Recognition of Maori Values and Beliefs: Māori consumers have their health and disability needs met in a manner that respects and acknowledges their individual and cultural values and beliefs.</w:t>
            </w:r>
          </w:p>
        </w:tc>
        <w:tc>
          <w:tcPr>
            <w:tcW w:w="385" w:type="pct"/>
            <w:vMerge/>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9" w:type="pct"/>
            <w:vMerge/>
            <w:tcBorders>
              <w:right w:val="nil"/>
            </w:tcBorders>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F344D3" w:rsidRDefault="001C31AF" w:rsidP="00BE5787">
            <w:pPr>
              <w:pStyle w:val="TableText"/>
              <w:spacing w:before="40" w:after="40"/>
            </w:pPr>
            <w:r w:rsidRPr="00F344D3">
              <w:t>HDSS</w:t>
            </w:r>
          </w:p>
        </w:tc>
        <w:tc>
          <w:tcPr>
            <w:tcW w:w="3489" w:type="pct"/>
            <w:gridSpan w:val="2"/>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 xml:space="preserve">1.1.5: Recognition </w:t>
            </w:r>
            <w:r w:rsidR="00E0176A" w:rsidRPr="00580FDB">
              <w:t>of</w:t>
            </w:r>
            <w:r w:rsidRPr="00580FDB">
              <w:t xml:space="preserve"> Pacific Values </w:t>
            </w:r>
            <w:r w:rsidR="00E0176A">
              <w:t>a</w:t>
            </w:r>
            <w:r w:rsidRPr="00580FDB">
              <w:t>nd Beliefs (HDS©S.2008:1.1.5): Pacific consumers have their health and disability needs met in a manner that respects and acknowledges their individual and cultural, values and beliefs.</w:t>
            </w:r>
          </w:p>
        </w:tc>
        <w:tc>
          <w:tcPr>
            <w:tcW w:w="385" w:type="pct"/>
            <w:vMerge w:val="restart"/>
            <w:shd w:val="clear" w:color="auto" w:fill="FFFFFF" w:themeFill="background1"/>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restart"/>
            <w:shd w:val="clear" w:color="auto" w:fill="FFFFFF" w:themeFill="background1"/>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vMerge w:val="restart"/>
            <w:tcBorders>
              <w:right w:val="nil"/>
            </w:tcBorders>
            <w:shd w:val="clear" w:color="auto" w:fill="FFFFFF" w:themeFill="background1"/>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C3842">
              <w:rPr>
                <w:b/>
                <w:sz w:val="24"/>
                <w:lang w:eastAsia="en-NZ"/>
              </w:rPr>
              <w:t>√</w:t>
            </w: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F344D3"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iCs/>
              </w:rPr>
            </w:pPr>
            <w:r w:rsidRPr="00580FDB">
              <w:rPr>
                <w:lang w:eastAsia="en-NZ"/>
              </w:rPr>
              <w:t>No match</w:t>
            </w:r>
          </w:p>
        </w:tc>
        <w:tc>
          <w:tcPr>
            <w:tcW w:w="385" w:type="pct"/>
            <w:vMerge/>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9" w:type="pct"/>
            <w:vMerge/>
            <w:tcBorders>
              <w:right w:val="nil"/>
            </w:tcBorders>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F344D3"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1.5: Recognition of Pacific People’s Values and Beliefs: Pacific consumers have their health and disability needs met in a manner that respects and acknowledges their individual and cultural values and beliefs.</w:t>
            </w:r>
          </w:p>
        </w:tc>
        <w:tc>
          <w:tcPr>
            <w:tcW w:w="385" w:type="pct"/>
            <w:vMerge/>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9" w:type="pct"/>
            <w:vMerge/>
            <w:tcBorders>
              <w:right w:val="nil"/>
            </w:tcBorders>
            <w:vAlign w:val="center"/>
          </w:tcPr>
          <w:p w:rsidR="001C31AF" w:rsidRPr="009C3842"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F344D3" w:rsidRDefault="001C31AF" w:rsidP="00BE5787">
            <w:pPr>
              <w:pStyle w:val="TableText"/>
              <w:spacing w:before="40" w:after="40"/>
            </w:pPr>
            <w:r w:rsidRPr="00F344D3">
              <w:t>HDSS</w:t>
            </w:r>
          </w:p>
        </w:tc>
        <w:tc>
          <w:tcPr>
            <w:tcW w:w="3489" w:type="pct"/>
            <w:gridSpan w:val="2"/>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1C31AF">
              <w:t xml:space="preserve">1.1.6: Recognition </w:t>
            </w:r>
            <w:r w:rsidR="00E0176A">
              <w:t>a</w:t>
            </w:r>
            <w:r w:rsidRPr="001C31AF">
              <w:t xml:space="preserve">nd Respect </w:t>
            </w:r>
            <w:r w:rsidR="00E0176A" w:rsidRPr="001C31AF">
              <w:t>of the</w:t>
            </w:r>
            <w:r w:rsidRPr="001C31AF">
              <w:t xml:space="preserve"> Individual’s Culture, Values, And Beliefs (HDS©S.2008:1.1.6): Consumers receive culturally safe services which recognise and respect their ethnic, cultural, spiritual values, and beliefs</w:t>
            </w:r>
          </w:p>
        </w:tc>
        <w:tc>
          <w:tcPr>
            <w:tcW w:w="385" w:type="pct"/>
            <w:vMerge w:val="restart"/>
            <w:shd w:val="clear" w:color="auto" w:fill="F2F2F2" w:themeFill="background1" w:themeFillShade="F2"/>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rPr>
            </w:pPr>
            <w:r w:rsidRPr="009C3842">
              <w:rPr>
                <w:b/>
                <w:sz w:val="24"/>
                <w:lang w:eastAsia="en-NZ"/>
              </w:rPr>
              <w:t>√</w:t>
            </w:r>
          </w:p>
        </w:tc>
        <w:tc>
          <w:tcPr>
            <w:tcW w:w="394" w:type="pct"/>
            <w:vMerge w:val="restart"/>
            <w:shd w:val="clear" w:color="auto" w:fill="F2F2F2" w:themeFill="background1" w:themeFillShade="F2"/>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rPr>
            </w:pPr>
          </w:p>
        </w:tc>
        <w:tc>
          <w:tcPr>
            <w:tcW w:w="379" w:type="pct"/>
            <w:vMerge w:val="restart"/>
            <w:tcBorders>
              <w:right w:val="nil"/>
            </w:tcBorders>
            <w:shd w:val="clear" w:color="auto" w:fill="F2F2F2" w:themeFill="background1" w:themeFillShade="F2"/>
            <w:vAlign w:val="center"/>
          </w:tcPr>
          <w:p w:rsidR="001C31AF" w:rsidRPr="009C3842"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rPr>
            </w:pP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1.3: Recognition of Individual Values and Beliefs: Consumers receive services in a manner that recognises their cultural and individual values and beliefs.</w:t>
            </w:r>
          </w:p>
        </w:tc>
        <w:tc>
          <w:tcPr>
            <w:tcW w:w="385"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p>
        </w:tc>
        <w:tc>
          <w:tcPr>
            <w:tcW w:w="394"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p>
        </w:tc>
        <w:tc>
          <w:tcPr>
            <w:tcW w:w="379" w:type="pct"/>
            <w:vMerge/>
            <w:tcBorders>
              <w:right w:val="nil"/>
            </w:tcBorders>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1.3: Individual Values and Beliefs Respected: Consumers receive culturally safe services which recognise and respect their ethnic, cultural, and spiritual values and beliefs</w:t>
            </w:r>
          </w:p>
        </w:tc>
        <w:tc>
          <w:tcPr>
            <w:tcW w:w="385" w:type="pct"/>
            <w:vMerge/>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394" w:type="pct"/>
            <w:vMerge/>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379" w:type="pct"/>
            <w:vMerge/>
            <w:tcBorders>
              <w:right w:val="nil"/>
            </w:tcBorders>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HDSS</w:t>
            </w:r>
          </w:p>
        </w:tc>
        <w:tc>
          <w:tcPr>
            <w:tcW w:w="3489" w:type="pct"/>
            <w:gridSpan w:val="2"/>
            <w:shd w:val="clear" w:color="auto" w:fill="FFFFFF" w:themeFill="background1"/>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1C31AF">
              <w:t>1.1.7: Discrimination (HDS©S.2008:1.1.7): Consumers are free from any discrimination, coercion, harassment, sexual, financial, or other exploitation</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r w:rsidRPr="009D6533">
              <w:rPr>
                <w:b/>
                <w:sz w:val="24"/>
                <w:szCs w:val="24"/>
                <w:lang w:eastAsia="en-NZ"/>
              </w:rPr>
              <w:t>√</w:t>
            </w: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 xml:space="preserve">1.1: Consumer Rights During Service Delivery: Consumers receive services in accordance with consumer rights legislation – </w:t>
            </w:r>
            <w:r w:rsidRPr="00580FDB">
              <w:rPr>
                <w:lang w:eastAsia="en-NZ"/>
              </w:rPr>
              <w:t>match at criterion level</w:t>
            </w:r>
            <w:r w:rsidRPr="00580FDB">
              <w:t xml:space="preserve"> (1.1.8)</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1.7: Freedom from Abuse or Neglect: Consumers are free from any discrimination, coercion, harassment, sexual, financial, or other exploitation, abuse (physical, psychological, sexual, or financial), or neglect.</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1C31AF" w:rsidRDefault="001C31AF" w:rsidP="00BE5787">
            <w:pPr>
              <w:pStyle w:val="TableText"/>
              <w:spacing w:before="40" w:after="40"/>
            </w:pPr>
            <w:r w:rsidRPr="001C31AF">
              <w:t>HDSS</w:t>
            </w:r>
          </w:p>
        </w:tc>
        <w:tc>
          <w:tcPr>
            <w:tcW w:w="3489" w:type="pct"/>
            <w:gridSpan w:val="2"/>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1C31AF">
              <w:t xml:space="preserve">1.1.8: Good Practice (HDS©S.2008:1.1.8): Consumers receive services of an appropriate </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r w:rsidRPr="009D6533">
              <w:rPr>
                <w:b/>
                <w:sz w:val="24"/>
                <w:szCs w:val="24"/>
              </w:rPr>
              <w:t>√</w:t>
            </w: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No match</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No match</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HDSS</w:t>
            </w:r>
          </w:p>
        </w:tc>
        <w:tc>
          <w:tcPr>
            <w:tcW w:w="3489" w:type="pct"/>
            <w:gridSpan w:val="2"/>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1.1.9: Communication (HDS(C)S.2008:1.1.9): Service providers communicate effectively with consumers and provide an environment conducive to effective communication.</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r w:rsidRPr="009D6533">
              <w:rPr>
                <w:b/>
                <w:sz w:val="24"/>
                <w:szCs w:val="24"/>
              </w:rPr>
              <w:t>√</w:t>
            </w: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1.6: Consumer Information:  Consumers receive information that is accurate, timely and in formats appropriate to the consumer.</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1.6: Communication in a Manner that the Consumer can understand: Information is communicated to consumers in a manner that the consumer can understand</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1C31AF" w:rsidRDefault="001C31AF" w:rsidP="00BE5787">
            <w:pPr>
              <w:pStyle w:val="TableText"/>
              <w:spacing w:before="40" w:after="40"/>
            </w:pPr>
            <w:r w:rsidRPr="001C31AF">
              <w:t>HDSS</w:t>
            </w:r>
          </w:p>
        </w:tc>
        <w:tc>
          <w:tcPr>
            <w:tcW w:w="3489" w:type="pct"/>
            <w:gridSpan w:val="2"/>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1C31AF">
              <w:t>1.1.10: Informed Consent (HDS(C)S.2008:1.1.10): Consumers and where appropriate their family/whānau of choice are provided with the information they need to make informed choices and give informed consent.</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r w:rsidRPr="009D6533">
              <w:rPr>
                <w:b/>
                <w:sz w:val="24"/>
                <w:szCs w:val="24"/>
              </w:rPr>
              <w:t>√</w:t>
            </w:r>
          </w:p>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1.7: Informed Consent: Consumer consent is obtained in line with the requirements of the Code of Health and Disability Services Consumers’ Rights and the principles of the Human Assisted Reproductive Technology Act.</w:t>
            </w:r>
          </w:p>
        </w:tc>
        <w:tc>
          <w:tcPr>
            <w:tcW w:w="385"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1.1: Consumer Rights Under Legislation: Consumers receive services in accordance with their rights – match at criterion level</w:t>
            </w:r>
          </w:p>
        </w:tc>
        <w:tc>
          <w:tcPr>
            <w:tcW w:w="385"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HDSS</w:t>
            </w:r>
          </w:p>
        </w:tc>
        <w:tc>
          <w:tcPr>
            <w:tcW w:w="3489" w:type="pct"/>
            <w:gridSpan w:val="2"/>
            <w:shd w:val="clear" w:color="auto" w:fill="FFFFFF" w:themeFill="background1"/>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1C31AF">
              <w:t xml:space="preserve">1.1.11: Advocacy </w:t>
            </w:r>
            <w:r w:rsidR="00E0176A" w:rsidRPr="001C31AF">
              <w:t>and</w:t>
            </w:r>
            <w:r w:rsidRPr="001C31AF">
              <w:t xml:space="preserve"> Support (HDS(C)S.2008:1.1.11): Service providers recognise and facilitate the right of consumers to advocacy/support persons of their choice.</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rPr>
            </w:pPr>
            <w:r w:rsidRPr="009D6533">
              <w:rPr>
                <w:b/>
                <w:sz w:val="24"/>
                <w:szCs w:val="24"/>
              </w:rPr>
              <w:t>√</w:t>
            </w: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FSS</w:t>
            </w:r>
          </w:p>
        </w:tc>
        <w:tc>
          <w:tcPr>
            <w:tcW w:w="3035" w:type="pct"/>
          </w:tcPr>
          <w:p w:rsidR="001C31AF" w:rsidRPr="00580FDB" w:rsidRDefault="001C31AF" w:rsidP="00BE5787">
            <w:pPr>
              <w:pStyle w:val="TableText"/>
              <w:spacing w:before="40" w:after="40"/>
              <w:ind w:left="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1.1: Consumer Rights During Service Delivery: Consumers receive services in accordance with consumer rights legislation – match at criterion level</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1.1: Consumer Rights Under Legislation: Consumers receive services in accordance with their rights – match at criterion level</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1C31AF" w:rsidRDefault="001C31AF" w:rsidP="00BE5787">
            <w:pPr>
              <w:pStyle w:val="TableText"/>
              <w:spacing w:before="40" w:after="40"/>
            </w:pPr>
            <w:r w:rsidRPr="001C31AF">
              <w:t>HDSS</w:t>
            </w:r>
          </w:p>
        </w:tc>
        <w:tc>
          <w:tcPr>
            <w:tcW w:w="3489" w:type="pct"/>
            <w:gridSpan w:val="2"/>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1C31AF">
              <w:t xml:space="preserve">1.1.12: Links </w:t>
            </w:r>
            <w:r w:rsidR="00E0176A" w:rsidRPr="001C31AF">
              <w:t>with</w:t>
            </w:r>
            <w:r w:rsidRPr="001C31AF">
              <w:t xml:space="preserve"> Family/Whānau </w:t>
            </w:r>
            <w:r w:rsidR="00E0176A">
              <w:t>a</w:t>
            </w:r>
            <w:r w:rsidRPr="001C31AF">
              <w:t>nd Other Community Resources (HDS(C)S.2008:1.1.12): Consumers are able to maintain links with their family/whānau and their community.</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r w:rsidRPr="009D6533">
              <w:rPr>
                <w:b/>
                <w:sz w:val="24"/>
                <w:szCs w:val="24"/>
              </w:rPr>
              <w:t>√</w:t>
            </w: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No match</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No match</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HDSS</w:t>
            </w:r>
          </w:p>
        </w:tc>
        <w:tc>
          <w:tcPr>
            <w:tcW w:w="3489" w:type="pct"/>
            <w:gridSpan w:val="2"/>
            <w:shd w:val="clear" w:color="auto" w:fill="FFFFFF" w:themeFill="background1"/>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1C31AF">
              <w:t>1.1.13: Complaints Management (HDS(C)S.2008:1.1.13): The right of the consumer to make a complaint is understood, respected, and upheld</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highlight w:val="yellow"/>
                <w:lang w:eastAsia="en-NZ"/>
              </w:rPr>
            </w:pPr>
            <w:r w:rsidRPr="009D6533">
              <w:rPr>
                <w:b/>
                <w:sz w:val="24"/>
                <w:szCs w:val="24"/>
              </w:rPr>
              <w:t>√</w:t>
            </w: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2.5: Complaints Management: The organisation improves its services by formally acting on complaints from consumers and family/whānau.</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1.9: Complaints: The consumer's right to make a complaint is understood, respected, and upheld.</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1C31AF" w:rsidRDefault="001C31AF" w:rsidP="00BE5787">
            <w:pPr>
              <w:pStyle w:val="TableText"/>
              <w:spacing w:before="40" w:after="40"/>
            </w:pPr>
            <w:r w:rsidRPr="001C31AF">
              <w:t>HDSS</w:t>
            </w:r>
          </w:p>
        </w:tc>
        <w:tc>
          <w:tcPr>
            <w:tcW w:w="3489" w:type="pct"/>
            <w:gridSpan w:val="2"/>
            <w:shd w:val="clear" w:color="auto" w:fill="F2F2F2" w:themeFill="background1" w:themeFillShade="F2"/>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1C31AF">
              <w:t>No match</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r w:rsidRPr="009D6533">
              <w:rPr>
                <w:b/>
                <w:sz w:val="24"/>
                <w:szCs w:val="24"/>
              </w:rPr>
              <w:t>√</w:t>
            </w:r>
          </w:p>
        </w:tc>
      </w:tr>
      <w:tr w:rsidR="009C3842" w:rsidRPr="001C31AF" w:rsidTr="009C38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1.4: Consumer Confidentiality: Consumer confidentiality is maintained at all times</w:t>
            </w:r>
          </w:p>
        </w:tc>
        <w:tc>
          <w:tcPr>
            <w:tcW w:w="385"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No match</w:t>
            </w:r>
          </w:p>
        </w:tc>
        <w:tc>
          <w:tcPr>
            <w:tcW w:w="385"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HDSS</w:t>
            </w:r>
          </w:p>
        </w:tc>
        <w:tc>
          <w:tcPr>
            <w:tcW w:w="3489" w:type="pct"/>
            <w:gridSpan w:val="2"/>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t>No match</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r w:rsidRPr="009D6533">
              <w:rPr>
                <w:b/>
                <w:sz w:val="24"/>
                <w:szCs w:val="24"/>
              </w:rPr>
              <w:t>√</w:t>
            </w: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1.8: Health and Well-being of Offspring as a Result of Reproductive Technologies:  The health and well-being of offspring born as a result of fertility services shall be an important consideration in all decisions about the services</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No match</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1C31AF" w:rsidRDefault="001C31AF" w:rsidP="00BE5787">
            <w:pPr>
              <w:pStyle w:val="TableText"/>
              <w:spacing w:before="40" w:after="40"/>
            </w:pPr>
            <w:r w:rsidRPr="001C31AF">
              <w:t>HDSS</w:t>
            </w:r>
          </w:p>
        </w:tc>
        <w:tc>
          <w:tcPr>
            <w:tcW w:w="3489" w:type="pct"/>
            <w:gridSpan w:val="2"/>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0FDB">
              <w:t>No match</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r w:rsidRPr="009D6533">
              <w:rPr>
                <w:b/>
                <w:sz w:val="24"/>
                <w:szCs w:val="24"/>
              </w:rPr>
              <w:t>√</w:t>
            </w: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1.9: Right to Know One's Genetic Origins: Donor offspring should be made aware of their genetic origins and should be able to access information about their origins.</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No match</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HDSS</w:t>
            </w:r>
          </w:p>
        </w:tc>
        <w:tc>
          <w:tcPr>
            <w:tcW w:w="3489" w:type="pct"/>
            <w:gridSpan w:val="2"/>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No match</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r w:rsidRPr="009D6533">
              <w:rPr>
                <w:b/>
                <w:sz w:val="24"/>
                <w:szCs w:val="24"/>
              </w:rPr>
              <w:t>√</w:t>
            </w: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1.10: Donation and Information Giving: Gamete and embryo donation takes place in a way that protects the interests and health of donors, consumers and offspring.</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No match</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2F2F2" w:themeFill="background1" w:themeFillShade="F2"/>
          </w:tcPr>
          <w:p w:rsidR="001C31AF" w:rsidRPr="001C31AF" w:rsidRDefault="001C31AF" w:rsidP="00BE5787">
            <w:pPr>
              <w:pStyle w:val="TableText"/>
              <w:spacing w:before="40" w:after="40"/>
            </w:pPr>
            <w:r w:rsidRPr="001C31AF">
              <w:t>HDSS</w:t>
            </w:r>
          </w:p>
        </w:tc>
        <w:tc>
          <w:tcPr>
            <w:tcW w:w="3489" w:type="pct"/>
            <w:gridSpan w:val="2"/>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No match</w:t>
            </w:r>
          </w:p>
        </w:tc>
        <w:tc>
          <w:tcPr>
            <w:tcW w:w="385"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restart"/>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2F2F2" w:themeFill="background1" w:themeFillShade="F2"/>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r w:rsidRPr="009D6533">
              <w:rPr>
                <w:b/>
                <w:sz w:val="24"/>
                <w:szCs w:val="24"/>
              </w:rPr>
              <w:t>√</w:t>
            </w: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1.11: Donor's Rights and Responsibilities</w:t>
            </w:r>
          </w:p>
        </w:tc>
        <w:tc>
          <w:tcPr>
            <w:tcW w:w="385"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9C3842" w:rsidRPr="001C31AF" w:rsidTr="009D6533">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No match</w:t>
            </w:r>
          </w:p>
        </w:tc>
        <w:tc>
          <w:tcPr>
            <w:tcW w:w="385"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94" w:type="pct"/>
            <w:vMerge/>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c>
          <w:tcPr>
            <w:tcW w:w="379" w:type="pct"/>
            <w:vMerge/>
            <w:tcBorders>
              <w:right w:val="nil"/>
            </w:tcBorders>
            <w:vAlign w:val="center"/>
          </w:tcPr>
          <w:p w:rsidR="001C31AF" w:rsidRPr="009D6533" w:rsidRDefault="001C31AF"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left w:val="nil"/>
            </w:tcBorders>
            <w:shd w:val="clear" w:color="auto" w:fill="FFFFFF" w:themeFill="background1"/>
          </w:tcPr>
          <w:p w:rsidR="001C31AF" w:rsidRPr="001C31AF" w:rsidRDefault="001C31AF" w:rsidP="00BE5787">
            <w:pPr>
              <w:pStyle w:val="TableText"/>
              <w:spacing w:before="40" w:after="40"/>
            </w:pPr>
            <w:r w:rsidRPr="001C31AF">
              <w:t xml:space="preserve"> HDSS</w:t>
            </w:r>
          </w:p>
        </w:tc>
        <w:tc>
          <w:tcPr>
            <w:tcW w:w="3489" w:type="pct"/>
            <w:gridSpan w:val="2"/>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No match</w:t>
            </w:r>
          </w:p>
        </w:tc>
        <w:tc>
          <w:tcPr>
            <w:tcW w:w="385"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94" w:type="pct"/>
            <w:vMerge w:val="restart"/>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c>
          <w:tcPr>
            <w:tcW w:w="379" w:type="pct"/>
            <w:vMerge w:val="restart"/>
            <w:tcBorders>
              <w:right w:val="nil"/>
            </w:tcBorders>
            <w:shd w:val="clear" w:color="auto" w:fill="FFFFFF" w:themeFill="background1"/>
            <w:vAlign w:val="center"/>
          </w:tcPr>
          <w:p w:rsidR="001C31AF" w:rsidRPr="009D6533" w:rsidRDefault="001C31AF"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r w:rsidRPr="009D6533">
              <w:rPr>
                <w:b/>
                <w:sz w:val="24"/>
                <w:szCs w:val="24"/>
              </w:rPr>
              <w:t>√</w:t>
            </w:r>
          </w:p>
        </w:tc>
      </w:tr>
      <w:tr w:rsidR="009C3842" w:rsidRPr="001C31AF" w:rsidTr="009C3842">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tcPr>
          <w:p w:rsidR="001C31AF" w:rsidRPr="00580FDB"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No match</w:t>
            </w:r>
          </w:p>
        </w:tc>
        <w:tc>
          <w:tcPr>
            <w:tcW w:w="385"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p>
        </w:tc>
      </w:tr>
      <w:tr w:rsidR="009C3842" w:rsidRPr="001C31AF" w:rsidTr="009D65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1C31AF" w:rsidRPr="001C31AF" w:rsidRDefault="001C31AF" w:rsidP="00BE5787">
            <w:pPr>
              <w:pStyle w:val="TableText"/>
              <w:spacing w:before="40" w:after="40"/>
            </w:pPr>
          </w:p>
        </w:tc>
        <w:tc>
          <w:tcPr>
            <w:tcW w:w="45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FFFFFF" w:themeFill="background1"/>
          </w:tcPr>
          <w:p w:rsidR="001C31AF" w:rsidRPr="00580FDB"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1.8: Consumers' Belongings, Property, and Finances are Respected and Protected: Consumers’ belongings, property, and finances are respected at all times.</w:t>
            </w:r>
          </w:p>
        </w:tc>
        <w:tc>
          <w:tcPr>
            <w:tcW w:w="385"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94" w:type="pct"/>
            <w:vMerge/>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c>
          <w:tcPr>
            <w:tcW w:w="379" w:type="pct"/>
            <w:vMerge/>
            <w:tcBorders>
              <w:right w:val="nil"/>
            </w:tcBorders>
          </w:tcPr>
          <w:p w:rsidR="001C31AF" w:rsidRPr="001C31AF" w:rsidRDefault="001C31AF"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p>
        </w:tc>
      </w:tr>
    </w:tbl>
    <w:p w:rsidR="001C31AF" w:rsidRDefault="001C31AF" w:rsidP="00595FD6"/>
    <w:p w:rsidR="00496BBD" w:rsidRDefault="00496BBD" w:rsidP="00496BBD"/>
    <w:p w:rsidR="00496BBD" w:rsidRDefault="00496BBD" w:rsidP="00496BBD"/>
    <w:p w:rsidR="00496BBD" w:rsidRDefault="00496BBD" w:rsidP="00496BBD"/>
    <w:p w:rsidR="00496BBD" w:rsidRDefault="00496BBD" w:rsidP="00496BBD"/>
    <w:p w:rsidR="00496BBD" w:rsidRPr="00496BBD" w:rsidRDefault="00496BBD" w:rsidP="00496BBD">
      <w:pPr>
        <w:sectPr w:rsidR="00496BBD" w:rsidRPr="00496BBD" w:rsidSect="00496BBD">
          <w:pgSz w:w="16838" w:h="11906" w:orient="landscape" w:code="9"/>
          <w:pgMar w:top="1418" w:right="1418" w:bottom="1134" w:left="1418" w:header="709" w:footer="709" w:gutter="0"/>
          <w:cols w:space="708"/>
          <w:titlePg/>
          <w:docGrid w:linePitch="360"/>
        </w:sectPr>
      </w:pPr>
    </w:p>
    <w:tbl>
      <w:tblPr>
        <w:tblStyle w:val="PlainTable1"/>
        <w:tblpPr w:leftFromText="181" w:rightFromText="181" w:topFromText="2279" w:bottomFromText="862" w:vertAnchor="text" w:horzAnchor="margin" w:tblpXSpec="center" w:tblpY="1"/>
        <w:tblOverlap w:val="never"/>
        <w:tblW w:w="5007" w:type="pct"/>
        <w:tblLook w:val="0480" w:firstRow="0" w:lastRow="0" w:firstColumn="1" w:lastColumn="0" w:noHBand="0" w:noVBand="1"/>
      </w:tblPr>
      <w:tblGrid>
        <w:gridCol w:w="990"/>
        <w:gridCol w:w="1276"/>
        <w:gridCol w:w="8511"/>
        <w:gridCol w:w="1080"/>
        <w:gridCol w:w="1105"/>
        <w:gridCol w:w="1060"/>
      </w:tblGrid>
      <w:tr w:rsidR="00496BBD" w:rsidRPr="009C3842" w:rsidTr="00585B58">
        <w:trPr>
          <w:trHeight w:val="397"/>
          <w:tblHeader/>
        </w:trPr>
        <w:tc>
          <w:tcPr>
            <w:cnfStyle w:val="001000000000" w:firstRow="0" w:lastRow="0" w:firstColumn="1" w:lastColumn="0" w:oddVBand="0" w:evenVBand="0" w:oddHBand="0" w:evenHBand="0" w:firstRowFirstColumn="0" w:firstRowLastColumn="0" w:lastRowFirstColumn="0" w:lastRowLastColumn="0"/>
            <w:tcW w:w="3843" w:type="pct"/>
            <w:gridSpan w:val="3"/>
            <w:tcBorders>
              <w:top w:val="nil"/>
              <w:left w:val="nil"/>
              <w:bottom w:val="nil"/>
              <w:right w:val="nil"/>
            </w:tcBorders>
            <w:shd w:val="clear" w:color="auto" w:fill="F2F2F2" w:themeFill="background1" w:themeFillShade="F2"/>
            <w:vAlign w:val="center"/>
          </w:tcPr>
          <w:p w:rsidR="00496BBD" w:rsidRPr="009C3842" w:rsidRDefault="00861C13" w:rsidP="00BE5787">
            <w:pPr>
              <w:pStyle w:val="TableText"/>
              <w:spacing w:before="40" w:after="40"/>
              <w:rPr>
                <w:lang w:eastAsia="en-NZ"/>
              </w:rPr>
            </w:pPr>
            <w:r w:rsidRPr="00580FDB">
              <w:rPr>
                <w:lang w:eastAsia="en-NZ"/>
              </w:rPr>
              <w:t>PART 2</w:t>
            </w:r>
            <w:r>
              <w:rPr>
                <w:lang w:eastAsia="en-NZ"/>
              </w:rPr>
              <w:t>: ORGANISATIONAL MANAGEMENT</w:t>
            </w:r>
          </w:p>
        </w:tc>
        <w:tc>
          <w:tcPr>
            <w:tcW w:w="385" w:type="pct"/>
            <w:tcBorders>
              <w:top w:val="nil"/>
              <w:left w:val="nil"/>
              <w:bottom w:val="nil"/>
              <w:right w:val="nil"/>
            </w:tcBorders>
            <w:shd w:val="clear" w:color="auto" w:fill="F2F2F2" w:themeFill="background1" w:themeFillShade="F2"/>
            <w:vAlign w:val="center"/>
          </w:tcPr>
          <w:p w:rsidR="00496BBD" w:rsidRPr="009C3842" w:rsidRDefault="00496BBD"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9C3842">
              <w:rPr>
                <w:b/>
                <w:lang w:eastAsia="en-NZ"/>
              </w:rPr>
              <w:t>Exact Match</w:t>
            </w:r>
          </w:p>
        </w:tc>
        <w:tc>
          <w:tcPr>
            <w:tcW w:w="394" w:type="pct"/>
            <w:tcBorders>
              <w:top w:val="nil"/>
              <w:left w:val="nil"/>
              <w:bottom w:val="nil"/>
              <w:right w:val="nil"/>
            </w:tcBorders>
            <w:shd w:val="clear" w:color="auto" w:fill="F2F2F2" w:themeFill="background1" w:themeFillShade="F2"/>
            <w:vAlign w:val="center"/>
          </w:tcPr>
          <w:p w:rsidR="00496BBD" w:rsidRPr="009C3842" w:rsidRDefault="00496BBD"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9C3842">
              <w:rPr>
                <w:b/>
                <w:lang w:eastAsia="en-NZ"/>
              </w:rPr>
              <w:t>Partial</w:t>
            </w:r>
          </w:p>
        </w:tc>
        <w:tc>
          <w:tcPr>
            <w:tcW w:w="378" w:type="pct"/>
            <w:tcBorders>
              <w:top w:val="nil"/>
              <w:left w:val="nil"/>
              <w:bottom w:val="nil"/>
              <w:right w:val="nil"/>
            </w:tcBorders>
            <w:shd w:val="clear" w:color="auto" w:fill="F2F2F2" w:themeFill="background1" w:themeFillShade="F2"/>
            <w:vAlign w:val="center"/>
          </w:tcPr>
          <w:p w:rsidR="00496BBD" w:rsidRPr="009C3842" w:rsidRDefault="00496BBD"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9C3842">
              <w:rPr>
                <w:b/>
                <w:lang w:eastAsia="en-NZ"/>
              </w:rPr>
              <w:t xml:space="preserve">No </w:t>
            </w:r>
            <w:r w:rsidR="00585B58">
              <w:rPr>
                <w:b/>
                <w:lang w:eastAsia="en-NZ"/>
              </w:rPr>
              <w:t>M</w:t>
            </w:r>
            <w:r w:rsidRPr="009C3842">
              <w:rPr>
                <w:b/>
                <w:lang w:eastAsia="en-NZ"/>
              </w:rPr>
              <w:t>atch</w:t>
            </w:r>
          </w:p>
        </w:tc>
      </w:tr>
      <w:tr w:rsidR="00E0176A" w:rsidRPr="009D6533" w:rsidTr="00496B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9C3842"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0FDB">
              <w:rPr>
                <w:lang w:eastAsia="en-NZ"/>
              </w:rPr>
              <w:t>1.2.1: Governance (HDS(C)S.2008:1.2.1): The governing body of the organisation ensures services are planned, coordinated, and appropriate to the needs of consumers</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szCs w:val="24"/>
              </w:rPr>
              <w:t>√</w:t>
            </w: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496BBD">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2.1: Governance:  Efficient and effective governance ensures services are planned, coordinated and appropriate to the needs of the consumer group.</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496B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2.1: Governance: Consumers receive services that are planned, co-ordinated, and appropriate to their needs.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580FDB" w:rsidRDefault="00E0176A" w:rsidP="00BE5787">
            <w:pPr>
              <w:pStyle w:val="TableText"/>
              <w:spacing w:before="40" w:after="40"/>
              <w:ind w:left="0"/>
              <w:cnfStyle w:val="000000000000" w:firstRow="0" w:lastRow="0" w:firstColumn="0" w:lastColumn="0" w:oddVBand="0" w:evenVBand="0" w:oddHBand="0" w:evenHBand="0" w:firstRowFirstColumn="0" w:firstRowLastColumn="0" w:lastRowFirstColumn="0" w:lastRowLastColumn="0"/>
              <w:rPr>
                <w:b/>
                <w:lang w:eastAsia="en-NZ"/>
              </w:rPr>
            </w:pPr>
            <w:r w:rsidRPr="00580FDB">
              <w:rPr>
                <w:lang w:eastAsia="en-NZ"/>
              </w:rPr>
              <w:t>1.2.2: Service Management (HDS(C)S.2008:1.2.2): The organisation ensures the day-to-day operation of the service is managed in an efficient and effective manner which ensures the provision of timely, appropriate, and safe services to consumers.</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r w:rsidRPr="009D6533">
              <w:rPr>
                <w:b/>
                <w:sz w:val="24"/>
                <w:szCs w:val="24"/>
              </w:rPr>
              <w:t>√</w:t>
            </w: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0D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b/>
                <w:lang w:eastAsia="en-NZ"/>
              </w:rPr>
            </w:pPr>
            <w:r w:rsidRPr="00580FDB">
              <w:rPr>
                <w:lang w:eastAsia="en-NZ"/>
              </w:rPr>
              <w:t>FSS</w:t>
            </w:r>
          </w:p>
        </w:tc>
        <w:tc>
          <w:tcPr>
            <w:tcW w:w="3035" w:type="pct"/>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b/>
                <w:lang w:eastAsia="en-NZ"/>
              </w:rPr>
            </w:pPr>
            <w:r w:rsidRPr="00580FDB">
              <w:rPr>
                <w:lang w:eastAsia="en-NZ"/>
              </w:rPr>
              <w:t>2.6: Service Management:  The day to day operation of the service is managed in an efficient and effective manner which ensures the provision of timely, appropriate and safe services to consumers.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b/>
                <w:lang w:eastAsia="en-NZ"/>
              </w:rPr>
            </w:pPr>
            <w:r w:rsidRPr="00580FDB">
              <w:rPr>
                <w:lang w:eastAsia="en-NZ"/>
              </w:rPr>
              <w:t>HCSS</w:t>
            </w:r>
          </w:p>
        </w:tc>
        <w:tc>
          <w:tcPr>
            <w:tcW w:w="3035" w:type="pct"/>
            <w:shd w:val="clear" w:color="auto" w:fill="F2F2F2" w:themeFill="background1" w:themeFillShade="F2"/>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b/>
                <w:lang w:eastAsia="en-NZ"/>
              </w:rPr>
            </w:pPr>
            <w:r w:rsidRPr="00580FDB">
              <w:rPr>
                <w:lang w:eastAsia="en-NZ"/>
              </w:rPr>
              <w:t>2.2: Service Management: Consumers receive timely, appropriate, and safe services through efficient and effective service management.</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b/>
                <w:iCs/>
                <w:lang w:eastAsia="en-NZ"/>
              </w:rPr>
            </w:pPr>
            <w:r w:rsidRPr="00580FDB">
              <w:rPr>
                <w:lang w:eastAsia="en-NZ"/>
              </w:rPr>
              <w:t>1.2.3: Quality and Risk Management Systems: (HDS(C)S.2008:1.2.3): The organisation has an established, documented, and maintained quality and risk management system that reflects continuous quality improvement principles.</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szCs w:val="24"/>
              </w:rPr>
              <w:t>√</w:t>
            </w: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5CE5">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b/>
                <w:lang w:eastAsia="en-NZ"/>
              </w:rPr>
            </w:pPr>
            <w:r w:rsidRPr="00580FDB">
              <w:rPr>
                <w:lang w:eastAsia="en-NZ"/>
              </w:rPr>
              <w:t>FSS</w:t>
            </w:r>
          </w:p>
        </w:tc>
        <w:tc>
          <w:tcPr>
            <w:tcW w:w="303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b/>
                <w:i/>
                <w:iCs/>
                <w:lang w:eastAsia="en-NZ"/>
              </w:rPr>
            </w:pPr>
            <w:r w:rsidRPr="00580FDB">
              <w:rPr>
                <w:lang w:eastAsia="en-NZ"/>
              </w:rPr>
              <w:t>2.2: Quality and Risk Management Systems:  The organisation has an established, documented and maintained quality and risk management system that reflects continuous quality improvement principles to better meet the needs of consumers and service providers</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i/>
                <w:lang w:eastAsia="en-NZ"/>
              </w:rPr>
            </w:pPr>
            <w:r w:rsidRPr="00580FDB">
              <w:rPr>
                <w:lang w:eastAsia="en-NZ"/>
              </w:rPr>
              <w:t>2.3: Quality and Risk Management: Consumers receive services that reflect continuous quality improvement principles through the organisation having an established, documented, and maintained quality and risk management system.</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1.2.4: Adverse Event Reporting (HDS(C)S.2008:1.2.4): All adverse, unplanned, or untoward events are systematically recorded by the service and reported to affected consumers and where appropriate their family/whānau of choice in an open manner.</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r w:rsidRPr="009D6533">
              <w:rPr>
                <w:b/>
                <w:sz w:val="24"/>
                <w:szCs w:val="24"/>
              </w:rPr>
              <w:t>√</w:t>
            </w: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0D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2.4: Exception Reporting:  The organisation systematically collects, reviews and acts on all adverse, unplanned and untoward events to improve its services to consumers.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2.4: Adverse Event Reporting and Resolution: All adverse unplanned or untoward events are systematically recorded and reported to affected consumers and where appropriate their family/whānau in an open manner.</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1.2.5: Consumer Participation (HDS(C)S.2008:1.2.5): Consumers are involved in the planning, implementation, and evaluation at all levels of the service to ensure services are responsive to the needs of individuals</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szCs w:val="24"/>
              </w:rPr>
              <w:t>√</w:t>
            </w:r>
          </w:p>
        </w:tc>
      </w:tr>
      <w:tr w:rsidR="00E0176A" w:rsidRPr="009D6533" w:rsidTr="00F45CE5">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1.2.6: Family/Whānau Participation</w:t>
            </w:r>
            <w:r>
              <w:t xml:space="preserve"> </w:t>
            </w:r>
            <w:r w:rsidRPr="00DB5909">
              <w:t>(HDS(C)S.2008:1.2.6): Family/whānau of choice are involved in the planning, implementation, and evaluation of the service to ensure services are responsive to the needs of individuals.</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r w:rsidRPr="009D6533">
              <w:rPr>
                <w:b/>
                <w:sz w:val="24"/>
                <w:szCs w:val="24"/>
              </w:rPr>
              <w:t>√</w:t>
            </w:r>
          </w:p>
        </w:tc>
      </w:tr>
      <w:tr w:rsidR="00E0176A" w:rsidRPr="009D6533" w:rsidTr="00F40D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1.2.7: Human Resource Management (HDS(C)S.2008:1.2.7): Human resource management processes are conducted in accordance with good employment practice and meet the requirements of legislation.</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szCs w:val="24"/>
              </w:rPr>
              <w:t>√</w:t>
            </w: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5CE5">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2.8: Human Resource Management:  The organisation manages its human resources to ensure competent staff deliver a safe and effective service for consumers.</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3.1: Recruitment: Consumers receive services that are based on good employment practices and relevant legislation.</w:t>
            </w:r>
          </w:p>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3.2: Orientation, Induction, Ongoing Development, and Competency: Consumers receive services from service providers who are trained and assessed as competent to provide services.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Standard 1.2.8: Service Provider Availability (HDS(C)S.2008:1.2.8): Consumers receive timely, appropriate, and safe service from suitably qualified/skilled and/or experienced service providers.</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r w:rsidRPr="009D6533">
              <w:rPr>
                <w:b/>
                <w:sz w:val="24"/>
                <w:szCs w:val="24"/>
              </w:rPr>
              <w:t>√</w:t>
            </w:r>
          </w:p>
        </w:tc>
      </w:tr>
      <w:tr w:rsidR="00E0176A" w:rsidRPr="009D6533" w:rsidTr="00F40D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Standard 2.9: Service Provider Availability:  Consumers receive timely, appropriate and safe service from suitably qualified/skilled and/or experienced service providers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Standard 1.2.9: Consumer Information Management Systems (HDS(C)S.2008:1.2.9): Consumer information is uniquely identifiable, accurately recorded, current, confidential, and accessible when required.</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r w:rsidRPr="009D6533">
              <w:rPr>
                <w:b/>
                <w:sz w:val="24"/>
                <w:szCs w:val="24"/>
              </w:rPr>
              <w:t>√</w:t>
            </w: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5CE5">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Standard 2.11: Consumer Information Management System:  An accurate, accessible, confidential and secure record that promotes efficient and effective delivery of treatment and/or support is maintained for each consumer receiving the service. The detail of information required to manage consumer records is identified relevant to the service. On closure of a fertility service, the integrity of information and stored gametes and embryos are maintained. See Appendix D.</w:t>
            </w:r>
          </w:p>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Standard 2.12: Recording Systems:  Consumer records are accurate, reliable, authorised and comply with current legislative and/or regulatory requirements, and the needs of consumers</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Standard 2.6: Consumer Information Management Systems: Consumer information is uniquely identifiable, accurately recorded, current, confidential, and accessible when required.</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r w:rsidRPr="009D6533">
              <w:rPr>
                <w:b/>
                <w:sz w:val="24"/>
                <w:szCs w:val="24"/>
              </w:rPr>
              <w:t>√</w:t>
            </w:r>
          </w:p>
        </w:tc>
      </w:tr>
      <w:tr w:rsidR="00E0176A" w:rsidRPr="009D6533" w:rsidTr="00F40D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2.3: Occupational Health and Safety:  The organisation has a documented and maintained occupational safety and health policy to protect consumers and service providers.</w:t>
            </w:r>
          </w:p>
        </w:tc>
        <w:tc>
          <w:tcPr>
            <w:tcW w:w="385"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3.3: Health and Safety: Consumers receive services that promote the health and safety of the consumer and service provider</w:t>
            </w:r>
          </w:p>
        </w:tc>
        <w:tc>
          <w:tcPr>
            <w:tcW w:w="385"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No match</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auto"/>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r w:rsidRPr="009D6533">
              <w:rPr>
                <w:b/>
                <w:sz w:val="24"/>
                <w:szCs w:val="24"/>
              </w:rPr>
              <w:t>√</w:t>
            </w:r>
          </w:p>
        </w:tc>
      </w:tr>
      <w:tr w:rsidR="00E0176A" w:rsidRPr="009D6533" w:rsidTr="00F45CE5">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2.7: Design and Implementation of Services Using New Assisted Reproductive Technology: New assisted reproductive techniques are well-designed to maximise the safety and well-being of consumers and their children</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p>
        </w:tc>
      </w:tr>
      <w:tr w:rsidR="00E0176A" w:rsidRPr="009D6533" w:rsidTr="00F45C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szCs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szCs w:val="24"/>
                <w:lang w:eastAsia="en-NZ"/>
              </w:rPr>
            </w:pPr>
            <w:r w:rsidRPr="009D6533">
              <w:rPr>
                <w:b/>
                <w:sz w:val="24"/>
                <w:szCs w:val="24"/>
              </w:rPr>
              <w:t>√</w:t>
            </w:r>
          </w:p>
        </w:tc>
      </w:tr>
      <w:tr w:rsidR="00E0176A" w:rsidRPr="009D6533" w:rsidTr="00E0176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2.10: Advertising and Marketing Strategies: Consumers receive accurate and balanced advertising and marketing information about the service.</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b/>
                <w:sz w:val="24"/>
                <w:lang w:eastAsia="en-NZ"/>
              </w:rPr>
            </w:pPr>
          </w:p>
        </w:tc>
      </w:tr>
      <w:tr w:rsidR="00E0176A" w:rsidRPr="009D6533" w:rsidTr="00F40DD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sz w:val="24"/>
                <w:lang w:eastAsia="en-NZ"/>
              </w:rPr>
            </w:pPr>
          </w:p>
        </w:tc>
      </w:tr>
    </w:tbl>
    <w:p w:rsidR="00F40DD8" w:rsidRDefault="00F40DD8" w:rsidP="00496BBD">
      <w:pPr>
        <w:ind w:firstLine="720"/>
        <w:sectPr w:rsidR="00F40DD8" w:rsidSect="00496BBD">
          <w:pgSz w:w="16838" w:h="11906" w:orient="landscape"/>
          <w:pgMar w:top="1843" w:right="1418" w:bottom="1134" w:left="1418" w:header="709" w:footer="709" w:gutter="0"/>
          <w:cols w:space="708"/>
          <w:titlePg/>
          <w:docGrid w:linePitch="360"/>
        </w:sectPr>
      </w:pPr>
    </w:p>
    <w:tbl>
      <w:tblPr>
        <w:tblStyle w:val="PlainTable1"/>
        <w:tblpPr w:leftFromText="181" w:rightFromText="181" w:topFromText="2279" w:bottomFromText="862" w:vertAnchor="text" w:horzAnchor="margin" w:tblpXSpec="center" w:tblpY="1"/>
        <w:tblOverlap w:val="never"/>
        <w:tblW w:w="5007" w:type="pct"/>
        <w:tblLook w:val="0480" w:firstRow="0" w:lastRow="0" w:firstColumn="1" w:lastColumn="0" w:noHBand="0" w:noVBand="1"/>
      </w:tblPr>
      <w:tblGrid>
        <w:gridCol w:w="990"/>
        <w:gridCol w:w="1276"/>
        <w:gridCol w:w="8511"/>
        <w:gridCol w:w="1080"/>
        <w:gridCol w:w="1105"/>
        <w:gridCol w:w="1060"/>
      </w:tblGrid>
      <w:tr w:rsidR="00F45CE5" w:rsidRPr="009C3842" w:rsidTr="00BE5787">
        <w:trPr>
          <w:trHeight w:val="397"/>
          <w:tblHeader/>
        </w:trPr>
        <w:tc>
          <w:tcPr>
            <w:cnfStyle w:val="001000000000" w:firstRow="0" w:lastRow="0" w:firstColumn="1" w:lastColumn="0" w:oddVBand="0" w:evenVBand="0" w:oddHBand="0" w:evenHBand="0" w:firstRowFirstColumn="0" w:firstRowLastColumn="0" w:lastRowFirstColumn="0" w:lastRowLastColumn="0"/>
            <w:tcW w:w="3843" w:type="pct"/>
            <w:gridSpan w:val="3"/>
            <w:tcBorders>
              <w:top w:val="nil"/>
              <w:left w:val="nil"/>
              <w:bottom w:val="nil"/>
              <w:right w:val="nil"/>
            </w:tcBorders>
            <w:shd w:val="clear" w:color="auto" w:fill="F2F2F2" w:themeFill="background1" w:themeFillShade="F2"/>
            <w:vAlign w:val="center"/>
          </w:tcPr>
          <w:p w:rsidR="00F45CE5" w:rsidRPr="009C3842" w:rsidRDefault="00F45CE5" w:rsidP="00BE5787">
            <w:pPr>
              <w:pStyle w:val="TableText"/>
              <w:spacing w:before="40" w:after="40"/>
              <w:rPr>
                <w:lang w:eastAsia="en-NZ"/>
              </w:rPr>
            </w:pPr>
            <w:r w:rsidRPr="00580FDB">
              <w:rPr>
                <w:lang w:eastAsia="en-NZ"/>
              </w:rPr>
              <w:t xml:space="preserve">PART </w:t>
            </w:r>
            <w:r>
              <w:rPr>
                <w:lang w:eastAsia="en-NZ"/>
              </w:rPr>
              <w:t xml:space="preserve">3: </w:t>
            </w:r>
            <w:r w:rsidRPr="00F45CE5">
              <w:rPr>
                <w:lang w:eastAsia="en-NZ"/>
              </w:rPr>
              <w:t>CONTINUUM OF SERVICE DELIVERY</w:t>
            </w:r>
          </w:p>
        </w:tc>
        <w:tc>
          <w:tcPr>
            <w:tcW w:w="385" w:type="pct"/>
            <w:tcBorders>
              <w:top w:val="nil"/>
              <w:left w:val="nil"/>
              <w:bottom w:val="nil"/>
              <w:right w:val="nil"/>
            </w:tcBorders>
            <w:shd w:val="clear" w:color="auto" w:fill="F2F2F2" w:themeFill="background1" w:themeFillShade="F2"/>
            <w:vAlign w:val="center"/>
          </w:tcPr>
          <w:p w:rsidR="00F45CE5" w:rsidRPr="00BE5787" w:rsidRDefault="00F45CE5"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BE5787">
              <w:rPr>
                <w:b/>
                <w:lang w:eastAsia="en-NZ"/>
              </w:rPr>
              <w:t>Exact Match</w:t>
            </w:r>
          </w:p>
        </w:tc>
        <w:tc>
          <w:tcPr>
            <w:tcW w:w="394" w:type="pct"/>
            <w:tcBorders>
              <w:top w:val="nil"/>
              <w:left w:val="nil"/>
              <w:bottom w:val="nil"/>
              <w:right w:val="nil"/>
            </w:tcBorders>
            <w:shd w:val="clear" w:color="auto" w:fill="F2F2F2" w:themeFill="background1" w:themeFillShade="F2"/>
            <w:vAlign w:val="center"/>
          </w:tcPr>
          <w:p w:rsidR="00F45CE5" w:rsidRPr="00BE5787" w:rsidRDefault="00F45CE5"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BE5787">
              <w:rPr>
                <w:b/>
                <w:lang w:eastAsia="en-NZ"/>
              </w:rPr>
              <w:t>Partial</w:t>
            </w:r>
          </w:p>
        </w:tc>
        <w:tc>
          <w:tcPr>
            <w:tcW w:w="378" w:type="pct"/>
            <w:tcBorders>
              <w:top w:val="nil"/>
              <w:left w:val="nil"/>
              <w:bottom w:val="nil"/>
              <w:right w:val="nil"/>
            </w:tcBorders>
            <w:shd w:val="clear" w:color="auto" w:fill="F2F2F2" w:themeFill="background1" w:themeFillShade="F2"/>
            <w:vAlign w:val="center"/>
          </w:tcPr>
          <w:p w:rsidR="00F45CE5" w:rsidRPr="00BE5787" w:rsidRDefault="00F45CE5"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lang w:eastAsia="en-NZ"/>
              </w:rPr>
            </w:pPr>
            <w:r w:rsidRPr="00BE5787">
              <w:rPr>
                <w:b/>
                <w:lang w:eastAsia="en-NZ"/>
              </w:rPr>
              <w:t xml:space="preserve">No </w:t>
            </w:r>
            <w:r w:rsidR="00585B58">
              <w:rPr>
                <w:b/>
                <w:lang w:eastAsia="en-NZ"/>
              </w:rPr>
              <w:t>M</w:t>
            </w:r>
            <w:r w:rsidRPr="00BE5787">
              <w:rPr>
                <w:b/>
                <w:lang w:eastAsia="en-NZ"/>
              </w:rPr>
              <w:t>atch</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 1.3.1: Entry to Services (HDS(C)S.2008:1.3.1): Consumers' entry into services is facilitated in a competent, equitable, timely, and respectful manner, when their need for services has been identified</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 xml:space="preserve"> 3.1: Entry to Services: Consumers are considered for entry to ART treatment, including specialist consultation, diagnosis, and scoring for eligibility, in an equitable and timely manner.</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2.5: Entry to and Exit from Services: Consumers’ entry into and exit from services is facilitated in an equitable, timely, and respectful manner.</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1.3.2: Declining Referral/Entry to Services (HDS(C)S.2008:1.3.2): Where referral/entry to the service is declined, the immediate risk to the consumer and/or their family/whānau is managed by the organisation, where appropriate</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3.2: Declining Entry to Services: Where entry to the service is declined, consumers receive adequate support and information regarding the reasons for the service being declined.</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 1.3.3: Service Provision Requirements (HDS(C)S.2008:1.3.3): Consumers receive timely, competent, and appropriate services in order to meet their assessed needs and desired outcome/goals</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580FDB"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 xml:space="preserve"> 1.3.4: Assessment (HDS(C)S.2008:1.3.4)</w:t>
            </w:r>
          </w:p>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Consumers' needs, support requirements, and preferences are gathered and recorded in a timely manner.</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4.1: Service Agreement: The consumer, organisation, and service provider have a full understanding of and agree to the services to be provided.</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1.3.5: Planning (HDS(C)S.2008:1.3.5): Consumers' service delivery plans are consumer focused, integrated, and promote continuity of service delivery.</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FSS</w:t>
            </w:r>
          </w:p>
        </w:tc>
        <w:tc>
          <w:tcPr>
            <w:tcW w:w="303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HCSS</w:t>
            </w:r>
          </w:p>
        </w:tc>
        <w:tc>
          <w:tcPr>
            <w:tcW w:w="303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4.4: Service Delivery Planning: Consumers have an individual service plan that describes their goals, support needs, and requirements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1.3.6: Service Delivery/Interventions (HDS(C)S.2008:1.3.6): Consumers receive adequate and appropriate services in order to meet their assessed needs and desired outcomes.</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3.5: Treatment Provision: Consumers receive timely, competent and appropriate treatment. </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4.5: Implementation of Individual Service Plan: Consumers’ goals and support requirements are met through provision of services.</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1.3.7: Planned Activities (HDS(C)S.2008:1.3.7): Where specified as part of the service delivery plan for a consumer, activity requirements are appropriate to their needs, age, culture, and the setting of the service.</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FSS</w:t>
            </w:r>
          </w:p>
        </w:tc>
        <w:tc>
          <w:tcPr>
            <w:tcW w:w="303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HCSS</w:t>
            </w:r>
          </w:p>
        </w:tc>
        <w:tc>
          <w:tcPr>
            <w:tcW w:w="303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 xml:space="preserve"> 1.3.8: Evaluation (HDS(C)S.2008:1.3.8): Consumers' service delivery plans are evaluated in a comprehensive and timely manner.</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3.8: Clinical Review:  Service delivery for individuals is evaluated in a comprehensive and timely manner.</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4.11: Review of Service Delivery: Consumers are supported to achieve their goals through regular monitoring and review of service delivery.</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 1.3.9: Referral to Other Health </w:t>
            </w:r>
            <w:r w:rsidR="00DF5A28" w:rsidRPr="00BE5787">
              <w:t>and</w:t>
            </w:r>
            <w:r w:rsidRPr="00BE5787">
              <w:t xml:space="preserve"> Disability Services (Internal </w:t>
            </w:r>
            <w:r w:rsidR="00DF5A28" w:rsidRPr="00BE5787">
              <w:t>and</w:t>
            </w:r>
            <w:r w:rsidRPr="00BE5787">
              <w:t xml:space="preserve"> External) (HDS(C)S.2008:1.3.9): Consumer support for access or referral to other health and/or disability service providers is appropriately facilitated, or provided to meet consumer choice/needs</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FSS</w:t>
            </w:r>
          </w:p>
        </w:tc>
        <w:tc>
          <w:tcPr>
            <w:tcW w:w="303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HCSS</w:t>
            </w:r>
          </w:p>
        </w:tc>
        <w:tc>
          <w:tcPr>
            <w:tcW w:w="303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1.3.10: Transition, Exit, Discharge, Or Transfer (HDS(C)S.2008:1.3.10): Consumers experience a planned and coordinated transition, exit, discharge, or transfer from services.</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  3.9: Exit, Discharge or Transfer: Consumers are appropriately advised of their options to access other health and disability services where indicated or requested. Consumers experience a planned and co-ordinated exit from services.</w:t>
            </w:r>
          </w:p>
        </w:tc>
        <w:tc>
          <w:tcPr>
            <w:tcW w:w="385"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 xml:space="preserve">2.5: Entry to and Exit from Services: Consumers’ entry into and exit from services is facilitated in an equitable, timely, and respectful manner </w:t>
            </w:r>
          </w:p>
        </w:tc>
        <w:tc>
          <w:tcPr>
            <w:tcW w:w="385"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 1.3.11: Use of Electroconvulsive Therapy (Ect) (HDS(C)S.2008:1.3.11): Consumers who are administered electroconvulsive therapy are well informed and receive it in a safe manner. (Only mental health services that provide ECT need to comply with 3.11)</w:t>
            </w:r>
          </w:p>
        </w:tc>
        <w:tc>
          <w:tcPr>
            <w:tcW w:w="385"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auto"/>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BE5787">
            <w:pPr>
              <w:pStyle w:val="TableText"/>
              <w:spacing w:before="40" w:after="40"/>
            </w:pPr>
          </w:p>
        </w:tc>
        <w:tc>
          <w:tcPr>
            <w:tcW w:w="455" w:type="pct"/>
            <w:shd w:val="clear" w:color="auto" w:fill="auto"/>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auto"/>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DF5A2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 xml:space="preserve"> 1.3.12: Medicine Management (HDS(C)S.2008:1.3.12)</w:t>
            </w:r>
            <w:r w:rsidR="00DF5A28">
              <w:t xml:space="preserve">: </w:t>
            </w:r>
            <w:r w:rsidRPr="00BE5787">
              <w:t>Consumers receive medicines in a safe and timely manner that complies with current legislative requirements and safe practice guidelines</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3.11: Medicines, Therapeutic Goods and Medical Devices Management:  Consumers receive medicines, therapeutic goods and/or medical devices in a safe and timely manner that complies with current legislative and regulatory requirements.</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4.6: Medicine Management: Consumers receive medicines in a safe and timely manner that complies with current legislative requirements and safe practice guidelines.</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DB5909"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FFFFF" w:themeFill="background1"/>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 xml:space="preserve"> 1.3.13: Nutrition, Safe Food, </w:t>
            </w:r>
            <w:r w:rsidR="00DF5A28">
              <w:t>a</w:t>
            </w:r>
            <w:r w:rsidRPr="00BE5787">
              <w:t>nd Fluid Management (HDS(C)S.2008:1.3.13): A consumer's individual food, fluids and nutritional needs are met where this service is a component of service delivery.</w:t>
            </w:r>
          </w:p>
        </w:tc>
        <w:tc>
          <w:tcPr>
            <w:tcW w:w="385"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FFFFF" w:themeFill="background1"/>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HCSS</w:t>
            </w:r>
          </w:p>
        </w:tc>
        <w:tc>
          <w:tcPr>
            <w:tcW w:w="303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4.9: Nutrition and Safe Food Management: The consumer’s nutrition and hydration is supported by service delivery.</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DB5909"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r w:rsidRPr="009D6533">
              <w:rPr>
                <w:b/>
                <w:sz w:val="24"/>
                <w:szCs w:val="24"/>
              </w:rPr>
              <w:t>√</w:t>
            </w:r>
          </w:p>
        </w:tc>
      </w:tr>
      <w:tr w:rsidR="00E0176A" w:rsidRPr="009D6533" w:rsidTr="00E0176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3.3: Donated Gametes and Embryos are Safe and Fit for Purpose: Gametes and embryos are safe for donation.</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DB5909"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FFFFF" w:themeFill="background1"/>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FFFFF" w:themeFill="background1"/>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FSS</w:t>
            </w:r>
          </w:p>
        </w:tc>
        <w:tc>
          <w:tcPr>
            <w:tcW w:w="3035" w:type="pct"/>
            <w:shd w:val="clear" w:color="auto" w:fill="FFFFFF" w:themeFill="background1"/>
          </w:tcPr>
          <w:p w:rsidR="00E0176A" w:rsidRPr="00E0176A" w:rsidRDefault="00E0176A" w:rsidP="00E0176A">
            <w:pPr>
              <w:pStyle w:val="TableText"/>
              <w:cnfStyle w:val="000000000000" w:firstRow="0" w:lastRow="0" w:firstColumn="0" w:lastColumn="0" w:oddVBand="0" w:evenVBand="0" w:oddHBand="0" w:evenHBand="0" w:firstRowFirstColumn="0" w:firstRowLastColumn="0" w:lastRowFirstColumn="0" w:lastRowLastColumn="0"/>
            </w:pPr>
            <w:r w:rsidRPr="00E0176A">
              <w:t xml:space="preserve">3.4: Identification processes: Consumer’s gametes, embryos and consumers are correctly identified and matched at all times </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FFFFFF" w:themeFill="background1"/>
          </w:tcPr>
          <w:p w:rsidR="00E0176A" w:rsidRPr="00E0176A" w:rsidRDefault="00E0176A" w:rsidP="00E0176A">
            <w:pPr>
              <w:pStyle w:val="TableText"/>
              <w:cnfStyle w:val="000000100000" w:firstRow="0" w:lastRow="0" w:firstColumn="0" w:lastColumn="0" w:oddVBand="0" w:evenVBand="0" w:oddHBand="1" w:evenHBand="0" w:firstRowFirstColumn="0" w:firstRowLastColumn="0" w:lastRowFirstColumn="0" w:lastRowLastColumn="0"/>
            </w:pPr>
            <w:r w:rsidRPr="00E0176A">
              <w:t>No match</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DB5909"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3.6: Safety of ART Treatment: The well-being of consumers and their children is improved by limiting the risks of ART treatment.</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DB5909"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FFFFF" w:themeFill="background1"/>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FFFFF" w:themeFill="background1"/>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3.7: Day-stay Procedures: Consumers receive timely, competent and appropriate service provision in order to meet their assessed needs.</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DB5909"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3.10: Evaluation: Future consumers benefit from the review and evaluation of service delivery.</w:t>
            </w:r>
          </w:p>
        </w:tc>
        <w:tc>
          <w:tcPr>
            <w:tcW w:w="385"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HCSS</w:t>
            </w:r>
          </w:p>
        </w:tc>
        <w:tc>
          <w:tcPr>
            <w:tcW w:w="3035" w:type="pct"/>
            <w:shd w:val="clear" w:color="auto" w:fill="F2F2F2" w:themeFill="background1" w:themeFillShade="F2"/>
          </w:tcPr>
          <w:p w:rsidR="00E0176A"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385"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DB5909"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FFFFF" w:themeFill="background1"/>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FFFFF" w:themeFill="background1"/>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DB5909"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B5909">
              <w:t>FSS</w:t>
            </w:r>
          </w:p>
        </w:tc>
        <w:tc>
          <w:tcPr>
            <w:tcW w:w="303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DB5909"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DB5909">
              <w:t>HCSS</w:t>
            </w:r>
          </w:p>
        </w:tc>
        <w:tc>
          <w:tcPr>
            <w:tcW w:w="303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4.2: Promoting and Supporting Independence: Consumers maintain their independence during the course of service delivery by being supported to exercise choice and control over their lives.</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DB5909"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4.3: Links with Other Groups: Consumers receive continuity of service through effective links with other groups.</w:t>
            </w:r>
          </w:p>
        </w:tc>
        <w:tc>
          <w:tcPr>
            <w:tcW w:w="385"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DB5909"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FFFFF" w:themeFill="background1"/>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FFFFF" w:themeFill="background1"/>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FSS</w:t>
            </w:r>
          </w:p>
        </w:tc>
        <w:tc>
          <w:tcPr>
            <w:tcW w:w="303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HCSS</w:t>
            </w:r>
          </w:p>
        </w:tc>
        <w:tc>
          <w:tcPr>
            <w:tcW w:w="303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4.8: Equipment, Aids and Enablers: Consumers are supported to safely use any required or prescribed equipment, aids, or enablers.</w:t>
            </w:r>
          </w:p>
        </w:tc>
        <w:tc>
          <w:tcPr>
            <w:tcW w:w="385"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DB5909"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No match</w:t>
            </w:r>
          </w:p>
        </w:tc>
        <w:tc>
          <w:tcPr>
            <w:tcW w:w="385"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r w:rsidRPr="009D6533">
              <w:rPr>
                <w:b/>
                <w:sz w:val="24"/>
                <w:szCs w:val="24"/>
              </w:rPr>
              <w:t>√</w:t>
            </w:r>
          </w:p>
        </w:tc>
      </w:tr>
      <w:tr w:rsidR="00E0176A" w:rsidRPr="009D6533"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BE5787">
            <w:pPr>
              <w:pStyle w:val="TableText"/>
              <w:spacing w:before="40" w:after="40"/>
            </w:pPr>
          </w:p>
        </w:tc>
        <w:tc>
          <w:tcPr>
            <w:tcW w:w="45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FSS</w:t>
            </w:r>
          </w:p>
        </w:tc>
        <w:tc>
          <w:tcPr>
            <w:tcW w:w="3035" w:type="pct"/>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BE5787">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BE5787">
            <w:pPr>
              <w:pStyle w:val="TableText"/>
              <w:spacing w:before="40" w:after="40"/>
            </w:pPr>
          </w:p>
        </w:tc>
        <w:tc>
          <w:tcPr>
            <w:tcW w:w="45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HCSS</w:t>
            </w:r>
          </w:p>
        </w:tc>
        <w:tc>
          <w:tcPr>
            <w:tcW w:w="3035" w:type="pct"/>
            <w:shd w:val="clear" w:color="auto" w:fill="F2F2F2" w:themeFill="background1" w:themeFillShade="F2"/>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4.10: Skin Integrity: Consumers’ skin integrity is maintained.</w:t>
            </w:r>
          </w:p>
        </w:tc>
        <w:tc>
          <w:tcPr>
            <w:tcW w:w="385"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2F2F2" w:themeFill="background1" w:themeFillShade="F2"/>
            <w:vAlign w:val="center"/>
          </w:tcPr>
          <w:p w:rsidR="00E0176A" w:rsidRPr="009D6533" w:rsidRDefault="00E0176A" w:rsidP="00BE5787">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DB5909" w:rsidTr="00BE57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FFFFF" w:themeFill="background1"/>
          </w:tcPr>
          <w:p w:rsidR="00E0176A" w:rsidRPr="009C3842" w:rsidRDefault="00E0176A" w:rsidP="00BE5787">
            <w:pPr>
              <w:pStyle w:val="TableText"/>
              <w:spacing w:before="40" w:after="40"/>
            </w:pPr>
            <w:r w:rsidRPr="009C3842">
              <w:t>HDSS</w:t>
            </w:r>
          </w:p>
        </w:tc>
        <w:tc>
          <w:tcPr>
            <w:tcW w:w="3490" w:type="pct"/>
            <w:gridSpan w:val="2"/>
            <w:tcBorders>
              <w:top w:val="nil"/>
            </w:tcBorders>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No match</w:t>
            </w:r>
          </w:p>
        </w:tc>
        <w:tc>
          <w:tcPr>
            <w:tcW w:w="385"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FFFFFF" w:themeFill="background1"/>
            <w:vAlign w:val="center"/>
          </w:tcPr>
          <w:p w:rsidR="00E0176A" w:rsidRPr="009D6533"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FFFFF" w:themeFill="background1"/>
            <w:vAlign w:val="center"/>
          </w:tcPr>
          <w:p w:rsidR="00E0176A" w:rsidRPr="00DB5909" w:rsidRDefault="00E0176A" w:rsidP="00BE5787">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FSS</w:t>
            </w:r>
          </w:p>
        </w:tc>
        <w:tc>
          <w:tcPr>
            <w:tcW w:w="3035" w:type="pct"/>
            <w:shd w:val="clear" w:color="auto" w:fill="FFFFFF" w:themeFill="background1"/>
          </w:tcPr>
          <w:p w:rsidR="00E0176A" w:rsidRPr="00BE5787"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E5787">
              <w:t xml:space="preserve"> No match</w:t>
            </w:r>
          </w:p>
        </w:tc>
        <w:tc>
          <w:tcPr>
            <w:tcW w:w="385" w:type="pct"/>
            <w:vMerge/>
            <w:shd w:val="clear" w:color="auto" w:fill="FFFFFF" w:themeFill="background1"/>
            <w:vAlign w:val="center"/>
          </w:tcPr>
          <w:p w:rsidR="00E0176A" w:rsidRPr="009D6533"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FFFFF" w:themeFill="background1"/>
          </w:tcPr>
          <w:p w:rsidR="00E0176A" w:rsidRPr="009C3842" w:rsidRDefault="00E0176A" w:rsidP="00BE5787">
            <w:pPr>
              <w:pStyle w:val="TableText"/>
              <w:spacing w:before="40" w:after="40"/>
            </w:pPr>
          </w:p>
        </w:tc>
        <w:tc>
          <w:tcPr>
            <w:tcW w:w="45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HCSS</w:t>
            </w:r>
          </w:p>
        </w:tc>
        <w:tc>
          <w:tcPr>
            <w:tcW w:w="3035" w:type="pct"/>
            <w:shd w:val="clear" w:color="auto" w:fill="FFFFFF" w:themeFill="background1"/>
          </w:tcPr>
          <w:p w:rsidR="00E0176A" w:rsidRPr="00BE5787"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pPr>
            <w:r w:rsidRPr="00BE5787">
              <w:t>4.12: Challenging Behaviours: Consumers with behaviours that challenge are treated with respect and receive services in a manner that has regard for their safety, dignity, privacy, and independence. [LINK: RMSP]</w:t>
            </w:r>
          </w:p>
        </w:tc>
        <w:tc>
          <w:tcPr>
            <w:tcW w:w="385" w:type="pct"/>
            <w:vMerge/>
            <w:shd w:val="clear" w:color="auto" w:fill="FFFFFF" w:themeFill="background1"/>
            <w:vAlign w:val="center"/>
          </w:tcPr>
          <w:p w:rsidR="00E0176A" w:rsidRPr="009D6533"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FFFFFF" w:themeFill="background1"/>
            <w:vAlign w:val="center"/>
          </w:tcPr>
          <w:p w:rsidR="00E0176A" w:rsidRPr="009D6533"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FFFFFF" w:themeFill="background1"/>
            <w:vAlign w:val="center"/>
          </w:tcPr>
          <w:p w:rsidR="00E0176A" w:rsidRPr="009D6533" w:rsidRDefault="00E0176A" w:rsidP="00BE5787">
            <w:pPr>
              <w:pStyle w:val="TableText"/>
              <w:spacing w:before="40" w:after="40"/>
              <w:cnfStyle w:val="000000100000" w:firstRow="0" w:lastRow="0" w:firstColumn="0" w:lastColumn="0" w:oddVBand="0" w:evenVBand="0" w:oddHBand="1" w:evenHBand="0" w:firstRowFirstColumn="0" w:firstRowLastColumn="0" w:lastRowFirstColumn="0" w:lastRowLastColumn="0"/>
              <w:rPr>
                <w:sz w:val="24"/>
                <w:lang w:eastAsia="en-NZ"/>
              </w:rPr>
            </w:pPr>
          </w:p>
        </w:tc>
      </w:tr>
    </w:tbl>
    <w:p w:rsidR="00496BBD" w:rsidRDefault="00496BBD" w:rsidP="00496BBD">
      <w:pPr>
        <w:ind w:firstLine="720"/>
      </w:pPr>
    </w:p>
    <w:p w:rsidR="00496BBD" w:rsidRDefault="00496BBD" w:rsidP="00496BBD"/>
    <w:p w:rsidR="00496BBD" w:rsidRPr="00496BBD" w:rsidRDefault="00496BBD" w:rsidP="00496BBD">
      <w:pPr>
        <w:sectPr w:rsidR="00496BBD" w:rsidRPr="00496BBD" w:rsidSect="00496BBD">
          <w:pgSz w:w="16838" w:h="11906" w:orient="landscape"/>
          <w:pgMar w:top="1843" w:right="1418" w:bottom="1134" w:left="1418" w:header="709" w:footer="709" w:gutter="0"/>
          <w:cols w:space="708"/>
          <w:titlePg/>
          <w:docGrid w:linePitch="360"/>
        </w:sectPr>
      </w:pPr>
    </w:p>
    <w:tbl>
      <w:tblPr>
        <w:tblStyle w:val="PlainTable1"/>
        <w:tblpPr w:leftFromText="181" w:rightFromText="181" w:topFromText="2279" w:bottomFromText="862" w:vertAnchor="text" w:horzAnchor="margin" w:tblpXSpec="center" w:tblpY="1"/>
        <w:tblOverlap w:val="never"/>
        <w:tblW w:w="5007" w:type="pct"/>
        <w:tblLook w:val="0480" w:firstRow="0" w:lastRow="0" w:firstColumn="1" w:lastColumn="0" w:noHBand="0" w:noVBand="1"/>
      </w:tblPr>
      <w:tblGrid>
        <w:gridCol w:w="990"/>
        <w:gridCol w:w="1276"/>
        <w:gridCol w:w="8511"/>
        <w:gridCol w:w="1080"/>
        <w:gridCol w:w="1105"/>
        <w:gridCol w:w="1060"/>
      </w:tblGrid>
      <w:tr w:rsidR="00BE5787" w:rsidRPr="009C3842" w:rsidTr="00585B58">
        <w:trPr>
          <w:trHeight w:val="709"/>
          <w:tblHeader/>
        </w:trPr>
        <w:tc>
          <w:tcPr>
            <w:cnfStyle w:val="001000000000" w:firstRow="0" w:lastRow="0" w:firstColumn="1" w:lastColumn="0" w:oddVBand="0" w:evenVBand="0" w:oddHBand="0" w:evenHBand="0" w:firstRowFirstColumn="0" w:firstRowLastColumn="0" w:lastRowFirstColumn="0" w:lastRowLastColumn="0"/>
            <w:tcW w:w="3843" w:type="pct"/>
            <w:gridSpan w:val="3"/>
            <w:tcBorders>
              <w:top w:val="nil"/>
              <w:left w:val="nil"/>
              <w:bottom w:val="nil"/>
              <w:right w:val="nil"/>
            </w:tcBorders>
            <w:shd w:val="clear" w:color="auto" w:fill="F2F2F2" w:themeFill="background1" w:themeFillShade="F2"/>
            <w:vAlign w:val="center"/>
          </w:tcPr>
          <w:p w:rsidR="00BE5787" w:rsidRPr="009361A4" w:rsidRDefault="00BE5787" w:rsidP="00585B58">
            <w:pPr>
              <w:pStyle w:val="TableText"/>
              <w:spacing w:before="40" w:after="40"/>
              <w:rPr>
                <w:lang w:eastAsia="en-NZ"/>
              </w:rPr>
            </w:pPr>
            <w:r w:rsidRPr="009361A4">
              <w:rPr>
                <w:lang w:eastAsia="en-NZ"/>
              </w:rPr>
              <w:t>PART 4</w:t>
            </w:r>
            <w:r>
              <w:rPr>
                <w:lang w:eastAsia="en-NZ"/>
              </w:rPr>
              <w:t>: SAFE AND APPROPRIATE ENVIRONMENT</w:t>
            </w:r>
          </w:p>
        </w:tc>
        <w:tc>
          <w:tcPr>
            <w:tcW w:w="385" w:type="pct"/>
            <w:tcBorders>
              <w:top w:val="nil"/>
              <w:left w:val="nil"/>
              <w:bottom w:val="nil"/>
              <w:right w:val="nil"/>
            </w:tcBorders>
            <w:shd w:val="clear" w:color="auto" w:fill="F2F2F2" w:themeFill="background1" w:themeFillShade="F2"/>
            <w:vAlign w:val="center"/>
          </w:tcPr>
          <w:p w:rsidR="00BE5787" w:rsidRPr="008C4BBF" w:rsidRDefault="00BE5787"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Exact Match</w:t>
            </w:r>
          </w:p>
        </w:tc>
        <w:tc>
          <w:tcPr>
            <w:tcW w:w="394" w:type="pct"/>
            <w:tcBorders>
              <w:top w:val="nil"/>
              <w:left w:val="nil"/>
              <w:bottom w:val="nil"/>
              <w:right w:val="nil"/>
            </w:tcBorders>
            <w:shd w:val="clear" w:color="auto" w:fill="F2F2F2" w:themeFill="background1" w:themeFillShade="F2"/>
            <w:vAlign w:val="center"/>
          </w:tcPr>
          <w:p w:rsidR="00BE5787" w:rsidRPr="008C4BBF" w:rsidRDefault="00BE5787"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Partial</w:t>
            </w:r>
          </w:p>
        </w:tc>
        <w:tc>
          <w:tcPr>
            <w:tcW w:w="378" w:type="pct"/>
            <w:tcBorders>
              <w:top w:val="nil"/>
              <w:left w:val="nil"/>
              <w:bottom w:val="nil"/>
              <w:right w:val="nil"/>
            </w:tcBorders>
            <w:shd w:val="clear" w:color="auto" w:fill="F2F2F2" w:themeFill="background1" w:themeFillShade="F2"/>
            <w:vAlign w:val="center"/>
          </w:tcPr>
          <w:p w:rsidR="00BE5787" w:rsidRPr="008C4BBF" w:rsidRDefault="00BE5787"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 xml:space="preserve">No </w:t>
            </w:r>
            <w:r w:rsidR="008C4BBF">
              <w:rPr>
                <w:b/>
              </w:rPr>
              <w:t>M</w:t>
            </w:r>
            <w:r w:rsidRPr="008C4BBF">
              <w:rPr>
                <w:b/>
              </w:rPr>
              <w:t>atch</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
                <w:lang w:eastAsia="en-NZ"/>
              </w:rPr>
            </w:pPr>
            <w:r w:rsidRPr="009361A4">
              <w:rPr>
                <w:lang w:eastAsia="en-NZ"/>
              </w:rPr>
              <w:t>1.4.1: Management of Waste and Hazardous Substances: Consumers, visitors, and service providers are protected from harm as a result of exposure to waste, infectious or hazardous substances, generated during service delivery.</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9361A4">
              <w:rPr>
                <w:lang w:eastAsia="en-NZ"/>
              </w:rPr>
              <w:t xml:space="preserve">3.13: Management of Waste and Hazardous Substances: </w:t>
            </w:r>
            <w:r w:rsidRPr="009361A4">
              <w:t xml:space="preserve"> </w:t>
            </w:r>
            <w:r w:rsidRPr="009361A4">
              <w:rPr>
                <w:lang w:eastAsia="en-NZ"/>
              </w:rPr>
              <w:t>Consumers, visitors and service providers are protected from harm as a result of exposure to waste or hazardous substances, generated during service delivery.</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rFonts w:eastAsiaTheme="majorEastAsia"/>
                <w:bCs/>
                <w:lang w:eastAsia="en-NZ"/>
              </w:rPr>
            </w:pPr>
            <w:r w:rsidRPr="009361A4">
              <w:rPr>
                <w:rFonts w:eastAsiaTheme="majorEastAsia"/>
                <w:bCs/>
                <w:lang w:eastAsia="en-NZ"/>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b/>
                <w:lang w:eastAsia="en-NZ"/>
              </w:rPr>
            </w:pPr>
            <w:r w:rsidRPr="009361A4">
              <w:rPr>
                <w:lang w:eastAsia="en-NZ"/>
              </w:rPr>
              <w:t>1.4.2: Facility Specifications: Consumers are provided with an appropriate, accessible physical environment and facilities that are fit for their purpose.</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4.2: Facility and Equipment Specifications and Maintenance:  All buildings, plant and equipment used in the provision of services are maintained in reliable and safe working order.</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rPr>
                <w:lang w:eastAsia="en-NZ"/>
              </w:rPr>
              <w:t xml:space="preserve">1.4.3: Toilet, Shower, </w:t>
            </w:r>
            <w:r w:rsidR="00DF5A28">
              <w:rPr>
                <w:lang w:eastAsia="en-NZ"/>
              </w:rPr>
              <w:t>a</w:t>
            </w:r>
            <w:r w:rsidRPr="009361A4">
              <w:rPr>
                <w:lang w:eastAsia="en-NZ"/>
              </w:rPr>
              <w:t>nd Bathing Facilities: Consumers are provided with adequate toilet/shower/bathing facilities.  Consumers are assured privacy when attending to personal hygiene requirements or receiving assistance with personal hygiene requirements.</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 xml:space="preserve">1.4.4: </w:t>
            </w:r>
            <w:r w:rsidR="00DF5A28">
              <w:t>P</w:t>
            </w:r>
            <w:r w:rsidRPr="00585B58">
              <w:t>ersonal space/bed areas: Consumer are provided with adequate personal space/bed areas appropriate to the consumer group and settings</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FSS</w:t>
            </w:r>
          </w:p>
        </w:tc>
        <w:tc>
          <w:tcPr>
            <w:tcW w:w="3035" w:type="pct"/>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HCSS</w:t>
            </w:r>
          </w:p>
        </w:tc>
        <w:tc>
          <w:tcPr>
            <w:tcW w:w="3035" w:type="pct"/>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 xml:space="preserve">1.4.5: Communal Areas for Entertainment, Recreation, </w:t>
            </w:r>
            <w:r>
              <w:t>a</w:t>
            </w:r>
            <w:r w:rsidRPr="00585B58">
              <w:t>nd Dining: Consumers are provided with safe, adequate, age appropriate, and accessible areas to meet their relaxation, activity, and dining needs.</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FSS</w:t>
            </w:r>
          </w:p>
        </w:tc>
        <w:tc>
          <w:tcPr>
            <w:tcW w:w="3035" w:type="pct"/>
            <w:shd w:val="clear" w:color="auto" w:fill="auto"/>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HCSS</w:t>
            </w:r>
          </w:p>
        </w:tc>
        <w:tc>
          <w:tcPr>
            <w:tcW w:w="3035" w:type="pct"/>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1.4.6: Cleaning and Laundry Services: Consumers are provided with safe and hygienic cleaning and laundry services appropriate to the setting in which the service is being provided.</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4.5: Cleaning and Laundry Services:  Consumers have a clean environment and safe and hygienic laundry services. (Where this service is outsourced, a system exists to ensure compliance is achieved.)</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 xml:space="preserve">1.4.7: Essential, Emergency, </w:t>
            </w:r>
            <w:r>
              <w:t>a</w:t>
            </w:r>
            <w:r w:rsidRPr="00585B58">
              <w:t>nd Security Systems: Consumers receive an appropriate and timely response during emergency and security situations.</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4.6: Essential, Emergency and Security Systems:  Consumers receive an appropriate and timely response during emergency and security situations.</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 xml:space="preserve"> 2.7: Essential and Emergency Systems: Consumers receive an appropriate and timely response during emergency and security situations. </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 xml:space="preserve">1.4.8: Natural Light, Ventilation, </w:t>
            </w:r>
            <w:r>
              <w:t>a</w:t>
            </w:r>
            <w:r w:rsidRPr="009361A4">
              <w:t>nd Heating: Consumers are provided with adequate natural light, safe ventilation, and an environment that is maintained at a safe and comfortable temperature.</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4.3: Natural Light, Ventilation and Heating:  Consumers are provided with adequate natural light, safe ventilation and an environment that is maintained at a safe and comfortable temperature.</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BE5787"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4.1: Physical Privacy: The design of the physical environment promotes privacy.</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DB5909"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4.4: Reception, Waiting and Other Public Areas</w:t>
            </w:r>
            <w:r w:rsidRPr="009361A4">
              <w:rPr>
                <w:b/>
              </w:rPr>
              <w:t xml:space="preserve">: </w:t>
            </w:r>
            <w:r w:rsidRPr="009361A4">
              <w:t>Consumers are provided with safe, adequate, appropriate and accessible areas for waiting and are able to move freely within these areas either independently or with the assistance of one or more persons, or mobility aids.</w:t>
            </w:r>
          </w:p>
        </w:tc>
        <w:tc>
          <w:tcPr>
            <w:tcW w:w="385" w:type="pct"/>
            <w:vMerge/>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vAlign w:val="center"/>
          </w:tcPr>
          <w:p w:rsidR="00E0176A" w:rsidRPr="00DB5909"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szCs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F2F2F2" w:themeFill="background1" w:themeFillShade="F2"/>
            <w:vAlign w:val="center"/>
          </w:tcPr>
          <w:p w:rsidR="00E0176A" w:rsidRPr="00DB5909"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eastAsia="en-NZ"/>
              </w:rPr>
            </w:pPr>
          </w:p>
        </w:tc>
      </w:tr>
    </w:tbl>
    <w:p w:rsidR="001C31AF" w:rsidRDefault="001C31AF" w:rsidP="00595FD6">
      <w:pPr>
        <w:sectPr w:rsidR="001C31AF" w:rsidSect="00F448B4">
          <w:pgSz w:w="16838" w:h="11906" w:orient="landscape"/>
          <w:pgMar w:top="1418" w:right="1418" w:bottom="1134" w:left="1418" w:header="709" w:footer="709" w:gutter="0"/>
          <w:cols w:space="708"/>
          <w:titlePg/>
          <w:docGrid w:linePitch="360"/>
        </w:sectPr>
      </w:pPr>
    </w:p>
    <w:tbl>
      <w:tblPr>
        <w:tblStyle w:val="PlainTable1"/>
        <w:tblpPr w:leftFromText="181" w:rightFromText="181" w:topFromText="2279" w:bottomFromText="862" w:vertAnchor="text" w:horzAnchor="margin" w:tblpXSpec="center" w:tblpY="1"/>
        <w:tblOverlap w:val="never"/>
        <w:tblW w:w="5007" w:type="pct"/>
        <w:tblLook w:val="0480" w:firstRow="0" w:lastRow="0" w:firstColumn="1" w:lastColumn="0" w:noHBand="0" w:noVBand="1"/>
      </w:tblPr>
      <w:tblGrid>
        <w:gridCol w:w="990"/>
        <w:gridCol w:w="1276"/>
        <w:gridCol w:w="8511"/>
        <w:gridCol w:w="1080"/>
        <w:gridCol w:w="1105"/>
        <w:gridCol w:w="1060"/>
      </w:tblGrid>
      <w:tr w:rsidR="00585B58" w:rsidRPr="009C3842" w:rsidTr="00585B58">
        <w:trPr>
          <w:trHeight w:val="709"/>
          <w:tblHeader/>
        </w:trPr>
        <w:tc>
          <w:tcPr>
            <w:cnfStyle w:val="001000000000" w:firstRow="0" w:lastRow="0" w:firstColumn="1" w:lastColumn="0" w:oddVBand="0" w:evenVBand="0" w:oddHBand="0" w:evenHBand="0" w:firstRowFirstColumn="0" w:firstRowLastColumn="0" w:lastRowFirstColumn="0" w:lastRowLastColumn="0"/>
            <w:tcW w:w="3843" w:type="pct"/>
            <w:gridSpan w:val="3"/>
            <w:tcBorders>
              <w:top w:val="nil"/>
              <w:left w:val="nil"/>
              <w:bottom w:val="nil"/>
              <w:right w:val="nil"/>
            </w:tcBorders>
            <w:shd w:val="clear" w:color="auto" w:fill="F2F2F2" w:themeFill="background1" w:themeFillShade="F2"/>
            <w:vAlign w:val="center"/>
          </w:tcPr>
          <w:p w:rsidR="00585B58" w:rsidRPr="009361A4" w:rsidRDefault="00585B58" w:rsidP="00585B58">
            <w:pPr>
              <w:pStyle w:val="TableText"/>
              <w:spacing w:before="40" w:after="40"/>
              <w:rPr>
                <w:lang w:eastAsia="en-NZ"/>
              </w:rPr>
            </w:pPr>
            <w:r w:rsidRPr="00585B58">
              <w:rPr>
                <w:lang w:eastAsia="en-NZ"/>
              </w:rPr>
              <w:t>RESTRAINT MINIMISATION &amp; SAFE PRACTICE</w:t>
            </w:r>
          </w:p>
        </w:tc>
        <w:tc>
          <w:tcPr>
            <w:tcW w:w="385" w:type="pct"/>
            <w:tcBorders>
              <w:top w:val="nil"/>
              <w:left w:val="nil"/>
              <w:bottom w:val="nil"/>
              <w:right w:val="nil"/>
            </w:tcBorders>
            <w:shd w:val="clear" w:color="auto" w:fill="F2F2F2" w:themeFill="background1" w:themeFillShade="F2"/>
            <w:vAlign w:val="center"/>
          </w:tcPr>
          <w:p w:rsidR="00585B58" w:rsidRPr="008C4BBF" w:rsidRDefault="00585B58"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Exact Match</w:t>
            </w:r>
          </w:p>
        </w:tc>
        <w:tc>
          <w:tcPr>
            <w:tcW w:w="394" w:type="pct"/>
            <w:tcBorders>
              <w:top w:val="nil"/>
              <w:left w:val="nil"/>
              <w:bottom w:val="nil"/>
              <w:right w:val="nil"/>
            </w:tcBorders>
            <w:shd w:val="clear" w:color="auto" w:fill="F2F2F2" w:themeFill="background1" w:themeFillShade="F2"/>
            <w:vAlign w:val="center"/>
          </w:tcPr>
          <w:p w:rsidR="00585B58" w:rsidRPr="008C4BBF" w:rsidRDefault="00585B58"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Partial</w:t>
            </w:r>
          </w:p>
        </w:tc>
        <w:tc>
          <w:tcPr>
            <w:tcW w:w="378" w:type="pct"/>
            <w:tcBorders>
              <w:top w:val="nil"/>
              <w:left w:val="nil"/>
              <w:bottom w:val="nil"/>
              <w:right w:val="nil"/>
            </w:tcBorders>
            <w:shd w:val="clear" w:color="auto" w:fill="F2F2F2" w:themeFill="background1" w:themeFillShade="F2"/>
            <w:vAlign w:val="center"/>
          </w:tcPr>
          <w:p w:rsidR="00585B58" w:rsidRPr="008C4BBF" w:rsidRDefault="00585B58"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 xml:space="preserve">No </w:t>
            </w:r>
            <w:r>
              <w:rPr>
                <w:b/>
              </w:rPr>
              <w:t>M</w:t>
            </w:r>
            <w:r w:rsidRPr="008C4BBF">
              <w:rPr>
                <w:b/>
              </w:rPr>
              <w:t>atch</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
                <w:lang w:eastAsia="en-NZ"/>
              </w:rPr>
            </w:pPr>
            <w:r>
              <w:t>2.</w:t>
            </w:r>
            <w:r w:rsidRPr="00B007EB">
              <w:t>1</w:t>
            </w:r>
            <w:r>
              <w:t>.1</w:t>
            </w:r>
            <w:r w:rsidRPr="00B007EB">
              <w:t>: services demonstrate that the use of restraint is actively minimised</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b/>
              </w:rPr>
            </w:pPr>
            <w:r w:rsidRPr="009361A4">
              <w:t>2.</w:t>
            </w:r>
            <w:r>
              <w:t>2</w:t>
            </w:r>
            <w:r w:rsidRPr="009361A4">
              <w:t>.1: Restraint minimisation: Services demonstrate that the use of restraint is actively minimised.</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r w:rsidRPr="009361A4">
              <w:t>2.2.2: Assessment: Services shall ensure rigorous assessment of consumers is undertaken, where indicated, in relation to use of restraint.</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B007EB">
              <w:t>2.2.3: Safe Restraint Use: Services use restraint safely</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FSS</w:t>
            </w:r>
          </w:p>
        </w:tc>
        <w:tc>
          <w:tcPr>
            <w:tcW w:w="3035" w:type="pct"/>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HCSS</w:t>
            </w:r>
          </w:p>
        </w:tc>
        <w:tc>
          <w:tcPr>
            <w:tcW w:w="3035" w:type="pct"/>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r w:rsidRPr="009361A4">
              <w:t>2.2.4: Evaluation: Services evaluate all episodes of restraint.</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5B58"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585B58">
              <w:t>FSS</w:t>
            </w:r>
          </w:p>
        </w:tc>
        <w:tc>
          <w:tcPr>
            <w:tcW w:w="3035" w:type="pct"/>
            <w:shd w:val="clear" w:color="auto" w:fill="auto"/>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5B58"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585B58">
              <w:t>HCSS</w:t>
            </w:r>
          </w:p>
        </w:tc>
        <w:tc>
          <w:tcPr>
            <w:tcW w:w="3035" w:type="pct"/>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pPr>
            <w:r w:rsidRPr="009361A4">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b/>
              </w:rPr>
            </w:pPr>
            <w:r w:rsidRPr="009361A4">
              <w:t>2.2.5: Restraint Monitoring and Quality Review: Services demonstrate the monitoring and quality review of their use of restraint.</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9361A4">
              <w:rPr>
                <w:bCs/>
                <w:iCs/>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9361A4">
              <w:rPr>
                <w:bCs/>
                <w:iCs/>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r w:rsidRPr="009361A4">
              <w:t>2.3.1: Safe Seclusion Use: Services demonstrate that all use of seclusion is for safety reasons only.</w:t>
            </w:r>
          </w:p>
        </w:tc>
        <w:tc>
          <w:tcPr>
            <w:tcW w:w="385"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FSS</w:t>
            </w:r>
          </w:p>
        </w:tc>
        <w:tc>
          <w:tcPr>
            <w:tcW w:w="3035" w:type="pct"/>
            <w:shd w:val="clear" w:color="auto" w:fill="auto"/>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9361A4">
              <w:rPr>
                <w:bCs/>
                <w:iCs/>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585B58">
            <w:pPr>
              <w:pStyle w:val="TableText"/>
              <w:spacing w:before="40" w:after="40"/>
            </w:pPr>
          </w:p>
        </w:tc>
        <w:tc>
          <w:tcPr>
            <w:tcW w:w="455" w:type="pct"/>
            <w:shd w:val="clear" w:color="auto" w:fill="auto"/>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HCSS</w:t>
            </w:r>
          </w:p>
        </w:tc>
        <w:tc>
          <w:tcPr>
            <w:tcW w:w="3035" w:type="pct"/>
            <w:shd w:val="clear" w:color="auto" w:fill="auto"/>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9361A4">
              <w:rPr>
                <w:bCs/>
                <w:iCs/>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585B58">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BE5787"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pPr>
            <w:r w:rsidRPr="009361A4">
              <w:t>2.3.2: Approved Seclusion Rooms: Seclusion only occurs in an approved and designated seclusion room.</w:t>
            </w:r>
          </w:p>
        </w:tc>
        <w:tc>
          <w:tcPr>
            <w:tcW w:w="385"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585B58">
            <w:pPr>
              <w:pStyle w:val="TableText"/>
              <w:spacing w:before="40" w:after="40"/>
            </w:pPr>
          </w:p>
        </w:tc>
        <w:tc>
          <w:tcPr>
            <w:tcW w:w="455" w:type="pct"/>
          </w:tcPr>
          <w:p w:rsidR="00E0176A" w:rsidRPr="00580FDB"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lang w:eastAsia="en-NZ"/>
              </w:rPr>
            </w:pPr>
            <w:r w:rsidRPr="00580FDB">
              <w:rPr>
                <w:lang w:eastAsia="en-NZ"/>
              </w:rPr>
              <w:t>FSS</w:t>
            </w:r>
          </w:p>
        </w:tc>
        <w:tc>
          <w:tcPr>
            <w:tcW w:w="3035" w:type="pct"/>
          </w:tcPr>
          <w:p w:rsidR="00E0176A" w:rsidRPr="009361A4" w:rsidRDefault="00E0176A" w:rsidP="00585B58">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9361A4">
              <w:rPr>
                <w:bCs/>
                <w:iCs/>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585B58">
            <w:pPr>
              <w:pStyle w:val="TableText"/>
              <w:spacing w:before="40" w:after="40"/>
            </w:pPr>
          </w:p>
        </w:tc>
        <w:tc>
          <w:tcPr>
            <w:tcW w:w="455" w:type="pct"/>
            <w:shd w:val="clear" w:color="auto" w:fill="F2F2F2" w:themeFill="background1" w:themeFillShade="F2"/>
          </w:tcPr>
          <w:p w:rsidR="00E0176A" w:rsidRPr="00580FDB"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lang w:eastAsia="en-NZ"/>
              </w:rPr>
            </w:pPr>
            <w:r w:rsidRPr="00580FDB">
              <w:rPr>
                <w:lang w:eastAsia="en-NZ"/>
              </w:rPr>
              <w:t>HCSS</w:t>
            </w:r>
          </w:p>
        </w:tc>
        <w:tc>
          <w:tcPr>
            <w:tcW w:w="3035" w:type="pct"/>
            <w:shd w:val="clear" w:color="auto" w:fill="F2F2F2" w:themeFill="background1" w:themeFillShade="F2"/>
          </w:tcPr>
          <w:p w:rsidR="00E0176A" w:rsidRPr="009361A4" w:rsidRDefault="00E0176A" w:rsidP="00585B58">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9361A4">
              <w:rPr>
                <w:bCs/>
                <w:iCs/>
              </w:rPr>
              <w:t>No match</w:t>
            </w:r>
          </w:p>
        </w:tc>
        <w:tc>
          <w:tcPr>
            <w:tcW w:w="385"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585B5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bl>
    <w:p w:rsidR="001C31AF" w:rsidRDefault="001C31AF" w:rsidP="00595FD6"/>
    <w:p w:rsidR="001C31AF" w:rsidRDefault="001C31AF" w:rsidP="00595FD6"/>
    <w:p w:rsidR="001C31AF" w:rsidRDefault="001C31AF" w:rsidP="00595FD6">
      <w:pPr>
        <w:sectPr w:rsidR="001C31AF" w:rsidSect="00F448B4">
          <w:pgSz w:w="16838" w:h="11906" w:orient="landscape"/>
          <w:pgMar w:top="1418" w:right="1418" w:bottom="1134" w:left="1418" w:header="709" w:footer="709" w:gutter="0"/>
          <w:cols w:space="708"/>
          <w:titlePg/>
          <w:docGrid w:linePitch="360"/>
        </w:sectPr>
      </w:pPr>
    </w:p>
    <w:tbl>
      <w:tblPr>
        <w:tblStyle w:val="PlainTable1"/>
        <w:tblpPr w:leftFromText="181" w:rightFromText="181" w:topFromText="2279" w:bottomFromText="862" w:vertAnchor="text" w:horzAnchor="margin" w:tblpXSpec="center" w:tblpY="1"/>
        <w:tblOverlap w:val="never"/>
        <w:tblW w:w="5007" w:type="pct"/>
        <w:tblLook w:val="0480" w:firstRow="0" w:lastRow="0" w:firstColumn="1" w:lastColumn="0" w:noHBand="0" w:noVBand="1"/>
      </w:tblPr>
      <w:tblGrid>
        <w:gridCol w:w="990"/>
        <w:gridCol w:w="1276"/>
        <w:gridCol w:w="8511"/>
        <w:gridCol w:w="1080"/>
        <w:gridCol w:w="1105"/>
        <w:gridCol w:w="1060"/>
      </w:tblGrid>
      <w:tr w:rsidR="00585B58" w:rsidRPr="009C3842" w:rsidTr="00585B58">
        <w:trPr>
          <w:trHeight w:val="709"/>
          <w:tblHeader/>
        </w:trPr>
        <w:tc>
          <w:tcPr>
            <w:cnfStyle w:val="001000000000" w:firstRow="0" w:lastRow="0" w:firstColumn="1" w:lastColumn="0" w:oddVBand="0" w:evenVBand="0" w:oddHBand="0" w:evenHBand="0" w:firstRowFirstColumn="0" w:firstRowLastColumn="0" w:lastRowFirstColumn="0" w:lastRowLastColumn="0"/>
            <w:tcW w:w="3843" w:type="pct"/>
            <w:gridSpan w:val="3"/>
            <w:tcBorders>
              <w:top w:val="nil"/>
              <w:left w:val="nil"/>
              <w:bottom w:val="nil"/>
              <w:right w:val="nil"/>
            </w:tcBorders>
            <w:shd w:val="clear" w:color="auto" w:fill="F2F2F2" w:themeFill="background1" w:themeFillShade="F2"/>
            <w:vAlign w:val="center"/>
          </w:tcPr>
          <w:p w:rsidR="00585B58" w:rsidRPr="009361A4" w:rsidRDefault="00585B58" w:rsidP="00E0176A">
            <w:pPr>
              <w:pStyle w:val="TableText"/>
              <w:spacing w:before="40" w:after="40"/>
              <w:rPr>
                <w:lang w:eastAsia="en-NZ"/>
              </w:rPr>
            </w:pPr>
            <w:r w:rsidRPr="00585B58">
              <w:rPr>
                <w:lang w:eastAsia="en-NZ"/>
              </w:rPr>
              <w:t>RESTRAINT MINIMISATION &amp; SAFE PRACTICE</w:t>
            </w:r>
          </w:p>
        </w:tc>
        <w:tc>
          <w:tcPr>
            <w:tcW w:w="385" w:type="pct"/>
            <w:tcBorders>
              <w:top w:val="nil"/>
              <w:left w:val="nil"/>
              <w:bottom w:val="nil"/>
              <w:right w:val="nil"/>
            </w:tcBorders>
            <w:shd w:val="clear" w:color="auto" w:fill="F2F2F2" w:themeFill="background1" w:themeFillShade="F2"/>
            <w:vAlign w:val="center"/>
          </w:tcPr>
          <w:p w:rsidR="00585B58" w:rsidRPr="008C4BBF" w:rsidRDefault="00585B58"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Exact Match</w:t>
            </w:r>
          </w:p>
        </w:tc>
        <w:tc>
          <w:tcPr>
            <w:tcW w:w="394" w:type="pct"/>
            <w:tcBorders>
              <w:top w:val="nil"/>
              <w:left w:val="nil"/>
              <w:bottom w:val="nil"/>
              <w:right w:val="nil"/>
            </w:tcBorders>
            <w:shd w:val="clear" w:color="auto" w:fill="F2F2F2" w:themeFill="background1" w:themeFillShade="F2"/>
            <w:vAlign w:val="center"/>
          </w:tcPr>
          <w:p w:rsidR="00585B58" w:rsidRPr="008C4BBF" w:rsidRDefault="00585B58"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Partial</w:t>
            </w:r>
          </w:p>
        </w:tc>
        <w:tc>
          <w:tcPr>
            <w:tcW w:w="378" w:type="pct"/>
            <w:tcBorders>
              <w:top w:val="nil"/>
              <w:left w:val="nil"/>
              <w:bottom w:val="nil"/>
              <w:right w:val="nil"/>
            </w:tcBorders>
            <w:shd w:val="clear" w:color="auto" w:fill="F2F2F2" w:themeFill="background1" w:themeFillShade="F2"/>
            <w:vAlign w:val="center"/>
          </w:tcPr>
          <w:p w:rsidR="00585B58" w:rsidRPr="008C4BBF" w:rsidRDefault="00585B58"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C4BBF">
              <w:rPr>
                <w:b/>
              </w:rPr>
              <w:t xml:space="preserve">No </w:t>
            </w:r>
            <w:r>
              <w:rPr>
                <w:b/>
              </w:rPr>
              <w:t>M</w:t>
            </w:r>
            <w:r w:rsidRPr="008C4BBF">
              <w:rPr>
                <w:b/>
              </w:rPr>
              <w:t>atch</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E0176A">
            <w:pPr>
              <w:pStyle w:val="TableText"/>
              <w:spacing w:before="40" w:after="40"/>
            </w:pPr>
            <w:r w:rsidRPr="009C3842">
              <w:t>HDSS</w:t>
            </w:r>
          </w:p>
        </w:tc>
        <w:tc>
          <w:tcPr>
            <w:tcW w:w="3490" w:type="pct"/>
            <w:gridSpan w:val="2"/>
            <w:tcBorders>
              <w:top w:val="nil"/>
            </w:tcBorders>
            <w:shd w:val="clear" w:color="auto" w:fill="auto"/>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pPr>
            <w:r w:rsidRPr="006461C7">
              <w:t>3.1: Infection</w:t>
            </w:r>
            <w:r w:rsidR="00DF5A28" w:rsidRPr="006461C7">
              <w:t xml:space="preserve"> Control M</w:t>
            </w:r>
            <w:r w:rsidRPr="006461C7">
              <w:t>anagement: There is a managed environment, which minimises the risk of infection to consumers, service providers, and visitors. This shall be appropriate to the size and scope of the service.</w:t>
            </w:r>
          </w:p>
        </w:tc>
        <w:tc>
          <w:tcPr>
            <w:tcW w:w="385" w:type="pct"/>
            <w:vMerge w:val="restart"/>
            <w:tcBorders>
              <w:top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c>
          <w:tcPr>
            <w:tcW w:w="378" w:type="pct"/>
            <w:vMerge w:val="restart"/>
            <w:tcBorders>
              <w:top w:val="nil"/>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E0176A">
            <w:pPr>
              <w:pStyle w:val="TableText"/>
              <w:spacing w:before="40" w:after="40"/>
            </w:pPr>
          </w:p>
        </w:tc>
        <w:tc>
          <w:tcPr>
            <w:tcW w:w="455" w:type="pct"/>
            <w:shd w:val="clear" w:color="auto" w:fill="auto"/>
          </w:tcPr>
          <w:p w:rsidR="00E0176A" w:rsidRPr="00E0176A" w:rsidRDefault="00E0176A" w:rsidP="00E0176A">
            <w:pPr>
              <w:pStyle w:val="TableText"/>
              <w:cnfStyle w:val="000000000000" w:firstRow="0" w:lastRow="0" w:firstColumn="0" w:lastColumn="0" w:oddVBand="0" w:evenVBand="0" w:oddHBand="0" w:evenHBand="0" w:firstRowFirstColumn="0" w:firstRowLastColumn="0" w:lastRowFirstColumn="0" w:lastRowLastColumn="0"/>
            </w:pPr>
            <w:r w:rsidRPr="00E0176A">
              <w:t>FSS</w:t>
            </w:r>
          </w:p>
        </w:tc>
        <w:tc>
          <w:tcPr>
            <w:tcW w:w="3035" w:type="pct"/>
            <w:shd w:val="clear" w:color="auto" w:fill="auto"/>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6461C7">
              <w:rPr>
                <w:bCs/>
                <w:iCs/>
              </w:rPr>
              <w:t xml:space="preserve">3.12: Infection Control Management: Consumers, embryos, gametes and service providers are protected from preventable exposure to </w:t>
            </w:r>
            <w:r>
              <w:rPr>
                <w:bCs/>
                <w:iCs/>
              </w:rPr>
              <w:t>infectio</w:t>
            </w:r>
            <w:r w:rsidRPr="006461C7">
              <w:rPr>
                <w:bCs/>
                <w:iCs/>
              </w:rPr>
              <w:t>n</w:t>
            </w:r>
            <w:r>
              <w:rPr>
                <w:bCs/>
                <w:iCs/>
              </w:rPr>
              <w:t xml:space="preserve"> – match criterion</w:t>
            </w:r>
            <w:r w:rsidRPr="006461C7">
              <w:rPr>
                <w:bCs/>
                <w:iCs/>
              </w:rPr>
              <w:t>.</w:t>
            </w:r>
          </w:p>
        </w:tc>
        <w:tc>
          <w:tcPr>
            <w:tcW w:w="385"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E0176A">
            <w:pPr>
              <w:pStyle w:val="TableText"/>
              <w:spacing w:before="40" w:after="40"/>
            </w:pPr>
          </w:p>
        </w:tc>
        <w:tc>
          <w:tcPr>
            <w:tcW w:w="455" w:type="pct"/>
            <w:shd w:val="clear" w:color="auto" w:fill="auto"/>
          </w:tcPr>
          <w:p w:rsidR="00E0176A" w:rsidRPr="00E0176A" w:rsidRDefault="00E0176A" w:rsidP="00E0176A">
            <w:pPr>
              <w:pStyle w:val="TableText"/>
              <w:cnfStyle w:val="000000100000" w:firstRow="0" w:lastRow="0" w:firstColumn="0" w:lastColumn="0" w:oddVBand="0" w:evenVBand="0" w:oddHBand="1" w:evenHBand="0" w:firstRowFirstColumn="0" w:firstRowLastColumn="0" w:lastRowFirstColumn="0" w:lastRowLastColumn="0"/>
            </w:pPr>
            <w:r w:rsidRPr="00E0176A">
              <w:t>HCSS</w:t>
            </w:r>
          </w:p>
        </w:tc>
        <w:tc>
          <w:tcPr>
            <w:tcW w:w="3035" w:type="pct"/>
            <w:shd w:val="clear" w:color="auto" w:fill="auto"/>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6461C7">
              <w:rPr>
                <w:bCs/>
                <w:iCs/>
              </w:rPr>
              <w:t>4.7: Infection Prevention and Control: Consumers and service providers are protected from infection through promotion and implementation of current infection prevention and control practices</w:t>
            </w:r>
            <w:r>
              <w:rPr>
                <w:bCs/>
                <w:iCs/>
              </w:rPr>
              <w:t xml:space="preserve"> – match criterion</w:t>
            </w:r>
          </w:p>
        </w:tc>
        <w:tc>
          <w:tcPr>
            <w:tcW w:w="385"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E0176A">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pPr>
            <w:r w:rsidRPr="006461C7">
              <w:t>3.2: Implementing the infection control programme: There are adequate human, physical, and information resources to implement the infection control programme and meet the needs of the organisation.</w:t>
            </w:r>
          </w:p>
        </w:tc>
        <w:tc>
          <w:tcPr>
            <w:tcW w:w="385" w:type="pct"/>
            <w:vMerge w:val="restart"/>
            <w:tcBorders>
              <w:top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c>
          <w:tcPr>
            <w:tcW w:w="378" w:type="pct"/>
            <w:vMerge w:val="restart"/>
            <w:tcBorders>
              <w:top w:val="nil"/>
              <w:right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E0176A">
            <w:pPr>
              <w:pStyle w:val="TableText"/>
              <w:spacing w:before="40" w:after="40"/>
            </w:pPr>
          </w:p>
        </w:tc>
        <w:tc>
          <w:tcPr>
            <w:tcW w:w="455" w:type="pct"/>
          </w:tcPr>
          <w:p w:rsidR="00E0176A" w:rsidRPr="00E0176A" w:rsidRDefault="00E0176A" w:rsidP="00E0176A">
            <w:pPr>
              <w:pStyle w:val="TableText"/>
              <w:cnfStyle w:val="000000100000" w:firstRow="0" w:lastRow="0" w:firstColumn="0" w:lastColumn="0" w:oddVBand="0" w:evenVBand="0" w:oddHBand="1" w:evenHBand="0" w:firstRowFirstColumn="0" w:firstRowLastColumn="0" w:lastRowFirstColumn="0" w:lastRowLastColumn="0"/>
            </w:pPr>
            <w:r w:rsidRPr="00E0176A">
              <w:t>FSS</w:t>
            </w:r>
          </w:p>
        </w:tc>
        <w:tc>
          <w:tcPr>
            <w:tcW w:w="3035" w:type="pct"/>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6461C7">
              <w:rPr>
                <w:bCs/>
                <w:iCs/>
              </w:rPr>
              <w:t xml:space="preserve">3.12: Infection Control Management: Consumers, embryos, gametes and service providers are protected from preventable exposure to </w:t>
            </w:r>
            <w:r>
              <w:rPr>
                <w:bCs/>
                <w:iCs/>
              </w:rPr>
              <w:t>infectio</w:t>
            </w:r>
            <w:r w:rsidRPr="006461C7">
              <w:rPr>
                <w:bCs/>
                <w:iCs/>
              </w:rPr>
              <w:t>n</w:t>
            </w:r>
            <w:r>
              <w:rPr>
                <w:bCs/>
                <w:iCs/>
              </w:rPr>
              <w:t xml:space="preserve"> – match criterion</w:t>
            </w:r>
            <w:r w:rsidRPr="006461C7">
              <w:rPr>
                <w:bCs/>
                <w:iCs/>
              </w:rPr>
              <w:t>.</w:t>
            </w:r>
          </w:p>
        </w:tc>
        <w:tc>
          <w:tcPr>
            <w:tcW w:w="385"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E0176A">
            <w:pPr>
              <w:pStyle w:val="TableText"/>
              <w:spacing w:before="40" w:after="40"/>
            </w:pPr>
          </w:p>
        </w:tc>
        <w:tc>
          <w:tcPr>
            <w:tcW w:w="455" w:type="pct"/>
            <w:shd w:val="clear" w:color="auto" w:fill="F2F2F2" w:themeFill="background1" w:themeFillShade="F2"/>
          </w:tcPr>
          <w:p w:rsidR="00E0176A" w:rsidRPr="00E0176A" w:rsidRDefault="00E0176A" w:rsidP="00E0176A">
            <w:pPr>
              <w:pStyle w:val="TableText"/>
              <w:cnfStyle w:val="000000000000" w:firstRow="0" w:lastRow="0" w:firstColumn="0" w:lastColumn="0" w:oddVBand="0" w:evenVBand="0" w:oddHBand="0" w:evenHBand="0" w:firstRowFirstColumn="0" w:firstRowLastColumn="0" w:lastRowFirstColumn="0" w:lastRowLastColumn="0"/>
            </w:pPr>
            <w:r w:rsidRPr="00E0176A">
              <w:t>HCSS</w:t>
            </w:r>
          </w:p>
        </w:tc>
        <w:tc>
          <w:tcPr>
            <w:tcW w:w="3035" w:type="pct"/>
            <w:shd w:val="clear" w:color="auto" w:fill="F2F2F2" w:themeFill="background1" w:themeFillShade="F2"/>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6461C7">
              <w:rPr>
                <w:bCs/>
                <w:iCs/>
              </w:rPr>
              <w:t>4.7: Infection Prevention and Control: Consumers and service providers are protected from infection through promotion and implementation of current infection prevention and control practices</w:t>
            </w:r>
            <w:r>
              <w:rPr>
                <w:bCs/>
                <w:iCs/>
              </w:rPr>
              <w:t xml:space="preserve"> – match criterion</w:t>
            </w:r>
          </w:p>
        </w:tc>
        <w:tc>
          <w:tcPr>
            <w:tcW w:w="385"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E0176A">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r w:rsidRPr="006461C7">
              <w:t>3.3: Policies and procedures: 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385" w:type="pct"/>
            <w:vMerge w:val="restart"/>
            <w:tcBorders>
              <w:top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c>
          <w:tcPr>
            <w:tcW w:w="378" w:type="pct"/>
            <w:vMerge w:val="restart"/>
            <w:tcBorders>
              <w:top w:val="nil"/>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E0176A">
            <w:pPr>
              <w:pStyle w:val="TableText"/>
              <w:spacing w:before="40" w:after="40"/>
            </w:pPr>
          </w:p>
        </w:tc>
        <w:tc>
          <w:tcPr>
            <w:tcW w:w="455" w:type="pct"/>
            <w:shd w:val="clear" w:color="auto" w:fill="auto"/>
          </w:tcPr>
          <w:p w:rsidR="00E0176A" w:rsidRPr="006461C7" w:rsidRDefault="00E0176A" w:rsidP="00E0176A">
            <w:pPr>
              <w:pStyle w:val="TableText"/>
              <w:cnfStyle w:val="000000000000" w:firstRow="0" w:lastRow="0" w:firstColumn="0" w:lastColumn="0" w:oddVBand="0" w:evenVBand="0" w:oddHBand="0" w:evenHBand="0" w:firstRowFirstColumn="0" w:firstRowLastColumn="0" w:lastRowFirstColumn="0" w:lastRowLastColumn="0"/>
            </w:pPr>
            <w:r w:rsidRPr="006461C7">
              <w:t>FSS</w:t>
            </w:r>
          </w:p>
        </w:tc>
        <w:tc>
          <w:tcPr>
            <w:tcW w:w="3035" w:type="pct"/>
            <w:shd w:val="clear" w:color="auto" w:fill="auto"/>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6461C7">
              <w:rPr>
                <w:bCs/>
                <w:iCs/>
              </w:rPr>
              <w:t xml:space="preserve">3.12: Infection Control Management: Consumers, embryos, gametes and service providers are protected from preventable exposure to </w:t>
            </w:r>
            <w:r>
              <w:rPr>
                <w:bCs/>
                <w:iCs/>
              </w:rPr>
              <w:t>infectio</w:t>
            </w:r>
            <w:r w:rsidRPr="006461C7">
              <w:rPr>
                <w:bCs/>
                <w:iCs/>
              </w:rPr>
              <w:t>n</w:t>
            </w:r>
            <w:r>
              <w:rPr>
                <w:bCs/>
                <w:iCs/>
              </w:rPr>
              <w:t xml:space="preserve"> – match criterion</w:t>
            </w:r>
            <w:r w:rsidRPr="006461C7">
              <w:rPr>
                <w:bCs/>
                <w:iCs/>
              </w:rPr>
              <w:t>.</w:t>
            </w:r>
          </w:p>
        </w:tc>
        <w:tc>
          <w:tcPr>
            <w:tcW w:w="385"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E0176A">
            <w:pPr>
              <w:pStyle w:val="TableText"/>
              <w:spacing w:before="40" w:after="40"/>
            </w:pPr>
          </w:p>
        </w:tc>
        <w:tc>
          <w:tcPr>
            <w:tcW w:w="455" w:type="pct"/>
            <w:shd w:val="clear" w:color="auto" w:fill="auto"/>
          </w:tcPr>
          <w:p w:rsidR="00E0176A" w:rsidRPr="006461C7" w:rsidRDefault="00E0176A" w:rsidP="00E0176A">
            <w:pPr>
              <w:pStyle w:val="TableText"/>
              <w:cnfStyle w:val="000000100000" w:firstRow="0" w:lastRow="0" w:firstColumn="0" w:lastColumn="0" w:oddVBand="0" w:evenVBand="0" w:oddHBand="1" w:evenHBand="0" w:firstRowFirstColumn="0" w:firstRowLastColumn="0" w:lastRowFirstColumn="0" w:lastRowLastColumn="0"/>
            </w:pPr>
            <w:r w:rsidRPr="006461C7">
              <w:t>HCSS</w:t>
            </w:r>
          </w:p>
        </w:tc>
        <w:tc>
          <w:tcPr>
            <w:tcW w:w="3035" w:type="pct"/>
            <w:shd w:val="clear" w:color="auto" w:fill="auto"/>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6461C7">
              <w:rPr>
                <w:bCs/>
                <w:iCs/>
              </w:rPr>
              <w:t>4.7: Infection Prevention and Control: Consumers and service providers are protected from infection through promotion and implementation of current infection prevention and control practices</w:t>
            </w:r>
            <w:r>
              <w:rPr>
                <w:bCs/>
                <w:iCs/>
              </w:rPr>
              <w:t xml:space="preserve"> – match criterion</w:t>
            </w:r>
          </w:p>
        </w:tc>
        <w:tc>
          <w:tcPr>
            <w:tcW w:w="385"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E0176A">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pPr>
            <w:r w:rsidRPr="006461C7">
              <w:t>3.4: Education: The organisation provides relevant education on infection control to all service providers, support staff, and consumers.</w:t>
            </w:r>
          </w:p>
        </w:tc>
        <w:tc>
          <w:tcPr>
            <w:tcW w:w="385" w:type="pct"/>
            <w:vMerge w:val="restart"/>
            <w:tcBorders>
              <w:top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c>
          <w:tcPr>
            <w:tcW w:w="378" w:type="pct"/>
            <w:vMerge w:val="restart"/>
            <w:tcBorders>
              <w:top w:val="nil"/>
              <w:right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E0176A">
            <w:pPr>
              <w:pStyle w:val="TableText"/>
              <w:spacing w:before="40" w:after="40"/>
            </w:pPr>
          </w:p>
        </w:tc>
        <w:tc>
          <w:tcPr>
            <w:tcW w:w="455" w:type="pct"/>
          </w:tcPr>
          <w:p w:rsidR="00E0176A" w:rsidRPr="00E0176A" w:rsidRDefault="00E0176A" w:rsidP="00E0176A">
            <w:pPr>
              <w:pStyle w:val="TableText"/>
              <w:cnfStyle w:val="000000100000" w:firstRow="0" w:lastRow="0" w:firstColumn="0" w:lastColumn="0" w:oddVBand="0" w:evenVBand="0" w:oddHBand="1" w:evenHBand="0" w:firstRowFirstColumn="0" w:firstRowLastColumn="0" w:lastRowFirstColumn="0" w:lastRowLastColumn="0"/>
            </w:pPr>
            <w:r w:rsidRPr="00E0176A">
              <w:t>FSS</w:t>
            </w:r>
          </w:p>
        </w:tc>
        <w:tc>
          <w:tcPr>
            <w:tcW w:w="3035" w:type="pct"/>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rPr>
                <w:bCs/>
                <w:iCs/>
              </w:rPr>
            </w:pPr>
            <w:r w:rsidRPr="006461C7">
              <w:rPr>
                <w:bCs/>
                <w:iCs/>
              </w:rPr>
              <w:t xml:space="preserve">3.12: Infection Control Management: Consumers, embryos, gametes and service providers are protected from preventable exposure to </w:t>
            </w:r>
            <w:r>
              <w:rPr>
                <w:bCs/>
                <w:iCs/>
              </w:rPr>
              <w:t>infectio</w:t>
            </w:r>
            <w:r w:rsidRPr="006461C7">
              <w:rPr>
                <w:bCs/>
                <w:iCs/>
              </w:rPr>
              <w:t>n</w:t>
            </w:r>
            <w:r>
              <w:rPr>
                <w:bCs/>
                <w:iCs/>
              </w:rPr>
              <w:t xml:space="preserve"> – match criterion</w:t>
            </w:r>
            <w:r w:rsidRPr="006461C7">
              <w:rPr>
                <w:bCs/>
                <w:iCs/>
              </w:rPr>
              <w:t>.</w:t>
            </w:r>
          </w:p>
        </w:tc>
        <w:tc>
          <w:tcPr>
            <w:tcW w:w="385"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E0176A">
            <w:pPr>
              <w:pStyle w:val="TableText"/>
              <w:spacing w:before="40" w:after="40"/>
            </w:pPr>
          </w:p>
        </w:tc>
        <w:tc>
          <w:tcPr>
            <w:tcW w:w="455" w:type="pct"/>
            <w:shd w:val="clear" w:color="auto" w:fill="F2F2F2" w:themeFill="background1" w:themeFillShade="F2"/>
          </w:tcPr>
          <w:p w:rsidR="00E0176A" w:rsidRPr="00E0176A" w:rsidRDefault="00E0176A" w:rsidP="00E0176A">
            <w:pPr>
              <w:pStyle w:val="TableText"/>
              <w:cnfStyle w:val="000000000000" w:firstRow="0" w:lastRow="0" w:firstColumn="0" w:lastColumn="0" w:oddVBand="0" w:evenVBand="0" w:oddHBand="0" w:evenHBand="0" w:firstRowFirstColumn="0" w:firstRowLastColumn="0" w:lastRowFirstColumn="0" w:lastRowLastColumn="0"/>
            </w:pPr>
            <w:r w:rsidRPr="00E0176A">
              <w:t>HCSS</w:t>
            </w:r>
          </w:p>
        </w:tc>
        <w:tc>
          <w:tcPr>
            <w:tcW w:w="3035" w:type="pct"/>
            <w:shd w:val="clear" w:color="auto" w:fill="F2F2F2" w:themeFill="background1" w:themeFillShade="F2"/>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rPr>
                <w:bCs/>
                <w:iCs/>
              </w:rPr>
            </w:pPr>
            <w:r w:rsidRPr="006461C7">
              <w:rPr>
                <w:bCs/>
                <w:iCs/>
              </w:rPr>
              <w:t>4.7: Infection Prevention and Control: Consumers and service providers are protected from infection through promotion and implementation of current infection prevention and control practices</w:t>
            </w:r>
            <w:r>
              <w:rPr>
                <w:bCs/>
                <w:iCs/>
              </w:rPr>
              <w:t xml:space="preserve"> – match criterion</w:t>
            </w:r>
          </w:p>
        </w:tc>
        <w:tc>
          <w:tcPr>
            <w:tcW w:w="385"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auto"/>
          </w:tcPr>
          <w:p w:rsidR="00E0176A" w:rsidRPr="009C3842" w:rsidRDefault="00E0176A" w:rsidP="00E0176A">
            <w:pPr>
              <w:pStyle w:val="TableText"/>
              <w:spacing w:before="40" w:after="40"/>
            </w:pPr>
            <w:r w:rsidRPr="009C3842">
              <w:t>HDSS</w:t>
            </w:r>
          </w:p>
        </w:tc>
        <w:tc>
          <w:tcPr>
            <w:tcW w:w="3490" w:type="pct"/>
            <w:gridSpan w:val="2"/>
            <w:tcBorders>
              <w:top w:val="nil"/>
            </w:tcBorders>
            <w:shd w:val="clear" w:color="auto" w:fill="auto"/>
          </w:tcPr>
          <w:p w:rsidR="00E0176A" w:rsidRPr="009361A4"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r w:rsidRPr="006461C7">
              <w:t>3.5: Surveillance: Surveillance for infection is carried out in accordance with agreed objectives, priorities, and methods that have been specified in the infection control programme.</w:t>
            </w:r>
          </w:p>
        </w:tc>
        <w:tc>
          <w:tcPr>
            <w:tcW w:w="385" w:type="pct"/>
            <w:vMerge w:val="restart"/>
            <w:tcBorders>
              <w:top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val="restart"/>
            <w:tcBorders>
              <w:top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r w:rsidRPr="009D6533">
              <w:rPr>
                <w:b/>
                <w:sz w:val="24"/>
                <w:szCs w:val="24"/>
              </w:rPr>
              <w:t>√</w:t>
            </w: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E0176A">
            <w:pPr>
              <w:pStyle w:val="TableText"/>
              <w:spacing w:before="40" w:after="40"/>
            </w:pPr>
          </w:p>
        </w:tc>
        <w:tc>
          <w:tcPr>
            <w:tcW w:w="455" w:type="pct"/>
            <w:shd w:val="clear" w:color="auto" w:fill="auto"/>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pPr>
            <w:r w:rsidRPr="006461C7">
              <w:t>FSS</w:t>
            </w:r>
          </w:p>
        </w:tc>
        <w:tc>
          <w:tcPr>
            <w:tcW w:w="3035" w:type="pct"/>
            <w:shd w:val="clear" w:color="auto" w:fill="auto"/>
          </w:tcPr>
          <w:p w:rsidR="00E0176A" w:rsidRPr="00FE5CAA"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pPr>
            <w:r>
              <w:t>No match</w:t>
            </w:r>
          </w:p>
        </w:tc>
        <w:tc>
          <w:tcPr>
            <w:tcW w:w="385"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auto"/>
          </w:tcPr>
          <w:p w:rsidR="00E0176A" w:rsidRPr="009C3842" w:rsidRDefault="00E0176A" w:rsidP="00E0176A">
            <w:pPr>
              <w:pStyle w:val="TableText"/>
              <w:spacing w:before="40" w:after="40"/>
            </w:pPr>
          </w:p>
        </w:tc>
        <w:tc>
          <w:tcPr>
            <w:tcW w:w="455" w:type="pct"/>
            <w:shd w:val="clear" w:color="auto" w:fill="auto"/>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pPr>
            <w:r w:rsidRPr="006461C7">
              <w:t>HCSS</w:t>
            </w:r>
          </w:p>
        </w:tc>
        <w:tc>
          <w:tcPr>
            <w:tcW w:w="3035" w:type="pct"/>
            <w:shd w:val="clear" w:color="auto" w:fill="auto"/>
          </w:tcPr>
          <w:p w:rsidR="00E0176A" w:rsidRPr="00FE5CAA"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pPr>
            <w:r>
              <w:t>No match</w:t>
            </w:r>
          </w:p>
        </w:tc>
        <w:tc>
          <w:tcPr>
            <w:tcW w:w="385"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val="restart"/>
            <w:tcBorders>
              <w:top w:val="nil"/>
              <w:left w:val="nil"/>
            </w:tcBorders>
            <w:shd w:val="clear" w:color="auto" w:fill="F2F2F2" w:themeFill="background1" w:themeFillShade="F2"/>
          </w:tcPr>
          <w:p w:rsidR="00E0176A" w:rsidRPr="009C3842" w:rsidRDefault="00E0176A" w:rsidP="00E0176A">
            <w:pPr>
              <w:pStyle w:val="TableText"/>
              <w:spacing w:before="40" w:after="40"/>
            </w:pPr>
            <w:r w:rsidRPr="009C3842">
              <w:t>HDSS</w:t>
            </w:r>
          </w:p>
        </w:tc>
        <w:tc>
          <w:tcPr>
            <w:tcW w:w="3490" w:type="pct"/>
            <w:gridSpan w:val="2"/>
            <w:tcBorders>
              <w:top w:val="nil"/>
            </w:tcBorders>
            <w:shd w:val="clear" w:color="auto" w:fill="F2F2F2" w:themeFill="background1" w:themeFillShade="F2"/>
          </w:tcPr>
          <w:p w:rsidR="00E0176A" w:rsidRPr="009361A4"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rPr>
                <w:b/>
              </w:rPr>
            </w:pPr>
            <w:r w:rsidRPr="006461C7">
              <w:t>3.6: Antimicrobial usage: Acute care and surgical hospitals will have established and implemented policies and procedures for the use of antibiotics to promote the appropriate prudent prescribing in line with accepted guidelines. The service can seek guidance from clinical microbiologists or infectious disease physicians.</w:t>
            </w:r>
          </w:p>
        </w:tc>
        <w:tc>
          <w:tcPr>
            <w:tcW w:w="385" w:type="pct"/>
            <w:vMerge w:val="restart"/>
            <w:tcBorders>
              <w:top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val="restart"/>
            <w:tcBorders>
              <w:top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val="restart"/>
            <w:tcBorders>
              <w:top w:val="nil"/>
              <w:right w:val="nil"/>
            </w:tcBorders>
            <w:shd w:val="clear" w:color="auto" w:fill="F2F2F2" w:themeFill="background1" w:themeFillShade="F2"/>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r w:rsidRPr="009D6533">
              <w:rPr>
                <w:b/>
                <w:sz w:val="24"/>
                <w:szCs w:val="24"/>
              </w:rPr>
              <w:t>√</w:t>
            </w:r>
          </w:p>
        </w:tc>
      </w:tr>
      <w:tr w:rsidR="00E0176A" w:rsidRPr="009D6533" w:rsidTr="00585B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tcPr>
          <w:p w:rsidR="00E0176A" w:rsidRPr="009C3842" w:rsidRDefault="00E0176A" w:rsidP="00E0176A">
            <w:pPr>
              <w:pStyle w:val="TableText"/>
              <w:spacing w:before="40" w:after="40"/>
            </w:pPr>
          </w:p>
        </w:tc>
        <w:tc>
          <w:tcPr>
            <w:tcW w:w="455" w:type="pct"/>
          </w:tcPr>
          <w:p w:rsidR="00E0176A" w:rsidRPr="006461C7"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pPr>
            <w:r w:rsidRPr="006461C7">
              <w:t>FSS</w:t>
            </w:r>
          </w:p>
        </w:tc>
        <w:tc>
          <w:tcPr>
            <w:tcW w:w="3035" w:type="pct"/>
          </w:tcPr>
          <w:p w:rsidR="00E0176A" w:rsidRPr="00FE5CAA" w:rsidRDefault="00E0176A" w:rsidP="00E0176A">
            <w:pPr>
              <w:pStyle w:val="TableText"/>
              <w:spacing w:before="40" w:after="40"/>
              <w:cnfStyle w:val="000000100000" w:firstRow="0" w:lastRow="0" w:firstColumn="0" w:lastColumn="0" w:oddVBand="0" w:evenVBand="0" w:oddHBand="1" w:evenHBand="0" w:firstRowFirstColumn="0" w:firstRowLastColumn="0" w:lastRowFirstColumn="0" w:lastRowLastColumn="0"/>
            </w:pPr>
            <w:r>
              <w:t>No match</w:t>
            </w:r>
          </w:p>
        </w:tc>
        <w:tc>
          <w:tcPr>
            <w:tcW w:w="385"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sz w:val="24"/>
                <w:lang w:eastAsia="en-NZ"/>
              </w:rPr>
            </w:pPr>
          </w:p>
        </w:tc>
      </w:tr>
      <w:tr w:rsidR="00E0176A" w:rsidRPr="009D6533" w:rsidTr="00585B58">
        <w:trPr>
          <w:trHeight w:val="397"/>
        </w:trPr>
        <w:tc>
          <w:tcPr>
            <w:cnfStyle w:val="001000000000" w:firstRow="0" w:lastRow="0" w:firstColumn="1" w:lastColumn="0" w:oddVBand="0" w:evenVBand="0" w:oddHBand="0" w:evenHBand="0" w:firstRowFirstColumn="0" w:firstRowLastColumn="0" w:lastRowFirstColumn="0" w:lastRowLastColumn="0"/>
            <w:tcW w:w="353" w:type="pct"/>
            <w:vMerge/>
            <w:tcBorders>
              <w:left w:val="nil"/>
            </w:tcBorders>
            <w:shd w:val="clear" w:color="auto" w:fill="F2F2F2" w:themeFill="background1" w:themeFillShade="F2"/>
          </w:tcPr>
          <w:p w:rsidR="00E0176A" w:rsidRPr="009C3842" w:rsidRDefault="00E0176A" w:rsidP="00E0176A">
            <w:pPr>
              <w:pStyle w:val="TableText"/>
              <w:spacing w:before="40" w:after="40"/>
            </w:pPr>
          </w:p>
        </w:tc>
        <w:tc>
          <w:tcPr>
            <w:tcW w:w="455" w:type="pct"/>
            <w:shd w:val="clear" w:color="auto" w:fill="F2F2F2" w:themeFill="background1" w:themeFillShade="F2"/>
          </w:tcPr>
          <w:p w:rsidR="00E0176A" w:rsidRPr="006461C7"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pPr>
            <w:r w:rsidRPr="006461C7">
              <w:t>HCSS</w:t>
            </w:r>
          </w:p>
        </w:tc>
        <w:tc>
          <w:tcPr>
            <w:tcW w:w="3035" w:type="pct"/>
            <w:shd w:val="clear" w:color="auto" w:fill="F2F2F2" w:themeFill="background1" w:themeFillShade="F2"/>
          </w:tcPr>
          <w:p w:rsidR="00E0176A" w:rsidRPr="00FE5CAA" w:rsidRDefault="00E0176A" w:rsidP="00E0176A">
            <w:pPr>
              <w:pStyle w:val="TableText"/>
              <w:spacing w:before="40" w:after="40"/>
              <w:cnfStyle w:val="000000000000" w:firstRow="0" w:lastRow="0" w:firstColumn="0" w:lastColumn="0" w:oddVBand="0" w:evenVBand="0" w:oddHBand="0" w:evenHBand="0" w:firstRowFirstColumn="0" w:firstRowLastColumn="0" w:lastRowFirstColumn="0" w:lastRowLastColumn="0"/>
            </w:pPr>
            <w:r>
              <w:t>No match</w:t>
            </w:r>
          </w:p>
        </w:tc>
        <w:tc>
          <w:tcPr>
            <w:tcW w:w="385"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94" w:type="pct"/>
            <w:vMerge/>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c>
          <w:tcPr>
            <w:tcW w:w="378" w:type="pct"/>
            <w:vMerge/>
            <w:tcBorders>
              <w:right w:val="nil"/>
            </w:tcBorders>
            <w:shd w:val="clear" w:color="auto" w:fill="auto"/>
            <w:vAlign w:val="center"/>
          </w:tcPr>
          <w:p w:rsidR="00E0176A" w:rsidRPr="009D6533" w:rsidRDefault="00E0176A" w:rsidP="00E0176A">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sz w:val="24"/>
                <w:lang w:eastAsia="en-NZ"/>
              </w:rPr>
            </w:pPr>
          </w:p>
        </w:tc>
      </w:tr>
    </w:tbl>
    <w:p w:rsidR="001C31AF" w:rsidRPr="00DD2FCC" w:rsidRDefault="001C31AF" w:rsidP="00E0176A"/>
    <w:sectPr w:rsidR="001C31AF" w:rsidRPr="00DD2FCC" w:rsidSect="00F448B4">
      <w:pgSz w:w="16838" w:h="11906" w:orient="landscape"/>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E4" w:rsidRDefault="007B4DE4" w:rsidP="00595FD6">
      <w:r>
        <w:separator/>
      </w:r>
    </w:p>
  </w:endnote>
  <w:endnote w:type="continuationSeparator" w:id="0">
    <w:p w:rsidR="007B4DE4" w:rsidRDefault="007B4DE4" w:rsidP="0059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FC" w:rsidRDefault="00DB0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2"/>
      </w:rPr>
      <w:id w:val="1018034528"/>
      <w:docPartObj>
        <w:docPartGallery w:val="Page Numbers (Bottom of Page)"/>
        <w:docPartUnique/>
      </w:docPartObj>
    </w:sdtPr>
    <w:sdtEndPr>
      <w:rPr>
        <w:color w:val="7F7F7F" w:themeColor="background1" w:themeShade="7F"/>
        <w:spacing w:val="60"/>
        <w:sz w:val="18"/>
        <w:szCs w:val="16"/>
      </w:rPr>
    </w:sdtEndPr>
    <w:sdtContent>
      <w:p w:rsidR="00585B58" w:rsidRPr="00DF5A28" w:rsidRDefault="00585B58" w:rsidP="00595FD6">
        <w:pPr>
          <w:pStyle w:val="Footer"/>
          <w:rPr>
            <w:b/>
            <w:bCs/>
            <w:sz w:val="18"/>
            <w:szCs w:val="16"/>
          </w:rPr>
        </w:pPr>
        <w:r w:rsidRPr="00DF5A28">
          <w:rPr>
            <w:b/>
            <w:sz w:val="18"/>
            <w:szCs w:val="16"/>
          </w:rPr>
          <w:fldChar w:fldCharType="begin"/>
        </w:r>
        <w:r w:rsidRPr="00DF5A28">
          <w:rPr>
            <w:b/>
            <w:sz w:val="18"/>
            <w:szCs w:val="16"/>
          </w:rPr>
          <w:instrText xml:space="preserve"> PAGE   \* MERGEFORMAT </w:instrText>
        </w:r>
        <w:r w:rsidRPr="00DF5A28">
          <w:rPr>
            <w:b/>
            <w:sz w:val="18"/>
            <w:szCs w:val="16"/>
          </w:rPr>
          <w:fldChar w:fldCharType="separate"/>
        </w:r>
        <w:r w:rsidR="001E1F52" w:rsidRPr="001E1F52">
          <w:rPr>
            <w:b/>
            <w:bCs/>
            <w:noProof/>
            <w:sz w:val="18"/>
            <w:szCs w:val="16"/>
          </w:rPr>
          <w:t>9</w:t>
        </w:r>
        <w:r w:rsidRPr="00DF5A28">
          <w:rPr>
            <w:b/>
            <w:bCs/>
            <w:noProof/>
            <w:sz w:val="18"/>
            <w:szCs w:val="16"/>
          </w:rPr>
          <w:fldChar w:fldCharType="end"/>
        </w:r>
        <w:r w:rsidRPr="00DF5A28">
          <w:rPr>
            <w:b/>
            <w:bCs/>
            <w:sz w:val="18"/>
            <w:szCs w:val="16"/>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985438538"/>
      <w:docPartObj>
        <w:docPartGallery w:val="Page Numbers (Bottom of Page)"/>
        <w:docPartUnique/>
      </w:docPartObj>
    </w:sdtPr>
    <w:sdtEndPr>
      <w:rPr>
        <w:color w:val="7F7F7F" w:themeColor="background1" w:themeShade="7F"/>
        <w:spacing w:val="60"/>
        <w:sz w:val="16"/>
        <w:szCs w:val="16"/>
      </w:rPr>
    </w:sdtEndPr>
    <w:sdtContent>
      <w:p w:rsidR="00585B58" w:rsidRPr="00DF5A28" w:rsidRDefault="001E1F52" w:rsidP="00DF5A28">
        <w:pPr>
          <w:pStyle w:val="Footer"/>
          <w:rPr>
            <w:b/>
            <w:bCs/>
            <w:sz w:val="16"/>
            <w:szCs w:val="16"/>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84173548"/>
      <w:docPartObj>
        <w:docPartGallery w:val="Page Numbers (Bottom of Page)"/>
        <w:docPartUnique/>
      </w:docPartObj>
    </w:sdtPr>
    <w:sdtEndPr>
      <w:rPr>
        <w:color w:val="7F7F7F" w:themeColor="background1" w:themeShade="7F"/>
        <w:spacing w:val="60"/>
        <w:sz w:val="16"/>
        <w:szCs w:val="16"/>
      </w:rPr>
    </w:sdtEndPr>
    <w:sdtContent>
      <w:p w:rsidR="00DF5A28" w:rsidRPr="00DF5A28" w:rsidRDefault="00DF5A28" w:rsidP="00DF5A28">
        <w:pPr>
          <w:pStyle w:val="Footer"/>
          <w:rPr>
            <w:b/>
            <w:bCs/>
            <w:sz w:val="16"/>
            <w:szCs w:val="16"/>
          </w:rPr>
        </w:pPr>
        <w:r w:rsidRPr="00DF5A28">
          <w:rPr>
            <w:b/>
            <w:sz w:val="16"/>
            <w:szCs w:val="16"/>
          </w:rPr>
          <w:fldChar w:fldCharType="begin"/>
        </w:r>
        <w:r w:rsidRPr="00DF5A28">
          <w:rPr>
            <w:b/>
            <w:sz w:val="16"/>
            <w:szCs w:val="16"/>
          </w:rPr>
          <w:instrText xml:space="preserve"> PAGE   \* MERGEFORMAT </w:instrText>
        </w:r>
        <w:r w:rsidRPr="00DF5A28">
          <w:rPr>
            <w:b/>
            <w:sz w:val="16"/>
            <w:szCs w:val="16"/>
          </w:rPr>
          <w:fldChar w:fldCharType="separate"/>
        </w:r>
        <w:r w:rsidR="001E1F52">
          <w:rPr>
            <w:b/>
            <w:noProof/>
            <w:sz w:val="16"/>
            <w:szCs w:val="16"/>
          </w:rPr>
          <w:t>14</w:t>
        </w:r>
        <w:r w:rsidRPr="00DF5A28">
          <w:rPr>
            <w:b/>
            <w:bCs/>
            <w:noProof/>
            <w:sz w:val="16"/>
            <w:szCs w:val="16"/>
          </w:rPr>
          <w:fldChar w:fldCharType="end"/>
        </w:r>
        <w:r w:rsidRPr="00DF5A28">
          <w:rPr>
            <w:b/>
            <w:bCs/>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E4" w:rsidRDefault="007B4DE4" w:rsidP="00595FD6">
      <w:r>
        <w:separator/>
      </w:r>
    </w:p>
  </w:footnote>
  <w:footnote w:type="continuationSeparator" w:id="0">
    <w:p w:rsidR="007B4DE4" w:rsidRDefault="007B4DE4" w:rsidP="00595FD6">
      <w:r>
        <w:continuationSeparator/>
      </w:r>
    </w:p>
  </w:footnote>
  <w:footnote w:id="1">
    <w:p w:rsidR="00585B58" w:rsidRPr="00787D02" w:rsidRDefault="00585B58" w:rsidP="00787D02">
      <w:pPr>
        <w:pStyle w:val="FootnoteText"/>
      </w:pPr>
      <w:r w:rsidRPr="00787D02">
        <w:rPr>
          <w:rStyle w:val="FootnoteReference"/>
          <w:vertAlign w:val="baseline"/>
        </w:rPr>
        <w:footnoteRef/>
      </w:r>
      <w:r w:rsidRPr="00787D02">
        <w:t xml:space="preserve"> </w:t>
      </w:r>
      <w:r w:rsidRPr="00787D02">
        <w:tab/>
        <w:t xml:space="preserve">HCSS outcome statement 2.5 Entry and Exit to Services has been mapped to HDSS and FSS Part 3 Continuum of Service Delivery and. HCSS outcome statement 2.7 Essential and Emergency Services has been mapped to HDSS Part 4 Safe and Appropriate Environment. The total count for HCSS in Part 1, 2 and 3 totals 17. </w:t>
      </w:r>
    </w:p>
  </w:footnote>
  <w:footnote w:id="2">
    <w:p w:rsidR="00585B58" w:rsidRPr="00787D02" w:rsidRDefault="00585B58" w:rsidP="00787D02">
      <w:pPr>
        <w:pStyle w:val="FootnoteText"/>
        <w:rPr>
          <w:sz w:val="18"/>
          <w:szCs w:val="18"/>
        </w:rPr>
      </w:pPr>
      <w:r w:rsidRPr="00787D02">
        <w:rPr>
          <w:rStyle w:val="FootnoteReference"/>
          <w:sz w:val="18"/>
          <w:szCs w:val="18"/>
          <w:vertAlign w:val="baseline"/>
        </w:rPr>
        <w:footnoteRef/>
      </w:r>
      <w:r w:rsidRPr="00787D02">
        <w:rPr>
          <w:sz w:val="18"/>
          <w:szCs w:val="18"/>
        </w:rPr>
        <w:t xml:space="preserve"> </w:t>
      </w:r>
      <w:r w:rsidRPr="00787D02">
        <w:rPr>
          <w:sz w:val="18"/>
          <w:szCs w:val="18"/>
        </w:rPr>
        <w:tab/>
        <w:t>HCSS Part 3 has been included in this table as these outcome statement relate to human resource management and are a match to HDSS and FSS outcome statement 2.7 human resource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FC" w:rsidRDefault="00DB0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58" w:rsidRDefault="00585B58" w:rsidP="00595FD6">
    <w:pPr>
      <w:pStyle w:val="Header"/>
    </w:pPr>
    <w:r>
      <w:rPr>
        <w:noProof/>
        <w:lang w:eastAsia="en-NZ"/>
      </w:rPr>
      <w:drawing>
        <wp:inline distT="0" distB="0" distL="0" distR="0" wp14:anchorId="5F3FA78C" wp14:editId="280B92CF">
          <wp:extent cx="5731510" cy="373436"/>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73436"/>
                  </a:xfrm>
                  <a:prstGeom prst="rect">
                    <a:avLst/>
                  </a:prstGeom>
                  <a:noFill/>
                  <a:ln>
                    <a:noFill/>
                  </a:ln>
                </pic:spPr>
              </pic:pic>
            </a:graphicData>
          </a:graphic>
        </wp:inline>
      </w:drawing>
    </w:r>
  </w:p>
  <w:p w:rsidR="00585B58" w:rsidRDefault="00585B58" w:rsidP="00595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58" w:rsidRDefault="00585B58" w:rsidP="00595FD6">
    <w:pPr>
      <w:pStyle w:val="Header"/>
    </w:pPr>
    <w:r>
      <w:rPr>
        <w:noProof/>
        <w:lang w:eastAsia="en-NZ"/>
      </w:rPr>
      <w:drawing>
        <wp:inline distT="0" distB="0" distL="0" distR="0" wp14:anchorId="6F0B297A" wp14:editId="1A4311CD">
          <wp:extent cx="5731510" cy="3733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8DA"/>
    <w:multiLevelType w:val="hybridMultilevel"/>
    <w:tmpl w:val="DD942B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9B225C"/>
    <w:multiLevelType w:val="hybridMultilevel"/>
    <w:tmpl w:val="B43CD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A016E1"/>
    <w:multiLevelType w:val="hybridMultilevel"/>
    <w:tmpl w:val="C0169ADA"/>
    <w:lvl w:ilvl="0" w:tplc="14090019">
      <w:start w:val="1"/>
      <w:numFmt w:val="lowerLetter"/>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 w15:restartNumberingAfterBreak="0">
    <w:nsid w:val="151C76EE"/>
    <w:multiLevelType w:val="hybridMultilevel"/>
    <w:tmpl w:val="70AAAD56"/>
    <w:lvl w:ilvl="0" w:tplc="13B44138">
      <w:start w:val="1"/>
      <w:numFmt w:val="decimal"/>
      <w:pStyle w:val="ListParagraph"/>
      <w:lvlText w:val="%1."/>
      <w:lvlJc w:val="left"/>
      <w:pPr>
        <w:ind w:left="360" w:hanging="360"/>
      </w:pPr>
      <w:rPr>
        <w:sz w:val="22"/>
        <w:szCs w:val="22"/>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74F5CAA"/>
    <w:multiLevelType w:val="hybridMultilevel"/>
    <w:tmpl w:val="F7447C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884EA9"/>
    <w:multiLevelType w:val="hybridMultilevel"/>
    <w:tmpl w:val="EF2E7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1E44A5"/>
    <w:multiLevelType w:val="hybridMultilevel"/>
    <w:tmpl w:val="A9B87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034FC2"/>
    <w:multiLevelType w:val="hybridMultilevel"/>
    <w:tmpl w:val="2090B6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DC8638B"/>
    <w:multiLevelType w:val="hybridMultilevel"/>
    <w:tmpl w:val="09126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564024"/>
    <w:multiLevelType w:val="hybridMultilevel"/>
    <w:tmpl w:val="B628C2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10" w15:restartNumberingAfterBreak="0">
    <w:nsid w:val="43E860DE"/>
    <w:multiLevelType w:val="hybridMultilevel"/>
    <w:tmpl w:val="BB789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6294C0D"/>
    <w:multiLevelType w:val="hybridMultilevel"/>
    <w:tmpl w:val="C8B69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8E5465"/>
    <w:multiLevelType w:val="hybridMultilevel"/>
    <w:tmpl w:val="1F9E684A"/>
    <w:lvl w:ilvl="0" w:tplc="51767054">
      <w:start w:val="1"/>
      <w:numFmt w:val="bullet"/>
      <w:pStyle w:val="Tabl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F0B1C31"/>
    <w:multiLevelType w:val="hybridMultilevel"/>
    <w:tmpl w:val="460C86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FC28FB"/>
    <w:multiLevelType w:val="hybridMultilevel"/>
    <w:tmpl w:val="24B0BB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061091"/>
    <w:multiLevelType w:val="hybridMultilevel"/>
    <w:tmpl w:val="58366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CE25EC"/>
    <w:multiLevelType w:val="multilevel"/>
    <w:tmpl w:val="5888CD34"/>
    <w:lvl w:ilvl="0">
      <w:start w:val="2"/>
      <w:numFmt w:val="none"/>
      <w:suff w:val="nothing"/>
      <w:lvlText w:val="%1"/>
      <w:lvlJc w:val="left"/>
      <w:pPr>
        <w:ind w:left="0" w:firstLine="0"/>
      </w:pPr>
    </w:lvl>
    <w:lvl w:ilvl="1">
      <w:start w:val="1"/>
      <w:numFmt w:val="none"/>
      <w:suff w:val="nothing"/>
      <w:lvlText w:val="%1"/>
      <w:lvlJc w:val="left"/>
      <w:pPr>
        <w:ind w:left="0" w:firstLine="0"/>
      </w:pPr>
    </w:lvl>
    <w:lvl w:ilvl="2">
      <w:start w:val="19"/>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422B47"/>
    <w:multiLevelType w:val="hybridMultilevel"/>
    <w:tmpl w:val="57744DC8"/>
    <w:lvl w:ilvl="0" w:tplc="84DC904A">
      <w:start w:val="1"/>
      <w:numFmt w:val="bullet"/>
      <w:pStyle w:val="Bullets"/>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0"/>
  </w:num>
  <w:num w:numId="5">
    <w:abstractNumId w:val="7"/>
  </w:num>
  <w:num w:numId="6">
    <w:abstractNumId w:val="15"/>
  </w:num>
  <w:num w:numId="7">
    <w:abstractNumId w:val="14"/>
  </w:num>
  <w:num w:numId="8">
    <w:abstractNumId w:val="5"/>
  </w:num>
  <w:num w:numId="9">
    <w:abstractNumId w:val="3"/>
  </w:num>
  <w:num w:numId="10">
    <w:abstractNumId w:val="2"/>
  </w:num>
  <w:num w:numId="11">
    <w:abstractNumId w:val="8"/>
  </w:num>
  <w:num w:numId="12">
    <w:abstractNumId w:val="13"/>
  </w:num>
  <w:num w:numId="13">
    <w:abstractNumId w:val="1"/>
  </w:num>
  <w:num w:numId="14">
    <w:abstractNumId w:val="6"/>
  </w:num>
  <w:num w:numId="15">
    <w:abstractNumId w:val="4"/>
  </w:num>
  <w:num w:numId="16">
    <w:abstractNumId w:val="17"/>
  </w:num>
  <w:num w:numId="17">
    <w:abstractNumId w:val="3"/>
    <w:lvlOverride w:ilvl="0">
      <w:startOverride w:val="1"/>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6"/>
    <w:lvlOverride w:ilvl="0">
      <w:startOverride w:val="2"/>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D"/>
    <w:rsid w:val="000319DA"/>
    <w:rsid w:val="00042784"/>
    <w:rsid w:val="00052501"/>
    <w:rsid w:val="00052533"/>
    <w:rsid w:val="00067246"/>
    <w:rsid w:val="000753C0"/>
    <w:rsid w:val="00091067"/>
    <w:rsid w:val="000A0712"/>
    <w:rsid w:val="000C31BA"/>
    <w:rsid w:val="000C4E2B"/>
    <w:rsid w:val="000D6A76"/>
    <w:rsid w:val="000E7BAE"/>
    <w:rsid w:val="00123F5B"/>
    <w:rsid w:val="0012447D"/>
    <w:rsid w:val="00134838"/>
    <w:rsid w:val="00144F9F"/>
    <w:rsid w:val="001553C0"/>
    <w:rsid w:val="0016527C"/>
    <w:rsid w:val="001704D4"/>
    <w:rsid w:val="00194099"/>
    <w:rsid w:val="001945DC"/>
    <w:rsid w:val="001A4DAB"/>
    <w:rsid w:val="001C31AF"/>
    <w:rsid w:val="001D059F"/>
    <w:rsid w:val="001D22C3"/>
    <w:rsid w:val="001D5F87"/>
    <w:rsid w:val="001E1F52"/>
    <w:rsid w:val="001E3531"/>
    <w:rsid w:val="001E79AE"/>
    <w:rsid w:val="0022118F"/>
    <w:rsid w:val="00233155"/>
    <w:rsid w:val="00233C85"/>
    <w:rsid w:val="0024502D"/>
    <w:rsid w:val="002562B2"/>
    <w:rsid w:val="00294917"/>
    <w:rsid w:val="0029547F"/>
    <w:rsid w:val="002B15E1"/>
    <w:rsid w:val="002B4CAA"/>
    <w:rsid w:val="003025BD"/>
    <w:rsid w:val="00302750"/>
    <w:rsid w:val="00302984"/>
    <w:rsid w:val="00312F38"/>
    <w:rsid w:val="00317C7A"/>
    <w:rsid w:val="0032255B"/>
    <w:rsid w:val="00347A64"/>
    <w:rsid w:val="00381C12"/>
    <w:rsid w:val="00383AAC"/>
    <w:rsid w:val="00386B6A"/>
    <w:rsid w:val="003A5163"/>
    <w:rsid w:val="003B03EA"/>
    <w:rsid w:val="003D0BB9"/>
    <w:rsid w:val="003D3966"/>
    <w:rsid w:val="003F4A92"/>
    <w:rsid w:val="00411DE2"/>
    <w:rsid w:val="00430289"/>
    <w:rsid w:val="0043614E"/>
    <w:rsid w:val="00451212"/>
    <w:rsid w:val="004607F1"/>
    <w:rsid w:val="00460A5E"/>
    <w:rsid w:val="0047517B"/>
    <w:rsid w:val="004941B8"/>
    <w:rsid w:val="00496A28"/>
    <w:rsid w:val="00496BBD"/>
    <w:rsid w:val="004F3084"/>
    <w:rsid w:val="005064EE"/>
    <w:rsid w:val="00531ABC"/>
    <w:rsid w:val="00540BC4"/>
    <w:rsid w:val="00551B62"/>
    <w:rsid w:val="005551DD"/>
    <w:rsid w:val="0056735E"/>
    <w:rsid w:val="005801C0"/>
    <w:rsid w:val="00580FDB"/>
    <w:rsid w:val="00585B58"/>
    <w:rsid w:val="00591BC4"/>
    <w:rsid w:val="0059318F"/>
    <w:rsid w:val="00595FD6"/>
    <w:rsid w:val="005A1DCE"/>
    <w:rsid w:val="005A62EE"/>
    <w:rsid w:val="005B5CA0"/>
    <w:rsid w:val="005C557B"/>
    <w:rsid w:val="005C5C59"/>
    <w:rsid w:val="005E7CE3"/>
    <w:rsid w:val="006056E4"/>
    <w:rsid w:val="00637F8A"/>
    <w:rsid w:val="006461C7"/>
    <w:rsid w:val="00652496"/>
    <w:rsid w:val="00652A0E"/>
    <w:rsid w:val="006564CC"/>
    <w:rsid w:val="00663BD2"/>
    <w:rsid w:val="006A08E6"/>
    <w:rsid w:val="006A2F11"/>
    <w:rsid w:val="006A7C52"/>
    <w:rsid w:val="006B41DA"/>
    <w:rsid w:val="006B70FB"/>
    <w:rsid w:val="006C1751"/>
    <w:rsid w:val="006C2606"/>
    <w:rsid w:val="006D6000"/>
    <w:rsid w:val="006F18F5"/>
    <w:rsid w:val="007164C5"/>
    <w:rsid w:val="0071700C"/>
    <w:rsid w:val="00724C6F"/>
    <w:rsid w:val="00756EA4"/>
    <w:rsid w:val="00761BBF"/>
    <w:rsid w:val="00770E7D"/>
    <w:rsid w:val="00773DD9"/>
    <w:rsid w:val="00783C04"/>
    <w:rsid w:val="00787D02"/>
    <w:rsid w:val="007A7FE8"/>
    <w:rsid w:val="007B4DE4"/>
    <w:rsid w:val="007C4E2C"/>
    <w:rsid w:val="007D3AF5"/>
    <w:rsid w:val="007D7068"/>
    <w:rsid w:val="007E054D"/>
    <w:rsid w:val="007E279A"/>
    <w:rsid w:val="007E5139"/>
    <w:rsid w:val="007E6F27"/>
    <w:rsid w:val="007E75C6"/>
    <w:rsid w:val="00827562"/>
    <w:rsid w:val="0083414E"/>
    <w:rsid w:val="00842317"/>
    <w:rsid w:val="008453BC"/>
    <w:rsid w:val="00861C13"/>
    <w:rsid w:val="0087783E"/>
    <w:rsid w:val="008A06AE"/>
    <w:rsid w:val="008A64A9"/>
    <w:rsid w:val="008C4BBF"/>
    <w:rsid w:val="008D2E6B"/>
    <w:rsid w:val="008E05D3"/>
    <w:rsid w:val="008E5921"/>
    <w:rsid w:val="009071FA"/>
    <w:rsid w:val="0091495B"/>
    <w:rsid w:val="00922E80"/>
    <w:rsid w:val="009325E8"/>
    <w:rsid w:val="009361A4"/>
    <w:rsid w:val="009609E1"/>
    <w:rsid w:val="009665C7"/>
    <w:rsid w:val="0099433A"/>
    <w:rsid w:val="009C3842"/>
    <w:rsid w:val="009C4DCF"/>
    <w:rsid w:val="009D6533"/>
    <w:rsid w:val="009D7AD5"/>
    <w:rsid w:val="009E69FF"/>
    <w:rsid w:val="009F0E1B"/>
    <w:rsid w:val="009F3751"/>
    <w:rsid w:val="009F455D"/>
    <w:rsid w:val="009F6246"/>
    <w:rsid w:val="00A0756F"/>
    <w:rsid w:val="00A3220A"/>
    <w:rsid w:val="00A32C86"/>
    <w:rsid w:val="00A37176"/>
    <w:rsid w:val="00A46F61"/>
    <w:rsid w:val="00A85240"/>
    <w:rsid w:val="00A86333"/>
    <w:rsid w:val="00AB018A"/>
    <w:rsid w:val="00AB20C1"/>
    <w:rsid w:val="00AC1D57"/>
    <w:rsid w:val="00AD013D"/>
    <w:rsid w:val="00AD19CD"/>
    <w:rsid w:val="00AD2999"/>
    <w:rsid w:val="00AD4242"/>
    <w:rsid w:val="00B007EB"/>
    <w:rsid w:val="00B047AA"/>
    <w:rsid w:val="00B04EA0"/>
    <w:rsid w:val="00B173F9"/>
    <w:rsid w:val="00B21F97"/>
    <w:rsid w:val="00B362FD"/>
    <w:rsid w:val="00B52A90"/>
    <w:rsid w:val="00B745AD"/>
    <w:rsid w:val="00B87B65"/>
    <w:rsid w:val="00B90CEF"/>
    <w:rsid w:val="00B94028"/>
    <w:rsid w:val="00BD0BBE"/>
    <w:rsid w:val="00BE5787"/>
    <w:rsid w:val="00BF7153"/>
    <w:rsid w:val="00C36F38"/>
    <w:rsid w:val="00C4080A"/>
    <w:rsid w:val="00C524B4"/>
    <w:rsid w:val="00C53F55"/>
    <w:rsid w:val="00C60F70"/>
    <w:rsid w:val="00C6468D"/>
    <w:rsid w:val="00C66179"/>
    <w:rsid w:val="00C97685"/>
    <w:rsid w:val="00CA0E67"/>
    <w:rsid w:val="00CA116E"/>
    <w:rsid w:val="00CB323F"/>
    <w:rsid w:val="00CD79B4"/>
    <w:rsid w:val="00CF6645"/>
    <w:rsid w:val="00D05CD3"/>
    <w:rsid w:val="00D2160C"/>
    <w:rsid w:val="00D274BD"/>
    <w:rsid w:val="00D406DF"/>
    <w:rsid w:val="00D43724"/>
    <w:rsid w:val="00D515C3"/>
    <w:rsid w:val="00D53539"/>
    <w:rsid w:val="00D57F91"/>
    <w:rsid w:val="00D60BE2"/>
    <w:rsid w:val="00D613FA"/>
    <w:rsid w:val="00D6275F"/>
    <w:rsid w:val="00D67913"/>
    <w:rsid w:val="00DA5464"/>
    <w:rsid w:val="00DB0CFC"/>
    <w:rsid w:val="00DB5909"/>
    <w:rsid w:val="00DC6AA1"/>
    <w:rsid w:val="00DD2FCC"/>
    <w:rsid w:val="00DD71D2"/>
    <w:rsid w:val="00DF1AED"/>
    <w:rsid w:val="00DF5A28"/>
    <w:rsid w:val="00E01104"/>
    <w:rsid w:val="00E0176A"/>
    <w:rsid w:val="00E12609"/>
    <w:rsid w:val="00E1739F"/>
    <w:rsid w:val="00E22465"/>
    <w:rsid w:val="00E25F20"/>
    <w:rsid w:val="00E27D7A"/>
    <w:rsid w:val="00E30267"/>
    <w:rsid w:val="00E307EC"/>
    <w:rsid w:val="00E33215"/>
    <w:rsid w:val="00E4555E"/>
    <w:rsid w:val="00E558F3"/>
    <w:rsid w:val="00E62CEC"/>
    <w:rsid w:val="00E80CE0"/>
    <w:rsid w:val="00E81E23"/>
    <w:rsid w:val="00E843D2"/>
    <w:rsid w:val="00EA787D"/>
    <w:rsid w:val="00EB17F7"/>
    <w:rsid w:val="00ED1059"/>
    <w:rsid w:val="00ED46E3"/>
    <w:rsid w:val="00EE56D8"/>
    <w:rsid w:val="00EF04F4"/>
    <w:rsid w:val="00EF7264"/>
    <w:rsid w:val="00F23EB7"/>
    <w:rsid w:val="00F32682"/>
    <w:rsid w:val="00F344D3"/>
    <w:rsid w:val="00F346E7"/>
    <w:rsid w:val="00F35B13"/>
    <w:rsid w:val="00F40DD8"/>
    <w:rsid w:val="00F448B4"/>
    <w:rsid w:val="00F45CE5"/>
    <w:rsid w:val="00F50D1D"/>
    <w:rsid w:val="00F646DD"/>
    <w:rsid w:val="00F83F7C"/>
    <w:rsid w:val="00F87DA3"/>
    <w:rsid w:val="00FA5A89"/>
    <w:rsid w:val="00FB286F"/>
    <w:rsid w:val="00FB5E7F"/>
    <w:rsid w:val="00FC686B"/>
    <w:rsid w:val="00FD6CC5"/>
    <w:rsid w:val="00FE5C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6050072-12D3-4DE9-9FC5-3745723F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D6"/>
    <w:pPr>
      <w:spacing w:before="120" w:after="180" w:line="240" w:lineRule="auto"/>
    </w:pPr>
    <w:rPr>
      <w:rFonts w:ascii="Segoe UI" w:hAnsi="Segoe UI" w:cs="Segoe UI"/>
      <w:sz w:val="21"/>
      <w:szCs w:val="21"/>
    </w:rPr>
  </w:style>
  <w:style w:type="paragraph" w:styleId="Heading1">
    <w:name w:val="heading 1"/>
    <w:basedOn w:val="Normal"/>
    <w:next w:val="Normal"/>
    <w:link w:val="Heading1Char"/>
    <w:uiPriority w:val="9"/>
    <w:qFormat/>
    <w:rsid w:val="003025B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Outcome"/>
    <w:basedOn w:val="Normal"/>
    <w:next w:val="Normal"/>
    <w:link w:val="Heading2Char"/>
    <w:uiPriority w:val="9"/>
    <w:unhideWhenUsed/>
    <w:qFormat/>
    <w:rsid w:val="00595FD6"/>
    <w:pPr>
      <w:keepNext/>
      <w:keepLines/>
      <w:spacing w:before="240" w:after="120"/>
      <w:outlineLvl w:val="1"/>
    </w:pPr>
    <w:rPr>
      <w:rFonts w:eastAsiaTheme="majorEastAsia"/>
      <w:b/>
      <w:color w:val="2E74B5" w:themeColor="accent1" w:themeShade="BF"/>
      <w:sz w:val="48"/>
      <w:szCs w:val="48"/>
    </w:rPr>
  </w:style>
  <w:style w:type="paragraph" w:styleId="Heading3">
    <w:name w:val="heading 3"/>
    <w:basedOn w:val="Normal"/>
    <w:next w:val="Normal"/>
    <w:link w:val="Heading3Char"/>
    <w:uiPriority w:val="9"/>
    <w:unhideWhenUsed/>
    <w:qFormat/>
    <w:rsid w:val="005A62EE"/>
    <w:pPr>
      <w:keepNext/>
      <w:keepLines/>
      <w:spacing w:before="240" w:after="120"/>
      <w:outlineLvl w:val="2"/>
    </w:pPr>
    <w:rPr>
      <w:rFonts w:eastAsiaTheme="majorEastAsia"/>
      <w:b/>
      <w:color w:val="0A6AB4"/>
      <w:sz w:val="32"/>
      <w:szCs w:val="32"/>
    </w:rPr>
  </w:style>
  <w:style w:type="paragraph" w:styleId="Heading4">
    <w:name w:val="heading 4"/>
    <w:aliases w:val="Standard"/>
    <w:basedOn w:val="Normal"/>
    <w:next w:val="Normal"/>
    <w:link w:val="Heading4Char"/>
    <w:uiPriority w:val="9"/>
    <w:unhideWhenUsed/>
    <w:qFormat/>
    <w:rsid w:val="00DF1A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406DF"/>
    <w:pPr>
      <w:keepNext/>
      <w:keepLines/>
      <w:spacing w:before="200" w:after="0" w:line="276"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A3220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BD"/>
    <w:pPr>
      <w:tabs>
        <w:tab w:val="center" w:pos="4513"/>
        <w:tab w:val="right" w:pos="9026"/>
      </w:tabs>
      <w:spacing w:after="0"/>
    </w:pPr>
  </w:style>
  <w:style w:type="character" w:customStyle="1" w:styleId="HeaderChar">
    <w:name w:val="Header Char"/>
    <w:basedOn w:val="DefaultParagraphFont"/>
    <w:link w:val="Header"/>
    <w:uiPriority w:val="99"/>
    <w:rsid w:val="003025BD"/>
  </w:style>
  <w:style w:type="paragraph" w:styleId="Footer">
    <w:name w:val="footer"/>
    <w:basedOn w:val="Normal"/>
    <w:link w:val="FooterChar"/>
    <w:uiPriority w:val="99"/>
    <w:unhideWhenUsed/>
    <w:qFormat/>
    <w:rsid w:val="003025BD"/>
    <w:pPr>
      <w:tabs>
        <w:tab w:val="center" w:pos="4513"/>
        <w:tab w:val="right" w:pos="9026"/>
      </w:tabs>
      <w:spacing w:after="0"/>
    </w:pPr>
  </w:style>
  <w:style w:type="character" w:customStyle="1" w:styleId="FooterChar">
    <w:name w:val="Footer Char"/>
    <w:basedOn w:val="DefaultParagraphFont"/>
    <w:link w:val="Footer"/>
    <w:uiPriority w:val="99"/>
    <w:rsid w:val="003025BD"/>
  </w:style>
  <w:style w:type="character" w:customStyle="1" w:styleId="Heading1Char">
    <w:name w:val="Heading 1 Char"/>
    <w:basedOn w:val="DefaultParagraphFont"/>
    <w:link w:val="Heading1"/>
    <w:uiPriority w:val="9"/>
    <w:rsid w:val="003025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5A62EE"/>
    <w:pPr>
      <w:numPr>
        <w:numId w:val="9"/>
      </w:numPr>
    </w:pPr>
  </w:style>
  <w:style w:type="character" w:styleId="IntenseReference">
    <w:name w:val="Intense Reference"/>
    <w:basedOn w:val="DefaultParagraphFont"/>
    <w:uiPriority w:val="32"/>
    <w:qFormat/>
    <w:rsid w:val="003025BD"/>
    <w:rPr>
      <w:b/>
      <w:bCs/>
      <w:smallCaps/>
      <w:color w:val="5B9BD5" w:themeColor="accent1"/>
      <w:spacing w:val="5"/>
    </w:rPr>
  </w:style>
  <w:style w:type="paragraph" w:styleId="FootnoteText">
    <w:name w:val="footnote text"/>
    <w:basedOn w:val="Normal"/>
    <w:link w:val="FootnoteTextChar"/>
    <w:uiPriority w:val="99"/>
    <w:unhideWhenUsed/>
    <w:rsid w:val="00787D02"/>
    <w:pPr>
      <w:spacing w:after="0"/>
      <w:ind w:left="284" w:hanging="284"/>
    </w:pPr>
    <w:rPr>
      <w:sz w:val="16"/>
      <w:szCs w:val="16"/>
    </w:rPr>
  </w:style>
  <w:style w:type="character" w:customStyle="1" w:styleId="FootnoteTextChar">
    <w:name w:val="Footnote Text Char"/>
    <w:basedOn w:val="DefaultParagraphFont"/>
    <w:link w:val="FootnoteText"/>
    <w:uiPriority w:val="99"/>
    <w:rsid w:val="00787D02"/>
    <w:rPr>
      <w:rFonts w:ascii="Segoe UI" w:hAnsi="Segoe UI" w:cs="Segoe UI"/>
      <w:sz w:val="16"/>
      <w:szCs w:val="16"/>
    </w:rPr>
  </w:style>
  <w:style w:type="character" w:styleId="FootnoteReference">
    <w:name w:val="footnote reference"/>
    <w:basedOn w:val="DefaultParagraphFont"/>
    <w:uiPriority w:val="99"/>
    <w:semiHidden/>
    <w:unhideWhenUsed/>
    <w:rsid w:val="003025BD"/>
    <w:rPr>
      <w:vertAlign w:val="superscript"/>
    </w:rPr>
  </w:style>
  <w:style w:type="character" w:customStyle="1" w:styleId="Heading3Char">
    <w:name w:val="Heading 3 Char"/>
    <w:basedOn w:val="DefaultParagraphFont"/>
    <w:link w:val="Heading3"/>
    <w:uiPriority w:val="9"/>
    <w:rsid w:val="005A62EE"/>
    <w:rPr>
      <w:rFonts w:ascii="Segoe UI" w:eastAsiaTheme="majorEastAsia" w:hAnsi="Segoe UI" w:cs="Segoe UI"/>
      <w:b/>
      <w:color w:val="0A6AB4"/>
      <w:sz w:val="32"/>
      <w:szCs w:val="32"/>
    </w:rPr>
  </w:style>
  <w:style w:type="paragraph" w:styleId="BodyText">
    <w:name w:val="Body Text"/>
    <w:basedOn w:val="Normal"/>
    <w:link w:val="BodyTextChar"/>
    <w:uiPriority w:val="99"/>
    <w:unhideWhenUsed/>
    <w:rsid w:val="003025BD"/>
    <w:pPr>
      <w:spacing w:after="0"/>
    </w:pPr>
    <w:rPr>
      <w:rFonts w:ascii="Arial" w:hAnsi="Arial"/>
      <w:sz w:val="20"/>
      <w:szCs w:val="24"/>
    </w:rPr>
  </w:style>
  <w:style w:type="character" w:customStyle="1" w:styleId="BodyTextChar">
    <w:name w:val="Body Text Char"/>
    <w:basedOn w:val="DefaultParagraphFont"/>
    <w:link w:val="BodyText"/>
    <w:uiPriority w:val="99"/>
    <w:rsid w:val="003025BD"/>
    <w:rPr>
      <w:rFonts w:ascii="Arial" w:hAnsi="Arial"/>
      <w:sz w:val="20"/>
      <w:szCs w:val="24"/>
    </w:rPr>
  </w:style>
  <w:style w:type="table" w:styleId="TableGrid">
    <w:name w:val="Table Grid"/>
    <w:basedOn w:val="TableNormal"/>
    <w:rsid w:val="00E3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Standard Char"/>
    <w:basedOn w:val="DefaultParagraphFont"/>
    <w:link w:val="Heading4"/>
    <w:uiPriority w:val="9"/>
    <w:rsid w:val="00DF1A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406D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745AD"/>
    <w:pPr>
      <w:spacing w:after="0"/>
    </w:pPr>
    <w:rPr>
      <w:sz w:val="18"/>
      <w:szCs w:val="18"/>
    </w:rPr>
  </w:style>
  <w:style w:type="character" w:customStyle="1" w:styleId="BalloonTextChar">
    <w:name w:val="Balloon Text Char"/>
    <w:basedOn w:val="DefaultParagraphFont"/>
    <w:link w:val="BalloonText"/>
    <w:uiPriority w:val="99"/>
    <w:semiHidden/>
    <w:rsid w:val="00B745AD"/>
    <w:rPr>
      <w:rFonts w:ascii="Segoe UI" w:hAnsi="Segoe UI" w:cs="Segoe UI"/>
      <w:sz w:val="18"/>
      <w:szCs w:val="18"/>
    </w:rPr>
  </w:style>
  <w:style w:type="character" w:customStyle="1" w:styleId="Heading6Char">
    <w:name w:val="Heading 6 Char"/>
    <w:basedOn w:val="DefaultParagraphFont"/>
    <w:link w:val="Heading6"/>
    <w:uiPriority w:val="9"/>
    <w:rsid w:val="00A3220A"/>
    <w:rPr>
      <w:rFonts w:asciiTheme="majorHAnsi" w:eastAsiaTheme="majorEastAsia" w:hAnsiTheme="majorHAnsi" w:cstheme="majorBidi"/>
      <w:color w:val="1F4D78" w:themeColor="accent1" w:themeShade="7F"/>
    </w:rPr>
  </w:style>
  <w:style w:type="character" w:customStyle="1" w:styleId="Heading2Char">
    <w:name w:val="Heading 2 Char"/>
    <w:aliases w:val="Outcome Char"/>
    <w:basedOn w:val="DefaultParagraphFont"/>
    <w:link w:val="Heading2"/>
    <w:uiPriority w:val="9"/>
    <w:rsid w:val="00595FD6"/>
    <w:rPr>
      <w:rFonts w:ascii="Segoe UI" w:eastAsiaTheme="majorEastAsia" w:hAnsi="Segoe UI" w:cs="Segoe UI"/>
      <w:b/>
      <w:color w:val="2E74B5" w:themeColor="accent1" w:themeShade="BF"/>
      <w:sz w:val="48"/>
      <w:szCs w:val="48"/>
    </w:rPr>
  </w:style>
  <w:style w:type="table" w:styleId="PlainTable1">
    <w:name w:val="Plain Table 1"/>
    <w:basedOn w:val="TableNormal"/>
    <w:uiPriority w:val="41"/>
    <w:rsid w:val="005A1D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61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s">
    <w:name w:val="Bullets"/>
    <w:basedOn w:val="ListParagraph"/>
    <w:link w:val="BulletsChar"/>
    <w:qFormat/>
    <w:rsid w:val="00595FD6"/>
    <w:pPr>
      <w:numPr>
        <w:numId w:val="16"/>
      </w:numPr>
      <w:spacing w:before="90" w:after="0"/>
      <w:ind w:left="567" w:hanging="425"/>
    </w:pPr>
  </w:style>
  <w:style w:type="paragraph" w:styleId="Title">
    <w:name w:val="Title"/>
    <w:basedOn w:val="Normal"/>
    <w:next w:val="Normal"/>
    <w:link w:val="TitleChar"/>
    <w:uiPriority w:val="10"/>
    <w:qFormat/>
    <w:rsid w:val="00F448B4"/>
    <w:pPr>
      <w:spacing w:before="0" w:after="0"/>
      <w:contextualSpacing/>
    </w:pPr>
    <w:rPr>
      <w:rFonts w:eastAsiaTheme="majorEastAsia"/>
      <w:b/>
      <w:color w:val="23305D"/>
      <w:spacing w:val="-10"/>
      <w:kern w:val="28"/>
      <w:sz w:val="72"/>
      <w:szCs w:val="72"/>
    </w:rPr>
  </w:style>
  <w:style w:type="character" w:customStyle="1" w:styleId="ListParagraphChar">
    <w:name w:val="List Paragraph Char"/>
    <w:basedOn w:val="DefaultParagraphFont"/>
    <w:link w:val="ListParagraph"/>
    <w:uiPriority w:val="34"/>
    <w:rsid w:val="005A62EE"/>
    <w:rPr>
      <w:rFonts w:ascii="Segoe UI" w:hAnsi="Segoe UI" w:cs="Segoe UI"/>
      <w:sz w:val="21"/>
      <w:szCs w:val="21"/>
    </w:rPr>
  </w:style>
  <w:style w:type="character" w:customStyle="1" w:styleId="BulletsChar">
    <w:name w:val="Bullets Char"/>
    <w:basedOn w:val="ListParagraphChar"/>
    <w:link w:val="Bullets"/>
    <w:rsid w:val="00595FD6"/>
    <w:rPr>
      <w:rFonts w:ascii="Segoe UI" w:hAnsi="Segoe UI" w:cs="Segoe UI"/>
      <w:sz w:val="21"/>
      <w:szCs w:val="21"/>
    </w:rPr>
  </w:style>
  <w:style w:type="character" w:customStyle="1" w:styleId="TitleChar">
    <w:name w:val="Title Char"/>
    <w:basedOn w:val="DefaultParagraphFont"/>
    <w:link w:val="Title"/>
    <w:uiPriority w:val="10"/>
    <w:rsid w:val="00F448B4"/>
    <w:rPr>
      <w:rFonts w:ascii="Segoe UI" w:eastAsiaTheme="majorEastAsia" w:hAnsi="Segoe UI" w:cs="Segoe UI"/>
      <w:b/>
      <w:color w:val="23305D"/>
      <w:spacing w:val="-10"/>
      <w:kern w:val="28"/>
      <w:sz w:val="72"/>
      <w:szCs w:val="72"/>
    </w:rPr>
  </w:style>
  <w:style w:type="paragraph" w:styleId="Subtitle">
    <w:name w:val="Subtitle"/>
    <w:basedOn w:val="Normal"/>
    <w:next w:val="Normal"/>
    <w:link w:val="SubtitleChar"/>
    <w:uiPriority w:val="11"/>
    <w:qFormat/>
    <w:rsid w:val="00F448B4"/>
    <w:pPr>
      <w:numPr>
        <w:ilvl w:val="1"/>
      </w:numPr>
      <w:spacing w:after="160"/>
    </w:pPr>
    <w:rPr>
      <w:rFonts w:eastAsiaTheme="minorEastAsia"/>
      <w:b/>
      <w:color w:val="23305D"/>
      <w:spacing w:val="15"/>
      <w:sz w:val="28"/>
      <w:szCs w:val="28"/>
    </w:rPr>
  </w:style>
  <w:style w:type="character" w:customStyle="1" w:styleId="SubtitleChar">
    <w:name w:val="Subtitle Char"/>
    <w:basedOn w:val="DefaultParagraphFont"/>
    <w:link w:val="Subtitle"/>
    <w:uiPriority w:val="11"/>
    <w:rsid w:val="00F448B4"/>
    <w:rPr>
      <w:rFonts w:ascii="Segoe UI" w:eastAsiaTheme="minorEastAsia" w:hAnsi="Segoe UI" w:cs="Segoe UI"/>
      <w:b/>
      <w:color w:val="23305D"/>
      <w:spacing w:val="15"/>
      <w:sz w:val="28"/>
      <w:szCs w:val="28"/>
    </w:rPr>
  </w:style>
  <w:style w:type="paragraph" w:styleId="Caption">
    <w:name w:val="caption"/>
    <w:basedOn w:val="Normal"/>
    <w:next w:val="Normal"/>
    <w:uiPriority w:val="35"/>
    <w:unhideWhenUsed/>
    <w:qFormat/>
    <w:rsid w:val="005A62EE"/>
    <w:pPr>
      <w:spacing w:after="120"/>
    </w:pPr>
    <w:rPr>
      <w:b/>
      <w:iCs/>
      <w:color w:val="000000" w:themeColor="text1"/>
      <w:sz w:val="18"/>
      <w:szCs w:val="18"/>
    </w:rPr>
  </w:style>
  <w:style w:type="paragraph" w:customStyle="1" w:styleId="TableText">
    <w:name w:val="Table Text"/>
    <w:basedOn w:val="ListParagraph"/>
    <w:link w:val="TableTextChar"/>
    <w:qFormat/>
    <w:rsid w:val="005A62EE"/>
    <w:pPr>
      <w:numPr>
        <w:numId w:val="0"/>
      </w:numPr>
      <w:spacing w:after="120"/>
      <w:ind w:left="29"/>
    </w:pPr>
  </w:style>
  <w:style w:type="paragraph" w:customStyle="1" w:styleId="TableBullet">
    <w:name w:val="Table Bullet"/>
    <w:basedOn w:val="TableText"/>
    <w:qFormat/>
    <w:rsid w:val="005A62EE"/>
    <w:pPr>
      <w:numPr>
        <w:numId w:val="18"/>
      </w:numPr>
    </w:pPr>
  </w:style>
  <w:style w:type="character" w:customStyle="1" w:styleId="TableTextChar">
    <w:name w:val="Table Text Char"/>
    <w:basedOn w:val="ListParagraphChar"/>
    <w:link w:val="TableText"/>
    <w:rsid w:val="005A62EE"/>
    <w:rPr>
      <w:rFonts w:ascii="Segoe UI" w:hAnsi="Segoe UI" w:cs="Segoe UI"/>
      <w:sz w:val="21"/>
      <w:szCs w:val="21"/>
    </w:rPr>
  </w:style>
  <w:style w:type="paragraph" w:styleId="TOC1">
    <w:name w:val="toc 1"/>
    <w:basedOn w:val="Normal"/>
    <w:next w:val="Normal"/>
    <w:uiPriority w:val="39"/>
    <w:qFormat/>
    <w:rsid w:val="00DF5A28"/>
    <w:pPr>
      <w:tabs>
        <w:tab w:val="right" w:pos="8080"/>
      </w:tabs>
      <w:spacing w:before="300" w:after="0"/>
      <w:ind w:right="567"/>
    </w:pPr>
    <w:rPr>
      <w:rFonts w:ascii="Segoe UI Semibold" w:eastAsia="Times New Roman" w:hAnsi="Segoe UI Semibold" w:cs="Times New Roman"/>
      <w:sz w:val="24"/>
      <w:szCs w:val="20"/>
      <w:lang w:eastAsia="en-GB"/>
    </w:rPr>
  </w:style>
  <w:style w:type="paragraph" w:styleId="TOC2">
    <w:name w:val="toc 2"/>
    <w:basedOn w:val="Normal"/>
    <w:next w:val="Normal"/>
    <w:uiPriority w:val="39"/>
    <w:qFormat/>
    <w:rsid w:val="00DF5A28"/>
    <w:pPr>
      <w:tabs>
        <w:tab w:val="right" w:pos="8080"/>
      </w:tabs>
      <w:spacing w:before="60" w:after="0"/>
      <w:ind w:left="284" w:right="567"/>
    </w:pPr>
    <w:rPr>
      <w:rFonts w:eastAsia="Times New Roman" w:cs="Times New Roman"/>
      <w:sz w:val="22"/>
      <w:szCs w:val="20"/>
      <w:lang w:eastAsia="en-GB"/>
    </w:rPr>
  </w:style>
  <w:style w:type="character" w:styleId="PageNumber">
    <w:name w:val="page number"/>
    <w:uiPriority w:val="99"/>
    <w:rsid w:val="00DF5A28"/>
    <w:rPr>
      <w:rFonts w:ascii="Segoe UI" w:hAnsi="Segoe UI"/>
      <w:b/>
      <w:sz w:val="22"/>
    </w:rPr>
  </w:style>
  <w:style w:type="paragraph" w:customStyle="1" w:styleId="RectoFooter">
    <w:name w:val="Recto Footer"/>
    <w:basedOn w:val="Footer"/>
    <w:rsid w:val="00DF5A28"/>
    <w:pPr>
      <w:tabs>
        <w:tab w:val="clear" w:pos="4513"/>
        <w:tab w:val="clear" w:pos="9026"/>
      </w:tabs>
      <w:spacing w:before="0"/>
      <w:jc w:val="right"/>
    </w:pPr>
    <w:rPr>
      <w:rFonts w:eastAsia="Times New Roman" w:cs="Times New Roman"/>
      <w:caps/>
      <w:sz w:val="15"/>
      <w:szCs w:val="20"/>
      <w:lang w:eastAsia="en-GB"/>
    </w:rPr>
  </w:style>
  <w:style w:type="paragraph" w:customStyle="1" w:styleId="IntroHead">
    <w:name w:val="IntroHead"/>
    <w:basedOn w:val="Heading1"/>
    <w:next w:val="Normal"/>
    <w:qFormat/>
    <w:rsid w:val="00DF5A28"/>
    <w:pPr>
      <w:keepNext w:val="0"/>
      <w:keepLines w:val="0"/>
      <w:pageBreakBefore/>
      <w:spacing w:before="0" w:after="360" w:line="240" w:lineRule="auto"/>
      <w:outlineLvl w:val="9"/>
    </w:pPr>
    <w:rPr>
      <w:rFonts w:ascii="Segoe UI" w:eastAsia="Times New Roman" w:hAnsi="Segoe UI" w:cs="Times New Roman"/>
      <w:b/>
      <w:color w:val="23305D"/>
      <w:spacing w:val="-10"/>
      <w:sz w:val="72"/>
      <w:szCs w:val="20"/>
      <w:lang w:eastAsia="en-GB"/>
    </w:rPr>
  </w:style>
  <w:style w:type="character" w:styleId="Hyperlink">
    <w:name w:val="Hyperlink"/>
    <w:uiPriority w:val="99"/>
    <w:rsid w:val="00DF5A28"/>
    <w:rPr>
      <w:b/>
      <w:color w:val="595959" w:themeColor="text1" w:themeTint="A6"/>
      <w:u w:val="none"/>
    </w:rPr>
  </w:style>
  <w:style w:type="paragraph" w:styleId="TOC3">
    <w:name w:val="toc 3"/>
    <w:basedOn w:val="Normal"/>
    <w:next w:val="Normal"/>
    <w:autoRedefine/>
    <w:uiPriority w:val="39"/>
    <w:unhideWhenUsed/>
    <w:rsid w:val="005064EE"/>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Visio_Drawing2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Visio_Drawing1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4359-C23F-413F-A4B3-FBC69A32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27A08FF8</Template>
  <TotalTime>0</TotalTime>
  <Pages>38</Pages>
  <Words>7366</Words>
  <Characters>41990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Geneva Ruppert-Wise</cp:lastModifiedBy>
  <cp:revision>3</cp:revision>
  <cp:lastPrinted>2019-09-11T23:22:00Z</cp:lastPrinted>
  <dcterms:created xsi:type="dcterms:W3CDTF">2019-09-11T23:22:00Z</dcterms:created>
  <dcterms:modified xsi:type="dcterms:W3CDTF">2019-09-11T23:22:00Z</dcterms:modified>
</cp:coreProperties>
</file>