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FC545" w14:textId="7CA15067" w:rsidR="007438E3" w:rsidRDefault="004C4073">
      <w:r>
        <w:t>21</w:t>
      </w:r>
      <w:r w:rsidRPr="004C4073">
        <w:rPr>
          <w:vertAlign w:val="superscript"/>
        </w:rPr>
        <w:t>st</w:t>
      </w:r>
      <w:r>
        <w:t xml:space="preserve"> January 2022</w:t>
      </w:r>
    </w:p>
    <w:p w14:paraId="539677AD" w14:textId="6D3EA693" w:rsidR="004C4073" w:rsidRDefault="004C4073">
      <w:r>
        <w:t>To: Kavita Gounder</w:t>
      </w:r>
      <w:r w:rsidR="00B7674F">
        <w:br/>
        <w:t>Ministry of Health</w:t>
      </w:r>
    </w:p>
    <w:p w14:paraId="178947D2" w14:textId="089504DB" w:rsidR="00757010" w:rsidRDefault="00757010"/>
    <w:p w14:paraId="57E7F690" w14:textId="219365B6" w:rsidR="00757010" w:rsidRDefault="00757010">
      <w:r>
        <w:t>Re: Tobacco Returns and Report 2021</w:t>
      </w:r>
    </w:p>
    <w:p w14:paraId="2EB1BADB" w14:textId="735A1ED3" w:rsidR="00757010" w:rsidRDefault="00757010"/>
    <w:p w14:paraId="6871A910" w14:textId="6A3F6F24" w:rsidR="00B57B4E" w:rsidRDefault="00A65BA9">
      <w:r>
        <w:t xml:space="preserve">Please find detailed below the amount of cigarettes </w:t>
      </w:r>
      <w:r w:rsidR="00295A69">
        <w:t>we have sold to our customers during the calendar year, 1</w:t>
      </w:r>
      <w:r w:rsidR="00295A69" w:rsidRPr="00295A69">
        <w:rPr>
          <w:vertAlign w:val="superscript"/>
        </w:rPr>
        <w:t>st</w:t>
      </w:r>
      <w:r w:rsidR="00295A69">
        <w:t xml:space="preserve"> January 2021 to 31</w:t>
      </w:r>
      <w:r w:rsidR="00295A69" w:rsidRPr="00295A69">
        <w:rPr>
          <w:vertAlign w:val="superscript"/>
        </w:rPr>
        <w:t>st</w:t>
      </w:r>
      <w:r w:rsidR="00295A69">
        <w:t xml:space="preserve"> December 2021.</w:t>
      </w:r>
    </w:p>
    <w:p w14:paraId="1E97A3FA" w14:textId="3B509978" w:rsidR="00B57B4E" w:rsidRDefault="00B57B4E">
      <w:r>
        <w:t>As we have endeavoured to communicate</w:t>
      </w:r>
      <w:r w:rsidR="00B9779A">
        <w:t xml:space="preserve"> on several occasions, we do not sell product into the New Zealand local market. </w:t>
      </w:r>
      <w:r w:rsidR="00B9779A" w:rsidRPr="005B2ECE">
        <w:rPr>
          <w:u w:val="single"/>
        </w:rPr>
        <w:t>ALL</w:t>
      </w:r>
      <w:r w:rsidR="00B9779A">
        <w:t xml:space="preserve"> of the product we import is held </w:t>
      </w:r>
      <w:r w:rsidR="0058703D">
        <w:t>under NZ Customs bond/</w:t>
      </w:r>
      <w:r w:rsidR="00711ADB">
        <w:t>Duty Free</w:t>
      </w:r>
      <w:r w:rsidR="0058703D">
        <w:t>,</w:t>
      </w:r>
      <w:r w:rsidR="00711ADB">
        <w:t xml:space="preserve"> and sold to international </w:t>
      </w:r>
      <w:r w:rsidR="008C1B77">
        <w:t xml:space="preserve">customers. (Sea Services business is to </w:t>
      </w:r>
      <w:r w:rsidR="00277C8A">
        <w:t xml:space="preserve">provide products and </w:t>
      </w:r>
      <w:r w:rsidR="008C1B77">
        <w:t>service</w:t>
      </w:r>
      <w:r w:rsidR="002A23B2">
        <w:t>s</w:t>
      </w:r>
      <w:r w:rsidR="008C1B77">
        <w:t xml:space="preserve"> </w:t>
      </w:r>
      <w:r w:rsidR="00277C8A">
        <w:t xml:space="preserve">to </w:t>
      </w:r>
      <w:r w:rsidR="008C1B77">
        <w:t xml:space="preserve">international, ocean going </w:t>
      </w:r>
      <w:r w:rsidR="006E0583">
        <w:t>vessels</w:t>
      </w:r>
      <w:r w:rsidR="002E51B1">
        <w:t>, to keep them operational). All transactions</w:t>
      </w:r>
      <w:r w:rsidR="00B56DAC">
        <w:t xml:space="preserve"> are </w:t>
      </w:r>
      <w:r w:rsidR="009E5963">
        <w:t>controlled</w:t>
      </w:r>
      <w:r w:rsidR="007B6500">
        <w:t xml:space="preserve"> by New Zealand Customs. </w:t>
      </w:r>
      <w:r w:rsidR="0029086C">
        <w:t xml:space="preserve">New Zealand Customs </w:t>
      </w:r>
      <w:r w:rsidR="000949AE">
        <w:t xml:space="preserve">applies a formula to determine the amount of duty free </w:t>
      </w:r>
      <w:r w:rsidR="008D4757">
        <w:t>“bonded” product that can be purchased by</w:t>
      </w:r>
      <w:r w:rsidR="00806F66">
        <w:t>/supplied to</w:t>
      </w:r>
      <w:r w:rsidR="008D4757">
        <w:t xml:space="preserve"> individual vessels</w:t>
      </w:r>
      <w:r w:rsidR="006813A9">
        <w:t>.</w:t>
      </w:r>
    </w:p>
    <w:p w14:paraId="7A310069" w14:textId="4A177C2A" w:rsidR="00F0687F" w:rsidRDefault="00F0687F">
      <w:r>
        <w:t xml:space="preserve">Because our customers are international, we </w:t>
      </w:r>
      <w:r w:rsidR="0025559A">
        <w:t xml:space="preserve">supply and invoice products </w:t>
      </w:r>
      <w:r w:rsidR="002A23B2">
        <w:t xml:space="preserve">and services </w:t>
      </w:r>
      <w:r w:rsidR="00B3780F">
        <w:t xml:space="preserve">with many different terms and conditions. We </w:t>
      </w:r>
      <w:r w:rsidR="00C63E10">
        <w:t xml:space="preserve">price our products to meet these requirements, </w:t>
      </w:r>
      <w:r w:rsidR="00DF39A8">
        <w:t>and therefore do not have a standard RRP.</w:t>
      </w:r>
      <w:r w:rsidR="006A21C7">
        <w:t xml:space="preserve"> To satisfy your requirements, I have averaged the price</w:t>
      </w:r>
      <w:r w:rsidR="00885590">
        <w:t xml:space="preserve"> we have charged for the individual products, (I trust you will find this satisfactory).</w:t>
      </w:r>
      <w:r w:rsidR="00231AFC">
        <w:t xml:space="preserve"> </w:t>
      </w:r>
      <w:r w:rsidR="00E65439">
        <w:t>Accompanying this report, I have included the worksheet</w:t>
      </w:r>
      <w:r w:rsidR="00E53503">
        <w:t xml:space="preserve"> with the raw data to show you my calculations.</w:t>
      </w:r>
      <w:r w:rsidR="0069555E">
        <w:t xml:space="preserve"> (You will note that some sales quantities are recorded as </w:t>
      </w:r>
      <w:r w:rsidR="003F6AB2">
        <w:t xml:space="preserve">“0”. This is due to NZ Customs determining that the vessel </w:t>
      </w:r>
      <w:r w:rsidR="000E4F16">
        <w:t xml:space="preserve">is not allowed it’s requested supply of duty free product. We </w:t>
      </w:r>
      <w:r w:rsidR="00DA6975">
        <w:t>invoice the vessel for “0” quantity and note the invoice line as “declined supply by NZ Customs</w:t>
      </w:r>
      <w:r w:rsidR="00C46BEF">
        <w:t>”</w:t>
      </w:r>
      <w:r w:rsidR="00AB7A2E">
        <w:t xml:space="preserve"> to communicate</w:t>
      </w:r>
      <w:r w:rsidR="00821CAB">
        <w:t xml:space="preserve"> why the product has not been supplied</w:t>
      </w:r>
      <w:r w:rsidR="00C46BEF">
        <w:t>).</w:t>
      </w:r>
    </w:p>
    <w:tbl>
      <w:tblPr>
        <w:tblW w:w="9885" w:type="dxa"/>
        <w:tblLayout w:type="fixed"/>
        <w:tblLook w:val="04A0" w:firstRow="1" w:lastRow="0" w:firstColumn="1" w:lastColumn="0" w:noHBand="0" w:noVBand="1"/>
      </w:tblPr>
      <w:tblGrid>
        <w:gridCol w:w="1739"/>
        <w:gridCol w:w="266"/>
        <w:gridCol w:w="960"/>
        <w:gridCol w:w="960"/>
        <w:gridCol w:w="872"/>
        <w:gridCol w:w="872"/>
        <w:gridCol w:w="2006"/>
        <w:gridCol w:w="1974"/>
        <w:gridCol w:w="236"/>
      </w:tblGrid>
      <w:tr w:rsidR="00875297" w:rsidRPr="00875297" w14:paraId="11EA49CD" w14:textId="77777777" w:rsidTr="004739E2">
        <w:trPr>
          <w:gridAfter w:val="1"/>
          <w:wAfter w:w="236" w:type="dxa"/>
          <w:trHeight w:val="450"/>
        </w:trPr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center"/>
            <w:hideMark/>
          </w:tcPr>
          <w:p w14:paraId="195BF73B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Brand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center"/>
            <w:hideMark/>
          </w:tcPr>
          <w:p w14:paraId="78284A8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Brand Variant</w:t>
            </w:r>
          </w:p>
        </w:tc>
        <w:tc>
          <w:tcPr>
            <w:tcW w:w="1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3CC1054C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Pack Size of Brand Variant (in Sticks)</w:t>
            </w:r>
          </w:p>
        </w:tc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53F51B09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Volume of Cigarettes released for sale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FFF"/>
            <w:vAlign w:val="center"/>
            <w:hideMark/>
          </w:tcPr>
          <w:p w14:paraId="7D1B0DB8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Average Price Charged per pack (in NZ dollars)</w:t>
            </w:r>
          </w:p>
        </w:tc>
      </w:tr>
      <w:tr w:rsidR="00875297" w:rsidRPr="00875297" w14:paraId="442AEB0E" w14:textId="77777777" w:rsidTr="004739E2">
        <w:trPr>
          <w:trHeight w:val="300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DFDFC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59572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31BA5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84BB3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D0C29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5D95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</w:tr>
      <w:tr w:rsidR="00875297" w:rsidRPr="00875297" w14:paraId="48F090FA" w14:textId="77777777" w:rsidTr="004739E2">
        <w:trPr>
          <w:trHeight w:val="300"/>
        </w:trPr>
        <w:tc>
          <w:tcPr>
            <w:tcW w:w="20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84E54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1C8FA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7FE34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FF380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D2A79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4DE8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0FC9C055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69C8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Double Happiness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2C2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B695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2BC0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107,600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3325F" w14:textId="4A98F4B3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$1.52 </w:t>
            </w:r>
          </w:p>
        </w:tc>
        <w:tc>
          <w:tcPr>
            <w:tcW w:w="236" w:type="dxa"/>
            <w:vAlign w:val="center"/>
            <w:hideMark/>
          </w:tcPr>
          <w:p w14:paraId="10906D9C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08DD71BB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43B5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Hero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71B8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Red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5813F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5330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60,800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114F" w14:textId="4A87534C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$1.34 </w:t>
            </w:r>
          </w:p>
        </w:tc>
        <w:tc>
          <w:tcPr>
            <w:tcW w:w="236" w:type="dxa"/>
            <w:vAlign w:val="center"/>
            <w:hideMark/>
          </w:tcPr>
          <w:p w14:paraId="64B4D85E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08A6982B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0D5C5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Hero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C14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Menthol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A5E7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5D39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75,200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0010" w14:textId="4AF31AAC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$1.30 </w:t>
            </w:r>
          </w:p>
        </w:tc>
        <w:tc>
          <w:tcPr>
            <w:tcW w:w="236" w:type="dxa"/>
            <w:vAlign w:val="center"/>
            <w:hideMark/>
          </w:tcPr>
          <w:p w14:paraId="10EA5409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77212DA9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544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Hero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52903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Blue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4B68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9D3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27,200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F971" w14:textId="19917616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$1.26 </w:t>
            </w:r>
          </w:p>
        </w:tc>
        <w:tc>
          <w:tcPr>
            <w:tcW w:w="236" w:type="dxa"/>
            <w:vAlign w:val="center"/>
            <w:hideMark/>
          </w:tcPr>
          <w:p w14:paraId="483A1414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4D117088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1A9E6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L &amp; M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FFC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Red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01D0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452F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372,800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1CD87" w14:textId="547B5D0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$2.98 </w:t>
            </w:r>
          </w:p>
        </w:tc>
        <w:tc>
          <w:tcPr>
            <w:tcW w:w="236" w:type="dxa"/>
            <w:vAlign w:val="center"/>
            <w:hideMark/>
          </w:tcPr>
          <w:p w14:paraId="20468963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3DECD3B0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6FBE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lastRenderedPageBreak/>
              <w:t>Liqun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C4D9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Premium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81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398D8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102,200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B7A0D" w14:textId="03121481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$2.00 </w:t>
            </w:r>
          </w:p>
        </w:tc>
        <w:tc>
          <w:tcPr>
            <w:tcW w:w="236" w:type="dxa"/>
            <w:vAlign w:val="center"/>
            <w:hideMark/>
          </w:tcPr>
          <w:p w14:paraId="50D6078F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356F32D1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DF8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Marcopolo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262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EBF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C409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64,000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E94F8" w14:textId="4CF40B76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$1.33 </w:t>
            </w:r>
          </w:p>
        </w:tc>
        <w:tc>
          <w:tcPr>
            <w:tcW w:w="236" w:type="dxa"/>
            <w:vAlign w:val="center"/>
            <w:hideMark/>
          </w:tcPr>
          <w:p w14:paraId="63259FC5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1A150619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4522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Marlboro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EE95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Lights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AC40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7B6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167,800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E6BCC" w14:textId="627C9F2D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$3.84 </w:t>
            </w:r>
          </w:p>
        </w:tc>
        <w:tc>
          <w:tcPr>
            <w:tcW w:w="236" w:type="dxa"/>
            <w:vAlign w:val="center"/>
            <w:hideMark/>
          </w:tcPr>
          <w:p w14:paraId="3A6A463B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56BF61FC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BD8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Marlboro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FCD92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Red (Hardpack)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43D7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D54D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271,400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8040" w14:textId="45CFB220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$3.81 </w:t>
            </w:r>
          </w:p>
        </w:tc>
        <w:tc>
          <w:tcPr>
            <w:tcW w:w="236" w:type="dxa"/>
            <w:vAlign w:val="center"/>
            <w:hideMark/>
          </w:tcPr>
          <w:p w14:paraId="5D6DC22F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7A6FDE72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E362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Lesser Panda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5CA1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E7C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36FD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      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762CD" w14:textId="577C2DBD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$2.12 </w:t>
            </w:r>
          </w:p>
        </w:tc>
        <w:tc>
          <w:tcPr>
            <w:tcW w:w="236" w:type="dxa"/>
            <w:vAlign w:val="center"/>
            <w:hideMark/>
          </w:tcPr>
          <w:p w14:paraId="1F86336F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1B4150B4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5B34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RGD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C5C6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Blue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812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8F2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119,600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AABC" w14:textId="4F224389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$1.58 </w:t>
            </w:r>
          </w:p>
        </w:tc>
        <w:tc>
          <w:tcPr>
            <w:tcW w:w="236" w:type="dxa"/>
            <w:vAlign w:val="center"/>
            <w:hideMark/>
          </w:tcPr>
          <w:p w14:paraId="2A6FBA0D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5C2A4850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1C3E9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RGD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962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Red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9EE7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CEFE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69,600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E6A1" w14:textId="10E32E52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$1.56 </w:t>
            </w:r>
          </w:p>
        </w:tc>
        <w:tc>
          <w:tcPr>
            <w:tcW w:w="236" w:type="dxa"/>
            <w:vAlign w:val="center"/>
            <w:hideMark/>
          </w:tcPr>
          <w:p w14:paraId="60DB67CF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5A2528B3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51647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RGD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8D3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Gold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B492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16D74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49,800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B54A" w14:textId="43064BFE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$1.57 </w:t>
            </w:r>
          </w:p>
        </w:tc>
        <w:tc>
          <w:tcPr>
            <w:tcW w:w="236" w:type="dxa"/>
            <w:vAlign w:val="center"/>
            <w:hideMark/>
          </w:tcPr>
          <w:p w14:paraId="56B7898F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27B14DC2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732D7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United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65DCF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CA2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C3E75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82,800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12FA" w14:textId="277BA913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$1.31 </w:t>
            </w:r>
          </w:p>
        </w:tc>
        <w:tc>
          <w:tcPr>
            <w:tcW w:w="236" w:type="dxa"/>
            <w:vAlign w:val="center"/>
            <w:hideMark/>
          </w:tcPr>
          <w:p w14:paraId="2445E00E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875297" w:rsidRPr="00875297" w14:paraId="04598228" w14:textId="77777777" w:rsidTr="004739E2">
        <w:trPr>
          <w:trHeight w:val="300"/>
        </w:trPr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0C8B1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Yuxi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01780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643D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C50B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      26,200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1BDDE" w14:textId="022941B3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$2.26 </w:t>
            </w:r>
          </w:p>
        </w:tc>
        <w:tc>
          <w:tcPr>
            <w:tcW w:w="236" w:type="dxa"/>
            <w:vAlign w:val="center"/>
            <w:hideMark/>
          </w:tcPr>
          <w:p w14:paraId="640DE6BB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  <w:tr w:rsidR="004739E2" w:rsidRPr="00875297" w14:paraId="31B281B8" w14:textId="77777777" w:rsidTr="004739E2">
        <w:trPr>
          <w:trHeight w:val="3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EFFF"/>
            <w:noWrap/>
            <w:vAlign w:val="bottom"/>
            <w:hideMark/>
          </w:tcPr>
          <w:p w14:paraId="78E2F36C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TOTALS: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FFF"/>
            <w:noWrap/>
            <w:vAlign w:val="bottom"/>
            <w:hideMark/>
          </w:tcPr>
          <w:p w14:paraId="35A16D99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FFF"/>
            <w:noWrap/>
            <w:vAlign w:val="bottom"/>
            <w:hideMark/>
          </w:tcPr>
          <w:p w14:paraId="0CF647B3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FFF"/>
            <w:noWrap/>
            <w:vAlign w:val="bottom"/>
            <w:hideMark/>
          </w:tcPr>
          <w:p w14:paraId="5F294B95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FFF"/>
            <w:noWrap/>
            <w:vAlign w:val="bottom"/>
            <w:hideMark/>
          </w:tcPr>
          <w:p w14:paraId="4E457DC0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5AF61ACC" w14:textId="77777777" w:rsidR="00875297" w:rsidRPr="00875297" w:rsidRDefault="00875297" w:rsidP="008752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> 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2E6EDB1A" w14:textId="77777777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                    1,597,200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FFF"/>
            <w:noWrap/>
            <w:vAlign w:val="bottom"/>
            <w:hideMark/>
          </w:tcPr>
          <w:p w14:paraId="6DD849DC" w14:textId="13D5E7C2" w:rsidR="00875297" w:rsidRPr="00875297" w:rsidRDefault="00875297" w:rsidP="008752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NZ"/>
              </w:rPr>
            </w:pPr>
            <w:r w:rsidRPr="00875297">
              <w:rPr>
                <w:rFonts w:ascii="Calibri" w:eastAsia="Times New Roman" w:hAnsi="Calibri" w:cs="Calibri"/>
                <w:color w:val="000000"/>
                <w:lang w:eastAsia="en-NZ"/>
              </w:rPr>
              <w:t xml:space="preserve"> $1.99 </w:t>
            </w:r>
          </w:p>
        </w:tc>
        <w:tc>
          <w:tcPr>
            <w:tcW w:w="236" w:type="dxa"/>
            <w:vAlign w:val="center"/>
            <w:hideMark/>
          </w:tcPr>
          <w:p w14:paraId="1D967FD3" w14:textId="77777777" w:rsidR="00875297" w:rsidRPr="00875297" w:rsidRDefault="00875297" w:rsidP="008752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34A21B7B" w14:textId="41BFF506" w:rsidR="005B2ECE" w:rsidRDefault="005B2ECE"/>
    <w:p w14:paraId="7C27C835" w14:textId="79622D63" w:rsidR="000D0DBE" w:rsidRDefault="00DA7503">
      <w:r>
        <w:t>Please advise if you require any further information.</w:t>
      </w:r>
    </w:p>
    <w:p w14:paraId="5C7CDF29" w14:textId="77777777" w:rsidR="008C2CC3" w:rsidRDefault="008C2CC3" w:rsidP="008C2CC3">
      <w:pPr>
        <w:rPr>
          <w:lang w:eastAsia="en-NZ"/>
        </w:rPr>
      </w:pPr>
      <w:r>
        <w:rPr>
          <w:lang w:eastAsia="en-NZ"/>
        </w:rPr>
        <w:t>Best Regards</w:t>
      </w:r>
    </w:p>
    <w:tbl>
      <w:tblPr>
        <w:tblW w:w="63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4350"/>
      </w:tblGrid>
      <w:tr w:rsidR="008C2CC3" w14:paraId="1CA174E9" w14:textId="77777777" w:rsidTr="008C2CC3">
        <w:tc>
          <w:tcPr>
            <w:tcW w:w="1950" w:type="dxa"/>
            <w:tcBorders>
              <w:top w:val="nil"/>
              <w:left w:val="nil"/>
              <w:bottom w:val="nil"/>
              <w:right w:val="single" w:sz="8" w:space="0" w:color="D0090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14:paraId="3D8A0C26" w14:textId="5F2D704B" w:rsidR="008C2CC3" w:rsidRDefault="008C2CC3">
            <w:pPr>
              <w:spacing w:line="252" w:lineRule="auto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444444"/>
                <w:sz w:val="20"/>
                <w:szCs w:val="20"/>
              </w:rPr>
              <w:drawing>
                <wp:inline distT="0" distB="0" distL="0" distR="0" wp14:anchorId="6802EE5B" wp14:editId="4CD69560">
                  <wp:extent cx="1123950" cy="914400"/>
                  <wp:effectExtent l="0" t="0" r="0" b="0"/>
                  <wp:docPr id="45" name="Picture 45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 picture containing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00E8FD" w14:textId="2B4B04D1" w:rsidR="008C2CC3" w:rsidRDefault="008C2CC3">
            <w:pPr>
              <w:spacing w:line="252" w:lineRule="auto"/>
              <w:jc w:val="center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7F15F7" wp14:editId="296BE55E">
                  <wp:extent cx="866775" cy="990600"/>
                  <wp:effectExtent l="0" t="0" r="9525" b="0"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40"/>
            </w:tblGrid>
            <w:tr w:rsidR="008C2CC3" w14:paraId="33874D79" w14:textId="77777777">
              <w:tc>
                <w:tcPr>
                  <w:tcW w:w="4575" w:type="dxa"/>
                  <w:tcMar>
                    <w:top w:w="0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61F73449" w14:textId="77777777" w:rsidR="008C2CC3" w:rsidRDefault="008C2CC3">
                  <w:pPr>
                    <w:spacing w:line="375" w:lineRule="atLeast"/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Darrell Lines </w:t>
                  </w:r>
                  <w:r>
                    <w:rPr>
                      <w:rFonts w:ascii="Arial" w:hAnsi="Arial" w:cs="Arial"/>
                      <w:b/>
                      <w:bCs/>
                      <w:color w:val="D00909"/>
                      <w:sz w:val="28"/>
                      <w:szCs w:val="28"/>
                    </w:rPr>
                    <w:br/>
                  </w:r>
                  <w:r>
                    <w:rPr>
                      <w:rFonts w:ascii="Arial" w:hAnsi="Arial" w:cs="Arial"/>
                      <w:color w:val="44546A"/>
                      <w:sz w:val="20"/>
                      <w:szCs w:val="20"/>
                    </w:rPr>
                    <w:t>Chandler Provisions</w:t>
                  </w:r>
                  <w:r>
                    <w:rPr>
                      <w:rFonts w:ascii="Arial" w:hAnsi="Arial" w:cs="Arial"/>
                      <w:color w:val="0079AC"/>
                      <w:sz w:val="20"/>
                      <w:szCs w:val="20"/>
                    </w:rPr>
                    <w:t> </w:t>
                  </w:r>
                </w:p>
                <w:p w14:paraId="639DB074" w14:textId="77777777" w:rsidR="008C2CC3" w:rsidRDefault="008C2CC3">
                  <w:pPr>
                    <w:spacing w:line="375" w:lineRule="atLeast"/>
                    <w:rPr>
                      <w:rFonts w:ascii="Arial" w:hAnsi="Arial" w:cs="Arial"/>
                      <w:color w:val="0079AC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  <w:t>Sea Services (2002) Ltd</w:t>
                  </w:r>
                </w:p>
              </w:tc>
            </w:tr>
            <w:tr w:rsidR="008C2CC3" w14:paraId="5AA64913" w14:textId="77777777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68B3F40B" w14:textId="77777777" w:rsidR="008C2CC3" w:rsidRDefault="008C2CC3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m: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  <w:t>+64 27 279 4478</w:t>
                  </w:r>
                  <w:r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  <w:t>+64 9 379 4217</w:t>
                  </w:r>
                  <w:r>
                    <w:rPr>
                      <w:rFonts w:ascii="Arial" w:hAnsi="Arial" w:cs="Arial"/>
                      <w:color w:val="545454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e: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 </w:t>
                  </w:r>
                  <w:hyperlink r:id="rId10" w:history="1">
                    <w:r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DarrellL@seaservices.co.nz</w:t>
                    </w:r>
                  </w:hyperlink>
                </w:p>
              </w:tc>
            </w:tr>
            <w:tr w:rsidR="008C2CC3" w14:paraId="2C19418F" w14:textId="77777777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384E3A24" w14:textId="77777777" w:rsidR="008C2CC3" w:rsidRDefault="008C2CC3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192 Station Road,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Penrose 1061, Auckland</w:t>
                  </w:r>
                </w:p>
              </w:tc>
            </w:tr>
            <w:tr w:rsidR="008C2CC3" w14:paraId="4E64C8CD" w14:textId="77777777">
              <w:tc>
                <w:tcPr>
                  <w:tcW w:w="0" w:type="auto"/>
                  <w:tcMar>
                    <w:top w:w="75" w:type="dxa"/>
                    <w:left w:w="150" w:type="dxa"/>
                    <w:bottom w:w="75" w:type="dxa"/>
                    <w:right w:w="0" w:type="dxa"/>
                  </w:tcMar>
                  <w:hideMark/>
                </w:tcPr>
                <w:p w14:paraId="5FF4D38E" w14:textId="77777777" w:rsidR="008C2CC3" w:rsidRDefault="00C15F73">
                  <w:pPr>
                    <w:spacing w:line="252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hyperlink r:id="rId11" w:tgtFrame="_blank" w:history="1">
                    <w:r w:rsidR="008C2CC3">
                      <w:rPr>
                        <w:rStyle w:val="Hyperlink"/>
                        <w:rFonts w:ascii="Arial" w:hAnsi="Arial" w:cs="Arial"/>
                        <w:color w:val="000000"/>
                        <w:sz w:val="20"/>
                        <w:szCs w:val="20"/>
                      </w:rPr>
                      <w:t>www.seaservices.co.nz</w:t>
                    </w:r>
                  </w:hyperlink>
                </w:p>
              </w:tc>
            </w:tr>
          </w:tbl>
          <w:p w14:paraId="0B782EA0" w14:textId="77777777" w:rsidR="008C2CC3" w:rsidRDefault="008C2CC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NZ"/>
              </w:rPr>
            </w:pPr>
          </w:p>
        </w:tc>
      </w:tr>
    </w:tbl>
    <w:p w14:paraId="2655ED54" w14:textId="77777777" w:rsidR="005B2ECE" w:rsidRDefault="005B2ECE" w:rsidP="004739E2"/>
    <w:sectPr w:rsidR="005B2ECE" w:rsidSect="00534A71">
      <w:footerReference w:type="default" r:id="rId12"/>
      <w:headerReference w:type="first" r:id="rId13"/>
      <w:footerReference w:type="first" r:id="rId14"/>
      <w:pgSz w:w="11906" w:h="16838"/>
      <w:pgMar w:top="1418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42EA6" w14:textId="77777777" w:rsidR="00AF67E5" w:rsidRDefault="00AF67E5" w:rsidP="00AF67E5">
      <w:pPr>
        <w:spacing w:after="0" w:line="240" w:lineRule="auto"/>
      </w:pPr>
      <w:r>
        <w:separator/>
      </w:r>
    </w:p>
  </w:endnote>
  <w:endnote w:type="continuationSeparator" w:id="0">
    <w:p w14:paraId="42180C32" w14:textId="77777777" w:rsidR="00AF67E5" w:rsidRDefault="00AF67E5" w:rsidP="00AF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8551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096FA9" w14:textId="6AAFB2F5" w:rsidR="00534A71" w:rsidRDefault="00534A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E9F28AC" w14:textId="77777777" w:rsidR="00534A71" w:rsidRDefault="00534A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921773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A72F05" w14:textId="2622AD75" w:rsidR="00534A71" w:rsidRDefault="00534A7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069BE6F" w14:textId="77777777" w:rsidR="00534A71" w:rsidRDefault="00534A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9B69" w14:textId="77777777" w:rsidR="00AF67E5" w:rsidRDefault="00AF67E5" w:rsidP="00AF67E5">
      <w:pPr>
        <w:spacing w:after="0" w:line="240" w:lineRule="auto"/>
      </w:pPr>
      <w:r>
        <w:separator/>
      </w:r>
    </w:p>
  </w:footnote>
  <w:footnote w:type="continuationSeparator" w:id="0">
    <w:p w14:paraId="1B620D18" w14:textId="77777777" w:rsidR="00AF67E5" w:rsidRDefault="00AF67E5" w:rsidP="00AF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534A71" w14:paraId="66E0C925" w14:textId="77777777" w:rsidTr="00604D2F">
      <w:tc>
        <w:tcPr>
          <w:tcW w:w="4508" w:type="dxa"/>
          <w:vMerge w:val="restart"/>
        </w:tcPr>
        <w:p w14:paraId="23BBABAD" w14:textId="77777777" w:rsidR="00534A71" w:rsidRDefault="00534A71" w:rsidP="00534A71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03707BB8" wp14:editId="0D46E31E">
                <wp:extent cx="2381250" cy="1609725"/>
                <wp:effectExtent l="0" t="0" r="0" b="9525"/>
                <wp:docPr id="61" name="Picture 61" descr="A picture containing text, clip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1" name="Picture 61" descr="A picture containing text, clipart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0" cy="1609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14:paraId="71B5CF5B" w14:textId="77777777" w:rsidR="00534A71" w:rsidRDefault="00534A71" w:rsidP="00534A71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3839BE2" wp14:editId="1B0030D4">
                <wp:extent cx="609601" cy="691897"/>
                <wp:effectExtent l="0" t="0" r="0" b="0"/>
                <wp:docPr id="62" name="Picture 62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1" cy="6918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534A71" w14:paraId="7C03EF6C" w14:textId="77777777" w:rsidTr="00604D2F">
      <w:tc>
        <w:tcPr>
          <w:tcW w:w="4508" w:type="dxa"/>
          <w:vMerge/>
        </w:tcPr>
        <w:p w14:paraId="589190A4" w14:textId="77777777" w:rsidR="00534A71" w:rsidRDefault="00534A71" w:rsidP="00534A71">
          <w:pPr>
            <w:pStyle w:val="Header"/>
          </w:pPr>
        </w:p>
      </w:tc>
      <w:tc>
        <w:tcPr>
          <w:tcW w:w="4508" w:type="dxa"/>
        </w:tcPr>
        <w:p w14:paraId="6366DB9D" w14:textId="77777777" w:rsidR="00534A71" w:rsidRDefault="00534A71" w:rsidP="00534A71">
          <w:pPr>
            <w:pStyle w:val="Header"/>
          </w:pPr>
          <w:r>
            <w:t>192 Station Road</w:t>
          </w:r>
        </w:p>
      </w:tc>
    </w:tr>
    <w:tr w:rsidR="00534A71" w14:paraId="777E09C1" w14:textId="77777777" w:rsidTr="00604D2F">
      <w:tc>
        <w:tcPr>
          <w:tcW w:w="4508" w:type="dxa"/>
          <w:vMerge/>
        </w:tcPr>
        <w:p w14:paraId="3E04F6D3" w14:textId="77777777" w:rsidR="00534A71" w:rsidRDefault="00534A71" w:rsidP="00534A71">
          <w:pPr>
            <w:pStyle w:val="Header"/>
          </w:pPr>
        </w:p>
      </w:tc>
      <w:tc>
        <w:tcPr>
          <w:tcW w:w="4508" w:type="dxa"/>
        </w:tcPr>
        <w:p w14:paraId="5F7DC867" w14:textId="77777777" w:rsidR="00534A71" w:rsidRDefault="00534A71" w:rsidP="00534A71">
          <w:pPr>
            <w:pStyle w:val="Header"/>
          </w:pPr>
          <w:r>
            <w:t>Penrose 1061</w:t>
          </w:r>
        </w:p>
      </w:tc>
    </w:tr>
    <w:tr w:rsidR="00534A71" w14:paraId="3801D411" w14:textId="77777777" w:rsidTr="00604D2F">
      <w:tc>
        <w:tcPr>
          <w:tcW w:w="4508" w:type="dxa"/>
          <w:vMerge/>
        </w:tcPr>
        <w:p w14:paraId="3949385C" w14:textId="77777777" w:rsidR="00534A71" w:rsidRDefault="00534A71" w:rsidP="00534A71">
          <w:pPr>
            <w:pStyle w:val="Header"/>
          </w:pPr>
        </w:p>
      </w:tc>
      <w:tc>
        <w:tcPr>
          <w:tcW w:w="4508" w:type="dxa"/>
        </w:tcPr>
        <w:p w14:paraId="4903F604" w14:textId="77777777" w:rsidR="00534A71" w:rsidRDefault="00534A71" w:rsidP="00534A71">
          <w:pPr>
            <w:pStyle w:val="Header"/>
          </w:pPr>
          <w:r>
            <w:t>Auckland</w:t>
          </w:r>
        </w:p>
      </w:tc>
    </w:tr>
    <w:tr w:rsidR="00534A71" w14:paraId="58918191" w14:textId="77777777" w:rsidTr="00604D2F">
      <w:tc>
        <w:tcPr>
          <w:tcW w:w="4508" w:type="dxa"/>
          <w:vMerge/>
        </w:tcPr>
        <w:p w14:paraId="39315722" w14:textId="77777777" w:rsidR="00534A71" w:rsidRDefault="00534A71" w:rsidP="00534A71">
          <w:pPr>
            <w:pStyle w:val="Header"/>
          </w:pPr>
        </w:p>
      </w:tc>
      <w:tc>
        <w:tcPr>
          <w:tcW w:w="4508" w:type="dxa"/>
        </w:tcPr>
        <w:p w14:paraId="34E88DB7" w14:textId="77777777" w:rsidR="00534A71" w:rsidRDefault="00534A71" w:rsidP="00534A71">
          <w:pPr>
            <w:pStyle w:val="Header"/>
          </w:pPr>
          <w:r>
            <w:t>New Zealand</w:t>
          </w:r>
        </w:p>
      </w:tc>
    </w:tr>
    <w:tr w:rsidR="00534A71" w14:paraId="68042E48" w14:textId="77777777" w:rsidTr="00604D2F">
      <w:tc>
        <w:tcPr>
          <w:tcW w:w="4508" w:type="dxa"/>
          <w:vMerge/>
        </w:tcPr>
        <w:p w14:paraId="61247A94" w14:textId="77777777" w:rsidR="00534A71" w:rsidRDefault="00534A71" w:rsidP="00534A71">
          <w:pPr>
            <w:pStyle w:val="Header"/>
          </w:pPr>
        </w:p>
      </w:tc>
      <w:tc>
        <w:tcPr>
          <w:tcW w:w="4508" w:type="dxa"/>
        </w:tcPr>
        <w:p w14:paraId="4F7F76FA" w14:textId="77777777" w:rsidR="00534A71" w:rsidRDefault="00534A71" w:rsidP="00534A71">
          <w:pPr>
            <w:pStyle w:val="Header"/>
          </w:pPr>
          <w:r>
            <w:t>Email: sales@seaservices.co.nz</w:t>
          </w:r>
        </w:p>
      </w:tc>
    </w:tr>
  </w:tbl>
  <w:p w14:paraId="5771090C" w14:textId="77777777" w:rsidR="00534A71" w:rsidRDefault="00534A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E5"/>
    <w:rsid w:val="000221DC"/>
    <w:rsid w:val="00022796"/>
    <w:rsid w:val="00050716"/>
    <w:rsid w:val="000949AE"/>
    <w:rsid w:val="000B0AB8"/>
    <w:rsid w:val="000D0DBE"/>
    <w:rsid w:val="000D0EF7"/>
    <w:rsid w:val="000E1E3C"/>
    <w:rsid w:val="000E4F16"/>
    <w:rsid w:val="00201BED"/>
    <w:rsid w:val="00231AFC"/>
    <w:rsid w:val="0025062A"/>
    <w:rsid w:val="0025559A"/>
    <w:rsid w:val="002577BA"/>
    <w:rsid w:val="00265F77"/>
    <w:rsid w:val="0027365F"/>
    <w:rsid w:val="00277C8A"/>
    <w:rsid w:val="00280B7F"/>
    <w:rsid w:val="0029086C"/>
    <w:rsid w:val="00295A69"/>
    <w:rsid w:val="002A23B2"/>
    <w:rsid w:val="002E51B1"/>
    <w:rsid w:val="002F6CB9"/>
    <w:rsid w:val="00303B41"/>
    <w:rsid w:val="0034412F"/>
    <w:rsid w:val="0036152C"/>
    <w:rsid w:val="00364997"/>
    <w:rsid w:val="00375AD4"/>
    <w:rsid w:val="003C519E"/>
    <w:rsid w:val="003F6AB2"/>
    <w:rsid w:val="004739E2"/>
    <w:rsid w:val="004934E0"/>
    <w:rsid w:val="004A2D81"/>
    <w:rsid w:val="004C0037"/>
    <w:rsid w:val="004C4073"/>
    <w:rsid w:val="00505950"/>
    <w:rsid w:val="00534A71"/>
    <w:rsid w:val="005365CC"/>
    <w:rsid w:val="00546BCC"/>
    <w:rsid w:val="0058703D"/>
    <w:rsid w:val="005A0CB4"/>
    <w:rsid w:val="005B2ECE"/>
    <w:rsid w:val="005C32B0"/>
    <w:rsid w:val="005C627A"/>
    <w:rsid w:val="005C66DD"/>
    <w:rsid w:val="00635F9D"/>
    <w:rsid w:val="00637ACC"/>
    <w:rsid w:val="00643129"/>
    <w:rsid w:val="006813A9"/>
    <w:rsid w:val="0069555E"/>
    <w:rsid w:val="00696729"/>
    <w:rsid w:val="006A21C7"/>
    <w:rsid w:val="006E0583"/>
    <w:rsid w:val="00701361"/>
    <w:rsid w:val="00711ADB"/>
    <w:rsid w:val="0075265D"/>
    <w:rsid w:val="00757010"/>
    <w:rsid w:val="007B6500"/>
    <w:rsid w:val="00806F66"/>
    <w:rsid w:val="00816B89"/>
    <w:rsid w:val="00821CAB"/>
    <w:rsid w:val="00834846"/>
    <w:rsid w:val="00834FEA"/>
    <w:rsid w:val="00875297"/>
    <w:rsid w:val="00885590"/>
    <w:rsid w:val="00896E1F"/>
    <w:rsid w:val="008C00FC"/>
    <w:rsid w:val="008C1B77"/>
    <w:rsid w:val="008C2CC3"/>
    <w:rsid w:val="008D4757"/>
    <w:rsid w:val="008F65C2"/>
    <w:rsid w:val="00924865"/>
    <w:rsid w:val="00953A96"/>
    <w:rsid w:val="00985F00"/>
    <w:rsid w:val="009B42A9"/>
    <w:rsid w:val="009B69EF"/>
    <w:rsid w:val="009E5963"/>
    <w:rsid w:val="00A05D36"/>
    <w:rsid w:val="00A15005"/>
    <w:rsid w:val="00A432B5"/>
    <w:rsid w:val="00A65BA9"/>
    <w:rsid w:val="00A84E44"/>
    <w:rsid w:val="00AB7A2E"/>
    <w:rsid w:val="00AD67A6"/>
    <w:rsid w:val="00AE4B66"/>
    <w:rsid w:val="00AF67E5"/>
    <w:rsid w:val="00B068BC"/>
    <w:rsid w:val="00B3780F"/>
    <w:rsid w:val="00B56DAC"/>
    <w:rsid w:val="00B57B4E"/>
    <w:rsid w:val="00B7437A"/>
    <w:rsid w:val="00B7674F"/>
    <w:rsid w:val="00B9779A"/>
    <w:rsid w:val="00BB0E64"/>
    <w:rsid w:val="00BC1BA6"/>
    <w:rsid w:val="00BD4BB6"/>
    <w:rsid w:val="00BE1F80"/>
    <w:rsid w:val="00C15F73"/>
    <w:rsid w:val="00C21418"/>
    <w:rsid w:val="00C30F39"/>
    <w:rsid w:val="00C46BEF"/>
    <w:rsid w:val="00C53620"/>
    <w:rsid w:val="00C53C4A"/>
    <w:rsid w:val="00C63E10"/>
    <w:rsid w:val="00CC7FD7"/>
    <w:rsid w:val="00D002E6"/>
    <w:rsid w:val="00D01804"/>
    <w:rsid w:val="00D23A69"/>
    <w:rsid w:val="00D259FF"/>
    <w:rsid w:val="00DA6975"/>
    <w:rsid w:val="00DA7503"/>
    <w:rsid w:val="00DB342E"/>
    <w:rsid w:val="00DC2C90"/>
    <w:rsid w:val="00DF39A8"/>
    <w:rsid w:val="00E1711E"/>
    <w:rsid w:val="00E23085"/>
    <w:rsid w:val="00E25EB6"/>
    <w:rsid w:val="00E309D2"/>
    <w:rsid w:val="00E358E6"/>
    <w:rsid w:val="00E53503"/>
    <w:rsid w:val="00E65439"/>
    <w:rsid w:val="00EE0C59"/>
    <w:rsid w:val="00EE6826"/>
    <w:rsid w:val="00F0687F"/>
    <w:rsid w:val="00F166C1"/>
    <w:rsid w:val="00F466FF"/>
    <w:rsid w:val="00F768C1"/>
    <w:rsid w:val="00FA04C7"/>
    <w:rsid w:val="00FB7FF4"/>
    <w:rsid w:val="00FC4C88"/>
    <w:rsid w:val="00FD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8D21A"/>
  <w15:chartTrackingRefBased/>
  <w15:docId w15:val="{F2443814-08E1-4652-8049-06B9F51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7E5"/>
  </w:style>
  <w:style w:type="paragraph" w:styleId="Footer">
    <w:name w:val="footer"/>
    <w:basedOn w:val="Normal"/>
    <w:link w:val="FooterChar"/>
    <w:uiPriority w:val="99"/>
    <w:unhideWhenUsed/>
    <w:rsid w:val="00AF67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7E5"/>
  </w:style>
  <w:style w:type="table" w:styleId="TableGrid">
    <w:name w:val="Table Grid"/>
    <w:basedOn w:val="TableNormal"/>
    <w:uiPriority w:val="39"/>
    <w:rsid w:val="00250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C2CC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cid:image008.png@01D80DFB.421F75A0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seaservices.co.nz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DarrellL@seaservices.co.nz" TargetMode="External"/><Relationship Id="rId4" Type="http://schemas.openxmlformats.org/officeDocument/2006/relationships/footnotes" Target="footnotes.xml"/><Relationship Id="rId9" Type="http://schemas.openxmlformats.org/officeDocument/2006/relationships/image" Target="cid:image009.png@01D80DFB.421F75A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 Lines</dc:creator>
  <cp:keywords/>
  <dc:description/>
  <cp:lastModifiedBy>Kavita Gounder</cp:lastModifiedBy>
  <cp:revision>2</cp:revision>
  <cp:lastPrinted>2021-12-29T04:07:00Z</cp:lastPrinted>
  <dcterms:created xsi:type="dcterms:W3CDTF">2022-02-13T21:40:00Z</dcterms:created>
  <dcterms:modified xsi:type="dcterms:W3CDTF">2022-02-13T21:40:00Z</dcterms:modified>
</cp:coreProperties>
</file>