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957A8" w14:textId="1D1324CF" w:rsidR="004C3CF7" w:rsidRPr="00E04F02" w:rsidRDefault="004A3B4A" w:rsidP="004A3B4A">
      <w:pPr>
        <w:rPr>
          <w:rFonts w:ascii="Georgia" w:hAnsi="Georgia"/>
          <w:b/>
          <w:sz w:val="36"/>
          <w:szCs w:val="28"/>
        </w:rPr>
      </w:pPr>
      <w:r w:rsidRPr="004A3B4A">
        <w:rPr>
          <w:rFonts w:ascii="Georgia" w:hAnsi="Georgia"/>
          <w:b/>
          <w:sz w:val="40"/>
          <w:szCs w:val="40"/>
        </w:rPr>
        <w:t>Minutes</w:t>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Pr>
          <w:rFonts w:ascii="Georgia" w:hAnsi="Georgia"/>
          <w:b/>
          <w:sz w:val="36"/>
          <w:szCs w:val="28"/>
        </w:rPr>
        <w:tab/>
      </w:r>
      <w:r w:rsidR="004C3CF7" w:rsidRPr="00E04F02">
        <w:rPr>
          <w:noProof/>
          <w:sz w:val="36"/>
          <w:szCs w:val="28"/>
          <w:lang w:eastAsia="en-NZ"/>
        </w:rPr>
        <w:drawing>
          <wp:inline distT="0" distB="0" distL="0" distR="0" wp14:anchorId="41039F0C" wp14:editId="42F9677A">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7"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48B4ADDC" w14:textId="0277DB5D" w:rsidR="004C3CF7" w:rsidRPr="004A3B4A" w:rsidRDefault="004C3CF7" w:rsidP="004A3B4A">
      <w:pPr>
        <w:spacing w:after="120"/>
        <w:rPr>
          <w:rFonts w:ascii="Georgia" w:hAnsi="Georgia"/>
          <w:b/>
          <w:sz w:val="40"/>
          <w:szCs w:val="40"/>
        </w:rPr>
      </w:pPr>
      <w:r w:rsidRPr="004A3B4A">
        <w:rPr>
          <w:rFonts w:ascii="Georgia" w:hAnsi="Georgia"/>
          <w:b/>
          <w:sz w:val="40"/>
          <w:szCs w:val="40"/>
        </w:rPr>
        <w:t xml:space="preserve">Standards </w:t>
      </w:r>
      <w:r w:rsidR="00187AA9" w:rsidRPr="004A3B4A">
        <w:rPr>
          <w:rFonts w:ascii="Georgia" w:hAnsi="Georgia"/>
          <w:b/>
          <w:sz w:val="40"/>
          <w:szCs w:val="40"/>
        </w:rPr>
        <w:t xml:space="preserve">Review </w:t>
      </w:r>
      <w:r w:rsidRPr="004A3B4A">
        <w:rPr>
          <w:rFonts w:ascii="Georgia" w:hAnsi="Georgia"/>
          <w:b/>
          <w:sz w:val="40"/>
          <w:szCs w:val="40"/>
        </w:rPr>
        <w:t xml:space="preserve">Governance </w:t>
      </w:r>
      <w:r w:rsidR="00DA708A" w:rsidRPr="004A3B4A">
        <w:rPr>
          <w:rFonts w:ascii="Georgia" w:hAnsi="Georgia"/>
          <w:b/>
          <w:sz w:val="40"/>
          <w:szCs w:val="40"/>
        </w:rPr>
        <w:t>Group</w:t>
      </w:r>
      <w:r w:rsidR="004A3B4A" w:rsidRPr="004A3B4A">
        <w:rPr>
          <w:rFonts w:ascii="Georgia" w:hAnsi="Georgia"/>
          <w:b/>
          <w:sz w:val="40"/>
          <w:szCs w:val="40"/>
        </w:rPr>
        <w:t xml:space="preserve"> Meeting</w:t>
      </w:r>
    </w:p>
    <w:tbl>
      <w:tblPr>
        <w:tblStyle w:val="TableGrid"/>
        <w:tblW w:w="10008" w:type="dxa"/>
        <w:tblBorders>
          <w:left w:val="none" w:sz="0" w:space="0" w:color="auto"/>
          <w:right w:val="none" w:sz="0" w:space="0" w:color="auto"/>
        </w:tblBorders>
        <w:tblLayout w:type="fixed"/>
        <w:tblLook w:val="01E0" w:firstRow="1" w:lastRow="1" w:firstColumn="1" w:lastColumn="1" w:noHBand="0" w:noVBand="0"/>
      </w:tblPr>
      <w:tblGrid>
        <w:gridCol w:w="1548"/>
        <w:gridCol w:w="8460"/>
      </w:tblGrid>
      <w:tr w:rsidR="004C3CF7" w:rsidRPr="004A3B4A" w14:paraId="3CF0274A" w14:textId="77777777" w:rsidTr="004A3B4A">
        <w:trPr>
          <w:cantSplit/>
        </w:trPr>
        <w:tc>
          <w:tcPr>
            <w:tcW w:w="1548" w:type="dxa"/>
            <w:tcBorders>
              <w:top w:val="single" w:sz="12" w:space="0" w:color="auto"/>
              <w:bottom w:val="single" w:sz="2" w:space="0" w:color="auto"/>
              <w:right w:val="nil"/>
            </w:tcBorders>
          </w:tcPr>
          <w:p w14:paraId="567EA511" w14:textId="77777777" w:rsidR="004C3CF7" w:rsidRPr="004A3B4A" w:rsidRDefault="004C3CF7" w:rsidP="00483785">
            <w:pPr>
              <w:pStyle w:val="TableText"/>
              <w:rPr>
                <w:rFonts w:cs="Arial"/>
                <w:b/>
                <w:sz w:val="20"/>
                <w:szCs w:val="20"/>
              </w:rPr>
            </w:pPr>
            <w:r w:rsidRPr="004A3B4A">
              <w:rPr>
                <w:rFonts w:cs="Arial"/>
                <w:b/>
                <w:sz w:val="20"/>
                <w:szCs w:val="20"/>
              </w:rPr>
              <w:t>Date:</w:t>
            </w:r>
          </w:p>
        </w:tc>
        <w:tc>
          <w:tcPr>
            <w:tcW w:w="8460" w:type="dxa"/>
            <w:tcBorders>
              <w:top w:val="single" w:sz="12" w:space="0" w:color="auto"/>
              <w:left w:val="nil"/>
              <w:bottom w:val="single" w:sz="2" w:space="0" w:color="auto"/>
              <w:right w:val="nil"/>
            </w:tcBorders>
          </w:tcPr>
          <w:p w14:paraId="538F5657" w14:textId="70D99BDA" w:rsidR="004C3CF7" w:rsidRPr="004A3B4A" w:rsidRDefault="00EE49F4" w:rsidP="00187AA9">
            <w:pPr>
              <w:pStyle w:val="TableText"/>
              <w:rPr>
                <w:rFonts w:cs="Arial"/>
                <w:sz w:val="20"/>
                <w:szCs w:val="20"/>
              </w:rPr>
            </w:pPr>
            <w:r w:rsidRPr="004A3B4A">
              <w:rPr>
                <w:rFonts w:cs="Arial"/>
                <w:sz w:val="20"/>
                <w:szCs w:val="20"/>
              </w:rPr>
              <w:t>29 August</w:t>
            </w:r>
            <w:r w:rsidR="004C3CF7" w:rsidRPr="004A3B4A">
              <w:rPr>
                <w:rFonts w:cs="Arial"/>
                <w:sz w:val="20"/>
                <w:szCs w:val="20"/>
              </w:rPr>
              <w:t xml:space="preserve"> 2019</w:t>
            </w:r>
          </w:p>
        </w:tc>
      </w:tr>
      <w:tr w:rsidR="004C3CF7" w:rsidRPr="004A3B4A" w14:paraId="0B3562A5" w14:textId="77777777" w:rsidTr="004A3B4A">
        <w:trPr>
          <w:cantSplit/>
        </w:trPr>
        <w:tc>
          <w:tcPr>
            <w:tcW w:w="1548" w:type="dxa"/>
            <w:tcBorders>
              <w:top w:val="single" w:sz="12" w:space="0" w:color="auto"/>
              <w:bottom w:val="single" w:sz="2" w:space="0" w:color="auto"/>
              <w:right w:val="nil"/>
            </w:tcBorders>
          </w:tcPr>
          <w:p w14:paraId="642019FF" w14:textId="77777777" w:rsidR="004C3CF7" w:rsidRPr="004A3B4A" w:rsidRDefault="004C3CF7" w:rsidP="00483785">
            <w:pPr>
              <w:pStyle w:val="TableText"/>
              <w:rPr>
                <w:rFonts w:cs="Arial"/>
                <w:b/>
                <w:sz w:val="20"/>
                <w:szCs w:val="20"/>
              </w:rPr>
            </w:pPr>
            <w:r w:rsidRPr="004A3B4A">
              <w:rPr>
                <w:rFonts w:cs="Arial"/>
                <w:b/>
                <w:sz w:val="20"/>
                <w:szCs w:val="20"/>
              </w:rPr>
              <w:t>Time:</w:t>
            </w:r>
          </w:p>
        </w:tc>
        <w:tc>
          <w:tcPr>
            <w:tcW w:w="8460" w:type="dxa"/>
            <w:tcBorders>
              <w:top w:val="single" w:sz="12" w:space="0" w:color="auto"/>
              <w:left w:val="nil"/>
              <w:bottom w:val="single" w:sz="2" w:space="0" w:color="auto"/>
              <w:right w:val="nil"/>
            </w:tcBorders>
          </w:tcPr>
          <w:p w14:paraId="3E923CDB" w14:textId="77777777" w:rsidR="004C3CF7" w:rsidRPr="004A3B4A" w:rsidRDefault="00187AA9" w:rsidP="00483785">
            <w:pPr>
              <w:pStyle w:val="TableText"/>
              <w:rPr>
                <w:rFonts w:cs="Arial"/>
                <w:sz w:val="20"/>
                <w:szCs w:val="20"/>
              </w:rPr>
            </w:pPr>
            <w:r w:rsidRPr="004A3B4A">
              <w:rPr>
                <w:rFonts w:cs="Arial"/>
                <w:sz w:val="20"/>
                <w:szCs w:val="20"/>
              </w:rPr>
              <w:t>1.00pm-2.00p</w:t>
            </w:r>
            <w:r w:rsidR="004C3CF7" w:rsidRPr="004A3B4A">
              <w:rPr>
                <w:rFonts w:cs="Arial"/>
                <w:sz w:val="20"/>
                <w:szCs w:val="20"/>
              </w:rPr>
              <w:t>m</w:t>
            </w:r>
          </w:p>
        </w:tc>
      </w:tr>
      <w:tr w:rsidR="004C3CF7" w:rsidRPr="004A3B4A" w14:paraId="72FF786C" w14:textId="77777777" w:rsidTr="004A3B4A">
        <w:trPr>
          <w:cantSplit/>
        </w:trPr>
        <w:tc>
          <w:tcPr>
            <w:tcW w:w="1548" w:type="dxa"/>
            <w:tcBorders>
              <w:top w:val="single" w:sz="12" w:space="0" w:color="auto"/>
              <w:bottom w:val="single" w:sz="2" w:space="0" w:color="auto"/>
              <w:right w:val="nil"/>
            </w:tcBorders>
          </w:tcPr>
          <w:p w14:paraId="1A16198D" w14:textId="77777777" w:rsidR="004C3CF7" w:rsidRPr="004A3B4A" w:rsidRDefault="004C3CF7" w:rsidP="00483785">
            <w:pPr>
              <w:pStyle w:val="TableText"/>
              <w:rPr>
                <w:rFonts w:cs="Arial"/>
                <w:b/>
                <w:sz w:val="20"/>
                <w:szCs w:val="20"/>
              </w:rPr>
            </w:pPr>
            <w:r w:rsidRPr="004A3B4A">
              <w:rPr>
                <w:rFonts w:cs="Arial"/>
                <w:b/>
                <w:sz w:val="20"/>
                <w:szCs w:val="20"/>
              </w:rPr>
              <w:t>Location:</w:t>
            </w:r>
          </w:p>
        </w:tc>
        <w:tc>
          <w:tcPr>
            <w:tcW w:w="8460" w:type="dxa"/>
            <w:tcBorders>
              <w:top w:val="single" w:sz="12" w:space="0" w:color="auto"/>
              <w:left w:val="nil"/>
              <w:bottom w:val="single" w:sz="2" w:space="0" w:color="auto"/>
              <w:right w:val="nil"/>
            </w:tcBorders>
          </w:tcPr>
          <w:p w14:paraId="5CDF063F" w14:textId="27A440B8" w:rsidR="004C3CF7" w:rsidRPr="004A3B4A" w:rsidRDefault="00187AA9" w:rsidP="00EE49F4">
            <w:pPr>
              <w:pStyle w:val="TableText"/>
              <w:rPr>
                <w:rFonts w:cs="Arial"/>
                <w:sz w:val="20"/>
                <w:szCs w:val="20"/>
              </w:rPr>
            </w:pPr>
            <w:r w:rsidRPr="004A3B4A">
              <w:rPr>
                <w:rFonts w:cs="Arial"/>
                <w:sz w:val="20"/>
                <w:szCs w:val="20"/>
              </w:rPr>
              <w:t>GN.</w:t>
            </w:r>
            <w:r w:rsidR="00EE49F4" w:rsidRPr="004A3B4A">
              <w:rPr>
                <w:rFonts w:cs="Arial"/>
                <w:sz w:val="20"/>
                <w:szCs w:val="20"/>
              </w:rPr>
              <w:t>9</w:t>
            </w:r>
            <w:r w:rsidR="004C3CF7" w:rsidRPr="004A3B4A">
              <w:rPr>
                <w:rFonts w:cs="Arial"/>
                <w:sz w:val="20"/>
                <w:szCs w:val="20"/>
              </w:rPr>
              <w:t xml:space="preserve"> Ministry of Health, 133 Molesworth Street</w:t>
            </w:r>
          </w:p>
        </w:tc>
      </w:tr>
      <w:tr w:rsidR="004C3CF7" w:rsidRPr="004A3B4A" w14:paraId="579E662A" w14:textId="77777777" w:rsidTr="004A3B4A">
        <w:trPr>
          <w:cantSplit/>
        </w:trPr>
        <w:tc>
          <w:tcPr>
            <w:tcW w:w="1548" w:type="dxa"/>
            <w:tcBorders>
              <w:top w:val="single" w:sz="12" w:space="0" w:color="auto"/>
              <w:bottom w:val="single" w:sz="2" w:space="0" w:color="auto"/>
              <w:right w:val="nil"/>
            </w:tcBorders>
          </w:tcPr>
          <w:p w14:paraId="4DBBC9C2" w14:textId="77777777" w:rsidR="004C3CF7" w:rsidRPr="004A3B4A" w:rsidRDefault="004C3CF7" w:rsidP="00483785">
            <w:pPr>
              <w:pStyle w:val="TableText"/>
              <w:rPr>
                <w:rFonts w:cs="Arial"/>
                <w:b/>
                <w:sz w:val="20"/>
                <w:szCs w:val="20"/>
              </w:rPr>
            </w:pPr>
            <w:r w:rsidRPr="004A3B4A">
              <w:rPr>
                <w:rFonts w:cs="Arial"/>
                <w:b/>
                <w:sz w:val="20"/>
                <w:szCs w:val="20"/>
              </w:rPr>
              <w:t>Chair:</w:t>
            </w:r>
          </w:p>
        </w:tc>
        <w:tc>
          <w:tcPr>
            <w:tcW w:w="8460" w:type="dxa"/>
            <w:tcBorders>
              <w:top w:val="single" w:sz="12" w:space="0" w:color="auto"/>
              <w:left w:val="nil"/>
              <w:bottom w:val="single" w:sz="2" w:space="0" w:color="auto"/>
              <w:right w:val="nil"/>
            </w:tcBorders>
          </w:tcPr>
          <w:p w14:paraId="38380180" w14:textId="77777777" w:rsidR="004C3CF7" w:rsidRPr="004A3B4A" w:rsidRDefault="004C3CF7" w:rsidP="00483785">
            <w:pPr>
              <w:pStyle w:val="TableText"/>
              <w:rPr>
                <w:rFonts w:cs="Arial"/>
                <w:sz w:val="20"/>
                <w:szCs w:val="20"/>
              </w:rPr>
            </w:pPr>
            <w:r w:rsidRPr="004A3B4A">
              <w:rPr>
                <w:rFonts w:cs="Arial"/>
                <w:sz w:val="20"/>
                <w:szCs w:val="20"/>
              </w:rPr>
              <w:t>Keriana Brooking, Deputy Director-General, HSII</w:t>
            </w:r>
          </w:p>
        </w:tc>
      </w:tr>
      <w:tr w:rsidR="004C3CF7" w:rsidRPr="004A3B4A" w14:paraId="0A6DA089" w14:textId="77777777" w:rsidTr="004A3B4A">
        <w:trPr>
          <w:cantSplit/>
        </w:trPr>
        <w:tc>
          <w:tcPr>
            <w:tcW w:w="1548" w:type="dxa"/>
            <w:tcBorders>
              <w:top w:val="single" w:sz="12" w:space="0" w:color="auto"/>
              <w:bottom w:val="single" w:sz="2" w:space="0" w:color="auto"/>
              <w:right w:val="nil"/>
            </w:tcBorders>
          </w:tcPr>
          <w:p w14:paraId="72C22ADA" w14:textId="77777777" w:rsidR="004C3CF7" w:rsidRPr="004A3B4A" w:rsidRDefault="004C3CF7" w:rsidP="00483785">
            <w:pPr>
              <w:pStyle w:val="TableText"/>
              <w:rPr>
                <w:rFonts w:cs="Arial"/>
                <w:b/>
                <w:sz w:val="20"/>
                <w:szCs w:val="20"/>
              </w:rPr>
            </w:pPr>
            <w:r w:rsidRPr="004A3B4A">
              <w:rPr>
                <w:rFonts w:cs="Arial"/>
                <w:b/>
                <w:sz w:val="20"/>
                <w:szCs w:val="20"/>
              </w:rPr>
              <w:t>Attendees:</w:t>
            </w:r>
          </w:p>
        </w:tc>
        <w:tc>
          <w:tcPr>
            <w:tcW w:w="8460" w:type="dxa"/>
            <w:tcBorders>
              <w:top w:val="single" w:sz="12" w:space="0" w:color="auto"/>
              <w:left w:val="nil"/>
              <w:bottom w:val="single" w:sz="2" w:space="0" w:color="auto"/>
              <w:right w:val="nil"/>
            </w:tcBorders>
          </w:tcPr>
          <w:p w14:paraId="1DF2E5FB" w14:textId="671C01D7" w:rsidR="004C3CF7" w:rsidRPr="004A3B4A" w:rsidRDefault="004C7F24" w:rsidP="004C7F24">
            <w:pPr>
              <w:pStyle w:val="TableText"/>
              <w:rPr>
                <w:rFonts w:cs="Arial"/>
                <w:sz w:val="20"/>
                <w:szCs w:val="20"/>
              </w:rPr>
            </w:pPr>
            <w:r w:rsidRPr="004A3B4A">
              <w:rPr>
                <w:rFonts w:cs="Arial"/>
                <w:sz w:val="20"/>
                <w:szCs w:val="20"/>
              </w:rPr>
              <w:t>Māori Consumer Representative</w:t>
            </w:r>
            <w:r w:rsidRPr="004A3B4A">
              <w:rPr>
                <w:rFonts w:cs="Arial"/>
                <w:sz w:val="20"/>
                <w:szCs w:val="20"/>
              </w:rPr>
              <w:br/>
              <w:t>Chief Advisor</w:t>
            </w:r>
            <w:r w:rsidR="004A3B4A" w:rsidRPr="004A3B4A">
              <w:rPr>
                <w:rFonts w:cs="Arial"/>
                <w:sz w:val="20"/>
                <w:szCs w:val="20"/>
              </w:rPr>
              <w:t>, Pharmacy, Ministry of Health</w:t>
            </w:r>
            <w:r w:rsidR="004A3B4A" w:rsidRPr="004A3B4A">
              <w:rPr>
                <w:rFonts w:cs="Arial"/>
                <w:sz w:val="20"/>
                <w:szCs w:val="20"/>
              </w:rPr>
              <w:br/>
              <w:t>D</w:t>
            </w:r>
            <w:r w:rsidRPr="004A3B4A">
              <w:rPr>
                <w:rFonts w:cs="Arial"/>
                <w:sz w:val="20"/>
                <w:szCs w:val="20"/>
              </w:rPr>
              <w:t>DG, Disability, Ministry of Health</w:t>
            </w:r>
            <w:r w:rsidRPr="004A3B4A">
              <w:rPr>
                <w:rFonts w:cs="Arial"/>
                <w:sz w:val="20"/>
                <w:szCs w:val="20"/>
              </w:rPr>
              <w:br/>
              <w:t>Manager, DHB Performance, Support and Infrastructure, Ministry of Health</w:t>
            </w:r>
            <w:r w:rsidRPr="004A3B4A">
              <w:rPr>
                <w:rFonts w:cs="Arial"/>
                <w:sz w:val="20"/>
                <w:szCs w:val="20"/>
              </w:rPr>
              <w:br/>
              <w:t>Standards New Zealand, Ministry of Business Innovation &amp; Employment</w:t>
            </w:r>
            <w:r w:rsidRPr="004A3B4A">
              <w:rPr>
                <w:rFonts w:cs="Arial"/>
                <w:sz w:val="20"/>
                <w:szCs w:val="20"/>
              </w:rPr>
              <w:br/>
              <w:t>Principal Advisor, HealthCERT, Ministry of Health</w:t>
            </w:r>
            <w:r w:rsidR="00F96A1A" w:rsidRPr="004A3B4A">
              <w:rPr>
                <w:rFonts w:cs="Arial"/>
                <w:sz w:val="20"/>
                <w:szCs w:val="20"/>
              </w:rPr>
              <w:br/>
              <w:t>Specialist Advisor, Māori, HealthCERT, Ministry of Health (contractor)</w:t>
            </w:r>
            <w:r w:rsidRPr="004A3B4A">
              <w:rPr>
                <w:rFonts w:cs="Arial"/>
                <w:sz w:val="20"/>
                <w:szCs w:val="20"/>
              </w:rPr>
              <w:br/>
              <w:t>Project Manager, HealthCERT, Ministry of Health (minutes)</w:t>
            </w:r>
          </w:p>
        </w:tc>
      </w:tr>
      <w:tr w:rsidR="004C3CF7" w:rsidRPr="004A3B4A" w14:paraId="30B8DF71" w14:textId="77777777" w:rsidTr="004A3B4A">
        <w:trPr>
          <w:cantSplit/>
        </w:trPr>
        <w:tc>
          <w:tcPr>
            <w:tcW w:w="1548" w:type="dxa"/>
            <w:tcBorders>
              <w:top w:val="single" w:sz="12" w:space="0" w:color="auto"/>
              <w:bottom w:val="single" w:sz="2" w:space="0" w:color="auto"/>
              <w:right w:val="nil"/>
            </w:tcBorders>
          </w:tcPr>
          <w:p w14:paraId="2AB44CC9" w14:textId="77777777" w:rsidR="004C3CF7" w:rsidRPr="004A3B4A" w:rsidRDefault="004C3CF7" w:rsidP="00483785">
            <w:pPr>
              <w:pStyle w:val="TableText"/>
              <w:rPr>
                <w:rFonts w:cs="Arial"/>
                <w:b/>
                <w:sz w:val="20"/>
                <w:szCs w:val="20"/>
              </w:rPr>
            </w:pPr>
            <w:r w:rsidRPr="004A3B4A">
              <w:rPr>
                <w:rFonts w:cs="Arial"/>
                <w:b/>
                <w:sz w:val="20"/>
                <w:szCs w:val="20"/>
              </w:rPr>
              <w:t>Apologies:</w:t>
            </w:r>
          </w:p>
        </w:tc>
        <w:tc>
          <w:tcPr>
            <w:tcW w:w="8460" w:type="dxa"/>
            <w:tcBorders>
              <w:top w:val="single" w:sz="12" w:space="0" w:color="auto"/>
              <w:left w:val="nil"/>
              <w:bottom w:val="single" w:sz="2" w:space="0" w:color="auto"/>
              <w:right w:val="nil"/>
            </w:tcBorders>
          </w:tcPr>
          <w:p w14:paraId="61F28A84" w14:textId="01EFC4E1" w:rsidR="004C7F24" w:rsidRPr="004A3B4A" w:rsidRDefault="004C7F24" w:rsidP="00EE49F4">
            <w:pPr>
              <w:pStyle w:val="TableText"/>
              <w:rPr>
                <w:rFonts w:cs="Arial"/>
                <w:sz w:val="20"/>
                <w:szCs w:val="20"/>
              </w:rPr>
            </w:pPr>
            <w:r w:rsidRPr="004A3B4A">
              <w:rPr>
                <w:rFonts w:cs="Arial"/>
                <w:sz w:val="20"/>
                <w:szCs w:val="20"/>
              </w:rPr>
              <w:t>Group Manager, Strategy and Policy, Ministry of Health</w:t>
            </w:r>
            <w:r w:rsidRPr="004A3B4A">
              <w:rPr>
                <w:rFonts w:cs="Arial"/>
                <w:sz w:val="20"/>
                <w:szCs w:val="20"/>
              </w:rPr>
              <w:br/>
              <w:t>Manager, Mental Health and Addiction, Ministry of Health</w:t>
            </w:r>
            <w:r w:rsidRPr="004A3B4A">
              <w:rPr>
                <w:rFonts w:cs="Arial"/>
                <w:sz w:val="20"/>
                <w:szCs w:val="20"/>
              </w:rPr>
              <w:br/>
              <w:t>DDG, Māori Health, Ministry of Health</w:t>
            </w:r>
          </w:p>
        </w:tc>
      </w:tr>
    </w:tbl>
    <w:p w14:paraId="7E66C7E9" w14:textId="77777777" w:rsidR="004C3CF7" w:rsidRPr="004A3B4A" w:rsidRDefault="004C3CF7" w:rsidP="004C3CF7"/>
    <w:tbl>
      <w:tblPr>
        <w:tblStyle w:val="TableGrid"/>
        <w:tblW w:w="5000" w:type="pct"/>
        <w:tblLayout w:type="fixed"/>
        <w:tblLook w:val="01E0" w:firstRow="1" w:lastRow="1" w:firstColumn="1" w:lastColumn="1" w:noHBand="0" w:noVBand="0"/>
      </w:tblPr>
      <w:tblGrid>
        <w:gridCol w:w="704"/>
        <w:gridCol w:w="9209"/>
      </w:tblGrid>
      <w:tr w:rsidR="004C7F24" w:rsidRPr="005C432E" w14:paraId="428C41DC" w14:textId="77777777" w:rsidTr="009F123F">
        <w:tc>
          <w:tcPr>
            <w:tcW w:w="355" w:type="pct"/>
          </w:tcPr>
          <w:p w14:paraId="703F7260" w14:textId="428B324C" w:rsidR="004C7F24" w:rsidRPr="009F123F" w:rsidRDefault="004C7F24" w:rsidP="00483785">
            <w:pPr>
              <w:tabs>
                <w:tab w:val="right" w:leader="underscore" w:pos="5670"/>
                <w:tab w:val="left" w:pos="6237"/>
              </w:tabs>
              <w:spacing w:before="40" w:after="80"/>
              <w:rPr>
                <w:rFonts w:cs="Arial"/>
                <w:b/>
                <w:sz w:val="22"/>
                <w:szCs w:val="22"/>
              </w:rPr>
            </w:pPr>
            <w:r w:rsidRPr="009F123F">
              <w:rPr>
                <w:rFonts w:cs="Arial"/>
                <w:b/>
                <w:sz w:val="22"/>
                <w:szCs w:val="22"/>
              </w:rPr>
              <w:t>Item</w:t>
            </w:r>
          </w:p>
        </w:tc>
        <w:tc>
          <w:tcPr>
            <w:tcW w:w="4645" w:type="pct"/>
          </w:tcPr>
          <w:p w14:paraId="22959C4A" w14:textId="5B3D2ED2" w:rsidR="004C7F24" w:rsidRPr="009F123F" w:rsidRDefault="004C7F24" w:rsidP="00483785">
            <w:pPr>
              <w:tabs>
                <w:tab w:val="right" w:leader="underscore" w:pos="5670"/>
                <w:tab w:val="left" w:pos="6237"/>
              </w:tabs>
              <w:spacing w:before="40" w:after="80"/>
              <w:rPr>
                <w:sz w:val="22"/>
                <w:szCs w:val="22"/>
              </w:rPr>
            </w:pPr>
            <w:r w:rsidRPr="009F123F">
              <w:rPr>
                <w:rFonts w:cs="Arial"/>
                <w:b/>
                <w:sz w:val="22"/>
                <w:szCs w:val="22"/>
              </w:rPr>
              <w:t>Notes</w:t>
            </w:r>
          </w:p>
        </w:tc>
      </w:tr>
      <w:tr w:rsidR="004C7F24" w:rsidRPr="004C7F24" w14:paraId="4E392D7C" w14:textId="77777777" w:rsidTr="009F123F">
        <w:tc>
          <w:tcPr>
            <w:tcW w:w="355" w:type="pct"/>
          </w:tcPr>
          <w:p w14:paraId="0A6D5880" w14:textId="77777777" w:rsidR="004C7F24" w:rsidRPr="004C7F24" w:rsidRDefault="004C7F24" w:rsidP="009F123F">
            <w:pPr>
              <w:tabs>
                <w:tab w:val="right" w:leader="underscore" w:pos="5670"/>
                <w:tab w:val="left" w:pos="6237"/>
              </w:tabs>
              <w:spacing w:before="120" w:after="80"/>
              <w:rPr>
                <w:sz w:val="22"/>
                <w:szCs w:val="22"/>
              </w:rPr>
            </w:pPr>
          </w:p>
        </w:tc>
        <w:tc>
          <w:tcPr>
            <w:tcW w:w="4645" w:type="pct"/>
          </w:tcPr>
          <w:p w14:paraId="4E550D93" w14:textId="6CB1CBD8" w:rsidR="004C7F24" w:rsidRPr="004C7F24" w:rsidRDefault="004C7F24" w:rsidP="009F123F">
            <w:pPr>
              <w:tabs>
                <w:tab w:val="right" w:leader="underscore" w:pos="5670"/>
                <w:tab w:val="left" w:pos="6237"/>
              </w:tabs>
              <w:spacing w:before="120" w:after="80"/>
              <w:rPr>
                <w:sz w:val="22"/>
                <w:szCs w:val="22"/>
              </w:rPr>
            </w:pPr>
            <w:r>
              <w:rPr>
                <w:sz w:val="22"/>
                <w:szCs w:val="22"/>
              </w:rPr>
              <w:t>The Chair opened the meeting at 1.00pm</w:t>
            </w:r>
            <w:r w:rsidR="004A3B4A">
              <w:rPr>
                <w:sz w:val="22"/>
                <w:szCs w:val="22"/>
              </w:rPr>
              <w:t>.</w:t>
            </w:r>
          </w:p>
        </w:tc>
      </w:tr>
      <w:tr w:rsidR="004C7F24" w:rsidRPr="004C7F24" w14:paraId="1BED09AE" w14:textId="77777777" w:rsidTr="009F123F">
        <w:tc>
          <w:tcPr>
            <w:tcW w:w="355" w:type="pct"/>
          </w:tcPr>
          <w:p w14:paraId="4427302C" w14:textId="47135996" w:rsidR="004C7F24" w:rsidRPr="004C7F24" w:rsidRDefault="004C7F24" w:rsidP="009F123F">
            <w:pPr>
              <w:tabs>
                <w:tab w:val="right" w:leader="underscore" w:pos="5670"/>
                <w:tab w:val="left" w:pos="6237"/>
              </w:tabs>
              <w:spacing w:before="120" w:after="80"/>
              <w:rPr>
                <w:sz w:val="22"/>
                <w:szCs w:val="22"/>
              </w:rPr>
            </w:pPr>
            <w:r w:rsidRPr="004C7F24">
              <w:rPr>
                <w:sz w:val="22"/>
                <w:szCs w:val="22"/>
              </w:rPr>
              <w:t>1</w:t>
            </w:r>
          </w:p>
        </w:tc>
        <w:tc>
          <w:tcPr>
            <w:tcW w:w="4645" w:type="pct"/>
          </w:tcPr>
          <w:p w14:paraId="37EC27AD" w14:textId="31A3C5A4" w:rsidR="004C7F24" w:rsidRPr="009F123F" w:rsidRDefault="004C7F24" w:rsidP="009F123F">
            <w:pPr>
              <w:tabs>
                <w:tab w:val="right" w:leader="underscore" w:pos="5670"/>
                <w:tab w:val="left" w:pos="6237"/>
              </w:tabs>
              <w:spacing w:before="120" w:after="80"/>
              <w:rPr>
                <w:b/>
                <w:sz w:val="22"/>
                <w:szCs w:val="22"/>
              </w:rPr>
            </w:pPr>
            <w:r w:rsidRPr="009F123F">
              <w:rPr>
                <w:b/>
                <w:sz w:val="22"/>
                <w:szCs w:val="22"/>
              </w:rPr>
              <w:t>Welcome</w:t>
            </w:r>
          </w:p>
          <w:p w14:paraId="79BAF9C7" w14:textId="7E13AB17" w:rsidR="004C7F24" w:rsidRPr="004C7F24" w:rsidRDefault="004C7F24" w:rsidP="009F123F">
            <w:pPr>
              <w:tabs>
                <w:tab w:val="right" w:leader="underscore" w:pos="5670"/>
                <w:tab w:val="left" w:pos="6237"/>
              </w:tabs>
              <w:spacing w:before="120" w:after="80"/>
              <w:rPr>
                <w:sz w:val="22"/>
                <w:szCs w:val="22"/>
              </w:rPr>
            </w:pPr>
            <w:r>
              <w:rPr>
                <w:sz w:val="22"/>
                <w:szCs w:val="22"/>
              </w:rPr>
              <w:t>The Chair welcomed the Governance Group (the Group) to their second meeting.</w:t>
            </w:r>
          </w:p>
        </w:tc>
      </w:tr>
      <w:tr w:rsidR="00161A80" w:rsidRPr="004C7F24" w14:paraId="34A9E769" w14:textId="77777777" w:rsidTr="009F123F">
        <w:tc>
          <w:tcPr>
            <w:tcW w:w="355" w:type="pct"/>
          </w:tcPr>
          <w:p w14:paraId="741CAC78" w14:textId="751F8002" w:rsidR="00161A80" w:rsidRPr="004C7F24" w:rsidRDefault="00161A80" w:rsidP="009F123F">
            <w:pPr>
              <w:tabs>
                <w:tab w:val="right" w:leader="underscore" w:pos="5670"/>
                <w:tab w:val="left" w:pos="6237"/>
              </w:tabs>
              <w:spacing w:before="120" w:after="80"/>
              <w:rPr>
                <w:sz w:val="22"/>
                <w:szCs w:val="22"/>
              </w:rPr>
            </w:pPr>
            <w:r>
              <w:rPr>
                <w:sz w:val="22"/>
                <w:szCs w:val="22"/>
              </w:rPr>
              <w:t>2</w:t>
            </w:r>
          </w:p>
        </w:tc>
        <w:tc>
          <w:tcPr>
            <w:tcW w:w="4645" w:type="pct"/>
          </w:tcPr>
          <w:p w14:paraId="33F21DBA" w14:textId="610BCE71" w:rsidR="00161A80" w:rsidRPr="009F123F" w:rsidRDefault="00161A80" w:rsidP="009F123F">
            <w:pPr>
              <w:tabs>
                <w:tab w:val="right" w:leader="underscore" w:pos="5670"/>
                <w:tab w:val="left" w:pos="6237"/>
              </w:tabs>
              <w:spacing w:before="120" w:after="80"/>
              <w:rPr>
                <w:b/>
                <w:sz w:val="22"/>
                <w:szCs w:val="22"/>
              </w:rPr>
            </w:pPr>
            <w:r w:rsidRPr="009F123F">
              <w:rPr>
                <w:b/>
                <w:sz w:val="22"/>
                <w:szCs w:val="22"/>
              </w:rPr>
              <w:t>Actions of the previous meeting</w:t>
            </w:r>
          </w:p>
          <w:p w14:paraId="0B116059" w14:textId="7CC963C8" w:rsidR="00161A80" w:rsidRPr="00161A80" w:rsidRDefault="00161A80" w:rsidP="009F123F">
            <w:pPr>
              <w:tabs>
                <w:tab w:val="right" w:leader="underscore" w:pos="5670"/>
                <w:tab w:val="left" w:pos="6237"/>
              </w:tabs>
              <w:spacing w:before="120" w:after="80"/>
              <w:rPr>
                <w:sz w:val="22"/>
                <w:szCs w:val="22"/>
              </w:rPr>
            </w:pPr>
            <w:r>
              <w:rPr>
                <w:sz w:val="22"/>
                <w:szCs w:val="22"/>
              </w:rPr>
              <w:t xml:space="preserve">The actions were noted as complete. </w:t>
            </w:r>
          </w:p>
        </w:tc>
      </w:tr>
      <w:tr w:rsidR="004C7F24" w:rsidRPr="004C7F24" w14:paraId="2B21C510" w14:textId="77777777" w:rsidTr="009F123F">
        <w:tc>
          <w:tcPr>
            <w:tcW w:w="355" w:type="pct"/>
          </w:tcPr>
          <w:p w14:paraId="14C7125F" w14:textId="761A2AE7" w:rsidR="004C7F24" w:rsidRPr="004C7F24" w:rsidRDefault="00161A80" w:rsidP="009F123F">
            <w:pPr>
              <w:tabs>
                <w:tab w:val="right" w:leader="underscore" w:pos="5670"/>
                <w:tab w:val="left" w:pos="6237"/>
              </w:tabs>
              <w:spacing w:before="120" w:after="80"/>
              <w:rPr>
                <w:sz w:val="22"/>
                <w:szCs w:val="22"/>
              </w:rPr>
            </w:pPr>
            <w:r>
              <w:rPr>
                <w:sz w:val="22"/>
                <w:szCs w:val="22"/>
              </w:rPr>
              <w:t>3</w:t>
            </w:r>
          </w:p>
        </w:tc>
        <w:tc>
          <w:tcPr>
            <w:tcW w:w="4645" w:type="pct"/>
          </w:tcPr>
          <w:p w14:paraId="6ACFA014" w14:textId="77777777" w:rsidR="00161A80" w:rsidRPr="009F123F" w:rsidRDefault="004C7F24" w:rsidP="009F123F">
            <w:pPr>
              <w:tabs>
                <w:tab w:val="right" w:leader="underscore" w:pos="5670"/>
                <w:tab w:val="left" w:pos="6237"/>
              </w:tabs>
              <w:spacing w:before="120" w:after="80"/>
              <w:rPr>
                <w:b/>
                <w:sz w:val="22"/>
                <w:szCs w:val="22"/>
              </w:rPr>
            </w:pPr>
            <w:r w:rsidRPr="009F123F">
              <w:rPr>
                <w:b/>
                <w:sz w:val="22"/>
                <w:szCs w:val="22"/>
              </w:rPr>
              <w:t>High-level principles – for ratification</w:t>
            </w:r>
          </w:p>
          <w:p w14:paraId="359DF79D" w14:textId="515089E4" w:rsidR="004C7F24" w:rsidRDefault="004C7F24" w:rsidP="009F123F">
            <w:pPr>
              <w:tabs>
                <w:tab w:val="right" w:leader="underscore" w:pos="5670"/>
                <w:tab w:val="left" w:pos="6237"/>
              </w:tabs>
              <w:spacing w:before="120" w:after="80"/>
              <w:rPr>
                <w:sz w:val="22"/>
                <w:szCs w:val="22"/>
              </w:rPr>
            </w:pPr>
            <w:r w:rsidRPr="004C7F24">
              <w:rPr>
                <w:sz w:val="22"/>
                <w:szCs w:val="22"/>
              </w:rPr>
              <w:t xml:space="preserve">Following their development after the previous governance group meeting, </w:t>
            </w:r>
            <w:r w:rsidR="00161A80">
              <w:rPr>
                <w:sz w:val="22"/>
                <w:szCs w:val="22"/>
              </w:rPr>
              <w:t>the</w:t>
            </w:r>
            <w:r w:rsidRPr="004C7F24">
              <w:rPr>
                <w:sz w:val="22"/>
                <w:szCs w:val="22"/>
              </w:rPr>
              <w:t xml:space="preserve"> principles </w:t>
            </w:r>
            <w:r w:rsidR="00161A80">
              <w:rPr>
                <w:sz w:val="22"/>
                <w:szCs w:val="22"/>
              </w:rPr>
              <w:t>were widely circulated for feedback</w:t>
            </w:r>
            <w:r w:rsidRPr="004C7F24">
              <w:rPr>
                <w:sz w:val="22"/>
                <w:szCs w:val="22"/>
              </w:rPr>
              <w:t>. Overall there were 102 changes, amendments and recommendations made</w:t>
            </w:r>
            <w:r w:rsidR="00161A80">
              <w:rPr>
                <w:sz w:val="22"/>
                <w:szCs w:val="22"/>
              </w:rPr>
              <w:t xml:space="preserve"> by the Group, scoping workshop attendees, the Health Quality &amp; Safety Commission, members of the Standards Review Operative Alliance, and the Ministry’s Māori Health Directorate.</w:t>
            </w:r>
          </w:p>
          <w:p w14:paraId="234F55DF" w14:textId="18DE4BF0" w:rsidR="00161A80" w:rsidRPr="004C7F24" w:rsidRDefault="00161A80" w:rsidP="009F123F">
            <w:pPr>
              <w:tabs>
                <w:tab w:val="right" w:leader="underscore" w:pos="5670"/>
                <w:tab w:val="left" w:pos="6237"/>
              </w:tabs>
              <w:spacing w:before="120" w:after="80"/>
              <w:rPr>
                <w:sz w:val="22"/>
                <w:szCs w:val="22"/>
              </w:rPr>
            </w:pPr>
            <w:r>
              <w:rPr>
                <w:sz w:val="22"/>
                <w:szCs w:val="22"/>
              </w:rPr>
              <w:t xml:space="preserve">The principles were ratified by the Group. It was noted they will be made available online. </w:t>
            </w:r>
          </w:p>
        </w:tc>
      </w:tr>
      <w:tr w:rsidR="004C7F24" w:rsidRPr="004C7F24" w14:paraId="3DB8087D" w14:textId="77777777" w:rsidTr="009F123F">
        <w:tc>
          <w:tcPr>
            <w:tcW w:w="355" w:type="pct"/>
          </w:tcPr>
          <w:p w14:paraId="2B1244D1" w14:textId="19C6C8C5" w:rsidR="004C7F24" w:rsidRPr="004C7F24" w:rsidRDefault="00161A80" w:rsidP="009F123F">
            <w:pPr>
              <w:tabs>
                <w:tab w:val="right" w:leader="underscore" w:pos="5670"/>
                <w:tab w:val="left" w:pos="6237"/>
              </w:tabs>
              <w:spacing w:before="120" w:after="80"/>
              <w:rPr>
                <w:sz w:val="22"/>
                <w:szCs w:val="22"/>
              </w:rPr>
            </w:pPr>
            <w:r>
              <w:rPr>
                <w:sz w:val="22"/>
                <w:szCs w:val="22"/>
              </w:rPr>
              <w:t>4</w:t>
            </w:r>
          </w:p>
        </w:tc>
        <w:tc>
          <w:tcPr>
            <w:tcW w:w="4645" w:type="pct"/>
          </w:tcPr>
          <w:p w14:paraId="3D366333" w14:textId="77777777" w:rsidR="004C7F24" w:rsidRPr="009F123F" w:rsidRDefault="004C7F24" w:rsidP="009F123F">
            <w:pPr>
              <w:tabs>
                <w:tab w:val="right" w:leader="underscore" w:pos="5670"/>
                <w:tab w:val="left" w:pos="6237"/>
              </w:tabs>
              <w:spacing w:before="120" w:after="80"/>
              <w:rPr>
                <w:b/>
                <w:sz w:val="22"/>
                <w:szCs w:val="22"/>
              </w:rPr>
            </w:pPr>
            <w:r w:rsidRPr="009F123F">
              <w:rPr>
                <w:b/>
                <w:sz w:val="22"/>
                <w:szCs w:val="22"/>
              </w:rPr>
              <w:t>Update on review of Standard 1.4 Recognition of Māori values and beliefs</w:t>
            </w:r>
          </w:p>
          <w:p w14:paraId="6C31BEC7" w14:textId="33148B6A" w:rsidR="009429D0" w:rsidRDefault="009429D0" w:rsidP="009F123F">
            <w:pPr>
              <w:tabs>
                <w:tab w:val="right" w:leader="underscore" w:pos="5670"/>
                <w:tab w:val="left" w:pos="6237"/>
              </w:tabs>
              <w:spacing w:before="120" w:after="80"/>
              <w:rPr>
                <w:sz w:val="22"/>
                <w:szCs w:val="22"/>
              </w:rPr>
            </w:pPr>
            <w:r>
              <w:rPr>
                <w:sz w:val="22"/>
                <w:szCs w:val="22"/>
              </w:rPr>
              <w:t>Four work streams are</w:t>
            </w:r>
            <w:r w:rsidR="00475F7B">
              <w:rPr>
                <w:sz w:val="22"/>
                <w:szCs w:val="22"/>
              </w:rPr>
              <w:t xml:space="preserve"> in progress to consider how this</w:t>
            </w:r>
            <w:r>
              <w:rPr>
                <w:sz w:val="22"/>
                <w:szCs w:val="22"/>
              </w:rPr>
              <w:t xml:space="preserve"> revie</w:t>
            </w:r>
            <w:r w:rsidR="00475F7B">
              <w:rPr>
                <w:sz w:val="22"/>
                <w:szCs w:val="22"/>
              </w:rPr>
              <w:t xml:space="preserve">w </w:t>
            </w:r>
            <w:r>
              <w:rPr>
                <w:sz w:val="22"/>
                <w:szCs w:val="22"/>
              </w:rPr>
              <w:t xml:space="preserve">is contributing to Māori health and achieving Māori health equity. </w:t>
            </w:r>
          </w:p>
          <w:p w14:paraId="3DDCD878" w14:textId="5C6950A7" w:rsidR="00475F7B" w:rsidRPr="00475F7B" w:rsidRDefault="009429D0" w:rsidP="009F123F">
            <w:pPr>
              <w:tabs>
                <w:tab w:val="right" w:leader="underscore" w:pos="5670"/>
                <w:tab w:val="left" w:pos="6237"/>
              </w:tabs>
              <w:spacing w:before="120" w:after="80"/>
              <w:rPr>
                <w:sz w:val="22"/>
                <w:szCs w:val="22"/>
              </w:rPr>
            </w:pPr>
            <w:r>
              <w:rPr>
                <w:sz w:val="22"/>
                <w:szCs w:val="22"/>
              </w:rPr>
              <w:t xml:space="preserve">Stream 1: Assessing Standard 1.4: </w:t>
            </w:r>
            <w:r w:rsidRPr="009F123F">
              <w:rPr>
                <w:sz w:val="22"/>
                <w:szCs w:val="22"/>
              </w:rPr>
              <w:t xml:space="preserve">Recognition of Māori values </w:t>
            </w:r>
            <w:r w:rsidRPr="00462189">
              <w:rPr>
                <w:sz w:val="22"/>
                <w:szCs w:val="22"/>
              </w:rPr>
              <w:t>and</w:t>
            </w:r>
            <w:r w:rsidRPr="009F123F">
              <w:rPr>
                <w:sz w:val="22"/>
                <w:szCs w:val="22"/>
              </w:rPr>
              <w:t xml:space="preserve"> </w:t>
            </w:r>
            <w:r>
              <w:rPr>
                <w:sz w:val="22"/>
                <w:szCs w:val="22"/>
              </w:rPr>
              <w:t>beliefs through the scoping workshops</w:t>
            </w:r>
            <w:r w:rsidRPr="009F123F">
              <w:rPr>
                <w:sz w:val="22"/>
                <w:szCs w:val="22"/>
              </w:rPr>
              <w:t xml:space="preserve"> </w:t>
            </w:r>
            <w:r w:rsidR="00475F7B" w:rsidRPr="009F123F">
              <w:rPr>
                <w:sz w:val="22"/>
                <w:szCs w:val="22"/>
              </w:rPr>
              <w:t>–</w:t>
            </w:r>
            <w:r w:rsidRPr="009F123F">
              <w:rPr>
                <w:sz w:val="22"/>
                <w:szCs w:val="22"/>
              </w:rPr>
              <w:t xml:space="preserve"> Complete</w:t>
            </w:r>
            <w:r w:rsidR="00475F7B" w:rsidRPr="009F123F">
              <w:rPr>
                <w:sz w:val="22"/>
                <w:szCs w:val="22"/>
              </w:rPr>
              <w:t xml:space="preserve"> </w:t>
            </w:r>
          </w:p>
          <w:p w14:paraId="719923CC" w14:textId="02E51007" w:rsidR="009429D0" w:rsidRPr="009F123F" w:rsidRDefault="009429D0" w:rsidP="009F123F">
            <w:pPr>
              <w:tabs>
                <w:tab w:val="right" w:leader="underscore" w:pos="5670"/>
                <w:tab w:val="left" w:pos="6237"/>
              </w:tabs>
              <w:spacing w:before="120" w:after="80"/>
              <w:rPr>
                <w:sz w:val="22"/>
                <w:szCs w:val="22"/>
              </w:rPr>
            </w:pPr>
            <w:r>
              <w:rPr>
                <w:sz w:val="22"/>
                <w:szCs w:val="22"/>
              </w:rPr>
              <w:t>Stream 2: Refining Te Tiriti o Waitangi and the Treaty of Waitangi Approach</w:t>
            </w:r>
            <w:r w:rsidR="000649D6">
              <w:rPr>
                <w:sz w:val="22"/>
                <w:szCs w:val="22"/>
              </w:rPr>
              <w:t xml:space="preserve"> – </w:t>
            </w:r>
            <w:r w:rsidR="000649D6" w:rsidRPr="009F123F">
              <w:rPr>
                <w:sz w:val="22"/>
                <w:szCs w:val="22"/>
              </w:rPr>
              <w:t>In progress</w:t>
            </w:r>
          </w:p>
          <w:p w14:paraId="252D571C" w14:textId="57A6DF76" w:rsidR="009429D0" w:rsidRDefault="009429D0" w:rsidP="009F123F">
            <w:pPr>
              <w:tabs>
                <w:tab w:val="right" w:leader="underscore" w:pos="5670"/>
                <w:tab w:val="left" w:pos="6237"/>
              </w:tabs>
              <w:spacing w:before="120" w:after="80"/>
              <w:rPr>
                <w:sz w:val="22"/>
                <w:szCs w:val="22"/>
              </w:rPr>
            </w:pPr>
            <w:r>
              <w:rPr>
                <w:sz w:val="22"/>
                <w:szCs w:val="22"/>
              </w:rPr>
              <w:t>Stream 3: Prioritising Māori participation in the working groups</w:t>
            </w:r>
            <w:r w:rsidR="000649D6">
              <w:rPr>
                <w:sz w:val="22"/>
                <w:szCs w:val="22"/>
              </w:rPr>
              <w:t xml:space="preserve"> – </w:t>
            </w:r>
            <w:r w:rsidR="000649D6" w:rsidRPr="009F123F">
              <w:rPr>
                <w:sz w:val="22"/>
                <w:szCs w:val="22"/>
              </w:rPr>
              <w:t>In progress</w:t>
            </w:r>
          </w:p>
          <w:p w14:paraId="33A7649F" w14:textId="417E15BD" w:rsidR="009429D0" w:rsidRDefault="009429D0" w:rsidP="009F123F">
            <w:pPr>
              <w:tabs>
                <w:tab w:val="right" w:leader="underscore" w:pos="5670"/>
                <w:tab w:val="left" w:pos="6237"/>
              </w:tabs>
              <w:spacing w:before="120" w:after="80"/>
              <w:rPr>
                <w:sz w:val="22"/>
                <w:szCs w:val="22"/>
              </w:rPr>
            </w:pPr>
            <w:r>
              <w:rPr>
                <w:sz w:val="22"/>
                <w:szCs w:val="22"/>
              </w:rPr>
              <w:t>Stream 4: Ensuring Māori/Treaty partner decision making in the Standards New Zealand Process</w:t>
            </w:r>
            <w:r w:rsidR="000649D6">
              <w:rPr>
                <w:sz w:val="22"/>
                <w:szCs w:val="22"/>
              </w:rPr>
              <w:t xml:space="preserve"> – </w:t>
            </w:r>
            <w:r w:rsidR="000649D6" w:rsidRPr="009F123F">
              <w:rPr>
                <w:sz w:val="22"/>
                <w:szCs w:val="22"/>
              </w:rPr>
              <w:t>In progress</w:t>
            </w:r>
            <w:r w:rsidR="004A3B4A">
              <w:rPr>
                <w:sz w:val="22"/>
                <w:szCs w:val="22"/>
              </w:rPr>
              <w:t>.</w:t>
            </w:r>
          </w:p>
          <w:p w14:paraId="63E33B72" w14:textId="14130DBB" w:rsidR="00606E7D" w:rsidRPr="00CB282F" w:rsidRDefault="00CB282F" w:rsidP="00F4105B">
            <w:pPr>
              <w:tabs>
                <w:tab w:val="right" w:leader="underscore" w:pos="5670"/>
                <w:tab w:val="left" w:pos="6237"/>
              </w:tabs>
              <w:spacing w:before="120" w:after="80"/>
              <w:rPr>
                <w:sz w:val="22"/>
                <w:szCs w:val="22"/>
              </w:rPr>
            </w:pPr>
            <w:r>
              <w:rPr>
                <w:sz w:val="22"/>
                <w:szCs w:val="22"/>
              </w:rPr>
              <w:t>A distinction was made between treaty issues (partnering with Māori providers) and equity issues (the health and disability services Māori receive).</w:t>
            </w:r>
            <w:r w:rsidR="000649D6">
              <w:rPr>
                <w:sz w:val="22"/>
                <w:szCs w:val="22"/>
              </w:rPr>
              <w:t xml:space="preserve"> This review is approaching consultation through a provider-lens, however, must ensure people and whānau </w:t>
            </w:r>
            <w:r w:rsidR="000649D6">
              <w:rPr>
                <w:sz w:val="22"/>
                <w:szCs w:val="22"/>
              </w:rPr>
              <w:lastRenderedPageBreak/>
              <w:t xml:space="preserve">perspectives are included as well. The project team was advised to engage with the Māori </w:t>
            </w:r>
            <w:r w:rsidR="00CA4834">
              <w:rPr>
                <w:sz w:val="22"/>
                <w:szCs w:val="22"/>
              </w:rPr>
              <w:t>Chaplains</w:t>
            </w:r>
            <w:r w:rsidR="000649D6">
              <w:rPr>
                <w:sz w:val="22"/>
                <w:szCs w:val="22"/>
              </w:rPr>
              <w:t xml:space="preserve"> and also to </w:t>
            </w:r>
            <w:r w:rsidR="00F4105B">
              <w:rPr>
                <w:sz w:val="22"/>
                <w:szCs w:val="22"/>
              </w:rPr>
              <w:t>provide regular updates on the progress of the remaining work streams.</w:t>
            </w:r>
            <w:r w:rsidR="000649D6">
              <w:rPr>
                <w:sz w:val="22"/>
                <w:szCs w:val="22"/>
              </w:rPr>
              <w:t xml:space="preserve"> </w:t>
            </w:r>
          </w:p>
        </w:tc>
      </w:tr>
      <w:tr w:rsidR="004C7F24" w:rsidRPr="004C7F24" w14:paraId="5D44B2D9" w14:textId="77777777" w:rsidTr="009F123F">
        <w:tc>
          <w:tcPr>
            <w:tcW w:w="355" w:type="pct"/>
          </w:tcPr>
          <w:p w14:paraId="0D9CC7FF" w14:textId="6A0D2911" w:rsidR="004C7F24" w:rsidRPr="004C7F24" w:rsidRDefault="00475F7B" w:rsidP="00BE4F5C">
            <w:pPr>
              <w:tabs>
                <w:tab w:val="right" w:leader="underscore" w:pos="5670"/>
                <w:tab w:val="left" w:pos="6237"/>
              </w:tabs>
              <w:spacing w:before="40" w:after="80"/>
              <w:rPr>
                <w:sz w:val="22"/>
                <w:szCs w:val="22"/>
              </w:rPr>
            </w:pPr>
            <w:r>
              <w:rPr>
                <w:sz w:val="22"/>
                <w:szCs w:val="22"/>
              </w:rPr>
              <w:lastRenderedPageBreak/>
              <w:t>5</w:t>
            </w:r>
          </w:p>
        </w:tc>
        <w:tc>
          <w:tcPr>
            <w:tcW w:w="4645" w:type="pct"/>
          </w:tcPr>
          <w:p w14:paraId="655405A4" w14:textId="372A3A59" w:rsidR="004C7F24" w:rsidRPr="009F123F" w:rsidRDefault="00475F7B" w:rsidP="009F123F">
            <w:pPr>
              <w:tabs>
                <w:tab w:val="right" w:leader="underscore" w:pos="5670"/>
                <w:tab w:val="left" w:pos="6237"/>
              </w:tabs>
              <w:spacing w:before="120" w:after="80"/>
              <w:rPr>
                <w:b/>
                <w:sz w:val="22"/>
                <w:szCs w:val="22"/>
              </w:rPr>
            </w:pPr>
            <w:r w:rsidRPr="009F123F">
              <w:rPr>
                <w:b/>
                <w:sz w:val="22"/>
                <w:szCs w:val="22"/>
              </w:rPr>
              <w:t>Project Update</w:t>
            </w:r>
          </w:p>
          <w:p w14:paraId="4E5F8752" w14:textId="431CB4CA" w:rsidR="00CA4834" w:rsidRDefault="00475F7B" w:rsidP="00244B13">
            <w:pPr>
              <w:tabs>
                <w:tab w:val="right" w:leader="underscore" w:pos="5670"/>
                <w:tab w:val="left" w:pos="6237"/>
              </w:tabs>
              <w:spacing w:after="80"/>
              <w:rPr>
                <w:sz w:val="22"/>
                <w:szCs w:val="22"/>
              </w:rPr>
            </w:pPr>
            <w:r>
              <w:rPr>
                <w:sz w:val="22"/>
                <w:szCs w:val="22"/>
              </w:rPr>
              <w:t xml:space="preserve">HealthCERT completed a comparative analysis noting the differences and alignments between the Health </w:t>
            </w:r>
            <w:r w:rsidR="004A3B4A">
              <w:rPr>
                <w:sz w:val="22"/>
                <w:szCs w:val="22"/>
              </w:rPr>
              <w:t>and</w:t>
            </w:r>
            <w:r>
              <w:rPr>
                <w:sz w:val="22"/>
                <w:szCs w:val="22"/>
              </w:rPr>
              <w:t xml:space="preserve"> Disability Services Standard (NZS 8134:2008), the Fertility Services Standard </w:t>
            </w:r>
            <w:r w:rsidR="00244B13">
              <w:rPr>
                <w:sz w:val="22"/>
                <w:szCs w:val="22"/>
              </w:rPr>
              <w:t>(NZS 8181:2007) and the Home and C</w:t>
            </w:r>
            <w:r>
              <w:rPr>
                <w:sz w:val="22"/>
                <w:szCs w:val="22"/>
              </w:rPr>
              <w:t>ommunity Services Standard (NZS 8158:2012)</w:t>
            </w:r>
            <w:r w:rsidR="00CA4834">
              <w:rPr>
                <w:sz w:val="22"/>
                <w:szCs w:val="22"/>
              </w:rPr>
              <w:t>. The document outlines which standards align to a modular framework (Consumer Rights, Organisational Management, Safe Environment and Infection Prevention &amp; Control) and which parts will require service-specific guidance (Continuum of Care). This document will be made</w:t>
            </w:r>
            <w:r w:rsidR="00E22861">
              <w:rPr>
                <w:sz w:val="22"/>
                <w:szCs w:val="22"/>
              </w:rPr>
              <w:t xml:space="preserve"> Publicly </w:t>
            </w:r>
            <w:r w:rsidR="00CA4834">
              <w:rPr>
                <w:sz w:val="22"/>
                <w:szCs w:val="22"/>
              </w:rPr>
              <w:t xml:space="preserve">available online. </w:t>
            </w:r>
          </w:p>
          <w:p w14:paraId="73CC28DE" w14:textId="566A8E11" w:rsidR="00E22861" w:rsidRDefault="00CA4834" w:rsidP="009F123F">
            <w:pPr>
              <w:tabs>
                <w:tab w:val="right" w:leader="underscore" w:pos="5670"/>
                <w:tab w:val="left" w:pos="6237"/>
              </w:tabs>
              <w:spacing w:before="120" w:after="80"/>
              <w:rPr>
                <w:sz w:val="22"/>
                <w:szCs w:val="22"/>
              </w:rPr>
            </w:pPr>
            <w:r>
              <w:rPr>
                <w:sz w:val="22"/>
                <w:szCs w:val="22"/>
              </w:rPr>
              <w:t>HealthCERT tabled the final report summary document outlining sector feedback from the seven scoping workshops that were held. There was support for a modular approach, with outcome based standards and service specific guidance. Attendees supported the language to be stre</w:t>
            </w:r>
            <w:r w:rsidR="00E22861">
              <w:rPr>
                <w:sz w:val="22"/>
                <w:szCs w:val="22"/>
              </w:rPr>
              <w:t>ngths based and person centric. The final scoping workshop summary document will be made publicly available online.</w:t>
            </w:r>
          </w:p>
          <w:p w14:paraId="1471C053" w14:textId="50793EC9" w:rsidR="00CA4834" w:rsidRPr="00475F7B" w:rsidRDefault="00E22861" w:rsidP="009F123F">
            <w:pPr>
              <w:tabs>
                <w:tab w:val="right" w:leader="underscore" w:pos="5670"/>
                <w:tab w:val="left" w:pos="6237"/>
              </w:tabs>
              <w:spacing w:before="120" w:after="80"/>
              <w:rPr>
                <w:sz w:val="22"/>
                <w:szCs w:val="22"/>
              </w:rPr>
            </w:pPr>
            <w:r>
              <w:rPr>
                <w:sz w:val="22"/>
                <w:szCs w:val="22"/>
              </w:rPr>
              <w:t xml:space="preserve">An evaluation completed by scoping workshop attendees revealed very positive responses: </w:t>
            </w:r>
            <w:r w:rsidRPr="00E22861">
              <w:rPr>
                <w:sz w:val="22"/>
                <w:szCs w:val="22"/>
              </w:rPr>
              <w:t>84% of attendees confirmed the workshop achieved its aim to determine the breadth of change required, 86% said the workshop met their expectations and 94% enjoying the breakout sessions for discussion.</w:t>
            </w:r>
          </w:p>
          <w:p w14:paraId="70DC331C" w14:textId="5CFBDBEB" w:rsidR="004346BC" w:rsidRDefault="00E22861" w:rsidP="009F123F">
            <w:pPr>
              <w:tabs>
                <w:tab w:val="right" w:leader="underscore" w:pos="5670"/>
                <w:tab w:val="left" w:pos="6237"/>
              </w:tabs>
              <w:spacing w:before="120" w:after="80"/>
              <w:rPr>
                <w:sz w:val="22"/>
                <w:szCs w:val="22"/>
              </w:rPr>
            </w:pPr>
            <w:r w:rsidRPr="00E22861">
              <w:rPr>
                <w:sz w:val="22"/>
                <w:szCs w:val="22"/>
              </w:rPr>
              <w:t>The Operative Alliance agreed to a proposed two-stage process for the working group</w:t>
            </w:r>
            <w:r w:rsidR="004346BC">
              <w:rPr>
                <w:sz w:val="22"/>
                <w:szCs w:val="22"/>
              </w:rPr>
              <w:t xml:space="preserve"> (WG)</w:t>
            </w:r>
            <w:r w:rsidRPr="00E22861">
              <w:rPr>
                <w:sz w:val="22"/>
                <w:szCs w:val="22"/>
              </w:rPr>
              <w:t xml:space="preserve"> phase of the review</w:t>
            </w:r>
            <w:r w:rsidR="004C7F24" w:rsidRPr="00E22861">
              <w:rPr>
                <w:sz w:val="22"/>
                <w:szCs w:val="22"/>
              </w:rPr>
              <w:t xml:space="preserve">. The first stage the Overarching Standards WG would work on the standards which apply to all service types (September – November 2019). The second stage the Service-Specific Guidance WG would work on the service-specific guidance (November 2019 </w:t>
            </w:r>
            <w:r w:rsidR="00244B13">
              <w:rPr>
                <w:sz w:val="22"/>
                <w:szCs w:val="22"/>
              </w:rPr>
              <w:t>-</w:t>
            </w:r>
            <w:r w:rsidR="004C7F24" w:rsidRPr="00E22861">
              <w:rPr>
                <w:sz w:val="22"/>
                <w:szCs w:val="22"/>
              </w:rPr>
              <w:t xml:space="preserve"> </w:t>
            </w:r>
            <w:r w:rsidR="004346BC">
              <w:rPr>
                <w:sz w:val="22"/>
                <w:szCs w:val="22"/>
              </w:rPr>
              <w:t>January / February</w:t>
            </w:r>
            <w:r w:rsidR="004C7F24" w:rsidRPr="00E22861">
              <w:rPr>
                <w:sz w:val="22"/>
                <w:szCs w:val="22"/>
              </w:rPr>
              <w:t xml:space="preserve"> 2020). </w:t>
            </w:r>
          </w:p>
          <w:p w14:paraId="4A0A20B0" w14:textId="1064EF25" w:rsidR="004346BC" w:rsidRPr="004346BC" w:rsidRDefault="004C7F24" w:rsidP="00244B13">
            <w:pPr>
              <w:tabs>
                <w:tab w:val="right" w:leader="underscore" w:pos="5670"/>
                <w:tab w:val="left" w:pos="6237"/>
              </w:tabs>
              <w:spacing w:before="120" w:after="80"/>
              <w:rPr>
                <w:sz w:val="22"/>
                <w:szCs w:val="22"/>
              </w:rPr>
            </w:pPr>
            <w:r w:rsidRPr="004346BC">
              <w:rPr>
                <w:sz w:val="22"/>
                <w:szCs w:val="22"/>
              </w:rPr>
              <w:t>E</w:t>
            </w:r>
            <w:r w:rsidR="00535566">
              <w:rPr>
                <w:sz w:val="22"/>
                <w:szCs w:val="22"/>
              </w:rPr>
              <w:t>xpress</w:t>
            </w:r>
            <w:r w:rsidRPr="004346BC">
              <w:rPr>
                <w:sz w:val="22"/>
                <w:szCs w:val="22"/>
              </w:rPr>
              <w:t xml:space="preserve">ions of interest </w:t>
            </w:r>
            <w:r w:rsidR="004346BC">
              <w:rPr>
                <w:sz w:val="22"/>
                <w:szCs w:val="22"/>
              </w:rPr>
              <w:t xml:space="preserve">to participate in the working group phase </w:t>
            </w:r>
            <w:r w:rsidRPr="004346BC">
              <w:rPr>
                <w:sz w:val="22"/>
                <w:szCs w:val="22"/>
              </w:rPr>
              <w:t xml:space="preserve">were received over the period of 15 July </w:t>
            </w:r>
            <w:r w:rsidR="00244B13">
              <w:rPr>
                <w:sz w:val="22"/>
                <w:szCs w:val="22"/>
              </w:rPr>
              <w:t>-</w:t>
            </w:r>
            <w:r w:rsidRPr="004346BC">
              <w:rPr>
                <w:sz w:val="22"/>
                <w:szCs w:val="22"/>
              </w:rPr>
              <w:t xml:space="preserve"> 15 August. The 134 submissions received captured a diverse range of specialist experience across the health &amp; disability sector. </w:t>
            </w:r>
            <w:r w:rsidR="004346BC">
              <w:rPr>
                <w:sz w:val="22"/>
                <w:szCs w:val="22"/>
              </w:rPr>
              <w:t>The Group noted the responses received and supported the project team</w:t>
            </w:r>
            <w:r w:rsidR="0010759F">
              <w:rPr>
                <w:sz w:val="22"/>
                <w:szCs w:val="22"/>
              </w:rPr>
              <w:t xml:space="preserve">’s equity approach to ensuring diverse participants from across New Zealand. </w:t>
            </w:r>
          </w:p>
        </w:tc>
      </w:tr>
      <w:tr w:rsidR="004C7F24" w:rsidRPr="004C7F24" w14:paraId="2CF735F4" w14:textId="77777777" w:rsidTr="009F123F">
        <w:trPr>
          <w:trHeight w:val="620"/>
        </w:trPr>
        <w:tc>
          <w:tcPr>
            <w:tcW w:w="355" w:type="pct"/>
          </w:tcPr>
          <w:p w14:paraId="74ED5895" w14:textId="053521C3" w:rsidR="004C7F24" w:rsidRPr="004C7F24" w:rsidRDefault="00535566" w:rsidP="00D218B2">
            <w:pPr>
              <w:tabs>
                <w:tab w:val="right" w:leader="underscore" w:pos="5670"/>
                <w:tab w:val="left" w:pos="6237"/>
              </w:tabs>
              <w:spacing w:before="40" w:after="80"/>
              <w:rPr>
                <w:sz w:val="22"/>
                <w:szCs w:val="22"/>
              </w:rPr>
            </w:pPr>
            <w:r>
              <w:rPr>
                <w:sz w:val="22"/>
                <w:szCs w:val="22"/>
              </w:rPr>
              <w:t>6</w:t>
            </w:r>
          </w:p>
        </w:tc>
        <w:tc>
          <w:tcPr>
            <w:tcW w:w="4645" w:type="pct"/>
          </w:tcPr>
          <w:p w14:paraId="19F2B5E2" w14:textId="52B13FE7" w:rsidR="004C7F24" w:rsidRPr="009F123F" w:rsidRDefault="004C7F24" w:rsidP="009F123F">
            <w:pPr>
              <w:tabs>
                <w:tab w:val="right" w:leader="underscore" w:pos="5670"/>
                <w:tab w:val="left" w:pos="6237"/>
              </w:tabs>
              <w:spacing w:before="120" w:after="80"/>
              <w:rPr>
                <w:b/>
                <w:sz w:val="22"/>
                <w:szCs w:val="22"/>
              </w:rPr>
            </w:pPr>
            <w:r w:rsidRPr="009F123F">
              <w:rPr>
                <w:b/>
                <w:sz w:val="22"/>
                <w:szCs w:val="22"/>
              </w:rPr>
              <w:t xml:space="preserve">Arising strategic issues from Operative Alliance </w:t>
            </w:r>
          </w:p>
          <w:p w14:paraId="3A887633" w14:textId="0BFBBCFD" w:rsidR="00535566" w:rsidRDefault="00535566" w:rsidP="009F123F">
            <w:pPr>
              <w:tabs>
                <w:tab w:val="right" w:leader="underscore" w:pos="5670"/>
                <w:tab w:val="left" w:pos="6237"/>
              </w:tabs>
              <w:spacing w:before="120" w:after="80"/>
              <w:rPr>
                <w:sz w:val="22"/>
                <w:szCs w:val="22"/>
              </w:rPr>
            </w:pPr>
            <w:r>
              <w:rPr>
                <w:sz w:val="22"/>
                <w:szCs w:val="22"/>
              </w:rPr>
              <w:t xml:space="preserve">At their meeting on 20 August, the Operative Alliance requested the following points be raised to the Group. Points were noted as follows: </w:t>
            </w:r>
          </w:p>
          <w:p w14:paraId="7BB58CC4" w14:textId="60497120" w:rsidR="00535566" w:rsidRDefault="00535566" w:rsidP="009F123F">
            <w:pPr>
              <w:spacing w:before="120"/>
              <w:rPr>
                <w:sz w:val="22"/>
                <w:szCs w:val="22"/>
              </w:rPr>
            </w:pPr>
            <w:r w:rsidRPr="00535566">
              <w:rPr>
                <w:sz w:val="22"/>
                <w:szCs w:val="22"/>
              </w:rPr>
              <w:t xml:space="preserve">Point 1: </w:t>
            </w:r>
            <w:r w:rsidR="004C7F24" w:rsidRPr="009F123F">
              <w:rPr>
                <w:sz w:val="22"/>
                <w:szCs w:val="22"/>
              </w:rPr>
              <w:t>Auditing by multiple government agencies, call for an interagency approach</w:t>
            </w:r>
            <w:r w:rsidRPr="009F123F">
              <w:rPr>
                <w:sz w:val="22"/>
                <w:szCs w:val="22"/>
              </w:rPr>
              <w:t>.</w:t>
            </w:r>
            <w:r w:rsidRPr="00535566">
              <w:rPr>
                <w:sz w:val="22"/>
                <w:szCs w:val="22"/>
              </w:rPr>
              <w:t xml:space="preserve"> The Group noted the distinction between audits against standards and audits against services. There is working being done by the Ministry of Social Development to try and better align audit cycles. </w:t>
            </w:r>
          </w:p>
          <w:p w14:paraId="58CC44F3" w14:textId="5AB4C618" w:rsidR="004C7F24" w:rsidRPr="00535566" w:rsidRDefault="00535566" w:rsidP="009F123F">
            <w:pPr>
              <w:spacing w:before="120"/>
              <w:rPr>
                <w:sz w:val="22"/>
                <w:szCs w:val="22"/>
              </w:rPr>
            </w:pPr>
            <w:r>
              <w:rPr>
                <w:sz w:val="22"/>
                <w:szCs w:val="22"/>
              </w:rPr>
              <w:t xml:space="preserve">Point 2: </w:t>
            </w:r>
            <w:r w:rsidR="004C7F24" w:rsidRPr="009F123F">
              <w:rPr>
                <w:sz w:val="22"/>
                <w:szCs w:val="22"/>
              </w:rPr>
              <w:t>Monitoring of unregulated health and disability services</w:t>
            </w:r>
            <w:r w:rsidRPr="009F123F">
              <w:rPr>
                <w:sz w:val="22"/>
                <w:szCs w:val="22"/>
              </w:rPr>
              <w:t>.</w:t>
            </w:r>
            <w:r>
              <w:rPr>
                <w:sz w:val="22"/>
                <w:szCs w:val="22"/>
              </w:rPr>
              <w:t xml:space="preserve"> The Group noted this point. </w:t>
            </w:r>
          </w:p>
          <w:p w14:paraId="2B5074CE" w14:textId="3AA419C1" w:rsidR="009D3761" w:rsidRPr="00535566" w:rsidRDefault="00535566" w:rsidP="009F123F">
            <w:pPr>
              <w:autoSpaceDE w:val="0"/>
              <w:autoSpaceDN w:val="0"/>
              <w:adjustRightInd w:val="0"/>
              <w:spacing w:before="120"/>
              <w:rPr>
                <w:sz w:val="22"/>
                <w:szCs w:val="22"/>
              </w:rPr>
            </w:pPr>
            <w:r>
              <w:rPr>
                <w:sz w:val="22"/>
                <w:szCs w:val="22"/>
              </w:rPr>
              <w:t xml:space="preserve">Point 3: </w:t>
            </w:r>
            <w:r w:rsidR="004C7F24" w:rsidRPr="009F123F">
              <w:rPr>
                <w:sz w:val="22"/>
                <w:szCs w:val="22"/>
              </w:rPr>
              <w:t>Funding for travel, time and attendance for working group participation</w:t>
            </w:r>
            <w:r w:rsidRPr="009F123F">
              <w:rPr>
                <w:sz w:val="22"/>
                <w:szCs w:val="22"/>
              </w:rPr>
              <w:t xml:space="preserve">. </w:t>
            </w:r>
            <w:r>
              <w:rPr>
                <w:sz w:val="22"/>
                <w:szCs w:val="22"/>
              </w:rPr>
              <w:t>The Chair confirmed this point had been raised and discussed internally and continues to support the project team’s approach. It was noted professional associations and/or unions are often funded by their members to attend engagement opportunities.</w:t>
            </w:r>
          </w:p>
        </w:tc>
      </w:tr>
      <w:tr w:rsidR="004C7F24" w:rsidRPr="004C7F24" w14:paraId="12807FCD" w14:textId="77777777" w:rsidTr="009F123F">
        <w:tc>
          <w:tcPr>
            <w:tcW w:w="355" w:type="pct"/>
          </w:tcPr>
          <w:p w14:paraId="62F60A70" w14:textId="3E18713E" w:rsidR="004C7F24" w:rsidRPr="004C7F24" w:rsidRDefault="00373F4D" w:rsidP="00027E40">
            <w:pPr>
              <w:tabs>
                <w:tab w:val="right" w:leader="underscore" w:pos="5670"/>
                <w:tab w:val="left" w:pos="6237"/>
              </w:tabs>
              <w:spacing w:before="40" w:after="80"/>
              <w:rPr>
                <w:sz w:val="22"/>
                <w:szCs w:val="22"/>
              </w:rPr>
            </w:pPr>
            <w:r>
              <w:rPr>
                <w:sz w:val="22"/>
                <w:szCs w:val="22"/>
              </w:rPr>
              <w:t>7</w:t>
            </w:r>
          </w:p>
        </w:tc>
        <w:tc>
          <w:tcPr>
            <w:tcW w:w="4645" w:type="pct"/>
          </w:tcPr>
          <w:p w14:paraId="360CFF8D" w14:textId="506C39E6" w:rsidR="004C7F24" w:rsidRPr="009F123F" w:rsidRDefault="004C7F24" w:rsidP="00244B13">
            <w:pPr>
              <w:tabs>
                <w:tab w:val="right" w:leader="underscore" w:pos="5670"/>
                <w:tab w:val="left" w:pos="6237"/>
              </w:tabs>
              <w:spacing w:before="80" w:after="80"/>
              <w:rPr>
                <w:b/>
                <w:sz w:val="22"/>
                <w:szCs w:val="22"/>
              </w:rPr>
            </w:pPr>
            <w:r w:rsidRPr="009F123F">
              <w:rPr>
                <w:b/>
                <w:sz w:val="22"/>
                <w:szCs w:val="22"/>
              </w:rPr>
              <w:t xml:space="preserve">Risk register </w:t>
            </w:r>
          </w:p>
          <w:p w14:paraId="032C7EED" w14:textId="4ABD3C14" w:rsidR="004C7F24" w:rsidRPr="004C7F24" w:rsidRDefault="00373F4D" w:rsidP="00244B13">
            <w:pPr>
              <w:tabs>
                <w:tab w:val="right" w:leader="underscore" w:pos="5670"/>
                <w:tab w:val="left" w:pos="6237"/>
              </w:tabs>
              <w:spacing w:before="80" w:after="80"/>
              <w:rPr>
                <w:sz w:val="22"/>
                <w:szCs w:val="22"/>
              </w:rPr>
            </w:pPr>
            <w:r>
              <w:rPr>
                <w:sz w:val="22"/>
                <w:szCs w:val="22"/>
              </w:rPr>
              <w:t>The risk register was reviewed and no changes were made.</w:t>
            </w:r>
          </w:p>
        </w:tc>
      </w:tr>
      <w:tr w:rsidR="004C7F24" w:rsidRPr="004C7F24" w14:paraId="065D62C7" w14:textId="77777777" w:rsidTr="004A3B4A">
        <w:tc>
          <w:tcPr>
            <w:tcW w:w="355" w:type="pct"/>
          </w:tcPr>
          <w:p w14:paraId="2CED7946" w14:textId="77777777" w:rsidR="004C7F24" w:rsidRPr="004C7F24" w:rsidRDefault="004C7F24" w:rsidP="00027E40">
            <w:pPr>
              <w:tabs>
                <w:tab w:val="right" w:leader="underscore" w:pos="5670"/>
                <w:tab w:val="left" w:pos="6237"/>
              </w:tabs>
              <w:spacing w:before="40" w:after="80"/>
              <w:rPr>
                <w:sz w:val="22"/>
                <w:szCs w:val="22"/>
              </w:rPr>
            </w:pPr>
          </w:p>
        </w:tc>
        <w:tc>
          <w:tcPr>
            <w:tcW w:w="4645" w:type="pct"/>
          </w:tcPr>
          <w:p w14:paraId="77287625" w14:textId="77777777" w:rsidR="00244B13" w:rsidRDefault="004C7F24" w:rsidP="00244B13">
            <w:pPr>
              <w:spacing w:before="80" w:after="80"/>
              <w:rPr>
                <w:b/>
                <w:sz w:val="22"/>
                <w:szCs w:val="22"/>
              </w:rPr>
            </w:pPr>
            <w:r w:rsidRPr="009F123F">
              <w:rPr>
                <w:b/>
                <w:sz w:val="22"/>
                <w:szCs w:val="22"/>
              </w:rPr>
              <w:t>Closing comments</w:t>
            </w:r>
          </w:p>
          <w:p w14:paraId="2292E71C" w14:textId="66496D17" w:rsidR="009F123F" w:rsidRPr="009F123F" w:rsidRDefault="009F123F" w:rsidP="00244B13">
            <w:pPr>
              <w:spacing w:before="80" w:after="120"/>
              <w:rPr>
                <w:sz w:val="22"/>
              </w:rPr>
            </w:pPr>
            <w:r w:rsidRPr="009F123F">
              <w:rPr>
                <w:sz w:val="22"/>
                <w:szCs w:val="22"/>
              </w:rPr>
              <w:t>The Chair thanked the Group for their time. The meeting closed at 1:00pm.</w:t>
            </w:r>
          </w:p>
        </w:tc>
      </w:tr>
    </w:tbl>
    <w:p w14:paraId="4F45AFF8" w14:textId="77777777" w:rsidR="004C3CF7" w:rsidRPr="004C7F24" w:rsidRDefault="004C3CF7" w:rsidP="004C3CF7">
      <w:pPr>
        <w:tabs>
          <w:tab w:val="right" w:leader="underscore" w:pos="5670"/>
          <w:tab w:val="left" w:pos="6237"/>
        </w:tabs>
        <w:rPr>
          <w:sz w:val="22"/>
          <w:szCs w:val="22"/>
        </w:rPr>
      </w:pPr>
    </w:p>
    <w:tbl>
      <w:tblPr>
        <w:tblStyle w:val="TableGrid"/>
        <w:tblW w:w="0" w:type="auto"/>
        <w:tblInd w:w="-5" w:type="dxa"/>
        <w:tblLook w:val="01E0" w:firstRow="1" w:lastRow="1" w:firstColumn="1" w:lastColumn="1" w:noHBand="0" w:noVBand="0"/>
      </w:tblPr>
      <w:tblGrid>
        <w:gridCol w:w="709"/>
        <w:gridCol w:w="5245"/>
        <w:gridCol w:w="2410"/>
        <w:gridCol w:w="1554"/>
      </w:tblGrid>
      <w:tr w:rsidR="00E01440" w:rsidRPr="00BA3D89" w14:paraId="6578D72F" w14:textId="77777777" w:rsidTr="004A3B4A">
        <w:tc>
          <w:tcPr>
            <w:tcW w:w="709" w:type="dxa"/>
          </w:tcPr>
          <w:p w14:paraId="000E9679" w14:textId="77777777" w:rsidR="00E01440" w:rsidRPr="00BA3D89" w:rsidRDefault="00E01440" w:rsidP="00F67E0D">
            <w:pPr>
              <w:rPr>
                <w:sz w:val="22"/>
              </w:rPr>
            </w:pPr>
            <w:r w:rsidRPr="00BA3D89">
              <w:rPr>
                <w:b/>
                <w:sz w:val="20"/>
                <w:szCs w:val="22"/>
              </w:rPr>
              <w:t>Item</w:t>
            </w:r>
          </w:p>
        </w:tc>
        <w:tc>
          <w:tcPr>
            <w:tcW w:w="5245" w:type="dxa"/>
          </w:tcPr>
          <w:p w14:paraId="4AAF5D06" w14:textId="77777777" w:rsidR="00E01440" w:rsidRPr="00BA3D89" w:rsidRDefault="00E01440" w:rsidP="00F67E0D">
            <w:pPr>
              <w:rPr>
                <w:b/>
                <w:sz w:val="20"/>
                <w:szCs w:val="22"/>
              </w:rPr>
            </w:pPr>
            <w:r w:rsidRPr="00BA3D89">
              <w:rPr>
                <w:b/>
                <w:sz w:val="20"/>
                <w:szCs w:val="22"/>
              </w:rPr>
              <w:t>Action</w:t>
            </w:r>
          </w:p>
        </w:tc>
        <w:tc>
          <w:tcPr>
            <w:tcW w:w="2410" w:type="dxa"/>
          </w:tcPr>
          <w:p w14:paraId="44908A72" w14:textId="77777777" w:rsidR="00E01440" w:rsidRPr="00BA3D89" w:rsidRDefault="00E01440" w:rsidP="00F67E0D">
            <w:pPr>
              <w:rPr>
                <w:b/>
                <w:sz w:val="20"/>
                <w:szCs w:val="22"/>
              </w:rPr>
            </w:pPr>
            <w:r w:rsidRPr="00BA3D89">
              <w:rPr>
                <w:b/>
                <w:sz w:val="20"/>
                <w:szCs w:val="22"/>
              </w:rPr>
              <w:t>Lead</w:t>
            </w:r>
          </w:p>
        </w:tc>
        <w:tc>
          <w:tcPr>
            <w:tcW w:w="1554" w:type="dxa"/>
          </w:tcPr>
          <w:p w14:paraId="781C01AA" w14:textId="77777777" w:rsidR="00E01440" w:rsidRPr="00BA3D89" w:rsidRDefault="00E01440" w:rsidP="00F67E0D">
            <w:pPr>
              <w:rPr>
                <w:b/>
                <w:sz w:val="20"/>
                <w:szCs w:val="22"/>
              </w:rPr>
            </w:pPr>
            <w:r w:rsidRPr="00BA3D89">
              <w:rPr>
                <w:b/>
                <w:sz w:val="20"/>
                <w:szCs w:val="22"/>
              </w:rPr>
              <w:t>Due Date</w:t>
            </w:r>
          </w:p>
        </w:tc>
      </w:tr>
      <w:tr w:rsidR="00E01440" w:rsidRPr="004A3B4A" w14:paraId="03C01635" w14:textId="77777777" w:rsidTr="004A3B4A">
        <w:tc>
          <w:tcPr>
            <w:tcW w:w="709" w:type="dxa"/>
          </w:tcPr>
          <w:p w14:paraId="67E40CCC" w14:textId="4E20B3ED" w:rsidR="00E01440" w:rsidRPr="004A3B4A" w:rsidRDefault="00E01440" w:rsidP="00F67E0D">
            <w:pPr>
              <w:rPr>
                <w:sz w:val="20"/>
                <w:szCs w:val="20"/>
              </w:rPr>
            </w:pPr>
            <w:r w:rsidRPr="004A3B4A">
              <w:rPr>
                <w:sz w:val="20"/>
                <w:szCs w:val="20"/>
              </w:rPr>
              <w:t>4</w:t>
            </w:r>
          </w:p>
        </w:tc>
        <w:tc>
          <w:tcPr>
            <w:tcW w:w="5245" w:type="dxa"/>
          </w:tcPr>
          <w:p w14:paraId="32CBEF70" w14:textId="616C46B8" w:rsidR="00E01440" w:rsidRPr="004A3B4A" w:rsidRDefault="00E01440" w:rsidP="00F67E0D">
            <w:pPr>
              <w:rPr>
                <w:sz w:val="20"/>
                <w:szCs w:val="20"/>
              </w:rPr>
            </w:pPr>
            <w:r w:rsidRPr="004A3B4A">
              <w:rPr>
                <w:sz w:val="20"/>
                <w:szCs w:val="20"/>
              </w:rPr>
              <w:t>Include progress update on Treaty lens and achieving Māori health equity</w:t>
            </w:r>
            <w:r w:rsidR="004A3B4A" w:rsidRPr="004A3B4A">
              <w:rPr>
                <w:sz w:val="20"/>
                <w:szCs w:val="20"/>
              </w:rPr>
              <w:t>.</w:t>
            </w:r>
          </w:p>
        </w:tc>
        <w:tc>
          <w:tcPr>
            <w:tcW w:w="2410" w:type="dxa"/>
          </w:tcPr>
          <w:p w14:paraId="54AD62CB" w14:textId="77777777" w:rsidR="00E01440" w:rsidRPr="004A3B4A" w:rsidRDefault="00E01440" w:rsidP="00F67E0D">
            <w:pPr>
              <w:rPr>
                <w:sz w:val="20"/>
                <w:szCs w:val="20"/>
              </w:rPr>
            </w:pPr>
            <w:r w:rsidRPr="004A3B4A">
              <w:rPr>
                <w:sz w:val="20"/>
                <w:szCs w:val="20"/>
              </w:rPr>
              <w:t>Project Manager</w:t>
            </w:r>
          </w:p>
        </w:tc>
        <w:tc>
          <w:tcPr>
            <w:tcW w:w="1554" w:type="dxa"/>
          </w:tcPr>
          <w:p w14:paraId="1AB3EE0D" w14:textId="26F55C8A" w:rsidR="00E01440" w:rsidRPr="004A3B4A" w:rsidRDefault="00E01440" w:rsidP="004A3B4A">
            <w:pPr>
              <w:rPr>
                <w:sz w:val="20"/>
                <w:szCs w:val="20"/>
              </w:rPr>
            </w:pPr>
            <w:r w:rsidRPr="004A3B4A">
              <w:rPr>
                <w:sz w:val="20"/>
                <w:szCs w:val="20"/>
              </w:rPr>
              <w:t>Nov 2019</w:t>
            </w:r>
          </w:p>
        </w:tc>
      </w:tr>
      <w:tr w:rsidR="00E01440" w:rsidRPr="004A3B4A" w14:paraId="56E70598" w14:textId="77777777" w:rsidTr="004A3B4A">
        <w:tc>
          <w:tcPr>
            <w:tcW w:w="709" w:type="dxa"/>
          </w:tcPr>
          <w:p w14:paraId="7B20AC8B" w14:textId="34ABA29B" w:rsidR="00E01440" w:rsidRPr="004A3B4A" w:rsidRDefault="00E01440" w:rsidP="00F67E0D">
            <w:pPr>
              <w:rPr>
                <w:sz w:val="20"/>
                <w:szCs w:val="20"/>
              </w:rPr>
            </w:pPr>
            <w:r w:rsidRPr="004A3B4A">
              <w:rPr>
                <w:sz w:val="20"/>
                <w:szCs w:val="20"/>
              </w:rPr>
              <w:t>4</w:t>
            </w:r>
          </w:p>
        </w:tc>
        <w:tc>
          <w:tcPr>
            <w:tcW w:w="5245" w:type="dxa"/>
          </w:tcPr>
          <w:p w14:paraId="2F8840AA" w14:textId="06D97573" w:rsidR="00E01440" w:rsidRPr="004A3B4A" w:rsidRDefault="00E01440" w:rsidP="00E01440">
            <w:pPr>
              <w:rPr>
                <w:sz w:val="20"/>
                <w:szCs w:val="20"/>
              </w:rPr>
            </w:pPr>
            <w:r w:rsidRPr="004A3B4A">
              <w:rPr>
                <w:sz w:val="20"/>
                <w:szCs w:val="20"/>
              </w:rPr>
              <w:t xml:space="preserve">Engage with Māori Chaplains </w:t>
            </w:r>
          </w:p>
        </w:tc>
        <w:tc>
          <w:tcPr>
            <w:tcW w:w="2410" w:type="dxa"/>
          </w:tcPr>
          <w:p w14:paraId="19259074" w14:textId="05BC04AD" w:rsidR="00E01440" w:rsidRPr="004A3B4A" w:rsidRDefault="00F4105B" w:rsidP="00F4105B">
            <w:pPr>
              <w:rPr>
                <w:sz w:val="20"/>
                <w:szCs w:val="20"/>
              </w:rPr>
            </w:pPr>
            <w:r w:rsidRPr="004A3B4A">
              <w:rPr>
                <w:rFonts w:cs="Arial"/>
                <w:sz w:val="20"/>
                <w:szCs w:val="20"/>
              </w:rPr>
              <w:t>Specialist Advisor, Māori</w:t>
            </w:r>
          </w:p>
        </w:tc>
        <w:tc>
          <w:tcPr>
            <w:tcW w:w="1554" w:type="dxa"/>
          </w:tcPr>
          <w:p w14:paraId="51236BAF" w14:textId="03CFEFCD" w:rsidR="00E01440" w:rsidRPr="004A3B4A" w:rsidRDefault="00E01440" w:rsidP="004A3B4A">
            <w:pPr>
              <w:rPr>
                <w:sz w:val="20"/>
                <w:szCs w:val="20"/>
              </w:rPr>
            </w:pPr>
            <w:r w:rsidRPr="004A3B4A">
              <w:rPr>
                <w:sz w:val="20"/>
                <w:szCs w:val="20"/>
              </w:rPr>
              <w:t>Nov 2019</w:t>
            </w:r>
          </w:p>
        </w:tc>
      </w:tr>
      <w:tr w:rsidR="00E01440" w:rsidRPr="004A3B4A" w14:paraId="6DC58B13" w14:textId="77777777" w:rsidTr="004A3B4A">
        <w:tc>
          <w:tcPr>
            <w:tcW w:w="709" w:type="dxa"/>
          </w:tcPr>
          <w:p w14:paraId="77CE7D12" w14:textId="77777777" w:rsidR="00E01440" w:rsidRPr="004A3B4A" w:rsidRDefault="00E01440" w:rsidP="00F67E0D">
            <w:pPr>
              <w:rPr>
                <w:sz w:val="20"/>
                <w:szCs w:val="20"/>
              </w:rPr>
            </w:pPr>
            <w:r w:rsidRPr="004A3B4A">
              <w:rPr>
                <w:sz w:val="20"/>
                <w:szCs w:val="20"/>
              </w:rPr>
              <w:t>3</w:t>
            </w:r>
          </w:p>
        </w:tc>
        <w:tc>
          <w:tcPr>
            <w:tcW w:w="5245" w:type="dxa"/>
          </w:tcPr>
          <w:p w14:paraId="47A1081C" w14:textId="11E1EA45" w:rsidR="00E01440" w:rsidRPr="004A3B4A" w:rsidRDefault="00E01440" w:rsidP="00F67E0D">
            <w:pPr>
              <w:rPr>
                <w:sz w:val="20"/>
                <w:szCs w:val="20"/>
              </w:rPr>
            </w:pPr>
            <w:r w:rsidRPr="004A3B4A">
              <w:rPr>
                <w:sz w:val="20"/>
                <w:szCs w:val="20"/>
              </w:rPr>
              <w:t>Publish article about the working group principles on the Ministry’s intranet</w:t>
            </w:r>
            <w:r w:rsidR="004A3B4A" w:rsidRPr="004A3B4A">
              <w:rPr>
                <w:sz w:val="20"/>
                <w:szCs w:val="20"/>
              </w:rPr>
              <w:t>.</w:t>
            </w:r>
          </w:p>
        </w:tc>
        <w:tc>
          <w:tcPr>
            <w:tcW w:w="2410" w:type="dxa"/>
          </w:tcPr>
          <w:p w14:paraId="07C0FBA8" w14:textId="77777777" w:rsidR="00E01440" w:rsidRPr="004A3B4A" w:rsidRDefault="00E01440" w:rsidP="00F67E0D">
            <w:pPr>
              <w:rPr>
                <w:sz w:val="20"/>
                <w:szCs w:val="20"/>
              </w:rPr>
            </w:pPr>
            <w:r w:rsidRPr="004A3B4A">
              <w:rPr>
                <w:sz w:val="20"/>
                <w:szCs w:val="20"/>
              </w:rPr>
              <w:t>Project Manager</w:t>
            </w:r>
          </w:p>
        </w:tc>
        <w:tc>
          <w:tcPr>
            <w:tcW w:w="1554" w:type="dxa"/>
          </w:tcPr>
          <w:p w14:paraId="11831B93" w14:textId="5C504FB3" w:rsidR="00E01440" w:rsidRPr="004A3B4A" w:rsidRDefault="00E01440" w:rsidP="004A3B4A">
            <w:pPr>
              <w:rPr>
                <w:sz w:val="20"/>
                <w:szCs w:val="20"/>
              </w:rPr>
            </w:pPr>
            <w:r w:rsidRPr="004A3B4A">
              <w:rPr>
                <w:sz w:val="20"/>
                <w:szCs w:val="20"/>
              </w:rPr>
              <w:t>Nov 2019</w:t>
            </w:r>
          </w:p>
        </w:tc>
        <w:bookmarkStart w:id="0" w:name="_GoBack"/>
        <w:bookmarkEnd w:id="0"/>
      </w:tr>
    </w:tbl>
    <w:p w14:paraId="30156D01" w14:textId="77777777" w:rsidR="00DD1246" w:rsidRPr="004C7F24" w:rsidRDefault="00DD1246" w:rsidP="00244B13">
      <w:pPr>
        <w:rPr>
          <w:sz w:val="22"/>
          <w:szCs w:val="22"/>
        </w:rPr>
      </w:pPr>
    </w:p>
    <w:sectPr w:rsidR="00DD1246" w:rsidRPr="004C7F24" w:rsidSect="00244B13">
      <w:pgSz w:w="11907" w:h="16840" w:code="9"/>
      <w:pgMar w:top="567" w:right="992" w:bottom="624" w:left="992" w:header="567" w:footer="284"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BB07" w14:textId="77777777" w:rsidR="00C00AD6" w:rsidRDefault="00C00AD6">
      <w:r>
        <w:separator/>
      </w:r>
    </w:p>
  </w:endnote>
  <w:endnote w:type="continuationSeparator" w:id="0">
    <w:p w14:paraId="235B4BFA" w14:textId="77777777" w:rsidR="00C00AD6" w:rsidRDefault="00C0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424A7" w14:textId="77777777" w:rsidR="00C00AD6" w:rsidRDefault="00C00AD6">
      <w:r>
        <w:separator/>
      </w:r>
    </w:p>
  </w:footnote>
  <w:footnote w:type="continuationSeparator" w:id="0">
    <w:p w14:paraId="30B4F962" w14:textId="77777777" w:rsidR="00C00AD6" w:rsidRDefault="00C0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2B79"/>
    <w:multiLevelType w:val="hybridMultilevel"/>
    <w:tmpl w:val="47DC58DC"/>
    <w:lvl w:ilvl="0" w:tplc="0B702D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AA616F"/>
    <w:multiLevelType w:val="hybridMultilevel"/>
    <w:tmpl w:val="ECF64CA4"/>
    <w:lvl w:ilvl="0" w:tplc="C9B01668">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9A3545"/>
    <w:multiLevelType w:val="hybridMultilevel"/>
    <w:tmpl w:val="D70EF748"/>
    <w:lvl w:ilvl="0" w:tplc="68F02A4A">
      <w:start w:val="1"/>
      <w:numFmt w:val="bullet"/>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971A92"/>
    <w:multiLevelType w:val="hybridMultilevel"/>
    <w:tmpl w:val="37DAFACA"/>
    <w:lvl w:ilvl="0" w:tplc="7F569240">
      <w:start w:val="1"/>
      <w:numFmt w:val="bullet"/>
      <w:lvlText w:val="-"/>
      <w:lvlJc w:val="left"/>
      <w:pPr>
        <w:ind w:left="927" w:hanging="360"/>
      </w:pPr>
      <w:rPr>
        <w:rFonts w:ascii="Arial" w:eastAsia="Times New Roman"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1E52544A"/>
    <w:multiLevelType w:val="hybridMultilevel"/>
    <w:tmpl w:val="A1F81D1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30532F18"/>
    <w:multiLevelType w:val="hybridMultilevel"/>
    <w:tmpl w:val="C07C0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B6C60BF"/>
    <w:multiLevelType w:val="hybridMultilevel"/>
    <w:tmpl w:val="A0FED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54C45F4"/>
    <w:multiLevelType w:val="hybridMultilevel"/>
    <w:tmpl w:val="DC8EB8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BAA4D72"/>
    <w:multiLevelType w:val="hybridMultilevel"/>
    <w:tmpl w:val="1BEEE4E8"/>
    <w:lvl w:ilvl="0" w:tplc="E4A647F0">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EA810E5"/>
    <w:multiLevelType w:val="hybridMultilevel"/>
    <w:tmpl w:val="9D7E7DB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613A46A9"/>
    <w:multiLevelType w:val="hybridMultilevel"/>
    <w:tmpl w:val="186AF2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A0C0983"/>
    <w:multiLevelType w:val="hybridMultilevel"/>
    <w:tmpl w:val="1248C714"/>
    <w:lvl w:ilvl="0" w:tplc="DC1EF192">
      <w:start w:val="1"/>
      <w:numFmt w:val="decimal"/>
      <w:lvlText w:val="%1."/>
      <w:lvlJc w:val="left"/>
      <w:pPr>
        <w:ind w:left="360" w:hanging="360"/>
      </w:pPr>
      <w:rPr>
        <w:rFonts w:ascii="Arial" w:eastAsia="Times New Roman" w:hAnsi="Arial" w:cs="Time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6"/>
  </w:num>
  <w:num w:numId="2">
    <w:abstractNumId w:val="7"/>
  </w:num>
  <w:num w:numId="3">
    <w:abstractNumId w:val="14"/>
  </w:num>
  <w:num w:numId="4">
    <w:abstractNumId w:val="8"/>
  </w:num>
  <w:num w:numId="5">
    <w:abstractNumId w:val="3"/>
  </w:num>
  <w:num w:numId="6">
    <w:abstractNumId w:val="12"/>
  </w:num>
  <w:num w:numId="7">
    <w:abstractNumId w:val="1"/>
  </w:num>
  <w:num w:numId="8">
    <w:abstractNumId w:val="4"/>
  </w:num>
  <w:num w:numId="9">
    <w:abstractNumId w:val="10"/>
  </w:num>
  <w:num w:numId="10">
    <w:abstractNumId w:val="0"/>
  </w:num>
  <w:num w:numId="11">
    <w:abstractNumId w:val="9"/>
  </w:num>
  <w:num w:numId="12">
    <w:abstractNumId w:val="5"/>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6" w:nlCheck="1" w:checkStyle="1"/>
  <w:activeWritingStyle w:appName="MSWord" w:lang="en-NZ" w:vendorID="64" w:dllVersion="0"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02337"/>
    <w:rsid w:val="00006665"/>
    <w:rsid w:val="0001369A"/>
    <w:rsid w:val="00027E40"/>
    <w:rsid w:val="0003710F"/>
    <w:rsid w:val="00043324"/>
    <w:rsid w:val="00044B48"/>
    <w:rsid w:val="00050697"/>
    <w:rsid w:val="000649D6"/>
    <w:rsid w:val="000675CB"/>
    <w:rsid w:val="00084C18"/>
    <w:rsid w:val="0009709A"/>
    <w:rsid w:val="000A009F"/>
    <w:rsid w:val="000A2F23"/>
    <w:rsid w:val="000C37B8"/>
    <w:rsid w:val="000F5040"/>
    <w:rsid w:val="000F76E7"/>
    <w:rsid w:val="000F77AF"/>
    <w:rsid w:val="0010759F"/>
    <w:rsid w:val="00114D52"/>
    <w:rsid w:val="0012724C"/>
    <w:rsid w:val="00134BBB"/>
    <w:rsid w:val="00136519"/>
    <w:rsid w:val="00156293"/>
    <w:rsid w:val="00161A80"/>
    <w:rsid w:val="00162F43"/>
    <w:rsid w:val="00170111"/>
    <w:rsid w:val="00175201"/>
    <w:rsid w:val="00181ABF"/>
    <w:rsid w:val="001828E9"/>
    <w:rsid w:val="001834D3"/>
    <w:rsid w:val="0018640A"/>
    <w:rsid w:val="00187AA9"/>
    <w:rsid w:val="00190D84"/>
    <w:rsid w:val="00194D60"/>
    <w:rsid w:val="001C27C0"/>
    <w:rsid w:val="001D52A9"/>
    <w:rsid w:val="001D6742"/>
    <w:rsid w:val="001E2DCC"/>
    <w:rsid w:val="001F292F"/>
    <w:rsid w:val="00210921"/>
    <w:rsid w:val="00213BBD"/>
    <w:rsid w:val="00214ABA"/>
    <w:rsid w:val="002174BC"/>
    <w:rsid w:val="00231C91"/>
    <w:rsid w:val="002345F1"/>
    <w:rsid w:val="00243C6E"/>
    <w:rsid w:val="00244B13"/>
    <w:rsid w:val="00245E7A"/>
    <w:rsid w:val="00246A53"/>
    <w:rsid w:val="002676D6"/>
    <w:rsid w:val="0027447E"/>
    <w:rsid w:val="00274BFF"/>
    <w:rsid w:val="00275C37"/>
    <w:rsid w:val="00280A23"/>
    <w:rsid w:val="00283DA9"/>
    <w:rsid w:val="0029295D"/>
    <w:rsid w:val="002A1D05"/>
    <w:rsid w:val="002A3B9B"/>
    <w:rsid w:val="002A4D54"/>
    <w:rsid w:val="002B49E8"/>
    <w:rsid w:val="002C2E04"/>
    <w:rsid w:val="002C7CF5"/>
    <w:rsid w:val="002E5769"/>
    <w:rsid w:val="002F0FB6"/>
    <w:rsid w:val="00304CDA"/>
    <w:rsid w:val="003103A6"/>
    <w:rsid w:val="00325F29"/>
    <w:rsid w:val="00326F50"/>
    <w:rsid w:val="0034743A"/>
    <w:rsid w:val="00351003"/>
    <w:rsid w:val="00361521"/>
    <w:rsid w:val="00371693"/>
    <w:rsid w:val="00373F4D"/>
    <w:rsid w:val="003814B1"/>
    <w:rsid w:val="00392D1D"/>
    <w:rsid w:val="003A169D"/>
    <w:rsid w:val="003B13E6"/>
    <w:rsid w:val="003C0969"/>
    <w:rsid w:val="003C1E37"/>
    <w:rsid w:val="003C531B"/>
    <w:rsid w:val="003D11AC"/>
    <w:rsid w:val="003E0E31"/>
    <w:rsid w:val="003E1D0C"/>
    <w:rsid w:val="003E206A"/>
    <w:rsid w:val="003E2A56"/>
    <w:rsid w:val="003E3955"/>
    <w:rsid w:val="003F0AD4"/>
    <w:rsid w:val="003F585B"/>
    <w:rsid w:val="003F6444"/>
    <w:rsid w:val="00407082"/>
    <w:rsid w:val="0041163D"/>
    <w:rsid w:val="0041254F"/>
    <w:rsid w:val="00416C24"/>
    <w:rsid w:val="004175B2"/>
    <w:rsid w:val="00421973"/>
    <w:rsid w:val="0043156E"/>
    <w:rsid w:val="00433AD2"/>
    <w:rsid w:val="004346BC"/>
    <w:rsid w:val="00436844"/>
    <w:rsid w:val="00436A4D"/>
    <w:rsid w:val="00441FBC"/>
    <w:rsid w:val="00462189"/>
    <w:rsid w:val="00466ACA"/>
    <w:rsid w:val="00471F6E"/>
    <w:rsid w:val="00473625"/>
    <w:rsid w:val="004757F3"/>
    <w:rsid w:val="00475F7B"/>
    <w:rsid w:val="004769A4"/>
    <w:rsid w:val="00480C49"/>
    <w:rsid w:val="00482FA0"/>
    <w:rsid w:val="00483785"/>
    <w:rsid w:val="00487546"/>
    <w:rsid w:val="004A21C2"/>
    <w:rsid w:val="004A3B4A"/>
    <w:rsid w:val="004A455E"/>
    <w:rsid w:val="004C3CF7"/>
    <w:rsid w:val="004C53DB"/>
    <w:rsid w:val="004C7F24"/>
    <w:rsid w:val="004D05F3"/>
    <w:rsid w:val="004D4F5A"/>
    <w:rsid w:val="004D55C3"/>
    <w:rsid w:val="004D5848"/>
    <w:rsid w:val="004E46A2"/>
    <w:rsid w:val="004E6AAC"/>
    <w:rsid w:val="004F4883"/>
    <w:rsid w:val="004F5F3A"/>
    <w:rsid w:val="00510544"/>
    <w:rsid w:val="005136D4"/>
    <w:rsid w:val="00520F46"/>
    <w:rsid w:val="005337E7"/>
    <w:rsid w:val="00533C44"/>
    <w:rsid w:val="00535566"/>
    <w:rsid w:val="005373EC"/>
    <w:rsid w:val="0055326D"/>
    <w:rsid w:val="00553E57"/>
    <w:rsid w:val="00554245"/>
    <w:rsid w:val="00562D6B"/>
    <w:rsid w:val="005633F3"/>
    <w:rsid w:val="0056515C"/>
    <w:rsid w:val="00567E7B"/>
    <w:rsid w:val="0057482E"/>
    <w:rsid w:val="00575136"/>
    <w:rsid w:val="00577B82"/>
    <w:rsid w:val="00581AB1"/>
    <w:rsid w:val="00581B6F"/>
    <w:rsid w:val="0058687A"/>
    <w:rsid w:val="005A176E"/>
    <w:rsid w:val="005A44BA"/>
    <w:rsid w:val="005B4AB1"/>
    <w:rsid w:val="005C09F1"/>
    <w:rsid w:val="005C2CF3"/>
    <w:rsid w:val="005C432E"/>
    <w:rsid w:val="005D32F4"/>
    <w:rsid w:val="005D4953"/>
    <w:rsid w:val="005E5964"/>
    <w:rsid w:val="005F1099"/>
    <w:rsid w:val="00601D9C"/>
    <w:rsid w:val="00606E7D"/>
    <w:rsid w:val="0061210F"/>
    <w:rsid w:val="006226B0"/>
    <w:rsid w:val="00625A66"/>
    <w:rsid w:val="00627CDC"/>
    <w:rsid w:val="0063125F"/>
    <w:rsid w:val="006343A9"/>
    <w:rsid w:val="00634A6C"/>
    <w:rsid w:val="006442A5"/>
    <w:rsid w:val="00645201"/>
    <w:rsid w:val="006514B1"/>
    <w:rsid w:val="00651830"/>
    <w:rsid w:val="00653FA6"/>
    <w:rsid w:val="00666014"/>
    <w:rsid w:val="00666D36"/>
    <w:rsid w:val="00681615"/>
    <w:rsid w:val="0068302E"/>
    <w:rsid w:val="00686182"/>
    <w:rsid w:val="00691636"/>
    <w:rsid w:val="006935EC"/>
    <w:rsid w:val="006A694A"/>
    <w:rsid w:val="006A6DFF"/>
    <w:rsid w:val="006C3AB4"/>
    <w:rsid w:val="006C5BCD"/>
    <w:rsid w:val="006D1070"/>
    <w:rsid w:val="006E0737"/>
    <w:rsid w:val="006E372E"/>
    <w:rsid w:val="006E599F"/>
    <w:rsid w:val="006F68D0"/>
    <w:rsid w:val="00712950"/>
    <w:rsid w:val="0072546C"/>
    <w:rsid w:val="007434C3"/>
    <w:rsid w:val="00747BC2"/>
    <w:rsid w:val="007749A4"/>
    <w:rsid w:val="00794FF7"/>
    <w:rsid w:val="007A0120"/>
    <w:rsid w:val="007B0E83"/>
    <w:rsid w:val="007B414E"/>
    <w:rsid w:val="007B79CE"/>
    <w:rsid w:val="007C4C36"/>
    <w:rsid w:val="007D697E"/>
    <w:rsid w:val="007D7E2D"/>
    <w:rsid w:val="007E492D"/>
    <w:rsid w:val="00802041"/>
    <w:rsid w:val="00802389"/>
    <w:rsid w:val="0080314D"/>
    <w:rsid w:val="00812043"/>
    <w:rsid w:val="00813D47"/>
    <w:rsid w:val="00824003"/>
    <w:rsid w:val="008329AF"/>
    <w:rsid w:val="008367FE"/>
    <w:rsid w:val="008559D7"/>
    <w:rsid w:val="00863FE4"/>
    <w:rsid w:val="00870E6F"/>
    <w:rsid w:val="00873D65"/>
    <w:rsid w:val="00874C30"/>
    <w:rsid w:val="008757C9"/>
    <w:rsid w:val="008847A2"/>
    <w:rsid w:val="00884B15"/>
    <w:rsid w:val="008A0619"/>
    <w:rsid w:val="008A3320"/>
    <w:rsid w:val="008C00A2"/>
    <w:rsid w:val="008C3902"/>
    <w:rsid w:val="008D7E6A"/>
    <w:rsid w:val="008E43A2"/>
    <w:rsid w:val="008E4BAE"/>
    <w:rsid w:val="008F0EBF"/>
    <w:rsid w:val="008F1BBC"/>
    <w:rsid w:val="008F5297"/>
    <w:rsid w:val="008F58CD"/>
    <w:rsid w:val="0090647B"/>
    <w:rsid w:val="009068E2"/>
    <w:rsid w:val="00916A47"/>
    <w:rsid w:val="00916D08"/>
    <w:rsid w:val="009253BF"/>
    <w:rsid w:val="0092561B"/>
    <w:rsid w:val="00931A22"/>
    <w:rsid w:val="00932FE0"/>
    <w:rsid w:val="009401BB"/>
    <w:rsid w:val="009429D0"/>
    <w:rsid w:val="0094471B"/>
    <w:rsid w:val="00951CF9"/>
    <w:rsid w:val="00963BE2"/>
    <w:rsid w:val="009645B6"/>
    <w:rsid w:val="00967B4E"/>
    <w:rsid w:val="0097142E"/>
    <w:rsid w:val="0097163F"/>
    <w:rsid w:val="009842FE"/>
    <w:rsid w:val="009A0965"/>
    <w:rsid w:val="009A38BD"/>
    <w:rsid w:val="009B3639"/>
    <w:rsid w:val="009B3A23"/>
    <w:rsid w:val="009B4781"/>
    <w:rsid w:val="009D3761"/>
    <w:rsid w:val="009F123F"/>
    <w:rsid w:val="009F2E59"/>
    <w:rsid w:val="00A006DA"/>
    <w:rsid w:val="00A02A0B"/>
    <w:rsid w:val="00A02DF8"/>
    <w:rsid w:val="00A07939"/>
    <w:rsid w:val="00A34CFF"/>
    <w:rsid w:val="00A41109"/>
    <w:rsid w:val="00A42800"/>
    <w:rsid w:val="00A47BF8"/>
    <w:rsid w:val="00A502BC"/>
    <w:rsid w:val="00A54328"/>
    <w:rsid w:val="00A54D8A"/>
    <w:rsid w:val="00A555BA"/>
    <w:rsid w:val="00A57E27"/>
    <w:rsid w:val="00A63E3A"/>
    <w:rsid w:val="00A64804"/>
    <w:rsid w:val="00A659D5"/>
    <w:rsid w:val="00A6734A"/>
    <w:rsid w:val="00A6770C"/>
    <w:rsid w:val="00A8192B"/>
    <w:rsid w:val="00A9045F"/>
    <w:rsid w:val="00A967C2"/>
    <w:rsid w:val="00AA0A39"/>
    <w:rsid w:val="00AA14D3"/>
    <w:rsid w:val="00AC2FC2"/>
    <w:rsid w:val="00AD59BA"/>
    <w:rsid w:val="00AE47D8"/>
    <w:rsid w:val="00AF6857"/>
    <w:rsid w:val="00AF7A3A"/>
    <w:rsid w:val="00B03B94"/>
    <w:rsid w:val="00B11156"/>
    <w:rsid w:val="00B14C13"/>
    <w:rsid w:val="00B161E6"/>
    <w:rsid w:val="00B318E6"/>
    <w:rsid w:val="00B433E3"/>
    <w:rsid w:val="00B5413F"/>
    <w:rsid w:val="00B6099E"/>
    <w:rsid w:val="00B75982"/>
    <w:rsid w:val="00B768CC"/>
    <w:rsid w:val="00B85735"/>
    <w:rsid w:val="00B90CA5"/>
    <w:rsid w:val="00B940A8"/>
    <w:rsid w:val="00BA28A7"/>
    <w:rsid w:val="00BA4BCE"/>
    <w:rsid w:val="00BA6B98"/>
    <w:rsid w:val="00BA6BDA"/>
    <w:rsid w:val="00BB0404"/>
    <w:rsid w:val="00BB1E3F"/>
    <w:rsid w:val="00BC36EC"/>
    <w:rsid w:val="00BE4F5C"/>
    <w:rsid w:val="00BF0FD1"/>
    <w:rsid w:val="00BF4AF3"/>
    <w:rsid w:val="00C00AD6"/>
    <w:rsid w:val="00C01E4A"/>
    <w:rsid w:val="00C1487C"/>
    <w:rsid w:val="00C17199"/>
    <w:rsid w:val="00C34497"/>
    <w:rsid w:val="00C54068"/>
    <w:rsid w:val="00C609B5"/>
    <w:rsid w:val="00C74480"/>
    <w:rsid w:val="00C755A4"/>
    <w:rsid w:val="00C75BEF"/>
    <w:rsid w:val="00C8137F"/>
    <w:rsid w:val="00C86776"/>
    <w:rsid w:val="00C9518B"/>
    <w:rsid w:val="00CA4834"/>
    <w:rsid w:val="00CA5F5D"/>
    <w:rsid w:val="00CB2656"/>
    <w:rsid w:val="00CB282F"/>
    <w:rsid w:val="00CB4602"/>
    <w:rsid w:val="00CB7AC2"/>
    <w:rsid w:val="00CC244D"/>
    <w:rsid w:val="00CC5D65"/>
    <w:rsid w:val="00CC7779"/>
    <w:rsid w:val="00CD227E"/>
    <w:rsid w:val="00CD5019"/>
    <w:rsid w:val="00CE1ED2"/>
    <w:rsid w:val="00CE716A"/>
    <w:rsid w:val="00CF4D1A"/>
    <w:rsid w:val="00D13B77"/>
    <w:rsid w:val="00D15710"/>
    <w:rsid w:val="00D16DCE"/>
    <w:rsid w:val="00D218B2"/>
    <w:rsid w:val="00D2492C"/>
    <w:rsid w:val="00D36767"/>
    <w:rsid w:val="00D37280"/>
    <w:rsid w:val="00D3787F"/>
    <w:rsid w:val="00D4139C"/>
    <w:rsid w:val="00D50193"/>
    <w:rsid w:val="00D54A27"/>
    <w:rsid w:val="00D5598B"/>
    <w:rsid w:val="00D66607"/>
    <w:rsid w:val="00D92447"/>
    <w:rsid w:val="00D94C9D"/>
    <w:rsid w:val="00DA035C"/>
    <w:rsid w:val="00DA17A5"/>
    <w:rsid w:val="00DA708A"/>
    <w:rsid w:val="00DB02DB"/>
    <w:rsid w:val="00DB795F"/>
    <w:rsid w:val="00DC3ADF"/>
    <w:rsid w:val="00DC3CD1"/>
    <w:rsid w:val="00DC45FE"/>
    <w:rsid w:val="00DC6BFC"/>
    <w:rsid w:val="00DD1246"/>
    <w:rsid w:val="00DF2246"/>
    <w:rsid w:val="00E01440"/>
    <w:rsid w:val="00E04F02"/>
    <w:rsid w:val="00E1361F"/>
    <w:rsid w:val="00E140F9"/>
    <w:rsid w:val="00E142D7"/>
    <w:rsid w:val="00E14955"/>
    <w:rsid w:val="00E17012"/>
    <w:rsid w:val="00E17548"/>
    <w:rsid w:val="00E22861"/>
    <w:rsid w:val="00E26FD7"/>
    <w:rsid w:val="00E33ACC"/>
    <w:rsid w:val="00E34420"/>
    <w:rsid w:val="00E426F6"/>
    <w:rsid w:val="00E44267"/>
    <w:rsid w:val="00E4647E"/>
    <w:rsid w:val="00E505C5"/>
    <w:rsid w:val="00E50D90"/>
    <w:rsid w:val="00E52C3E"/>
    <w:rsid w:val="00E611F1"/>
    <w:rsid w:val="00E66C53"/>
    <w:rsid w:val="00E72109"/>
    <w:rsid w:val="00E80A14"/>
    <w:rsid w:val="00E87725"/>
    <w:rsid w:val="00E94374"/>
    <w:rsid w:val="00EA69C2"/>
    <w:rsid w:val="00EB0B44"/>
    <w:rsid w:val="00EB5EDE"/>
    <w:rsid w:val="00EC0A56"/>
    <w:rsid w:val="00EC5359"/>
    <w:rsid w:val="00EC7E9A"/>
    <w:rsid w:val="00ED0D03"/>
    <w:rsid w:val="00ED693D"/>
    <w:rsid w:val="00EE49F4"/>
    <w:rsid w:val="00EF0B2D"/>
    <w:rsid w:val="00EF3E1E"/>
    <w:rsid w:val="00EF7471"/>
    <w:rsid w:val="00F03EF9"/>
    <w:rsid w:val="00F05BB3"/>
    <w:rsid w:val="00F33421"/>
    <w:rsid w:val="00F4105B"/>
    <w:rsid w:val="00F41229"/>
    <w:rsid w:val="00F430C6"/>
    <w:rsid w:val="00F51D8A"/>
    <w:rsid w:val="00F526DB"/>
    <w:rsid w:val="00F64B1D"/>
    <w:rsid w:val="00F67AFA"/>
    <w:rsid w:val="00F8537A"/>
    <w:rsid w:val="00F91541"/>
    <w:rsid w:val="00F93B3A"/>
    <w:rsid w:val="00F96A1A"/>
    <w:rsid w:val="00FA404F"/>
    <w:rsid w:val="00FA514B"/>
    <w:rsid w:val="00FC1D66"/>
    <w:rsid w:val="00FC49D1"/>
    <w:rsid w:val="00FC6B7B"/>
    <w:rsid w:val="00FC7263"/>
    <w:rsid w:val="00FD081E"/>
    <w:rsid w:val="00FD3320"/>
    <w:rsid w:val="00FD6ABC"/>
    <w:rsid w:val="00FE110D"/>
    <w:rsid w:val="00FE78AC"/>
    <w:rsid w:val="00FF1404"/>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1CDDA3"/>
  <w15:docId w15:val="{B1A203BB-6FE5-4776-8D2F-FF461034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tabs>
        <w:tab w:val="clear" w:pos="567"/>
        <w:tab w:val="num" w:pos="360"/>
      </w:tabs>
      <w:spacing w:before="120"/>
      <w:ind w:left="0" w:firstLine="0"/>
    </w:pPr>
    <w:rPr>
      <w:rFonts w:ascii="Times New Roman" w:hAnsi="Times New Roman"/>
    </w:rPr>
  </w:style>
  <w:style w:type="table" w:styleId="TableGrid">
    <w:name w:val="Table Grid"/>
    <w:basedOn w:val="TableNormal"/>
    <w:rsid w:val="00280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175B2"/>
    <w:pPr>
      <w:ind w:left="720"/>
      <w:contextualSpacing/>
    </w:pPr>
  </w:style>
  <w:style w:type="paragraph" w:styleId="BalloonText">
    <w:name w:val="Balloon Text"/>
    <w:basedOn w:val="Normal"/>
    <w:link w:val="BalloonTextChar"/>
    <w:semiHidden/>
    <w:unhideWhenUsed/>
    <w:rsid w:val="00562D6B"/>
    <w:rPr>
      <w:rFonts w:ascii="Segoe UI" w:hAnsi="Segoe UI" w:cs="Segoe UI"/>
      <w:sz w:val="18"/>
      <w:szCs w:val="18"/>
    </w:rPr>
  </w:style>
  <w:style w:type="character" w:customStyle="1" w:styleId="BalloonTextChar">
    <w:name w:val="Balloon Text Char"/>
    <w:basedOn w:val="DefaultParagraphFont"/>
    <w:link w:val="BalloonText"/>
    <w:semiHidden/>
    <w:rsid w:val="00562D6B"/>
    <w:rPr>
      <w:rFonts w:ascii="Segoe UI" w:hAnsi="Segoe UI" w:cs="Segoe UI"/>
      <w:sz w:val="18"/>
      <w:szCs w:val="18"/>
      <w:lang w:eastAsia="en-GB"/>
    </w:rPr>
  </w:style>
  <w:style w:type="character" w:styleId="CommentReference">
    <w:name w:val="annotation reference"/>
    <w:basedOn w:val="DefaultParagraphFont"/>
    <w:semiHidden/>
    <w:unhideWhenUsed/>
    <w:rsid w:val="00BA6BDA"/>
    <w:rPr>
      <w:sz w:val="16"/>
      <w:szCs w:val="16"/>
    </w:rPr>
  </w:style>
  <w:style w:type="paragraph" w:styleId="CommentText">
    <w:name w:val="annotation text"/>
    <w:basedOn w:val="Normal"/>
    <w:link w:val="CommentTextChar"/>
    <w:semiHidden/>
    <w:unhideWhenUsed/>
    <w:rsid w:val="00BA6BDA"/>
    <w:rPr>
      <w:sz w:val="20"/>
      <w:szCs w:val="20"/>
    </w:rPr>
  </w:style>
  <w:style w:type="character" w:customStyle="1" w:styleId="CommentTextChar">
    <w:name w:val="Comment Text Char"/>
    <w:basedOn w:val="DefaultParagraphFont"/>
    <w:link w:val="CommentText"/>
    <w:semiHidden/>
    <w:rsid w:val="00BA6BDA"/>
    <w:rPr>
      <w:rFonts w:ascii="Arial" w:hAnsi="Arial" w:cs="Times"/>
      <w:lang w:eastAsia="en-GB"/>
    </w:rPr>
  </w:style>
  <w:style w:type="paragraph" w:styleId="CommentSubject">
    <w:name w:val="annotation subject"/>
    <w:basedOn w:val="CommentText"/>
    <w:next w:val="CommentText"/>
    <w:link w:val="CommentSubjectChar"/>
    <w:semiHidden/>
    <w:unhideWhenUsed/>
    <w:rsid w:val="00BA6BDA"/>
    <w:rPr>
      <w:b/>
      <w:bCs/>
    </w:rPr>
  </w:style>
  <w:style w:type="character" w:customStyle="1" w:styleId="CommentSubjectChar">
    <w:name w:val="Comment Subject Char"/>
    <w:basedOn w:val="CommentTextChar"/>
    <w:link w:val="CommentSubject"/>
    <w:semiHidden/>
    <w:rsid w:val="00BA6BDA"/>
    <w:rPr>
      <w:rFonts w:ascii="Arial" w:hAnsi="Arial" w:cs="Times"/>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8C218A0A</Template>
  <TotalTime>301</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Sandy Papp</cp:lastModifiedBy>
  <cp:revision>32</cp:revision>
  <cp:lastPrinted>2019-09-02T22:15:00Z</cp:lastPrinted>
  <dcterms:created xsi:type="dcterms:W3CDTF">2019-08-28T20:43:00Z</dcterms:created>
  <dcterms:modified xsi:type="dcterms:W3CDTF">2019-09-03T21:28:00Z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1070422574</vt:i4>
  </property>
  <property fmtid="{D5CDD505-2E9C-101B-9397-08002B2CF9AE}" pid="3" name="_EmailSubject">
    <vt:lpwstr>Fax and memo templates</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1070422574</vt:i4>
  </property>
  <property fmtid="{D5CDD505-2E9C-101B-9397-08002B2CF9AE}" pid="7" name="_ReviewingToolsShownOnce">
    <vt:lpwstr/>
  </property>
</Properties>
</file>