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B5F3" w14:textId="77777777" w:rsidR="007F6F56" w:rsidRPr="00750626" w:rsidRDefault="007F6F56" w:rsidP="007F6F56">
      <w:pPr>
        <w:rPr>
          <w:rFonts w:cs="Arial"/>
          <w:sz w:val="28"/>
        </w:rPr>
      </w:pPr>
    </w:p>
    <w:p w14:paraId="5D2D613F" w14:textId="77777777" w:rsidR="00FB0119" w:rsidRPr="00750626" w:rsidRDefault="00FB0119" w:rsidP="007F6F56">
      <w:pPr>
        <w:rPr>
          <w:rFonts w:cs="Arial"/>
          <w:sz w:val="28"/>
        </w:rPr>
      </w:pPr>
    </w:p>
    <w:p w14:paraId="2DFCDB9C" w14:textId="77777777" w:rsidR="007F6F56" w:rsidRPr="00750626" w:rsidRDefault="007F6F56" w:rsidP="007F6F56">
      <w:pPr>
        <w:spacing w:before="120" w:after="120"/>
        <w:rPr>
          <w:rFonts w:cs="Arial"/>
          <w:b/>
          <w:sz w:val="28"/>
        </w:rPr>
      </w:pPr>
      <w:r w:rsidRPr="00750626">
        <w:rPr>
          <w:rFonts w:cs="Arial"/>
          <w:b/>
          <w:sz w:val="28"/>
        </w:rPr>
        <w:t>Minutes</w:t>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b/>
          <w:sz w:val="28"/>
        </w:rPr>
        <w:tab/>
      </w:r>
      <w:r w:rsidRPr="00750626">
        <w:rPr>
          <w:rFonts w:cs="Arial"/>
          <w:noProof/>
          <w:sz w:val="28"/>
          <w:lang w:eastAsia="ko-KR"/>
        </w:rPr>
        <w:drawing>
          <wp:inline distT="0" distB="0" distL="0" distR="0" wp14:anchorId="31EF76EF" wp14:editId="4AB27A5A">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Pr="00750626">
        <w:rPr>
          <w:rFonts w:cs="Arial"/>
          <w:b/>
          <w:sz w:val="28"/>
        </w:rPr>
        <w:tab/>
      </w:r>
    </w:p>
    <w:p w14:paraId="5881A937" w14:textId="30726944" w:rsidR="007F6F56" w:rsidRPr="00750626" w:rsidRDefault="00F206E8" w:rsidP="007F6F56">
      <w:pPr>
        <w:spacing w:before="120" w:after="120"/>
        <w:rPr>
          <w:rFonts w:cs="Arial"/>
          <w:b/>
          <w:sz w:val="28"/>
        </w:rPr>
      </w:pPr>
      <w:r w:rsidRPr="00750626">
        <w:rPr>
          <w:rFonts w:cs="Arial"/>
          <w:b/>
          <w:sz w:val="28"/>
        </w:rPr>
        <w:t>33</w:t>
      </w:r>
      <w:r w:rsidR="00120A6F" w:rsidRPr="00750626">
        <w:rPr>
          <w:rFonts w:cs="Arial"/>
          <w:b/>
          <w:sz w:val="28"/>
          <w:vertAlign w:val="superscript"/>
        </w:rPr>
        <w:t>rd</w:t>
      </w:r>
      <w:r w:rsidR="0063283F" w:rsidRPr="00750626">
        <w:rPr>
          <w:rFonts w:cs="Arial"/>
          <w:b/>
          <w:sz w:val="28"/>
        </w:rPr>
        <w:t xml:space="preserve"> </w:t>
      </w:r>
      <w:r w:rsidR="007F6F56" w:rsidRPr="00750626">
        <w:rPr>
          <w:rFonts w:cs="Arial"/>
          <w:b/>
          <w:sz w:val="28"/>
        </w:rPr>
        <w:t>Expert Advisory Committee on Drugs meeting</w:t>
      </w:r>
    </w:p>
    <w:tbl>
      <w:tblPr>
        <w:tblStyle w:val="TableGrid"/>
        <w:tblW w:w="10050" w:type="dxa"/>
        <w:tblInd w:w="108" w:type="dxa"/>
        <w:tblBorders>
          <w:left w:val="none" w:sz="0" w:space="0" w:color="auto"/>
          <w:right w:val="none" w:sz="0" w:space="0" w:color="auto"/>
        </w:tblBorders>
        <w:tblLayout w:type="fixed"/>
        <w:tblLook w:val="01E0" w:firstRow="1" w:lastRow="1" w:firstColumn="1" w:lastColumn="1" w:noHBand="0" w:noVBand="0"/>
      </w:tblPr>
      <w:tblGrid>
        <w:gridCol w:w="1590"/>
        <w:gridCol w:w="8460"/>
      </w:tblGrid>
      <w:tr w:rsidR="007F6F56" w:rsidRPr="00750626" w14:paraId="23A27BC5" w14:textId="77777777" w:rsidTr="00AB5BE7">
        <w:trPr>
          <w:cantSplit/>
        </w:trPr>
        <w:tc>
          <w:tcPr>
            <w:tcW w:w="1590" w:type="dxa"/>
            <w:tcBorders>
              <w:top w:val="single" w:sz="12" w:space="0" w:color="auto"/>
              <w:bottom w:val="single" w:sz="2" w:space="0" w:color="auto"/>
              <w:right w:val="nil"/>
            </w:tcBorders>
          </w:tcPr>
          <w:p w14:paraId="01459001" w14:textId="77777777" w:rsidR="007F6F56" w:rsidRPr="00750626" w:rsidRDefault="007F6F56" w:rsidP="00AB5BE7">
            <w:pPr>
              <w:pStyle w:val="TableText"/>
              <w:rPr>
                <w:rFonts w:ascii="Arial" w:hAnsi="Arial" w:cs="Arial"/>
                <w:b/>
                <w:sz w:val="28"/>
              </w:rPr>
            </w:pPr>
            <w:r w:rsidRPr="00750626">
              <w:rPr>
                <w:rFonts w:ascii="Arial" w:hAnsi="Arial" w:cs="Arial"/>
                <w:b/>
                <w:sz w:val="22"/>
              </w:rPr>
              <w:t>Date:</w:t>
            </w:r>
          </w:p>
        </w:tc>
        <w:tc>
          <w:tcPr>
            <w:tcW w:w="8460" w:type="dxa"/>
            <w:tcBorders>
              <w:top w:val="single" w:sz="12" w:space="0" w:color="auto"/>
              <w:left w:val="nil"/>
              <w:bottom w:val="single" w:sz="2" w:space="0" w:color="auto"/>
              <w:right w:val="nil"/>
            </w:tcBorders>
          </w:tcPr>
          <w:p w14:paraId="64B234DA" w14:textId="7B4CFF77" w:rsidR="007F6F56" w:rsidRPr="00750626" w:rsidRDefault="007D2A47" w:rsidP="00F206E8">
            <w:pPr>
              <w:pStyle w:val="TableText"/>
              <w:rPr>
                <w:rFonts w:ascii="Arial" w:hAnsi="Arial" w:cs="Arial"/>
                <w:sz w:val="28"/>
              </w:rPr>
            </w:pPr>
            <w:r w:rsidRPr="00750626">
              <w:rPr>
                <w:rFonts w:ascii="Arial" w:hAnsi="Arial" w:cs="Arial"/>
                <w:sz w:val="22"/>
              </w:rPr>
              <w:t>Tuesday 1</w:t>
            </w:r>
            <w:r w:rsidR="00F206E8" w:rsidRPr="00750626">
              <w:rPr>
                <w:rFonts w:ascii="Arial" w:hAnsi="Arial" w:cs="Arial"/>
                <w:sz w:val="22"/>
              </w:rPr>
              <w:t>7 April 2018</w:t>
            </w:r>
          </w:p>
        </w:tc>
      </w:tr>
      <w:tr w:rsidR="007F6F56" w:rsidRPr="00750626" w14:paraId="096EECBE" w14:textId="77777777" w:rsidTr="00AB5BE7">
        <w:trPr>
          <w:cantSplit/>
        </w:trPr>
        <w:tc>
          <w:tcPr>
            <w:tcW w:w="1590" w:type="dxa"/>
            <w:tcBorders>
              <w:top w:val="single" w:sz="12" w:space="0" w:color="auto"/>
              <w:bottom w:val="single" w:sz="2" w:space="0" w:color="auto"/>
              <w:right w:val="nil"/>
            </w:tcBorders>
          </w:tcPr>
          <w:p w14:paraId="2B72FB13" w14:textId="77777777" w:rsidR="007F6F56" w:rsidRPr="00750626" w:rsidRDefault="007F6F56" w:rsidP="00AB5BE7">
            <w:pPr>
              <w:pStyle w:val="TableText"/>
              <w:rPr>
                <w:rFonts w:ascii="Arial" w:hAnsi="Arial" w:cs="Arial"/>
                <w:b/>
                <w:sz w:val="28"/>
              </w:rPr>
            </w:pPr>
            <w:r w:rsidRPr="00750626">
              <w:rPr>
                <w:rFonts w:ascii="Arial" w:hAnsi="Arial" w:cs="Arial"/>
                <w:b/>
                <w:sz w:val="22"/>
              </w:rPr>
              <w:t>Time:</w:t>
            </w:r>
          </w:p>
        </w:tc>
        <w:tc>
          <w:tcPr>
            <w:tcW w:w="8460" w:type="dxa"/>
            <w:tcBorders>
              <w:top w:val="single" w:sz="12" w:space="0" w:color="auto"/>
              <w:left w:val="nil"/>
              <w:bottom w:val="single" w:sz="2" w:space="0" w:color="auto"/>
              <w:right w:val="nil"/>
            </w:tcBorders>
          </w:tcPr>
          <w:p w14:paraId="7516DED1" w14:textId="488D27DA" w:rsidR="007F6F56" w:rsidRPr="00750626" w:rsidRDefault="00F206E8" w:rsidP="00AB5BE7">
            <w:pPr>
              <w:pStyle w:val="TableText"/>
              <w:rPr>
                <w:rFonts w:ascii="Arial" w:hAnsi="Arial" w:cs="Arial"/>
                <w:sz w:val="28"/>
              </w:rPr>
            </w:pPr>
            <w:r w:rsidRPr="00750626">
              <w:rPr>
                <w:rFonts w:ascii="Arial" w:hAnsi="Arial" w:cs="Arial"/>
                <w:sz w:val="22"/>
              </w:rPr>
              <w:t>9</w:t>
            </w:r>
            <w:r w:rsidR="007F6F56" w:rsidRPr="00750626">
              <w:rPr>
                <w:rFonts w:ascii="Arial" w:hAnsi="Arial" w:cs="Arial"/>
                <w:sz w:val="22"/>
              </w:rPr>
              <w:t>am - 3</w:t>
            </w:r>
            <w:r w:rsidRPr="00750626">
              <w:rPr>
                <w:rFonts w:ascii="Arial" w:hAnsi="Arial" w:cs="Arial"/>
                <w:sz w:val="22"/>
              </w:rPr>
              <w:t>.30</w:t>
            </w:r>
            <w:r w:rsidR="007F6F56" w:rsidRPr="00750626">
              <w:rPr>
                <w:rFonts w:ascii="Arial" w:hAnsi="Arial" w:cs="Arial"/>
                <w:sz w:val="22"/>
              </w:rPr>
              <w:t>pm</w:t>
            </w:r>
          </w:p>
        </w:tc>
      </w:tr>
      <w:tr w:rsidR="007F6F56" w:rsidRPr="00750626" w14:paraId="3F5BA777" w14:textId="77777777" w:rsidTr="00AB5BE7">
        <w:trPr>
          <w:cantSplit/>
        </w:trPr>
        <w:tc>
          <w:tcPr>
            <w:tcW w:w="1590" w:type="dxa"/>
            <w:tcBorders>
              <w:top w:val="single" w:sz="12" w:space="0" w:color="auto"/>
              <w:bottom w:val="single" w:sz="2" w:space="0" w:color="auto"/>
              <w:right w:val="nil"/>
            </w:tcBorders>
          </w:tcPr>
          <w:p w14:paraId="7F7CEF64" w14:textId="77777777" w:rsidR="007F6F56" w:rsidRPr="00750626" w:rsidRDefault="007F6F56" w:rsidP="00AB5BE7">
            <w:pPr>
              <w:pStyle w:val="TableText"/>
              <w:rPr>
                <w:rFonts w:ascii="Arial" w:hAnsi="Arial" w:cs="Arial"/>
                <w:b/>
                <w:sz w:val="28"/>
              </w:rPr>
            </w:pPr>
            <w:r w:rsidRPr="00750626">
              <w:rPr>
                <w:rFonts w:ascii="Arial" w:hAnsi="Arial" w:cs="Arial"/>
                <w:b/>
                <w:sz w:val="22"/>
              </w:rPr>
              <w:t>Location:</w:t>
            </w:r>
          </w:p>
        </w:tc>
        <w:tc>
          <w:tcPr>
            <w:tcW w:w="8460" w:type="dxa"/>
            <w:tcBorders>
              <w:top w:val="single" w:sz="12" w:space="0" w:color="auto"/>
              <w:left w:val="nil"/>
              <w:bottom w:val="single" w:sz="2" w:space="0" w:color="auto"/>
              <w:right w:val="nil"/>
            </w:tcBorders>
          </w:tcPr>
          <w:p w14:paraId="76F8BC45" w14:textId="60B2979C" w:rsidR="007F6F56" w:rsidRPr="00750626" w:rsidRDefault="00F206E8" w:rsidP="007A5876">
            <w:pPr>
              <w:pStyle w:val="TableText"/>
              <w:rPr>
                <w:rFonts w:ascii="Arial" w:hAnsi="Arial" w:cs="Arial"/>
                <w:sz w:val="28"/>
              </w:rPr>
            </w:pPr>
            <w:r w:rsidRPr="00750626">
              <w:rPr>
                <w:rFonts w:ascii="Arial" w:hAnsi="Arial" w:cs="Arial"/>
                <w:sz w:val="22"/>
              </w:rPr>
              <w:t>Eagle room, Miramar Links, 1 Stewart Duff Drive, Miramar, Wellington</w:t>
            </w:r>
          </w:p>
        </w:tc>
      </w:tr>
      <w:tr w:rsidR="007F6F56" w:rsidRPr="00750626" w14:paraId="1F5C4932" w14:textId="77777777" w:rsidTr="00AB5BE7">
        <w:trPr>
          <w:cantSplit/>
        </w:trPr>
        <w:tc>
          <w:tcPr>
            <w:tcW w:w="1590" w:type="dxa"/>
            <w:tcBorders>
              <w:top w:val="single" w:sz="12" w:space="0" w:color="auto"/>
              <w:bottom w:val="single" w:sz="2" w:space="0" w:color="auto"/>
              <w:right w:val="nil"/>
            </w:tcBorders>
          </w:tcPr>
          <w:p w14:paraId="3A345892" w14:textId="77777777" w:rsidR="007F6F56" w:rsidRPr="00750626" w:rsidRDefault="007F6F56" w:rsidP="00AB5BE7">
            <w:pPr>
              <w:pStyle w:val="TableText"/>
              <w:rPr>
                <w:rFonts w:ascii="Arial" w:hAnsi="Arial" w:cs="Arial"/>
                <w:b/>
                <w:sz w:val="28"/>
              </w:rPr>
            </w:pPr>
            <w:r w:rsidRPr="00750626">
              <w:rPr>
                <w:rFonts w:ascii="Arial" w:hAnsi="Arial" w:cs="Arial"/>
                <w:b/>
                <w:sz w:val="22"/>
              </w:rPr>
              <w:t>Chair:</w:t>
            </w:r>
          </w:p>
        </w:tc>
        <w:tc>
          <w:tcPr>
            <w:tcW w:w="8460" w:type="dxa"/>
            <w:tcBorders>
              <w:top w:val="single" w:sz="12" w:space="0" w:color="auto"/>
              <w:left w:val="nil"/>
              <w:bottom w:val="single" w:sz="2" w:space="0" w:color="auto"/>
              <w:right w:val="nil"/>
            </w:tcBorders>
          </w:tcPr>
          <w:p w14:paraId="0536B8CD" w14:textId="476DCAB1" w:rsidR="007F6F56" w:rsidRPr="00750626" w:rsidRDefault="00522ADF" w:rsidP="00F206E8">
            <w:pPr>
              <w:pStyle w:val="TableText"/>
              <w:rPr>
                <w:rFonts w:ascii="Arial" w:hAnsi="Arial" w:cs="Arial"/>
                <w:sz w:val="28"/>
              </w:rPr>
            </w:pPr>
            <w:r w:rsidRPr="00750626">
              <w:rPr>
                <w:rFonts w:ascii="Arial" w:hAnsi="Arial" w:cs="Arial"/>
                <w:sz w:val="22"/>
              </w:rPr>
              <w:t>Dr</w:t>
            </w:r>
            <w:r w:rsidR="00383E84" w:rsidRPr="00750626">
              <w:rPr>
                <w:rFonts w:ascii="Arial" w:hAnsi="Arial" w:cs="Arial"/>
                <w:sz w:val="22"/>
              </w:rPr>
              <w:t xml:space="preserve"> </w:t>
            </w:r>
            <w:r w:rsidR="00F206E8" w:rsidRPr="00750626">
              <w:rPr>
                <w:rFonts w:ascii="Arial" w:hAnsi="Arial" w:cs="Arial"/>
                <w:sz w:val="22"/>
              </w:rPr>
              <w:t>John Ashton</w:t>
            </w:r>
          </w:p>
        </w:tc>
      </w:tr>
      <w:tr w:rsidR="007F6F56" w:rsidRPr="00750626" w14:paraId="55CD9C6B" w14:textId="77777777" w:rsidTr="00AB5BE7">
        <w:trPr>
          <w:cantSplit/>
        </w:trPr>
        <w:tc>
          <w:tcPr>
            <w:tcW w:w="1590" w:type="dxa"/>
            <w:tcBorders>
              <w:top w:val="single" w:sz="12" w:space="0" w:color="auto"/>
              <w:bottom w:val="single" w:sz="2" w:space="0" w:color="auto"/>
              <w:right w:val="nil"/>
            </w:tcBorders>
          </w:tcPr>
          <w:p w14:paraId="3270C9E6" w14:textId="77777777" w:rsidR="007F6F56" w:rsidRPr="00750626" w:rsidRDefault="007F6F56" w:rsidP="00AB5BE7">
            <w:pPr>
              <w:pStyle w:val="TableText"/>
              <w:ind w:right="-86"/>
              <w:rPr>
                <w:rFonts w:ascii="Arial" w:hAnsi="Arial" w:cs="Arial"/>
                <w:b/>
                <w:sz w:val="28"/>
              </w:rPr>
            </w:pPr>
            <w:r w:rsidRPr="00750626">
              <w:rPr>
                <w:rFonts w:ascii="Arial" w:hAnsi="Arial" w:cs="Arial"/>
                <w:b/>
                <w:sz w:val="22"/>
              </w:rPr>
              <w:t>Attende</w:t>
            </w:r>
            <w:bookmarkStart w:id="0" w:name="_GoBack"/>
            <w:bookmarkEnd w:id="0"/>
            <w:r w:rsidRPr="00750626">
              <w:rPr>
                <w:rFonts w:ascii="Arial" w:hAnsi="Arial" w:cs="Arial"/>
                <w:b/>
                <w:sz w:val="22"/>
              </w:rPr>
              <w:t>es:</w:t>
            </w:r>
          </w:p>
        </w:tc>
        <w:tc>
          <w:tcPr>
            <w:tcW w:w="8460" w:type="dxa"/>
            <w:tcBorders>
              <w:top w:val="single" w:sz="12" w:space="0" w:color="auto"/>
              <w:left w:val="nil"/>
              <w:bottom w:val="single" w:sz="2" w:space="0" w:color="auto"/>
              <w:right w:val="nil"/>
            </w:tcBorders>
          </w:tcPr>
          <w:p w14:paraId="7011E7A4" w14:textId="040FDA41" w:rsidR="00F206E8" w:rsidRPr="00750626" w:rsidRDefault="00383E84" w:rsidP="00F206E8">
            <w:pPr>
              <w:pStyle w:val="TableText"/>
              <w:rPr>
                <w:rFonts w:ascii="Arial" w:hAnsi="Arial" w:cs="Arial"/>
                <w:sz w:val="28"/>
              </w:rPr>
            </w:pPr>
            <w:r w:rsidRPr="00750626">
              <w:rPr>
                <w:rFonts w:ascii="Arial" w:hAnsi="Arial" w:cs="Arial"/>
                <w:sz w:val="22"/>
              </w:rPr>
              <w:t xml:space="preserve">Committee </w:t>
            </w:r>
            <w:r w:rsidR="002313C2" w:rsidRPr="00750626">
              <w:rPr>
                <w:rFonts w:ascii="Arial" w:hAnsi="Arial" w:cs="Arial"/>
                <w:sz w:val="22"/>
              </w:rPr>
              <w:t>–</w:t>
            </w:r>
            <w:r w:rsidR="00100613" w:rsidRPr="00750626">
              <w:rPr>
                <w:rFonts w:ascii="Arial" w:hAnsi="Arial" w:cs="Arial"/>
                <w:sz w:val="22"/>
              </w:rPr>
              <w:t xml:space="preserve"> </w:t>
            </w:r>
            <w:r w:rsidR="00AD486A" w:rsidRPr="00750626">
              <w:rPr>
                <w:rFonts w:ascii="Arial" w:hAnsi="Arial" w:cs="Arial"/>
                <w:sz w:val="22"/>
              </w:rPr>
              <w:t>Detective Superintendent Greg Williams</w:t>
            </w:r>
            <w:r w:rsidRPr="00750626">
              <w:rPr>
                <w:rFonts w:ascii="Arial" w:hAnsi="Arial" w:cs="Arial"/>
                <w:sz w:val="22"/>
              </w:rPr>
              <w:t xml:space="preserve">, </w:t>
            </w:r>
            <w:r w:rsidR="00952610" w:rsidRPr="00750626">
              <w:rPr>
                <w:rFonts w:ascii="Arial" w:hAnsi="Arial" w:cs="Arial"/>
                <w:sz w:val="22"/>
              </w:rPr>
              <w:t xml:space="preserve">Ms </w:t>
            </w:r>
            <w:r w:rsidRPr="00750626">
              <w:rPr>
                <w:rFonts w:ascii="Arial" w:hAnsi="Arial" w:cs="Arial"/>
                <w:sz w:val="22"/>
              </w:rPr>
              <w:t>Lynette Knox</w:t>
            </w:r>
            <w:r w:rsidR="007551F6" w:rsidRPr="00750626">
              <w:rPr>
                <w:rFonts w:ascii="Arial" w:hAnsi="Arial" w:cs="Arial"/>
                <w:sz w:val="22"/>
              </w:rPr>
              <w:t xml:space="preserve">, </w:t>
            </w:r>
            <w:r w:rsidR="00952610" w:rsidRPr="00750626">
              <w:rPr>
                <w:rFonts w:ascii="Arial" w:hAnsi="Arial" w:cs="Arial"/>
                <w:sz w:val="22"/>
              </w:rPr>
              <w:t xml:space="preserve">Mr </w:t>
            </w:r>
            <w:r w:rsidR="007551F6" w:rsidRPr="00750626">
              <w:rPr>
                <w:rFonts w:ascii="Arial" w:hAnsi="Arial" w:cs="Arial"/>
                <w:sz w:val="22"/>
              </w:rPr>
              <w:t>Jamie</w:t>
            </w:r>
            <w:r w:rsidR="00014FCA" w:rsidRPr="00750626">
              <w:rPr>
                <w:rFonts w:ascii="Arial" w:hAnsi="Arial" w:cs="Arial"/>
                <w:sz w:val="22"/>
              </w:rPr>
              <w:t xml:space="preserve"> </w:t>
            </w:r>
            <w:r w:rsidR="007A5876" w:rsidRPr="00750626">
              <w:rPr>
                <w:rFonts w:ascii="Arial" w:hAnsi="Arial" w:cs="Arial"/>
                <w:sz w:val="22"/>
              </w:rPr>
              <w:t>Bamford</w:t>
            </w:r>
            <w:r w:rsidR="00C20DAA" w:rsidRPr="00750626">
              <w:rPr>
                <w:rFonts w:ascii="Arial" w:hAnsi="Arial" w:cs="Arial"/>
                <w:sz w:val="22"/>
              </w:rPr>
              <w:t>, Dr Vicki Macfarlane</w:t>
            </w:r>
            <w:r w:rsidR="00F206E8" w:rsidRPr="00750626">
              <w:rPr>
                <w:rFonts w:ascii="Arial" w:hAnsi="Arial" w:cs="Arial"/>
                <w:sz w:val="22"/>
              </w:rPr>
              <w:t>, Dr Jaki Horn,</w:t>
            </w:r>
            <w:r w:rsidR="00014FCA" w:rsidRPr="00750626">
              <w:rPr>
                <w:rFonts w:ascii="Arial" w:hAnsi="Arial" w:cs="Arial"/>
                <w:sz w:val="22"/>
              </w:rPr>
              <w:t xml:space="preserve"> Dr</w:t>
            </w:r>
            <w:r w:rsidR="00F206E8" w:rsidRPr="00750626">
              <w:rPr>
                <w:rFonts w:ascii="Arial" w:hAnsi="Arial" w:cs="Arial"/>
                <w:sz w:val="22"/>
              </w:rPr>
              <w:t xml:space="preserve"> Paul Fitzmaurice, </w:t>
            </w:r>
            <w:r w:rsidR="00014FCA" w:rsidRPr="00750626">
              <w:rPr>
                <w:rFonts w:ascii="Arial" w:hAnsi="Arial" w:cs="Arial"/>
                <w:sz w:val="22"/>
              </w:rPr>
              <w:t xml:space="preserve">Dr </w:t>
            </w:r>
            <w:r w:rsidR="00F206E8" w:rsidRPr="00750626">
              <w:rPr>
                <w:rFonts w:ascii="Arial" w:hAnsi="Arial" w:cs="Arial"/>
                <w:sz w:val="22"/>
              </w:rPr>
              <w:t xml:space="preserve">Patrick O'Connor, </w:t>
            </w:r>
            <w:r w:rsidR="00952610" w:rsidRPr="00750626">
              <w:rPr>
                <w:rFonts w:ascii="Arial" w:hAnsi="Arial" w:cs="Arial"/>
                <w:sz w:val="22"/>
              </w:rPr>
              <w:t xml:space="preserve">Ms </w:t>
            </w:r>
            <w:r w:rsidR="00F206E8" w:rsidRPr="00750626">
              <w:rPr>
                <w:rFonts w:ascii="Arial" w:hAnsi="Arial" w:cs="Arial"/>
                <w:sz w:val="22"/>
              </w:rPr>
              <w:t xml:space="preserve">Erin </w:t>
            </w:r>
            <w:proofErr w:type="spellStart"/>
            <w:r w:rsidR="00F206E8" w:rsidRPr="00750626">
              <w:rPr>
                <w:rFonts w:ascii="Arial" w:hAnsi="Arial" w:cs="Arial"/>
                <w:sz w:val="22"/>
              </w:rPr>
              <w:t>Lubowicz</w:t>
            </w:r>
            <w:proofErr w:type="spellEnd"/>
            <w:r w:rsidR="00F206E8" w:rsidRPr="00750626">
              <w:rPr>
                <w:rFonts w:ascii="Arial" w:hAnsi="Arial" w:cs="Arial"/>
                <w:sz w:val="22"/>
              </w:rPr>
              <w:t>,</w:t>
            </w:r>
            <w:r w:rsidR="00014FCA" w:rsidRPr="00750626">
              <w:rPr>
                <w:rFonts w:ascii="Arial" w:hAnsi="Arial" w:cs="Arial"/>
                <w:sz w:val="22"/>
              </w:rPr>
              <w:t xml:space="preserve"> Dr </w:t>
            </w:r>
            <w:r w:rsidR="00F206E8" w:rsidRPr="00750626">
              <w:rPr>
                <w:rFonts w:ascii="Arial" w:hAnsi="Arial" w:cs="Arial"/>
                <w:sz w:val="22"/>
              </w:rPr>
              <w:t xml:space="preserve">Richard </w:t>
            </w:r>
            <w:proofErr w:type="spellStart"/>
            <w:r w:rsidR="00F206E8" w:rsidRPr="00750626">
              <w:rPr>
                <w:rFonts w:ascii="Arial" w:hAnsi="Arial" w:cs="Arial"/>
                <w:sz w:val="22"/>
              </w:rPr>
              <w:t>Jaine</w:t>
            </w:r>
            <w:proofErr w:type="spellEnd"/>
          </w:p>
          <w:p w14:paraId="69D970E9" w14:textId="79F068E6" w:rsidR="007F6F56" w:rsidRPr="00750626" w:rsidRDefault="00383E84" w:rsidP="00F206E8">
            <w:pPr>
              <w:pStyle w:val="TableText"/>
              <w:rPr>
                <w:rFonts w:ascii="Arial" w:hAnsi="Arial" w:cs="Arial"/>
                <w:sz w:val="28"/>
              </w:rPr>
            </w:pPr>
            <w:r w:rsidRPr="00750626">
              <w:rPr>
                <w:rFonts w:ascii="Arial" w:hAnsi="Arial" w:cs="Arial"/>
                <w:sz w:val="22"/>
              </w:rPr>
              <w:t xml:space="preserve">Secretariat </w:t>
            </w:r>
            <w:r w:rsidR="007A5876" w:rsidRPr="00750626">
              <w:rPr>
                <w:rFonts w:ascii="Arial" w:hAnsi="Arial" w:cs="Arial"/>
                <w:sz w:val="22"/>
              </w:rPr>
              <w:t>–</w:t>
            </w:r>
            <w:r w:rsidR="00F206E8" w:rsidRPr="00750626">
              <w:rPr>
                <w:rFonts w:ascii="Arial" w:hAnsi="Arial" w:cs="Arial"/>
                <w:sz w:val="22"/>
              </w:rPr>
              <w:t xml:space="preserve">Andrea </w:t>
            </w:r>
            <w:proofErr w:type="spellStart"/>
            <w:r w:rsidR="00F206E8" w:rsidRPr="00750626">
              <w:rPr>
                <w:rFonts w:ascii="Arial" w:hAnsi="Arial" w:cs="Arial"/>
                <w:sz w:val="22"/>
              </w:rPr>
              <w:t>Eng</w:t>
            </w:r>
            <w:proofErr w:type="spellEnd"/>
            <w:r w:rsidR="00F206E8" w:rsidRPr="00750626">
              <w:rPr>
                <w:rFonts w:ascii="Arial" w:hAnsi="Arial" w:cs="Arial"/>
                <w:sz w:val="22"/>
              </w:rPr>
              <w:t>, Valerie Mills</w:t>
            </w:r>
            <w:r w:rsidR="007A5876" w:rsidRPr="00750626">
              <w:rPr>
                <w:rFonts w:ascii="Arial" w:hAnsi="Arial" w:cs="Arial"/>
                <w:sz w:val="22"/>
              </w:rPr>
              <w:t xml:space="preserve">, </w:t>
            </w:r>
            <w:proofErr w:type="spellStart"/>
            <w:r w:rsidR="007A5876" w:rsidRPr="00750626">
              <w:rPr>
                <w:rFonts w:ascii="Arial" w:hAnsi="Arial" w:cs="Arial"/>
                <w:sz w:val="22"/>
              </w:rPr>
              <w:t>Vidhiya</w:t>
            </w:r>
            <w:proofErr w:type="spellEnd"/>
            <w:r w:rsidR="007A5876" w:rsidRPr="00750626">
              <w:rPr>
                <w:rFonts w:ascii="Arial" w:hAnsi="Arial" w:cs="Arial"/>
                <w:sz w:val="22"/>
              </w:rPr>
              <w:t xml:space="preserve"> </w:t>
            </w:r>
            <w:proofErr w:type="spellStart"/>
            <w:r w:rsidR="007A5876" w:rsidRPr="00750626">
              <w:rPr>
                <w:rFonts w:ascii="Arial" w:hAnsi="Arial" w:cs="Arial"/>
                <w:sz w:val="22"/>
              </w:rPr>
              <w:t>Damodaran</w:t>
            </w:r>
            <w:proofErr w:type="spellEnd"/>
            <w:r w:rsidR="007A5876" w:rsidRPr="00750626">
              <w:rPr>
                <w:rFonts w:ascii="Arial" w:hAnsi="Arial" w:cs="Arial"/>
                <w:sz w:val="22"/>
              </w:rPr>
              <w:t xml:space="preserve">, </w:t>
            </w:r>
            <w:r w:rsidR="007D2A47" w:rsidRPr="00750626">
              <w:rPr>
                <w:rFonts w:ascii="Arial" w:hAnsi="Arial" w:cs="Arial"/>
                <w:sz w:val="22"/>
              </w:rPr>
              <w:t>Cherish Low</w:t>
            </w:r>
            <w:r w:rsidR="00F206E8" w:rsidRPr="00750626">
              <w:rPr>
                <w:rFonts w:ascii="Arial" w:hAnsi="Arial" w:cs="Arial"/>
                <w:sz w:val="22"/>
              </w:rPr>
              <w:t>, Saerom Shin (minute taker)</w:t>
            </w:r>
          </w:p>
        </w:tc>
      </w:tr>
      <w:tr w:rsidR="007F6F56" w:rsidRPr="00750626" w14:paraId="36485E19" w14:textId="77777777" w:rsidTr="00AB5BE7">
        <w:trPr>
          <w:cantSplit/>
        </w:trPr>
        <w:tc>
          <w:tcPr>
            <w:tcW w:w="1590" w:type="dxa"/>
            <w:tcBorders>
              <w:top w:val="single" w:sz="12" w:space="0" w:color="auto"/>
              <w:bottom w:val="single" w:sz="2" w:space="0" w:color="auto"/>
              <w:right w:val="nil"/>
            </w:tcBorders>
          </w:tcPr>
          <w:p w14:paraId="4BF6A5CA" w14:textId="77777777" w:rsidR="007F6F56" w:rsidRPr="00750626" w:rsidRDefault="007F6F56" w:rsidP="00AB5BE7">
            <w:pPr>
              <w:pStyle w:val="TableText"/>
              <w:rPr>
                <w:rFonts w:ascii="Arial" w:hAnsi="Arial" w:cs="Arial"/>
                <w:b/>
                <w:sz w:val="28"/>
              </w:rPr>
            </w:pPr>
            <w:r w:rsidRPr="00750626">
              <w:rPr>
                <w:rFonts w:ascii="Arial" w:hAnsi="Arial" w:cs="Arial"/>
                <w:b/>
                <w:sz w:val="22"/>
              </w:rPr>
              <w:t>Apologies:</w:t>
            </w:r>
          </w:p>
        </w:tc>
        <w:tc>
          <w:tcPr>
            <w:tcW w:w="8460" w:type="dxa"/>
            <w:tcBorders>
              <w:top w:val="single" w:sz="12" w:space="0" w:color="auto"/>
              <w:left w:val="nil"/>
              <w:bottom w:val="single" w:sz="2" w:space="0" w:color="auto"/>
              <w:right w:val="nil"/>
            </w:tcBorders>
          </w:tcPr>
          <w:p w14:paraId="504305F5" w14:textId="00878650" w:rsidR="007F6F56" w:rsidRPr="00750626" w:rsidRDefault="007F6F56" w:rsidP="00F206E8">
            <w:pPr>
              <w:pStyle w:val="TableText"/>
              <w:rPr>
                <w:rFonts w:ascii="Arial" w:hAnsi="Arial" w:cs="Arial"/>
                <w:sz w:val="28"/>
              </w:rPr>
            </w:pPr>
          </w:p>
        </w:tc>
      </w:tr>
    </w:tbl>
    <w:p w14:paraId="114EB39C" w14:textId="77777777" w:rsidR="007F6F56" w:rsidRPr="00750626" w:rsidRDefault="007F6F56" w:rsidP="007F6F56">
      <w:pPr>
        <w:rPr>
          <w:rFonts w:cs="Arial"/>
          <w:sz w:val="28"/>
        </w:rPr>
      </w:pPr>
    </w:p>
    <w:tbl>
      <w:tblPr>
        <w:tblStyle w:val="TableGrid"/>
        <w:tblW w:w="0" w:type="auto"/>
        <w:tblInd w:w="108" w:type="dxa"/>
        <w:tblLayout w:type="fixed"/>
        <w:tblLook w:val="01E0" w:firstRow="1" w:lastRow="1" w:firstColumn="1" w:lastColumn="1" w:noHBand="0" w:noVBand="0"/>
      </w:tblPr>
      <w:tblGrid>
        <w:gridCol w:w="880"/>
        <w:gridCol w:w="8925"/>
      </w:tblGrid>
      <w:tr w:rsidR="007F6F56" w:rsidRPr="00750626" w14:paraId="2C600798" w14:textId="77777777" w:rsidTr="00C73693">
        <w:tc>
          <w:tcPr>
            <w:tcW w:w="880" w:type="dxa"/>
          </w:tcPr>
          <w:p w14:paraId="134D28F0" w14:textId="77777777" w:rsidR="007F6F56" w:rsidRPr="00750626" w:rsidRDefault="007F6F56" w:rsidP="00AB5BE7">
            <w:pPr>
              <w:tabs>
                <w:tab w:val="right" w:leader="underscore" w:pos="5670"/>
                <w:tab w:val="left" w:pos="6237"/>
              </w:tabs>
              <w:rPr>
                <w:rFonts w:ascii="Arial" w:hAnsi="Arial" w:cs="Arial"/>
                <w:b/>
                <w:sz w:val="28"/>
              </w:rPr>
            </w:pPr>
            <w:r w:rsidRPr="00750626">
              <w:rPr>
                <w:rFonts w:ascii="Arial" w:hAnsi="Arial" w:cs="Arial"/>
                <w:b/>
                <w:sz w:val="22"/>
              </w:rPr>
              <w:t>Item</w:t>
            </w:r>
          </w:p>
        </w:tc>
        <w:tc>
          <w:tcPr>
            <w:tcW w:w="8925" w:type="dxa"/>
          </w:tcPr>
          <w:p w14:paraId="12283AAF" w14:textId="77777777" w:rsidR="007F6F56" w:rsidRPr="00750626" w:rsidRDefault="007F6F56" w:rsidP="00AB5BE7">
            <w:pPr>
              <w:tabs>
                <w:tab w:val="right" w:leader="underscore" w:pos="5670"/>
                <w:tab w:val="left" w:pos="6237"/>
              </w:tabs>
              <w:rPr>
                <w:rFonts w:ascii="Arial" w:hAnsi="Arial" w:cs="Arial"/>
                <w:b/>
                <w:sz w:val="28"/>
              </w:rPr>
            </w:pPr>
            <w:r w:rsidRPr="00750626">
              <w:rPr>
                <w:rFonts w:ascii="Arial" w:hAnsi="Arial" w:cs="Arial"/>
                <w:b/>
                <w:sz w:val="22"/>
              </w:rPr>
              <w:t>Notes</w:t>
            </w:r>
          </w:p>
        </w:tc>
      </w:tr>
      <w:tr w:rsidR="007F6F56" w:rsidRPr="00750626" w14:paraId="7F02160A" w14:textId="77777777" w:rsidTr="00C73693">
        <w:tc>
          <w:tcPr>
            <w:tcW w:w="880" w:type="dxa"/>
          </w:tcPr>
          <w:p w14:paraId="7B1018A6" w14:textId="77777777" w:rsidR="007F6F56" w:rsidRPr="00750626" w:rsidRDefault="007F6F56" w:rsidP="00AB5BE7">
            <w:pPr>
              <w:tabs>
                <w:tab w:val="right" w:leader="underscore" w:pos="5670"/>
                <w:tab w:val="left" w:pos="6237"/>
              </w:tabs>
              <w:rPr>
                <w:rFonts w:ascii="Arial" w:hAnsi="Arial" w:cs="Arial"/>
                <w:sz w:val="28"/>
              </w:rPr>
            </w:pPr>
            <w:r w:rsidRPr="00750626">
              <w:rPr>
                <w:rFonts w:ascii="Arial" w:hAnsi="Arial" w:cs="Arial"/>
                <w:sz w:val="22"/>
              </w:rPr>
              <w:t>1</w:t>
            </w:r>
          </w:p>
        </w:tc>
        <w:tc>
          <w:tcPr>
            <w:tcW w:w="8925" w:type="dxa"/>
          </w:tcPr>
          <w:p w14:paraId="338E8E9E" w14:textId="1387BC6D" w:rsidR="007F6F56" w:rsidRPr="00750626" w:rsidRDefault="005247A1" w:rsidP="00383E84">
            <w:pPr>
              <w:pStyle w:val="ListParagraph"/>
              <w:ind w:left="0"/>
              <w:rPr>
                <w:rFonts w:ascii="Arial" w:hAnsi="Arial" w:cs="Arial"/>
                <w:b/>
                <w:sz w:val="28"/>
              </w:rPr>
            </w:pPr>
            <w:r w:rsidRPr="00750626">
              <w:rPr>
                <w:rFonts w:ascii="Arial" w:hAnsi="Arial" w:cs="Arial"/>
                <w:b/>
                <w:sz w:val="22"/>
              </w:rPr>
              <w:t>Morning tea on arrival</w:t>
            </w:r>
            <w:r w:rsidR="00014FCA" w:rsidRPr="00750626">
              <w:rPr>
                <w:rFonts w:ascii="Arial" w:hAnsi="Arial" w:cs="Arial"/>
                <w:b/>
                <w:sz w:val="22"/>
              </w:rPr>
              <w:t xml:space="preserve"> 8</w:t>
            </w:r>
            <w:r w:rsidR="007551F6" w:rsidRPr="00750626">
              <w:rPr>
                <w:rFonts w:ascii="Arial" w:hAnsi="Arial" w:cs="Arial"/>
                <w:b/>
                <w:sz w:val="22"/>
              </w:rPr>
              <w:t>.45am – 9</w:t>
            </w:r>
            <w:r w:rsidR="00ED46CB" w:rsidRPr="00750626">
              <w:rPr>
                <w:rFonts w:ascii="Arial" w:hAnsi="Arial" w:cs="Arial"/>
                <w:b/>
                <w:sz w:val="22"/>
              </w:rPr>
              <w:t>am</w:t>
            </w:r>
          </w:p>
        </w:tc>
      </w:tr>
      <w:tr w:rsidR="005247A1" w:rsidRPr="00750626" w14:paraId="5B9A3F68" w14:textId="77777777" w:rsidTr="00C73693">
        <w:tc>
          <w:tcPr>
            <w:tcW w:w="880" w:type="dxa"/>
          </w:tcPr>
          <w:p w14:paraId="0E148B40" w14:textId="77777777" w:rsidR="005247A1" w:rsidRPr="00750626" w:rsidRDefault="005247A1" w:rsidP="00AB5BE7">
            <w:pPr>
              <w:tabs>
                <w:tab w:val="right" w:leader="underscore" w:pos="5670"/>
                <w:tab w:val="left" w:pos="6237"/>
              </w:tabs>
              <w:rPr>
                <w:rFonts w:ascii="Arial" w:hAnsi="Arial" w:cs="Arial"/>
                <w:sz w:val="28"/>
              </w:rPr>
            </w:pPr>
            <w:r w:rsidRPr="00750626">
              <w:rPr>
                <w:rFonts w:ascii="Arial" w:hAnsi="Arial" w:cs="Arial"/>
                <w:sz w:val="22"/>
              </w:rPr>
              <w:t>2</w:t>
            </w:r>
          </w:p>
        </w:tc>
        <w:tc>
          <w:tcPr>
            <w:tcW w:w="8925" w:type="dxa"/>
          </w:tcPr>
          <w:p w14:paraId="452ED56A" w14:textId="01F842A8" w:rsidR="005247A1" w:rsidRPr="00750626" w:rsidRDefault="005247A1" w:rsidP="00AB5BE7">
            <w:pPr>
              <w:rPr>
                <w:rFonts w:ascii="Arial" w:hAnsi="Arial" w:cs="Arial"/>
                <w:b/>
                <w:sz w:val="28"/>
              </w:rPr>
            </w:pPr>
            <w:r w:rsidRPr="00750626">
              <w:rPr>
                <w:rFonts w:ascii="Arial" w:hAnsi="Arial" w:cs="Arial"/>
                <w:b/>
                <w:sz w:val="22"/>
              </w:rPr>
              <w:t xml:space="preserve">Welcome, </w:t>
            </w:r>
            <w:r w:rsidR="000A3ED2" w:rsidRPr="00750626">
              <w:rPr>
                <w:rFonts w:ascii="Arial" w:hAnsi="Arial" w:cs="Arial"/>
                <w:b/>
                <w:sz w:val="22"/>
              </w:rPr>
              <w:t xml:space="preserve">introductions </w:t>
            </w:r>
            <w:r w:rsidRPr="00750626">
              <w:rPr>
                <w:rFonts w:ascii="Arial" w:hAnsi="Arial" w:cs="Arial"/>
                <w:b/>
                <w:sz w:val="22"/>
              </w:rPr>
              <w:t>and apologies</w:t>
            </w:r>
          </w:p>
          <w:p w14:paraId="30BE2212" w14:textId="77777777" w:rsidR="00D373EB" w:rsidRPr="00750626" w:rsidRDefault="00D373EB" w:rsidP="007A5876">
            <w:pPr>
              <w:rPr>
                <w:rFonts w:ascii="Arial" w:hAnsi="Arial" w:cs="Arial"/>
                <w:sz w:val="28"/>
              </w:rPr>
            </w:pPr>
            <w:r w:rsidRPr="00750626">
              <w:rPr>
                <w:rFonts w:ascii="Arial" w:hAnsi="Arial" w:cs="Arial"/>
                <w:sz w:val="22"/>
              </w:rPr>
              <w:t xml:space="preserve">The Chair welcomed everyone to the meeting and </w:t>
            </w:r>
            <w:r w:rsidR="00E50DA6" w:rsidRPr="00750626">
              <w:rPr>
                <w:rFonts w:ascii="Arial" w:hAnsi="Arial" w:cs="Arial"/>
                <w:sz w:val="22"/>
              </w:rPr>
              <w:t>i</w:t>
            </w:r>
            <w:r w:rsidRPr="00750626">
              <w:rPr>
                <w:rFonts w:ascii="Arial" w:hAnsi="Arial" w:cs="Arial"/>
                <w:sz w:val="22"/>
              </w:rPr>
              <w:t>ntroductions were given for all attendees.</w:t>
            </w:r>
          </w:p>
          <w:p w14:paraId="6F3490BB" w14:textId="77777777" w:rsidR="00952610" w:rsidRPr="00750626" w:rsidRDefault="00952610" w:rsidP="007A5876">
            <w:pPr>
              <w:rPr>
                <w:rFonts w:ascii="Arial" w:hAnsi="Arial" w:cs="Arial"/>
                <w:sz w:val="28"/>
              </w:rPr>
            </w:pPr>
          </w:p>
          <w:p w14:paraId="7792F3A7" w14:textId="33978343" w:rsidR="007A5876" w:rsidRPr="00750626" w:rsidRDefault="008768FC" w:rsidP="003E0BD8">
            <w:pPr>
              <w:rPr>
                <w:rFonts w:ascii="Arial" w:hAnsi="Arial" w:cs="Arial"/>
                <w:sz w:val="28"/>
              </w:rPr>
            </w:pPr>
            <w:r w:rsidRPr="00750626">
              <w:rPr>
                <w:rFonts w:ascii="Arial" w:hAnsi="Arial" w:cs="Arial"/>
                <w:sz w:val="22"/>
              </w:rPr>
              <w:t>No apologies were received.</w:t>
            </w:r>
          </w:p>
        </w:tc>
      </w:tr>
      <w:tr w:rsidR="005247A1" w:rsidRPr="00750626" w14:paraId="04C4D40F" w14:textId="77777777" w:rsidTr="00C73693">
        <w:tc>
          <w:tcPr>
            <w:tcW w:w="880" w:type="dxa"/>
          </w:tcPr>
          <w:p w14:paraId="477F6ECB" w14:textId="71462CF9" w:rsidR="005247A1" w:rsidRPr="00750626" w:rsidRDefault="005247A1" w:rsidP="00AB5BE7">
            <w:pPr>
              <w:tabs>
                <w:tab w:val="right" w:leader="underscore" w:pos="5670"/>
                <w:tab w:val="left" w:pos="6237"/>
              </w:tabs>
              <w:rPr>
                <w:rFonts w:ascii="Arial" w:hAnsi="Arial" w:cs="Arial"/>
                <w:sz w:val="28"/>
              </w:rPr>
            </w:pPr>
            <w:r w:rsidRPr="00750626">
              <w:rPr>
                <w:rFonts w:ascii="Arial" w:hAnsi="Arial" w:cs="Arial"/>
                <w:sz w:val="22"/>
              </w:rPr>
              <w:t>3</w:t>
            </w:r>
          </w:p>
        </w:tc>
        <w:tc>
          <w:tcPr>
            <w:tcW w:w="8925" w:type="dxa"/>
          </w:tcPr>
          <w:p w14:paraId="7ECA3ECE" w14:textId="77777777" w:rsidR="005247A1" w:rsidRPr="00750626" w:rsidRDefault="005247A1" w:rsidP="00AB5BE7">
            <w:pPr>
              <w:rPr>
                <w:rFonts w:ascii="Arial" w:hAnsi="Arial" w:cs="Arial"/>
                <w:b/>
                <w:sz w:val="28"/>
              </w:rPr>
            </w:pPr>
            <w:r w:rsidRPr="00750626">
              <w:rPr>
                <w:rFonts w:ascii="Arial" w:hAnsi="Arial" w:cs="Arial"/>
                <w:b/>
                <w:sz w:val="22"/>
              </w:rPr>
              <w:t>Conflicts of interest</w:t>
            </w:r>
          </w:p>
          <w:p w14:paraId="5A72E4EA" w14:textId="5F40DCEA" w:rsidR="003E0BD8" w:rsidRPr="00750626" w:rsidRDefault="004A7794" w:rsidP="003E0BD8">
            <w:pPr>
              <w:rPr>
                <w:rFonts w:ascii="Arial" w:hAnsi="Arial" w:cs="Arial"/>
                <w:sz w:val="28"/>
              </w:rPr>
            </w:pPr>
            <w:r w:rsidRPr="00750626">
              <w:rPr>
                <w:rFonts w:ascii="Arial" w:hAnsi="Arial" w:cs="Arial"/>
                <w:sz w:val="22"/>
              </w:rPr>
              <w:t>No conflicts of interest</w:t>
            </w:r>
            <w:r w:rsidR="009B2B08" w:rsidRPr="00750626">
              <w:rPr>
                <w:rFonts w:ascii="Arial" w:hAnsi="Arial" w:cs="Arial"/>
                <w:sz w:val="22"/>
              </w:rPr>
              <w:t xml:space="preserve"> were declared</w:t>
            </w:r>
            <w:r w:rsidR="003E0BD8" w:rsidRPr="00750626">
              <w:rPr>
                <w:rFonts w:ascii="Arial" w:hAnsi="Arial" w:cs="Arial"/>
                <w:sz w:val="22"/>
              </w:rPr>
              <w:t>.</w:t>
            </w:r>
          </w:p>
        </w:tc>
      </w:tr>
      <w:tr w:rsidR="005247A1" w:rsidRPr="00750626" w14:paraId="4BD67ED5" w14:textId="77777777" w:rsidTr="00C73693">
        <w:tc>
          <w:tcPr>
            <w:tcW w:w="880" w:type="dxa"/>
          </w:tcPr>
          <w:p w14:paraId="0E07E35F" w14:textId="1591DA8E" w:rsidR="005247A1" w:rsidRPr="00750626" w:rsidRDefault="005247A1" w:rsidP="00AB5BE7">
            <w:pPr>
              <w:tabs>
                <w:tab w:val="right" w:leader="underscore" w:pos="5670"/>
                <w:tab w:val="left" w:pos="6237"/>
              </w:tabs>
              <w:rPr>
                <w:rFonts w:ascii="Arial" w:hAnsi="Arial" w:cs="Arial"/>
                <w:sz w:val="28"/>
              </w:rPr>
            </w:pPr>
            <w:r w:rsidRPr="00750626">
              <w:rPr>
                <w:rFonts w:ascii="Arial" w:hAnsi="Arial" w:cs="Arial"/>
                <w:sz w:val="22"/>
              </w:rPr>
              <w:t>4</w:t>
            </w:r>
          </w:p>
        </w:tc>
        <w:tc>
          <w:tcPr>
            <w:tcW w:w="8925" w:type="dxa"/>
          </w:tcPr>
          <w:p w14:paraId="5FAA7586" w14:textId="77777777" w:rsidR="007A5876" w:rsidRPr="00750626" w:rsidRDefault="007A5876" w:rsidP="007A5876">
            <w:pPr>
              <w:rPr>
                <w:rFonts w:ascii="Arial" w:hAnsi="Arial" w:cs="Arial"/>
                <w:sz w:val="28"/>
              </w:rPr>
            </w:pPr>
            <w:r w:rsidRPr="00750626">
              <w:rPr>
                <w:rFonts w:ascii="Arial" w:hAnsi="Arial" w:cs="Arial"/>
                <w:b/>
                <w:sz w:val="22"/>
              </w:rPr>
              <w:t>Previous minutes – Action points and standing points</w:t>
            </w:r>
          </w:p>
          <w:p w14:paraId="04B28E8A" w14:textId="77FDD405" w:rsidR="00DF48FB" w:rsidRPr="00750626" w:rsidRDefault="00DF48FB" w:rsidP="00DF48FB">
            <w:pPr>
              <w:rPr>
                <w:rFonts w:ascii="Arial" w:hAnsi="Arial" w:cs="Arial"/>
                <w:sz w:val="28"/>
                <w:lang w:val="en-GB"/>
              </w:rPr>
            </w:pPr>
            <w:r w:rsidRPr="00750626">
              <w:rPr>
                <w:rFonts w:ascii="Arial" w:hAnsi="Arial" w:cs="Arial"/>
                <w:sz w:val="22"/>
                <w:lang w:val="en-GB"/>
              </w:rPr>
              <w:t xml:space="preserve">1. The Secretariat </w:t>
            </w:r>
            <w:r w:rsidR="00855EE0" w:rsidRPr="00750626">
              <w:rPr>
                <w:rFonts w:ascii="Arial" w:hAnsi="Arial" w:cs="Arial"/>
                <w:sz w:val="22"/>
                <w:lang w:val="en-GB"/>
              </w:rPr>
              <w:t>update</w:t>
            </w:r>
            <w:r w:rsidRPr="00750626">
              <w:rPr>
                <w:rFonts w:ascii="Arial" w:hAnsi="Arial" w:cs="Arial"/>
                <w:sz w:val="22"/>
                <w:lang w:val="en-GB"/>
              </w:rPr>
              <w:t xml:space="preserve">d the Committee on the substances </w:t>
            </w:r>
            <w:r w:rsidR="002E1750" w:rsidRPr="00750626">
              <w:rPr>
                <w:rFonts w:ascii="Arial" w:hAnsi="Arial" w:cs="Arial"/>
                <w:sz w:val="22"/>
                <w:lang w:val="en-GB"/>
              </w:rPr>
              <w:t>(t-</w:t>
            </w:r>
            <w:proofErr w:type="spellStart"/>
            <w:r w:rsidR="002E1750" w:rsidRPr="00750626">
              <w:rPr>
                <w:rFonts w:ascii="Arial" w:hAnsi="Arial" w:cs="Arial"/>
                <w:sz w:val="22"/>
                <w:lang w:val="en-GB"/>
              </w:rPr>
              <w:t>Boc</w:t>
            </w:r>
            <w:proofErr w:type="spellEnd"/>
            <w:r w:rsidR="002E1750" w:rsidRPr="00750626">
              <w:rPr>
                <w:rFonts w:ascii="Arial" w:hAnsi="Arial" w:cs="Arial"/>
                <w:sz w:val="22"/>
                <w:lang w:val="en-GB"/>
              </w:rPr>
              <w:t xml:space="preserve">-methamphetamine, </w:t>
            </w:r>
            <w:proofErr w:type="spellStart"/>
            <w:r w:rsidR="002E1750" w:rsidRPr="00750626">
              <w:rPr>
                <w:rFonts w:ascii="Arial" w:hAnsi="Arial" w:cs="Arial"/>
                <w:sz w:val="22"/>
                <w:lang w:val="en-GB"/>
              </w:rPr>
              <w:t>flubromazolam</w:t>
            </w:r>
            <w:proofErr w:type="spellEnd"/>
            <w:r w:rsidR="002E1750" w:rsidRPr="00750626">
              <w:rPr>
                <w:rFonts w:ascii="Arial" w:hAnsi="Arial" w:cs="Arial"/>
                <w:sz w:val="22"/>
                <w:lang w:val="en-GB"/>
              </w:rPr>
              <w:t xml:space="preserve">, fentanyl and its precursors and MT-45) </w:t>
            </w:r>
            <w:r w:rsidRPr="00750626">
              <w:rPr>
                <w:rFonts w:ascii="Arial" w:hAnsi="Arial" w:cs="Arial"/>
                <w:sz w:val="22"/>
                <w:lang w:val="en-GB"/>
              </w:rPr>
              <w:t xml:space="preserve">that </w:t>
            </w:r>
            <w:r w:rsidR="00767DAA">
              <w:rPr>
                <w:rFonts w:ascii="Arial" w:hAnsi="Arial" w:cs="Arial"/>
                <w:sz w:val="22"/>
                <w:lang w:val="en-GB"/>
              </w:rPr>
              <w:t>were reviewed at</w:t>
            </w:r>
            <w:r w:rsidRPr="00750626">
              <w:rPr>
                <w:rFonts w:ascii="Arial" w:hAnsi="Arial" w:cs="Arial"/>
                <w:sz w:val="22"/>
                <w:lang w:val="en-GB"/>
              </w:rPr>
              <w:t xml:space="preserve"> the previous meeting</w:t>
            </w:r>
            <w:r w:rsidR="00767DAA">
              <w:rPr>
                <w:rFonts w:ascii="Arial" w:hAnsi="Arial" w:cs="Arial"/>
                <w:sz w:val="22"/>
                <w:lang w:val="en-GB"/>
              </w:rPr>
              <w:t xml:space="preserve"> in April 2017</w:t>
            </w:r>
            <w:r w:rsidRPr="00750626">
              <w:rPr>
                <w:rFonts w:ascii="Arial" w:hAnsi="Arial" w:cs="Arial"/>
                <w:sz w:val="22"/>
                <w:lang w:val="en-GB"/>
              </w:rPr>
              <w:t>. Consultation for scheduling those substances</w:t>
            </w:r>
            <w:r w:rsidR="00C86CBB" w:rsidRPr="00750626">
              <w:rPr>
                <w:rFonts w:ascii="Arial" w:hAnsi="Arial" w:cs="Arial"/>
                <w:sz w:val="22"/>
                <w:lang w:val="en-GB"/>
              </w:rPr>
              <w:t xml:space="preserve"> considered at the last meeting in 2017</w:t>
            </w:r>
            <w:r w:rsidRPr="00750626">
              <w:rPr>
                <w:rFonts w:ascii="Arial" w:hAnsi="Arial" w:cs="Arial"/>
                <w:sz w:val="22"/>
                <w:lang w:val="en-GB"/>
              </w:rPr>
              <w:t xml:space="preserve"> </w:t>
            </w:r>
            <w:r w:rsidR="00767DAA">
              <w:rPr>
                <w:rFonts w:ascii="Arial" w:hAnsi="Arial" w:cs="Arial"/>
                <w:sz w:val="22"/>
                <w:lang w:val="en-GB"/>
              </w:rPr>
              <w:t>has been</w:t>
            </w:r>
            <w:r w:rsidRPr="00750626">
              <w:rPr>
                <w:rFonts w:ascii="Arial" w:hAnsi="Arial" w:cs="Arial"/>
                <w:sz w:val="22"/>
                <w:lang w:val="en-GB"/>
              </w:rPr>
              <w:t xml:space="preserve"> completed and the Secretariat is awaiting the Minister</w:t>
            </w:r>
            <w:r w:rsidR="0003294F" w:rsidRPr="00750626">
              <w:rPr>
                <w:rFonts w:ascii="Arial" w:hAnsi="Arial" w:cs="Arial"/>
                <w:sz w:val="22"/>
                <w:lang w:val="en-GB"/>
              </w:rPr>
              <w:t xml:space="preserve"> of Health’s (the Minister)</w:t>
            </w:r>
            <w:r w:rsidRPr="00750626">
              <w:rPr>
                <w:rFonts w:ascii="Arial" w:hAnsi="Arial" w:cs="Arial"/>
                <w:sz w:val="22"/>
                <w:lang w:val="en-GB"/>
              </w:rPr>
              <w:t xml:space="preserve"> approval to draft a Cabinet paper.</w:t>
            </w:r>
          </w:p>
          <w:p w14:paraId="416801EC" w14:textId="77777777" w:rsidR="00DF48FB" w:rsidRPr="00750626" w:rsidRDefault="00DF48FB" w:rsidP="00A56206">
            <w:pPr>
              <w:rPr>
                <w:rFonts w:ascii="Arial" w:hAnsi="Arial" w:cs="Arial"/>
                <w:sz w:val="28"/>
                <w:lang w:val="en-GB"/>
              </w:rPr>
            </w:pPr>
          </w:p>
          <w:p w14:paraId="7E70312D" w14:textId="3BE4BF67" w:rsidR="00450781" w:rsidRPr="00750626" w:rsidRDefault="00DF48FB" w:rsidP="00A56206">
            <w:pPr>
              <w:rPr>
                <w:rFonts w:ascii="Arial" w:hAnsi="Arial" w:cs="Arial"/>
                <w:sz w:val="28"/>
                <w:lang w:val="en-GB"/>
              </w:rPr>
            </w:pPr>
            <w:r w:rsidRPr="00750626">
              <w:rPr>
                <w:rFonts w:ascii="Arial" w:hAnsi="Arial" w:cs="Arial"/>
                <w:sz w:val="22"/>
                <w:lang w:val="en-GB"/>
              </w:rPr>
              <w:t>2. Action item 3</w:t>
            </w:r>
            <w:r w:rsidR="00855EE0" w:rsidRPr="00750626">
              <w:rPr>
                <w:rFonts w:ascii="Arial" w:hAnsi="Arial" w:cs="Arial"/>
                <w:sz w:val="22"/>
                <w:lang w:val="en-GB"/>
              </w:rPr>
              <w:t xml:space="preserve"> from the April 2017 meeting</w:t>
            </w:r>
            <w:r w:rsidRPr="00750626">
              <w:rPr>
                <w:rFonts w:ascii="Arial" w:hAnsi="Arial" w:cs="Arial"/>
                <w:sz w:val="22"/>
                <w:lang w:val="en-GB"/>
              </w:rPr>
              <w:t xml:space="preserve"> - Escalate the Committee’s concerns within the Ministry of Health</w:t>
            </w:r>
            <w:r w:rsidR="0003294F" w:rsidRPr="00750626">
              <w:rPr>
                <w:rFonts w:ascii="Arial" w:hAnsi="Arial" w:cs="Arial"/>
                <w:sz w:val="22"/>
                <w:lang w:val="en-GB"/>
              </w:rPr>
              <w:t xml:space="preserve"> (The Ministry)</w:t>
            </w:r>
            <w:r w:rsidRPr="00750626">
              <w:rPr>
                <w:rFonts w:ascii="Arial" w:hAnsi="Arial" w:cs="Arial"/>
                <w:sz w:val="22"/>
                <w:lang w:val="en-GB"/>
              </w:rPr>
              <w:t xml:space="preserve"> around the amount of time it takes to schedule substances.</w:t>
            </w:r>
          </w:p>
          <w:p w14:paraId="52A26AB7" w14:textId="77777777" w:rsidR="0003294F" w:rsidRPr="00750626" w:rsidRDefault="0003294F" w:rsidP="00A56206">
            <w:pPr>
              <w:rPr>
                <w:rFonts w:ascii="Arial" w:hAnsi="Arial" w:cs="Arial"/>
                <w:sz w:val="28"/>
                <w:lang w:val="en-GB"/>
              </w:rPr>
            </w:pPr>
          </w:p>
          <w:p w14:paraId="5A04ED28" w14:textId="7258903F" w:rsidR="00E00E57" w:rsidRPr="00750626" w:rsidRDefault="00DF48FB" w:rsidP="00C57399">
            <w:pPr>
              <w:rPr>
                <w:rFonts w:ascii="Arial" w:hAnsi="Arial" w:cs="Arial"/>
                <w:sz w:val="28"/>
                <w:lang w:val="en-GB"/>
              </w:rPr>
            </w:pPr>
            <w:r w:rsidRPr="00750626">
              <w:rPr>
                <w:rFonts w:ascii="Arial" w:hAnsi="Arial" w:cs="Arial"/>
                <w:sz w:val="22"/>
                <w:lang w:val="en-GB"/>
              </w:rPr>
              <w:t>The Committee pointed</w:t>
            </w:r>
            <w:r w:rsidR="003F1519" w:rsidRPr="00750626">
              <w:rPr>
                <w:rFonts w:ascii="Arial" w:hAnsi="Arial" w:cs="Arial"/>
                <w:sz w:val="22"/>
                <w:lang w:val="en-GB"/>
              </w:rPr>
              <w:t xml:space="preserve"> out</w:t>
            </w:r>
            <w:r w:rsidRPr="00750626">
              <w:rPr>
                <w:rFonts w:ascii="Arial" w:hAnsi="Arial" w:cs="Arial"/>
                <w:sz w:val="22"/>
                <w:lang w:val="en-GB"/>
              </w:rPr>
              <w:t xml:space="preserve"> that their concerns over delays in scheduling substances under </w:t>
            </w:r>
            <w:r w:rsidR="0003294F" w:rsidRPr="00750626">
              <w:rPr>
                <w:rFonts w:ascii="Arial" w:hAnsi="Arial" w:cs="Arial"/>
                <w:sz w:val="22"/>
                <w:lang w:val="en-GB"/>
              </w:rPr>
              <w:t>the Misuse of Drugs Act 1975 (</w:t>
            </w:r>
            <w:proofErr w:type="spellStart"/>
            <w:r w:rsidRPr="00750626">
              <w:rPr>
                <w:rFonts w:ascii="Arial" w:hAnsi="Arial" w:cs="Arial"/>
                <w:sz w:val="22"/>
                <w:lang w:val="en-GB"/>
              </w:rPr>
              <w:t>MoDA</w:t>
            </w:r>
            <w:proofErr w:type="spellEnd"/>
            <w:r w:rsidR="0003294F" w:rsidRPr="00750626">
              <w:rPr>
                <w:rFonts w:ascii="Arial" w:hAnsi="Arial" w:cs="Arial"/>
                <w:sz w:val="22"/>
                <w:lang w:val="en-GB"/>
              </w:rPr>
              <w:t xml:space="preserve">) </w:t>
            </w:r>
            <w:r w:rsidRPr="00750626">
              <w:rPr>
                <w:rFonts w:ascii="Arial" w:hAnsi="Arial" w:cs="Arial"/>
                <w:sz w:val="22"/>
                <w:lang w:val="en-GB"/>
              </w:rPr>
              <w:t>had been raised in the past. The Committee believe that delay</w:t>
            </w:r>
            <w:r w:rsidR="0003294F" w:rsidRPr="00750626">
              <w:rPr>
                <w:rFonts w:ascii="Arial" w:hAnsi="Arial" w:cs="Arial"/>
                <w:sz w:val="22"/>
                <w:lang w:val="en-GB"/>
              </w:rPr>
              <w:t>s</w:t>
            </w:r>
            <w:r w:rsidRPr="00750626">
              <w:rPr>
                <w:rFonts w:ascii="Arial" w:hAnsi="Arial" w:cs="Arial"/>
                <w:sz w:val="22"/>
                <w:lang w:val="en-GB"/>
              </w:rPr>
              <w:t xml:space="preserve"> in scheduling has impacts on </w:t>
            </w:r>
            <w:r w:rsidR="009F0E63" w:rsidRPr="00750626">
              <w:rPr>
                <w:rFonts w:ascii="Arial" w:hAnsi="Arial" w:cs="Arial"/>
                <w:sz w:val="22"/>
                <w:lang w:val="en-GB"/>
              </w:rPr>
              <w:t>people’s health</w:t>
            </w:r>
            <w:r w:rsidRPr="00750626">
              <w:rPr>
                <w:rFonts w:ascii="Arial" w:hAnsi="Arial" w:cs="Arial"/>
                <w:sz w:val="22"/>
                <w:lang w:val="en-GB"/>
              </w:rPr>
              <w:t xml:space="preserve">. For example, </w:t>
            </w:r>
            <w:proofErr w:type="spellStart"/>
            <w:r w:rsidRPr="00750626">
              <w:rPr>
                <w:rFonts w:ascii="Arial" w:hAnsi="Arial" w:cs="Arial"/>
                <w:sz w:val="22"/>
                <w:lang w:val="en-GB"/>
              </w:rPr>
              <w:t>zopiclone</w:t>
            </w:r>
            <w:proofErr w:type="spellEnd"/>
            <w:r w:rsidR="009F0E63" w:rsidRPr="00750626">
              <w:rPr>
                <w:rFonts w:ascii="Arial" w:hAnsi="Arial" w:cs="Arial"/>
                <w:sz w:val="22"/>
                <w:lang w:val="en-GB"/>
              </w:rPr>
              <w:t xml:space="preserve"> and zolpidem were put forward for scheduling as controlled drugs in 2015 but have not been scheduled under </w:t>
            </w:r>
            <w:proofErr w:type="spellStart"/>
            <w:r w:rsidR="009F0E63" w:rsidRPr="00750626">
              <w:rPr>
                <w:rFonts w:ascii="Arial" w:hAnsi="Arial" w:cs="Arial"/>
                <w:sz w:val="22"/>
                <w:lang w:val="en-GB"/>
              </w:rPr>
              <w:t>MoDA</w:t>
            </w:r>
            <w:proofErr w:type="spellEnd"/>
            <w:r w:rsidR="009F0E63" w:rsidRPr="00750626">
              <w:rPr>
                <w:rFonts w:ascii="Arial" w:hAnsi="Arial" w:cs="Arial"/>
                <w:sz w:val="22"/>
                <w:lang w:val="en-GB"/>
              </w:rPr>
              <w:t xml:space="preserve">. </w:t>
            </w:r>
            <w:r w:rsidR="00551FA8" w:rsidRPr="00750626">
              <w:rPr>
                <w:rFonts w:ascii="Arial" w:hAnsi="Arial" w:cs="Arial"/>
                <w:sz w:val="22"/>
                <w:lang w:val="en-GB"/>
              </w:rPr>
              <w:t>The Committee requested that their concerns over delays are escalated to the Minister</w:t>
            </w:r>
            <w:r w:rsidR="00952610" w:rsidRPr="00750626">
              <w:rPr>
                <w:rFonts w:ascii="Arial" w:hAnsi="Arial" w:cs="Arial"/>
                <w:sz w:val="22"/>
                <w:lang w:val="en-GB"/>
              </w:rPr>
              <w:t>.</w:t>
            </w:r>
          </w:p>
          <w:p w14:paraId="01F21114" w14:textId="77777777" w:rsidR="00790866" w:rsidRDefault="00790866" w:rsidP="00790866">
            <w:pPr>
              <w:rPr>
                <w:rFonts w:ascii="Arial" w:hAnsi="Arial" w:cs="Arial"/>
                <w:sz w:val="28"/>
                <w:lang w:val="en-GB"/>
              </w:rPr>
            </w:pPr>
          </w:p>
          <w:p w14:paraId="6588E26B" w14:textId="5BAC0B9D" w:rsidR="00790866" w:rsidRPr="00C05400" w:rsidRDefault="00894472" w:rsidP="00790866">
            <w:pPr>
              <w:rPr>
                <w:rFonts w:ascii="Arial" w:hAnsi="Arial" w:cs="Arial"/>
                <w:sz w:val="22"/>
                <w:lang w:val="en-GB"/>
              </w:rPr>
            </w:pPr>
            <w:r w:rsidRPr="00894472">
              <w:rPr>
                <w:rFonts w:ascii="Arial" w:hAnsi="Arial" w:cs="Arial"/>
                <w:sz w:val="22"/>
                <w:lang w:val="en-GB"/>
              </w:rPr>
              <w:t>[</w:t>
            </w:r>
            <w:proofErr w:type="gramStart"/>
            <w:r w:rsidRPr="00894472">
              <w:rPr>
                <w:rFonts w:ascii="Arial" w:hAnsi="Arial" w:cs="Arial"/>
                <w:sz w:val="22"/>
                <w:lang w:val="en-GB"/>
              </w:rPr>
              <w:t>redacted</w:t>
            </w:r>
            <w:proofErr w:type="gramEnd"/>
            <w:r w:rsidRPr="00894472">
              <w:rPr>
                <w:rFonts w:ascii="Arial" w:hAnsi="Arial" w:cs="Arial"/>
                <w:sz w:val="22"/>
                <w:lang w:val="en-GB"/>
              </w:rPr>
              <w:t xml:space="preserve">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A51DE4">
              <w:rPr>
                <w:rFonts w:ascii="Arial" w:hAnsi="Arial" w:cs="Arial"/>
                <w:sz w:val="22"/>
                <w:lang w:val="en-GB"/>
              </w:rPr>
              <w:t>advis</w:t>
            </w:r>
            <w:r w:rsidR="00790866" w:rsidRPr="00C05400">
              <w:rPr>
                <w:rFonts w:ascii="Arial" w:hAnsi="Arial" w:cs="Arial"/>
                <w:sz w:val="22"/>
                <w:lang w:val="en-GB"/>
              </w:rPr>
              <w:t xml:space="preserve">ed that the current analogue provision in </w:t>
            </w:r>
            <w:proofErr w:type="spellStart"/>
            <w:r w:rsidR="00790866" w:rsidRPr="00C05400">
              <w:rPr>
                <w:rFonts w:ascii="Arial" w:hAnsi="Arial" w:cs="Arial"/>
                <w:sz w:val="22"/>
                <w:lang w:val="en-GB"/>
              </w:rPr>
              <w:t>MoDA</w:t>
            </w:r>
            <w:proofErr w:type="spellEnd"/>
            <w:r w:rsidR="00790866" w:rsidRPr="00C05400">
              <w:rPr>
                <w:rFonts w:ascii="Arial" w:hAnsi="Arial" w:cs="Arial"/>
                <w:sz w:val="22"/>
                <w:lang w:val="en-GB"/>
              </w:rPr>
              <w:t xml:space="preserve"> is not adequate because analogues are automatically captured under Schedule 3 (Class C), the lowest classification, regardless of harm that each analogue poses. </w:t>
            </w:r>
            <w:r w:rsidRPr="00894472">
              <w:rPr>
                <w:rFonts w:ascii="Arial" w:hAnsi="Arial" w:cs="Arial"/>
                <w:sz w:val="22"/>
                <w:lang w:val="en-GB"/>
              </w:rPr>
              <w:t>[</w:t>
            </w:r>
            <w:proofErr w:type="gramStart"/>
            <w:r w:rsidRPr="00894472">
              <w:rPr>
                <w:rFonts w:ascii="Arial" w:hAnsi="Arial" w:cs="Arial"/>
                <w:sz w:val="22"/>
                <w:lang w:val="en-GB"/>
              </w:rPr>
              <w:t>r</w:t>
            </w:r>
            <w:r>
              <w:rPr>
                <w:rFonts w:ascii="Arial" w:hAnsi="Arial" w:cs="Arial"/>
                <w:sz w:val="22"/>
                <w:lang w:val="en-GB"/>
              </w:rPr>
              <w:t>edacted</w:t>
            </w:r>
            <w:proofErr w:type="gramEnd"/>
            <w:r>
              <w:rPr>
                <w:rFonts w:ascii="Arial" w:hAnsi="Arial" w:cs="Arial"/>
                <w:sz w:val="22"/>
                <w:lang w:val="en-GB"/>
              </w:rPr>
              <w:t xml:space="preserve"> under section 9(2)(</w:t>
            </w:r>
            <w:proofErr w:type="spellStart"/>
            <w:r>
              <w:rPr>
                <w:rFonts w:ascii="Arial" w:hAnsi="Arial" w:cs="Arial"/>
                <w:sz w:val="22"/>
                <w:lang w:val="en-GB"/>
              </w:rPr>
              <w:t>ba</w:t>
            </w:r>
            <w:proofErr w:type="spellEnd"/>
            <w:r>
              <w:rPr>
                <w:rFonts w:ascii="Arial" w:hAnsi="Arial" w:cs="Arial"/>
                <w:sz w:val="22"/>
                <w:lang w:val="en-GB"/>
              </w:rPr>
              <w:t>)]</w:t>
            </w:r>
            <w:r w:rsidR="00790866" w:rsidRPr="00C05400">
              <w:rPr>
                <w:rFonts w:ascii="Arial" w:hAnsi="Arial" w:cs="Arial"/>
                <w:sz w:val="22"/>
                <w:lang w:val="en-GB"/>
              </w:rPr>
              <w:t xml:space="preserve"> expressed a preference to modify the current provision for analogues so they are automatically captured under the same classification as the </w:t>
            </w:r>
            <w:r w:rsidR="00790866" w:rsidRPr="00C05400">
              <w:rPr>
                <w:rFonts w:ascii="Arial" w:hAnsi="Arial" w:cs="Arial"/>
                <w:sz w:val="22"/>
                <w:lang w:val="en-GB"/>
              </w:rPr>
              <w:lastRenderedPageBreak/>
              <w:t xml:space="preserve">scheduled substances which they are analogues of (their parent substances) without having to review and name each analogue. </w:t>
            </w:r>
          </w:p>
          <w:p w14:paraId="4F630986" w14:textId="77777777" w:rsidR="00790866" w:rsidRPr="00C05400" w:rsidRDefault="00790866" w:rsidP="00790866">
            <w:pPr>
              <w:rPr>
                <w:rFonts w:ascii="Arial" w:hAnsi="Arial" w:cs="Arial"/>
                <w:sz w:val="22"/>
                <w:lang w:val="en-GB"/>
              </w:rPr>
            </w:pPr>
          </w:p>
          <w:p w14:paraId="6378D227" w14:textId="25712DAD" w:rsidR="00551FA8" w:rsidRPr="00C05400" w:rsidRDefault="00790866" w:rsidP="00790866">
            <w:pPr>
              <w:rPr>
                <w:rFonts w:ascii="Arial" w:hAnsi="Arial" w:cs="Arial"/>
                <w:sz w:val="22"/>
                <w:lang w:val="en-GB"/>
              </w:rPr>
            </w:pPr>
            <w:r w:rsidRPr="00C05400">
              <w:rPr>
                <w:rFonts w:ascii="Arial" w:hAnsi="Arial" w:cs="Arial"/>
                <w:sz w:val="22"/>
                <w:lang w:val="en-GB"/>
              </w:rPr>
              <w:t xml:space="preserve">The Secretariat advised that such modification requires an Amendment Bill to </w:t>
            </w:r>
            <w:proofErr w:type="spellStart"/>
            <w:r w:rsidRPr="00C05400">
              <w:rPr>
                <w:rFonts w:ascii="Arial" w:hAnsi="Arial" w:cs="Arial"/>
                <w:sz w:val="22"/>
                <w:lang w:val="en-GB"/>
              </w:rPr>
              <w:t>MoDA</w:t>
            </w:r>
            <w:proofErr w:type="spellEnd"/>
            <w:r w:rsidRPr="00C05400">
              <w:rPr>
                <w:rFonts w:ascii="Arial" w:hAnsi="Arial" w:cs="Arial"/>
                <w:sz w:val="22"/>
                <w:lang w:val="en-GB"/>
              </w:rPr>
              <w:t xml:space="preserve"> which is a longer process than the Order in Council process (a shorter amendment process). The Committee has to review and recommend a classification of each analogue that is recommended for scheduling in order to schedule a substance or group of substances via the Order in Council process.</w:t>
            </w:r>
          </w:p>
          <w:p w14:paraId="3E85EDD4" w14:textId="77777777" w:rsidR="00790866" w:rsidRPr="00C05400" w:rsidRDefault="00790866" w:rsidP="00C57399">
            <w:pPr>
              <w:rPr>
                <w:rFonts w:ascii="Arial" w:hAnsi="Arial" w:cs="Arial"/>
                <w:b/>
              </w:rPr>
            </w:pPr>
          </w:p>
          <w:p w14:paraId="7E8C8345" w14:textId="352AC69E" w:rsidR="00AD4645" w:rsidRPr="00750626" w:rsidRDefault="005912E6" w:rsidP="00C57399">
            <w:pPr>
              <w:rPr>
                <w:rFonts w:ascii="Arial" w:hAnsi="Arial" w:cs="Arial"/>
                <w:sz w:val="22"/>
              </w:rPr>
            </w:pPr>
            <w:r w:rsidRPr="00750626">
              <w:rPr>
                <w:rFonts w:ascii="Arial" w:hAnsi="Arial" w:cs="Arial"/>
                <w:b/>
                <w:sz w:val="22"/>
              </w:rPr>
              <w:t xml:space="preserve">Action: </w:t>
            </w:r>
            <w:r w:rsidR="00C57399" w:rsidRPr="00750626">
              <w:rPr>
                <w:rFonts w:ascii="Arial" w:hAnsi="Arial" w:cs="Arial"/>
                <w:sz w:val="22"/>
              </w:rPr>
              <w:t xml:space="preserve">Secretariat to draft </w:t>
            </w:r>
            <w:r w:rsidR="00BB2D41" w:rsidRPr="00750626">
              <w:rPr>
                <w:rFonts w:ascii="Arial" w:hAnsi="Arial" w:cs="Arial"/>
                <w:sz w:val="22"/>
              </w:rPr>
              <w:t xml:space="preserve">and circulate </w:t>
            </w:r>
            <w:r w:rsidR="00551FA8" w:rsidRPr="00750626">
              <w:rPr>
                <w:rFonts w:ascii="Arial" w:hAnsi="Arial" w:cs="Arial"/>
                <w:sz w:val="22"/>
              </w:rPr>
              <w:t>a</w:t>
            </w:r>
            <w:r w:rsidR="004A29CA" w:rsidRPr="00750626">
              <w:rPr>
                <w:rFonts w:ascii="Arial" w:hAnsi="Arial" w:cs="Arial"/>
                <w:sz w:val="22"/>
              </w:rPr>
              <w:t xml:space="preserve"> </w:t>
            </w:r>
            <w:r w:rsidR="00C57399" w:rsidRPr="00750626">
              <w:rPr>
                <w:rFonts w:ascii="Arial" w:hAnsi="Arial" w:cs="Arial"/>
                <w:sz w:val="22"/>
              </w:rPr>
              <w:t>letter</w:t>
            </w:r>
            <w:r w:rsidR="004A29CA" w:rsidRPr="00750626">
              <w:rPr>
                <w:rFonts w:ascii="Arial" w:hAnsi="Arial" w:cs="Arial"/>
                <w:sz w:val="22"/>
              </w:rPr>
              <w:t xml:space="preserve"> </w:t>
            </w:r>
            <w:r w:rsidR="00BB2D41" w:rsidRPr="00750626">
              <w:rPr>
                <w:rFonts w:ascii="Arial" w:hAnsi="Arial" w:cs="Arial"/>
                <w:sz w:val="22"/>
              </w:rPr>
              <w:t xml:space="preserve">from the Committee </w:t>
            </w:r>
            <w:r w:rsidR="00551FA8" w:rsidRPr="00750626">
              <w:rPr>
                <w:rFonts w:ascii="Arial" w:hAnsi="Arial" w:cs="Arial"/>
                <w:sz w:val="22"/>
              </w:rPr>
              <w:t>to the Minister</w:t>
            </w:r>
            <w:r w:rsidR="00C57399" w:rsidRPr="00750626">
              <w:rPr>
                <w:rFonts w:ascii="Arial" w:hAnsi="Arial" w:cs="Arial"/>
                <w:sz w:val="22"/>
              </w:rPr>
              <w:t xml:space="preserve"> </w:t>
            </w:r>
            <w:r w:rsidR="004A29CA" w:rsidRPr="00750626">
              <w:rPr>
                <w:rFonts w:ascii="Arial" w:hAnsi="Arial" w:cs="Arial"/>
                <w:sz w:val="22"/>
              </w:rPr>
              <w:t>to escalate the Committee’s concerns over delays in scheduling substances as recommended</w:t>
            </w:r>
            <w:r w:rsidR="00DC382B" w:rsidRPr="00750626">
              <w:rPr>
                <w:rFonts w:ascii="Arial" w:hAnsi="Arial" w:cs="Arial"/>
                <w:sz w:val="22"/>
              </w:rPr>
              <w:t>.</w:t>
            </w:r>
          </w:p>
          <w:p w14:paraId="534B0D67" w14:textId="77777777" w:rsidR="00631C16" w:rsidRPr="00750626" w:rsidRDefault="00631C16" w:rsidP="00631C16">
            <w:pPr>
              <w:tabs>
                <w:tab w:val="right" w:leader="underscore" w:pos="5670"/>
                <w:tab w:val="left" w:pos="6237"/>
              </w:tabs>
              <w:rPr>
                <w:rFonts w:ascii="Arial" w:hAnsi="Arial" w:cs="Arial"/>
                <w:sz w:val="28"/>
              </w:rPr>
            </w:pPr>
          </w:p>
          <w:p w14:paraId="014DFCB7" w14:textId="77777777" w:rsidR="00631C16" w:rsidRPr="00750626" w:rsidRDefault="00631C16" w:rsidP="00631C16">
            <w:pPr>
              <w:tabs>
                <w:tab w:val="right" w:leader="underscore" w:pos="5670"/>
                <w:tab w:val="left" w:pos="6237"/>
              </w:tabs>
              <w:rPr>
                <w:rFonts w:ascii="Arial" w:hAnsi="Arial" w:cs="Arial"/>
                <w:sz w:val="22"/>
              </w:rPr>
            </w:pPr>
            <w:r w:rsidRPr="00750626">
              <w:rPr>
                <w:rFonts w:ascii="Arial" w:hAnsi="Arial" w:cs="Arial"/>
                <w:b/>
                <w:sz w:val="22"/>
              </w:rPr>
              <w:t>Action</w:t>
            </w:r>
            <w:r w:rsidRPr="00750626">
              <w:rPr>
                <w:rFonts w:ascii="Arial" w:hAnsi="Arial" w:cs="Arial"/>
                <w:sz w:val="22"/>
              </w:rPr>
              <w:t xml:space="preserve">: Secretariat to include the Committee’s suggestion to modify the analogues provision in </w:t>
            </w:r>
            <w:proofErr w:type="spellStart"/>
            <w:r w:rsidRPr="00750626">
              <w:rPr>
                <w:rFonts w:ascii="Arial" w:hAnsi="Arial" w:cs="Arial"/>
                <w:sz w:val="22"/>
              </w:rPr>
              <w:t>MoDA</w:t>
            </w:r>
            <w:proofErr w:type="spellEnd"/>
            <w:r w:rsidRPr="00750626">
              <w:rPr>
                <w:rFonts w:ascii="Arial" w:hAnsi="Arial" w:cs="Arial"/>
                <w:sz w:val="22"/>
              </w:rPr>
              <w:t xml:space="preserve"> to allow controlled drug analogues to be captured </w:t>
            </w:r>
            <w:r>
              <w:rPr>
                <w:rFonts w:ascii="Arial" w:hAnsi="Arial" w:cs="Arial"/>
                <w:sz w:val="22"/>
              </w:rPr>
              <w:t xml:space="preserve">under </w:t>
            </w:r>
            <w:r w:rsidRPr="00750626">
              <w:rPr>
                <w:rFonts w:ascii="Arial" w:hAnsi="Arial" w:cs="Arial"/>
                <w:sz w:val="22"/>
              </w:rPr>
              <w:t>the same classification as their parent substances in the letter from the Committee.</w:t>
            </w:r>
          </w:p>
          <w:p w14:paraId="18A94E56" w14:textId="305FEC84" w:rsidR="00CE666F" w:rsidRPr="00750626" w:rsidRDefault="00CE666F" w:rsidP="00C57399">
            <w:pPr>
              <w:rPr>
                <w:rFonts w:ascii="Arial" w:hAnsi="Arial" w:cs="Arial"/>
                <w:sz w:val="28"/>
              </w:rPr>
            </w:pPr>
          </w:p>
          <w:p w14:paraId="1D27E671" w14:textId="77777777" w:rsidR="00763762" w:rsidRPr="00750626" w:rsidRDefault="00CE666F" w:rsidP="006E3200">
            <w:pPr>
              <w:rPr>
                <w:rFonts w:ascii="Arial" w:hAnsi="Arial" w:cs="Arial"/>
                <w:sz w:val="28"/>
              </w:rPr>
            </w:pPr>
            <w:r w:rsidRPr="00750626">
              <w:rPr>
                <w:rFonts w:ascii="Arial" w:hAnsi="Arial" w:cs="Arial"/>
                <w:b/>
                <w:sz w:val="22"/>
              </w:rPr>
              <w:t xml:space="preserve">Action: </w:t>
            </w:r>
            <w:r w:rsidRPr="00750626">
              <w:rPr>
                <w:rFonts w:ascii="Arial" w:hAnsi="Arial" w:cs="Arial"/>
                <w:sz w:val="22"/>
              </w:rPr>
              <w:t xml:space="preserve">Secretariat </w:t>
            </w:r>
            <w:r w:rsidR="00971A29" w:rsidRPr="00750626">
              <w:rPr>
                <w:rFonts w:ascii="Arial" w:hAnsi="Arial" w:cs="Arial"/>
                <w:sz w:val="22"/>
              </w:rPr>
              <w:t>to</w:t>
            </w:r>
            <w:r w:rsidRPr="00750626">
              <w:rPr>
                <w:rFonts w:ascii="Arial" w:hAnsi="Arial" w:cs="Arial"/>
                <w:sz w:val="22"/>
              </w:rPr>
              <w:t xml:space="preserve"> </w:t>
            </w:r>
            <w:r w:rsidR="004921E7" w:rsidRPr="00750626">
              <w:rPr>
                <w:rFonts w:ascii="Arial" w:hAnsi="Arial" w:cs="Arial"/>
                <w:sz w:val="22"/>
              </w:rPr>
              <w:t>note the Committee’s concerns mentioned above in future Health Reports</w:t>
            </w:r>
            <w:r w:rsidRPr="00750626">
              <w:rPr>
                <w:rFonts w:ascii="Arial" w:hAnsi="Arial" w:cs="Arial"/>
                <w:sz w:val="22"/>
              </w:rPr>
              <w:t>.</w:t>
            </w:r>
            <w:r w:rsidR="008E4189" w:rsidRPr="00750626">
              <w:rPr>
                <w:rFonts w:ascii="Arial" w:hAnsi="Arial" w:cs="Arial"/>
                <w:sz w:val="22"/>
              </w:rPr>
              <w:t xml:space="preserve"> </w:t>
            </w:r>
          </w:p>
          <w:p w14:paraId="56E5E030" w14:textId="72B24D21" w:rsidR="00BB2D41" w:rsidRPr="00750626" w:rsidRDefault="00BB2D41" w:rsidP="006E3200">
            <w:pPr>
              <w:rPr>
                <w:rFonts w:ascii="Arial" w:hAnsi="Arial" w:cs="Arial"/>
                <w:sz w:val="28"/>
              </w:rPr>
            </w:pPr>
          </w:p>
        </w:tc>
      </w:tr>
      <w:tr w:rsidR="00B45B09" w:rsidRPr="00750626" w14:paraId="00DB8C9B" w14:textId="77777777" w:rsidTr="00C73693">
        <w:tc>
          <w:tcPr>
            <w:tcW w:w="880" w:type="dxa"/>
          </w:tcPr>
          <w:p w14:paraId="6CC8584A" w14:textId="3E4EA466" w:rsidR="00B45B09" w:rsidRPr="00750626" w:rsidRDefault="00B45B09" w:rsidP="00AB5BE7">
            <w:pPr>
              <w:tabs>
                <w:tab w:val="right" w:leader="underscore" w:pos="5670"/>
                <w:tab w:val="left" w:pos="6237"/>
              </w:tabs>
              <w:rPr>
                <w:rFonts w:ascii="Arial" w:hAnsi="Arial" w:cs="Arial"/>
                <w:b/>
                <w:sz w:val="28"/>
              </w:rPr>
            </w:pPr>
            <w:r w:rsidRPr="00750626">
              <w:rPr>
                <w:rFonts w:ascii="Arial" w:hAnsi="Arial" w:cs="Arial"/>
                <w:b/>
                <w:sz w:val="22"/>
              </w:rPr>
              <w:lastRenderedPageBreak/>
              <w:t>4</w:t>
            </w:r>
          </w:p>
        </w:tc>
        <w:tc>
          <w:tcPr>
            <w:tcW w:w="8925" w:type="dxa"/>
          </w:tcPr>
          <w:p w14:paraId="258DEFF5" w14:textId="55825DB1" w:rsidR="00855EE0" w:rsidRPr="00750626" w:rsidRDefault="00B45B09" w:rsidP="007A5876">
            <w:pPr>
              <w:rPr>
                <w:rFonts w:ascii="Arial" w:hAnsi="Arial" w:cs="Arial"/>
                <w:b/>
                <w:sz w:val="28"/>
              </w:rPr>
            </w:pPr>
            <w:r w:rsidRPr="00750626">
              <w:rPr>
                <w:rFonts w:ascii="Arial" w:hAnsi="Arial" w:cs="Arial"/>
                <w:b/>
                <w:sz w:val="22"/>
              </w:rPr>
              <w:t>UN updates</w:t>
            </w:r>
          </w:p>
          <w:p w14:paraId="4B192858" w14:textId="0408DD9D" w:rsidR="00952610" w:rsidRPr="00750626" w:rsidRDefault="00044E74" w:rsidP="00044E74">
            <w:pPr>
              <w:rPr>
                <w:rFonts w:ascii="Arial" w:hAnsi="Arial" w:cs="Arial"/>
                <w:sz w:val="28"/>
              </w:rPr>
            </w:pPr>
            <w:r w:rsidRPr="00750626">
              <w:rPr>
                <w:rFonts w:ascii="Arial" w:hAnsi="Arial" w:cs="Arial"/>
                <w:sz w:val="22"/>
              </w:rPr>
              <w:t>The Secretariat updated the Committee on the substances that were</w:t>
            </w:r>
            <w:r w:rsidR="00A51DE4">
              <w:rPr>
                <w:rFonts w:ascii="Arial" w:hAnsi="Arial" w:cs="Arial"/>
                <w:sz w:val="22"/>
              </w:rPr>
              <w:t xml:space="preserve"> most recently</w:t>
            </w:r>
            <w:r w:rsidRPr="00750626">
              <w:rPr>
                <w:rFonts w:ascii="Arial" w:hAnsi="Arial" w:cs="Arial"/>
                <w:sz w:val="22"/>
              </w:rPr>
              <w:t xml:space="preserve"> reviewed by the World Health Organization Expert Committee o</w:t>
            </w:r>
            <w:r w:rsidR="00E06976" w:rsidRPr="00750626">
              <w:rPr>
                <w:rFonts w:ascii="Arial" w:hAnsi="Arial" w:cs="Arial"/>
                <w:sz w:val="22"/>
              </w:rPr>
              <w:t>n</w:t>
            </w:r>
            <w:r w:rsidRPr="00750626">
              <w:rPr>
                <w:rFonts w:ascii="Arial" w:hAnsi="Arial" w:cs="Arial"/>
                <w:sz w:val="22"/>
              </w:rPr>
              <w:t xml:space="preserve"> Drug Dependence (ECDD) and the Commission on Narcotic Drugs (CND).</w:t>
            </w:r>
          </w:p>
          <w:p w14:paraId="4104F526" w14:textId="1F2DA777" w:rsidR="00044E74" w:rsidRPr="00750626" w:rsidRDefault="00044E74" w:rsidP="00044E74">
            <w:pPr>
              <w:rPr>
                <w:rFonts w:ascii="Arial" w:hAnsi="Arial" w:cs="Arial"/>
                <w:sz w:val="28"/>
              </w:rPr>
            </w:pPr>
            <w:r w:rsidRPr="00750626">
              <w:rPr>
                <w:rFonts w:ascii="Arial" w:hAnsi="Arial" w:cs="Arial"/>
                <w:sz w:val="22"/>
              </w:rPr>
              <w:t xml:space="preserve"> </w:t>
            </w:r>
          </w:p>
          <w:p w14:paraId="21A00B46" w14:textId="6F6BCB46" w:rsidR="00044E74" w:rsidRPr="00750626" w:rsidRDefault="00044E74" w:rsidP="00044E74">
            <w:pPr>
              <w:rPr>
                <w:rFonts w:ascii="Arial" w:hAnsi="Arial" w:cs="Arial"/>
                <w:sz w:val="28"/>
              </w:rPr>
            </w:pPr>
            <w:r w:rsidRPr="00750626">
              <w:rPr>
                <w:rFonts w:ascii="Arial" w:hAnsi="Arial" w:cs="Arial"/>
                <w:sz w:val="22"/>
              </w:rPr>
              <w:t>New Zealand is a signatory country to</w:t>
            </w:r>
            <w:r w:rsidR="00FB7B33" w:rsidRPr="00750626">
              <w:rPr>
                <w:rFonts w:ascii="Arial" w:hAnsi="Arial" w:cs="Arial"/>
                <w:sz w:val="22"/>
              </w:rPr>
              <w:t xml:space="preserve"> the</w:t>
            </w:r>
            <w:r w:rsidRPr="00750626">
              <w:rPr>
                <w:rFonts w:ascii="Arial" w:hAnsi="Arial" w:cs="Arial"/>
                <w:sz w:val="22"/>
              </w:rPr>
              <w:t xml:space="preserve"> three United Nations (UN) </w:t>
            </w:r>
            <w:r w:rsidR="00FB7B33" w:rsidRPr="00750626">
              <w:rPr>
                <w:rFonts w:ascii="Arial" w:hAnsi="Arial" w:cs="Arial"/>
                <w:sz w:val="22"/>
              </w:rPr>
              <w:t>Conventions</w:t>
            </w:r>
            <w:r w:rsidRPr="00750626">
              <w:rPr>
                <w:rFonts w:ascii="Arial" w:hAnsi="Arial" w:cs="Arial"/>
                <w:sz w:val="22"/>
              </w:rPr>
              <w:t xml:space="preserve">. When the </w:t>
            </w:r>
            <w:r w:rsidR="006544D9" w:rsidRPr="00750626">
              <w:rPr>
                <w:rFonts w:ascii="Arial" w:hAnsi="Arial" w:cs="Arial"/>
                <w:sz w:val="22"/>
              </w:rPr>
              <w:t xml:space="preserve">CND (the governing body of the United Nations Office on Drugs and Crime (UNODC)) </w:t>
            </w:r>
            <w:r w:rsidRPr="00750626">
              <w:rPr>
                <w:rFonts w:ascii="Arial" w:hAnsi="Arial" w:cs="Arial"/>
                <w:sz w:val="22"/>
              </w:rPr>
              <w:t xml:space="preserve">classifies a substance under one of the </w:t>
            </w:r>
            <w:r w:rsidR="006544D9" w:rsidRPr="00750626">
              <w:rPr>
                <w:rFonts w:ascii="Arial" w:hAnsi="Arial" w:cs="Arial"/>
                <w:sz w:val="22"/>
              </w:rPr>
              <w:t xml:space="preserve">Conventions </w:t>
            </w:r>
            <w:r w:rsidRPr="00750626">
              <w:rPr>
                <w:rFonts w:ascii="Arial" w:hAnsi="Arial" w:cs="Arial"/>
                <w:sz w:val="22"/>
              </w:rPr>
              <w:t>based on the recommendations from ECDD, signatory countries are required to review the substance and amend their domestic legislation to be consistent with the amendment</w:t>
            </w:r>
            <w:r w:rsidR="006544D9" w:rsidRPr="00750626">
              <w:rPr>
                <w:rFonts w:ascii="Arial" w:hAnsi="Arial" w:cs="Arial"/>
                <w:sz w:val="22"/>
              </w:rPr>
              <w:t xml:space="preserve"> to the Conventions</w:t>
            </w:r>
            <w:r w:rsidRPr="00750626">
              <w:rPr>
                <w:rFonts w:ascii="Arial" w:hAnsi="Arial" w:cs="Arial"/>
                <w:sz w:val="22"/>
              </w:rPr>
              <w:t>.</w:t>
            </w:r>
          </w:p>
          <w:p w14:paraId="1F3C47D5" w14:textId="77777777" w:rsidR="00CD55AA" w:rsidRPr="00750626" w:rsidRDefault="00CD55AA" w:rsidP="00AD5D5E">
            <w:pPr>
              <w:rPr>
                <w:rFonts w:ascii="Arial" w:hAnsi="Arial" w:cs="Arial"/>
                <w:sz w:val="28"/>
              </w:rPr>
            </w:pPr>
          </w:p>
          <w:p w14:paraId="4131EB78" w14:textId="763F2D6B" w:rsidR="00AD5D5E" w:rsidRPr="00750626" w:rsidRDefault="00AD5D5E" w:rsidP="00952610">
            <w:pPr>
              <w:rPr>
                <w:rFonts w:ascii="Arial" w:hAnsi="Arial" w:cs="Arial"/>
                <w:sz w:val="22"/>
              </w:rPr>
            </w:pPr>
            <w:r w:rsidRPr="00750626">
              <w:rPr>
                <w:rFonts w:ascii="Arial" w:hAnsi="Arial" w:cs="Arial"/>
                <w:sz w:val="22"/>
              </w:rPr>
              <w:t>Some of the agenda items for this</w:t>
            </w:r>
            <w:r w:rsidR="000E3589" w:rsidRPr="00750626">
              <w:rPr>
                <w:rFonts w:ascii="Arial" w:hAnsi="Arial" w:cs="Arial"/>
                <w:sz w:val="22"/>
              </w:rPr>
              <w:t xml:space="preserve"> </w:t>
            </w:r>
            <w:r w:rsidR="00952610" w:rsidRPr="00750626">
              <w:rPr>
                <w:rFonts w:ascii="Arial" w:hAnsi="Arial" w:cs="Arial"/>
                <w:sz w:val="22"/>
              </w:rPr>
              <w:t xml:space="preserve">Committee </w:t>
            </w:r>
            <w:r w:rsidRPr="00750626">
              <w:rPr>
                <w:rFonts w:ascii="Arial" w:hAnsi="Arial" w:cs="Arial"/>
                <w:sz w:val="22"/>
              </w:rPr>
              <w:t xml:space="preserve">meeting such as </w:t>
            </w:r>
            <w:proofErr w:type="spellStart"/>
            <w:r w:rsidRPr="00750626">
              <w:rPr>
                <w:rFonts w:ascii="Arial" w:hAnsi="Arial" w:cs="Arial"/>
                <w:sz w:val="22"/>
              </w:rPr>
              <w:t>ocfentanil</w:t>
            </w:r>
            <w:proofErr w:type="spellEnd"/>
            <w:r w:rsidRPr="00750626">
              <w:rPr>
                <w:rFonts w:ascii="Arial" w:hAnsi="Arial" w:cs="Arial"/>
                <w:sz w:val="22"/>
              </w:rPr>
              <w:t xml:space="preserve">, </w:t>
            </w:r>
            <w:proofErr w:type="spellStart"/>
            <w:r w:rsidRPr="00750626">
              <w:rPr>
                <w:rFonts w:ascii="Arial" w:hAnsi="Arial" w:cs="Arial"/>
                <w:sz w:val="22"/>
              </w:rPr>
              <w:t>carfentanil</w:t>
            </w:r>
            <w:proofErr w:type="spellEnd"/>
            <w:r w:rsidRPr="00750626">
              <w:rPr>
                <w:rFonts w:ascii="Arial" w:hAnsi="Arial" w:cs="Arial"/>
                <w:sz w:val="22"/>
              </w:rPr>
              <w:t xml:space="preserve">, 5F-PB-22, UR-144 and </w:t>
            </w:r>
            <w:r w:rsidR="00952610" w:rsidRPr="00750626">
              <w:rPr>
                <w:rFonts w:ascii="Arial" w:hAnsi="Arial" w:cs="Arial"/>
                <w:sz w:val="22"/>
              </w:rPr>
              <w:t>t</w:t>
            </w:r>
            <w:r w:rsidRPr="00750626">
              <w:rPr>
                <w:rFonts w:ascii="Arial" w:hAnsi="Arial" w:cs="Arial"/>
                <w:sz w:val="22"/>
              </w:rPr>
              <w:t xml:space="preserve">ramadol have been reviewed by ECDD and </w:t>
            </w:r>
            <w:r w:rsidR="00A51DE4">
              <w:rPr>
                <w:rFonts w:ascii="Arial" w:hAnsi="Arial" w:cs="Arial"/>
                <w:sz w:val="22"/>
              </w:rPr>
              <w:t xml:space="preserve">recently </w:t>
            </w:r>
            <w:r w:rsidR="003F1519" w:rsidRPr="00750626">
              <w:rPr>
                <w:rFonts w:ascii="Arial" w:hAnsi="Arial" w:cs="Arial"/>
                <w:sz w:val="22"/>
              </w:rPr>
              <w:t xml:space="preserve">scheduled by the </w:t>
            </w:r>
            <w:r w:rsidR="00A51DE4">
              <w:rPr>
                <w:rFonts w:ascii="Arial" w:hAnsi="Arial" w:cs="Arial"/>
                <w:sz w:val="22"/>
              </w:rPr>
              <w:t>CND</w:t>
            </w:r>
            <w:r w:rsidRPr="00750626">
              <w:rPr>
                <w:rFonts w:ascii="Arial" w:hAnsi="Arial" w:cs="Arial"/>
                <w:sz w:val="22"/>
              </w:rPr>
              <w:t>.</w:t>
            </w:r>
          </w:p>
          <w:p w14:paraId="5CF0117B" w14:textId="7590030D" w:rsidR="00AD4645" w:rsidRPr="00750626" w:rsidRDefault="00AD4645" w:rsidP="00952610">
            <w:pPr>
              <w:rPr>
                <w:rFonts w:ascii="Arial" w:hAnsi="Arial" w:cs="Arial"/>
                <w:sz w:val="28"/>
              </w:rPr>
            </w:pPr>
          </w:p>
        </w:tc>
      </w:tr>
      <w:tr w:rsidR="005247A1" w:rsidRPr="00750626" w14:paraId="349287E3" w14:textId="77777777" w:rsidTr="00C73693">
        <w:tc>
          <w:tcPr>
            <w:tcW w:w="880" w:type="dxa"/>
          </w:tcPr>
          <w:p w14:paraId="7ECC92B5" w14:textId="5766E9D5" w:rsidR="005247A1" w:rsidRPr="00750626" w:rsidRDefault="005247A1" w:rsidP="00AB5BE7">
            <w:pPr>
              <w:tabs>
                <w:tab w:val="right" w:leader="underscore" w:pos="5670"/>
                <w:tab w:val="left" w:pos="6237"/>
              </w:tabs>
              <w:rPr>
                <w:rFonts w:ascii="Arial" w:hAnsi="Arial" w:cs="Arial"/>
                <w:b/>
                <w:sz w:val="28"/>
              </w:rPr>
            </w:pPr>
            <w:r w:rsidRPr="00750626">
              <w:rPr>
                <w:rFonts w:ascii="Arial" w:hAnsi="Arial" w:cs="Arial"/>
                <w:b/>
                <w:sz w:val="22"/>
              </w:rPr>
              <w:t>5</w:t>
            </w:r>
          </w:p>
        </w:tc>
        <w:tc>
          <w:tcPr>
            <w:tcW w:w="8925" w:type="dxa"/>
          </w:tcPr>
          <w:p w14:paraId="7DE67E87" w14:textId="77777777" w:rsidR="007551F6" w:rsidRPr="00750626" w:rsidRDefault="007551F6" w:rsidP="007551F6">
            <w:pPr>
              <w:rPr>
                <w:rFonts w:ascii="Arial" w:hAnsi="Arial" w:cs="Arial"/>
                <w:b/>
                <w:sz w:val="28"/>
              </w:rPr>
            </w:pPr>
            <w:r w:rsidRPr="00750626">
              <w:rPr>
                <w:rFonts w:ascii="Arial" w:hAnsi="Arial" w:cs="Arial"/>
                <w:b/>
                <w:sz w:val="22"/>
              </w:rPr>
              <w:t>Prescriber Education Status Update</w:t>
            </w:r>
          </w:p>
          <w:p w14:paraId="27841833" w14:textId="184A7190" w:rsidR="00185AA0" w:rsidRPr="00750626" w:rsidRDefault="00952610" w:rsidP="000E3589">
            <w:pPr>
              <w:rPr>
                <w:rFonts w:ascii="Arial" w:hAnsi="Arial" w:cs="Arial"/>
                <w:sz w:val="28"/>
              </w:rPr>
            </w:pPr>
            <w:r w:rsidRPr="00750626">
              <w:rPr>
                <w:rFonts w:ascii="Arial" w:hAnsi="Arial" w:cs="Arial"/>
                <w:sz w:val="22"/>
              </w:rPr>
              <w:t>At</w:t>
            </w:r>
            <w:r w:rsidR="00185AA0" w:rsidRPr="00750626">
              <w:rPr>
                <w:rFonts w:ascii="Arial" w:hAnsi="Arial" w:cs="Arial"/>
                <w:sz w:val="22"/>
              </w:rPr>
              <w:t xml:space="preserve"> the previous </w:t>
            </w:r>
            <w:r w:rsidRPr="00750626">
              <w:rPr>
                <w:rFonts w:ascii="Arial" w:hAnsi="Arial" w:cs="Arial"/>
                <w:sz w:val="22"/>
              </w:rPr>
              <w:t xml:space="preserve">Committee </w:t>
            </w:r>
            <w:r w:rsidR="00185AA0" w:rsidRPr="00750626">
              <w:rPr>
                <w:rFonts w:ascii="Arial" w:hAnsi="Arial" w:cs="Arial"/>
                <w:sz w:val="22"/>
              </w:rPr>
              <w:t xml:space="preserve">meeting </w:t>
            </w:r>
            <w:r w:rsidRPr="00750626">
              <w:rPr>
                <w:rFonts w:ascii="Arial" w:hAnsi="Arial" w:cs="Arial"/>
                <w:sz w:val="22"/>
              </w:rPr>
              <w:t xml:space="preserve">in April </w:t>
            </w:r>
            <w:r w:rsidR="00185AA0" w:rsidRPr="00750626">
              <w:rPr>
                <w:rFonts w:ascii="Arial" w:hAnsi="Arial" w:cs="Arial"/>
                <w:sz w:val="22"/>
              </w:rPr>
              <w:t xml:space="preserve">2017, there was a discussion centred </w:t>
            </w:r>
            <w:proofErr w:type="gramStart"/>
            <w:r w:rsidR="00185AA0" w:rsidRPr="00750626">
              <w:rPr>
                <w:rFonts w:ascii="Arial" w:hAnsi="Arial" w:cs="Arial"/>
                <w:sz w:val="22"/>
              </w:rPr>
              <w:t>around</w:t>
            </w:r>
            <w:proofErr w:type="gramEnd"/>
            <w:r w:rsidR="00185AA0" w:rsidRPr="00750626">
              <w:rPr>
                <w:rFonts w:ascii="Arial" w:hAnsi="Arial" w:cs="Arial"/>
                <w:sz w:val="22"/>
              </w:rPr>
              <w:t xml:space="preserve"> tramadol </w:t>
            </w:r>
            <w:r w:rsidR="003D5799" w:rsidRPr="00750626">
              <w:rPr>
                <w:rFonts w:ascii="Arial" w:hAnsi="Arial" w:cs="Arial"/>
                <w:sz w:val="22"/>
              </w:rPr>
              <w:t>and</w:t>
            </w:r>
            <w:r w:rsidR="00185AA0" w:rsidRPr="00750626">
              <w:rPr>
                <w:rFonts w:ascii="Arial" w:hAnsi="Arial" w:cs="Arial"/>
                <w:sz w:val="22"/>
              </w:rPr>
              <w:t xml:space="preserve"> the potential reasons for inappropriate prescribing, the potential for self-harm in users</w:t>
            </w:r>
            <w:r w:rsidR="003D5799" w:rsidRPr="00750626">
              <w:rPr>
                <w:rFonts w:ascii="Arial" w:hAnsi="Arial" w:cs="Arial"/>
                <w:sz w:val="22"/>
              </w:rPr>
              <w:t xml:space="preserve">, </w:t>
            </w:r>
            <w:r w:rsidR="00185AA0" w:rsidRPr="00750626">
              <w:rPr>
                <w:rFonts w:ascii="Arial" w:hAnsi="Arial" w:cs="Arial"/>
                <w:sz w:val="22"/>
              </w:rPr>
              <w:t>the risk of abuse</w:t>
            </w:r>
            <w:r w:rsidR="003D5799" w:rsidRPr="00750626">
              <w:rPr>
                <w:rFonts w:ascii="Arial" w:hAnsi="Arial" w:cs="Arial"/>
                <w:sz w:val="22"/>
              </w:rPr>
              <w:t>,</w:t>
            </w:r>
            <w:r w:rsidR="00185AA0" w:rsidRPr="00750626">
              <w:rPr>
                <w:rFonts w:ascii="Arial" w:hAnsi="Arial" w:cs="Arial"/>
                <w:sz w:val="22"/>
              </w:rPr>
              <w:t xml:space="preserve"> and escalation to the use of other drugs. The Committee tasked </w:t>
            </w:r>
            <w:r w:rsidRPr="00750626">
              <w:rPr>
                <w:rFonts w:ascii="Arial" w:hAnsi="Arial" w:cs="Arial"/>
                <w:sz w:val="22"/>
              </w:rPr>
              <w:t>the</w:t>
            </w:r>
            <w:r w:rsidR="00185AA0" w:rsidRPr="00750626">
              <w:rPr>
                <w:rFonts w:ascii="Arial" w:hAnsi="Arial" w:cs="Arial"/>
                <w:sz w:val="22"/>
              </w:rPr>
              <w:t xml:space="preserve"> </w:t>
            </w:r>
            <w:r w:rsidR="00C86CBB" w:rsidRPr="00750626">
              <w:rPr>
                <w:rFonts w:ascii="Arial" w:hAnsi="Arial" w:cs="Arial"/>
                <w:sz w:val="22"/>
              </w:rPr>
              <w:t>Secretariat</w:t>
            </w:r>
            <w:r w:rsidR="00185AA0" w:rsidRPr="00750626">
              <w:rPr>
                <w:rFonts w:ascii="Arial" w:hAnsi="Arial" w:cs="Arial"/>
                <w:sz w:val="22"/>
              </w:rPr>
              <w:t>, with finding ways, other than scheduling, to help decrease the potential for medicines to be abused in N</w:t>
            </w:r>
            <w:r w:rsidR="004A54FB">
              <w:rPr>
                <w:rFonts w:ascii="Arial" w:hAnsi="Arial" w:cs="Arial"/>
                <w:sz w:val="22"/>
              </w:rPr>
              <w:t xml:space="preserve">ew </w:t>
            </w:r>
            <w:r w:rsidR="00185AA0" w:rsidRPr="00750626">
              <w:rPr>
                <w:rFonts w:ascii="Arial" w:hAnsi="Arial" w:cs="Arial"/>
                <w:sz w:val="22"/>
              </w:rPr>
              <w:t>Z</w:t>
            </w:r>
            <w:r w:rsidR="004A54FB">
              <w:rPr>
                <w:rFonts w:ascii="Arial" w:hAnsi="Arial" w:cs="Arial"/>
                <w:sz w:val="22"/>
              </w:rPr>
              <w:t>ealand</w:t>
            </w:r>
            <w:r w:rsidR="00185AA0" w:rsidRPr="00750626">
              <w:rPr>
                <w:rFonts w:ascii="Arial" w:hAnsi="Arial" w:cs="Arial"/>
                <w:sz w:val="22"/>
              </w:rPr>
              <w:t>.</w:t>
            </w:r>
          </w:p>
          <w:p w14:paraId="13A9985C" w14:textId="77777777" w:rsidR="0079028F" w:rsidRPr="00750626" w:rsidRDefault="0079028F" w:rsidP="000E3589">
            <w:pPr>
              <w:rPr>
                <w:rFonts w:ascii="Arial" w:hAnsi="Arial" w:cs="Arial"/>
                <w:sz w:val="28"/>
              </w:rPr>
            </w:pPr>
          </w:p>
          <w:p w14:paraId="51288130" w14:textId="4BDEF351" w:rsidR="00AC5D4E" w:rsidRPr="00750626" w:rsidRDefault="00D42F4B" w:rsidP="000E3589">
            <w:pPr>
              <w:rPr>
                <w:rFonts w:ascii="Arial" w:hAnsi="Arial" w:cs="Arial"/>
                <w:sz w:val="28"/>
              </w:rPr>
            </w:pPr>
            <w:r w:rsidRPr="00750626">
              <w:rPr>
                <w:rFonts w:ascii="Arial" w:hAnsi="Arial" w:cs="Arial"/>
                <w:sz w:val="22"/>
              </w:rPr>
              <w:t xml:space="preserve">The Secretariat </w:t>
            </w:r>
            <w:r w:rsidR="009262F8" w:rsidRPr="00750626">
              <w:rPr>
                <w:rFonts w:ascii="Arial" w:hAnsi="Arial" w:cs="Arial"/>
                <w:sz w:val="22"/>
              </w:rPr>
              <w:t>gave a brief overview of t</w:t>
            </w:r>
            <w:r w:rsidR="00185AA0" w:rsidRPr="00750626">
              <w:rPr>
                <w:rFonts w:ascii="Arial" w:hAnsi="Arial" w:cs="Arial"/>
                <w:sz w:val="22"/>
              </w:rPr>
              <w:t xml:space="preserve">he Ministry’s approach to reduce inappropriate opioid </w:t>
            </w:r>
            <w:r w:rsidR="003F1519" w:rsidRPr="00750626">
              <w:rPr>
                <w:rFonts w:ascii="Arial" w:hAnsi="Arial" w:cs="Arial"/>
                <w:sz w:val="22"/>
              </w:rPr>
              <w:t>prescribing</w:t>
            </w:r>
            <w:r w:rsidR="00185AA0" w:rsidRPr="00750626">
              <w:rPr>
                <w:rFonts w:ascii="Arial" w:hAnsi="Arial" w:cs="Arial"/>
                <w:sz w:val="22"/>
              </w:rPr>
              <w:t xml:space="preserve">. </w:t>
            </w:r>
            <w:r w:rsidR="0079028F" w:rsidRPr="00750626">
              <w:rPr>
                <w:rFonts w:ascii="Arial" w:hAnsi="Arial" w:cs="Arial"/>
                <w:sz w:val="22"/>
              </w:rPr>
              <w:t xml:space="preserve">As an example, the Safe use of opioids National Formative Collaborative developed by the Health Quality and Safety Commission was introduced as a possible initiative that the </w:t>
            </w:r>
            <w:r w:rsidR="00952610" w:rsidRPr="00750626">
              <w:rPr>
                <w:rFonts w:ascii="Arial" w:hAnsi="Arial" w:cs="Arial"/>
                <w:sz w:val="22"/>
              </w:rPr>
              <w:t xml:space="preserve">Committee </w:t>
            </w:r>
            <w:r w:rsidR="0079028F" w:rsidRPr="00750626">
              <w:rPr>
                <w:rFonts w:ascii="Arial" w:hAnsi="Arial" w:cs="Arial"/>
                <w:sz w:val="22"/>
              </w:rPr>
              <w:t xml:space="preserve">can tap into for this work. </w:t>
            </w:r>
          </w:p>
          <w:p w14:paraId="659EAEED" w14:textId="77777777" w:rsidR="0079028F" w:rsidRPr="00750626" w:rsidRDefault="0079028F" w:rsidP="000E3589">
            <w:pPr>
              <w:rPr>
                <w:rFonts w:ascii="Arial" w:hAnsi="Arial" w:cs="Arial"/>
                <w:sz w:val="28"/>
              </w:rPr>
            </w:pPr>
          </w:p>
          <w:p w14:paraId="71D22717" w14:textId="090663C7" w:rsidR="0079028F" w:rsidRPr="00750626" w:rsidRDefault="0079028F" w:rsidP="000E3589">
            <w:pPr>
              <w:rPr>
                <w:rFonts w:ascii="Arial" w:hAnsi="Arial" w:cs="Arial"/>
                <w:sz w:val="28"/>
              </w:rPr>
            </w:pPr>
            <w:r w:rsidRPr="00750626">
              <w:rPr>
                <w:rFonts w:ascii="Arial" w:hAnsi="Arial" w:cs="Arial"/>
                <w:sz w:val="22"/>
              </w:rPr>
              <w:t xml:space="preserve">Furthermore, one of the </w:t>
            </w:r>
            <w:proofErr w:type="spellStart"/>
            <w:r w:rsidRPr="00750626">
              <w:rPr>
                <w:rFonts w:ascii="Arial" w:hAnsi="Arial" w:cs="Arial"/>
                <w:sz w:val="22"/>
              </w:rPr>
              <w:t>Medsafe’s</w:t>
            </w:r>
            <w:proofErr w:type="spellEnd"/>
            <w:r w:rsidRPr="00750626">
              <w:rPr>
                <w:rFonts w:ascii="Arial" w:hAnsi="Arial" w:cs="Arial"/>
                <w:sz w:val="22"/>
              </w:rPr>
              <w:t xml:space="preserve"> committees, the Medicines Cl</w:t>
            </w:r>
            <w:r w:rsidR="00A51DE4">
              <w:rPr>
                <w:rFonts w:ascii="Arial" w:hAnsi="Arial" w:cs="Arial"/>
                <w:sz w:val="22"/>
              </w:rPr>
              <w:t>assification Committee (MCC) have</w:t>
            </w:r>
            <w:r w:rsidRPr="00750626">
              <w:rPr>
                <w:rFonts w:ascii="Arial" w:hAnsi="Arial" w:cs="Arial"/>
                <w:sz w:val="22"/>
              </w:rPr>
              <w:t xml:space="preserve"> tasked </w:t>
            </w:r>
            <w:proofErr w:type="spellStart"/>
            <w:r w:rsidRPr="00750626">
              <w:rPr>
                <w:rFonts w:ascii="Arial" w:hAnsi="Arial" w:cs="Arial"/>
                <w:sz w:val="22"/>
              </w:rPr>
              <w:t>Medsafe</w:t>
            </w:r>
            <w:proofErr w:type="spellEnd"/>
            <w:r w:rsidR="00A51DE4">
              <w:rPr>
                <w:rFonts w:ascii="Arial" w:hAnsi="Arial" w:cs="Arial"/>
                <w:sz w:val="22"/>
              </w:rPr>
              <w:t xml:space="preserve"> with writing</w:t>
            </w:r>
            <w:r w:rsidRPr="00750626">
              <w:rPr>
                <w:rFonts w:ascii="Arial" w:hAnsi="Arial" w:cs="Arial"/>
                <w:sz w:val="22"/>
              </w:rPr>
              <w:t xml:space="preserve"> to professional bodies with regard to the importance of education around acute and chronic pain management</w:t>
            </w:r>
            <w:r w:rsidR="00A51DE4">
              <w:rPr>
                <w:rFonts w:ascii="Arial" w:hAnsi="Arial" w:cs="Arial"/>
                <w:sz w:val="22"/>
              </w:rPr>
              <w:t xml:space="preserve">. MCC also tasked </w:t>
            </w:r>
            <w:proofErr w:type="spellStart"/>
            <w:r w:rsidR="00A51DE4">
              <w:rPr>
                <w:rFonts w:ascii="Arial" w:hAnsi="Arial" w:cs="Arial"/>
                <w:sz w:val="22"/>
              </w:rPr>
              <w:t>Medsafe</w:t>
            </w:r>
            <w:proofErr w:type="spellEnd"/>
            <w:r w:rsidR="00A51DE4">
              <w:rPr>
                <w:rFonts w:ascii="Arial" w:hAnsi="Arial" w:cs="Arial"/>
                <w:sz w:val="22"/>
              </w:rPr>
              <w:t xml:space="preserve"> with exploring </w:t>
            </w:r>
            <w:r w:rsidRPr="00750626">
              <w:rPr>
                <w:rFonts w:ascii="Arial" w:hAnsi="Arial" w:cs="Arial"/>
                <w:sz w:val="22"/>
              </w:rPr>
              <w:t>options via which</w:t>
            </w:r>
            <w:r w:rsidR="00451DD7" w:rsidRPr="00750626">
              <w:rPr>
                <w:rFonts w:ascii="Arial" w:hAnsi="Arial" w:cs="Arial"/>
                <w:sz w:val="22"/>
              </w:rPr>
              <w:t xml:space="preserve"> the</w:t>
            </w:r>
            <w:r w:rsidRPr="00750626">
              <w:rPr>
                <w:rFonts w:ascii="Arial" w:hAnsi="Arial" w:cs="Arial"/>
                <w:sz w:val="22"/>
              </w:rPr>
              <w:t xml:space="preserve"> MCC </w:t>
            </w:r>
            <w:r w:rsidR="00451DD7" w:rsidRPr="00750626">
              <w:rPr>
                <w:rFonts w:ascii="Arial" w:hAnsi="Arial" w:cs="Arial"/>
                <w:sz w:val="22"/>
              </w:rPr>
              <w:t>can</w:t>
            </w:r>
            <w:r w:rsidRPr="00750626">
              <w:rPr>
                <w:rFonts w:ascii="Arial" w:hAnsi="Arial" w:cs="Arial"/>
                <w:sz w:val="22"/>
              </w:rPr>
              <w:t xml:space="preserve"> advocate a real time opioid dispensing and monitoring system to identify problematic use. </w:t>
            </w:r>
          </w:p>
          <w:p w14:paraId="241E74E3" w14:textId="77777777" w:rsidR="009262F8" w:rsidRPr="00750626" w:rsidRDefault="009262F8" w:rsidP="000E3589">
            <w:pPr>
              <w:rPr>
                <w:rFonts w:ascii="Arial" w:hAnsi="Arial" w:cs="Arial"/>
                <w:sz w:val="28"/>
              </w:rPr>
            </w:pPr>
          </w:p>
          <w:p w14:paraId="73EEBF47" w14:textId="706B6BDB" w:rsidR="009262F8" w:rsidRPr="00750626" w:rsidRDefault="009262F8" w:rsidP="009262F8">
            <w:pPr>
              <w:rPr>
                <w:rFonts w:ascii="Arial" w:hAnsi="Arial" w:cs="Arial"/>
                <w:sz w:val="28"/>
              </w:rPr>
            </w:pPr>
            <w:r w:rsidRPr="00750626">
              <w:rPr>
                <w:rFonts w:ascii="Arial" w:hAnsi="Arial" w:cs="Arial"/>
                <w:sz w:val="22"/>
              </w:rPr>
              <w:t xml:space="preserve">It was </w:t>
            </w:r>
            <w:r w:rsidR="0079028F" w:rsidRPr="00750626">
              <w:rPr>
                <w:rFonts w:ascii="Arial" w:hAnsi="Arial" w:cs="Arial"/>
                <w:sz w:val="22"/>
              </w:rPr>
              <w:t xml:space="preserve">noted </w:t>
            </w:r>
            <w:r w:rsidRPr="00750626">
              <w:rPr>
                <w:rFonts w:ascii="Arial" w:hAnsi="Arial" w:cs="Arial"/>
                <w:sz w:val="22"/>
              </w:rPr>
              <w:t>that the message to prescribers be b</w:t>
            </w:r>
            <w:r w:rsidR="00DC5E35" w:rsidRPr="00750626">
              <w:rPr>
                <w:rFonts w:ascii="Arial" w:hAnsi="Arial" w:cs="Arial"/>
                <w:sz w:val="22"/>
              </w:rPr>
              <w:t xml:space="preserve">alanced </w:t>
            </w:r>
            <w:r w:rsidRPr="00750626">
              <w:rPr>
                <w:rFonts w:ascii="Arial" w:hAnsi="Arial" w:cs="Arial"/>
                <w:sz w:val="22"/>
              </w:rPr>
              <w:t>so prescribers do not develop a negative connotation associated with prescribing opioids</w:t>
            </w:r>
            <w:r w:rsidR="00451DD7" w:rsidRPr="00750626">
              <w:rPr>
                <w:rFonts w:ascii="Arial" w:hAnsi="Arial" w:cs="Arial"/>
                <w:sz w:val="22"/>
              </w:rPr>
              <w:t>,</w:t>
            </w:r>
            <w:r w:rsidRPr="00750626">
              <w:rPr>
                <w:rFonts w:ascii="Arial" w:hAnsi="Arial" w:cs="Arial"/>
                <w:sz w:val="22"/>
              </w:rPr>
              <w:t xml:space="preserve"> as some opioids are necessary for </w:t>
            </w:r>
            <w:r w:rsidR="00451DD7" w:rsidRPr="00750626">
              <w:rPr>
                <w:rFonts w:ascii="Arial" w:hAnsi="Arial" w:cs="Arial"/>
                <w:sz w:val="22"/>
              </w:rPr>
              <w:t xml:space="preserve">pain management in </w:t>
            </w:r>
            <w:r w:rsidRPr="00750626">
              <w:rPr>
                <w:rFonts w:ascii="Arial" w:hAnsi="Arial" w:cs="Arial"/>
                <w:sz w:val="22"/>
              </w:rPr>
              <w:t>patients.</w:t>
            </w:r>
          </w:p>
          <w:p w14:paraId="5F03EC71" w14:textId="292CEC66" w:rsidR="00E33B33" w:rsidRPr="00750626" w:rsidRDefault="009262F8" w:rsidP="009262F8">
            <w:pPr>
              <w:rPr>
                <w:rFonts w:ascii="Arial" w:hAnsi="Arial" w:cs="Arial"/>
                <w:sz w:val="28"/>
              </w:rPr>
            </w:pPr>
            <w:r w:rsidRPr="00750626">
              <w:rPr>
                <w:rFonts w:ascii="Arial" w:hAnsi="Arial" w:cs="Arial"/>
                <w:sz w:val="22"/>
              </w:rPr>
              <w:lastRenderedPageBreak/>
              <w:tab/>
            </w:r>
          </w:p>
        </w:tc>
      </w:tr>
      <w:tr w:rsidR="005247A1" w:rsidRPr="00750626" w14:paraId="01EDE97F" w14:textId="77777777" w:rsidTr="00C73693">
        <w:tc>
          <w:tcPr>
            <w:tcW w:w="880" w:type="dxa"/>
          </w:tcPr>
          <w:p w14:paraId="5B06E137" w14:textId="263284FC" w:rsidR="005247A1" w:rsidRPr="00750626" w:rsidRDefault="00671439" w:rsidP="00AB5BE7">
            <w:pPr>
              <w:tabs>
                <w:tab w:val="right" w:leader="underscore" w:pos="5670"/>
                <w:tab w:val="left" w:pos="6237"/>
              </w:tabs>
              <w:rPr>
                <w:rFonts w:ascii="Arial" w:hAnsi="Arial" w:cs="Arial"/>
                <w:b/>
                <w:sz w:val="28"/>
              </w:rPr>
            </w:pPr>
            <w:r w:rsidRPr="00750626">
              <w:rPr>
                <w:rFonts w:ascii="Arial" w:hAnsi="Arial" w:cs="Arial"/>
                <w:b/>
                <w:sz w:val="22"/>
              </w:rPr>
              <w:lastRenderedPageBreak/>
              <w:t>6</w:t>
            </w:r>
          </w:p>
        </w:tc>
        <w:tc>
          <w:tcPr>
            <w:tcW w:w="8925" w:type="dxa"/>
          </w:tcPr>
          <w:p w14:paraId="3B73C775" w14:textId="6070917E" w:rsidR="001F37CC" w:rsidRPr="00750626" w:rsidRDefault="007551F6" w:rsidP="001F37CC">
            <w:pPr>
              <w:tabs>
                <w:tab w:val="right" w:leader="underscore" w:pos="5670"/>
                <w:tab w:val="left" w:pos="6237"/>
              </w:tabs>
              <w:rPr>
                <w:rFonts w:ascii="Arial" w:hAnsi="Arial" w:cs="Arial"/>
                <w:b/>
                <w:sz w:val="28"/>
              </w:rPr>
            </w:pPr>
            <w:r w:rsidRPr="00750626">
              <w:rPr>
                <w:rFonts w:ascii="Arial" w:hAnsi="Arial" w:cs="Arial"/>
                <w:b/>
                <w:sz w:val="22"/>
              </w:rPr>
              <w:t>Tramadol</w:t>
            </w:r>
          </w:p>
          <w:p w14:paraId="4DA736E5" w14:textId="6415A0B9" w:rsidR="00D444D6" w:rsidRPr="00750626" w:rsidRDefault="000B137A" w:rsidP="00945B70">
            <w:pPr>
              <w:rPr>
                <w:rFonts w:ascii="Arial" w:hAnsi="Arial" w:cs="Arial"/>
                <w:sz w:val="28"/>
              </w:rPr>
            </w:pPr>
            <w:r w:rsidRPr="00750626">
              <w:rPr>
                <w:rFonts w:ascii="Arial" w:hAnsi="Arial" w:cs="Arial"/>
                <w:sz w:val="22"/>
              </w:rPr>
              <w:t xml:space="preserve">Tramadol </w:t>
            </w:r>
            <w:r w:rsidR="0086324F" w:rsidRPr="00750626">
              <w:rPr>
                <w:rFonts w:ascii="Arial" w:hAnsi="Arial" w:cs="Arial"/>
                <w:sz w:val="22"/>
              </w:rPr>
              <w:t>had</w:t>
            </w:r>
            <w:r w:rsidRPr="00750626">
              <w:rPr>
                <w:rFonts w:ascii="Arial" w:hAnsi="Arial" w:cs="Arial"/>
                <w:sz w:val="22"/>
              </w:rPr>
              <w:t xml:space="preserve"> </w:t>
            </w:r>
            <w:r w:rsidR="00CD55AA" w:rsidRPr="00750626">
              <w:rPr>
                <w:rFonts w:ascii="Arial" w:hAnsi="Arial" w:cs="Arial"/>
                <w:sz w:val="22"/>
              </w:rPr>
              <w:t>previously</w:t>
            </w:r>
            <w:r w:rsidR="0086324F" w:rsidRPr="00750626">
              <w:rPr>
                <w:rFonts w:ascii="Arial" w:hAnsi="Arial" w:cs="Arial"/>
                <w:sz w:val="22"/>
              </w:rPr>
              <w:t xml:space="preserve"> been</w:t>
            </w:r>
            <w:r w:rsidRPr="00750626">
              <w:rPr>
                <w:rFonts w:ascii="Arial" w:hAnsi="Arial" w:cs="Arial"/>
                <w:sz w:val="22"/>
              </w:rPr>
              <w:t xml:space="preserve"> reviewed</w:t>
            </w:r>
            <w:r w:rsidR="00CD55AA" w:rsidRPr="00750626">
              <w:rPr>
                <w:rFonts w:ascii="Arial" w:hAnsi="Arial" w:cs="Arial"/>
                <w:sz w:val="22"/>
              </w:rPr>
              <w:t xml:space="preserve"> by the </w:t>
            </w:r>
            <w:r w:rsidR="003D5799" w:rsidRPr="00750626">
              <w:rPr>
                <w:rFonts w:ascii="Arial" w:hAnsi="Arial" w:cs="Arial"/>
                <w:sz w:val="22"/>
              </w:rPr>
              <w:t xml:space="preserve">Committee </w:t>
            </w:r>
            <w:r w:rsidR="0086324F" w:rsidRPr="00750626">
              <w:rPr>
                <w:rFonts w:ascii="Arial" w:hAnsi="Arial" w:cs="Arial"/>
                <w:sz w:val="22"/>
              </w:rPr>
              <w:t xml:space="preserve">a few times but </w:t>
            </w:r>
            <w:r w:rsidR="00CD55AA" w:rsidRPr="00750626">
              <w:rPr>
                <w:rFonts w:ascii="Arial" w:hAnsi="Arial" w:cs="Arial"/>
                <w:sz w:val="22"/>
              </w:rPr>
              <w:t>it</w:t>
            </w:r>
            <w:r w:rsidR="0086324F" w:rsidRPr="00750626">
              <w:rPr>
                <w:rFonts w:ascii="Arial" w:hAnsi="Arial" w:cs="Arial"/>
                <w:sz w:val="22"/>
              </w:rPr>
              <w:t xml:space="preserve"> had not been put forward for </w:t>
            </w:r>
            <w:r w:rsidR="00CD55AA" w:rsidRPr="00750626">
              <w:rPr>
                <w:rFonts w:ascii="Arial" w:hAnsi="Arial" w:cs="Arial"/>
                <w:sz w:val="22"/>
              </w:rPr>
              <w:t>classification</w:t>
            </w:r>
            <w:r w:rsidR="0086324F" w:rsidRPr="00750626">
              <w:rPr>
                <w:rFonts w:ascii="Arial" w:hAnsi="Arial" w:cs="Arial"/>
                <w:sz w:val="22"/>
              </w:rPr>
              <w:t xml:space="preserve"> under </w:t>
            </w:r>
            <w:proofErr w:type="spellStart"/>
            <w:r w:rsidR="0086324F" w:rsidRPr="00750626">
              <w:rPr>
                <w:rFonts w:ascii="Arial" w:hAnsi="Arial" w:cs="Arial"/>
                <w:sz w:val="22"/>
              </w:rPr>
              <w:t>MoDA</w:t>
            </w:r>
            <w:proofErr w:type="spellEnd"/>
            <w:r w:rsidR="0086324F" w:rsidRPr="00750626">
              <w:rPr>
                <w:rFonts w:ascii="Arial" w:hAnsi="Arial" w:cs="Arial"/>
                <w:sz w:val="22"/>
              </w:rPr>
              <w:t xml:space="preserve"> </w:t>
            </w:r>
            <w:r w:rsidR="00CD55AA" w:rsidRPr="00750626">
              <w:rPr>
                <w:rFonts w:ascii="Arial" w:hAnsi="Arial" w:cs="Arial"/>
                <w:sz w:val="22"/>
              </w:rPr>
              <w:t xml:space="preserve">due to lack of evidence of harm in New Zealand. </w:t>
            </w:r>
          </w:p>
          <w:p w14:paraId="6825C41E" w14:textId="77777777" w:rsidR="00CD55AA" w:rsidRPr="00750626" w:rsidRDefault="00CD55AA" w:rsidP="00945B70">
            <w:pPr>
              <w:rPr>
                <w:rFonts w:ascii="Arial" w:hAnsi="Arial" w:cs="Arial"/>
                <w:sz w:val="28"/>
              </w:rPr>
            </w:pPr>
          </w:p>
          <w:p w14:paraId="3D9CECC1" w14:textId="129951E0" w:rsidR="000B137A" w:rsidRPr="00750626" w:rsidRDefault="00894472" w:rsidP="00945B70">
            <w:pPr>
              <w:rPr>
                <w:rFonts w:ascii="Arial" w:hAnsi="Arial" w:cs="Arial"/>
                <w:sz w:val="28"/>
              </w:rPr>
            </w:pPr>
            <w:r w:rsidRPr="00894472">
              <w:rPr>
                <w:rFonts w:ascii="Arial" w:hAnsi="Arial" w:cs="Arial"/>
                <w:sz w:val="22"/>
                <w:lang w:val="en-GB"/>
              </w:rPr>
              <w:t>[</w:t>
            </w:r>
            <w:proofErr w:type="gramStart"/>
            <w:r w:rsidRPr="00894472">
              <w:rPr>
                <w:rFonts w:ascii="Arial" w:hAnsi="Arial" w:cs="Arial"/>
                <w:sz w:val="22"/>
                <w:lang w:val="en-GB"/>
              </w:rPr>
              <w:t>redacted</w:t>
            </w:r>
            <w:proofErr w:type="gramEnd"/>
            <w:r w:rsidRPr="00894472">
              <w:rPr>
                <w:rFonts w:ascii="Arial" w:hAnsi="Arial" w:cs="Arial"/>
                <w:sz w:val="22"/>
                <w:lang w:val="en-GB"/>
              </w:rPr>
              <w:t xml:space="preserve">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86324F" w:rsidRPr="00750626">
              <w:rPr>
                <w:rFonts w:ascii="Arial" w:hAnsi="Arial" w:cs="Arial"/>
                <w:sz w:val="22"/>
              </w:rPr>
              <w:t>had</w:t>
            </w:r>
            <w:r w:rsidR="001D4210" w:rsidRPr="00750626">
              <w:rPr>
                <w:rFonts w:ascii="Arial" w:hAnsi="Arial" w:cs="Arial"/>
                <w:sz w:val="22"/>
              </w:rPr>
              <w:t xml:space="preserve"> </w:t>
            </w:r>
            <w:r w:rsidR="0086324F" w:rsidRPr="00750626">
              <w:rPr>
                <w:rFonts w:ascii="Arial" w:hAnsi="Arial" w:cs="Arial"/>
                <w:sz w:val="22"/>
              </w:rPr>
              <w:t xml:space="preserve">provided data on </w:t>
            </w:r>
            <w:r w:rsidR="003D5799" w:rsidRPr="00750626">
              <w:rPr>
                <w:rFonts w:ascii="Arial" w:hAnsi="Arial" w:cs="Arial"/>
                <w:sz w:val="22"/>
              </w:rPr>
              <w:t xml:space="preserve">the </w:t>
            </w:r>
            <w:r w:rsidR="0086324F" w:rsidRPr="00750626">
              <w:rPr>
                <w:rFonts w:ascii="Arial" w:hAnsi="Arial" w:cs="Arial"/>
                <w:sz w:val="22"/>
              </w:rPr>
              <w:t>misuse of tramadol in N</w:t>
            </w:r>
            <w:r w:rsidR="004A54FB">
              <w:rPr>
                <w:rFonts w:ascii="Arial" w:hAnsi="Arial" w:cs="Arial"/>
                <w:sz w:val="22"/>
              </w:rPr>
              <w:t xml:space="preserve">ew </w:t>
            </w:r>
            <w:r w:rsidR="0086324F" w:rsidRPr="00750626">
              <w:rPr>
                <w:rFonts w:ascii="Arial" w:hAnsi="Arial" w:cs="Arial"/>
                <w:sz w:val="22"/>
              </w:rPr>
              <w:t>Z</w:t>
            </w:r>
            <w:r w:rsidR="004A54FB">
              <w:rPr>
                <w:rFonts w:ascii="Arial" w:hAnsi="Arial" w:cs="Arial"/>
                <w:sz w:val="22"/>
              </w:rPr>
              <w:t>ealand</w:t>
            </w:r>
            <w:r w:rsidR="0086324F" w:rsidRPr="00750626">
              <w:rPr>
                <w:rFonts w:ascii="Arial" w:hAnsi="Arial" w:cs="Arial"/>
                <w:sz w:val="22"/>
              </w:rPr>
              <w:t xml:space="preserve"> prior to th</w:t>
            </w:r>
            <w:r w:rsidR="003D5799" w:rsidRPr="00750626">
              <w:rPr>
                <w:rFonts w:ascii="Arial" w:hAnsi="Arial" w:cs="Arial"/>
                <w:sz w:val="22"/>
              </w:rPr>
              <w:t>e</w:t>
            </w:r>
            <w:r w:rsidR="0086324F" w:rsidRPr="00750626">
              <w:rPr>
                <w:rFonts w:ascii="Arial" w:hAnsi="Arial" w:cs="Arial"/>
                <w:sz w:val="22"/>
              </w:rPr>
              <w:t xml:space="preserve"> meeting</w:t>
            </w:r>
            <w:r w:rsidR="00451DD7" w:rsidRPr="00750626">
              <w:rPr>
                <w:rFonts w:ascii="Arial" w:hAnsi="Arial" w:cs="Arial"/>
                <w:sz w:val="22"/>
              </w:rPr>
              <w:t xml:space="preserve"> in the form of two case studies</w:t>
            </w:r>
            <w:r w:rsidR="000B137A" w:rsidRPr="00750626">
              <w:rPr>
                <w:rFonts w:ascii="Arial" w:hAnsi="Arial" w:cs="Arial"/>
                <w:sz w:val="22"/>
              </w:rPr>
              <w:t xml:space="preserve">. </w:t>
            </w:r>
            <w:r w:rsidR="00941592" w:rsidRPr="00750626">
              <w:rPr>
                <w:rFonts w:ascii="Arial" w:hAnsi="Arial" w:cs="Arial"/>
                <w:sz w:val="22"/>
              </w:rPr>
              <w:t>The data show</w:t>
            </w:r>
            <w:r w:rsidR="00B27590" w:rsidRPr="00750626">
              <w:rPr>
                <w:rFonts w:ascii="Arial" w:hAnsi="Arial" w:cs="Arial"/>
                <w:sz w:val="22"/>
              </w:rPr>
              <w:t>ed</w:t>
            </w:r>
            <w:r w:rsidR="00E33B33" w:rsidRPr="00750626">
              <w:rPr>
                <w:rFonts w:ascii="Arial" w:hAnsi="Arial" w:cs="Arial"/>
                <w:sz w:val="22"/>
              </w:rPr>
              <w:t xml:space="preserve"> </w:t>
            </w:r>
            <w:r w:rsidR="00941592" w:rsidRPr="00750626">
              <w:rPr>
                <w:rFonts w:ascii="Arial" w:hAnsi="Arial" w:cs="Arial"/>
                <w:sz w:val="22"/>
              </w:rPr>
              <w:t xml:space="preserve">that legitimate pain patients who don’t have </w:t>
            </w:r>
            <w:r w:rsidR="00255CB5">
              <w:rPr>
                <w:rFonts w:ascii="Arial" w:hAnsi="Arial" w:cs="Arial"/>
                <w:sz w:val="22"/>
              </w:rPr>
              <w:t>a</w:t>
            </w:r>
            <w:r w:rsidR="00941592" w:rsidRPr="00750626">
              <w:rPr>
                <w:rFonts w:ascii="Arial" w:hAnsi="Arial" w:cs="Arial"/>
                <w:sz w:val="22"/>
              </w:rPr>
              <w:t xml:space="preserve"> history of substance use disorder (SUD) can develop tolerance and eventually</w:t>
            </w:r>
            <w:r w:rsidR="003D5799" w:rsidRPr="00750626">
              <w:rPr>
                <w:rFonts w:ascii="Arial" w:hAnsi="Arial" w:cs="Arial"/>
                <w:sz w:val="22"/>
              </w:rPr>
              <w:t xml:space="preserve"> become</w:t>
            </w:r>
            <w:r w:rsidR="00941592" w:rsidRPr="00750626">
              <w:rPr>
                <w:rFonts w:ascii="Arial" w:hAnsi="Arial" w:cs="Arial"/>
                <w:sz w:val="22"/>
              </w:rPr>
              <w:t xml:space="preserve"> addicted to tramadol.  This</w:t>
            </w:r>
            <w:r w:rsidR="00255CB5">
              <w:rPr>
                <w:rFonts w:ascii="Arial" w:hAnsi="Arial" w:cs="Arial"/>
                <w:sz w:val="22"/>
              </w:rPr>
              <w:t xml:space="preserve"> case highlighted</w:t>
            </w:r>
            <w:r w:rsidR="00941592" w:rsidRPr="00750626">
              <w:rPr>
                <w:rFonts w:ascii="Arial" w:hAnsi="Arial" w:cs="Arial"/>
                <w:sz w:val="22"/>
              </w:rPr>
              <w:t xml:space="preserve"> the need for education </w:t>
            </w:r>
            <w:r w:rsidR="003D5799" w:rsidRPr="00750626">
              <w:rPr>
                <w:rFonts w:ascii="Arial" w:hAnsi="Arial" w:cs="Arial"/>
                <w:sz w:val="22"/>
              </w:rPr>
              <w:t>for</w:t>
            </w:r>
            <w:r w:rsidR="00941592" w:rsidRPr="00750626">
              <w:rPr>
                <w:rFonts w:ascii="Arial" w:hAnsi="Arial" w:cs="Arial"/>
                <w:sz w:val="22"/>
              </w:rPr>
              <w:t xml:space="preserve"> both prescribers and </w:t>
            </w:r>
            <w:r w:rsidR="003D5799" w:rsidRPr="00750626">
              <w:rPr>
                <w:rFonts w:ascii="Arial" w:hAnsi="Arial" w:cs="Arial"/>
                <w:sz w:val="22"/>
              </w:rPr>
              <w:t xml:space="preserve">the </w:t>
            </w:r>
            <w:r w:rsidR="00941592" w:rsidRPr="00750626">
              <w:rPr>
                <w:rFonts w:ascii="Arial" w:hAnsi="Arial" w:cs="Arial"/>
                <w:sz w:val="22"/>
              </w:rPr>
              <w:t xml:space="preserve">public about the possible dependence and risks associated with tramadol. The other case showed that prescribers must </w:t>
            </w:r>
            <w:r w:rsidR="006544D9" w:rsidRPr="00750626">
              <w:rPr>
                <w:rFonts w:ascii="Arial" w:hAnsi="Arial" w:cs="Arial"/>
                <w:sz w:val="22"/>
              </w:rPr>
              <w:t>be</w:t>
            </w:r>
            <w:r w:rsidR="00941592" w:rsidRPr="00750626">
              <w:rPr>
                <w:rFonts w:ascii="Arial" w:hAnsi="Arial" w:cs="Arial"/>
                <w:sz w:val="22"/>
              </w:rPr>
              <w:t xml:space="preserve"> care</w:t>
            </w:r>
            <w:r w:rsidR="006544D9" w:rsidRPr="00750626">
              <w:rPr>
                <w:rFonts w:ascii="Arial" w:hAnsi="Arial" w:cs="Arial"/>
                <w:sz w:val="22"/>
              </w:rPr>
              <w:t>ful</w:t>
            </w:r>
            <w:r w:rsidR="00941592" w:rsidRPr="00750626">
              <w:rPr>
                <w:rFonts w:ascii="Arial" w:hAnsi="Arial" w:cs="Arial"/>
                <w:sz w:val="22"/>
              </w:rPr>
              <w:t xml:space="preserve"> when prescribing tramadol to a patient with past history of SUD</w:t>
            </w:r>
            <w:r w:rsidR="00B27590" w:rsidRPr="00750626">
              <w:rPr>
                <w:rFonts w:ascii="Arial" w:hAnsi="Arial" w:cs="Arial"/>
                <w:sz w:val="22"/>
              </w:rPr>
              <w:t>.</w:t>
            </w:r>
            <w:r w:rsidR="00E43340" w:rsidRPr="00750626">
              <w:rPr>
                <w:rFonts w:ascii="Arial" w:hAnsi="Arial" w:cs="Arial"/>
                <w:sz w:val="22"/>
              </w:rPr>
              <w:t xml:space="preserve"> </w:t>
            </w:r>
          </w:p>
          <w:p w14:paraId="308E0E44" w14:textId="77777777" w:rsidR="00941592" w:rsidRPr="00750626" w:rsidRDefault="00941592" w:rsidP="00945B70">
            <w:pPr>
              <w:rPr>
                <w:rFonts w:ascii="Arial" w:hAnsi="Arial" w:cs="Arial"/>
                <w:sz w:val="28"/>
              </w:rPr>
            </w:pPr>
          </w:p>
          <w:p w14:paraId="12B655FA" w14:textId="149ABA5A" w:rsidR="000B137A" w:rsidRPr="00750626" w:rsidRDefault="00894472" w:rsidP="00460FED">
            <w:pPr>
              <w:autoSpaceDE w:val="0"/>
              <w:autoSpaceDN w:val="0"/>
              <w:adjustRightInd w:val="0"/>
              <w:rPr>
                <w:rFonts w:ascii="Arial" w:hAnsi="Arial" w:cs="Arial"/>
                <w:sz w:val="28"/>
              </w:rPr>
            </w:pPr>
            <w:r w:rsidRPr="00894472">
              <w:rPr>
                <w:rFonts w:ascii="Arial" w:hAnsi="Arial" w:cs="Arial"/>
                <w:sz w:val="22"/>
                <w:lang w:val="en-GB"/>
              </w:rPr>
              <w:t>[</w:t>
            </w:r>
            <w:proofErr w:type="gramStart"/>
            <w:r w:rsidRPr="00894472">
              <w:rPr>
                <w:rFonts w:ascii="Arial" w:hAnsi="Arial" w:cs="Arial"/>
                <w:sz w:val="22"/>
                <w:lang w:val="en-GB"/>
              </w:rPr>
              <w:t>redacted</w:t>
            </w:r>
            <w:proofErr w:type="gramEnd"/>
            <w:r w:rsidRPr="00894472">
              <w:rPr>
                <w:rFonts w:ascii="Arial" w:hAnsi="Arial" w:cs="Arial"/>
                <w:sz w:val="22"/>
                <w:lang w:val="en-GB"/>
              </w:rPr>
              <w:t xml:space="preserve">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941592" w:rsidRPr="00750626">
              <w:rPr>
                <w:rFonts w:ascii="Arial" w:hAnsi="Arial" w:cs="Arial"/>
                <w:sz w:val="22"/>
              </w:rPr>
              <w:t xml:space="preserve">also </w:t>
            </w:r>
            <w:r w:rsidR="00B27590" w:rsidRPr="00750626">
              <w:rPr>
                <w:rFonts w:ascii="Arial" w:hAnsi="Arial" w:cs="Arial"/>
                <w:sz w:val="22"/>
              </w:rPr>
              <w:t>noted that the number of admissions to addiction services for tramadol dependence is increasing and the number is not insignificant</w:t>
            </w:r>
            <w:r w:rsidR="00460FED" w:rsidRPr="00750626">
              <w:rPr>
                <w:rFonts w:ascii="Arial" w:hAnsi="Arial" w:cs="Arial"/>
                <w:sz w:val="22"/>
              </w:rPr>
              <w:t xml:space="preserve">. </w:t>
            </w:r>
          </w:p>
          <w:p w14:paraId="5F367AD8" w14:textId="77777777" w:rsidR="00460FED" w:rsidRPr="00750626" w:rsidRDefault="00460FED" w:rsidP="00460FED">
            <w:pPr>
              <w:autoSpaceDE w:val="0"/>
              <w:autoSpaceDN w:val="0"/>
              <w:adjustRightInd w:val="0"/>
              <w:rPr>
                <w:rFonts w:ascii="Arial" w:hAnsi="Arial" w:cs="Arial"/>
                <w:sz w:val="28"/>
              </w:rPr>
            </w:pPr>
          </w:p>
          <w:p w14:paraId="725E3913" w14:textId="06149D32" w:rsidR="000B137A" w:rsidRPr="00750626" w:rsidRDefault="00894472" w:rsidP="00945B70">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460FED" w:rsidRPr="00750626">
              <w:rPr>
                <w:rFonts w:ascii="Arial" w:hAnsi="Arial" w:cs="Arial"/>
                <w:sz w:val="22"/>
              </w:rPr>
              <w:t xml:space="preserve">proposed to </w:t>
            </w:r>
            <w:r w:rsidR="000B137A" w:rsidRPr="00750626">
              <w:rPr>
                <w:rFonts w:ascii="Arial" w:hAnsi="Arial" w:cs="Arial"/>
                <w:sz w:val="22"/>
              </w:rPr>
              <w:t xml:space="preserve">classify tramadol as a controlled drug </w:t>
            </w:r>
            <w:r w:rsidR="0091274F" w:rsidRPr="00750626">
              <w:rPr>
                <w:rFonts w:ascii="Arial" w:hAnsi="Arial" w:cs="Arial"/>
                <w:sz w:val="22"/>
              </w:rPr>
              <w:t>to send a clear message to</w:t>
            </w:r>
            <w:r w:rsidR="00460FED" w:rsidRPr="00750626">
              <w:rPr>
                <w:rFonts w:ascii="Arial" w:hAnsi="Arial" w:cs="Arial"/>
                <w:sz w:val="22"/>
              </w:rPr>
              <w:t xml:space="preserve"> both prescribers and patients </w:t>
            </w:r>
            <w:r w:rsidR="0091274F" w:rsidRPr="00750626">
              <w:rPr>
                <w:rFonts w:ascii="Arial" w:hAnsi="Arial" w:cs="Arial"/>
                <w:sz w:val="22"/>
              </w:rPr>
              <w:t>that tramadol is</w:t>
            </w:r>
            <w:r w:rsidR="00460FED" w:rsidRPr="00750626">
              <w:rPr>
                <w:rFonts w:ascii="Arial" w:hAnsi="Arial" w:cs="Arial"/>
                <w:sz w:val="22"/>
              </w:rPr>
              <w:t xml:space="preserve"> an addictive opiate and </w:t>
            </w:r>
            <w:r w:rsidR="006E655C" w:rsidRPr="00750626">
              <w:rPr>
                <w:rFonts w:ascii="Arial" w:hAnsi="Arial" w:cs="Arial"/>
                <w:sz w:val="22"/>
              </w:rPr>
              <w:t xml:space="preserve">also to </w:t>
            </w:r>
            <w:r w:rsidR="00460FED" w:rsidRPr="00750626">
              <w:rPr>
                <w:rFonts w:ascii="Arial" w:hAnsi="Arial" w:cs="Arial"/>
                <w:sz w:val="22"/>
              </w:rPr>
              <w:t xml:space="preserve">be </w:t>
            </w:r>
            <w:r w:rsidR="006E655C" w:rsidRPr="00750626">
              <w:rPr>
                <w:rFonts w:ascii="Arial" w:hAnsi="Arial" w:cs="Arial"/>
                <w:sz w:val="22"/>
              </w:rPr>
              <w:t>consistent with the current classifications of other controlled drugs such as</w:t>
            </w:r>
            <w:r w:rsidR="00460FED" w:rsidRPr="00750626">
              <w:rPr>
                <w:rFonts w:ascii="Arial" w:hAnsi="Arial" w:cs="Arial"/>
                <w:sz w:val="22"/>
              </w:rPr>
              <w:t xml:space="preserve"> </w:t>
            </w:r>
            <w:r w:rsidR="006E655C" w:rsidRPr="00750626">
              <w:rPr>
                <w:rFonts w:ascii="Arial" w:hAnsi="Arial" w:cs="Arial"/>
                <w:sz w:val="22"/>
              </w:rPr>
              <w:t>codeine, benzos</w:t>
            </w:r>
            <w:r w:rsidR="000636DF" w:rsidRPr="00750626">
              <w:rPr>
                <w:rFonts w:ascii="Arial" w:hAnsi="Arial" w:cs="Arial"/>
                <w:sz w:val="22"/>
              </w:rPr>
              <w:t>,</w:t>
            </w:r>
            <w:r w:rsidR="006E655C" w:rsidRPr="00750626">
              <w:rPr>
                <w:rFonts w:ascii="Arial" w:hAnsi="Arial" w:cs="Arial"/>
                <w:sz w:val="22"/>
              </w:rPr>
              <w:t xml:space="preserve"> and other opioids in N</w:t>
            </w:r>
            <w:r w:rsidR="004A54FB">
              <w:rPr>
                <w:rFonts w:ascii="Arial" w:hAnsi="Arial" w:cs="Arial"/>
                <w:sz w:val="22"/>
              </w:rPr>
              <w:t xml:space="preserve">ew </w:t>
            </w:r>
            <w:r w:rsidR="006E655C" w:rsidRPr="00750626">
              <w:rPr>
                <w:rFonts w:ascii="Arial" w:hAnsi="Arial" w:cs="Arial"/>
                <w:sz w:val="22"/>
              </w:rPr>
              <w:t>Z</w:t>
            </w:r>
            <w:r w:rsidR="004A54FB">
              <w:rPr>
                <w:rFonts w:ascii="Arial" w:hAnsi="Arial" w:cs="Arial"/>
                <w:sz w:val="22"/>
              </w:rPr>
              <w:t>ealand</w:t>
            </w:r>
            <w:r w:rsidR="00460FED" w:rsidRPr="00750626">
              <w:rPr>
                <w:rFonts w:ascii="Arial" w:hAnsi="Arial" w:cs="Arial"/>
                <w:sz w:val="22"/>
              </w:rPr>
              <w:t>.</w:t>
            </w:r>
            <w:r w:rsidR="00C52DA3" w:rsidRPr="00750626">
              <w:rPr>
                <w:rFonts w:ascii="Arial" w:hAnsi="Arial" w:cs="Arial"/>
                <w:sz w:val="22"/>
              </w:rPr>
              <w:t xml:space="preserve"> </w:t>
            </w:r>
          </w:p>
          <w:p w14:paraId="3167E86F" w14:textId="77777777" w:rsidR="00573F40" w:rsidRPr="00750626" w:rsidRDefault="00573F40" w:rsidP="00945B70">
            <w:pPr>
              <w:rPr>
                <w:rFonts w:ascii="Arial" w:hAnsi="Arial" w:cs="Arial"/>
                <w:sz w:val="28"/>
              </w:rPr>
            </w:pPr>
          </w:p>
          <w:p w14:paraId="6FE33B4C" w14:textId="6EE9795F" w:rsidR="0017138E" w:rsidRPr="00750626" w:rsidRDefault="0017138E" w:rsidP="00945B70">
            <w:pPr>
              <w:rPr>
                <w:rFonts w:ascii="Arial" w:hAnsi="Arial" w:cs="Arial"/>
                <w:sz w:val="28"/>
              </w:rPr>
            </w:pPr>
            <w:r w:rsidRPr="00750626">
              <w:rPr>
                <w:rFonts w:ascii="Arial" w:hAnsi="Arial" w:cs="Arial"/>
                <w:sz w:val="22"/>
              </w:rPr>
              <w:t xml:space="preserve">The Committee discussed the potential impact on </w:t>
            </w:r>
            <w:r w:rsidR="00255CB5">
              <w:rPr>
                <w:rFonts w:ascii="Arial" w:hAnsi="Arial" w:cs="Arial"/>
                <w:sz w:val="22"/>
              </w:rPr>
              <w:t>the industry stakeholders</w:t>
            </w:r>
            <w:r w:rsidRPr="00750626">
              <w:rPr>
                <w:rFonts w:ascii="Arial" w:hAnsi="Arial" w:cs="Arial"/>
                <w:sz w:val="22"/>
              </w:rPr>
              <w:t xml:space="preserve"> of classifying tramadol as a controlled drug and impact of not applying the same exemption attached to codeine. The Committee agreed that the new classification will</w:t>
            </w:r>
            <w:r w:rsidR="00C86CBB" w:rsidRPr="00750626">
              <w:rPr>
                <w:rFonts w:ascii="Arial" w:hAnsi="Arial" w:cs="Arial"/>
                <w:sz w:val="22"/>
              </w:rPr>
              <w:t xml:space="preserve"> not</w:t>
            </w:r>
            <w:r w:rsidRPr="00750626">
              <w:rPr>
                <w:rFonts w:ascii="Arial" w:hAnsi="Arial" w:cs="Arial"/>
                <w:sz w:val="22"/>
              </w:rPr>
              <w:t xml:space="preserve"> cause any extra hu</w:t>
            </w:r>
            <w:r w:rsidR="003D5799" w:rsidRPr="00750626">
              <w:rPr>
                <w:rFonts w:ascii="Arial" w:hAnsi="Arial" w:cs="Arial"/>
                <w:sz w:val="22"/>
              </w:rPr>
              <w:t>r</w:t>
            </w:r>
            <w:r w:rsidRPr="00750626">
              <w:rPr>
                <w:rFonts w:ascii="Arial" w:hAnsi="Arial" w:cs="Arial"/>
                <w:sz w:val="22"/>
              </w:rPr>
              <w:t xml:space="preserve">dles for </w:t>
            </w:r>
            <w:r w:rsidR="00C86CBB" w:rsidRPr="00750626">
              <w:rPr>
                <w:rFonts w:ascii="Arial" w:hAnsi="Arial" w:cs="Arial"/>
                <w:sz w:val="22"/>
              </w:rPr>
              <w:t>t</w:t>
            </w:r>
            <w:r w:rsidRPr="00750626">
              <w:rPr>
                <w:rFonts w:ascii="Arial" w:hAnsi="Arial" w:cs="Arial"/>
                <w:sz w:val="22"/>
              </w:rPr>
              <w:t xml:space="preserve">he </w:t>
            </w:r>
            <w:r w:rsidR="00C86CBB" w:rsidRPr="00750626">
              <w:rPr>
                <w:rFonts w:ascii="Arial" w:hAnsi="Arial" w:cs="Arial"/>
                <w:sz w:val="22"/>
              </w:rPr>
              <w:t>industry stakeholders</w:t>
            </w:r>
            <w:r w:rsidRPr="00750626">
              <w:rPr>
                <w:rFonts w:ascii="Arial" w:hAnsi="Arial" w:cs="Arial"/>
                <w:sz w:val="22"/>
              </w:rPr>
              <w:t xml:space="preserve"> when </w:t>
            </w:r>
            <w:r w:rsidR="00C86CBB" w:rsidRPr="00750626">
              <w:rPr>
                <w:rFonts w:ascii="Arial" w:hAnsi="Arial" w:cs="Arial"/>
                <w:sz w:val="22"/>
              </w:rPr>
              <w:t>supplying</w:t>
            </w:r>
            <w:r w:rsidRPr="00750626">
              <w:rPr>
                <w:rFonts w:ascii="Arial" w:hAnsi="Arial" w:cs="Arial"/>
                <w:sz w:val="22"/>
              </w:rPr>
              <w:t xml:space="preserve"> tramadol given that</w:t>
            </w:r>
            <w:r w:rsidR="00C86CBB" w:rsidRPr="00750626">
              <w:rPr>
                <w:rFonts w:ascii="Arial" w:hAnsi="Arial" w:cs="Arial"/>
                <w:sz w:val="22"/>
              </w:rPr>
              <w:t xml:space="preserve"> it is likely that</w:t>
            </w:r>
            <w:r w:rsidRPr="00750626">
              <w:rPr>
                <w:rFonts w:ascii="Arial" w:hAnsi="Arial" w:cs="Arial"/>
                <w:sz w:val="22"/>
              </w:rPr>
              <w:t xml:space="preserve"> they would already have a safe for morphine and other controlled drugs.</w:t>
            </w:r>
          </w:p>
          <w:p w14:paraId="0852E9E2" w14:textId="77777777" w:rsidR="0017138E" w:rsidRPr="00750626" w:rsidRDefault="0017138E" w:rsidP="00945B70">
            <w:pPr>
              <w:rPr>
                <w:rFonts w:ascii="Arial" w:hAnsi="Arial" w:cs="Arial"/>
                <w:sz w:val="28"/>
              </w:rPr>
            </w:pPr>
          </w:p>
          <w:p w14:paraId="7E536BCA" w14:textId="1E32C709" w:rsidR="001268ED" w:rsidRPr="00750626" w:rsidRDefault="00357261" w:rsidP="00945B70">
            <w:pPr>
              <w:rPr>
                <w:rFonts w:ascii="Arial" w:hAnsi="Arial" w:cs="Arial"/>
                <w:sz w:val="28"/>
              </w:rPr>
            </w:pPr>
            <w:r w:rsidRPr="00750626">
              <w:rPr>
                <w:rFonts w:ascii="Arial" w:hAnsi="Arial" w:cs="Arial"/>
                <w:b/>
                <w:sz w:val="22"/>
              </w:rPr>
              <w:t>Outcome:</w:t>
            </w:r>
            <w:r w:rsidRPr="00750626">
              <w:rPr>
                <w:rFonts w:ascii="Arial" w:hAnsi="Arial" w:cs="Arial"/>
                <w:sz w:val="22"/>
              </w:rPr>
              <w:t xml:space="preserve"> </w:t>
            </w:r>
            <w:r w:rsidR="003D5799" w:rsidRPr="00750626">
              <w:rPr>
                <w:rFonts w:ascii="Arial" w:hAnsi="Arial" w:cs="Arial"/>
                <w:sz w:val="22"/>
              </w:rPr>
              <w:t>T</w:t>
            </w:r>
            <w:r w:rsidR="00AB3FBB" w:rsidRPr="00750626">
              <w:rPr>
                <w:rFonts w:ascii="Arial" w:hAnsi="Arial" w:cs="Arial"/>
                <w:sz w:val="22"/>
              </w:rPr>
              <w:t xml:space="preserve">he Committee were in favour of recommending that </w:t>
            </w:r>
            <w:r w:rsidR="00EA17DF" w:rsidRPr="00750626">
              <w:rPr>
                <w:rFonts w:ascii="Arial" w:hAnsi="Arial" w:cs="Arial"/>
                <w:sz w:val="22"/>
              </w:rPr>
              <w:t>tr</w:t>
            </w:r>
            <w:r w:rsidR="00BD1A38" w:rsidRPr="00750626">
              <w:rPr>
                <w:rFonts w:ascii="Arial" w:hAnsi="Arial" w:cs="Arial"/>
                <w:sz w:val="22"/>
              </w:rPr>
              <w:t>amadol be scheduled as a Class C</w:t>
            </w:r>
            <w:r w:rsidR="00175D38" w:rsidRPr="00750626">
              <w:rPr>
                <w:rFonts w:ascii="Arial" w:hAnsi="Arial" w:cs="Arial"/>
                <w:sz w:val="22"/>
              </w:rPr>
              <w:t>2</w:t>
            </w:r>
            <w:r w:rsidR="00AB3FBB" w:rsidRPr="00750626">
              <w:rPr>
                <w:rFonts w:ascii="Arial" w:hAnsi="Arial" w:cs="Arial"/>
                <w:sz w:val="22"/>
              </w:rPr>
              <w:t xml:space="preserve"> controlled drug under </w:t>
            </w:r>
            <w:proofErr w:type="spellStart"/>
            <w:r w:rsidR="00AB3FBB" w:rsidRPr="00750626">
              <w:rPr>
                <w:rFonts w:ascii="Arial" w:hAnsi="Arial" w:cs="Arial"/>
                <w:sz w:val="22"/>
              </w:rPr>
              <w:t>MoDA</w:t>
            </w:r>
            <w:proofErr w:type="spellEnd"/>
            <w:r w:rsidR="00FB4085" w:rsidRPr="00750626">
              <w:rPr>
                <w:rFonts w:ascii="Arial" w:hAnsi="Arial" w:cs="Arial"/>
                <w:sz w:val="22"/>
              </w:rPr>
              <w:t xml:space="preserve"> d</w:t>
            </w:r>
            <w:r w:rsidRPr="00750626">
              <w:rPr>
                <w:rFonts w:ascii="Arial" w:hAnsi="Arial" w:cs="Arial"/>
                <w:sz w:val="22"/>
              </w:rPr>
              <w:t xml:space="preserve">ue to </w:t>
            </w:r>
            <w:r w:rsidR="00EA17DF" w:rsidRPr="00750626">
              <w:rPr>
                <w:rFonts w:ascii="Arial" w:hAnsi="Arial" w:cs="Arial"/>
                <w:sz w:val="22"/>
              </w:rPr>
              <w:t>the risk</w:t>
            </w:r>
            <w:r w:rsidR="00175D38" w:rsidRPr="00750626">
              <w:rPr>
                <w:rFonts w:ascii="Arial" w:hAnsi="Arial" w:cs="Arial"/>
                <w:sz w:val="22"/>
              </w:rPr>
              <w:t xml:space="preserve"> of dependency and </w:t>
            </w:r>
            <w:r w:rsidR="00790CB4" w:rsidRPr="00750626">
              <w:rPr>
                <w:rFonts w:ascii="Arial" w:hAnsi="Arial" w:cs="Arial"/>
                <w:sz w:val="22"/>
              </w:rPr>
              <w:t>misuse or illicit use.</w:t>
            </w:r>
          </w:p>
          <w:p w14:paraId="7DC02108" w14:textId="77777777" w:rsidR="001268ED" w:rsidRPr="00750626" w:rsidRDefault="001268ED" w:rsidP="00945B70">
            <w:pPr>
              <w:rPr>
                <w:rFonts w:ascii="Arial" w:hAnsi="Arial" w:cs="Arial"/>
                <w:sz w:val="28"/>
              </w:rPr>
            </w:pPr>
          </w:p>
          <w:p w14:paraId="4F7DEA4E" w14:textId="0728D651" w:rsidR="00357261" w:rsidRPr="00750626" w:rsidRDefault="001268ED" w:rsidP="001268ED">
            <w:pPr>
              <w:rPr>
                <w:rFonts w:ascii="Arial" w:hAnsi="Arial" w:cs="Arial"/>
                <w:sz w:val="28"/>
              </w:rPr>
            </w:pPr>
            <w:r w:rsidRPr="00750626">
              <w:rPr>
                <w:rFonts w:ascii="Arial" w:hAnsi="Arial" w:cs="Arial"/>
                <w:b/>
                <w:sz w:val="22"/>
              </w:rPr>
              <w:t xml:space="preserve">Motion: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Pr="00750626">
              <w:rPr>
                <w:rFonts w:ascii="Arial" w:hAnsi="Arial" w:cs="Arial"/>
                <w:sz w:val="22"/>
              </w:rPr>
              <w:t xml:space="preserve">proposed that </w:t>
            </w:r>
            <w:r w:rsidR="00EA17DF" w:rsidRPr="00750626">
              <w:rPr>
                <w:rFonts w:ascii="Arial" w:hAnsi="Arial" w:cs="Arial"/>
                <w:sz w:val="22"/>
              </w:rPr>
              <w:t>tramadol</w:t>
            </w:r>
            <w:r w:rsidRPr="00750626">
              <w:rPr>
                <w:rFonts w:ascii="Arial" w:hAnsi="Arial" w:cs="Arial"/>
                <w:sz w:val="22"/>
              </w:rPr>
              <w:t xml:space="preserve"> be put forw</w:t>
            </w:r>
            <w:r w:rsidR="00BD1A38" w:rsidRPr="00750626">
              <w:rPr>
                <w:rFonts w:ascii="Arial" w:hAnsi="Arial" w:cs="Arial"/>
                <w:sz w:val="22"/>
              </w:rPr>
              <w:t>ard to be scheduled as a Class C</w:t>
            </w:r>
            <w:r w:rsidR="004963F4" w:rsidRPr="00750626">
              <w:rPr>
                <w:rFonts w:ascii="Arial" w:hAnsi="Arial" w:cs="Arial"/>
                <w:sz w:val="22"/>
              </w:rPr>
              <w:t>2</w:t>
            </w:r>
            <w:r w:rsidRPr="00750626">
              <w:rPr>
                <w:rFonts w:ascii="Arial" w:hAnsi="Arial" w:cs="Arial"/>
                <w:sz w:val="22"/>
              </w:rPr>
              <w:t xml:space="preserve"> controlled drug under </w:t>
            </w:r>
            <w:proofErr w:type="spellStart"/>
            <w:r w:rsidRPr="00750626">
              <w:rPr>
                <w:rFonts w:ascii="Arial" w:hAnsi="Arial" w:cs="Arial"/>
                <w:sz w:val="22"/>
              </w:rPr>
              <w:t>MoDA</w:t>
            </w:r>
            <w:proofErr w:type="spellEnd"/>
            <w:r w:rsidRPr="00750626">
              <w:rPr>
                <w:rFonts w:ascii="Arial" w:hAnsi="Arial" w:cs="Arial"/>
                <w:sz w:val="22"/>
              </w:rPr>
              <w:t>. The motion was</w:t>
            </w:r>
            <w:r w:rsidR="00AB3FBB" w:rsidRPr="00750626">
              <w:rPr>
                <w:rFonts w:ascii="Arial" w:hAnsi="Arial" w:cs="Arial"/>
                <w:sz w:val="22"/>
              </w:rPr>
              <w:t xml:space="preserve"> s</w:t>
            </w:r>
            <w:r w:rsidR="00357261" w:rsidRPr="00750626">
              <w:rPr>
                <w:rFonts w:ascii="Arial" w:hAnsi="Arial" w:cs="Arial"/>
                <w:sz w:val="22"/>
              </w:rPr>
              <w:t xml:space="preserve">econded by </w:t>
            </w:r>
            <w:r w:rsidR="001C453E" w:rsidRPr="00894472">
              <w:rPr>
                <w:rFonts w:ascii="Arial" w:hAnsi="Arial" w:cs="Arial"/>
                <w:sz w:val="22"/>
                <w:lang w:val="en-GB"/>
              </w:rPr>
              <w:t>[redacted under section 9(2</w:t>
            </w:r>
            <w:proofErr w:type="gramStart"/>
            <w:r w:rsidR="001C453E" w:rsidRPr="00894472">
              <w:rPr>
                <w:rFonts w:ascii="Arial" w:hAnsi="Arial" w:cs="Arial"/>
                <w:sz w:val="22"/>
                <w:lang w:val="en-GB"/>
              </w:rPr>
              <w:t>)(</w:t>
            </w:r>
            <w:proofErr w:type="spellStart"/>
            <w:proofErr w:type="gramEnd"/>
            <w:r w:rsidR="001C453E" w:rsidRPr="00894472">
              <w:rPr>
                <w:rFonts w:ascii="Arial" w:hAnsi="Arial" w:cs="Arial"/>
                <w:sz w:val="22"/>
                <w:lang w:val="en-GB"/>
              </w:rPr>
              <w:t>ba</w:t>
            </w:r>
            <w:proofErr w:type="spellEnd"/>
            <w:r w:rsidR="001C453E" w:rsidRPr="00894472">
              <w:rPr>
                <w:rFonts w:ascii="Arial" w:hAnsi="Arial" w:cs="Arial"/>
                <w:sz w:val="22"/>
                <w:lang w:val="en-GB"/>
              </w:rPr>
              <w:t>)]</w:t>
            </w:r>
            <w:r w:rsidR="00357261" w:rsidRPr="00750626">
              <w:rPr>
                <w:rFonts w:ascii="Arial" w:hAnsi="Arial" w:cs="Arial"/>
                <w:sz w:val="22"/>
              </w:rPr>
              <w:t>.</w:t>
            </w:r>
            <w:r w:rsidR="009C721F" w:rsidRPr="00750626">
              <w:rPr>
                <w:rFonts w:ascii="Arial" w:hAnsi="Arial" w:cs="Arial"/>
                <w:sz w:val="22"/>
              </w:rPr>
              <w:t xml:space="preserve"> </w:t>
            </w:r>
            <w:r w:rsidR="00AB3FBB" w:rsidRPr="00750626">
              <w:rPr>
                <w:rFonts w:ascii="Arial" w:hAnsi="Arial" w:cs="Arial"/>
                <w:sz w:val="22"/>
              </w:rPr>
              <w:t xml:space="preserve">The Committee were all in favour. </w:t>
            </w:r>
          </w:p>
          <w:p w14:paraId="4FD4D1FA" w14:textId="77777777" w:rsidR="00945B70" w:rsidRPr="00750626" w:rsidRDefault="00945B70" w:rsidP="00945B70">
            <w:pPr>
              <w:rPr>
                <w:rFonts w:ascii="Arial" w:hAnsi="Arial" w:cs="Arial"/>
                <w:sz w:val="28"/>
              </w:rPr>
            </w:pPr>
          </w:p>
          <w:p w14:paraId="22F1DAB7" w14:textId="2CBB9C7E" w:rsidR="00D444D6" w:rsidRPr="00750626" w:rsidRDefault="00D444D6" w:rsidP="00945B70">
            <w:pPr>
              <w:rPr>
                <w:rFonts w:ascii="Arial" w:hAnsi="Arial" w:cs="Arial"/>
                <w:sz w:val="28"/>
              </w:rPr>
            </w:pPr>
            <w:r w:rsidRPr="00750626">
              <w:rPr>
                <w:rFonts w:ascii="Arial" w:hAnsi="Arial" w:cs="Arial"/>
                <w:b/>
                <w:sz w:val="22"/>
              </w:rPr>
              <w:t xml:space="preserve">Action: </w:t>
            </w:r>
            <w:r w:rsidRPr="00750626">
              <w:rPr>
                <w:rFonts w:ascii="Arial" w:hAnsi="Arial" w:cs="Arial"/>
                <w:sz w:val="22"/>
              </w:rPr>
              <w:t xml:space="preserve">Secretariat to </w:t>
            </w:r>
            <w:r w:rsidR="0050043E" w:rsidRPr="00750626">
              <w:rPr>
                <w:rFonts w:ascii="Arial" w:hAnsi="Arial" w:cs="Arial"/>
                <w:sz w:val="22"/>
              </w:rPr>
              <w:t>consult with relevant stakeholders</w:t>
            </w:r>
            <w:r w:rsidR="007E3997" w:rsidRPr="00750626">
              <w:rPr>
                <w:rFonts w:ascii="Arial" w:hAnsi="Arial" w:cs="Arial"/>
                <w:sz w:val="22"/>
              </w:rPr>
              <w:t xml:space="preserve"> and</w:t>
            </w:r>
            <w:r w:rsidR="0050043E" w:rsidRPr="00750626">
              <w:rPr>
                <w:rFonts w:ascii="Arial" w:hAnsi="Arial" w:cs="Arial"/>
                <w:sz w:val="22"/>
              </w:rPr>
              <w:t xml:space="preserve"> </w:t>
            </w:r>
            <w:r w:rsidR="00AB3FBB" w:rsidRPr="00750626">
              <w:rPr>
                <w:rFonts w:ascii="Arial" w:hAnsi="Arial" w:cs="Arial"/>
                <w:sz w:val="22"/>
              </w:rPr>
              <w:t>begin the process to sch</w:t>
            </w:r>
            <w:r w:rsidR="00175D38" w:rsidRPr="00750626">
              <w:rPr>
                <w:rFonts w:ascii="Arial" w:hAnsi="Arial" w:cs="Arial"/>
                <w:sz w:val="22"/>
              </w:rPr>
              <w:t xml:space="preserve">edule tramadol as a Class </w:t>
            </w:r>
            <w:r w:rsidR="00BD1A38" w:rsidRPr="00750626">
              <w:rPr>
                <w:rFonts w:ascii="Arial" w:hAnsi="Arial" w:cs="Arial"/>
                <w:sz w:val="22"/>
              </w:rPr>
              <w:t>C</w:t>
            </w:r>
            <w:r w:rsidR="004963F4" w:rsidRPr="00750626">
              <w:rPr>
                <w:rFonts w:ascii="Arial" w:hAnsi="Arial" w:cs="Arial"/>
                <w:sz w:val="22"/>
              </w:rPr>
              <w:t xml:space="preserve">2 </w:t>
            </w:r>
            <w:r w:rsidR="00AB3FBB" w:rsidRPr="00750626">
              <w:rPr>
                <w:rFonts w:ascii="Arial" w:hAnsi="Arial" w:cs="Arial"/>
                <w:sz w:val="22"/>
              </w:rPr>
              <w:t xml:space="preserve">controlled drug under </w:t>
            </w:r>
            <w:proofErr w:type="spellStart"/>
            <w:r w:rsidR="00AB3FBB" w:rsidRPr="00750626">
              <w:rPr>
                <w:rFonts w:ascii="Arial" w:hAnsi="Arial" w:cs="Arial"/>
                <w:sz w:val="22"/>
              </w:rPr>
              <w:t>MoDA</w:t>
            </w:r>
            <w:proofErr w:type="spellEnd"/>
            <w:r w:rsidR="00AB3FBB" w:rsidRPr="00750626">
              <w:rPr>
                <w:rFonts w:ascii="Arial" w:hAnsi="Arial" w:cs="Arial"/>
                <w:sz w:val="22"/>
              </w:rPr>
              <w:t>.</w:t>
            </w:r>
          </w:p>
          <w:p w14:paraId="31FAE9F3" w14:textId="03711484" w:rsidR="00945B70" w:rsidRPr="00750626" w:rsidRDefault="00945B70" w:rsidP="00945B70">
            <w:pPr>
              <w:rPr>
                <w:rFonts w:ascii="Arial" w:hAnsi="Arial" w:cs="Arial"/>
                <w:sz w:val="28"/>
              </w:rPr>
            </w:pPr>
          </w:p>
        </w:tc>
      </w:tr>
      <w:tr w:rsidR="007551F6" w:rsidRPr="00750626" w14:paraId="600BBF43" w14:textId="77777777" w:rsidTr="00C73693">
        <w:tc>
          <w:tcPr>
            <w:tcW w:w="880" w:type="dxa"/>
          </w:tcPr>
          <w:p w14:paraId="38426437" w14:textId="4BA8BF75" w:rsidR="007551F6" w:rsidRPr="00750626" w:rsidRDefault="007551F6" w:rsidP="007551F6">
            <w:pPr>
              <w:tabs>
                <w:tab w:val="right" w:leader="underscore" w:pos="5670"/>
                <w:tab w:val="left" w:pos="6237"/>
              </w:tabs>
              <w:rPr>
                <w:rFonts w:ascii="Arial" w:hAnsi="Arial" w:cs="Arial"/>
                <w:sz w:val="28"/>
              </w:rPr>
            </w:pPr>
            <w:r w:rsidRPr="00750626">
              <w:rPr>
                <w:rFonts w:ascii="Arial" w:hAnsi="Arial" w:cs="Arial"/>
                <w:sz w:val="22"/>
              </w:rPr>
              <w:t>7</w:t>
            </w:r>
          </w:p>
        </w:tc>
        <w:tc>
          <w:tcPr>
            <w:tcW w:w="8925" w:type="dxa"/>
          </w:tcPr>
          <w:p w14:paraId="36A76900" w14:textId="56CB6F86" w:rsidR="00E40B6B" w:rsidRPr="00750626" w:rsidRDefault="007551F6" w:rsidP="007551F6">
            <w:pPr>
              <w:tabs>
                <w:tab w:val="right" w:leader="underscore" w:pos="5670"/>
                <w:tab w:val="left" w:pos="6237"/>
              </w:tabs>
              <w:rPr>
                <w:rFonts w:ascii="Arial" w:hAnsi="Arial" w:cs="Arial"/>
                <w:b/>
                <w:sz w:val="28"/>
              </w:rPr>
            </w:pPr>
            <w:r w:rsidRPr="00750626">
              <w:rPr>
                <w:rFonts w:ascii="Arial" w:hAnsi="Arial" w:cs="Arial"/>
                <w:b/>
                <w:sz w:val="22"/>
              </w:rPr>
              <w:t>Fentanyl analogues</w:t>
            </w:r>
          </w:p>
          <w:p w14:paraId="30A75862" w14:textId="5E1D45F6"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The fentanyl </w:t>
            </w:r>
            <w:r w:rsidR="00621D72" w:rsidRPr="00750626">
              <w:rPr>
                <w:rFonts w:ascii="Arial" w:hAnsi="Arial" w:cs="Arial"/>
                <w:sz w:val="22"/>
              </w:rPr>
              <w:t>analogues</w:t>
            </w:r>
            <w:r w:rsidRPr="00750626">
              <w:rPr>
                <w:rFonts w:ascii="Arial" w:hAnsi="Arial" w:cs="Arial"/>
                <w:sz w:val="22"/>
              </w:rPr>
              <w:t xml:space="preserve"> considered by the EACD at this meeting </w:t>
            </w:r>
            <w:r w:rsidR="000636DF" w:rsidRPr="00750626">
              <w:rPr>
                <w:rFonts w:ascii="Arial" w:hAnsi="Arial" w:cs="Arial"/>
                <w:sz w:val="22"/>
              </w:rPr>
              <w:t>were</w:t>
            </w:r>
            <w:r w:rsidRPr="00750626">
              <w:rPr>
                <w:rFonts w:ascii="Arial" w:hAnsi="Arial" w:cs="Arial"/>
                <w:sz w:val="22"/>
              </w:rPr>
              <w:t xml:space="preserve">:  </w:t>
            </w:r>
          </w:p>
          <w:p w14:paraId="4DB6605B" w14:textId="201B154C"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carfentanil</w:t>
            </w:r>
            <w:proofErr w:type="spellEnd"/>
          </w:p>
          <w:p w14:paraId="54C79FB5" w14:textId="77777777"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ocfentanil</w:t>
            </w:r>
            <w:proofErr w:type="spellEnd"/>
          </w:p>
          <w:p w14:paraId="787073E4" w14:textId="77777777"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acetylfentanyl</w:t>
            </w:r>
            <w:proofErr w:type="spellEnd"/>
          </w:p>
          <w:p w14:paraId="5A99531F" w14:textId="376FC368"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buty</w:t>
            </w:r>
            <w:r w:rsidR="007F1790" w:rsidRPr="00750626">
              <w:rPr>
                <w:rFonts w:ascii="Arial" w:hAnsi="Arial" w:cs="Arial"/>
                <w:sz w:val="22"/>
              </w:rPr>
              <w:t>r</w:t>
            </w:r>
            <w:r w:rsidRPr="00750626">
              <w:rPr>
                <w:rFonts w:ascii="Arial" w:hAnsi="Arial" w:cs="Arial"/>
                <w:sz w:val="22"/>
              </w:rPr>
              <w:t>fentanyl</w:t>
            </w:r>
            <w:proofErr w:type="spellEnd"/>
          </w:p>
          <w:p w14:paraId="4D984677" w14:textId="77777777"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- 4-fluoroisobutyrfentanyl (4-FIBF)</w:t>
            </w:r>
          </w:p>
          <w:p w14:paraId="18770A2B" w14:textId="49DC40B6"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acryloylfentanyl</w:t>
            </w:r>
            <w:proofErr w:type="spellEnd"/>
          </w:p>
          <w:p w14:paraId="55A6C3E7" w14:textId="77777777"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r w:rsidRPr="00750626">
              <w:rPr>
                <w:rFonts w:ascii="Arial" w:hAnsi="Arial" w:cs="Arial"/>
                <w:sz w:val="22"/>
              </w:rPr>
              <w:t>furanylfentanyl</w:t>
            </w:r>
            <w:proofErr w:type="spellEnd"/>
          </w:p>
          <w:p w14:paraId="6090EA50" w14:textId="09EA0BEB"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roofErr w:type="spellStart"/>
            <w:proofErr w:type="gramStart"/>
            <w:r w:rsidRPr="00750626">
              <w:rPr>
                <w:rFonts w:ascii="Arial" w:hAnsi="Arial" w:cs="Arial"/>
                <w:sz w:val="22"/>
              </w:rPr>
              <w:t>tetrahydrofuranylfentanyl</w:t>
            </w:r>
            <w:proofErr w:type="spellEnd"/>
            <w:proofErr w:type="gramEnd"/>
            <w:r w:rsidRPr="00750626">
              <w:rPr>
                <w:rFonts w:ascii="Arial" w:hAnsi="Arial" w:cs="Arial"/>
                <w:sz w:val="22"/>
              </w:rPr>
              <w:t xml:space="preserve"> (THF-F).</w:t>
            </w:r>
          </w:p>
          <w:p w14:paraId="5212CA3D" w14:textId="68886CED" w:rsidR="008F73D9" w:rsidRPr="00750626" w:rsidRDefault="008F73D9" w:rsidP="007551F6">
            <w:pPr>
              <w:tabs>
                <w:tab w:val="right" w:leader="underscore" w:pos="5670"/>
                <w:tab w:val="left" w:pos="6237"/>
              </w:tabs>
              <w:rPr>
                <w:rFonts w:ascii="Arial" w:hAnsi="Arial" w:cs="Arial"/>
                <w:sz w:val="28"/>
              </w:rPr>
            </w:pPr>
            <w:r w:rsidRPr="00750626">
              <w:rPr>
                <w:rFonts w:ascii="Arial" w:hAnsi="Arial" w:cs="Arial"/>
                <w:sz w:val="22"/>
              </w:rPr>
              <w:t xml:space="preserve"> </w:t>
            </w:r>
          </w:p>
          <w:p w14:paraId="0DC6E618" w14:textId="2EAB9B3C" w:rsidR="007551F6" w:rsidRPr="00750626" w:rsidRDefault="00894472" w:rsidP="007551F6">
            <w:pPr>
              <w:tabs>
                <w:tab w:val="right" w:leader="underscore" w:pos="5670"/>
                <w:tab w:val="left" w:pos="6237"/>
              </w:tabs>
              <w:rPr>
                <w:rFonts w:ascii="Arial" w:hAnsi="Arial" w:cs="Arial"/>
                <w:sz w:val="28"/>
              </w:rPr>
            </w:pPr>
            <w:r w:rsidRPr="00894472">
              <w:rPr>
                <w:rFonts w:ascii="Arial" w:hAnsi="Arial" w:cs="Arial"/>
                <w:sz w:val="22"/>
                <w:lang w:val="en-GB"/>
              </w:rPr>
              <w:t>[</w:t>
            </w:r>
            <w:proofErr w:type="gramStart"/>
            <w:r w:rsidRPr="00894472">
              <w:rPr>
                <w:rFonts w:ascii="Arial" w:hAnsi="Arial" w:cs="Arial"/>
                <w:sz w:val="22"/>
                <w:lang w:val="en-GB"/>
              </w:rPr>
              <w:t>redacted</w:t>
            </w:r>
            <w:proofErr w:type="gramEnd"/>
            <w:r w:rsidRPr="00894472">
              <w:rPr>
                <w:rFonts w:ascii="Arial" w:hAnsi="Arial" w:cs="Arial"/>
                <w:sz w:val="22"/>
                <w:lang w:val="en-GB"/>
              </w:rPr>
              <w:t xml:space="preserve">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E40B6B" w:rsidRPr="00750626">
              <w:rPr>
                <w:rFonts w:ascii="Arial" w:hAnsi="Arial" w:cs="Arial"/>
                <w:sz w:val="22"/>
              </w:rPr>
              <w:t>commented that fentanyl analogues</w:t>
            </w:r>
            <w:r w:rsidR="003D5799" w:rsidRPr="00750626">
              <w:rPr>
                <w:rFonts w:ascii="Arial" w:hAnsi="Arial" w:cs="Arial"/>
                <w:sz w:val="22"/>
              </w:rPr>
              <w:t>,</w:t>
            </w:r>
            <w:r w:rsidR="00E40B6B" w:rsidRPr="00750626">
              <w:rPr>
                <w:rFonts w:ascii="Arial" w:hAnsi="Arial" w:cs="Arial"/>
                <w:sz w:val="22"/>
              </w:rPr>
              <w:t xml:space="preserve"> especially </w:t>
            </w:r>
            <w:proofErr w:type="spellStart"/>
            <w:r w:rsidR="00E40B6B" w:rsidRPr="00750626">
              <w:rPr>
                <w:rFonts w:ascii="Arial" w:hAnsi="Arial" w:cs="Arial"/>
                <w:sz w:val="22"/>
              </w:rPr>
              <w:t>carfentanil</w:t>
            </w:r>
            <w:proofErr w:type="spellEnd"/>
            <w:r w:rsidR="00E40B6B" w:rsidRPr="00750626">
              <w:rPr>
                <w:rFonts w:ascii="Arial" w:hAnsi="Arial" w:cs="Arial"/>
                <w:sz w:val="22"/>
              </w:rPr>
              <w:t xml:space="preserve"> seem to pose a great harm to people. </w:t>
            </w:r>
            <w:r w:rsidR="001C453E" w:rsidRPr="00894472">
              <w:rPr>
                <w:rFonts w:ascii="Arial" w:hAnsi="Arial" w:cs="Arial"/>
                <w:sz w:val="22"/>
                <w:lang w:val="en-GB"/>
              </w:rPr>
              <w:t>[redacted under section 9(2)(</w:t>
            </w:r>
            <w:proofErr w:type="spellStart"/>
            <w:r w:rsidR="001C453E" w:rsidRPr="00894472">
              <w:rPr>
                <w:rFonts w:ascii="Arial" w:hAnsi="Arial" w:cs="Arial"/>
                <w:sz w:val="22"/>
                <w:lang w:val="en-GB"/>
              </w:rPr>
              <w:t>ba</w:t>
            </w:r>
            <w:proofErr w:type="spellEnd"/>
            <w:r w:rsidR="001C453E" w:rsidRPr="00894472">
              <w:rPr>
                <w:rFonts w:ascii="Arial" w:hAnsi="Arial" w:cs="Arial"/>
                <w:sz w:val="22"/>
                <w:lang w:val="en-GB"/>
              </w:rPr>
              <w:t>)]</w:t>
            </w:r>
            <w:r w:rsidR="001C453E">
              <w:rPr>
                <w:rFonts w:ascii="Arial" w:hAnsi="Arial" w:cs="Arial"/>
                <w:sz w:val="22"/>
                <w:lang w:val="en-GB"/>
              </w:rPr>
              <w:t xml:space="preserve"> </w:t>
            </w:r>
            <w:r w:rsidR="00EF5DD3" w:rsidRPr="00750626">
              <w:rPr>
                <w:rFonts w:ascii="Arial" w:hAnsi="Arial" w:cs="Arial"/>
                <w:sz w:val="22"/>
              </w:rPr>
              <w:t xml:space="preserve">from </w:t>
            </w:r>
            <w:r w:rsidR="001C453E" w:rsidRPr="00894472">
              <w:rPr>
                <w:rFonts w:ascii="Arial" w:hAnsi="Arial" w:cs="Arial"/>
                <w:sz w:val="22"/>
                <w:lang w:val="en-GB"/>
              </w:rPr>
              <w:t>[redacted under section 9(2)(</w:t>
            </w:r>
            <w:proofErr w:type="spellStart"/>
            <w:r w:rsidR="001C453E" w:rsidRPr="00894472">
              <w:rPr>
                <w:rFonts w:ascii="Arial" w:hAnsi="Arial" w:cs="Arial"/>
                <w:sz w:val="22"/>
                <w:lang w:val="en-GB"/>
              </w:rPr>
              <w:t>ba</w:t>
            </w:r>
            <w:proofErr w:type="spellEnd"/>
            <w:r w:rsidR="001C453E" w:rsidRPr="00894472">
              <w:rPr>
                <w:rFonts w:ascii="Arial" w:hAnsi="Arial" w:cs="Arial"/>
                <w:sz w:val="22"/>
                <w:lang w:val="en-GB"/>
              </w:rPr>
              <w:t>)]</w:t>
            </w:r>
            <w:r w:rsidR="00E40B6B" w:rsidRPr="00750626">
              <w:rPr>
                <w:rFonts w:ascii="Arial" w:hAnsi="Arial" w:cs="Arial"/>
                <w:sz w:val="22"/>
              </w:rPr>
              <w:t xml:space="preserve"> advised that fentanyl is </w:t>
            </w:r>
            <w:r w:rsidR="007C0CF7" w:rsidRPr="00750626">
              <w:rPr>
                <w:rFonts w:ascii="Arial" w:hAnsi="Arial" w:cs="Arial"/>
                <w:sz w:val="22"/>
              </w:rPr>
              <w:t>coming into</w:t>
            </w:r>
            <w:r w:rsidR="00E40B6B" w:rsidRPr="00750626">
              <w:rPr>
                <w:rFonts w:ascii="Arial" w:hAnsi="Arial" w:cs="Arial"/>
                <w:sz w:val="22"/>
              </w:rPr>
              <w:t xml:space="preserve"> N</w:t>
            </w:r>
            <w:r w:rsidR="004A54FB">
              <w:rPr>
                <w:rFonts w:ascii="Arial" w:hAnsi="Arial" w:cs="Arial"/>
                <w:sz w:val="22"/>
              </w:rPr>
              <w:t xml:space="preserve">ew </w:t>
            </w:r>
            <w:r w:rsidR="00E40B6B" w:rsidRPr="00750626">
              <w:rPr>
                <w:rFonts w:ascii="Arial" w:hAnsi="Arial" w:cs="Arial"/>
                <w:sz w:val="22"/>
              </w:rPr>
              <w:t>Z</w:t>
            </w:r>
            <w:r w:rsidR="004A54FB">
              <w:rPr>
                <w:rFonts w:ascii="Arial" w:hAnsi="Arial" w:cs="Arial"/>
                <w:sz w:val="22"/>
              </w:rPr>
              <w:t>ealand</w:t>
            </w:r>
            <w:r w:rsidR="00E40B6B" w:rsidRPr="00750626">
              <w:rPr>
                <w:rFonts w:ascii="Arial" w:hAnsi="Arial" w:cs="Arial"/>
                <w:sz w:val="22"/>
              </w:rPr>
              <w:t xml:space="preserve"> and</w:t>
            </w:r>
            <w:r w:rsidR="00EF5DD3" w:rsidRPr="00750626">
              <w:rPr>
                <w:rFonts w:ascii="Arial" w:hAnsi="Arial" w:cs="Arial"/>
                <w:sz w:val="22"/>
              </w:rPr>
              <w:t xml:space="preserve"> believe</w:t>
            </w:r>
            <w:r w:rsidR="00E40B6B" w:rsidRPr="00750626">
              <w:rPr>
                <w:rFonts w:ascii="Arial" w:hAnsi="Arial" w:cs="Arial"/>
                <w:sz w:val="22"/>
              </w:rPr>
              <w:t>d</w:t>
            </w:r>
            <w:r w:rsidR="00EF5DD3" w:rsidRPr="00750626">
              <w:rPr>
                <w:rFonts w:ascii="Arial" w:hAnsi="Arial" w:cs="Arial"/>
                <w:sz w:val="22"/>
              </w:rPr>
              <w:t xml:space="preserve"> that fentanyl analogues should be </w:t>
            </w:r>
            <w:r w:rsidR="00296C71" w:rsidRPr="00750626">
              <w:rPr>
                <w:rFonts w:ascii="Arial" w:hAnsi="Arial" w:cs="Arial"/>
                <w:sz w:val="22"/>
              </w:rPr>
              <w:t xml:space="preserve">scheduled the same as </w:t>
            </w:r>
            <w:r w:rsidR="00EF5DD3" w:rsidRPr="00750626">
              <w:rPr>
                <w:rFonts w:ascii="Arial" w:hAnsi="Arial" w:cs="Arial"/>
                <w:sz w:val="22"/>
              </w:rPr>
              <w:t xml:space="preserve">fentanyl due to high potency. </w:t>
            </w:r>
          </w:p>
          <w:p w14:paraId="40882B47" w14:textId="77777777" w:rsidR="00EF5DD3" w:rsidRPr="00750626" w:rsidRDefault="00EF5DD3" w:rsidP="007551F6">
            <w:pPr>
              <w:rPr>
                <w:rFonts w:ascii="Arial" w:hAnsi="Arial" w:cs="Arial"/>
                <w:b/>
                <w:sz w:val="28"/>
              </w:rPr>
            </w:pPr>
          </w:p>
          <w:p w14:paraId="3F813403" w14:textId="6A50A6DB" w:rsidR="000C4873" w:rsidRPr="00750626" w:rsidRDefault="002902EA" w:rsidP="007551F6">
            <w:pPr>
              <w:rPr>
                <w:rFonts w:ascii="Arial" w:hAnsi="Arial" w:cs="Arial"/>
                <w:sz w:val="28"/>
              </w:rPr>
            </w:pPr>
            <w:r w:rsidRPr="00750626">
              <w:rPr>
                <w:rFonts w:ascii="Arial" w:hAnsi="Arial" w:cs="Arial"/>
                <w:sz w:val="22"/>
              </w:rPr>
              <w:lastRenderedPageBreak/>
              <w:t>The m</w:t>
            </w:r>
            <w:r w:rsidR="000C4873" w:rsidRPr="00750626">
              <w:rPr>
                <w:rFonts w:ascii="Arial" w:hAnsi="Arial" w:cs="Arial"/>
                <w:sz w:val="22"/>
              </w:rPr>
              <w:t xml:space="preserve">ajority of the Committee agreed that fentanyl analogues except for </w:t>
            </w:r>
            <w:proofErr w:type="spellStart"/>
            <w:r w:rsidR="000C4873" w:rsidRPr="00750626">
              <w:rPr>
                <w:rFonts w:ascii="Arial" w:hAnsi="Arial" w:cs="Arial"/>
                <w:sz w:val="22"/>
              </w:rPr>
              <w:t>carfentanil</w:t>
            </w:r>
            <w:proofErr w:type="spellEnd"/>
            <w:r w:rsidR="000C4873" w:rsidRPr="00750626">
              <w:rPr>
                <w:rFonts w:ascii="Arial" w:hAnsi="Arial" w:cs="Arial"/>
                <w:sz w:val="22"/>
              </w:rPr>
              <w:t xml:space="preserve"> should be scheduled as controlled drugs due to lack of therapeutic value and high level of abuse and misuse. </w:t>
            </w:r>
          </w:p>
          <w:p w14:paraId="5C3196E6" w14:textId="77777777" w:rsidR="000C4873" w:rsidRPr="00750626" w:rsidRDefault="000C4873" w:rsidP="007551F6">
            <w:pPr>
              <w:rPr>
                <w:rFonts w:ascii="Arial" w:hAnsi="Arial" w:cs="Arial"/>
                <w:sz w:val="28"/>
              </w:rPr>
            </w:pPr>
          </w:p>
          <w:p w14:paraId="40BDE1B6" w14:textId="47047677" w:rsidR="00FC3FB6" w:rsidRPr="00750626" w:rsidRDefault="000C4873" w:rsidP="007551F6">
            <w:pPr>
              <w:rPr>
                <w:rFonts w:ascii="Arial" w:hAnsi="Arial" w:cs="Arial"/>
                <w:sz w:val="28"/>
              </w:rPr>
            </w:pPr>
            <w:r w:rsidRPr="00750626">
              <w:rPr>
                <w:rFonts w:ascii="Arial" w:hAnsi="Arial" w:cs="Arial"/>
                <w:sz w:val="22"/>
              </w:rPr>
              <w:t xml:space="preserve">The Committee </w:t>
            </w:r>
            <w:r w:rsidR="00C93E19" w:rsidRPr="00750626">
              <w:rPr>
                <w:rFonts w:ascii="Arial" w:hAnsi="Arial" w:cs="Arial"/>
                <w:sz w:val="22"/>
              </w:rPr>
              <w:t>queried a difference between Schedule 1 (Class A) and Schedule 2 (Class B) in relation to prescribing and controls. The Secretariat advised that Schedule 1 drugs can still be prescribed with the Ministerial approval and have the most restrictions.</w:t>
            </w:r>
            <w:r w:rsidR="002902EA" w:rsidRPr="00750626">
              <w:rPr>
                <w:rFonts w:ascii="Arial" w:hAnsi="Arial" w:cs="Arial"/>
                <w:sz w:val="22"/>
              </w:rPr>
              <w:t xml:space="preserve"> </w:t>
            </w:r>
            <w:r w:rsidR="001C453E" w:rsidRPr="00894472">
              <w:rPr>
                <w:rFonts w:ascii="Arial" w:hAnsi="Arial" w:cs="Arial"/>
                <w:sz w:val="22"/>
                <w:lang w:val="en-GB"/>
              </w:rPr>
              <w:t>[redacted under section 9(2)(</w:t>
            </w:r>
            <w:proofErr w:type="spellStart"/>
            <w:r w:rsidR="001C453E" w:rsidRPr="00894472">
              <w:rPr>
                <w:rFonts w:ascii="Arial" w:hAnsi="Arial" w:cs="Arial"/>
                <w:sz w:val="22"/>
                <w:lang w:val="en-GB"/>
              </w:rPr>
              <w:t>ba</w:t>
            </w:r>
            <w:proofErr w:type="spellEnd"/>
            <w:r w:rsidR="001C453E" w:rsidRPr="00894472">
              <w:rPr>
                <w:rFonts w:ascii="Arial" w:hAnsi="Arial" w:cs="Arial"/>
                <w:sz w:val="22"/>
                <w:lang w:val="en-GB"/>
              </w:rPr>
              <w:t>)]</w:t>
            </w:r>
            <w:r w:rsidR="001C453E">
              <w:rPr>
                <w:rFonts w:ascii="Arial" w:hAnsi="Arial" w:cs="Arial"/>
                <w:sz w:val="22"/>
                <w:lang w:val="en-GB"/>
              </w:rPr>
              <w:t xml:space="preserve"> </w:t>
            </w:r>
            <w:r w:rsidR="00C93E19" w:rsidRPr="00750626">
              <w:rPr>
                <w:rFonts w:ascii="Arial" w:hAnsi="Arial" w:cs="Arial"/>
                <w:sz w:val="22"/>
              </w:rPr>
              <w:t>noted that t</w:t>
            </w:r>
            <w:r w:rsidR="00FC3FB6" w:rsidRPr="00750626">
              <w:rPr>
                <w:rFonts w:ascii="Arial" w:hAnsi="Arial" w:cs="Arial"/>
                <w:sz w:val="22"/>
              </w:rPr>
              <w:t xml:space="preserve">here is </w:t>
            </w:r>
            <w:r w:rsidR="00F211B7" w:rsidRPr="00750626">
              <w:rPr>
                <w:rFonts w:ascii="Arial" w:hAnsi="Arial" w:cs="Arial"/>
                <w:sz w:val="22"/>
              </w:rPr>
              <w:t xml:space="preserve">no </w:t>
            </w:r>
            <w:r w:rsidR="00296C71" w:rsidRPr="00750626">
              <w:rPr>
                <w:rFonts w:ascii="Arial" w:hAnsi="Arial" w:cs="Arial"/>
                <w:sz w:val="22"/>
              </w:rPr>
              <w:t>significant difference</w:t>
            </w:r>
            <w:r w:rsidR="00FC3FB6" w:rsidRPr="00750626">
              <w:rPr>
                <w:rFonts w:ascii="Arial" w:hAnsi="Arial" w:cs="Arial"/>
                <w:sz w:val="22"/>
              </w:rPr>
              <w:t xml:space="preserve"> </w:t>
            </w:r>
            <w:r w:rsidR="002902EA" w:rsidRPr="00750626">
              <w:rPr>
                <w:rFonts w:ascii="Arial" w:hAnsi="Arial" w:cs="Arial"/>
                <w:sz w:val="22"/>
              </w:rPr>
              <w:t xml:space="preserve">between </w:t>
            </w:r>
            <w:r w:rsidR="00C93E19" w:rsidRPr="00750626">
              <w:rPr>
                <w:rFonts w:ascii="Arial" w:hAnsi="Arial" w:cs="Arial"/>
                <w:sz w:val="22"/>
              </w:rPr>
              <w:t xml:space="preserve">Schedule 1 (Class A) and Schedule 2 (Class B) </w:t>
            </w:r>
            <w:r w:rsidR="00FC3FB6" w:rsidRPr="00750626">
              <w:rPr>
                <w:rFonts w:ascii="Arial" w:hAnsi="Arial" w:cs="Arial"/>
                <w:sz w:val="22"/>
              </w:rPr>
              <w:t>in relation to the seizure and search power</w:t>
            </w:r>
            <w:r w:rsidR="002902EA" w:rsidRPr="00750626">
              <w:rPr>
                <w:rFonts w:ascii="Arial" w:hAnsi="Arial" w:cs="Arial"/>
                <w:sz w:val="22"/>
              </w:rPr>
              <w:t>s</w:t>
            </w:r>
            <w:r w:rsidR="00FC3FB6" w:rsidRPr="00750626">
              <w:rPr>
                <w:rFonts w:ascii="Arial" w:hAnsi="Arial" w:cs="Arial"/>
                <w:sz w:val="22"/>
              </w:rPr>
              <w:t>.</w:t>
            </w:r>
          </w:p>
          <w:p w14:paraId="6770D4A5" w14:textId="77777777" w:rsidR="00C93E19" w:rsidRPr="00750626" w:rsidRDefault="00C93E19" w:rsidP="007551F6">
            <w:pPr>
              <w:rPr>
                <w:rFonts w:ascii="Arial" w:hAnsi="Arial" w:cs="Arial"/>
                <w:sz w:val="28"/>
              </w:rPr>
            </w:pPr>
          </w:p>
          <w:p w14:paraId="15D402D8" w14:textId="5635A439" w:rsidR="008B2F57" w:rsidRPr="00750626" w:rsidRDefault="008B2F57" w:rsidP="007551F6">
            <w:pPr>
              <w:rPr>
                <w:rFonts w:ascii="Arial" w:hAnsi="Arial" w:cs="Arial"/>
                <w:sz w:val="28"/>
              </w:rPr>
            </w:pPr>
            <w:r w:rsidRPr="00750626">
              <w:rPr>
                <w:rFonts w:ascii="Arial" w:hAnsi="Arial" w:cs="Arial"/>
                <w:sz w:val="22"/>
              </w:rPr>
              <w:t xml:space="preserve">The Committee also discussed exactly what </w:t>
            </w:r>
            <w:r w:rsidR="00296C71" w:rsidRPr="00750626">
              <w:rPr>
                <w:rFonts w:ascii="Arial" w:hAnsi="Arial" w:cs="Arial"/>
                <w:sz w:val="22"/>
              </w:rPr>
              <w:t>the obligations</w:t>
            </w:r>
            <w:r w:rsidRPr="00750626">
              <w:rPr>
                <w:rFonts w:ascii="Arial" w:hAnsi="Arial" w:cs="Arial"/>
                <w:sz w:val="22"/>
              </w:rPr>
              <w:t xml:space="preserve"> under the UN Conventions are. The Committee queried if the</w:t>
            </w:r>
            <w:r w:rsidR="002902EA" w:rsidRPr="00750626">
              <w:rPr>
                <w:rFonts w:ascii="Arial" w:hAnsi="Arial" w:cs="Arial"/>
                <w:sz w:val="22"/>
              </w:rPr>
              <w:t>y</w:t>
            </w:r>
            <w:r w:rsidR="00296C71" w:rsidRPr="00750626">
              <w:rPr>
                <w:rFonts w:ascii="Arial" w:hAnsi="Arial" w:cs="Arial"/>
                <w:sz w:val="22"/>
              </w:rPr>
              <w:t xml:space="preserve"> </w:t>
            </w:r>
            <w:r w:rsidRPr="00750626">
              <w:rPr>
                <w:rFonts w:ascii="Arial" w:hAnsi="Arial" w:cs="Arial"/>
                <w:sz w:val="22"/>
              </w:rPr>
              <w:t xml:space="preserve">make decisions that are not consistent with the UN </w:t>
            </w:r>
            <w:r w:rsidR="00A33739" w:rsidRPr="00750626">
              <w:rPr>
                <w:rFonts w:ascii="Arial" w:hAnsi="Arial" w:cs="Arial"/>
                <w:sz w:val="22"/>
              </w:rPr>
              <w:t xml:space="preserve">Conventions </w:t>
            </w:r>
            <w:r w:rsidRPr="00750626">
              <w:rPr>
                <w:rFonts w:ascii="Arial" w:hAnsi="Arial" w:cs="Arial"/>
                <w:sz w:val="22"/>
              </w:rPr>
              <w:t>for reasons that are specific to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w:t>
            </w:r>
            <w:r w:rsidR="00A33739" w:rsidRPr="00750626">
              <w:rPr>
                <w:rFonts w:ascii="Arial" w:hAnsi="Arial" w:cs="Arial"/>
                <w:sz w:val="22"/>
              </w:rPr>
              <w:t xml:space="preserve">would </w:t>
            </w:r>
            <w:r w:rsidRPr="00750626">
              <w:rPr>
                <w:rFonts w:ascii="Arial" w:hAnsi="Arial" w:cs="Arial"/>
                <w:sz w:val="22"/>
              </w:rPr>
              <w:t>it make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non-compliant.</w:t>
            </w:r>
          </w:p>
          <w:p w14:paraId="79BF0552" w14:textId="77777777" w:rsidR="006A5A5E" w:rsidRPr="00C05400" w:rsidRDefault="006A5A5E" w:rsidP="007551F6">
            <w:pPr>
              <w:rPr>
                <w:rFonts w:ascii="Arial" w:hAnsi="Arial" w:cs="Arial"/>
                <w:sz w:val="22"/>
              </w:rPr>
            </w:pPr>
          </w:p>
          <w:p w14:paraId="303C00C5" w14:textId="5BEB65B6" w:rsidR="006A5A5E" w:rsidRPr="00750626" w:rsidRDefault="006A5A5E" w:rsidP="007551F6">
            <w:pPr>
              <w:rPr>
                <w:rFonts w:ascii="Arial" w:hAnsi="Arial" w:cs="Arial"/>
                <w:sz w:val="22"/>
              </w:rPr>
            </w:pPr>
            <w:r w:rsidRPr="00750626">
              <w:rPr>
                <w:rFonts w:ascii="Arial" w:hAnsi="Arial" w:cs="Arial"/>
                <w:sz w:val="22"/>
              </w:rPr>
              <w:t>The Committee further discussed</w:t>
            </w:r>
            <w:r w:rsidR="00083DA7" w:rsidRPr="00750626">
              <w:rPr>
                <w:rFonts w:ascii="Arial" w:hAnsi="Arial" w:cs="Arial"/>
                <w:sz w:val="22"/>
              </w:rPr>
              <w:t xml:space="preserve"> </w:t>
            </w:r>
            <w:r w:rsidR="001714FD" w:rsidRPr="00750626">
              <w:rPr>
                <w:rFonts w:ascii="Arial" w:hAnsi="Arial" w:cs="Arial"/>
                <w:sz w:val="22"/>
              </w:rPr>
              <w:t xml:space="preserve">whether “fentanyl analogues” should be scheduled as a group rather than individual fentanyl analogues being assessed by the Committee and recommended for scheduling. This was raised as a measure to stay ahead of the drug market which is constantly producing new analogues. It would also mean there is no longer a lag between a </w:t>
            </w:r>
            <w:r w:rsidR="00D823CE" w:rsidRPr="00750626">
              <w:rPr>
                <w:rFonts w:ascii="Arial" w:hAnsi="Arial" w:cs="Arial"/>
                <w:sz w:val="22"/>
              </w:rPr>
              <w:t>new fentanyl analogue</w:t>
            </w:r>
            <w:r w:rsidR="001714FD" w:rsidRPr="00750626">
              <w:rPr>
                <w:rFonts w:ascii="Arial" w:hAnsi="Arial" w:cs="Arial"/>
                <w:sz w:val="22"/>
              </w:rPr>
              <w:t xml:space="preserve"> being identified</w:t>
            </w:r>
            <w:r w:rsidR="00D823CE" w:rsidRPr="00750626">
              <w:rPr>
                <w:rFonts w:ascii="Arial" w:hAnsi="Arial" w:cs="Arial"/>
                <w:sz w:val="22"/>
              </w:rPr>
              <w:t xml:space="preserve"> in New Zealand</w:t>
            </w:r>
            <w:r w:rsidR="001714FD" w:rsidRPr="00750626">
              <w:rPr>
                <w:rFonts w:ascii="Arial" w:hAnsi="Arial" w:cs="Arial"/>
                <w:sz w:val="22"/>
              </w:rPr>
              <w:t xml:space="preserve"> and </w:t>
            </w:r>
            <w:r w:rsidR="00D823CE" w:rsidRPr="00750626">
              <w:rPr>
                <w:rFonts w:ascii="Arial" w:hAnsi="Arial" w:cs="Arial"/>
                <w:sz w:val="22"/>
              </w:rPr>
              <w:t xml:space="preserve">being </w:t>
            </w:r>
            <w:r w:rsidR="001714FD" w:rsidRPr="00750626">
              <w:rPr>
                <w:rFonts w:ascii="Arial" w:hAnsi="Arial" w:cs="Arial"/>
                <w:sz w:val="22"/>
              </w:rPr>
              <w:t xml:space="preserve">scheduled under </w:t>
            </w:r>
            <w:proofErr w:type="spellStart"/>
            <w:r w:rsidR="001714FD" w:rsidRPr="00750626">
              <w:rPr>
                <w:rFonts w:ascii="Arial" w:hAnsi="Arial" w:cs="Arial"/>
                <w:sz w:val="22"/>
              </w:rPr>
              <w:t>MoDA</w:t>
            </w:r>
            <w:proofErr w:type="spellEnd"/>
            <w:r w:rsidR="001714FD" w:rsidRPr="00750626">
              <w:rPr>
                <w:rFonts w:ascii="Arial" w:hAnsi="Arial" w:cs="Arial"/>
                <w:sz w:val="22"/>
              </w:rPr>
              <w:t xml:space="preserve">. </w:t>
            </w:r>
          </w:p>
          <w:p w14:paraId="337114F1" w14:textId="77777777" w:rsidR="00B56244" w:rsidRPr="00750626" w:rsidRDefault="00B56244" w:rsidP="007551F6">
            <w:pPr>
              <w:rPr>
                <w:rFonts w:ascii="Arial" w:hAnsi="Arial" w:cs="Arial"/>
                <w:sz w:val="22"/>
              </w:rPr>
            </w:pPr>
          </w:p>
          <w:p w14:paraId="0225671E" w14:textId="44D53F76" w:rsidR="00B56244" w:rsidRPr="00750626" w:rsidRDefault="00CA4B13" w:rsidP="007551F6">
            <w:pPr>
              <w:rPr>
                <w:rFonts w:ascii="Arial" w:hAnsi="Arial" w:cs="Arial"/>
                <w:sz w:val="22"/>
              </w:rPr>
            </w:pPr>
            <w:r w:rsidRPr="00750626">
              <w:rPr>
                <w:rFonts w:ascii="Arial" w:hAnsi="Arial" w:cs="Arial"/>
                <w:sz w:val="22"/>
              </w:rPr>
              <w:t>The Secretariat advised that</w:t>
            </w:r>
            <w:r w:rsidR="001714FD" w:rsidRPr="00750626">
              <w:rPr>
                <w:rFonts w:ascii="Arial" w:hAnsi="Arial" w:cs="Arial"/>
                <w:sz w:val="22"/>
              </w:rPr>
              <w:t xml:space="preserve"> scheduling </w:t>
            </w:r>
            <w:r w:rsidR="00770564" w:rsidRPr="00750626">
              <w:rPr>
                <w:rFonts w:ascii="Arial" w:hAnsi="Arial" w:cs="Arial"/>
                <w:sz w:val="22"/>
              </w:rPr>
              <w:t>“</w:t>
            </w:r>
            <w:r w:rsidR="00083DA7" w:rsidRPr="00750626">
              <w:rPr>
                <w:rFonts w:ascii="Arial" w:hAnsi="Arial" w:cs="Arial"/>
                <w:sz w:val="22"/>
              </w:rPr>
              <w:t>fentanyl</w:t>
            </w:r>
            <w:r w:rsidR="001714FD" w:rsidRPr="00750626">
              <w:rPr>
                <w:rFonts w:ascii="Arial" w:hAnsi="Arial" w:cs="Arial"/>
                <w:sz w:val="22"/>
              </w:rPr>
              <w:t xml:space="preserve"> analogues</w:t>
            </w:r>
            <w:r w:rsidR="00770564" w:rsidRPr="00750626">
              <w:rPr>
                <w:rFonts w:ascii="Arial" w:hAnsi="Arial" w:cs="Arial"/>
                <w:sz w:val="22"/>
              </w:rPr>
              <w:t>”</w:t>
            </w:r>
            <w:r w:rsidR="00083DA7" w:rsidRPr="00750626">
              <w:rPr>
                <w:rFonts w:ascii="Arial" w:hAnsi="Arial" w:cs="Arial"/>
                <w:sz w:val="22"/>
              </w:rPr>
              <w:t xml:space="preserve"> as a group</w:t>
            </w:r>
            <w:r w:rsidR="001714FD" w:rsidRPr="00750626">
              <w:rPr>
                <w:rFonts w:ascii="Arial" w:hAnsi="Arial" w:cs="Arial"/>
                <w:sz w:val="22"/>
              </w:rPr>
              <w:t xml:space="preserve"> would also require an Amendment Bill and could not be done by the Order in Council process.</w:t>
            </w:r>
            <w:r w:rsidR="00D823CE" w:rsidRPr="00750626">
              <w:rPr>
                <w:rFonts w:ascii="Arial" w:hAnsi="Arial" w:cs="Arial"/>
                <w:sz w:val="22"/>
              </w:rPr>
              <w:t xml:space="preserve"> The Secretariat suggest</w:t>
            </w:r>
            <w:r w:rsidR="00083DA7" w:rsidRPr="00750626">
              <w:rPr>
                <w:rFonts w:ascii="Arial" w:hAnsi="Arial" w:cs="Arial"/>
                <w:sz w:val="22"/>
              </w:rPr>
              <w:t>ed</w:t>
            </w:r>
            <w:r w:rsidR="00D823CE" w:rsidRPr="00750626">
              <w:rPr>
                <w:rFonts w:ascii="Arial" w:hAnsi="Arial" w:cs="Arial"/>
                <w:sz w:val="22"/>
              </w:rPr>
              <w:t xml:space="preserve"> that</w:t>
            </w:r>
            <w:r w:rsidR="00B56244" w:rsidRPr="00750626">
              <w:rPr>
                <w:rFonts w:ascii="Arial" w:hAnsi="Arial" w:cs="Arial"/>
                <w:sz w:val="22"/>
              </w:rPr>
              <w:t xml:space="preserve">, in the letter to the Minister, </w:t>
            </w:r>
            <w:r w:rsidRPr="00750626">
              <w:rPr>
                <w:rFonts w:ascii="Arial" w:hAnsi="Arial" w:cs="Arial"/>
                <w:sz w:val="22"/>
              </w:rPr>
              <w:t xml:space="preserve">the Committee </w:t>
            </w:r>
            <w:r w:rsidR="002902EA" w:rsidRPr="00750626">
              <w:rPr>
                <w:rFonts w:ascii="Arial" w:hAnsi="Arial" w:cs="Arial"/>
                <w:sz w:val="22"/>
              </w:rPr>
              <w:t xml:space="preserve">could </w:t>
            </w:r>
            <w:r w:rsidRPr="00750626">
              <w:rPr>
                <w:rFonts w:ascii="Arial" w:hAnsi="Arial" w:cs="Arial"/>
                <w:sz w:val="22"/>
              </w:rPr>
              <w:t xml:space="preserve">express </w:t>
            </w:r>
            <w:r w:rsidR="002902EA" w:rsidRPr="00750626">
              <w:rPr>
                <w:rFonts w:ascii="Arial" w:hAnsi="Arial" w:cs="Arial"/>
                <w:sz w:val="22"/>
              </w:rPr>
              <w:t>the</w:t>
            </w:r>
            <w:r w:rsidR="00B56244" w:rsidRPr="00750626">
              <w:rPr>
                <w:rFonts w:ascii="Arial" w:hAnsi="Arial" w:cs="Arial"/>
                <w:sz w:val="22"/>
              </w:rPr>
              <w:t>ir</w:t>
            </w:r>
            <w:r w:rsidRPr="00750626">
              <w:rPr>
                <w:rFonts w:ascii="Arial" w:hAnsi="Arial" w:cs="Arial"/>
                <w:sz w:val="22"/>
              </w:rPr>
              <w:t xml:space="preserve"> preference </w:t>
            </w:r>
            <w:r w:rsidR="00B56244" w:rsidRPr="00750626">
              <w:rPr>
                <w:rFonts w:ascii="Arial" w:hAnsi="Arial" w:cs="Arial"/>
                <w:sz w:val="22"/>
              </w:rPr>
              <w:t xml:space="preserve">to schedule </w:t>
            </w:r>
            <w:r w:rsidR="00A33739" w:rsidRPr="00750626">
              <w:rPr>
                <w:rFonts w:ascii="Arial" w:hAnsi="Arial" w:cs="Arial"/>
                <w:sz w:val="22"/>
              </w:rPr>
              <w:t xml:space="preserve">fentanyl </w:t>
            </w:r>
            <w:r w:rsidR="00B56244" w:rsidRPr="00750626">
              <w:rPr>
                <w:rFonts w:ascii="Arial" w:hAnsi="Arial" w:cs="Arial"/>
                <w:sz w:val="22"/>
              </w:rPr>
              <w:t>analogues as a group withou</w:t>
            </w:r>
            <w:r w:rsidR="00F07F1A" w:rsidRPr="00750626">
              <w:rPr>
                <w:rFonts w:ascii="Arial" w:hAnsi="Arial" w:cs="Arial"/>
                <w:sz w:val="22"/>
              </w:rPr>
              <w:t xml:space="preserve">t naming each analogue in </w:t>
            </w:r>
            <w:proofErr w:type="spellStart"/>
            <w:r w:rsidR="00F07F1A" w:rsidRPr="00750626">
              <w:rPr>
                <w:rFonts w:ascii="Arial" w:hAnsi="Arial" w:cs="Arial"/>
                <w:sz w:val="22"/>
              </w:rPr>
              <w:t>MoDA</w:t>
            </w:r>
            <w:proofErr w:type="spellEnd"/>
            <w:r w:rsidRPr="00750626">
              <w:rPr>
                <w:rFonts w:ascii="Arial" w:hAnsi="Arial" w:cs="Arial"/>
                <w:sz w:val="22"/>
              </w:rPr>
              <w:t xml:space="preserve"> </w:t>
            </w:r>
            <w:r w:rsidR="00B56244" w:rsidRPr="00750626">
              <w:rPr>
                <w:rFonts w:ascii="Arial" w:hAnsi="Arial" w:cs="Arial"/>
                <w:sz w:val="22"/>
              </w:rPr>
              <w:t>as a possible solution</w:t>
            </w:r>
            <w:r w:rsidRPr="00750626">
              <w:rPr>
                <w:rFonts w:ascii="Arial" w:hAnsi="Arial" w:cs="Arial"/>
                <w:sz w:val="22"/>
              </w:rPr>
              <w:t xml:space="preserve"> to</w:t>
            </w:r>
            <w:r w:rsidR="008C6F28" w:rsidRPr="00750626">
              <w:rPr>
                <w:rFonts w:ascii="Arial" w:hAnsi="Arial" w:cs="Arial"/>
                <w:sz w:val="22"/>
              </w:rPr>
              <w:t xml:space="preserve"> stay ahead of the constantly changing variants of fentanyl being supplied on the </w:t>
            </w:r>
            <w:r w:rsidR="001714FD" w:rsidRPr="00750626">
              <w:rPr>
                <w:rFonts w:ascii="Arial" w:hAnsi="Arial" w:cs="Arial"/>
                <w:sz w:val="22"/>
              </w:rPr>
              <w:t>drug</w:t>
            </w:r>
            <w:r w:rsidR="008C6F28" w:rsidRPr="00750626">
              <w:rPr>
                <w:rFonts w:ascii="Arial" w:hAnsi="Arial" w:cs="Arial"/>
                <w:sz w:val="22"/>
              </w:rPr>
              <w:t xml:space="preserve"> market</w:t>
            </w:r>
            <w:r w:rsidR="00B56244" w:rsidRPr="00750626">
              <w:rPr>
                <w:rFonts w:ascii="Arial" w:hAnsi="Arial" w:cs="Arial"/>
                <w:sz w:val="22"/>
              </w:rPr>
              <w:t>.</w:t>
            </w:r>
            <w:r w:rsidR="008C6F28" w:rsidRPr="00750626">
              <w:rPr>
                <w:rFonts w:ascii="Arial" w:hAnsi="Arial" w:cs="Arial"/>
                <w:sz w:val="22"/>
              </w:rPr>
              <w:t xml:space="preserve"> </w:t>
            </w:r>
          </w:p>
          <w:p w14:paraId="7371714C" w14:textId="77777777" w:rsidR="006A5A5E" w:rsidRPr="00750626" w:rsidRDefault="006A5A5E" w:rsidP="007551F6">
            <w:pPr>
              <w:rPr>
                <w:rFonts w:ascii="Arial" w:hAnsi="Arial" w:cs="Arial"/>
                <w:sz w:val="22"/>
              </w:rPr>
            </w:pPr>
          </w:p>
          <w:p w14:paraId="648349E7" w14:textId="43F07BF7" w:rsidR="00F07F1A" w:rsidRPr="00750626" w:rsidRDefault="00D823CE" w:rsidP="00B56244">
            <w:pPr>
              <w:rPr>
                <w:rFonts w:ascii="Arial" w:hAnsi="Arial" w:cs="Arial"/>
                <w:sz w:val="22"/>
              </w:rPr>
            </w:pPr>
            <w:r w:rsidRPr="00750626">
              <w:rPr>
                <w:rFonts w:ascii="Arial" w:hAnsi="Arial" w:cs="Arial"/>
                <w:sz w:val="22"/>
              </w:rPr>
              <w:t xml:space="preserve">The Committee also expressed that their recommendation that the analogues provision should allow controlled drug analogues to be captured under the same classification as their parent substances, should also be included in their recommendation letter. </w:t>
            </w:r>
          </w:p>
          <w:p w14:paraId="59D2A80A" w14:textId="50599554" w:rsidR="00770564" w:rsidRPr="00750626" w:rsidRDefault="00770564" w:rsidP="00B56244">
            <w:pPr>
              <w:rPr>
                <w:rFonts w:ascii="Arial" w:hAnsi="Arial" w:cs="Arial"/>
                <w:sz w:val="22"/>
              </w:rPr>
            </w:pPr>
            <w:r w:rsidRPr="00750626">
              <w:rPr>
                <w:rFonts w:ascii="Arial" w:hAnsi="Arial" w:cs="Arial"/>
                <w:sz w:val="22"/>
              </w:rPr>
              <w:t>The Secretariat advised that the Committee should also make a recommendation for the scheduling of the eight fentanyl analogues before them at this meeting, in case their preferred option cannot be progressed at this stage.</w:t>
            </w:r>
          </w:p>
          <w:p w14:paraId="4ABD6A31" w14:textId="77777777" w:rsidR="00770564" w:rsidRPr="00750626" w:rsidRDefault="00770564" w:rsidP="00F07F1A">
            <w:pPr>
              <w:rPr>
                <w:rFonts w:ascii="Arial" w:hAnsi="Arial" w:cs="Arial"/>
                <w:sz w:val="22"/>
              </w:rPr>
            </w:pPr>
          </w:p>
          <w:p w14:paraId="59518DEE" w14:textId="7DDF69E1" w:rsidR="00F07F1A" w:rsidRPr="00750626" w:rsidRDefault="00F07F1A" w:rsidP="00F07F1A">
            <w:pPr>
              <w:rPr>
                <w:rFonts w:ascii="Arial" w:hAnsi="Arial" w:cs="Arial"/>
                <w:sz w:val="28"/>
              </w:rPr>
            </w:pPr>
            <w:r w:rsidRPr="00750626">
              <w:rPr>
                <w:rFonts w:ascii="Arial" w:hAnsi="Arial" w:cs="Arial"/>
                <w:sz w:val="22"/>
              </w:rPr>
              <w:t xml:space="preserve">The Committee debated over the benefits of scheduling the specified fentanyl analogues in Schedule 1 </w:t>
            </w:r>
            <w:r w:rsidR="00DF7727">
              <w:rPr>
                <w:rFonts w:ascii="Arial" w:hAnsi="Arial" w:cs="Arial"/>
                <w:sz w:val="22"/>
              </w:rPr>
              <w:t xml:space="preserve">(Class A) </w:t>
            </w:r>
            <w:r w:rsidRPr="00750626">
              <w:rPr>
                <w:rFonts w:ascii="Arial" w:hAnsi="Arial" w:cs="Arial"/>
                <w:sz w:val="22"/>
              </w:rPr>
              <w:t>over Schedule 2</w:t>
            </w:r>
            <w:r w:rsidR="00DF7727">
              <w:rPr>
                <w:rFonts w:ascii="Arial" w:hAnsi="Arial" w:cs="Arial"/>
                <w:sz w:val="22"/>
              </w:rPr>
              <w:t xml:space="preserve"> (Class B)</w:t>
            </w:r>
            <w:r w:rsidRPr="00750626">
              <w:rPr>
                <w:rFonts w:ascii="Arial" w:hAnsi="Arial" w:cs="Arial"/>
                <w:sz w:val="22"/>
              </w:rPr>
              <w:t>, and agreed that there is not a huge advantage in the law enforcement powers but scheduling the analogues as Class A drugs could send a strong message to illicit users of these analogues.</w:t>
            </w:r>
          </w:p>
          <w:p w14:paraId="2DE2C355" w14:textId="77777777" w:rsidR="00F07F1A" w:rsidRPr="00750626" w:rsidRDefault="00F07F1A" w:rsidP="00B56244">
            <w:pPr>
              <w:rPr>
                <w:rFonts w:ascii="Arial" w:hAnsi="Arial" w:cs="Arial"/>
                <w:sz w:val="22"/>
              </w:rPr>
            </w:pPr>
          </w:p>
          <w:p w14:paraId="4DD5F856" w14:textId="57806996" w:rsidR="00B56244" w:rsidRPr="00750626" w:rsidRDefault="00B56244" w:rsidP="00B56244">
            <w:pPr>
              <w:rPr>
                <w:rFonts w:ascii="Arial" w:hAnsi="Arial" w:cs="Arial"/>
                <w:sz w:val="22"/>
              </w:rPr>
            </w:pPr>
            <w:r w:rsidRPr="00750626">
              <w:rPr>
                <w:rFonts w:ascii="Arial" w:hAnsi="Arial" w:cs="Arial"/>
                <w:sz w:val="22"/>
              </w:rPr>
              <w:t xml:space="preserve">It was suggested </w:t>
            </w:r>
            <w:r w:rsidR="00802A21" w:rsidRPr="00750626">
              <w:rPr>
                <w:rFonts w:ascii="Arial" w:hAnsi="Arial" w:cs="Arial"/>
                <w:sz w:val="22"/>
              </w:rPr>
              <w:t xml:space="preserve">that consultation would be required to determine if </w:t>
            </w:r>
            <w:proofErr w:type="spellStart"/>
            <w:r w:rsidR="006D7115">
              <w:rPr>
                <w:rFonts w:ascii="Arial" w:hAnsi="Arial" w:cs="Arial"/>
                <w:sz w:val="22"/>
              </w:rPr>
              <w:t>carfentanil</w:t>
            </w:r>
            <w:proofErr w:type="spellEnd"/>
            <w:r w:rsidR="00802A21" w:rsidRPr="00750626">
              <w:rPr>
                <w:rFonts w:ascii="Arial" w:hAnsi="Arial" w:cs="Arial"/>
                <w:sz w:val="22"/>
              </w:rPr>
              <w:t xml:space="preserve"> should be treated the same as the other fentanyl analogues or treated separately due to its use in veterinary medicine. The Committee considered that if</w:t>
            </w:r>
            <w:r w:rsidR="003423B5" w:rsidRPr="00750626">
              <w:rPr>
                <w:rFonts w:ascii="Arial" w:hAnsi="Arial" w:cs="Arial"/>
                <w:sz w:val="22"/>
              </w:rPr>
              <w:t xml:space="preserve"> </w:t>
            </w:r>
            <w:proofErr w:type="spellStart"/>
            <w:r w:rsidR="003423B5" w:rsidRPr="00750626">
              <w:rPr>
                <w:rFonts w:ascii="Arial" w:hAnsi="Arial" w:cs="Arial"/>
                <w:sz w:val="22"/>
              </w:rPr>
              <w:t>carfentanil</w:t>
            </w:r>
            <w:proofErr w:type="spellEnd"/>
            <w:r w:rsidR="003423B5" w:rsidRPr="00750626">
              <w:rPr>
                <w:rFonts w:ascii="Arial" w:hAnsi="Arial" w:cs="Arial"/>
                <w:sz w:val="22"/>
              </w:rPr>
              <w:t xml:space="preserve"> were routinely used</w:t>
            </w:r>
            <w:r w:rsidR="00802A21" w:rsidRPr="00750626">
              <w:rPr>
                <w:rFonts w:ascii="Arial" w:hAnsi="Arial" w:cs="Arial"/>
                <w:sz w:val="22"/>
              </w:rPr>
              <w:t xml:space="preserve"> in veterinary medicine in New Zealand that it would be more appropriate to schedule it in Schedule 2 </w:t>
            </w:r>
            <w:r w:rsidR="006D7115">
              <w:rPr>
                <w:rFonts w:ascii="Arial" w:hAnsi="Arial" w:cs="Arial"/>
                <w:sz w:val="22"/>
              </w:rPr>
              <w:t xml:space="preserve">(Class B) </w:t>
            </w:r>
            <w:r w:rsidR="00802A21" w:rsidRPr="00750626">
              <w:rPr>
                <w:rFonts w:ascii="Arial" w:hAnsi="Arial" w:cs="Arial"/>
                <w:sz w:val="22"/>
              </w:rPr>
              <w:t>but if the</w:t>
            </w:r>
            <w:r w:rsidR="008C52BE">
              <w:rPr>
                <w:rFonts w:ascii="Arial" w:hAnsi="Arial" w:cs="Arial"/>
                <w:sz w:val="22"/>
              </w:rPr>
              <w:t>re</w:t>
            </w:r>
            <w:r w:rsidR="003423B5" w:rsidRPr="00750626">
              <w:rPr>
                <w:rFonts w:ascii="Arial" w:hAnsi="Arial" w:cs="Arial"/>
                <w:sz w:val="22"/>
              </w:rPr>
              <w:t xml:space="preserve"> was no medical or veterinary use for </w:t>
            </w:r>
            <w:proofErr w:type="spellStart"/>
            <w:r w:rsidR="003423B5" w:rsidRPr="00750626">
              <w:rPr>
                <w:rFonts w:ascii="Arial" w:hAnsi="Arial" w:cs="Arial"/>
                <w:sz w:val="22"/>
              </w:rPr>
              <w:t>carfentanil</w:t>
            </w:r>
            <w:proofErr w:type="spellEnd"/>
            <w:r w:rsidR="003423B5" w:rsidRPr="00750626">
              <w:rPr>
                <w:rFonts w:ascii="Arial" w:hAnsi="Arial" w:cs="Arial"/>
                <w:sz w:val="22"/>
              </w:rPr>
              <w:t xml:space="preserve"> in New Zealand it could be scheduled in Schedule 1 </w:t>
            </w:r>
            <w:r w:rsidR="006D7115">
              <w:rPr>
                <w:rFonts w:ascii="Arial" w:hAnsi="Arial" w:cs="Arial"/>
                <w:sz w:val="22"/>
              </w:rPr>
              <w:t xml:space="preserve">(Class A) </w:t>
            </w:r>
            <w:r w:rsidR="003423B5" w:rsidRPr="00750626">
              <w:rPr>
                <w:rFonts w:ascii="Arial" w:hAnsi="Arial" w:cs="Arial"/>
                <w:sz w:val="22"/>
              </w:rPr>
              <w:t>along with the other fentanyl analogues considered.</w:t>
            </w:r>
          </w:p>
          <w:p w14:paraId="389C22B5" w14:textId="77777777" w:rsidR="00F07F1A" w:rsidRPr="00750626" w:rsidRDefault="00F07F1A" w:rsidP="007551F6">
            <w:pPr>
              <w:rPr>
                <w:rFonts w:ascii="Arial" w:hAnsi="Arial" w:cs="Arial"/>
                <w:sz w:val="22"/>
              </w:rPr>
            </w:pPr>
          </w:p>
          <w:p w14:paraId="4A96B57B" w14:textId="42639332" w:rsidR="008F73D9" w:rsidRPr="00750626" w:rsidRDefault="002E6CF9" w:rsidP="007551F6">
            <w:pPr>
              <w:rPr>
                <w:rFonts w:ascii="Arial" w:hAnsi="Arial" w:cs="Arial"/>
                <w:sz w:val="28"/>
              </w:rPr>
            </w:pPr>
            <w:r w:rsidRPr="00750626">
              <w:rPr>
                <w:rFonts w:ascii="Arial" w:hAnsi="Arial" w:cs="Arial"/>
                <w:sz w:val="22"/>
              </w:rPr>
              <w:t xml:space="preserve">It was noted that there is inconsistency across the current classifications of other fentanyl analogues </w:t>
            </w:r>
            <w:r w:rsidR="008F73D9" w:rsidRPr="00750626">
              <w:rPr>
                <w:rFonts w:ascii="Arial" w:hAnsi="Arial" w:cs="Arial"/>
                <w:sz w:val="22"/>
              </w:rPr>
              <w:t xml:space="preserve">that were previously scheduled </w:t>
            </w:r>
            <w:r w:rsidRPr="00750626">
              <w:rPr>
                <w:rFonts w:ascii="Arial" w:hAnsi="Arial" w:cs="Arial"/>
                <w:sz w:val="22"/>
              </w:rPr>
              <w:t xml:space="preserve">and </w:t>
            </w:r>
            <w:r w:rsidR="008F73D9" w:rsidRPr="00750626">
              <w:rPr>
                <w:rFonts w:ascii="Arial" w:hAnsi="Arial" w:cs="Arial"/>
                <w:sz w:val="22"/>
              </w:rPr>
              <w:t xml:space="preserve">there was </w:t>
            </w:r>
            <w:r w:rsidR="00314D82" w:rsidRPr="00750626">
              <w:rPr>
                <w:rFonts w:ascii="Arial" w:hAnsi="Arial" w:cs="Arial"/>
                <w:sz w:val="22"/>
              </w:rPr>
              <w:t xml:space="preserve">a </w:t>
            </w:r>
            <w:r w:rsidR="008F73D9" w:rsidRPr="00750626">
              <w:rPr>
                <w:rFonts w:ascii="Arial" w:hAnsi="Arial" w:cs="Arial"/>
                <w:sz w:val="22"/>
              </w:rPr>
              <w:t>consensus around scheduling fentanyl analogues</w:t>
            </w:r>
            <w:r w:rsidR="00314D82" w:rsidRPr="00750626">
              <w:rPr>
                <w:rFonts w:ascii="Arial" w:hAnsi="Arial" w:cs="Arial"/>
                <w:sz w:val="22"/>
              </w:rPr>
              <w:t xml:space="preserve"> in Schedule 1 (Class A).</w:t>
            </w:r>
            <w:r w:rsidR="00CD15CB" w:rsidRPr="00750626">
              <w:rPr>
                <w:rFonts w:ascii="Arial" w:hAnsi="Arial" w:cs="Arial"/>
                <w:sz w:val="22"/>
              </w:rPr>
              <w:t xml:space="preserve"> </w:t>
            </w:r>
            <w:r w:rsidR="00314D82" w:rsidRPr="00750626">
              <w:rPr>
                <w:rFonts w:ascii="Arial" w:hAnsi="Arial" w:cs="Arial"/>
                <w:sz w:val="22"/>
              </w:rPr>
              <w:t>T</w:t>
            </w:r>
            <w:r w:rsidRPr="00750626">
              <w:rPr>
                <w:rFonts w:ascii="Arial" w:hAnsi="Arial" w:cs="Arial"/>
                <w:sz w:val="22"/>
              </w:rPr>
              <w:t xml:space="preserve">he Committee </w:t>
            </w:r>
            <w:r w:rsidR="008F73D9" w:rsidRPr="00750626">
              <w:rPr>
                <w:rFonts w:ascii="Arial" w:hAnsi="Arial" w:cs="Arial"/>
                <w:sz w:val="22"/>
              </w:rPr>
              <w:t>discussed whether there is a need to review the previously scheduled fentanyl analogues and reclassify them the same as the analogues considered at this meeting.</w:t>
            </w:r>
            <w:r w:rsidR="00314D82" w:rsidRPr="00750626">
              <w:rPr>
                <w:rFonts w:ascii="Arial" w:hAnsi="Arial" w:cs="Arial"/>
                <w:sz w:val="22"/>
              </w:rPr>
              <w:t xml:space="preserve"> </w:t>
            </w:r>
            <w:proofErr w:type="spellStart"/>
            <w:r w:rsidR="008F73D9" w:rsidRPr="00750626">
              <w:rPr>
                <w:rFonts w:ascii="Arial" w:hAnsi="Arial" w:cs="Arial"/>
                <w:sz w:val="22"/>
              </w:rPr>
              <w:t>Sufentanil</w:t>
            </w:r>
            <w:proofErr w:type="spellEnd"/>
            <w:r w:rsidR="008F73D9" w:rsidRPr="00750626">
              <w:rPr>
                <w:rFonts w:ascii="Arial" w:hAnsi="Arial" w:cs="Arial"/>
                <w:sz w:val="22"/>
              </w:rPr>
              <w:t xml:space="preserve">, </w:t>
            </w:r>
            <w:proofErr w:type="spellStart"/>
            <w:r w:rsidR="008F73D9" w:rsidRPr="00750626">
              <w:rPr>
                <w:rFonts w:ascii="Arial" w:hAnsi="Arial" w:cs="Arial"/>
                <w:sz w:val="22"/>
              </w:rPr>
              <w:t>alfentanil</w:t>
            </w:r>
            <w:proofErr w:type="spellEnd"/>
            <w:r w:rsidR="008F73D9" w:rsidRPr="00750626">
              <w:rPr>
                <w:rFonts w:ascii="Arial" w:hAnsi="Arial" w:cs="Arial"/>
                <w:sz w:val="22"/>
              </w:rPr>
              <w:t xml:space="preserve"> and remifentanil are </w:t>
            </w:r>
            <w:r w:rsidR="008C6F28" w:rsidRPr="00750626">
              <w:rPr>
                <w:rFonts w:ascii="Arial" w:hAnsi="Arial" w:cs="Arial"/>
                <w:sz w:val="22"/>
              </w:rPr>
              <w:t xml:space="preserve">some of the fentanyl analogues that are </w:t>
            </w:r>
            <w:r w:rsidR="008F73D9" w:rsidRPr="00750626">
              <w:rPr>
                <w:rFonts w:ascii="Arial" w:hAnsi="Arial" w:cs="Arial"/>
                <w:sz w:val="22"/>
              </w:rPr>
              <w:t>currently scheduled as Class B3 controlled drugs.</w:t>
            </w:r>
          </w:p>
          <w:p w14:paraId="78798FEB" w14:textId="77777777" w:rsidR="002E6CF9" w:rsidRPr="00750626" w:rsidRDefault="002E6CF9" w:rsidP="007551F6">
            <w:pPr>
              <w:rPr>
                <w:rFonts w:ascii="Arial" w:hAnsi="Arial" w:cs="Arial"/>
                <w:sz w:val="28"/>
              </w:rPr>
            </w:pPr>
          </w:p>
          <w:p w14:paraId="2D1BB48E" w14:textId="658CA9D7" w:rsidR="007551F6" w:rsidRPr="00750626" w:rsidRDefault="007551F6" w:rsidP="007551F6">
            <w:pPr>
              <w:rPr>
                <w:rFonts w:ascii="Arial" w:hAnsi="Arial" w:cs="Arial"/>
                <w:sz w:val="28"/>
              </w:rPr>
            </w:pPr>
            <w:r w:rsidRPr="00750626">
              <w:rPr>
                <w:rFonts w:ascii="Arial" w:hAnsi="Arial" w:cs="Arial"/>
                <w:b/>
                <w:sz w:val="22"/>
              </w:rPr>
              <w:lastRenderedPageBreak/>
              <w:t>Outcome:</w:t>
            </w:r>
            <w:r w:rsidRPr="00750626">
              <w:rPr>
                <w:rFonts w:ascii="Arial" w:hAnsi="Arial" w:cs="Arial"/>
                <w:sz w:val="22"/>
              </w:rPr>
              <w:t xml:space="preserve"> </w:t>
            </w:r>
            <w:r w:rsidR="002902EA" w:rsidRPr="00750626">
              <w:rPr>
                <w:rFonts w:ascii="Arial" w:hAnsi="Arial" w:cs="Arial"/>
                <w:sz w:val="22"/>
              </w:rPr>
              <w:t>The</w:t>
            </w:r>
            <w:r w:rsidRPr="00750626">
              <w:rPr>
                <w:rFonts w:ascii="Arial" w:hAnsi="Arial" w:cs="Arial"/>
                <w:sz w:val="22"/>
              </w:rPr>
              <w:t xml:space="preserve"> Committee were in favour of recommending that</w:t>
            </w:r>
            <w:r w:rsidR="00FC3FB6" w:rsidRPr="00750626">
              <w:rPr>
                <w:rFonts w:ascii="Arial" w:hAnsi="Arial" w:cs="Arial"/>
                <w:sz w:val="22"/>
              </w:rPr>
              <w:t xml:space="preserve"> </w:t>
            </w:r>
            <w:r w:rsidR="00D74F04" w:rsidRPr="00750626">
              <w:rPr>
                <w:rFonts w:ascii="Arial" w:hAnsi="Arial" w:cs="Arial"/>
                <w:sz w:val="22"/>
              </w:rPr>
              <w:t xml:space="preserve">the specified </w:t>
            </w:r>
            <w:r w:rsidR="00FC3FB6" w:rsidRPr="00750626">
              <w:rPr>
                <w:rFonts w:ascii="Arial" w:hAnsi="Arial" w:cs="Arial"/>
                <w:sz w:val="22"/>
              </w:rPr>
              <w:t>fentanyl analogues</w:t>
            </w:r>
            <w:r w:rsidRPr="00750626">
              <w:rPr>
                <w:rFonts w:ascii="Arial" w:hAnsi="Arial" w:cs="Arial"/>
                <w:sz w:val="22"/>
              </w:rPr>
              <w:t xml:space="preserve"> be scheduled as Class </w:t>
            </w:r>
            <w:r w:rsidR="0025700C" w:rsidRPr="00750626">
              <w:rPr>
                <w:rFonts w:ascii="Arial" w:hAnsi="Arial" w:cs="Arial"/>
                <w:sz w:val="22"/>
              </w:rPr>
              <w:t>A</w:t>
            </w:r>
            <w:r w:rsidR="00FC3FB6" w:rsidRPr="00750626">
              <w:rPr>
                <w:rFonts w:ascii="Arial" w:hAnsi="Arial" w:cs="Arial"/>
                <w:sz w:val="22"/>
              </w:rPr>
              <w:t xml:space="preserve"> </w:t>
            </w:r>
            <w:r w:rsidRPr="00750626">
              <w:rPr>
                <w:rFonts w:ascii="Arial" w:hAnsi="Arial" w:cs="Arial"/>
                <w:sz w:val="22"/>
              </w:rPr>
              <w:t>controlled drug</w:t>
            </w:r>
            <w:r w:rsidR="002902EA" w:rsidRPr="00750626">
              <w:rPr>
                <w:rFonts w:ascii="Arial" w:hAnsi="Arial" w:cs="Arial"/>
                <w:sz w:val="22"/>
              </w:rPr>
              <w:t>s</w:t>
            </w:r>
            <w:r w:rsidRPr="00750626">
              <w:rPr>
                <w:rFonts w:ascii="Arial" w:hAnsi="Arial" w:cs="Arial"/>
                <w:sz w:val="22"/>
              </w:rPr>
              <w:t xml:space="preserve"> under </w:t>
            </w:r>
            <w:proofErr w:type="spellStart"/>
            <w:r w:rsidRPr="00750626">
              <w:rPr>
                <w:rFonts w:ascii="Arial" w:hAnsi="Arial" w:cs="Arial"/>
                <w:sz w:val="22"/>
              </w:rPr>
              <w:t>MoDA</w:t>
            </w:r>
            <w:proofErr w:type="spellEnd"/>
            <w:r w:rsidRPr="00750626">
              <w:rPr>
                <w:rFonts w:ascii="Arial" w:hAnsi="Arial" w:cs="Arial"/>
                <w:sz w:val="22"/>
              </w:rPr>
              <w:t xml:space="preserve"> due to </w:t>
            </w:r>
            <w:r w:rsidR="002902EA" w:rsidRPr="00750626">
              <w:rPr>
                <w:rFonts w:ascii="Arial" w:hAnsi="Arial" w:cs="Arial"/>
                <w:sz w:val="22"/>
              </w:rPr>
              <w:t xml:space="preserve">the </w:t>
            </w:r>
            <w:r w:rsidRPr="00750626">
              <w:rPr>
                <w:rFonts w:ascii="Arial" w:hAnsi="Arial" w:cs="Arial"/>
                <w:sz w:val="22"/>
              </w:rPr>
              <w:t xml:space="preserve">lack of </w:t>
            </w:r>
            <w:r w:rsidR="006A5A5E" w:rsidRPr="00750626">
              <w:rPr>
                <w:rFonts w:ascii="Arial" w:hAnsi="Arial" w:cs="Arial"/>
                <w:sz w:val="22"/>
              </w:rPr>
              <w:t xml:space="preserve">known </w:t>
            </w:r>
            <w:r w:rsidRPr="00750626">
              <w:rPr>
                <w:rFonts w:ascii="Arial" w:hAnsi="Arial" w:cs="Arial"/>
                <w:sz w:val="22"/>
              </w:rPr>
              <w:t>therapeutic use</w:t>
            </w:r>
            <w:r w:rsidR="002902EA" w:rsidRPr="00750626">
              <w:rPr>
                <w:rFonts w:ascii="Arial" w:hAnsi="Arial" w:cs="Arial"/>
                <w:sz w:val="22"/>
              </w:rPr>
              <w:t>s</w:t>
            </w:r>
            <w:r w:rsidRPr="00750626">
              <w:rPr>
                <w:rFonts w:ascii="Arial" w:hAnsi="Arial" w:cs="Arial"/>
                <w:sz w:val="22"/>
              </w:rPr>
              <w:t xml:space="preserve"> and the risk of </w:t>
            </w:r>
            <w:r w:rsidR="00D74F04" w:rsidRPr="00750626">
              <w:rPr>
                <w:rFonts w:ascii="Arial" w:hAnsi="Arial" w:cs="Arial"/>
                <w:sz w:val="22"/>
              </w:rPr>
              <w:t xml:space="preserve">overdose, </w:t>
            </w:r>
            <w:r w:rsidRPr="00750626">
              <w:rPr>
                <w:rFonts w:ascii="Arial" w:hAnsi="Arial" w:cs="Arial"/>
                <w:sz w:val="22"/>
              </w:rPr>
              <w:t>dependency</w:t>
            </w:r>
            <w:r w:rsidR="006A5A5E" w:rsidRPr="00750626">
              <w:rPr>
                <w:rFonts w:ascii="Arial" w:hAnsi="Arial" w:cs="Arial"/>
                <w:sz w:val="22"/>
              </w:rPr>
              <w:t xml:space="preserve"> and </w:t>
            </w:r>
            <w:r w:rsidRPr="00750626">
              <w:rPr>
                <w:rFonts w:ascii="Arial" w:hAnsi="Arial" w:cs="Arial"/>
                <w:sz w:val="22"/>
              </w:rPr>
              <w:t>misuse.</w:t>
            </w:r>
            <w:r w:rsidR="006A5A5E" w:rsidRPr="00750626">
              <w:rPr>
                <w:rFonts w:ascii="Arial" w:hAnsi="Arial" w:cs="Arial"/>
                <w:sz w:val="22"/>
              </w:rPr>
              <w:t xml:space="preserve"> With the exception of </w:t>
            </w:r>
            <w:proofErr w:type="spellStart"/>
            <w:r w:rsidR="006A5A5E" w:rsidRPr="00750626">
              <w:rPr>
                <w:rFonts w:ascii="Arial" w:hAnsi="Arial" w:cs="Arial"/>
                <w:sz w:val="22"/>
              </w:rPr>
              <w:t>carfentanil</w:t>
            </w:r>
            <w:proofErr w:type="spellEnd"/>
            <w:r w:rsidR="006A5A5E" w:rsidRPr="00750626">
              <w:rPr>
                <w:rFonts w:ascii="Arial" w:hAnsi="Arial" w:cs="Arial"/>
                <w:sz w:val="22"/>
              </w:rPr>
              <w:t xml:space="preserve">, which would require further consultation with veterinary professionals before scheduling. </w:t>
            </w:r>
          </w:p>
          <w:p w14:paraId="208A0825" w14:textId="77777777" w:rsidR="00770564" w:rsidRPr="00750626" w:rsidRDefault="00770564" w:rsidP="007551F6">
            <w:pPr>
              <w:rPr>
                <w:rFonts w:ascii="Arial" w:hAnsi="Arial" w:cs="Arial"/>
                <w:sz w:val="22"/>
              </w:rPr>
            </w:pPr>
          </w:p>
          <w:p w14:paraId="2FA933D1" w14:textId="385833EE" w:rsidR="007551F6" w:rsidRPr="00750626" w:rsidRDefault="007551F6" w:rsidP="007551F6">
            <w:pPr>
              <w:rPr>
                <w:rFonts w:ascii="Arial" w:hAnsi="Arial" w:cs="Arial"/>
                <w:sz w:val="28"/>
              </w:rPr>
            </w:pPr>
            <w:r w:rsidRPr="00750626">
              <w:rPr>
                <w:rFonts w:ascii="Arial" w:hAnsi="Arial" w:cs="Arial"/>
                <w:b/>
                <w:sz w:val="22"/>
              </w:rPr>
              <w:t>Motion:</w:t>
            </w:r>
            <w:r w:rsidR="00D74F04" w:rsidRPr="00750626">
              <w:rPr>
                <w:rFonts w:ascii="Arial" w:hAnsi="Arial" w:cs="Arial"/>
                <w:b/>
                <w:sz w:val="22"/>
              </w:rPr>
              <w:t xml:space="preserve"> </w:t>
            </w:r>
            <w:r w:rsidR="00894472" w:rsidRPr="00894472">
              <w:rPr>
                <w:rFonts w:ascii="Arial" w:hAnsi="Arial" w:cs="Arial"/>
                <w:sz w:val="22"/>
                <w:lang w:val="en-GB"/>
              </w:rPr>
              <w:t>[redacted under section 9(2)(</w:t>
            </w:r>
            <w:proofErr w:type="spellStart"/>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Pr="00750626">
              <w:rPr>
                <w:rFonts w:ascii="Arial" w:hAnsi="Arial" w:cs="Arial"/>
                <w:sz w:val="22"/>
              </w:rPr>
              <w:t>proposed</w:t>
            </w:r>
            <w:r w:rsidR="006A5A5E" w:rsidRPr="00750626">
              <w:rPr>
                <w:rFonts w:ascii="Arial" w:hAnsi="Arial" w:cs="Arial"/>
                <w:sz w:val="22"/>
              </w:rPr>
              <w:t xml:space="preserve"> </w:t>
            </w:r>
            <w:r w:rsidRPr="00750626">
              <w:rPr>
                <w:rFonts w:ascii="Arial" w:hAnsi="Arial" w:cs="Arial"/>
                <w:sz w:val="22"/>
              </w:rPr>
              <w:t>that</w:t>
            </w:r>
            <w:r w:rsidR="008E68AE" w:rsidRPr="00750626">
              <w:rPr>
                <w:rFonts w:ascii="Arial" w:hAnsi="Arial" w:cs="Arial"/>
                <w:sz w:val="22"/>
              </w:rPr>
              <w:t xml:space="preserve"> </w:t>
            </w:r>
            <w:r w:rsidR="00D74F04" w:rsidRPr="00750626">
              <w:rPr>
                <w:rFonts w:ascii="Arial" w:hAnsi="Arial" w:cs="Arial"/>
                <w:sz w:val="22"/>
              </w:rPr>
              <w:t xml:space="preserve">the specified fentanyl </w:t>
            </w:r>
            <w:r w:rsidR="008E68AE" w:rsidRPr="00750626">
              <w:rPr>
                <w:rFonts w:ascii="Arial" w:hAnsi="Arial" w:cs="Arial"/>
                <w:sz w:val="22"/>
              </w:rPr>
              <w:t>analogues</w:t>
            </w:r>
            <w:r w:rsidR="00065B71" w:rsidRPr="00750626">
              <w:rPr>
                <w:rFonts w:ascii="Arial" w:hAnsi="Arial" w:cs="Arial"/>
                <w:sz w:val="22"/>
              </w:rPr>
              <w:t xml:space="preserve">; </w:t>
            </w:r>
            <w:proofErr w:type="spellStart"/>
            <w:r w:rsidR="007F1790" w:rsidRPr="00750626">
              <w:rPr>
                <w:rFonts w:ascii="Arial" w:hAnsi="Arial" w:cs="Arial"/>
                <w:sz w:val="22"/>
              </w:rPr>
              <w:t>ocfentanil</w:t>
            </w:r>
            <w:proofErr w:type="spellEnd"/>
            <w:r w:rsidR="007F1790" w:rsidRPr="00750626">
              <w:rPr>
                <w:rFonts w:ascii="Arial" w:hAnsi="Arial" w:cs="Arial"/>
                <w:sz w:val="22"/>
              </w:rPr>
              <w:t xml:space="preserve">, </w:t>
            </w:r>
            <w:proofErr w:type="spellStart"/>
            <w:r w:rsidR="00065B71" w:rsidRPr="00750626">
              <w:rPr>
                <w:rFonts w:ascii="Arial" w:hAnsi="Arial" w:cs="Arial"/>
                <w:sz w:val="22"/>
              </w:rPr>
              <w:t>acetylfentanyl</w:t>
            </w:r>
            <w:proofErr w:type="spellEnd"/>
            <w:r w:rsidR="00065B71" w:rsidRPr="00750626">
              <w:rPr>
                <w:rFonts w:ascii="Arial" w:hAnsi="Arial" w:cs="Arial"/>
                <w:sz w:val="22"/>
              </w:rPr>
              <w:t xml:space="preserve">, </w:t>
            </w:r>
            <w:proofErr w:type="spellStart"/>
            <w:r w:rsidR="00065B71" w:rsidRPr="00750626">
              <w:rPr>
                <w:rFonts w:ascii="Arial" w:hAnsi="Arial" w:cs="Arial"/>
                <w:sz w:val="22"/>
              </w:rPr>
              <w:t>butyrfentanyl</w:t>
            </w:r>
            <w:proofErr w:type="spellEnd"/>
            <w:r w:rsidR="00065B71" w:rsidRPr="00750626">
              <w:rPr>
                <w:rFonts w:ascii="Arial" w:hAnsi="Arial" w:cs="Arial"/>
                <w:sz w:val="22"/>
              </w:rPr>
              <w:t xml:space="preserve">, </w:t>
            </w:r>
            <w:proofErr w:type="spellStart"/>
            <w:r w:rsidR="00065B71" w:rsidRPr="00750626">
              <w:rPr>
                <w:rFonts w:ascii="Arial" w:hAnsi="Arial" w:cs="Arial"/>
                <w:sz w:val="22"/>
              </w:rPr>
              <w:t>acryoylfentanyl</w:t>
            </w:r>
            <w:proofErr w:type="spellEnd"/>
            <w:r w:rsidR="00065B71" w:rsidRPr="00750626">
              <w:rPr>
                <w:rFonts w:ascii="Arial" w:hAnsi="Arial" w:cs="Arial"/>
                <w:sz w:val="22"/>
              </w:rPr>
              <w:t xml:space="preserve">, 4-FIBF, </w:t>
            </w:r>
            <w:proofErr w:type="spellStart"/>
            <w:r w:rsidR="00065B71" w:rsidRPr="00750626">
              <w:rPr>
                <w:rFonts w:ascii="Arial" w:hAnsi="Arial" w:cs="Arial"/>
                <w:sz w:val="22"/>
              </w:rPr>
              <w:t>furanylfentanyl</w:t>
            </w:r>
            <w:proofErr w:type="spellEnd"/>
            <w:r w:rsidR="00065B71" w:rsidRPr="00750626">
              <w:rPr>
                <w:rFonts w:ascii="Arial" w:hAnsi="Arial" w:cs="Arial"/>
                <w:sz w:val="22"/>
              </w:rPr>
              <w:t xml:space="preserve"> and</w:t>
            </w:r>
            <w:r w:rsidR="007F1790" w:rsidRPr="00750626">
              <w:rPr>
                <w:rFonts w:ascii="Arial" w:hAnsi="Arial" w:cs="Arial"/>
                <w:sz w:val="22"/>
              </w:rPr>
              <w:t xml:space="preserve"> THF-F</w:t>
            </w:r>
            <w:r w:rsidR="008E68AE" w:rsidRPr="00750626">
              <w:rPr>
                <w:rFonts w:ascii="Arial" w:hAnsi="Arial" w:cs="Arial"/>
                <w:sz w:val="22"/>
              </w:rPr>
              <w:t xml:space="preserve"> </w:t>
            </w:r>
            <w:r w:rsidR="006A5A5E" w:rsidRPr="00750626">
              <w:rPr>
                <w:rFonts w:ascii="Arial" w:hAnsi="Arial" w:cs="Arial"/>
                <w:sz w:val="22"/>
              </w:rPr>
              <w:t xml:space="preserve">be scheduled </w:t>
            </w:r>
            <w:r w:rsidR="008E68AE" w:rsidRPr="00750626">
              <w:rPr>
                <w:rFonts w:ascii="Arial" w:hAnsi="Arial" w:cs="Arial"/>
                <w:sz w:val="22"/>
              </w:rPr>
              <w:t>as</w:t>
            </w:r>
            <w:r w:rsidRPr="00750626">
              <w:rPr>
                <w:rFonts w:ascii="Arial" w:hAnsi="Arial" w:cs="Arial"/>
                <w:sz w:val="22"/>
              </w:rPr>
              <w:t xml:space="preserve"> </w:t>
            </w:r>
            <w:r w:rsidR="0025700C" w:rsidRPr="00750626">
              <w:rPr>
                <w:rFonts w:ascii="Arial" w:hAnsi="Arial" w:cs="Arial"/>
                <w:sz w:val="22"/>
              </w:rPr>
              <w:t>Class A</w:t>
            </w:r>
            <w:r w:rsidR="00065B71" w:rsidRPr="00750626">
              <w:rPr>
                <w:rFonts w:ascii="Arial" w:hAnsi="Arial" w:cs="Arial"/>
                <w:sz w:val="22"/>
              </w:rPr>
              <w:t xml:space="preserve"> controlled drugs,</w:t>
            </w:r>
            <w:r w:rsidR="0025700C" w:rsidRPr="00750626">
              <w:rPr>
                <w:rFonts w:ascii="Arial" w:hAnsi="Arial" w:cs="Arial"/>
                <w:sz w:val="22"/>
              </w:rPr>
              <w:t xml:space="preserve"> </w:t>
            </w:r>
            <w:r w:rsidR="008E68AE" w:rsidRPr="00750626">
              <w:rPr>
                <w:rFonts w:ascii="Arial" w:hAnsi="Arial" w:cs="Arial"/>
                <w:sz w:val="22"/>
              </w:rPr>
              <w:t>and</w:t>
            </w:r>
            <w:r w:rsidR="00065B71" w:rsidRPr="00750626">
              <w:rPr>
                <w:rFonts w:ascii="Arial" w:hAnsi="Arial" w:cs="Arial"/>
                <w:sz w:val="22"/>
              </w:rPr>
              <w:t xml:space="preserve"> to</w:t>
            </w:r>
            <w:r w:rsidR="008E68AE" w:rsidRPr="00750626">
              <w:rPr>
                <w:rFonts w:ascii="Arial" w:hAnsi="Arial" w:cs="Arial"/>
                <w:sz w:val="22"/>
              </w:rPr>
              <w:t xml:space="preserve"> seek information </w:t>
            </w:r>
            <w:r w:rsidR="00747741" w:rsidRPr="00750626">
              <w:rPr>
                <w:rFonts w:ascii="Arial" w:hAnsi="Arial" w:cs="Arial"/>
                <w:sz w:val="22"/>
              </w:rPr>
              <w:t>from vet</w:t>
            </w:r>
            <w:r w:rsidR="00065B71" w:rsidRPr="00750626">
              <w:rPr>
                <w:rFonts w:ascii="Arial" w:hAnsi="Arial" w:cs="Arial"/>
                <w:sz w:val="22"/>
              </w:rPr>
              <w:t>erinary</w:t>
            </w:r>
            <w:r w:rsidR="00747741" w:rsidRPr="00750626">
              <w:rPr>
                <w:rFonts w:ascii="Arial" w:hAnsi="Arial" w:cs="Arial"/>
                <w:sz w:val="22"/>
              </w:rPr>
              <w:t xml:space="preserve"> professionals </w:t>
            </w:r>
            <w:r w:rsidR="008E68AE" w:rsidRPr="00750626">
              <w:rPr>
                <w:rFonts w:ascii="Arial" w:hAnsi="Arial" w:cs="Arial"/>
                <w:sz w:val="22"/>
              </w:rPr>
              <w:t xml:space="preserve">about </w:t>
            </w:r>
            <w:r w:rsidR="00747741" w:rsidRPr="00750626">
              <w:rPr>
                <w:rFonts w:ascii="Arial" w:hAnsi="Arial" w:cs="Arial"/>
                <w:sz w:val="22"/>
              </w:rPr>
              <w:t>up-scheduling</w:t>
            </w:r>
            <w:r w:rsidR="003C16A9" w:rsidRPr="00750626">
              <w:rPr>
                <w:rFonts w:ascii="Arial" w:hAnsi="Arial" w:cs="Arial"/>
                <w:sz w:val="22"/>
              </w:rPr>
              <w:t xml:space="preserve"> </w:t>
            </w:r>
            <w:proofErr w:type="spellStart"/>
            <w:r w:rsidR="008E68AE" w:rsidRPr="00750626">
              <w:rPr>
                <w:rFonts w:ascii="Arial" w:hAnsi="Arial" w:cs="Arial"/>
                <w:sz w:val="22"/>
              </w:rPr>
              <w:t>ca</w:t>
            </w:r>
            <w:r w:rsidR="00F32264" w:rsidRPr="00750626">
              <w:rPr>
                <w:rFonts w:ascii="Arial" w:hAnsi="Arial" w:cs="Arial"/>
                <w:sz w:val="22"/>
              </w:rPr>
              <w:t>r</w:t>
            </w:r>
            <w:r w:rsidR="008E68AE" w:rsidRPr="00750626">
              <w:rPr>
                <w:rFonts w:ascii="Arial" w:hAnsi="Arial" w:cs="Arial"/>
                <w:sz w:val="22"/>
              </w:rPr>
              <w:t>fentanil</w:t>
            </w:r>
            <w:proofErr w:type="spellEnd"/>
            <w:r w:rsidR="003C16A9" w:rsidRPr="00750626">
              <w:rPr>
                <w:rFonts w:ascii="Arial" w:hAnsi="Arial" w:cs="Arial"/>
                <w:sz w:val="22"/>
              </w:rPr>
              <w:t xml:space="preserve"> </w:t>
            </w:r>
            <w:r w:rsidR="008E68AE" w:rsidRPr="00750626">
              <w:rPr>
                <w:rFonts w:ascii="Arial" w:hAnsi="Arial" w:cs="Arial"/>
                <w:sz w:val="22"/>
              </w:rPr>
              <w:t xml:space="preserve">(currently </w:t>
            </w:r>
            <w:r w:rsidR="00065B71" w:rsidRPr="00750626">
              <w:rPr>
                <w:rFonts w:ascii="Arial" w:hAnsi="Arial" w:cs="Arial"/>
                <w:sz w:val="22"/>
              </w:rPr>
              <w:t xml:space="preserve">Class </w:t>
            </w:r>
            <w:r w:rsidR="008E68AE" w:rsidRPr="00750626">
              <w:rPr>
                <w:rFonts w:ascii="Arial" w:hAnsi="Arial" w:cs="Arial"/>
                <w:sz w:val="22"/>
              </w:rPr>
              <w:t>C)</w:t>
            </w:r>
            <w:r w:rsidR="00747741" w:rsidRPr="00750626">
              <w:rPr>
                <w:rFonts w:ascii="Arial" w:hAnsi="Arial" w:cs="Arial"/>
                <w:sz w:val="22"/>
              </w:rPr>
              <w:t xml:space="preserve"> to </w:t>
            </w:r>
            <w:r w:rsidR="00065B71" w:rsidRPr="00750626">
              <w:rPr>
                <w:rFonts w:ascii="Arial" w:hAnsi="Arial" w:cs="Arial"/>
                <w:sz w:val="22"/>
              </w:rPr>
              <w:t xml:space="preserve">Class </w:t>
            </w:r>
            <w:r w:rsidR="00747741" w:rsidRPr="00750626">
              <w:rPr>
                <w:rFonts w:ascii="Arial" w:hAnsi="Arial" w:cs="Arial"/>
                <w:sz w:val="22"/>
              </w:rPr>
              <w:t>B</w:t>
            </w:r>
            <w:r w:rsidR="00E85E3B">
              <w:rPr>
                <w:rFonts w:ascii="Arial" w:hAnsi="Arial" w:cs="Arial"/>
                <w:sz w:val="22"/>
              </w:rPr>
              <w:t>1</w:t>
            </w:r>
            <w:r w:rsidR="00D74F04" w:rsidRPr="00750626">
              <w:rPr>
                <w:rFonts w:ascii="Arial" w:hAnsi="Arial" w:cs="Arial"/>
                <w:sz w:val="22"/>
              </w:rPr>
              <w:t xml:space="preserve"> </w:t>
            </w:r>
            <w:r w:rsidR="003C16A9" w:rsidRPr="00750626">
              <w:rPr>
                <w:rFonts w:ascii="Arial" w:hAnsi="Arial" w:cs="Arial"/>
                <w:sz w:val="22"/>
              </w:rPr>
              <w:t xml:space="preserve">or </w:t>
            </w:r>
            <w:r w:rsidR="00065B71" w:rsidRPr="00750626">
              <w:rPr>
                <w:rFonts w:ascii="Arial" w:hAnsi="Arial" w:cs="Arial"/>
                <w:sz w:val="22"/>
              </w:rPr>
              <w:t xml:space="preserve">Class </w:t>
            </w:r>
            <w:r w:rsidR="003C16A9" w:rsidRPr="00750626">
              <w:rPr>
                <w:rFonts w:ascii="Arial" w:hAnsi="Arial" w:cs="Arial"/>
                <w:sz w:val="22"/>
              </w:rPr>
              <w:t>A</w:t>
            </w:r>
            <w:r w:rsidR="00747741" w:rsidRPr="00750626">
              <w:rPr>
                <w:rFonts w:ascii="Arial" w:hAnsi="Arial" w:cs="Arial"/>
                <w:sz w:val="22"/>
              </w:rPr>
              <w:t xml:space="preserve"> (if no therapeutic value)</w:t>
            </w:r>
            <w:r w:rsidR="008E68AE" w:rsidRPr="00750626">
              <w:rPr>
                <w:rFonts w:ascii="Arial" w:hAnsi="Arial" w:cs="Arial"/>
                <w:sz w:val="22"/>
              </w:rPr>
              <w:t xml:space="preserve">. The motion was seconded by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w:t>
            </w:r>
            <w:r w:rsidR="008E68AE" w:rsidRPr="00750626">
              <w:rPr>
                <w:rFonts w:ascii="Arial" w:hAnsi="Arial" w:cs="Arial"/>
                <w:sz w:val="22"/>
              </w:rPr>
              <w:t xml:space="preserve">. </w:t>
            </w:r>
            <w:r w:rsidRPr="00750626">
              <w:rPr>
                <w:rFonts w:ascii="Arial" w:hAnsi="Arial" w:cs="Arial"/>
                <w:sz w:val="22"/>
              </w:rPr>
              <w:t xml:space="preserve">The Committee were all in favour. </w:t>
            </w:r>
          </w:p>
          <w:p w14:paraId="0935ADC0" w14:textId="77777777" w:rsidR="007551F6" w:rsidRPr="00750626" w:rsidRDefault="007551F6" w:rsidP="007551F6">
            <w:pPr>
              <w:rPr>
                <w:rFonts w:ascii="Arial" w:hAnsi="Arial" w:cs="Arial"/>
                <w:sz w:val="28"/>
              </w:rPr>
            </w:pPr>
          </w:p>
          <w:p w14:paraId="474B30DE" w14:textId="7DDD85AD" w:rsidR="007551F6" w:rsidRDefault="007551F6" w:rsidP="007551F6">
            <w:pPr>
              <w:tabs>
                <w:tab w:val="right" w:leader="underscore" w:pos="5670"/>
                <w:tab w:val="left" w:pos="6237"/>
              </w:tabs>
              <w:rPr>
                <w:rFonts w:ascii="Arial" w:hAnsi="Arial" w:cs="Arial"/>
                <w:sz w:val="22"/>
              </w:rPr>
            </w:pPr>
            <w:r w:rsidRPr="00947CED">
              <w:rPr>
                <w:rFonts w:ascii="Arial" w:hAnsi="Arial" w:cs="Arial"/>
                <w:b/>
                <w:sz w:val="22"/>
              </w:rPr>
              <w:t>Action</w:t>
            </w:r>
            <w:r w:rsidR="00F42C70" w:rsidRPr="00947CED">
              <w:rPr>
                <w:rFonts w:ascii="Arial" w:hAnsi="Arial" w:cs="Arial"/>
                <w:b/>
                <w:sz w:val="22"/>
              </w:rPr>
              <w:t>:</w:t>
            </w:r>
            <w:r w:rsidR="00324D9C">
              <w:rPr>
                <w:rFonts w:ascii="Arial" w:hAnsi="Arial" w:cs="Arial"/>
                <w:b/>
                <w:sz w:val="22"/>
              </w:rPr>
              <w:t xml:space="preserve"> </w:t>
            </w:r>
            <w:r w:rsidR="00324D9C" w:rsidRPr="00324D9C">
              <w:rPr>
                <w:rFonts w:ascii="Arial" w:hAnsi="Arial" w:cs="Arial"/>
                <w:sz w:val="22"/>
              </w:rPr>
              <w:t>Secretariat to consult with relevant stakeholders and begin the process to schedule</w:t>
            </w:r>
            <w:r w:rsidR="00F42C70" w:rsidRPr="00723231">
              <w:rPr>
                <w:rFonts w:cs="Arial"/>
                <w:sz w:val="22"/>
              </w:rPr>
              <w:t xml:space="preserve"> </w:t>
            </w:r>
            <w:proofErr w:type="spellStart"/>
            <w:r w:rsidR="00F42C70" w:rsidRPr="00947CED">
              <w:rPr>
                <w:rFonts w:ascii="Arial" w:hAnsi="Arial" w:cs="Arial"/>
                <w:sz w:val="22"/>
              </w:rPr>
              <w:t>ocfentanil</w:t>
            </w:r>
            <w:proofErr w:type="spellEnd"/>
            <w:r w:rsidR="00F42C70" w:rsidRPr="00947CED">
              <w:rPr>
                <w:rFonts w:ascii="Arial" w:hAnsi="Arial" w:cs="Arial"/>
                <w:sz w:val="22"/>
              </w:rPr>
              <w:t xml:space="preserve">, </w:t>
            </w:r>
            <w:proofErr w:type="spellStart"/>
            <w:r w:rsidR="00F42C70" w:rsidRPr="00947CED">
              <w:rPr>
                <w:rFonts w:ascii="Arial" w:hAnsi="Arial" w:cs="Arial"/>
                <w:sz w:val="22"/>
              </w:rPr>
              <w:t>acetylfentanyl</w:t>
            </w:r>
            <w:proofErr w:type="spellEnd"/>
            <w:r w:rsidR="00F42C70" w:rsidRPr="00947CED">
              <w:rPr>
                <w:rFonts w:ascii="Arial" w:hAnsi="Arial" w:cs="Arial"/>
                <w:sz w:val="22"/>
              </w:rPr>
              <w:t xml:space="preserve">, </w:t>
            </w:r>
            <w:proofErr w:type="spellStart"/>
            <w:r w:rsidR="00F42C70" w:rsidRPr="00947CED">
              <w:rPr>
                <w:rFonts w:ascii="Arial" w:hAnsi="Arial" w:cs="Arial"/>
                <w:sz w:val="22"/>
              </w:rPr>
              <w:t>butyrfentanyl</w:t>
            </w:r>
            <w:proofErr w:type="spellEnd"/>
            <w:r w:rsidR="00F42C70" w:rsidRPr="00947CED">
              <w:rPr>
                <w:rFonts w:ascii="Arial" w:hAnsi="Arial" w:cs="Arial"/>
                <w:sz w:val="22"/>
              </w:rPr>
              <w:t xml:space="preserve">, </w:t>
            </w:r>
            <w:proofErr w:type="spellStart"/>
            <w:r w:rsidR="00F42C70" w:rsidRPr="00947CED">
              <w:rPr>
                <w:rFonts w:ascii="Arial" w:hAnsi="Arial" w:cs="Arial"/>
                <w:sz w:val="22"/>
              </w:rPr>
              <w:t>acryoylfentanyl</w:t>
            </w:r>
            <w:proofErr w:type="spellEnd"/>
            <w:r w:rsidR="00F42C70" w:rsidRPr="00947CED">
              <w:rPr>
                <w:rFonts w:ascii="Arial" w:hAnsi="Arial" w:cs="Arial"/>
                <w:sz w:val="22"/>
              </w:rPr>
              <w:t xml:space="preserve">, 4-FIBF, </w:t>
            </w:r>
            <w:proofErr w:type="spellStart"/>
            <w:r w:rsidR="00F42C70" w:rsidRPr="00947CED">
              <w:rPr>
                <w:rFonts w:ascii="Arial" w:hAnsi="Arial" w:cs="Arial"/>
                <w:sz w:val="22"/>
              </w:rPr>
              <w:t>furanylfentanyl</w:t>
            </w:r>
            <w:proofErr w:type="spellEnd"/>
            <w:r w:rsidR="00F42C70" w:rsidRPr="00947CED">
              <w:rPr>
                <w:rFonts w:ascii="Arial" w:hAnsi="Arial" w:cs="Arial"/>
                <w:sz w:val="22"/>
              </w:rPr>
              <w:t xml:space="preserve"> and THF-F as Class A controlled drugs and </w:t>
            </w:r>
            <w:proofErr w:type="spellStart"/>
            <w:r w:rsidR="00F42C70" w:rsidRPr="00947CED">
              <w:rPr>
                <w:rFonts w:ascii="Arial" w:hAnsi="Arial" w:cs="Arial"/>
                <w:sz w:val="22"/>
              </w:rPr>
              <w:t>carfentanil</w:t>
            </w:r>
            <w:proofErr w:type="spellEnd"/>
            <w:r w:rsidR="00F42C70" w:rsidRPr="00947CED">
              <w:rPr>
                <w:rFonts w:ascii="Arial" w:hAnsi="Arial" w:cs="Arial"/>
                <w:sz w:val="22"/>
              </w:rPr>
              <w:t xml:space="preserve"> as </w:t>
            </w:r>
            <w:r w:rsidR="00EC63A8">
              <w:rPr>
                <w:rFonts w:ascii="Arial" w:hAnsi="Arial" w:cs="Arial"/>
                <w:sz w:val="22"/>
              </w:rPr>
              <w:t>either a Class A controlled drug</w:t>
            </w:r>
            <w:r w:rsidR="00F42C70" w:rsidRPr="00947CED">
              <w:rPr>
                <w:rFonts w:ascii="Arial" w:hAnsi="Arial" w:cs="Arial"/>
                <w:sz w:val="22"/>
              </w:rPr>
              <w:t xml:space="preserve"> or a Class B</w:t>
            </w:r>
            <w:r w:rsidR="00C40859">
              <w:rPr>
                <w:rFonts w:ascii="Arial" w:hAnsi="Arial" w:cs="Arial"/>
                <w:sz w:val="22"/>
              </w:rPr>
              <w:t>1</w:t>
            </w:r>
            <w:r w:rsidR="00F42C70" w:rsidRPr="00947CED">
              <w:rPr>
                <w:rFonts w:ascii="Arial" w:hAnsi="Arial" w:cs="Arial"/>
                <w:sz w:val="22"/>
              </w:rPr>
              <w:t xml:space="preserve"> controlled drug if there is a legitimate therapeutic use in veterinary </w:t>
            </w:r>
            <w:r w:rsidR="00EC63A8">
              <w:rPr>
                <w:rFonts w:ascii="Arial" w:hAnsi="Arial" w:cs="Arial"/>
                <w:sz w:val="22"/>
              </w:rPr>
              <w:t>medicine</w:t>
            </w:r>
            <w:r w:rsidR="00F42C70" w:rsidRPr="00947CED">
              <w:rPr>
                <w:rFonts w:ascii="Arial" w:hAnsi="Arial" w:cs="Arial"/>
                <w:sz w:val="22"/>
              </w:rPr>
              <w:t>.</w:t>
            </w:r>
          </w:p>
          <w:p w14:paraId="17B7B669" w14:textId="77777777" w:rsidR="00C40859" w:rsidRPr="00947CED" w:rsidRDefault="00C40859" w:rsidP="007551F6">
            <w:pPr>
              <w:tabs>
                <w:tab w:val="right" w:leader="underscore" w:pos="5670"/>
                <w:tab w:val="left" w:pos="6237"/>
              </w:tabs>
              <w:rPr>
                <w:rFonts w:ascii="Arial" w:hAnsi="Arial" w:cs="Arial"/>
                <w:sz w:val="28"/>
              </w:rPr>
            </w:pPr>
          </w:p>
          <w:p w14:paraId="3C189DD1" w14:textId="72F47610" w:rsidR="00C8407E" w:rsidRPr="00C40859" w:rsidRDefault="00631C16" w:rsidP="00C8407E">
            <w:pPr>
              <w:tabs>
                <w:tab w:val="right" w:leader="underscore" w:pos="5670"/>
                <w:tab w:val="left" w:pos="6237"/>
              </w:tabs>
              <w:rPr>
                <w:rFonts w:ascii="Arial" w:hAnsi="Arial" w:cs="Arial"/>
                <w:sz w:val="22"/>
              </w:rPr>
            </w:pPr>
            <w:r w:rsidRPr="00750626">
              <w:rPr>
                <w:rFonts w:ascii="Arial" w:hAnsi="Arial" w:cs="Arial"/>
                <w:b/>
                <w:sz w:val="22"/>
              </w:rPr>
              <w:t>Action</w:t>
            </w:r>
            <w:r w:rsidRPr="00750626">
              <w:rPr>
                <w:rFonts w:ascii="Arial" w:hAnsi="Arial" w:cs="Arial"/>
                <w:sz w:val="22"/>
              </w:rPr>
              <w:t>: Secretariat to</w:t>
            </w:r>
            <w:r>
              <w:rPr>
                <w:rFonts w:ascii="Arial" w:hAnsi="Arial" w:cs="Arial"/>
                <w:sz w:val="22"/>
              </w:rPr>
              <w:t xml:space="preserve"> include the Committee’s suggest</w:t>
            </w:r>
            <w:r w:rsidR="006D7115">
              <w:rPr>
                <w:rFonts w:ascii="Arial" w:hAnsi="Arial" w:cs="Arial"/>
                <w:sz w:val="22"/>
              </w:rPr>
              <w:t>ion</w:t>
            </w:r>
            <w:r>
              <w:rPr>
                <w:rFonts w:ascii="Arial" w:hAnsi="Arial" w:cs="Arial"/>
                <w:sz w:val="22"/>
              </w:rPr>
              <w:t xml:space="preserve"> to schedule fentanyl analogues as </w:t>
            </w:r>
            <w:r w:rsidR="00C40859">
              <w:rPr>
                <w:rFonts w:ascii="Arial" w:hAnsi="Arial" w:cs="Arial"/>
                <w:sz w:val="22"/>
              </w:rPr>
              <w:t>“fentanyl analogues”</w:t>
            </w:r>
            <w:r>
              <w:rPr>
                <w:rFonts w:ascii="Arial" w:hAnsi="Arial" w:cs="Arial"/>
                <w:sz w:val="22"/>
              </w:rPr>
              <w:t xml:space="preserve">. </w:t>
            </w:r>
          </w:p>
          <w:p w14:paraId="7910B921" w14:textId="77777777" w:rsidR="00631C16" w:rsidRDefault="00631C16" w:rsidP="00C8407E">
            <w:pPr>
              <w:tabs>
                <w:tab w:val="right" w:leader="underscore" w:pos="5670"/>
                <w:tab w:val="left" w:pos="6237"/>
              </w:tabs>
              <w:rPr>
                <w:rFonts w:ascii="Arial" w:hAnsi="Arial" w:cs="Arial"/>
                <w:b/>
                <w:sz w:val="22"/>
              </w:rPr>
            </w:pPr>
          </w:p>
          <w:p w14:paraId="54029DA6" w14:textId="655E852A" w:rsidR="00C8407E" w:rsidRPr="00750626" w:rsidRDefault="00C8407E" w:rsidP="00C8407E">
            <w:pPr>
              <w:tabs>
                <w:tab w:val="right" w:leader="underscore" w:pos="5670"/>
                <w:tab w:val="left" w:pos="6237"/>
              </w:tabs>
              <w:rPr>
                <w:rFonts w:ascii="Arial" w:hAnsi="Arial" w:cs="Arial"/>
                <w:sz w:val="22"/>
              </w:rPr>
            </w:pPr>
            <w:r w:rsidRPr="00750626">
              <w:rPr>
                <w:rFonts w:ascii="Arial" w:hAnsi="Arial" w:cs="Arial"/>
                <w:b/>
                <w:sz w:val="22"/>
              </w:rPr>
              <w:t>Action</w:t>
            </w:r>
            <w:r w:rsidRPr="00750626">
              <w:rPr>
                <w:rFonts w:ascii="Arial" w:hAnsi="Arial" w:cs="Arial"/>
                <w:sz w:val="22"/>
              </w:rPr>
              <w:t>: Secretariat to provide information about why the previously scheduled fentanyl analogues (</w:t>
            </w:r>
            <w:proofErr w:type="spellStart"/>
            <w:r w:rsidRPr="00750626">
              <w:rPr>
                <w:rFonts w:ascii="Arial" w:hAnsi="Arial" w:cs="Arial"/>
                <w:sz w:val="22"/>
              </w:rPr>
              <w:t>sufentanil</w:t>
            </w:r>
            <w:proofErr w:type="spellEnd"/>
            <w:r w:rsidRPr="00750626">
              <w:rPr>
                <w:rFonts w:ascii="Arial" w:hAnsi="Arial" w:cs="Arial"/>
                <w:sz w:val="22"/>
              </w:rPr>
              <w:t xml:space="preserve">, </w:t>
            </w:r>
            <w:proofErr w:type="spellStart"/>
            <w:r w:rsidRPr="00750626">
              <w:rPr>
                <w:rFonts w:ascii="Arial" w:hAnsi="Arial" w:cs="Arial"/>
                <w:sz w:val="22"/>
              </w:rPr>
              <w:t>alfentanil</w:t>
            </w:r>
            <w:proofErr w:type="spellEnd"/>
            <w:r w:rsidRPr="00750626">
              <w:rPr>
                <w:rFonts w:ascii="Arial" w:hAnsi="Arial" w:cs="Arial"/>
                <w:sz w:val="22"/>
              </w:rPr>
              <w:t xml:space="preserve"> and remifentanil) were classified as Class B3 controlled drugs, at the next meeting in October </w:t>
            </w:r>
          </w:p>
          <w:p w14:paraId="195628BC" w14:textId="77777777" w:rsidR="00C8407E" w:rsidRPr="00750626" w:rsidRDefault="00C8407E" w:rsidP="00C8407E">
            <w:pPr>
              <w:tabs>
                <w:tab w:val="right" w:leader="underscore" w:pos="5670"/>
                <w:tab w:val="left" w:pos="6237"/>
              </w:tabs>
              <w:rPr>
                <w:rFonts w:ascii="Arial" w:hAnsi="Arial" w:cs="Arial"/>
                <w:sz w:val="22"/>
              </w:rPr>
            </w:pPr>
          </w:p>
          <w:p w14:paraId="4824AB4A" w14:textId="67D05FF2" w:rsidR="00C871FF" w:rsidRPr="00750626" w:rsidRDefault="00C8407E" w:rsidP="007551F6">
            <w:pPr>
              <w:tabs>
                <w:tab w:val="right" w:leader="underscore" w:pos="5670"/>
                <w:tab w:val="left" w:pos="6237"/>
              </w:tabs>
              <w:rPr>
                <w:rFonts w:ascii="Arial" w:hAnsi="Arial" w:cs="Arial"/>
                <w:sz w:val="22"/>
              </w:rPr>
            </w:pPr>
            <w:r w:rsidRPr="00750626">
              <w:rPr>
                <w:rFonts w:ascii="Arial" w:hAnsi="Arial" w:cs="Arial"/>
                <w:b/>
                <w:sz w:val="22"/>
              </w:rPr>
              <w:t>Action</w:t>
            </w:r>
            <w:r w:rsidRPr="00750626">
              <w:rPr>
                <w:rFonts w:ascii="Arial" w:hAnsi="Arial" w:cs="Arial"/>
                <w:sz w:val="22"/>
              </w:rPr>
              <w:t>: Secretariat to seek advice on obligations around classifications under the UN Conventions.</w:t>
            </w:r>
          </w:p>
          <w:p w14:paraId="3FFDBE80" w14:textId="77777777" w:rsidR="00C8407E" w:rsidRPr="00750626" w:rsidRDefault="00C8407E" w:rsidP="007551F6">
            <w:pPr>
              <w:tabs>
                <w:tab w:val="right" w:leader="underscore" w:pos="5670"/>
                <w:tab w:val="left" w:pos="6237"/>
              </w:tabs>
              <w:rPr>
                <w:rFonts w:ascii="Arial" w:hAnsi="Arial" w:cs="Arial"/>
                <w:b/>
                <w:sz w:val="28"/>
              </w:rPr>
            </w:pPr>
          </w:p>
          <w:p w14:paraId="7A446676" w14:textId="1BD5316D" w:rsidR="0075279C" w:rsidRPr="00750626" w:rsidRDefault="0075279C" w:rsidP="007551F6">
            <w:pPr>
              <w:tabs>
                <w:tab w:val="right" w:leader="underscore" w:pos="5670"/>
                <w:tab w:val="left" w:pos="6237"/>
              </w:tabs>
              <w:rPr>
                <w:rFonts w:ascii="Arial" w:hAnsi="Arial" w:cs="Arial"/>
                <w:b/>
                <w:sz w:val="28"/>
              </w:rPr>
            </w:pPr>
            <w:r w:rsidRPr="00750626">
              <w:rPr>
                <w:rFonts w:ascii="Arial" w:hAnsi="Arial" w:cs="Arial"/>
                <w:b/>
                <w:sz w:val="22"/>
              </w:rPr>
              <w:t>Recommendation for a presumption of supply</w:t>
            </w:r>
          </w:p>
          <w:p w14:paraId="2DA41E83" w14:textId="77777777" w:rsidR="00321C55" w:rsidRPr="00750626" w:rsidRDefault="00321C55" w:rsidP="007551F6">
            <w:pPr>
              <w:tabs>
                <w:tab w:val="right" w:leader="underscore" w:pos="5670"/>
                <w:tab w:val="left" w:pos="6237"/>
              </w:tabs>
              <w:rPr>
                <w:rFonts w:ascii="Arial" w:hAnsi="Arial" w:cs="Arial"/>
                <w:sz w:val="28"/>
              </w:rPr>
            </w:pPr>
            <w:r w:rsidRPr="00750626">
              <w:rPr>
                <w:rFonts w:ascii="Arial" w:hAnsi="Arial" w:cs="Arial"/>
                <w:sz w:val="22"/>
              </w:rPr>
              <w:t>The Secretariat advised that the Committee is not required to make a recommendation for a presumption of supply.</w:t>
            </w:r>
          </w:p>
          <w:p w14:paraId="0C335AB0" w14:textId="77777777" w:rsidR="00321C55" w:rsidRPr="00750626" w:rsidRDefault="00321C55" w:rsidP="007551F6">
            <w:pPr>
              <w:tabs>
                <w:tab w:val="right" w:leader="underscore" w:pos="5670"/>
                <w:tab w:val="left" w:pos="6237"/>
              </w:tabs>
              <w:rPr>
                <w:rFonts w:ascii="Arial" w:hAnsi="Arial" w:cs="Arial"/>
                <w:b/>
                <w:sz w:val="28"/>
              </w:rPr>
            </w:pPr>
          </w:p>
          <w:p w14:paraId="30372D9B" w14:textId="2108302A" w:rsidR="00621D72" w:rsidRPr="00750626" w:rsidRDefault="004B0EF4" w:rsidP="007551F6">
            <w:pPr>
              <w:tabs>
                <w:tab w:val="right" w:leader="underscore" w:pos="5670"/>
                <w:tab w:val="left" w:pos="6237"/>
              </w:tabs>
              <w:rPr>
                <w:rFonts w:ascii="Arial" w:hAnsi="Arial" w:cs="Arial"/>
                <w:sz w:val="28"/>
              </w:rPr>
            </w:pPr>
            <w:r w:rsidRPr="00750626">
              <w:rPr>
                <w:rFonts w:ascii="Arial" w:hAnsi="Arial" w:cs="Arial"/>
                <w:sz w:val="22"/>
              </w:rPr>
              <w:t xml:space="preserve">The Committee noted that it was difficult to set a level for presumption of supply with the information they had. </w:t>
            </w:r>
            <w:r w:rsidR="00621D72" w:rsidRPr="00750626">
              <w:rPr>
                <w:rFonts w:ascii="Arial" w:hAnsi="Arial" w:cs="Arial"/>
                <w:sz w:val="22"/>
              </w:rPr>
              <w:t xml:space="preserve">The Committee requested the Secretariat </w:t>
            </w:r>
            <w:proofErr w:type="gramStart"/>
            <w:r w:rsidR="00621D72" w:rsidRPr="00750626">
              <w:rPr>
                <w:rFonts w:ascii="Arial" w:hAnsi="Arial" w:cs="Arial"/>
                <w:sz w:val="22"/>
              </w:rPr>
              <w:t>advise</w:t>
            </w:r>
            <w:proofErr w:type="gramEnd"/>
            <w:r w:rsidR="00621D72" w:rsidRPr="00750626">
              <w:rPr>
                <w:rFonts w:ascii="Arial" w:hAnsi="Arial" w:cs="Arial"/>
                <w:sz w:val="22"/>
              </w:rPr>
              <w:t xml:space="preserve"> them</w:t>
            </w:r>
            <w:r w:rsidRPr="00750626">
              <w:rPr>
                <w:rFonts w:ascii="Arial" w:hAnsi="Arial" w:cs="Arial"/>
                <w:sz w:val="22"/>
              </w:rPr>
              <w:t xml:space="preserve"> on the dose forms that fentanyl analogues are found in and therefore the most appropriate wording for setting</w:t>
            </w:r>
            <w:r w:rsidR="00621D72" w:rsidRPr="00750626">
              <w:rPr>
                <w:rFonts w:ascii="Arial" w:hAnsi="Arial" w:cs="Arial"/>
                <w:sz w:val="22"/>
              </w:rPr>
              <w:t xml:space="preserve"> a presumption of supply</w:t>
            </w:r>
            <w:r w:rsidRPr="00750626">
              <w:rPr>
                <w:rFonts w:ascii="Arial" w:hAnsi="Arial" w:cs="Arial"/>
                <w:sz w:val="22"/>
              </w:rPr>
              <w:t xml:space="preserve"> level</w:t>
            </w:r>
            <w:r w:rsidR="00621D72" w:rsidRPr="00750626">
              <w:rPr>
                <w:rFonts w:ascii="Arial" w:hAnsi="Arial" w:cs="Arial"/>
                <w:sz w:val="22"/>
              </w:rPr>
              <w:t xml:space="preserve">. </w:t>
            </w:r>
          </w:p>
          <w:p w14:paraId="67B89BA0" w14:textId="77777777" w:rsidR="00621D72" w:rsidRPr="00750626" w:rsidRDefault="00621D72" w:rsidP="007551F6">
            <w:pPr>
              <w:tabs>
                <w:tab w:val="right" w:leader="underscore" w:pos="5670"/>
                <w:tab w:val="left" w:pos="6237"/>
              </w:tabs>
              <w:rPr>
                <w:rFonts w:ascii="Arial" w:hAnsi="Arial" w:cs="Arial"/>
                <w:b/>
                <w:sz w:val="28"/>
              </w:rPr>
            </w:pPr>
          </w:p>
          <w:p w14:paraId="714B6131" w14:textId="0F71CC15" w:rsidR="0018147E" w:rsidRPr="00750626" w:rsidRDefault="00D56800" w:rsidP="007551F6">
            <w:pPr>
              <w:tabs>
                <w:tab w:val="right" w:leader="underscore" w:pos="5670"/>
                <w:tab w:val="left" w:pos="6237"/>
              </w:tabs>
              <w:rPr>
                <w:rFonts w:ascii="Arial" w:hAnsi="Arial" w:cs="Arial"/>
                <w:sz w:val="28"/>
              </w:rPr>
            </w:pPr>
            <w:r w:rsidRPr="00750626">
              <w:rPr>
                <w:rFonts w:ascii="Arial" w:hAnsi="Arial" w:cs="Arial"/>
                <w:b/>
                <w:sz w:val="22"/>
              </w:rPr>
              <w:t>Motion</w:t>
            </w:r>
            <w:r w:rsidRPr="00750626">
              <w:rPr>
                <w:rFonts w:ascii="Arial" w:hAnsi="Arial" w:cs="Arial"/>
                <w:sz w:val="22"/>
              </w:rPr>
              <w:t xml:space="preserve">: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00A418B6" w:rsidRPr="00750626">
              <w:rPr>
                <w:rFonts w:ascii="Arial" w:hAnsi="Arial" w:cs="Arial"/>
                <w:sz w:val="22"/>
              </w:rPr>
              <w:t xml:space="preserve">proposed to defer consideration and seek further information from </w:t>
            </w:r>
            <w:r w:rsidR="001C453E" w:rsidRPr="00894472">
              <w:rPr>
                <w:rFonts w:ascii="Arial" w:hAnsi="Arial" w:cs="Arial"/>
                <w:sz w:val="22"/>
                <w:lang w:val="en-GB"/>
              </w:rPr>
              <w:t>[redacted under section 9(2)(</w:t>
            </w:r>
            <w:proofErr w:type="spellStart"/>
            <w:r w:rsidR="001C453E" w:rsidRPr="00894472">
              <w:rPr>
                <w:rFonts w:ascii="Arial" w:hAnsi="Arial" w:cs="Arial"/>
                <w:sz w:val="22"/>
                <w:lang w:val="en-GB"/>
              </w:rPr>
              <w:t>ba</w:t>
            </w:r>
            <w:proofErr w:type="spellEnd"/>
            <w:r w:rsidR="001C453E" w:rsidRPr="00894472">
              <w:rPr>
                <w:rFonts w:ascii="Arial" w:hAnsi="Arial" w:cs="Arial"/>
                <w:sz w:val="22"/>
                <w:lang w:val="en-GB"/>
              </w:rPr>
              <w:t>)]</w:t>
            </w:r>
            <w:r w:rsidR="001C453E">
              <w:rPr>
                <w:rFonts w:ascii="Arial" w:hAnsi="Arial" w:cs="Arial"/>
                <w:sz w:val="22"/>
                <w:lang w:val="en-GB"/>
              </w:rPr>
              <w:t xml:space="preserve"> </w:t>
            </w:r>
            <w:r w:rsidR="002567A0">
              <w:rPr>
                <w:rFonts w:ascii="Arial" w:hAnsi="Arial" w:cs="Arial"/>
                <w:sz w:val="22"/>
              </w:rPr>
              <w:t>to ma</w:t>
            </w:r>
            <w:r w:rsidR="007C0CF7" w:rsidRPr="00750626">
              <w:rPr>
                <w:rFonts w:ascii="Arial" w:hAnsi="Arial" w:cs="Arial"/>
                <w:sz w:val="22"/>
              </w:rPr>
              <w:t>k</w:t>
            </w:r>
            <w:r w:rsidR="002567A0">
              <w:rPr>
                <w:rFonts w:ascii="Arial" w:hAnsi="Arial" w:cs="Arial"/>
                <w:sz w:val="22"/>
              </w:rPr>
              <w:t>e decisions on presumption of supply of fentanyl analogues due to lack</w:t>
            </w:r>
            <w:r w:rsidR="007C0CF7" w:rsidRPr="00750626">
              <w:rPr>
                <w:rFonts w:ascii="Arial" w:hAnsi="Arial" w:cs="Arial"/>
                <w:sz w:val="22"/>
              </w:rPr>
              <w:t xml:space="preserve"> of information available at the meeting</w:t>
            </w:r>
            <w:r w:rsidR="00C966A8" w:rsidRPr="00750626">
              <w:rPr>
                <w:rFonts w:ascii="Arial" w:hAnsi="Arial" w:cs="Arial"/>
                <w:sz w:val="22"/>
              </w:rPr>
              <w:t>. The motion was seconded by</w:t>
            </w:r>
            <w:r w:rsidR="00255CB5">
              <w:rPr>
                <w:rFonts w:ascii="Arial" w:hAnsi="Arial" w:cs="Arial"/>
                <w:sz w:val="22"/>
              </w:rPr>
              <w:t xml:space="preserve">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w:t>
            </w:r>
            <w:r w:rsidR="00C966A8" w:rsidRPr="00750626">
              <w:rPr>
                <w:rFonts w:ascii="Arial" w:hAnsi="Arial" w:cs="Arial"/>
                <w:sz w:val="22"/>
              </w:rPr>
              <w:t>.</w:t>
            </w:r>
          </w:p>
          <w:p w14:paraId="365E2C25" w14:textId="77777777" w:rsidR="00C40859" w:rsidRDefault="00C40859" w:rsidP="007551F6">
            <w:pPr>
              <w:tabs>
                <w:tab w:val="right" w:leader="underscore" w:pos="5670"/>
                <w:tab w:val="left" w:pos="6237"/>
              </w:tabs>
              <w:rPr>
                <w:rFonts w:ascii="Arial" w:hAnsi="Arial" w:cs="Arial"/>
                <w:b/>
                <w:sz w:val="22"/>
              </w:rPr>
            </w:pPr>
          </w:p>
          <w:p w14:paraId="07D8EA42" w14:textId="05FE25BA" w:rsidR="00D56800" w:rsidRPr="00750626" w:rsidRDefault="007C0CF7" w:rsidP="007551F6">
            <w:pPr>
              <w:tabs>
                <w:tab w:val="right" w:leader="underscore" w:pos="5670"/>
                <w:tab w:val="left" w:pos="6237"/>
              </w:tabs>
              <w:rPr>
                <w:rFonts w:ascii="Arial" w:hAnsi="Arial" w:cs="Arial"/>
                <w:sz w:val="28"/>
              </w:rPr>
            </w:pPr>
            <w:r w:rsidRPr="00750626">
              <w:rPr>
                <w:rFonts w:ascii="Arial" w:hAnsi="Arial" w:cs="Arial"/>
                <w:b/>
                <w:sz w:val="22"/>
              </w:rPr>
              <w:t>Action</w:t>
            </w:r>
            <w:r w:rsidRPr="00750626">
              <w:rPr>
                <w:rFonts w:ascii="Arial" w:hAnsi="Arial" w:cs="Arial"/>
                <w:sz w:val="22"/>
              </w:rPr>
              <w:t xml:space="preserve">: </w:t>
            </w:r>
            <w:r w:rsidR="00D56800" w:rsidRPr="00750626">
              <w:rPr>
                <w:rFonts w:ascii="Arial" w:hAnsi="Arial" w:cs="Arial"/>
                <w:sz w:val="22"/>
              </w:rPr>
              <w:t xml:space="preserve">Secretariat to </w:t>
            </w:r>
            <w:r w:rsidR="004875D0" w:rsidRPr="00750626">
              <w:rPr>
                <w:rFonts w:ascii="Arial" w:hAnsi="Arial" w:cs="Arial"/>
                <w:sz w:val="22"/>
              </w:rPr>
              <w:t>liaise with</w:t>
            </w:r>
            <w:r w:rsidR="00D56800" w:rsidRPr="00750626">
              <w:rPr>
                <w:rFonts w:ascii="Arial" w:hAnsi="Arial" w:cs="Arial"/>
                <w:sz w:val="22"/>
              </w:rPr>
              <w:t xml:space="preserve"> NDIB to provide information on the following:</w:t>
            </w:r>
          </w:p>
          <w:p w14:paraId="5B32CC79" w14:textId="26EF8D1B" w:rsidR="00D56800" w:rsidRPr="00750626" w:rsidRDefault="005B16B7" w:rsidP="007551F6">
            <w:pPr>
              <w:tabs>
                <w:tab w:val="right" w:leader="underscore" w:pos="5670"/>
                <w:tab w:val="left" w:pos="6237"/>
              </w:tabs>
              <w:rPr>
                <w:rFonts w:ascii="Arial" w:hAnsi="Arial" w:cs="Arial"/>
                <w:sz w:val="28"/>
              </w:rPr>
            </w:pPr>
            <w:r w:rsidRPr="00750626">
              <w:rPr>
                <w:rFonts w:ascii="Arial" w:hAnsi="Arial" w:cs="Arial"/>
                <w:sz w:val="22"/>
              </w:rPr>
              <w:t>- forms that the analogues are</w:t>
            </w:r>
            <w:r w:rsidR="007C0CF7" w:rsidRPr="00750626">
              <w:rPr>
                <w:rFonts w:ascii="Arial" w:hAnsi="Arial" w:cs="Arial"/>
                <w:sz w:val="22"/>
              </w:rPr>
              <w:t xml:space="preserve"> supplied</w:t>
            </w:r>
            <w:r w:rsidRPr="00750626">
              <w:rPr>
                <w:rFonts w:ascii="Arial" w:hAnsi="Arial" w:cs="Arial"/>
                <w:sz w:val="22"/>
              </w:rPr>
              <w:t xml:space="preserve"> in</w:t>
            </w:r>
            <w:r w:rsidR="00911A70" w:rsidRPr="00750626">
              <w:rPr>
                <w:rFonts w:ascii="Arial" w:hAnsi="Arial" w:cs="Arial"/>
                <w:sz w:val="22"/>
              </w:rPr>
              <w:t xml:space="preserve"> </w:t>
            </w:r>
          </w:p>
          <w:p w14:paraId="2789B685" w14:textId="411EC798" w:rsidR="00D56800" w:rsidRPr="00750626" w:rsidRDefault="005B16B7" w:rsidP="007551F6">
            <w:pPr>
              <w:tabs>
                <w:tab w:val="right" w:leader="underscore" w:pos="5670"/>
                <w:tab w:val="left" w:pos="6237"/>
              </w:tabs>
              <w:rPr>
                <w:rFonts w:ascii="Arial" w:hAnsi="Arial" w:cs="Arial"/>
                <w:sz w:val="28"/>
              </w:rPr>
            </w:pPr>
            <w:r w:rsidRPr="00750626">
              <w:rPr>
                <w:rFonts w:ascii="Arial" w:hAnsi="Arial" w:cs="Arial"/>
                <w:sz w:val="22"/>
              </w:rPr>
              <w:t>-</w:t>
            </w:r>
            <w:r w:rsidR="00D56800" w:rsidRPr="00750626">
              <w:rPr>
                <w:rFonts w:ascii="Arial" w:hAnsi="Arial" w:cs="Arial"/>
                <w:sz w:val="22"/>
              </w:rPr>
              <w:t xml:space="preserve"> </w:t>
            </w:r>
            <w:r w:rsidR="002E6CF9" w:rsidRPr="00750626">
              <w:rPr>
                <w:rFonts w:ascii="Arial" w:hAnsi="Arial" w:cs="Arial"/>
                <w:sz w:val="22"/>
              </w:rPr>
              <w:t>amounts typically sold on the street</w:t>
            </w:r>
          </w:p>
          <w:p w14:paraId="692BC842" w14:textId="54DBD7FA" w:rsidR="00D56800" w:rsidRPr="00750626" w:rsidRDefault="005B16B7" w:rsidP="007551F6">
            <w:pPr>
              <w:tabs>
                <w:tab w:val="right" w:leader="underscore" w:pos="5670"/>
                <w:tab w:val="left" w:pos="6237"/>
              </w:tabs>
              <w:rPr>
                <w:rFonts w:ascii="Arial" w:hAnsi="Arial" w:cs="Arial"/>
                <w:sz w:val="28"/>
              </w:rPr>
            </w:pPr>
            <w:r w:rsidRPr="00750626">
              <w:rPr>
                <w:rFonts w:ascii="Arial" w:hAnsi="Arial" w:cs="Arial"/>
                <w:sz w:val="22"/>
              </w:rPr>
              <w:t>-</w:t>
            </w:r>
            <w:r w:rsidR="00911A70" w:rsidRPr="00750626">
              <w:rPr>
                <w:rFonts w:ascii="Arial" w:hAnsi="Arial" w:cs="Arial"/>
                <w:sz w:val="22"/>
              </w:rPr>
              <w:t xml:space="preserve"> amount for presumption of supply in</w:t>
            </w:r>
            <w:r w:rsidR="003E50B6" w:rsidRPr="00750626">
              <w:rPr>
                <w:rFonts w:ascii="Arial" w:hAnsi="Arial" w:cs="Arial"/>
                <w:sz w:val="22"/>
              </w:rPr>
              <w:t xml:space="preserve"> other countries</w:t>
            </w:r>
          </w:p>
          <w:p w14:paraId="10B0E975" w14:textId="4C421CF4" w:rsidR="003C16A9" w:rsidRPr="00750626" w:rsidRDefault="005B16B7" w:rsidP="007551F6">
            <w:pPr>
              <w:tabs>
                <w:tab w:val="right" w:leader="underscore" w:pos="5670"/>
                <w:tab w:val="left" w:pos="6237"/>
              </w:tabs>
              <w:rPr>
                <w:rFonts w:ascii="Arial" w:hAnsi="Arial" w:cs="Arial"/>
                <w:sz w:val="28"/>
              </w:rPr>
            </w:pPr>
            <w:r w:rsidRPr="00750626">
              <w:rPr>
                <w:rFonts w:ascii="Arial" w:hAnsi="Arial" w:cs="Arial"/>
                <w:sz w:val="22"/>
              </w:rPr>
              <w:t>-</w:t>
            </w:r>
            <w:r w:rsidR="007C0CF7" w:rsidRPr="00750626">
              <w:rPr>
                <w:rFonts w:ascii="Arial" w:hAnsi="Arial" w:cs="Arial"/>
                <w:sz w:val="22"/>
              </w:rPr>
              <w:t xml:space="preserve"> </w:t>
            </w:r>
            <w:proofErr w:type="gramStart"/>
            <w:r w:rsidR="007C0CF7" w:rsidRPr="00750626">
              <w:rPr>
                <w:rFonts w:ascii="Arial" w:hAnsi="Arial" w:cs="Arial"/>
                <w:sz w:val="22"/>
              </w:rPr>
              <w:t>a</w:t>
            </w:r>
            <w:proofErr w:type="gramEnd"/>
            <w:r w:rsidR="007C0CF7" w:rsidRPr="00750626">
              <w:rPr>
                <w:rFonts w:ascii="Arial" w:hAnsi="Arial" w:cs="Arial"/>
                <w:sz w:val="22"/>
              </w:rPr>
              <w:t xml:space="preserve"> useable </w:t>
            </w:r>
            <w:r w:rsidR="002E6CF9" w:rsidRPr="00750626">
              <w:rPr>
                <w:rFonts w:ascii="Arial" w:hAnsi="Arial" w:cs="Arial"/>
                <w:sz w:val="22"/>
              </w:rPr>
              <w:t>dose</w:t>
            </w:r>
            <w:r w:rsidRPr="00750626">
              <w:rPr>
                <w:rFonts w:ascii="Arial" w:hAnsi="Arial" w:cs="Arial"/>
                <w:sz w:val="22"/>
              </w:rPr>
              <w:t>.</w:t>
            </w:r>
          </w:p>
          <w:p w14:paraId="2D945A36" w14:textId="77777777" w:rsidR="004B0EF4" w:rsidRPr="00750626" w:rsidRDefault="004B0EF4" w:rsidP="004B0EF4">
            <w:pPr>
              <w:tabs>
                <w:tab w:val="right" w:leader="underscore" w:pos="5670"/>
                <w:tab w:val="left" w:pos="6237"/>
              </w:tabs>
              <w:rPr>
                <w:rFonts w:ascii="Arial" w:hAnsi="Arial" w:cs="Arial"/>
                <w:b/>
                <w:sz w:val="22"/>
              </w:rPr>
            </w:pPr>
          </w:p>
          <w:p w14:paraId="3B3CFBCA" w14:textId="5CC223CE" w:rsidR="004B0EF4" w:rsidRPr="00750626" w:rsidRDefault="004B0EF4" w:rsidP="004B0EF4">
            <w:pPr>
              <w:tabs>
                <w:tab w:val="right" w:leader="underscore" w:pos="5670"/>
                <w:tab w:val="left" w:pos="6237"/>
              </w:tabs>
              <w:rPr>
                <w:rFonts w:ascii="Arial" w:hAnsi="Arial" w:cs="Arial"/>
                <w:sz w:val="28"/>
              </w:rPr>
            </w:pPr>
            <w:r w:rsidRPr="00750626">
              <w:rPr>
                <w:rFonts w:ascii="Arial" w:hAnsi="Arial" w:cs="Arial"/>
                <w:b/>
                <w:sz w:val="22"/>
              </w:rPr>
              <w:t>Action</w:t>
            </w:r>
            <w:r w:rsidRPr="00750626">
              <w:rPr>
                <w:rFonts w:ascii="Arial" w:hAnsi="Arial" w:cs="Arial"/>
                <w:sz w:val="22"/>
              </w:rPr>
              <w:t>: Secretariat to provide the Committee with information provided by NDIB and a recommendation for how a presumption of supply limit could be worded.</w:t>
            </w:r>
          </w:p>
          <w:p w14:paraId="660B7170" w14:textId="2A300EB4" w:rsidR="007C0CF7" w:rsidRPr="00750626" w:rsidRDefault="007C0CF7" w:rsidP="007551F6">
            <w:pPr>
              <w:tabs>
                <w:tab w:val="right" w:leader="underscore" w:pos="5670"/>
                <w:tab w:val="left" w:pos="6237"/>
              </w:tabs>
              <w:rPr>
                <w:rFonts w:ascii="Arial" w:hAnsi="Arial" w:cs="Arial"/>
                <w:sz w:val="28"/>
              </w:rPr>
            </w:pPr>
          </w:p>
        </w:tc>
      </w:tr>
      <w:tr w:rsidR="007551F6" w:rsidRPr="00750626" w14:paraId="6E551981" w14:textId="77777777" w:rsidTr="00C73693">
        <w:tc>
          <w:tcPr>
            <w:tcW w:w="880" w:type="dxa"/>
          </w:tcPr>
          <w:p w14:paraId="334E0837" w14:textId="5210E811" w:rsidR="007551F6" w:rsidRPr="00750626" w:rsidRDefault="007551F6" w:rsidP="007551F6">
            <w:pPr>
              <w:tabs>
                <w:tab w:val="right" w:leader="underscore" w:pos="5670"/>
                <w:tab w:val="left" w:pos="6237"/>
              </w:tabs>
              <w:rPr>
                <w:rFonts w:ascii="Arial" w:hAnsi="Arial" w:cs="Arial"/>
                <w:sz w:val="28"/>
              </w:rPr>
            </w:pPr>
            <w:r w:rsidRPr="00750626">
              <w:rPr>
                <w:rFonts w:ascii="Arial" w:hAnsi="Arial" w:cs="Arial"/>
                <w:sz w:val="22"/>
              </w:rPr>
              <w:lastRenderedPageBreak/>
              <w:t>9</w:t>
            </w:r>
          </w:p>
        </w:tc>
        <w:tc>
          <w:tcPr>
            <w:tcW w:w="8925" w:type="dxa"/>
          </w:tcPr>
          <w:p w14:paraId="539DF88D" w14:textId="775197D8" w:rsidR="007551F6" w:rsidRPr="00750626" w:rsidRDefault="007551F6" w:rsidP="007551F6">
            <w:pPr>
              <w:tabs>
                <w:tab w:val="right" w:leader="underscore" w:pos="5670"/>
                <w:tab w:val="left" w:pos="6237"/>
              </w:tabs>
              <w:rPr>
                <w:rFonts w:ascii="Arial" w:hAnsi="Arial" w:cs="Arial"/>
                <w:b/>
                <w:sz w:val="28"/>
              </w:rPr>
            </w:pPr>
            <w:r w:rsidRPr="00750626">
              <w:rPr>
                <w:rFonts w:ascii="Arial" w:hAnsi="Arial" w:cs="Arial"/>
                <w:b/>
                <w:sz w:val="22"/>
              </w:rPr>
              <w:t>Break for lunch 12pm – 12.30pm</w:t>
            </w:r>
          </w:p>
        </w:tc>
      </w:tr>
      <w:tr w:rsidR="007551F6" w:rsidRPr="00750626" w14:paraId="0BF1BB76" w14:textId="77777777" w:rsidTr="00C73693">
        <w:tc>
          <w:tcPr>
            <w:tcW w:w="880" w:type="dxa"/>
          </w:tcPr>
          <w:p w14:paraId="1F2354ED" w14:textId="103B2418" w:rsidR="007551F6" w:rsidRPr="00750626" w:rsidRDefault="007551F6" w:rsidP="007551F6">
            <w:pPr>
              <w:tabs>
                <w:tab w:val="right" w:leader="underscore" w:pos="5670"/>
                <w:tab w:val="left" w:pos="6237"/>
              </w:tabs>
              <w:rPr>
                <w:rFonts w:ascii="Arial" w:hAnsi="Arial" w:cs="Arial"/>
                <w:sz w:val="28"/>
              </w:rPr>
            </w:pPr>
            <w:r w:rsidRPr="00750626">
              <w:rPr>
                <w:rFonts w:ascii="Arial" w:hAnsi="Arial" w:cs="Arial"/>
                <w:sz w:val="22"/>
              </w:rPr>
              <w:t>10</w:t>
            </w:r>
          </w:p>
        </w:tc>
        <w:tc>
          <w:tcPr>
            <w:tcW w:w="8925" w:type="dxa"/>
          </w:tcPr>
          <w:p w14:paraId="192BD40C" w14:textId="22089048" w:rsidR="007551F6" w:rsidRPr="00750626" w:rsidRDefault="007551F6" w:rsidP="007551F6">
            <w:pPr>
              <w:rPr>
                <w:rFonts w:ascii="Arial" w:hAnsi="Arial" w:cs="Arial"/>
                <w:b/>
                <w:sz w:val="28"/>
              </w:rPr>
            </w:pPr>
            <w:r w:rsidRPr="00750626">
              <w:rPr>
                <w:rFonts w:ascii="Arial" w:hAnsi="Arial" w:cs="Arial"/>
                <w:b/>
                <w:sz w:val="22"/>
              </w:rPr>
              <w:t>Synthetic cannabinoids</w:t>
            </w:r>
          </w:p>
          <w:p w14:paraId="12A21FDF" w14:textId="25152978" w:rsidR="00621D72" w:rsidRPr="00750626" w:rsidRDefault="00621D72" w:rsidP="00621D72">
            <w:pPr>
              <w:rPr>
                <w:rFonts w:ascii="Arial" w:hAnsi="Arial" w:cs="Arial"/>
                <w:sz w:val="28"/>
              </w:rPr>
            </w:pPr>
            <w:r w:rsidRPr="00750626">
              <w:rPr>
                <w:rFonts w:ascii="Arial" w:hAnsi="Arial" w:cs="Arial"/>
                <w:sz w:val="22"/>
              </w:rPr>
              <w:t>The synthetic cannabinoids considered by the Committee at this meeting are:</w:t>
            </w:r>
          </w:p>
          <w:p w14:paraId="70AD5964" w14:textId="299BAE1B" w:rsidR="00621D72" w:rsidRPr="00750626" w:rsidRDefault="00621D72" w:rsidP="00621D72">
            <w:pPr>
              <w:rPr>
                <w:rFonts w:ascii="Arial" w:hAnsi="Arial" w:cs="Arial"/>
                <w:sz w:val="28"/>
              </w:rPr>
            </w:pPr>
            <w:r w:rsidRPr="00750626">
              <w:rPr>
                <w:rFonts w:ascii="Arial" w:hAnsi="Arial" w:cs="Arial"/>
                <w:sz w:val="22"/>
              </w:rPr>
              <w:t>- 5F-ADB</w:t>
            </w:r>
          </w:p>
          <w:p w14:paraId="454B580D" w14:textId="478446ED" w:rsidR="00621D72" w:rsidRPr="00750626" w:rsidRDefault="00621D72" w:rsidP="00621D72">
            <w:pPr>
              <w:rPr>
                <w:rFonts w:ascii="Arial" w:hAnsi="Arial" w:cs="Arial"/>
                <w:sz w:val="28"/>
              </w:rPr>
            </w:pPr>
            <w:r w:rsidRPr="00750626">
              <w:rPr>
                <w:rFonts w:ascii="Arial" w:hAnsi="Arial" w:cs="Arial"/>
                <w:sz w:val="22"/>
              </w:rPr>
              <w:t>- UR-144</w:t>
            </w:r>
          </w:p>
          <w:p w14:paraId="767DB4F9" w14:textId="38A1C1F9" w:rsidR="00621D72" w:rsidRPr="00750626" w:rsidRDefault="00621D72" w:rsidP="00621D72">
            <w:pPr>
              <w:rPr>
                <w:rFonts w:ascii="Arial" w:hAnsi="Arial" w:cs="Arial"/>
                <w:sz w:val="28"/>
              </w:rPr>
            </w:pPr>
            <w:r w:rsidRPr="00750626">
              <w:rPr>
                <w:rFonts w:ascii="Arial" w:hAnsi="Arial" w:cs="Arial"/>
                <w:sz w:val="22"/>
              </w:rPr>
              <w:t>- 5F-PB-22</w:t>
            </w:r>
          </w:p>
          <w:p w14:paraId="4F94B4E2" w14:textId="78D40C51" w:rsidR="00621D72" w:rsidRPr="00750626" w:rsidRDefault="00621D72" w:rsidP="00621D72">
            <w:pPr>
              <w:rPr>
                <w:rFonts w:ascii="Arial" w:hAnsi="Arial" w:cs="Arial"/>
                <w:sz w:val="28"/>
              </w:rPr>
            </w:pPr>
            <w:r w:rsidRPr="00750626">
              <w:rPr>
                <w:rFonts w:ascii="Arial" w:hAnsi="Arial" w:cs="Arial"/>
                <w:sz w:val="22"/>
              </w:rPr>
              <w:lastRenderedPageBreak/>
              <w:t>- MDMB-CHMICA</w:t>
            </w:r>
          </w:p>
          <w:p w14:paraId="16EC28D5" w14:textId="6B40DDF4" w:rsidR="00621D72" w:rsidRPr="00750626" w:rsidRDefault="00621D72" w:rsidP="00621D72">
            <w:pPr>
              <w:rPr>
                <w:rFonts w:ascii="Arial" w:hAnsi="Arial" w:cs="Arial"/>
                <w:sz w:val="28"/>
              </w:rPr>
            </w:pPr>
            <w:r w:rsidRPr="00750626">
              <w:rPr>
                <w:rFonts w:ascii="Arial" w:hAnsi="Arial" w:cs="Arial"/>
                <w:sz w:val="22"/>
              </w:rPr>
              <w:t>- 5F-AKB-48</w:t>
            </w:r>
          </w:p>
          <w:p w14:paraId="7CE727FA" w14:textId="7CE7EC50" w:rsidR="00621D72" w:rsidRPr="00750626" w:rsidRDefault="00621D72" w:rsidP="00621D72">
            <w:pPr>
              <w:rPr>
                <w:rFonts w:ascii="Arial" w:hAnsi="Arial" w:cs="Arial"/>
                <w:sz w:val="28"/>
              </w:rPr>
            </w:pPr>
            <w:r w:rsidRPr="00750626">
              <w:rPr>
                <w:rFonts w:ascii="Arial" w:hAnsi="Arial" w:cs="Arial"/>
                <w:sz w:val="22"/>
              </w:rPr>
              <w:t>- XLR-11</w:t>
            </w:r>
          </w:p>
          <w:p w14:paraId="4AF58F4A" w14:textId="64A0D3A9" w:rsidR="00621D72" w:rsidRPr="00750626" w:rsidRDefault="00621D72" w:rsidP="00621D72">
            <w:pPr>
              <w:rPr>
                <w:rFonts w:ascii="Arial" w:hAnsi="Arial" w:cs="Arial"/>
                <w:sz w:val="28"/>
              </w:rPr>
            </w:pPr>
            <w:r w:rsidRPr="00750626">
              <w:rPr>
                <w:rFonts w:ascii="Arial" w:hAnsi="Arial" w:cs="Arial"/>
                <w:sz w:val="22"/>
              </w:rPr>
              <w:t>- JWH-018</w:t>
            </w:r>
          </w:p>
          <w:p w14:paraId="4986F242" w14:textId="6B92DD9F" w:rsidR="00621D72" w:rsidRPr="00750626" w:rsidRDefault="00621D72" w:rsidP="00621D72">
            <w:pPr>
              <w:rPr>
                <w:rFonts w:ascii="Arial" w:hAnsi="Arial" w:cs="Arial"/>
                <w:sz w:val="28"/>
              </w:rPr>
            </w:pPr>
            <w:r w:rsidRPr="00750626">
              <w:rPr>
                <w:rFonts w:ascii="Arial" w:hAnsi="Arial" w:cs="Arial"/>
                <w:sz w:val="22"/>
              </w:rPr>
              <w:t>- AM-2201</w:t>
            </w:r>
          </w:p>
          <w:p w14:paraId="5908A8CA" w14:textId="6B8B15A4" w:rsidR="00621D72" w:rsidRPr="00750626" w:rsidRDefault="00621D72" w:rsidP="00621D72">
            <w:pPr>
              <w:rPr>
                <w:rFonts w:ascii="Arial" w:hAnsi="Arial" w:cs="Arial"/>
                <w:sz w:val="28"/>
              </w:rPr>
            </w:pPr>
            <w:r w:rsidRPr="00750626">
              <w:rPr>
                <w:rFonts w:ascii="Arial" w:hAnsi="Arial" w:cs="Arial"/>
                <w:sz w:val="22"/>
              </w:rPr>
              <w:t>- AMB-FUBINACA</w:t>
            </w:r>
          </w:p>
          <w:p w14:paraId="3E09BC49" w14:textId="23D6881F" w:rsidR="00621D72" w:rsidRPr="00750626" w:rsidRDefault="00621D72" w:rsidP="00621D72">
            <w:pPr>
              <w:rPr>
                <w:rFonts w:ascii="Arial" w:hAnsi="Arial" w:cs="Arial"/>
                <w:sz w:val="28"/>
              </w:rPr>
            </w:pPr>
            <w:r w:rsidRPr="00750626">
              <w:rPr>
                <w:rFonts w:ascii="Arial" w:hAnsi="Arial" w:cs="Arial"/>
                <w:sz w:val="22"/>
              </w:rPr>
              <w:t>- AB-FUBINACA.</w:t>
            </w:r>
          </w:p>
          <w:p w14:paraId="22C72922" w14:textId="77777777" w:rsidR="00621D72" w:rsidRPr="00750626" w:rsidRDefault="00621D72" w:rsidP="007551F6">
            <w:pPr>
              <w:rPr>
                <w:rFonts w:ascii="Arial" w:hAnsi="Arial" w:cs="Arial"/>
                <w:sz w:val="28"/>
              </w:rPr>
            </w:pPr>
          </w:p>
          <w:p w14:paraId="025971BE" w14:textId="218C7704" w:rsidR="00E429F9" w:rsidRPr="00750626" w:rsidRDefault="00894472" w:rsidP="007551F6">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E934E5" w:rsidRPr="00750626">
              <w:rPr>
                <w:rFonts w:ascii="Arial" w:hAnsi="Arial" w:cs="Arial"/>
                <w:sz w:val="22"/>
              </w:rPr>
              <w:t>updated the Committee on the history of putting control</w:t>
            </w:r>
            <w:r w:rsidR="00AE174F" w:rsidRPr="00750626">
              <w:rPr>
                <w:rFonts w:ascii="Arial" w:hAnsi="Arial" w:cs="Arial"/>
                <w:sz w:val="22"/>
              </w:rPr>
              <w:t>s</w:t>
            </w:r>
            <w:r w:rsidR="00E934E5" w:rsidRPr="00750626">
              <w:rPr>
                <w:rFonts w:ascii="Arial" w:hAnsi="Arial" w:cs="Arial"/>
                <w:sz w:val="22"/>
              </w:rPr>
              <w:t xml:space="preserve"> on these substances via </w:t>
            </w:r>
            <w:r w:rsidR="00C73693" w:rsidRPr="00750626">
              <w:rPr>
                <w:rFonts w:ascii="Arial" w:hAnsi="Arial" w:cs="Arial"/>
                <w:sz w:val="22"/>
              </w:rPr>
              <w:t xml:space="preserve">the </w:t>
            </w:r>
            <w:proofErr w:type="spellStart"/>
            <w:r w:rsidR="00E934E5" w:rsidRPr="00750626">
              <w:rPr>
                <w:rFonts w:ascii="Arial" w:hAnsi="Arial" w:cs="Arial"/>
                <w:sz w:val="22"/>
              </w:rPr>
              <w:t>P</w:t>
            </w:r>
            <w:r w:rsidR="00C73693" w:rsidRPr="00750626">
              <w:rPr>
                <w:rFonts w:ascii="Arial" w:hAnsi="Arial" w:cs="Arial"/>
                <w:sz w:val="22"/>
              </w:rPr>
              <w:t>syc</w:t>
            </w:r>
            <w:r w:rsidR="008C52BE">
              <w:rPr>
                <w:rFonts w:ascii="Arial" w:hAnsi="Arial" w:cs="Arial"/>
                <w:sz w:val="22"/>
              </w:rPr>
              <w:t>h</w:t>
            </w:r>
            <w:r w:rsidR="00C73693" w:rsidRPr="00750626">
              <w:rPr>
                <w:rFonts w:ascii="Arial" w:hAnsi="Arial" w:cs="Arial"/>
                <w:sz w:val="22"/>
              </w:rPr>
              <w:t>oactives</w:t>
            </w:r>
            <w:proofErr w:type="spellEnd"/>
            <w:r w:rsidR="00C73693" w:rsidRPr="00750626">
              <w:rPr>
                <w:rFonts w:ascii="Arial" w:hAnsi="Arial" w:cs="Arial"/>
                <w:sz w:val="22"/>
              </w:rPr>
              <w:t xml:space="preserve"> </w:t>
            </w:r>
            <w:r w:rsidR="00E934E5" w:rsidRPr="00750626">
              <w:rPr>
                <w:rFonts w:ascii="Arial" w:hAnsi="Arial" w:cs="Arial"/>
                <w:sz w:val="22"/>
              </w:rPr>
              <w:t>S</w:t>
            </w:r>
            <w:r w:rsidR="00C73693" w:rsidRPr="00750626">
              <w:rPr>
                <w:rFonts w:ascii="Arial" w:hAnsi="Arial" w:cs="Arial"/>
                <w:sz w:val="22"/>
              </w:rPr>
              <w:t xml:space="preserve">ubstances </w:t>
            </w:r>
            <w:r w:rsidR="00E934E5" w:rsidRPr="00750626">
              <w:rPr>
                <w:rFonts w:ascii="Arial" w:hAnsi="Arial" w:cs="Arial"/>
                <w:sz w:val="22"/>
              </w:rPr>
              <w:t>A</w:t>
            </w:r>
            <w:r w:rsidR="00C73693" w:rsidRPr="00750626">
              <w:rPr>
                <w:rFonts w:ascii="Arial" w:hAnsi="Arial" w:cs="Arial"/>
                <w:sz w:val="22"/>
              </w:rPr>
              <w:t>ct 2013 (PSA)</w:t>
            </w:r>
            <w:r w:rsidR="00227402" w:rsidRPr="00750626">
              <w:rPr>
                <w:rFonts w:ascii="Arial" w:hAnsi="Arial" w:cs="Arial"/>
                <w:sz w:val="22"/>
              </w:rPr>
              <w:t xml:space="preserve"> and </w:t>
            </w:r>
            <w:r w:rsidR="00AE174F" w:rsidRPr="00750626">
              <w:rPr>
                <w:rFonts w:ascii="Arial" w:hAnsi="Arial" w:cs="Arial"/>
                <w:sz w:val="22"/>
              </w:rPr>
              <w:t>expressed his view</w:t>
            </w:r>
            <w:r w:rsidR="00227402" w:rsidRPr="00750626">
              <w:rPr>
                <w:rFonts w:ascii="Arial" w:hAnsi="Arial" w:cs="Arial"/>
                <w:sz w:val="22"/>
              </w:rPr>
              <w:t xml:space="preserve"> that </w:t>
            </w:r>
            <w:r w:rsidR="00E429F9" w:rsidRPr="00750626">
              <w:rPr>
                <w:rFonts w:ascii="Arial" w:hAnsi="Arial" w:cs="Arial"/>
                <w:sz w:val="22"/>
              </w:rPr>
              <w:t>N</w:t>
            </w:r>
            <w:r w:rsidR="004A54FB">
              <w:rPr>
                <w:rFonts w:ascii="Arial" w:hAnsi="Arial" w:cs="Arial"/>
                <w:sz w:val="22"/>
              </w:rPr>
              <w:t xml:space="preserve">ew </w:t>
            </w:r>
            <w:r w:rsidR="00E429F9" w:rsidRPr="00750626">
              <w:rPr>
                <w:rFonts w:ascii="Arial" w:hAnsi="Arial" w:cs="Arial"/>
                <w:sz w:val="22"/>
              </w:rPr>
              <w:t>Z</w:t>
            </w:r>
            <w:r w:rsidR="004A54FB">
              <w:rPr>
                <w:rFonts w:ascii="Arial" w:hAnsi="Arial" w:cs="Arial"/>
                <w:sz w:val="22"/>
              </w:rPr>
              <w:t>ealand</w:t>
            </w:r>
            <w:r w:rsidR="00E429F9" w:rsidRPr="00750626">
              <w:rPr>
                <w:rFonts w:ascii="Arial" w:hAnsi="Arial" w:cs="Arial"/>
                <w:sz w:val="22"/>
              </w:rPr>
              <w:t xml:space="preserve"> has enough controls over synthetic cannabinoids</w:t>
            </w:r>
            <w:r w:rsidR="002E7C7E" w:rsidRPr="00750626">
              <w:rPr>
                <w:rFonts w:ascii="Arial" w:hAnsi="Arial" w:cs="Arial"/>
                <w:sz w:val="22"/>
              </w:rPr>
              <w:t xml:space="preserve"> under the</w:t>
            </w:r>
            <w:r w:rsidR="00E429F9" w:rsidRPr="00750626">
              <w:rPr>
                <w:rFonts w:ascii="Arial" w:hAnsi="Arial" w:cs="Arial"/>
                <w:sz w:val="22"/>
              </w:rPr>
              <w:t xml:space="preserve"> </w:t>
            </w:r>
            <w:r w:rsidR="00227402" w:rsidRPr="00750626">
              <w:rPr>
                <w:rFonts w:ascii="Arial" w:hAnsi="Arial" w:cs="Arial"/>
                <w:sz w:val="22"/>
              </w:rPr>
              <w:t>PSA</w:t>
            </w:r>
            <w:r w:rsidR="00E934E5" w:rsidRPr="00750626">
              <w:rPr>
                <w:rFonts w:ascii="Arial" w:hAnsi="Arial" w:cs="Arial"/>
                <w:sz w:val="22"/>
              </w:rPr>
              <w:t>.</w:t>
            </w:r>
            <w:r w:rsidR="00E429F9" w:rsidRPr="00750626">
              <w:rPr>
                <w:rFonts w:ascii="Arial" w:hAnsi="Arial" w:cs="Arial"/>
                <w:sz w:val="22"/>
              </w:rPr>
              <w:t xml:space="preserve"> </w:t>
            </w:r>
          </w:p>
          <w:p w14:paraId="26DACAB2" w14:textId="77777777" w:rsidR="00E429F9" w:rsidRPr="00750626" w:rsidRDefault="00E429F9" w:rsidP="007551F6">
            <w:pPr>
              <w:rPr>
                <w:rFonts w:ascii="Arial" w:hAnsi="Arial" w:cs="Arial"/>
                <w:sz w:val="28"/>
              </w:rPr>
            </w:pPr>
          </w:p>
          <w:p w14:paraId="61480DC1" w14:textId="411A7176" w:rsidR="00F76DC9" w:rsidRPr="00750626" w:rsidRDefault="00894472" w:rsidP="00F76DC9">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227402" w:rsidRPr="00750626">
              <w:rPr>
                <w:rFonts w:ascii="Arial" w:hAnsi="Arial" w:cs="Arial"/>
                <w:sz w:val="22"/>
              </w:rPr>
              <w:t>shared</w:t>
            </w:r>
            <w:r w:rsidR="00F76DC9" w:rsidRPr="00750626">
              <w:rPr>
                <w:rFonts w:ascii="Arial" w:hAnsi="Arial" w:cs="Arial"/>
                <w:sz w:val="22"/>
              </w:rPr>
              <w:t xml:space="preserve"> provisional</w:t>
            </w:r>
            <w:r w:rsidR="00227402" w:rsidRPr="00750626">
              <w:rPr>
                <w:rFonts w:ascii="Arial" w:hAnsi="Arial" w:cs="Arial"/>
                <w:sz w:val="22"/>
              </w:rPr>
              <w:t xml:space="preserve"> information about deaths associated with </w:t>
            </w:r>
            <w:r w:rsidR="00F76DC9" w:rsidRPr="00750626">
              <w:rPr>
                <w:rFonts w:ascii="Arial" w:hAnsi="Arial" w:cs="Arial"/>
                <w:sz w:val="22"/>
              </w:rPr>
              <w:t>some synthetic cannabinoids</w:t>
            </w:r>
            <w:r w:rsidR="00227402" w:rsidRPr="00750626">
              <w:rPr>
                <w:rFonts w:ascii="Arial" w:hAnsi="Arial" w:cs="Arial"/>
                <w:sz w:val="22"/>
              </w:rPr>
              <w:t xml:space="preserve"> </w:t>
            </w:r>
            <w:r w:rsidR="00F76DC9" w:rsidRPr="00750626">
              <w:rPr>
                <w:rFonts w:ascii="Arial" w:hAnsi="Arial" w:cs="Arial"/>
                <w:sz w:val="22"/>
              </w:rPr>
              <w:t>from the Office of the Chief Coroner:</w:t>
            </w:r>
          </w:p>
          <w:p w14:paraId="1E247C5F" w14:textId="149A1847" w:rsidR="00F76DC9" w:rsidRPr="00750626" w:rsidRDefault="00F76DC9" w:rsidP="00F76DC9">
            <w:pPr>
              <w:rPr>
                <w:rFonts w:ascii="Arial" w:hAnsi="Arial" w:cs="Arial"/>
                <w:sz w:val="28"/>
              </w:rPr>
            </w:pPr>
            <w:r w:rsidRPr="00750626">
              <w:rPr>
                <w:rFonts w:ascii="Arial" w:hAnsi="Arial" w:cs="Arial"/>
                <w:sz w:val="22"/>
              </w:rPr>
              <w:t xml:space="preserve"> </w:t>
            </w:r>
          </w:p>
          <w:p w14:paraId="176E6AE6" w14:textId="399517D7" w:rsidR="00E11658"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 xml:space="preserve">From May 2017, </w:t>
            </w:r>
            <w:r w:rsidR="00D52F52" w:rsidRPr="00750626">
              <w:rPr>
                <w:rFonts w:ascii="Arial" w:hAnsi="Arial" w:cs="Arial"/>
                <w:sz w:val="22"/>
              </w:rPr>
              <w:t xml:space="preserve">the </w:t>
            </w:r>
            <w:r w:rsidRPr="00750626">
              <w:rPr>
                <w:rFonts w:ascii="Arial" w:hAnsi="Arial" w:cs="Arial"/>
                <w:sz w:val="22"/>
              </w:rPr>
              <w:t xml:space="preserve">provisional number of 38 deaths throughout the country are currently </w:t>
            </w:r>
            <w:r w:rsidR="00E21B48">
              <w:rPr>
                <w:rFonts w:ascii="Arial" w:hAnsi="Arial" w:cs="Arial"/>
                <w:sz w:val="22"/>
              </w:rPr>
              <w:t>suspected to be attributable</w:t>
            </w:r>
            <w:r w:rsidRPr="00750626">
              <w:rPr>
                <w:rFonts w:ascii="Arial" w:hAnsi="Arial" w:cs="Arial"/>
                <w:sz w:val="22"/>
              </w:rPr>
              <w:t xml:space="preserve"> to synthetic drug toxicity or as a direct consequence of such (for instance positional asphyxia after becoming unconscious due to the drug’s effect)</w:t>
            </w:r>
          </w:p>
          <w:p w14:paraId="77B5B2B8" w14:textId="77777777" w:rsidR="00E11658"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28 deaths occurred in Auckland with the remaining 10 spread throughout the rest of the country</w:t>
            </w:r>
          </w:p>
          <w:p w14:paraId="15026AD7" w14:textId="77777777" w:rsidR="00E11658"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20 deaths in Auckland have been confirmed at post-mortem as being directly attributable to synthetic drugs</w:t>
            </w:r>
            <w:r w:rsidR="00E11658" w:rsidRPr="00750626">
              <w:rPr>
                <w:rFonts w:ascii="Arial" w:hAnsi="Arial" w:cs="Arial"/>
                <w:sz w:val="22"/>
              </w:rPr>
              <w:t xml:space="preserve"> and </w:t>
            </w:r>
            <w:r w:rsidRPr="00750626">
              <w:rPr>
                <w:rFonts w:ascii="Arial" w:hAnsi="Arial" w:cs="Arial"/>
                <w:sz w:val="22"/>
              </w:rPr>
              <w:t xml:space="preserve"> AMB-FUBINACA is present in every confirmed d</w:t>
            </w:r>
            <w:r w:rsidR="00E11658" w:rsidRPr="00750626">
              <w:rPr>
                <w:rFonts w:ascii="Arial" w:hAnsi="Arial" w:cs="Arial"/>
                <w:sz w:val="22"/>
              </w:rPr>
              <w:t>eath in Auckland</w:t>
            </w:r>
          </w:p>
          <w:p w14:paraId="55F543AD" w14:textId="77777777" w:rsidR="00E11658"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5F-ADB is present in 4/5 confirmed non-Auckland deaths</w:t>
            </w:r>
          </w:p>
          <w:p w14:paraId="2674C628" w14:textId="77777777" w:rsidR="00E11658"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There were 27 deaths attributable to synthetic drug toxicity nationally in 2017</w:t>
            </w:r>
          </w:p>
          <w:p w14:paraId="6D4EB8C3" w14:textId="68E2B968" w:rsidR="00F76DC9" w:rsidRPr="00750626" w:rsidRDefault="00F76DC9" w:rsidP="00F76DC9">
            <w:pPr>
              <w:pStyle w:val="ListParagraph"/>
              <w:numPr>
                <w:ilvl w:val="0"/>
                <w:numId w:val="13"/>
              </w:numPr>
              <w:spacing w:line="276" w:lineRule="auto"/>
              <w:rPr>
                <w:rFonts w:ascii="Arial" w:hAnsi="Arial" w:cs="Arial"/>
                <w:sz w:val="28"/>
              </w:rPr>
            </w:pPr>
            <w:r w:rsidRPr="00750626">
              <w:rPr>
                <w:rFonts w:ascii="Arial" w:hAnsi="Arial" w:cs="Arial"/>
                <w:sz w:val="22"/>
              </w:rPr>
              <w:t>There continue to be suspected synthetic drug-related deaths with the most recent notification on 13 April 2018.</w:t>
            </w:r>
          </w:p>
          <w:p w14:paraId="3D1F4A4B" w14:textId="77777777" w:rsidR="00B306C7" w:rsidRPr="00750626" w:rsidRDefault="00B306C7" w:rsidP="007551F6">
            <w:pPr>
              <w:rPr>
                <w:rFonts w:ascii="Arial" w:hAnsi="Arial" w:cs="Arial"/>
                <w:sz w:val="22"/>
              </w:rPr>
            </w:pPr>
          </w:p>
          <w:p w14:paraId="3835FA1E" w14:textId="71F7D765" w:rsidR="009134A3" w:rsidRDefault="00894472" w:rsidP="007551F6">
            <w:pPr>
              <w:rPr>
                <w:rFonts w:ascii="Arial" w:hAnsi="Arial" w:cs="Arial"/>
                <w:sz w:val="22"/>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9134A3" w:rsidRPr="00750626">
              <w:rPr>
                <w:rFonts w:ascii="Arial" w:hAnsi="Arial" w:cs="Arial"/>
                <w:sz w:val="22"/>
              </w:rPr>
              <w:t>expressed her opinion that the other synthetic cannabinoids can still be dangerous and pose harm to people even though there are no known deaths associated with them so far.</w:t>
            </w:r>
          </w:p>
          <w:p w14:paraId="33FA791E" w14:textId="77777777" w:rsidR="004846BB" w:rsidRPr="00750626" w:rsidRDefault="004846BB" w:rsidP="007551F6">
            <w:pPr>
              <w:rPr>
                <w:rFonts w:ascii="Arial" w:hAnsi="Arial" w:cs="Arial"/>
                <w:sz w:val="22"/>
              </w:rPr>
            </w:pPr>
          </w:p>
          <w:p w14:paraId="31EE817D" w14:textId="5E2EEE54" w:rsidR="009134A3" w:rsidRPr="00750626" w:rsidRDefault="00894472" w:rsidP="007551F6">
            <w:pPr>
              <w:rPr>
                <w:rFonts w:ascii="Arial" w:hAnsi="Arial" w:cs="Arial"/>
                <w:sz w:val="22"/>
              </w:rPr>
            </w:pPr>
            <w:r w:rsidRPr="00894472">
              <w:rPr>
                <w:rFonts w:ascii="Arial" w:hAnsi="Arial" w:cs="Arial"/>
                <w:sz w:val="22"/>
                <w:lang w:val="en-GB"/>
              </w:rPr>
              <w:t>[</w:t>
            </w:r>
            <w:proofErr w:type="gramStart"/>
            <w:r w:rsidRPr="00894472">
              <w:rPr>
                <w:rFonts w:ascii="Arial" w:hAnsi="Arial" w:cs="Arial"/>
                <w:sz w:val="22"/>
                <w:lang w:val="en-GB"/>
              </w:rPr>
              <w:t>redacted</w:t>
            </w:r>
            <w:proofErr w:type="gramEnd"/>
            <w:r w:rsidRPr="00894472">
              <w:rPr>
                <w:rFonts w:ascii="Arial" w:hAnsi="Arial" w:cs="Arial"/>
                <w:sz w:val="22"/>
                <w:lang w:val="en-GB"/>
              </w:rPr>
              <w:t xml:space="preserve">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723231" w:rsidRPr="00723231">
              <w:rPr>
                <w:rFonts w:ascii="Arial" w:hAnsi="Arial" w:cs="Arial"/>
                <w:sz w:val="22"/>
              </w:rPr>
              <w:t>also noted a rise in the number of individuals she was aware of with addiction of synthetic cannabinoids with significant detrimental effects on their lives and that risk of harm wasn’t necessarily only linked to intoxications and death.</w:t>
            </w:r>
            <w:r w:rsidR="002E7C7E" w:rsidRPr="00750626">
              <w:rPr>
                <w:rFonts w:ascii="Arial" w:hAnsi="Arial" w:cs="Arial"/>
                <w:sz w:val="22"/>
              </w:rPr>
              <w:t xml:space="preserve"> </w:t>
            </w:r>
          </w:p>
          <w:p w14:paraId="27BE68DC" w14:textId="6583F759" w:rsidR="00227402" w:rsidRPr="00750626" w:rsidRDefault="00894472" w:rsidP="007551F6">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9134A3" w:rsidRPr="00750626">
              <w:rPr>
                <w:rFonts w:ascii="Arial" w:hAnsi="Arial" w:cs="Arial"/>
                <w:sz w:val="22"/>
              </w:rPr>
              <w:t xml:space="preserve">also </w:t>
            </w:r>
            <w:r w:rsidR="004846BB">
              <w:rPr>
                <w:rFonts w:ascii="Arial" w:hAnsi="Arial" w:cs="Arial"/>
                <w:sz w:val="22"/>
              </w:rPr>
              <w:t xml:space="preserve">advised that she has seen </w:t>
            </w:r>
            <w:r w:rsidR="009134A3" w:rsidRPr="00750626">
              <w:rPr>
                <w:rFonts w:ascii="Arial" w:hAnsi="Arial" w:cs="Arial"/>
                <w:sz w:val="22"/>
              </w:rPr>
              <w:t>family violence associated with synthetic cannabinoids and noted that these substances pose great negative impacts on both people’s physical health and their lives.</w:t>
            </w:r>
          </w:p>
          <w:p w14:paraId="0B71F3BD" w14:textId="77777777" w:rsidR="00033E0B" w:rsidRPr="00750626" w:rsidRDefault="00033E0B" w:rsidP="007551F6">
            <w:pPr>
              <w:rPr>
                <w:rFonts w:ascii="Arial" w:hAnsi="Arial" w:cs="Arial"/>
                <w:sz w:val="28"/>
              </w:rPr>
            </w:pPr>
          </w:p>
          <w:p w14:paraId="75BF2A04" w14:textId="0CEF58EC" w:rsidR="001E14DE" w:rsidRPr="00750626" w:rsidRDefault="00894472" w:rsidP="00F76DC9">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653032" w:rsidRPr="00750626">
              <w:rPr>
                <w:rFonts w:ascii="Arial" w:hAnsi="Arial" w:cs="Arial"/>
                <w:sz w:val="22"/>
              </w:rPr>
              <w:t xml:space="preserve">noted that the Police currently don’t have </w:t>
            </w:r>
            <w:r w:rsidR="002E7C7E" w:rsidRPr="00750626">
              <w:rPr>
                <w:rFonts w:ascii="Arial" w:hAnsi="Arial" w:cs="Arial"/>
                <w:sz w:val="22"/>
              </w:rPr>
              <w:t xml:space="preserve">warrantless </w:t>
            </w:r>
            <w:r w:rsidR="00227402" w:rsidRPr="00750626">
              <w:rPr>
                <w:rFonts w:ascii="Arial" w:hAnsi="Arial" w:cs="Arial"/>
                <w:sz w:val="22"/>
              </w:rPr>
              <w:t>seizure and search pow</w:t>
            </w:r>
            <w:r w:rsidR="00653032" w:rsidRPr="00750626">
              <w:rPr>
                <w:rFonts w:ascii="Arial" w:hAnsi="Arial" w:cs="Arial"/>
                <w:sz w:val="22"/>
              </w:rPr>
              <w:t>er</w:t>
            </w:r>
            <w:r w:rsidR="00D52F52" w:rsidRPr="00750626">
              <w:rPr>
                <w:rFonts w:ascii="Arial" w:hAnsi="Arial" w:cs="Arial"/>
                <w:sz w:val="22"/>
              </w:rPr>
              <w:t>s</w:t>
            </w:r>
            <w:r w:rsidR="00653032" w:rsidRPr="00750626">
              <w:rPr>
                <w:rFonts w:ascii="Arial" w:hAnsi="Arial" w:cs="Arial"/>
                <w:sz w:val="22"/>
              </w:rPr>
              <w:t xml:space="preserve"> under the Search and Surveillance Act </w:t>
            </w:r>
            <w:r w:rsidR="00033E0B" w:rsidRPr="00750626">
              <w:rPr>
                <w:rFonts w:ascii="Arial" w:hAnsi="Arial" w:cs="Arial"/>
                <w:sz w:val="22"/>
              </w:rPr>
              <w:t xml:space="preserve">2012 </w:t>
            </w:r>
            <w:r w:rsidR="00653032" w:rsidRPr="00750626">
              <w:rPr>
                <w:rFonts w:ascii="Arial" w:hAnsi="Arial" w:cs="Arial"/>
                <w:sz w:val="22"/>
              </w:rPr>
              <w:t>because synthetic cannabinoids are not controlled under</w:t>
            </w:r>
            <w:r w:rsidR="00227402" w:rsidRPr="00750626">
              <w:rPr>
                <w:rFonts w:ascii="Arial" w:hAnsi="Arial" w:cs="Arial"/>
                <w:sz w:val="22"/>
              </w:rPr>
              <w:t xml:space="preserve"> </w:t>
            </w:r>
            <w:proofErr w:type="spellStart"/>
            <w:r w:rsidR="00227402" w:rsidRPr="00750626">
              <w:rPr>
                <w:rFonts w:ascii="Arial" w:hAnsi="Arial" w:cs="Arial"/>
                <w:sz w:val="22"/>
              </w:rPr>
              <w:t>MoDA</w:t>
            </w:r>
            <w:proofErr w:type="spellEnd"/>
            <w:r w:rsidR="00227402" w:rsidRPr="00750626">
              <w:rPr>
                <w:rFonts w:ascii="Arial" w:hAnsi="Arial" w:cs="Arial"/>
                <w:sz w:val="22"/>
              </w:rPr>
              <w:t xml:space="preserve">. </w:t>
            </w:r>
            <w:r w:rsidRPr="00894472">
              <w:rPr>
                <w:rFonts w:ascii="Arial" w:hAnsi="Arial" w:cs="Arial"/>
                <w:sz w:val="22"/>
                <w:lang w:val="en-GB"/>
              </w:rPr>
              <w:t>[</w:t>
            </w:r>
            <w:proofErr w:type="gramStart"/>
            <w:r w:rsidRPr="00894472">
              <w:rPr>
                <w:rFonts w:ascii="Arial" w:hAnsi="Arial" w:cs="Arial"/>
                <w:sz w:val="22"/>
                <w:lang w:val="en-GB"/>
              </w:rPr>
              <w:t>r</w:t>
            </w:r>
            <w:r>
              <w:rPr>
                <w:rFonts w:ascii="Arial" w:hAnsi="Arial" w:cs="Arial"/>
                <w:sz w:val="22"/>
                <w:lang w:val="en-GB"/>
              </w:rPr>
              <w:t>edacted</w:t>
            </w:r>
            <w:proofErr w:type="gramEnd"/>
            <w:r>
              <w:rPr>
                <w:rFonts w:ascii="Arial" w:hAnsi="Arial" w:cs="Arial"/>
                <w:sz w:val="22"/>
                <w:lang w:val="en-GB"/>
              </w:rPr>
              <w:t xml:space="preserve"> under section 9(2)(</w:t>
            </w:r>
            <w:proofErr w:type="spellStart"/>
            <w:r>
              <w:rPr>
                <w:rFonts w:ascii="Arial" w:hAnsi="Arial" w:cs="Arial"/>
                <w:sz w:val="22"/>
                <w:lang w:val="en-GB"/>
              </w:rPr>
              <w:t>ba</w:t>
            </w:r>
            <w:proofErr w:type="spellEnd"/>
            <w:r>
              <w:rPr>
                <w:rFonts w:ascii="Arial" w:hAnsi="Arial" w:cs="Arial"/>
                <w:sz w:val="22"/>
                <w:lang w:val="en-GB"/>
              </w:rPr>
              <w:t>)]</w:t>
            </w:r>
            <w:r w:rsidR="00653032" w:rsidRPr="00750626">
              <w:rPr>
                <w:rFonts w:ascii="Arial" w:hAnsi="Arial" w:cs="Arial"/>
                <w:sz w:val="22"/>
              </w:rPr>
              <w:t xml:space="preserve"> also noted that the penalties </w:t>
            </w:r>
            <w:r w:rsidR="00D52F52" w:rsidRPr="00750626">
              <w:rPr>
                <w:rFonts w:ascii="Arial" w:hAnsi="Arial" w:cs="Arial"/>
                <w:sz w:val="22"/>
              </w:rPr>
              <w:t xml:space="preserve">under </w:t>
            </w:r>
            <w:proofErr w:type="spellStart"/>
            <w:r w:rsidR="00653032" w:rsidRPr="00750626">
              <w:rPr>
                <w:rFonts w:ascii="Arial" w:hAnsi="Arial" w:cs="Arial"/>
                <w:sz w:val="22"/>
              </w:rPr>
              <w:t>MoDA</w:t>
            </w:r>
            <w:proofErr w:type="spellEnd"/>
            <w:r w:rsidR="00653032" w:rsidRPr="00750626">
              <w:rPr>
                <w:rFonts w:ascii="Arial" w:hAnsi="Arial" w:cs="Arial"/>
                <w:sz w:val="22"/>
              </w:rPr>
              <w:t xml:space="preserve"> for possession of controlled drugs are more significant than under </w:t>
            </w:r>
            <w:r w:rsidR="00D52F52" w:rsidRPr="00750626">
              <w:rPr>
                <w:rFonts w:ascii="Arial" w:hAnsi="Arial" w:cs="Arial"/>
                <w:sz w:val="22"/>
              </w:rPr>
              <w:t xml:space="preserve">the </w:t>
            </w:r>
            <w:r w:rsidR="00653032" w:rsidRPr="00750626">
              <w:rPr>
                <w:rFonts w:ascii="Arial" w:hAnsi="Arial" w:cs="Arial"/>
                <w:sz w:val="22"/>
              </w:rPr>
              <w:t>PSA.</w:t>
            </w:r>
          </w:p>
          <w:p w14:paraId="04B488B2" w14:textId="77777777" w:rsidR="001E14DE" w:rsidRPr="00750626" w:rsidRDefault="001E14DE" w:rsidP="007551F6">
            <w:pPr>
              <w:rPr>
                <w:rFonts w:ascii="Arial" w:hAnsi="Arial" w:cs="Arial"/>
                <w:b/>
                <w:sz w:val="28"/>
              </w:rPr>
            </w:pPr>
          </w:p>
          <w:p w14:paraId="55E043C4" w14:textId="16C9CF3E" w:rsidR="00E11658" w:rsidRPr="00750626" w:rsidRDefault="00E11658" w:rsidP="00E11658">
            <w:pPr>
              <w:rPr>
                <w:rFonts w:ascii="Arial" w:hAnsi="Arial" w:cs="Arial"/>
                <w:sz w:val="28"/>
              </w:rPr>
            </w:pPr>
            <w:r w:rsidRPr="00750626">
              <w:rPr>
                <w:rFonts w:ascii="Arial" w:hAnsi="Arial" w:cs="Arial"/>
                <w:sz w:val="22"/>
              </w:rPr>
              <w:t xml:space="preserve">The Committee discussed whether </w:t>
            </w:r>
            <w:r w:rsidR="00D52F52" w:rsidRPr="00750626">
              <w:rPr>
                <w:rFonts w:ascii="Arial" w:hAnsi="Arial" w:cs="Arial"/>
                <w:sz w:val="22"/>
              </w:rPr>
              <w:t xml:space="preserve">the </w:t>
            </w:r>
            <w:r w:rsidRPr="00750626">
              <w:rPr>
                <w:rFonts w:ascii="Arial" w:hAnsi="Arial" w:cs="Arial"/>
                <w:sz w:val="22"/>
              </w:rPr>
              <w:t xml:space="preserve">PSA is the </w:t>
            </w:r>
            <w:r w:rsidR="008814C3">
              <w:rPr>
                <w:rFonts w:ascii="Arial" w:hAnsi="Arial" w:cs="Arial"/>
                <w:sz w:val="22"/>
              </w:rPr>
              <w:t>appropriate</w:t>
            </w:r>
            <w:r w:rsidR="00A501DD" w:rsidRPr="00750626">
              <w:rPr>
                <w:rFonts w:ascii="Arial" w:hAnsi="Arial" w:cs="Arial"/>
                <w:sz w:val="22"/>
              </w:rPr>
              <w:t xml:space="preserve"> </w:t>
            </w:r>
            <w:r w:rsidRPr="00750626">
              <w:rPr>
                <w:rFonts w:ascii="Arial" w:hAnsi="Arial" w:cs="Arial"/>
                <w:sz w:val="22"/>
              </w:rPr>
              <w:t>regime to control</w:t>
            </w:r>
            <w:r w:rsidR="00A501DD" w:rsidRPr="00750626">
              <w:rPr>
                <w:rFonts w:ascii="Arial" w:hAnsi="Arial" w:cs="Arial"/>
                <w:sz w:val="22"/>
              </w:rPr>
              <w:t xml:space="preserve"> these </w:t>
            </w:r>
            <w:r w:rsidRPr="00750626">
              <w:rPr>
                <w:rFonts w:ascii="Arial" w:hAnsi="Arial" w:cs="Arial"/>
                <w:sz w:val="22"/>
              </w:rPr>
              <w:t>substances</w:t>
            </w:r>
            <w:r w:rsidR="00A501DD" w:rsidRPr="00750626">
              <w:rPr>
                <w:rFonts w:ascii="Arial" w:hAnsi="Arial" w:cs="Arial"/>
                <w:sz w:val="22"/>
              </w:rPr>
              <w:t xml:space="preserve"> </w:t>
            </w:r>
            <w:r w:rsidRPr="00750626">
              <w:rPr>
                <w:rFonts w:ascii="Arial" w:hAnsi="Arial" w:cs="Arial"/>
                <w:sz w:val="22"/>
              </w:rPr>
              <w:t xml:space="preserve">and majority of the Committee agreed that </w:t>
            </w:r>
            <w:proofErr w:type="spellStart"/>
            <w:r w:rsidRPr="00750626">
              <w:rPr>
                <w:rFonts w:ascii="Arial" w:hAnsi="Arial" w:cs="Arial"/>
                <w:sz w:val="22"/>
              </w:rPr>
              <w:t>MoDA</w:t>
            </w:r>
            <w:proofErr w:type="spellEnd"/>
            <w:r w:rsidRPr="00750626">
              <w:rPr>
                <w:rFonts w:ascii="Arial" w:hAnsi="Arial" w:cs="Arial"/>
                <w:sz w:val="22"/>
              </w:rPr>
              <w:t xml:space="preserve"> is more appropriate to regulate these substances</w:t>
            </w:r>
            <w:r w:rsidR="00A501DD" w:rsidRPr="00750626">
              <w:rPr>
                <w:rFonts w:ascii="Arial" w:hAnsi="Arial" w:cs="Arial"/>
                <w:sz w:val="22"/>
              </w:rPr>
              <w:t xml:space="preserve"> given their risk of harm</w:t>
            </w:r>
            <w:r w:rsidRPr="00750626">
              <w:rPr>
                <w:rFonts w:ascii="Arial" w:hAnsi="Arial" w:cs="Arial"/>
                <w:sz w:val="22"/>
              </w:rPr>
              <w:t>.</w:t>
            </w:r>
          </w:p>
          <w:p w14:paraId="165E450C" w14:textId="4F9D0547" w:rsidR="00E11658" w:rsidRPr="00750626" w:rsidRDefault="00E11658" w:rsidP="007551F6">
            <w:pPr>
              <w:rPr>
                <w:rFonts w:ascii="Arial" w:hAnsi="Arial" w:cs="Arial"/>
                <w:sz w:val="28"/>
              </w:rPr>
            </w:pPr>
            <w:r w:rsidRPr="00750626">
              <w:rPr>
                <w:rFonts w:ascii="Arial" w:hAnsi="Arial" w:cs="Arial"/>
                <w:sz w:val="22"/>
              </w:rPr>
              <w:t xml:space="preserve"> </w:t>
            </w:r>
          </w:p>
          <w:p w14:paraId="2FC126B2" w14:textId="594D8426" w:rsidR="004F67F6" w:rsidRPr="00750626" w:rsidRDefault="005C4F09" w:rsidP="007551F6">
            <w:pPr>
              <w:rPr>
                <w:rFonts w:ascii="Arial" w:hAnsi="Arial" w:cs="Arial"/>
                <w:sz w:val="28"/>
              </w:rPr>
            </w:pPr>
            <w:r w:rsidRPr="00750626">
              <w:rPr>
                <w:rFonts w:ascii="Arial" w:hAnsi="Arial" w:cs="Arial"/>
                <w:sz w:val="22"/>
              </w:rPr>
              <w:t>The Committee also debated</w:t>
            </w:r>
            <w:r w:rsidR="004F67F6" w:rsidRPr="00750626">
              <w:rPr>
                <w:rFonts w:ascii="Arial" w:hAnsi="Arial" w:cs="Arial"/>
                <w:sz w:val="22"/>
              </w:rPr>
              <w:t xml:space="preserve"> whether to schedule all </w:t>
            </w:r>
            <w:r w:rsidR="00EB7784" w:rsidRPr="00750626">
              <w:rPr>
                <w:rFonts w:ascii="Arial" w:hAnsi="Arial" w:cs="Arial"/>
                <w:sz w:val="22"/>
              </w:rPr>
              <w:t xml:space="preserve">of the above </w:t>
            </w:r>
            <w:r w:rsidR="004F67F6" w:rsidRPr="00750626">
              <w:rPr>
                <w:rFonts w:ascii="Arial" w:hAnsi="Arial" w:cs="Arial"/>
                <w:sz w:val="22"/>
              </w:rPr>
              <w:t>s</w:t>
            </w:r>
            <w:r w:rsidR="00EB7784" w:rsidRPr="00750626">
              <w:rPr>
                <w:rFonts w:ascii="Arial" w:hAnsi="Arial" w:cs="Arial"/>
                <w:sz w:val="22"/>
              </w:rPr>
              <w:t>ynthetic cannabinoids</w:t>
            </w:r>
            <w:r w:rsidR="004F67F6" w:rsidRPr="00750626">
              <w:rPr>
                <w:rFonts w:ascii="Arial" w:hAnsi="Arial" w:cs="Arial"/>
                <w:sz w:val="22"/>
              </w:rPr>
              <w:t xml:space="preserve"> in the same classification or recommend different classifications based on ass</w:t>
            </w:r>
            <w:r w:rsidR="00B11D60">
              <w:rPr>
                <w:rFonts w:ascii="Arial" w:hAnsi="Arial" w:cs="Arial"/>
                <w:sz w:val="22"/>
              </w:rPr>
              <w:t xml:space="preserve">ociated harm of each substance. The Committee considered that there was clear evidence of a </w:t>
            </w:r>
            <w:r w:rsidR="00B11D60">
              <w:rPr>
                <w:rFonts w:ascii="Arial" w:hAnsi="Arial" w:cs="Arial"/>
                <w:sz w:val="22"/>
              </w:rPr>
              <w:lastRenderedPageBreak/>
              <w:t>very high risk of harm for 5F-ADB and AMB-FUBINACA in New Zealand, however, there was less information on the other synthetic cannabinoids in the New Zeala</w:t>
            </w:r>
            <w:r w:rsidR="004846BB">
              <w:rPr>
                <w:rFonts w:ascii="Arial" w:hAnsi="Arial" w:cs="Arial"/>
                <w:sz w:val="22"/>
              </w:rPr>
              <w:t>nd context and seizures of the</w:t>
            </w:r>
            <w:r w:rsidR="00B11D60">
              <w:rPr>
                <w:rFonts w:ascii="Arial" w:hAnsi="Arial" w:cs="Arial"/>
                <w:sz w:val="22"/>
              </w:rPr>
              <w:t xml:space="preserve"> other synthetic cannabinoids were relatively low. The Committee considered that if some cannabinoids were scheduled, some others would still be captured as analogues. </w:t>
            </w:r>
          </w:p>
          <w:p w14:paraId="107ABA90" w14:textId="77777777" w:rsidR="004F67F6" w:rsidRPr="00750626" w:rsidRDefault="004F67F6" w:rsidP="007551F6">
            <w:pPr>
              <w:rPr>
                <w:rFonts w:ascii="Arial" w:hAnsi="Arial" w:cs="Arial"/>
                <w:sz w:val="28"/>
              </w:rPr>
            </w:pPr>
          </w:p>
          <w:p w14:paraId="1CECB7E2" w14:textId="704F66AB" w:rsidR="001E14DE" w:rsidRPr="00750626" w:rsidRDefault="004F67F6" w:rsidP="007551F6">
            <w:pPr>
              <w:rPr>
                <w:rFonts w:ascii="Arial" w:hAnsi="Arial" w:cs="Arial"/>
                <w:b/>
                <w:sz w:val="28"/>
              </w:rPr>
            </w:pPr>
            <w:r w:rsidRPr="00750626">
              <w:rPr>
                <w:rFonts w:ascii="Arial" w:hAnsi="Arial" w:cs="Arial"/>
                <w:b/>
                <w:sz w:val="22"/>
              </w:rPr>
              <w:t>Outcome:</w:t>
            </w:r>
            <w:r w:rsidRPr="00750626">
              <w:rPr>
                <w:rFonts w:ascii="Arial" w:hAnsi="Arial" w:cs="Arial"/>
                <w:sz w:val="22"/>
              </w:rPr>
              <w:t xml:space="preserve"> As a result of this discussion, the Committee were in favour of recommending that 5F-ADB and AMB-</w:t>
            </w:r>
            <w:r w:rsidR="00FA620F" w:rsidRPr="00750626">
              <w:rPr>
                <w:rFonts w:ascii="Arial" w:hAnsi="Arial" w:cs="Arial"/>
                <w:sz w:val="22"/>
              </w:rPr>
              <w:t>FUBINACA</w:t>
            </w:r>
            <w:r w:rsidRPr="00750626">
              <w:rPr>
                <w:rFonts w:ascii="Arial" w:hAnsi="Arial" w:cs="Arial"/>
                <w:sz w:val="22"/>
              </w:rPr>
              <w:t xml:space="preserve"> be scheduled as Class A controlled drugs based on the fact that these substances have caused many deaths in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004B0947" w:rsidRPr="00750626">
              <w:rPr>
                <w:rFonts w:ascii="Arial" w:hAnsi="Arial" w:cs="Arial"/>
                <w:sz w:val="22"/>
              </w:rPr>
              <w:t>. The Committee also agreed</w:t>
            </w:r>
            <w:r w:rsidR="00E2452C" w:rsidRPr="00750626">
              <w:rPr>
                <w:rFonts w:ascii="Arial" w:hAnsi="Arial" w:cs="Arial"/>
                <w:sz w:val="22"/>
              </w:rPr>
              <w:t xml:space="preserve"> that the PSA was appropriate for regulating the remaining synthetic cannabinoids put forward to the Committee until more evidence on their harm is available</w:t>
            </w:r>
            <w:r w:rsidRPr="00750626">
              <w:rPr>
                <w:rFonts w:ascii="Arial" w:hAnsi="Arial" w:cs="Arial"/>
                <w:sz w:val="22"/>
              </w:rPr>
              <w:t xml:space="preserve">. </w:t>
            </w:r>
          </w:p>
          <w:p w14:paraId="1BCE9BAC" w14:textId="77777777" w:rsidR="00E07AC6" w:rsidRPr="00750626" w:rsidRDefault="00E07AC6" w:rsidP="007551F6">
            <w:pPr>
              <w:rPr>
                <w:rFonts w:ascii="Arial" w:hAnsi="Arial" w:cs="Arial"/>
                <w:b/>
                <w:sz w:val="28"/>
              </w:rPr>
            </w:pPr>
          </w:p>
          <w:p w14:paraId="642742CB" w14:textId="25002B3E" w:rsidR="00242A5F" w:rsidRPr="00750626" w:rsidRDefault="001E14DE" w:rsidP="007551F6">
            <w:pPr>
              <w:rPr>
                <w:rFonts w:ascii="Arial" w:hAnsi="Arial" w:cs="Arial"/>
                <w:sz w:val="28"/>
              </w:rPr>
            </w:pPr>
            <w:r w:rsidRPr="00750626">
              <w:rPr>
                <w:rFonts w:ascii="Arial" w:hAnsi="Arial" w:cs="Arial"/>
                <w:b/>
                <w:sz w:val="22"/>
              </w:rPr>
              <w:t>Motion</w:t>
            </w:r>
            <w:r w:rsidRPr="00750626">
              <w:rPr>
                <w:rFonts w:ascii="Arial" w:hAnsi="Arial" w:cs="Arial"/>
                <w:sz w:val="22"/>
              </w:rPr>
              <w:t xml:space="preserve">: </w:t>
            </w:r>
            <w:r w:rsidR="00894472" w:rsidRPr="00894472">
              <w:rPr>
                <w:rFonts w:ascii="Arial" w:hAnsi="Arial" w:cs="Arial"/>
                <w:sz w:val="22"/>
                <w:lang w:val="en-GB"/>
              </w:rPr>
              <w:t>[redacted under section 9(2)(</w:t>
            </w:r>
            <w:proofErr w:type="spellStart"/>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00242A5F" w:rsidRPr="00750626">
              <w:rPr>
                <w:rFonts w:ascii="Arial" w:hAnsi="Arial" w:cs="Arial"/>
                <w:sz w:val="22"/>
              </w:rPr>
              <w:t>proposed</w:t>
            </w:r>
            <w:r w:rsidR="004846BB">
              <w:rPr>
                <w:rFonts w:ascii="Arial" w:hAnsi="Arial" w:cs="Arial"/>
                <w:sz w:val="22"/>
              </w:rPr>
              <w:t xml:space="preserve"> the following</w:t>
            </w:r>
            <w:r w:rsidR="00242A5F" w:rsidRPr="00750626">
              <w:rPr>
                <w:rFonts w:ascii="Arial" w:hAnsi="Arial" w:cs="Arial"/>
                <w:sz w:val="22"/>
              </w:rPr>
              <w:t>:</w:t>
            </w:r>
          </w:p>
          <w:p w14:paraId="53FCA99C" w14:textId="77777777" w:rsidR="00242A5F" w:rsidRPr="00750626" w:rsidRDefault="001E14DE" w:rsidP="00242A5F">
            <w:pPr>
              <w:pStyle w:val="ListParagraph"/>
              <w:numPr>
                <w:ilvl w:val="0"/>
                <w:numId w:val="14"/>
              </w:numPr>
              <w:rPr>
                <w:rFonts w:ascii="Arial" w:hAnsi="Arial" w:cs="Arial"/>
                <w:sz w:val="28"/>
                <w:lang w:val="en-NZ"/>
              </w:rPr>
            </w:pPr>
            <w:r w:rsidRPr="00750626">
              <w:rPr>
                <w:rFonts w:ascii="Arial" w:hAnsi="Arial" w:cs="Arial"/>
                <w:sz w:val="22"/>
                <w:lang w:val="en-NZ"/>
              </w:rPr>
              <w:t>5F-ADB and AMB</w:t>
            </w:r>
            <w:r w:rsidR="0067406F" w:rsidRPr="00750626">
              <w:rPr>
                <w:rFonts w:ascii="Arial" w:hAnsi="Arial" w:cs="Arial"/>
                <w:sz w:val="22"/>
                <w:lang w:val="en-NZ"/>
              </w:rPr>
              <w:t>-FUBINACA</w:t>
            </w:r>
            <w:r w:rsidRPr="00750626">
              <w:rPr>
                <w:rFonts w:ascii="Arial" w:hAnsi="Arial" w:cs="Arial"/>
                <w:sz w:val="22"/>
                <w:lang w:val="en-NZ"/>
              </w:rPr>
              <w:t xml:space="preserve"> </w:t>
            </w:r>
            <w:r w:rsidR="00242A5F" w:rsidRPr="00750626">
              <w:rPr>
                <w:rFonts w:ascii="Arial" w:hAnsi="Arial" w:cs="Arial"/>
                <w:sz w:val="22"/>
                <w:lang w:val="en-NZ"/>
              </w:rPr>
              <w:t xml:space="preserve">be put forward for scheduling </w:t>
            </w:r>
            <w:r w:rsidRPr="00750626">
              <w:rPr>
                <w:rFonts w:ascii="Arial" w:hAnsi="Arial" w:cs="Arial"/>
                <w:sz w:val="22"/>
                <w:lang w:val="en-NZ"/>
              </w:rPr>
              <w:t xml:space="preserve">as Class A </w:t>
            </w:r>
            <w:r w:rsidR="00242A5F" w:rsidRPr="00750626">
              <w:rPr>
                <w:rFonts w:ascii="Arial" w:hAnsi="Arial" w:cs="Arial"/>
                <w:sz w:val="22"/>
                <w:lang w:val="en-NZ"/>
              </w:rPr>
              <w:t xml:space="preserve">controlled drugs under </w:t>
            </w:r>
            <w:proofErr w:type="spellStart"/>
            <w:r w:rsidR="00242A5F" w:rsidRPr="00750626">
              <w:rPr>
                <w:rFonts w:ascii="Arial" w:hAnsi="Arial" w:cs="Arial"/>
                <w:sz w:val="22"/>
                <w:lang w:val="en-NZ"/>
              </w:rPr>
              <w:t>MoDA</w:t>
            </w:r>
            <w:proofErr w:type="spellEnd"/>
            <w:r w:rsidR="00242A5F" w:rsidRPr="00750626">
              <w:rPr>
                <w:rFonts w:ascii="Arial" w:hAnsi="Arial" w:cs="Arial"/>
                <w:sz w:val="22"/>
                <w:lang w:val="en-NZ"/>
              </w:rPr>
              <w:t xml:space="preserve"> </w:t>
            </w:r>
          </w:p>
          <w:p w14:paraId="262EFAF8" w14:textId="58E9C918" w:rsidR="00242A5F" w:rsidRPr="00750626" w:rsidRDefault="00E2452C" w:rsidP="00242A5F">
            <w:pPr>
              <w:pStyle w:val="ListParagraph"/>
              <w:numPr>
                <w:ilvl w:val="0"/>
                <w:numId w:val="14"/>
              </w:numPr>
              <w:rPr>
                <w:rFonts w:ascii="Arial" w:hAnsi="Arial" w:cs="Arial"/>
                <w:sz w:val="28"/>
                <w:lang w:val="en-NZ"/>
              </w:rPr>
            </w:pPr>
            <w:r w:rsidRPr="00750626">
              <w:rPr>
                <w:rFonts w:ascii="Arial" w:hAnsi="Arial" w:cs="Arial"/>
                <w:sz w:val="22"/>
                <w:lang w:val="en-NZ"/>
              </w:rPr>
              <w:t xml:space="preserve">acknowledging that </w:t>
            </w:r>
            <w:r w:rsidR="00242A5F" w:rsidRPr="00750626">
              <w:rPr>
                <w:rFonts w:ascii="Arial" w:hAnsi="Arial" w:cs="Arial"/>
                <w:sz w:val="22"/>
                <w:lang w:val="en-NZ"/>
              </w:rPr>
              <w:t xml:space="preserve">substances that are considered </w:t>
            </w:r>
            <w:r w:rsidRPr="00750626">
              <w:rPr>
                <w:rFonts w:ascii="Arial" w:hAnsi="Arial" w:cs="Arial"/>
                <w:sz w:val="22"/>
                <w:lang w:val="en-NZ"/>
              </w:rPr>
              <w:t xml:space="preserve">to be </w:t>
            </w:r>
            <w:r w:rsidR="00242A5F" w:rsidRPr="00750626">
              <w:rPr>
                <w:rFonts w:ascii="Arial" w:hAnsi="Arial" w:cs="Arial"/>
                <w:sz w:val="22"/>
                <w:lang w:val="en-NZ"/>
              </w:rPr>
              <w:t>a</w:t>
            </w:r>
            <w:r w:rsidR="0067406F" w:rsidRPr="00750626">
              <w:rPr>
                <w:rFonts w:ascii="Arial" w:hAnsi="Arial" w:cs="Arial"/>
                <w:sz w:val="22"/>
                <w:lang w:val="en-NZ"/>
              </w:rPr>
              <w:t xml:space="preserve">nalogues </w:t>
            </w:r>
            <w:r w:rsidR="00242A5F" w:rsidRPr="00750626">
              <w:rPr>
                <w:rFonts w:ascii="Arial" w:hAnsi="Arial" w:cs="Arial"/>
                <w:sz w:val="22"/>
                <w:lang w:val="en-NZ"/>
              </w:rPr>
              <w:t xml:space="preserve">of 5F-ADB and AMB-FUBINACA </w:t>
            </w:r>
            <w:r w:rsidRPr="00750626">
              <w:rPr>
                <w:rFonts w:ascii="Arial" w:hAnsi="Arial" w:cs="Arial"/>
                <w:sz w:val="22"/>
                <w:lang w:val="en-NZ"/>
              </w:rPr>
              <w:t xml:space="preserve">will </w:t>
            </w:r>
            <w:r w:rsidR="00242A5F" w:rsidRPr="00750626">
              <w:rPr>
                <w:rFonts w:ascii="Arial" w:hAnsi="Arial" w:cs="Arial"/>
                <w:sz w:val="22"/>
                <w:lang w:val="en-NZ"/>
              </w:rPr>
              <w:t xml:space="preserve">be captured </w:t>
            </w:r>
            <w:r w:rsidR="0067406F" w:rsidRPr="00750626">
              <w:rPr>
                <w:rFonts w:ascii="Arial" w:hAnsi="Arial" w:cs="Arial"/>
                <w:sz w:val="22"/>
                <w:lang w:val="en-NZ"/>
              </w:rPr>
              <w:t>as C</w:t>
            </w:r>
            <w:r w:rsidR="00242A5F" w:rsidRPr="00750626">
              <w:rPr>
                <w:rFonts w:ascii="Arial" w:hAnsi="Arial" w:cs="Arial"/>
                <w:sz w:val="22"/>
                <w:lang w:val="en-NZ"/>
              </w:rPr>
              <w:t>lass C</w:t>
            </w:r>
            <w:r w:rsidR="0067406F" w:rsidRPr="00750626">
              <w:rPr>
                <w:rFonts w:ascii="Arial" w:hAnsi="Arial" w:cs="Arial"/>
                <w:sz w:val="22"/>
                <w:lang w:val="en-NZ"/>
              </w:rPr>
              <w:t xml:space="preserve"> </w:t>
            </w:r>
            <w:r w:rsidR="00242A5F" w:rsidRPr="00750626">
              <w:rPr>
                <w:rFonts w:ascii="Arial" w:hAnsi="Arial" w:cs="Arial"/>
                <w:sz w:val="22"/>
                <w:lang w:val="en-NZ"/>
              </w:rPr>
              <w:t>controlled drugs</w:t>
            </w:r>
          </w:p>
          <w:p w14:paraId="0EA22E36" w14:textId="77777777" w:rsidR="00242A5F" w:rsidRPr="00750626" w:rsidRDefault="00242A5F" w:rsidP="00242A5F">
            <w:pPr>
              <w:pStyle w:val="ListParagraph"/>
              <w:numPr>
                <w:ilvl w:val="0"/>
                <w:numId w:val="14"/>
              </w:numPr>
              <w:rPr>
                <w:rFonts w:ascii="Arial" w:hAnsi="Arial" w:cs="Arial"/>
                <w:sz w:val="28"/>
                <w:lang w:val="en-NZ"/>
              </w:rPr>
            </w:pPr>
            <w:r w:rsidRPr="00750626">
              <w:rPr>
                <w:rFonts w:ascii="Arial" w:hAnsi="Arial" w:cs="Arial"/>
                <w:sz w:val="22"/>
                <w:lang w:val="en-NZ"/>
              </w:rPr>
              <w:t xml:space="preserve">status quo for </w:t>
            </w:r>
            <w:r w:rsidR="0067406F" w:rsidRPr="00750626">
              <w:rPr>
                <w:rFonts w:ascii="Arial" w:hAnsi="Arial" w:cs="Arial"/>
                <w:sz w:val="22"/>
                <w:lang w:val="en-NZ"/>
              </w:rPr>
              <w:t>th</w:t>
            </w:r>
            <w:r w:rsidRPr="00750626">
              <w:rPr>
                <w:rFonts w:ascii="Arial" w:hAnsi="Arial" w:cs="Arial"/>
                <w:sz w:val="22"/>
                <w:lang w:val="en-NZ"/>
              </w:rPr>
              <w:t>e rest of the synthetic cannabinoids that are neither of the abovementioned substances and proven to have a psychoactive effect</w:t>
            </w:r>
          </w:p>
          <w:p w14:paraId="234D5003" w14:textId="76ACCEDF" w:rsidR="00FA620F" w:rsidRPr="00750626" w:rsidRDefault="00FA620F" w:rsidP="00242A5F">
            <w:pPr>
              <w:pStyle w:val="ListParagraph"/>
              <w:numPr>
                <w:ilvl w:val="0"/>
                <w:numId w:val="14"/>
              </w:numPr>
              <w:rPr>
                <w:rFonts w:ascii="Arial" w:hAnsi="Arial" w:cs="Arial"/>
                <w:sz w:val="28"/>
                <w:lang w:val="en-NZ"/>
              </w:rPr>
            </w:pPr>
            <w:proofErr w:type="gramStart"/>
            <w:r w:rsidRPr="00750626">
              <w:rPr>
                <w:rFonts w:ascii="Arial" w:hAnsi="Arial" w:cs="Arial"/>
                <w:sz w:val="22"/>
                <w:lang w:val="en-NZ"/>
              </w:rPr>
              <w:t>seek</w:t>
            </w:r>
            <w:proofErr w:type="gramEnd"/>
            <w:r w:rsidRPr="00750626">
              <w:rPr>
                <w:rFonts w:ascii="Arial" w:hAnsi="Arial" w:cs="Arial"/>
                <w:sz w:val="22"/>
                <w:lang w:val="en-NZ"/>
              </w:rPr>
              <w:t xml:space="preserve"> more information about harm associated with the rest of the synthetic cannabinoids for future review.</w:t>
            </w:r>
          </w:p>
          <w:p w14:paraId="08C67D9F" w14:textId="7CA9809A" w:rsidR="00FA620F" w:rsidRPr="00750626" w:rsidRDefault="0067406F" w:rsidP="00FA620F">
            <w:pPr>
              <w:rPr>
                <w:rFonts w:ascii="Arial" w:hAnsi="Arial" w:cs="Arial"/>
                <w:sz w:val="28"/>
              </w:rPr>
            </w:pPr>
            <w:r w:rsidRPr="00750626">
              <w:rPr>
                <w:rFonts w:ascii="Arial" w:hAnsi="Arial" w:cs="Arial"/>
                <w:sz w:val="22"/>
              </w:rPr>
              <w:t xml:space="preserve">The motion was seconded by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w:t>
            </w:r>
            <w:r w:rsidR="00422D1D" w:rsidRPr="00750626">
              <w:rPr>
                <w:rFonts w:ascii="Arial" w:hAnsi="Arial" w:cs="Arial"/>
                <w:sz w:val="22"/>
              </w:rPr>
              <w:t>.</w:t>
            </w:r>
            <w:r w:rsidR="00A44E07" w:rsidRPr="00750626">
              <w:rPr>
                <w:rFonts w:ascii="Arial" w:hAnsi="Arial" w:cs="Arial"/>
                <w:sz w:val="22"/>
              </w:rPr>
              <w:t xml:space="preserve"> The Committee were all in favour.</w:t>
            </w:r>
          </w:p>
          <w:p w14:paraId="122A80FE" w14:textId="77777777" w:rsidR="00FA620F" w:rsidRDefault="00FA620F" w:rsidP="00FA620F">
            <w:pPr>
              <w:rPr>
                <w:rFonts w:ascii="Arial" w:hAnsi="Arial" w:cs="Arial"/>
                <w:sz w:val="28"/>
              </w:rPr>
            </w:pPr>
          </w:p>
          <w:p w14:paraId="184BFAA7" w14:textId="0A7538EC" w:rsidR="009A3C21" w:rsidRDefault="009A3C21" w:rsidP="00FA620F">
            <w:pPr>
              <w:rPr>
                <w:rFonts w:ascii="Arial" w:hAnsi="Arial" w:cs="Arial"/>
                <w:sz w:val="28"/>
              </w:rPr>
            </w:pPr>
            <w:r w:rsidRPr="00750626">
              <w:rPr>
                <w:rFonts w:ascii="Arial" w:hAnsi="Arial" w:cs="Arial"/>
                <w:b/>
                <w:sz w:val="22"/>
              </w:rPr>
              <w:t>Action</w:t>
            </w:r>
            <w:r w:rsidRPr="00750626">
              <w:rPr>
                <w:rFonts w:ascii="Arial" w:hAnsi="Arial" w:cs="Arial"/>
                <w:sz w:val="22"/>
              </w:rPr>
              <w:t xml:space="preserve">: Secretariat </w:t>
            </w:r>
            <w:r w:rsidR="00D26CAD">
              <w:rPr>
                <w:rFonts w:ascii="Arial" w:hAnsi="Arial" w:cs="Arial"/>
                <w:sz w:val="22"/>
              </w:rPr>
              <w:t xml:space="preserve">to </w:t>
            </w:r>
            <w:r>
              <w:rPr>
                <w:rFonts w:ascii="Arial" w:hAnsi="Arial" w:cs="Arial"/>
                <w:sz w:val="22"/>
              </w:rPr>
              <w:t>c</w:t>
            </w:r>
            <w:r w:rsidRPr="00750626">
              <w:rPr>
                <w:rFonts w:ascii="Arial" w:hAnsi="Arial" w:cs="Arial"/>
                <w:sz w:val="22"/>
                <w:szCs w:val="22"/>
              </w:rPr>
              <w:t xml:space="preserve">onsult with relevant stakeholders and begin the process to schedule </w:t>
            </w:r>
            <w:r>
              <w:rPr>
                <w:rFonts w:ascii="Arial" w:hAnsi="Arial" w:cs="Arial"/>
                <w:sz w:val="22"/>
                <w:szCs w:val="22"/>
              </w:rPr>
              <w:t>5F-ADB</w:t>
            </w:r>
            <w:r w:rsidRPr="00750626">
              <w:rPr>
                <w:rFonts w:ascii="Arial" w:hAnsi="Arial" w:cs="Arial"/>
                <w:sz w:val="22"/>
                <w:szCs w:val="22"/>
              </w:rPr>
              <w:t xml:space="preserve"> and </w:t>
            </w:r>
            <w:r>
              <w:rPr>
                <w:rFonts w:ascii="Arial" w:hAnsi="Arial" w:cs="Arial"/>
                <w:sz w:val="22"/>
                <w:szCs w:val="22"/>
              </w:rPr>
              <w:t>AMB-FUBINACA</w:t>
            </w:r>
            <w:r w:rsidRPr="00750626">
              <w:rPr>
                <w:rFonts w:ascii="Arial" w:hAnsi="Arial" w:cs="Arial"/>
                <w:sz w:val="22"/>
                <w:szCs w:val="22"/>
              </w:rPr>
              <w:t xml:space="preserve"> as Class </w:t>
            </w:r>
            <w:r>
              <w:rPr>
                <w:rFonts w:ascii="Arial" w:hAnsi="Arial" w:cs="Arial"/>
                <w:sz w:val="22"/>
                <w:szCs w:val="22"/>
              </w:rPr>
              <w:t>A</w:t>
            </w:r>
            <w:r w:rsidRPr="00750626">
              <w:rPr>
                <w:rFonts w:ascii="Arial" w:hAnsi="Arial" w:cs="Arial"/>
                <w:sz w:val="22"/>
                <w:szCs w:val="22"/>
              </w:rPr>
              <w:t xml:space="preserve"> controlled drugs under </w:t>
            </w:r>
            <w:proofErr w:type="spellStart"/>
            <w:r w:rsidRPr="00750626">
              <w:rPr>
                <w:rFonts w:ascii="Arial" w:hAnsi="Arial" w:cs="Arial"/>
                <w:sz w:val="22"/>
                <w:szCs w:val="22"/>
              </w:rPr>
              <w:t>MoDA</w:t>
            </w:r>
            <w:proofErr w:type="spellEnd"/>
            <w:r w:rsidRPr="00750626">
              <w:rPr>
                <w:rFonts w:ascii="Arial" w:hAnsi="Arial" w:cs="Arial"/>
                <w:sz w:val="22"/>
                <w:szCs w:val="22"/>
              </w:rPr>
              <w:t>.</w:t>
            </w:r>
          </w:p>
          <w:p w14:paraId="6E5043F5" w14:textId="77777777" w:rsidR="009A3C21" w:rsidRPr="00750626" w:rsidRDefault="009A3C21" w:rsidP="00FA620F">
            <w:pPr>
              <w:rPr>
                <w:rFonts w:ascii="Arial" w:hAnsi="Arial" w:cs="Arial"/>
                <w:sz w:val="28"/>
              </w:rPr>
            </w:pPr>
          </w:p>
          <w:p w14:paraId="7B077A68" w14:textId="5A6ECC1D" w:rsidR="00C87F9E" w:rsidRPr="00750626" w:rsidRDefault="00FA620F" w:rsidP="00C87F9E">
            <w:pPr>
              <w:rPr>
                <w:rFonts w:ascii="Arial" w:hAnsi="Arial" w:cs="Arial"/>
                <w:sz w:val="28"/>
              </w:rPr>
            </w:pPr>
            <w:r w:rsidRPr="00750626">
              <w:rPr>
                <w:rFonts w:ascii="Arial" w:hAnsi="Arial" w:cs="Arial"/>
                <w:b/>
                <w:sz w:val="22"/>
              </w:rPr>
              <w:t>Action</w:t>
            </w:r>
            <w:r w:rsidRPr="00750626">
              <w:rPr>
                <w:rFonts w:ascii="Arial" w:hAnsi="Arial" w:cs="Arial"/>
                <w:sz w:val="22"/>
              </w:rPr>
              <w:t xml:space="preserve">: Secretariat to seek more information about harm associated with the </w:t>
            </w:r>
            <w:r w:rsidR="00C87F9E" w:rsidRPr="00750626">
              <w:rPr>
                <w:rFonts w:ascii="Arial" w:hAnsi="Arial" w:cs="Arial"/>
                <w:sz w:val="22"/>
              </w:rPr>
              <w:t xml:space="preserve">following </w:t>
            </w:r>
            <w:r w:rsidRPr="00750626">
              <w:rPr>
                <w:rFonts w:ascii="Arial" w:hAnsi="Arial" w:cs="Arial"/>
                <w:sz w:val="22"/>
              </w:rPr>
              <w:t>synthetic cannabinoids for future review.</w:t>
            </w:r>
          </w:p>
          <w:p w14:paraId="2E2281C0" w14:textId="77777777" w:rsidR="008C6BE3" w:rsidRPr="008C6BE3" w:rsidRDefault="00C87F9E" w:rsidP="00C87F9E">
            <w:pPr>
              <w:pStyle w:val="ListParagraph"/>
              <w:numPr>
                <w:ilvl w:val="0"/>
                <w:numId w:val="16"/>
              </w:numPr>
              <w:rPr>
                <w:rFonts w:ascii="Arial" w:hAnsi="Arial" w:cs="Arial"/>
                <w:sz w:val="22"/>
              </w:rPr>
            </w:pPr>
            <w:r w:rsidRPr="008C6BE3">
              <w:rPr>
                <w:rFonts w:ascii="Arial" w:hAnsi="Arial" w:cs="Arial"/>
                <w:sz w:val="22"/>
              </w:rPr>
              <w:t>UR-144</w:t>
            </w:r>
          </w:p>
          <w:p w14:paraId="1D5C607F"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5F-PB-22</w:t>
            </w:r>
          </w:p>
          <w:p w14:paraId="7C82387A"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MDMB-CHMICA</w:t>
            </w:r>
          </w:p>
          <w:p w14:paraId="6A542FAF"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5F-AKB-48</w:t>
            </w:r>
          </w:p>
          <w:p w14:paraId="31CAF99A"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XLR-11</w:t>
            </w:r>
          </w:p>
          <w:p w14:paraId="5F8E6136"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JWH-018</w:t>
            </w:r>
          </w:p>
          <w:p w14:paraId="0FC73A2D" w14:textId="77777777" w:rsidR="008C6BE3" w:rsidRPr="008C6BE3" w:rsidRDefault="00C87F9E" w:rsidP="00C87F9E">
            <w:pPr>
              <w:pStyle w:val="ListParagraph"/>
              <w:numPr>
                <w:ilvl w:val="0"/>
                <w:numId w:val="16"/>
              </w:numPr>
              <w:rPr>
                <w:rFonts w:ascii="Arial" w:hAnsi="Arial" w:cs="Arial"/>
                <w:sz w:val="28"/>
              </w:rPr>
            </w:pPr>
            <w:r w:rsidRPr="008C6BE3">
              <w:rPr>
                <w:rFonts w:ascii="Arial" w:hAnsi="Arial" w:cs="Arial"/>
                <w:sz w:val="22"/>
              </w:rPr>
              <w:t>AM-2201</w:t>
            </w:r>
          </w:p>
          <w:p w14:paraId="5D47CC45" w14:textId="690F7F7A" w:rsidR="00C87F9E" w:rsidRPr="008C6BE3" w:rsidRDefault="00C87F9E" w:rsidP="00C87F9E">
            <w:pPr>
              <w:pStyle w:val="ListParagraph"/>
              <w:numPr>
                <w:ilvl w:val="0"/>
                <w:numId w:val="16"/>
              </w:numPr>
              <w:rPr>
                <w:rFonts w:ascii="Arial" w:hAnsi="Arial" w:cs="Arial"/>
                <w:sz w:val="28"/>
              </w:rPr>
            </w:pPr>
            <w:r w:rsidRPr="008C6BE3">
              <w:rPr>
                <w:rFonts w:ascii="Arial" w:hAnsi="Arial" w:cs="Arial"/>
                <w:sz w:val="22"/>
              </w:rPr>
              <w:t>AB-FUBINACA.</w:t>
            </w:r>
          </w:p>
          <w:p w14:paraId="63BEE523" w14:textId="77777777" w:rsidR="00BA1033" w:rsidRPr="00750626" w:rsidRDefault="00BA1033" w:rsidP="007551F6">
            <w:pPr>
              <w:rPr>
                <w:rFonts w:ascii="Arial" w:hAnsi="Arial" w:cs="Arial"/>
                <w:sz w:val="28"/>
              </w:rPr>
            </w:pPr>
          </w:p>
          <w:p w14:paraId="26D23C6A" w14:textId="3E5A6DB0" w:rsidR="006706DF" w:rsidRPr="00750626" w:rsidRDefault="006706DF" w:rsidP="006706DF">
            <w:pPr>
              <w:tabs>
                <w:tab w:val="right" w:leader="underscore" w:pos="5670"/>
                <w:tab w:val="left" w:pos="6237"/>
              </w:tabs>
              <w:rPr>
                <w:rFonts w:ascii="Arial" w:hAnsi="Arial" w:cs="Arial"/>
                <w:b/>
                <w:sz w:val="28"/>
              </w:rPr>
            </w:pPr>
            <w:r w:rsidRPr="00750626">
              <w:rPr>
                <w:rFonts w:ascii="Arial" w:hAnsi="Arial" w:cs="Arial"/>
                <w:b/>
                <w:sz w:val="22"/>
              </w:rPr>
              <w:t>Recommendation for a presumption of supply</w:t>
            </w:r>
            <w:r w:rsidR="00265D55" w:rsidRPr="00750626">
              <w:rPr>
                <w:rFonts w:ascii="Arial" w:hAnsi="Arial" w:cs="Arial"/>
                <w:b/>
                <w:sz w:val="22"/>
              </w:rPr>
              <w:t xml:space="preserve"> of 5F-ADB and AMB-FUBINACA</w:t>
            </w:r>
          </w:p>
          <w:p w14:paraId="6A64801A" w14:textId="77777777" w:rsidR="006706DF" w:rsidRPr="00750626" w:rsidRDefault="006706DF" w:rsidP="006706DF">
            <w:pPr>
              <w:tabs>
                <w:tab w:val="right" w:leader="underscore" w:pos="5670"/>
                <w:tab w:val="left" w:pos="6237"/>
              </w:tabs>
              <w:rPr>
                <w:rFonts w:ascii="Arial" w:hAnsi="Arial" w:cs="Arial"/>
                <w:b/>
                <w:sz w:val="28"/>
              </w:rPr>
            </w:pPr>
          </w:p>
          <w:p w14:paraId="2C935E3B" w14:textId="6C96D1C4" w:rsidR="006706DF" w:rsidRPr="00750626" w:rsidRDefault="006706DF" w:rsidP="006706DF">
            <w:pPr>
              <w:tabs>
                <w:tab w:val="right" w:leader="underscore" w:pos="5670"/>
                <w:tab w:val="left" w:pos="6237"/>
              </w:tabs>
              <w:rPr>
                <w:rFonts w:ascii="Arial" w:hAnsi="Arial" w:cs="Arial"/>
                <w:sz w:val="28"/>
              </w:rPr>
            </w:pPr>
            <w:r w:rsidRPr="00750626">
              <w:rPr>
                <w:rFonts w:ascii="Arial" w:hAnsi="Arial" w:cs="Arial"/>
                <w:b/>
                <w:sz w:val="22"/>
              </w:rPr>
              <w:t>Motion</w:t>
            </w:r>
            <w:r w:rsidRPr="00750626">
              <w:rPr>
                <w:rFonts w:ascii="Arial" w:hAnsi="Arial" w:cs="Arial"/>
                <w:sz w:val="22"/>
              </w:rPr>
              <w:t xml:space="preserve">: </w:t>
            </w:r>
            <w:r w:rsidR="00894472" w:rsidRPr="00894472">
              <w:rPr>
                <w:rFonts w:ascii="Arial" w:hAnsi="Arial" w:cs="Arial"/>
                <w:sz w:val="22"/>
                <w:lang w:val="en-GB"/>
              </w:rPr>
              <w:t>[redacted under section 9(2)(</w:t>
            </w:r>
            <w:proofErr w:type="spellStart"/>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Pr="00750626">
              <w:rPr>
                <w:rFonts w:ascii="Arial" w:hAnsi="Arial" w:cs="Arial"/>
                <w:sz w:val="22"/>
              </w:rPr>
              <w:t xml:space="preserve">proposed to defer consideration and </w:t>
            </w:r>
            <w:r w:rsidR="00A96137" w:rsidRPr="00750626">
              <w:rPr>
                <w:rFonts w:ascii="Arial" w:hAnsi="Arial" w:cs="Arial"/>
                <w:sz w:val="22"/>
              </w:rPr>
              <w:t>seek further information from NDIB to make decisions on</w:t>
            </w:r>
            <w:r w:rsidRPr="00750626">
              <w:rPr>
                <w:rFonts w:ascii="Arial" w:hAnsi="Arial" w:cs="Arial"/>
                <w:sz w:val="22"/>
              </w:rPr>
              <w:t xml:space="preserve"> presumption of supply for </w:t>
            </w:r>
            <w:r w:rsidR="00A96137" w:rsidRPr="00750626">
              <w:rPr>
                <w:rFonts w:ascii="Arial" w:hAnsi="Arial" w:cs="Arial"/>
                <w:sz w:val="22"/>
              </w:rPr>
              <w:t>both 5F-ADB and AMB-FUBINACA</w:t>
            </w:r>
            <w:r w:rsidRPr="00750626">
              <w:rPr>
                <w:rFonts w:ascii="Arial" w:hAnsi="Arial" w:cs="Arial"/>
                <w:sz w:val="22"/>
              </w:rPr>
              <w:t xml:space="preserve"> due to lack of information available at the meeting. The motion was seconded by </w:t>
            </w:r>
            <w:r w:rsidR="00F147A1" w:rsidRPr="00894472">
              <w:rPr>
                <w:rFonts w:ascii="Arial" w:hAnsi="Arial" w:cs="Arial"/>
                <w:sz w:val="22"/>
                <w:lang w:val="en-GB"/>
              </w:rPr>
              <w:t>[redacted under section 9(2</w:t>
            </w:r>
            <w:proofErr w:type="gramStart"/>
            <w:r w:rsidR="00F147A1" w:rsidRPr="00894472">
              <w:rPr>
                <w:rFonts w:ascii="Arial" w:hAnsi="Arial" w:cs="Arial"/>
                <w:sz w:val="22"/>
                <w:lang w:val="en-GB"/>
              </w:rPr>
              <w:t>)(</w:t>
            </w:r>
            <w:proofErr w:type="spellStart"/>
            <w:proofErr w:type="gramEnd"/>
            <w:r w:rsidR="00F147A1" w:rsidRPr="00894472">
              <w:rPr>
                <w:rFonts w:ascii="Arial" w:hAnsi="Arial" w:cs="Arial"/>
                <w:sz w:val="22"/>
                <w:lang w:val="en-GB"/>
              </w:rPr>
              <w:t>ba</w:t>
            </w:r>
            <w:proofErr w:type="spellEnd"/>
            <w:r w:rsidR="00F147A1" w:rsidRPr="00894472">
              <w:rPr>
                <w:rFonts w:ascii="Arial" w:hAnsi="Arial" w:cs="Arial"/>
                <w:sz w:val="22"/>
                <w:lang w:val="en-GB"/>
              </w:rPr>
              <w:t>)]</w:t>
            </w:r>
            <w:r w:rsidRPr="00750626">
              <w:rPr>
                <w:rFonts w:ascii="Arial" w:hAnsi="Arial" w:cs="Arial"/>
                <w:sz w:val="22"/>
              </w:rPr>
              <w:t>.</w:t>
            </w:r>
          </w:p>
          <w:p w14:paraId="7D775E72" w14:textId="77777777" w:rsidR="006706DF" w:rsidRPr="00750626" w:rsidRDefault="006706DF" w:rsidP="006706DF">
            <w:pPr>
              <w:tabs>
                <w:tab w:val="right" w:leader="underscore" w:pos="5670"/>
                <w:tab w:val="left" w:pos="6237"/>
              </w:tabs>
              <w:rPr>
                <w:rFonts w:ascii="Arial" w:hAnsi="Arial" w:cs="Arial"/>
                <w:sz w:val="28"/>
              </w:rPr>
            </w:pPr>
          </w:p>
          <w:p w14:paraId="676F4009" w14:textId="77777777" w:rsidR="006706DF" w:rsidRPr="00750626" w:rsidRDefault="006706DF" w:rsidP="006706DF">
            <w:pPr>
              <w:tabs>
                <w:tab w:val="right" w:leader="underscore" w:pos="5670"/>
                <w:tab w:val="left" w:pos="6237"/>
              </w:tabs>
              <w:rPr>
                <w:rFonts w:ascii="Arial" w:hAnsi="Arial" w:cs="Arial"/>
                <w:sz w:val="28"/>
              </w:rPr>
            </w:pPr>
            <w:r w:rsidRPr="00750626">
              <w:rPr>
                <w:rFonts w:ascii="Arial" w:hAnsi="Arial" w:cs="Arial"/>
                <w:b/>
                <w:sz w:val="22"/>
              </w:rPr>
              <w:t>Action</w:t>
            </w:r>
            <w:r w:rsidRPr="00750626">
              <w:rPr>
                <w:rFonts w:ascii="Arial" w:hAnsi="Arial" w:cs="Arial"/>
                <w:sz w:val="22"/>
              </w:rPr>
              <w:t>: Secretariat to ask NDIB to provide information on the following:</w:t>
            </w:r>
          </w:p>
          <w:p w14:paraId="26502939" w14:textId="77777777" w:rsidR="006706DF" w:rsidRPr="00750626" w:rsidRDefault="006706DF" w:rsidP="006706DF">
            <w:pPr>
              <w:tabs>
                <w:tab w:val="right" w:leader="underscore" w:pos="5670"/>
                <w:tab w:val="left" w:pos="6237"/>
              </w:tabs>
              <w:rPr>
                <w:rFonts w:ascii="Arial" w:hAnsi="Arial" w:cs="Arial"/>
                <w:sz w:val="28"/>
              </w:rPr>
            </w:pPr>
            <w:r w:rsidRPr="00750626">
              <w:rPr>
                <w:rFonts w:ascii="Arial" w:hAnsi="Arial" w:cs="Arial"/>
                <w:sz w:val="22"/>
              </w:rPr>
              <w:t>- forms that the analogues are supplied in</w:t>
            </w:r>
          </w:p>
          <w:p w14:paraId="6C4A256E" w14:textId="41F785AE" w:rsidR="006706DF" w:rsidRPr="00750626" w:rsidRDefault="006706DF" w:rsidP="006706DF">
            <w:pPr>
              <w:tabs>
                <w:tab w:val="right" w:leader="underscore" w:pos="5670"/>
                <w:tab w:val="left" w:pos="6237"/>
              </w:tabs>
              <w:rPr>
                <w:rFonts w:ascii="Arial" w:hAnsi="Arial" w:cs="Arial"/>
                <w:sz w:val="28"/>
              </w:rPr>
            </w:pPr>
            <w:r w:rsidRPr="00750626">
              <w:rPr>
                <w:rFonts w:ascii="Arial" w:hAnsi="Arial" w:cs="Arial"/>
                <w:sz w:val="22"/>
              </w:rPr>
              <w:t xml:space="preserve">- </w:t>
            </w:r>
            <w:r w:rsidR="00B442FB" w:rsidRPr="00750626">
              <w:rPr>
                <w:rFonts w:ascii="Arial" w:hAnsi="Arial" w:cs="Arial"/>
                <w:sz w:val="22"/>
              </w:rPr>
              <w:t>amounts typically sold on the street</w:t>
            </w:r>
          </w:p>
          <w:p w14:paraId="738ACFDD" w14:textId="23C74A23" w:rsidR="006706DF" w:rsidRPr="00750626" w:rsidRDefault="006706DF" w:rsidP="006706DF">
            <w:pPr>
              <w:tabs>
                <w:tab w:val="right" w:leader="underscore" w:pos="5670"/>
                <w:tab w:val="left" w:pos="6237"/>
              </w:tabs>
              <w:rPr>
                <w:rFonts w:ascii="Arial" w:hAnsi="Arial" w:cs="Arial"/>
                <w:sz w:val="28"/>
              </w:rPr>
            </w:pPr>
            <w:r w:rsidRPr="00750626">
              <w:rPr>
                <w:rFonts w:ascii="Arial" w:hAnsi="Arial" w:cs="Arial"/>
                <w:sz w:val="22"/>
              </w:rPr>
              <w:t xml:space="preserve">- </w:t>
            </w:r>
            <w:r w:rsidR="003D2C21" w:rsidRPr="00750626">
              <w:rPr>
                <w:rFonts w:ascii="Arial" w:hAnsi="Arial" w:cs="Arial"/>
                <w:sz w:val="22"/>
              </w:rPr>
              <w:t xml:space="preserve">amount for presumption of supply in </w:t>
            </w:r>
            <w:r w:rsidRPr="00750626">
              <w:rPr>
                <w:rFonts w:ascii="Arial" w:hAnsi="Arial" w:cs="Arial"/>
                <w:sz w:val="22"/>
              </w:rPr>
              <w:t>other countries</w:t>
            </w:r>
          </w:p>
          <w:p w14:paraId="2F55487F" w14:textId="77777777" w:rsidR="006706DF" w:rsidRPr="00750626" w:rsidRDefault="006706DF" w:rsidP="006706DF">
            <w:pPr>
              <w:tabs>
                <w:tab w:val="right" w:leader="underscore" w:pos="5670"/>
                <w:tab w:val="left" w:pos="6237"/>
              </w:tabs>
              <w:rPr>
                <w:rFonts w:ascii="Arial" w:hAnsi="Arial" w:cs="Arial"/>
                <w:sz w:val="22"/>
              </w:rPr>
            </w:pPr>
            <w:r w:rsidRPr="00750626">
              <w:rPr>
                <w:rFonts w:ascii="Arial" w:hAnsi="Arial" w:cs="Arial"/>
                <w:sz w:val="22"/>
              </w:rPr>
              <w:t xml:space="preserve">- </w:t>
            </w:r>
            <w:proofErr w:type="gramStart"/>
            <w:r w:rsidRPr="00750626">
              <w:rPr>
                <w:rFonts w:ascii="Arial" w:hAnsi="Arial" w:cs="Arial"/>
                <w:sz w:val="22"/>
              </w:rPr>
              <w:t>a</w:t>
            </w:r>
            <w:proofErr w:type="gramEnd"/>
            <w:r w:rsidRPr="00750626">
              <w:rPr>
                <w:rFonts w:ascii="Arial" w:hAnsi="Arial" w:cs="Arial"/>
                <w:sz w:val="22"/>
              </w:rPr>
              <w:t xml:space="preserve"> useable dose.</w:t>
            </w:r>
          </w:p>
          <w:p w14:paraId="3505174B" w14:textId="77777777" w:rsidR="004B0947" w:rsidRPr="00750626" w:rsidRDefault="004B0947" w:rsidP="006706DF">
            <w:pPr>
              <w:tabs>
                <w:tab w:val="right" w:leader="underscore" w:pos="5670"/>
                <w:tab w:val="left" w:pos="6237"/>
              </w:tabs>
              <w:rPr>
                <w:rFonts w:ascii="Arial" w:hAnsi="Arial" w:cs="Arial"/>
                <w:sz w:val="22"/>
              </w:rPr>
            </w:pPr>
          </w:p>
          <w:p w14:paraId="1F5B753C" w14:textId="12F0CD09" w:rsidR="004B0947" w:rsidRPr="00750626" w:rsidRDefault="004B0947" w:rsidP="006706DF">
            <w:pPr>
              <w:tabs>
                <w:tab w:val="right" w:leader="underscore" w:pos="5670"/>
                <w:tab w:val="left" w:pos="6237"/>
              </w:tabs>
              <w:rPr>
                <w:rFonts w:ascii="Arial" w:hAnsi="Arial" w:cs="Arial"/>
                <w:sz w:val="28"/>
              </w:rPr>
            </w:pPr>
            <w:r w:rsidRPr="00750626">
              <w:rPr>
                <w:rFonts w:ascii="Arial" w:hAnsi="Arial" w:cs="Arial"/>
                <w:b/>
                <w:sz w:val="22"/>
              </w:rPr>
              <w:t>Action</w:t>
            </w:r>
            <w:r w:rsidRPr="00750626">
              <w:rPr>
                <w:rFonts w:ascii="Arial" w:hAnsi="Arial" w:cs="Arial"/>
                <w:sz w:val="22"/>
              </w:rPr>
              <w:t>: Secretariat to provide the Committee with information provided by NDIB and a recommendation for how a presumption of supply limit could be worded.</w:t>
            </w:r>
          </w:p>
          <w:p w14:paraId="290A51D2" w14:textId="74707455" w:rsidR="007551F6" w:rsidRPr="00750626" w:rsidRDefault="007551F6" w:rsidP="00A44E07">
            <w:pPr>
              <w:rPr>
                <w:rFonts w:ascii="Arial" w:hAnsi="Arial" w:cs="Arial"/>
                <w:sz w:val="28"/>
              </w:rPr>
            </w:pPr>
          </w:p>
        </w:tc>
      </w:tr>
      <w:tr w:rsidR="007551F6" w:rsidRPr="00750626" w14:paraId="4FD25F21" w14:textId="77777777" w:rsidTr="00C73693">
        <w:tc>
          <w:tcPr>
            <w:tcW w:w="880" w:type="dxa"/>
          </w:tcPr>
          <w:p w14:paraId="0357B03B" w14:textId="09C92C8A" w:rsidR="007551F6" w:rsidRPr="00750626" w:rsidRDefault="007551F6" w:rsidP="007551F6">
            <w:pPr>
              <w:tabs>
                <w:tab w:val="right" w:leader="underscore" w:pos="5670"/>
                <w:tab w:val="left" w:pos="6237"/>
              </w:tabs>
              <w:rPr>
                <w:rFonts w:ascii="Arial" w:hAnsi="Arial" w:cs="Arial"/>
                <w:sz w:val="28"/>
              </w:rPr>
            </w:pPr>
            <w:r w:rsidRPr="00750626">
              <w:rPr>
                <w:rFonts w:ascii="Arial" w:hAnsi="Arial" w:cs="Arial"/>
                <w:sz w:val="22"/>
              </w:rPr>
              <w:lastRenderedPageBreak/>
              <w:t>11</w:t>
            </w:r>
          </w:p>
        </w:tc>
        <w:tc>
          <w:tcPr>
            <w:tcW w:w="8925" w:type="dxa"/>
          </w:tcPr>
          <w:p w14:paraId="04917E31" w14:textId="3BFFC226" w:rsidR="005D0B63" w:rsidRPr="00750626" w:rsidRDefault="007551F6" w:rsidP="007551F6">
            <w:pPr>
              <w:rPr>
                <w:rFonts w:ascii="Arial" w:hAnsi="Arial" w:cs="Arial"/>
                <w:b/>
                <w:sz w:val="28"/>
              </w:rPr>
            </w:pPr>
            <w:proofErr w:type="spellStart"/>
            <w:r w:rsidRPr="00750626">
              <w:rPr>
                <w:rFonts w:ascii="Arial" w:hAnsi="Arial" w:cs="Arial"/>
                <w:b/>
                <w:sz w:val="22"/>
              </w:rPr>
              <w:t>Ethylone</w:t>
            </w:r>
            <w:proofErr w:type="spellEnd"/>
            <w:r w:rsidRPr="00750626">
              <w:rPr>
                <w:rFonts w:ascii="Arial" w:hAnsi="Arial" w:cs="Arial"/>
                <w:b/>
                <w:sz w:val="22"/>
              </w:rPr>
              <w:t xml:space="preserve"> and N-ethyl </w:t>
            </w:r>
            <w:proofErr w:type="spellStart"/>
            <w:r w:rsidR="00555A0E" w:rsidRPr="00750626">
              <w:rPr>
                <w:rFonts w:ascii="Arial" w:hAnsi="Arial" w:cs="Arial"/>
                <w:b/>
                <w:sz w:val="22"/>
              </w:rPr>
              <w:t>pentylone</w:t>
            </w:r>
            <w:proofErr w:type="spellEnd"/>
          </w:p>
          <w:p w14:paraId="5E179B08" w14:textId="5DC80544" w:rsidR="00146195" w:rsidRDefault="00472B75" w:rsidP="007551F6">
            <w:pPr>
              <w:rPr>
                <w:rFonts w:ascii="Arial" w:hAnsi="Arial" w:cs="Arial"/>
                <w:sz w:val="22"/>
              </w:rPr>
            </w:pPr>
            <w:proofErr w:type="spellStart"/>
            <w:r w:rsidRPr="00750626">
              <w:rPr>
                <w:rFonts w:ascii="Arial" w:hAnsi="Arial" w:cs="Arial"/>
                <w:sz w:val="22"/>
              </w:rPr>
              <w:lastRenderedPageBreak/>
              <w:t>Ethylone</w:t>
            </w:r>
            <w:proofErr w:type="spellEnd"/>
            <w:r w:rsidRPr="00750626">
              <w:rPr>
                <w:rFonts w:ascii="Arial" w:hAnsi="Arial" w:cs="Arial"/>
                <w:sz w:val="22"/>
              </w:rPr>
              <w:t xml:space="preserve"> and N-ethyl </w:t>
            </w:r>
            <w:proofErr w:type="spellStart"/>
            <w:r w:rsidR="00555A0E" w:rsidRPr="00750626">
              <w:rPr>
                <w:rFonts w:ascii="Arial" w:hAnsi="Arial" w:cs="Arial"/>
                <w:sz w:val="22"/>
              </w:rPr>
              <w:t>pentylone</w:t>
            </w:r>
            <w:proofErr w:type="spellEnd"/>
            <w:r w:rsidR="00555A0E" w:rsidRPr="00750626">
              <w:rPr>
                <w:rFonts w:ascii="Arial" w:hAnsi="Arial" w:cs="Arial"/>
                <w:sz w:val="22"/>
              </w:rPr>
              <w:t xml:space="preserve"> </w:t>
            </w:r>
            <w:r w:rsidRPr="00750626">
              <w:rPr>
                <w:rFonts w:ascii="Arial" w:hAnsi="Arial" w:cs="Arial"/>
                <w:sz w:val="22"/>
              </w:rPr>
              <w:t xml:space="preserve">are synthetic </w:t>
            </w:r>
            <w:proofErr w:type="spellStart"/>
            <w:r w:rsidRPr="00750626">
              <w:rPr>
                <w:rFonts w:ascii="Arial" w:hAnsi="Arial" w:cs="Arial"/>
                <w:sz w:val="22"/>
              </w:rPr>
              <w:t>cathinones</w:t>
            </w:r>
            <w:proofErr w:type="spellEnd"/>
            <w:r w:rsidRPr="00750626">
              <w:rPr>
                <w:rFonts w:ascii="Arial" w:hAnsi="Arial" w:cs="Arial"/>
                <w:sz w:val="22"/>
              </w:rPr>
              <w:t xml:space="preserve"> that are capable of inducing psychoactive effects. Both substances are substantially similar to other controlled drugs such as amphetamine and cathinone which are a Class B1 and B2 controlled drugs respectively. </w:t>
            </w:r>
          </w:p>
          <w:p w14:paraId="7D614F52" w14:textId="77777777" w:rsidR="004A54FB" w:rsidRPr="00750626" w:rsidRDefault="004A54FB" w:rsidP="007551F6">
            <w:pPr>
              <w:rPr>
                <w:rFonts w:ascii="Arial" w:hAnsi="Arial" w:cs="Arial"/>
                <w:sz w:val="28"/>
              </w:rPr>
            </w:pPr>
          </w:p>
          <w:p w14:paraId="4AA36689" w14:textId="0BFB8B72" w:rsidR="00146195" w:rsidRPr="00750626" w:rsidRDefault="00146195" w:rsidP="007551F6">
            <w:pPr>
              <w:rPr>
                <w:rFonts w:ascii="Arial" w:hAnsi="Arial" w:cs="Arial"/>
                <w:sz w:val="28"/>
              </w:rPr>
            </w:pPr>
            <w:r w:rsidRPr="00750626">
              <w:rPr>
                <w:rFonts w:ascii="Arial" w:hAnsi="Arial" w:cs="Arial"/>
                <w:sz w:val="22"/>
              </w:rPr>
              <w:t>In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N-ethyl </w:t>
            </w:r>
            <w:proofErr w:type="spellStart"/>
            <w:r w:rsidR="00555A0E" w:rsidRPr="00750626">
              <w:rPr>
                <w:rFonts w:ascii="Arial" w:hAnsi="Arial" w:cs="Arial"/>
                <w:sz w:val="22"/>
              </w:rPr>
              <w:t>pentylone</w:t>
            </w:r>
            <w:proofErr w:type="spellEnd"/>
            <w:r w:rsidR="00555A0E" w:rsidRPr="00750626">
              <w:rPr>
                <w:rFonts w:ascii="Arial" w:hAnsi="Arial" w:cs="Arial"/>
                <w:sz w:val="22"/>
              </w:rPr>
              <w:t xml:space="preserve"> </w:t>
            </w:r>
            <w:r w:rsidRPr="00750626">
              <w:rPr>
                <w:rFonts w:ascii="Arial" w:hAnsi="Arial" w:cs="Arial"/>
                <w:sz w:val="22"/>
              </w:rPr>
              <w:t xml:space="preserve">was detected at every music festival attended by a volunteer drug testing organisation, </w:t>
            </w:r>
            <w:proofErr w:type="spellStart"/>
            <w:r w:rsidRPr="00750626">
              <w:rPr>
                <w:rFonts w:ascii="Arial" w:hAnsi="Arial" w:cs="Arial"/>
                <w:sz w:val="22"/>
              </w:rPr>
              <w:t>KnowYourStuff</w:t>
            </w:r>
            <w:proofErr w:type="spellEnd"/>
            <w:r w:rsidRPr="00750626">
              <w:rPr>
                <w:rFonts w:ascii="Arial" w:hAnsi="Arial" w:cs="Arial"/>
                <w:sz w:val="22"/>
              </w:rPr>
              <w:t xml:space="preserve"> in 2017 and in 2018. There are overseas reports of death associated with the use of these substances and there have been 13 deaths in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from use of party pills which were tested and found to contain N-ethyl </w:t>
            </w:r>
            <w:proofErr w:type="spellStart"/>
            <w:r w:rsidR="00555A0E" w:rsidRPr="00750626">
              <w:rPr>
                <w:rFonts w:ascii="Arial" w:hAnsi="Arial" w:cs="Arial"/>
                <w:sz w:val="22"/>
              </w:rPr>
              <w:t>pentylone</w:t>
            </w:r>
            <w:proofErr w:type="spellEnd"/>
            <w:r w:rsidRPr="00750626">
              <w:rPr>
                <w:rFonts w:ascii="Arial" w:hAnsi="Arial" w:cs="Arial"/>
                <w:sz w:val="22"/>
              </w:rPr>
              <w:t>.</w:t>
            </w:r>
          </w:p>
          <w:p w14:paraId="74B1E491" w14:textId="77777777" w:rsidR="00146195" w:rsidRPr="00750626" w:rsidRDefault="00146195" w:rsidP="00146195">
            <w:pPr>
              <w:rPr>
                <w:rFonts w:ascii="Arial" w:hAnsi="Arial" w:cs="Arial"/>
                <w:sz w:val="28"/>
              </w:rPr>
            </w:pPr>
          </w:p>
          <w:p w14:paraId="679A83A3" w14:textId="760684FC" w:rsidR="00146195" w:rsidRPr="00750626" w:rsidRDefault="00146195" w:rsidP="00146195">
            <w:pPr>
              <w:rPr>
                <w:rFonts w:ascii="Arial" w:hAnsi="Arial" w:cs="Arial"/>
                <w:sz w:val="28"/>
              </w:rPr>
            </w:pPr>
            <w:r w:rsidRPr="00750626">
              <w:rPr>
                <w:rFonts w:ascii="Arial" w:hAnsi="Arial" w:cs="Arial"/>
                <w:sz w:val="22"/>
              </w:rPr>
              <w:t>The Secretariat shared extra information about seizure data from the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Police and the </w:t>
            </w:r>
            <w:r w:rsidR="00555A0E" w:rsidRPr="00750626">
              <w:rPr>
                <w:rFonts w:ascii="Arial" w:hAnsi="Arial" w:cs="Arial"/>
                <w:sz w:val="22"/>
              </w:rPr>
              <w:t>N</w:t>
            </w:r>
            <w:r w:rsidR="004A54FB">
              <w:rPr>
                <w:rFonts w:ascii="Arial" w:hAnsi="Arial" w:cs="Arial"/>
                <w:sz w:val="22"/>
              </w:rPr>
              <w:t xml:space="preserve">ew </w:t>
            </w:r>
            <w:r w:rsidR="00555A0E" w:rsidRPr="00750626">
              <w:rPr>
                <w:rFonts w:ascii="Arial" w:hAnsi="Arial" w:cs="Arial"/>
                <w:sz w:val="22"/>
              </w:rPr>
              <w:t>Z</w:t>
            </w:r>
            <w:r w:rsidR="004A54FB">
              <w:rPr>
                <w:rFonts w:ascii="Arial" w:hAnsi="Arial" w:cs="Arial"/>
                <w:sz w:val="22"/>
              </w:rPr>
              <w:t>ealand</w:t>
            </w:r>
            <w:r w:rsidR="00555A0E" w:rsidRPr="00750626">
              <w:rPr>
                <w:rFonts w:ascii="Arial" w:hAnsi="Arial" w:cs="Arial"/>
                <w:sz w:val="22"/>
              </w:rPr>
              <w:t xml:space="preserve"> </w:t>
            </w:r>
            <w:r w:rsidRPr="00750626">
              <w:rPr>
                <w:rFonts w:ascii="Arial" w:hAnsi="Arial" w:cs="Arial"/>
                <w:sz w:val="22"/>
              </w:rPr>
              <w:t>Customs</w:t>
            </w:r>
            <w:r w:rsidR="00555A0E" w:rsidRPr="00750626">
              <w:rPr>
                <w:rFonts w:ascii="Arial" w:hAnsi="Arial" w:cs="Arial"/>
                <w:sz w:val="22"/>
              </w:rPr>
              <w:t xml:space="preserve"> Service</w:t>
            </w:r>
            <w:r w:rsidRPr="00750626">
              <w:rPr>
                <w:rFonts w:ascii="Arial" w:hAnsi="Arial" w:cs="Arial"/>
                <w:sz w:val="22"/>
              </w:rPr>
              <w:t xml:space="preserve">. </w:t>
            </w:r>
            <w:proofErr w:type="spellStart"/>
            <w:r w:rsidRPr="00750626">
              <w:rPr>
                <w:rFonts w:ascii="Arial" w:hAnsi="Arial" w:cs="Arial"/>
                <w:sz w:val="22"/>
              </w:rPr>
              <w:t>Ethylone</w:t>
            </w:r>
            <w:proofErr w:type="spellEnd"/>
            <w:r w:rsidRPr="00750626">
              <w:rPr>
                <w:rFonts w:ascii="Arial" w:hAnsi="Arial" w:cs="Arial"/>
                <w:sz w:val="22"/>
              </w:rPr>
              <w:t xml:space="preserve"> </w:t>
            </w:r>
            <w:r w:rsidR="00120A6F" w:rsidRPr="00750626">
              <w:rPr>
                <w:rFonts w:ascii="Arial" w:hAnsi="Arial" w:cs="Arial"/>
                <w:sz w:val="22"/>
              </w:rPr>
              <w:t xml:space="preserve">and N-ethyl </w:t>
            </w:r>
            <w:proofErr w:type="spellStart"/>
            <w:r w:rsidR="00555A0E" w:rsidRPr="00750626">
              <w:rPr>
                <w:rFonts w:ascii="Arial" w:hAnsi="Arial" w:cs="Arial"/>
                <w:sz w:val="22"/>
              </w:rPr>
              <w:t>pentylone</w:t>
            </w:r>
            <w:proofErr w:type="spellEnd"/>
            <w:r w:rsidR="00555A0E" w:rsidRPr="00750626">
              <w:rPr>
                <w:rFonts w:ascii="Arial" w:hAnsi="Arial" w:cs="Arial"/>
                <w:sz w:val="22"/>
              </w:rPr>
              <w:t xml:space="preserve"> </w:t>
            </w:r>
            <w:r w:rsidR="00120A6F" w:rsidRPr="00750626">
              <w:rPr>
                <w:rFonts w:ascii="Arial" w:hAnsi="Arial" w:cs="Arial"/>
                <w:sz w:val="22"/>
              </w:rPr>
              <w:t>are</w:t>
            </w:r>
            <w:r w:rsidRPr="00750626">
              <w:rPr>
                <w:rFonts w:ascii="Arial" w:hAnsi="Arial" w:cs="Arial"/>
                <w:sz w:val="22"/>
              </w:rPr>
              <w:t xml:space="preserve"> b</w:t>
            </w:r>
            <w:r w:rsidR="00120A6F" w:rsidRPr="00750626">
              <w:rPr>
                <w:rFonts w:ascii="Arial" w:hAnsi="Arial" w:cs="Arial"/>
                <w:sz w:val="22"/>
              </w:rPr>
              <w:t xml:space="preserve">eing sold as MDMA and used as </w:t>
            </w:r>
            <w:r w:rsidRPr="00750626">
              <w:rPr>
                <w:rFonts w:ascii="Arial" w:hAnsi="Arial" w:cs="Arial"/>
                <w:sz w:val="22"/>
              </w:rPr>
              <w:t>substitute</w:t>
            </w:r>
            <w:r w:rsidR="00120A6F" w:rsidRPr="00750626">
              <w:rPr>
                <w:rFonts w:ascii="Arial" w:hAnsi="Arial" w:cs="Arial"/>
                <w:sz w:val="22"/>
              </w:rPr>
              <w:t>s</w:t>
            </w:r>
            <w:r w:rsidRPr="00750626">
              <w:rPr>
                <w:rFonts w:ascii="Arial" w:hAnsi="Arial" w:cs="Arial"/>
                <w:sz w:val="22"/>
              </w:rPr>
              <w:t xml:space="preserve"> for Ecstasy.</w:t>
            </w:r>
            <w:r w:rsidR="00120A6F" w:rsidRPr="00750626">
              <w:rPr>
                <w:rFonts w:ascii="Arial" w:hAnsi="Arial" w:cs="Arial"/>
                <w:sz w:val="22"/>
              </w:rPr>
              <w:t xml:space="preserve"> The </w:t>
            </w:r>
            <w:r w:rsidR="00555A0E" w:rsidRPr="00750626">
              <w:rPr>
                <w:rFonts w:ascii="Arial" w:hAnsi="Arial" w:cs="Arial"/>
                <w:sz w:val="22"/>
              </w:rPr>
              <w:t>usual dosage for</w:t>
            </w:r>
            <w:r w:rsidRPr="00750626">
              <w:rPr>
                <w:rFonts w:ascii="Arial" w:hAnsi="Arial" w:cs="Arial"/>
                <w:sz w:val="22"/>
              </w:rPr>
              <w:t xml:space="preserve"> </w:t>
            </w:r>
            <w:r w:rsidR="00120A6F" w:rsidRPr="00750626">
              <w:rPr>
                <w:rFonts w:ascii="Arial" w:hAnsi="Arial" w:cs="Arial"/>
                <w:sz w:val="22"/>
              </w:rPr>
              <w:t xml:space="preserve">N-ethyl </w:t>
            </w:r>
            <w:proofErr w:type="spellStart"/>
            <w:r w:rsidR="00555A0E" w:rsidRPr="00750626">
              <w:rPr>
                <w:rFonts w:ascii="Arial" w:hAnsi="Arial" w:cs="Arial"/>
                <w:sz w:val="22"/>
              </w:rPr>
              <w:t>pentylone</w:t>
            </w:r>
            <w:proofErr w:type="spellEnd"/>
            <w:r w:rsidR="00555A0E" w:rsidRPr="00750626">
              <w:rPr>
                <w:rFonts w:ascii="Arial" w:hAnsi="Arial" w:cs="Arial"/>
                <w:sz w:val="22"/>
              </w:rPr>
              <w:t xml:space="preserve"> </w:t>
            </w:r>
            <w:r w:rsidR="00120A6F" w:rsidRPr="00750626">
              <w:rPr>
                <w:rFonts w:ascii="Arial" w:hAnsi="Arial" w:cs="Arial"/>
                <w:sz w:val="22"/>
              </w:rPr>
              <w:t>is 30</w:t>
            </w:r>
            <w:r w:rsidR="00555A0E" w:rsidRPr="00750626">
              <w:rPr>
                <w:rFonts w:ascii="Arial" w:hAnsi="Arial" w:cs="Arial"/>
                <w:sz w:val="22"/>
              </w:rPr>
              <w:t> </w:t>
            </w:r>
            <w:r w:rsidR="00120A6F" w:rsidRPr="00750626">
              <w:rPr>
                <w:rFonts w:ascii="Arial" w:hAnsi="Arial" w:cs="Arial"/>
                <w:sz w:val="22"/>
              </w:rPr>
              <w:t xml:space="preserve">mg </w:t>
            </w:r>
            <w:r w:rsidR="00530DDE" w:rsidRPr="00750626">
              <w:rPr>
                <w:rFonts w:ascii="Arial" w:hAnsi="Arial" w:cs="Arial"/>
                <w:sz w:val="22"/>
              </w:rPr>
              <w:t>whereas t</w:t>
            </w:r>
            <w:r w:rsidR="00BC40C4" w:rsidRPr="00750626">
              <w:rPr>
                <w:rFonts w:ascii="Arial" w:hAnsi="Arial" w:cs="Arial"/>
                <w:sz w:val="22"/>
              </w:rPr>
              <w:t xml:space="preserve">he </w:t>
            </w:r>
            <w:r w:rsidR="00555A0E" w:rsidRPr="00750626">
              <w:rPr>
                <w:rFonts w:ascii="Arial" w:hAnsi="Arial" w:cs="Arial"/>
                <w:sz w:val="22"/>
              </w:rPr>
              <w:t>usual</w:t>
            </w:r>
            <w:r w:rsidR="00BC40C4" w:rsidRPr="00750626">
              <w:rPr>
                <w:rFonts w:ascii="Arial" w:hAnsi="Arial" w:cs="Arial"/>
                <w:sz w:val="22"/>
              </w:rPr>
              <w:t xml:space="preserve"> dos</w:t>
            </w:r>
            <w:r w:rsidR="00555A0E" w:rsidRPr="00750626">
              <w:rPr>
                <w:rFonts w:ascii="Arial" w:hAnsi="Arial" w:cs="Arial"/>
                <w:sz w:val="22"/>
              </w:rPr>
              <w:t>age for</w:t>
            </w:r>
            <w:r w:rsidR="00BC40C4" w:rsidRPr="00750626">
              <w:rPr>
                <w:rFonts w:ascii="Arial" w:hAnsi="Arial" w:cs="Arial"/>
                <w:sz w:val="22"/>
              </w:rPr>
              <w:t xml:space="preserve"> MDMA is 10</w:t>
            </w:r>
            <w:r w:rsidRPr="00750626">
              <w:rPr>
                <w:rFonts w:ascii="Arial" w:hAnsi="Arial" w:cs="Arial"/>
                <w:sz w:val="22"/>
              </w:rPr>
              <w:t>0</w:t>
            </w:r>
            <w:r w:rsidR="00555A0E" w:rsidRPr="00750626">
              <w:rPr>
                <w:rFonts w:ascii="Arial" w:hAnsi="Arial" w:cs="Arial"/>
                <w:sz w:val="22"/>
              </w:rPr>
              <w:t> </w:t>
            </w:r>
            <w:r w:rsidRPr="00750626">
              <w:rPr>
                <w:rFonts w:ascii="Arial" w:hAnsi="Arial" w:cs="Arial"/>
                <w:sz w:val="22"/>
              </w:rPr>
              <w:t xml:space="preserve">mg. Therefore, </w:t>
            </w:r>
            <w:r w:rsidR="00120A6F" w:rsidRPr="00750626">
              <w:rPr>
                <w:rFonts w:ascii="Arial" w:hAnsi="Arial" w:cs="Arial"/>
                <w:sz w:val="22"/>
              </w:rPr>
              <w:t>there is</w:t>
            </w:r>
            <w:r w:rsidRPr="00750626">
              <w:rPr>
                <w:rFonts w:ascii="Arial" w:hAnsi="Arial" w:cs="Arial"/>
                <w:sz w:val="22"/>
              </w:rPr>
              <w:t xml:space="preserve"> a high chance of overdose </w:t>
            </w:r>
            <w:r w:rsidR="00120A6F" w:rsidRPr="00750626">
              <w:rPr>
                <w:rFonts w:ascii="Arial" w:hAnsi="Arial" w:cs="Arial"/>
                <w:sz w:val="22"/>
              </w:rPr>
              <w:t>associated with</w:t>
            </w:r>
            <w:r w:rsidRPr="00750626">
              <w:rPr>
                <w:rFonts w:ascii="Arial" w:hAnsi="Arial" w:cs="Arial"/>
                <w:sz w:val="22"/>
              </w:rPr>
              <w:t xml:space="preserve"> </w:t>
            </w:r>
            <w:r w:rsidR="00120A6F" w:rsidRPr="00750626">
              <w:rPr>
                <w:rFonts w:ascii="Arial" w:hAnsi="Arial" w:cs="Arial"/>
                <w:sz w:val="22"/>
              </w:rPr>
              <w:t xml:space="preserve">N-ethyl </w:t>
            </w:r>
            <w:proofErr w:type="spellStart"/>
            <w:r w:rsidR="000F5305" w:rsidRPr="00750626">
              <w:rPr>
                <w:rFonts w:ascii="Arial" w:hAnsi="Arial" w:cs="Arial"/>
                <w:sz w:val="22"/>
              </w:rPr>
              <w:t>p</w:t>
            </w:r>
            <w:r w:rsidR="00120A6F" w:rsidRPr="00750626">
              <w:rPr>
                <w:rFonts w:ascii="Arial" w:hAnsi="Arial" w:cs="Arial"/>
                <w:sz w:val="22"/>
              </w:rPr>
              <w:t>entylone</w:t>
            </w:r>
            <w:proofErr w:type="spellEnd"/>
            <w:r w:rsidR="00120A6F" w:rsidRPr="00750626">
              <w:rPr>
                <w:rFonts w:ascii="Arial" w:hAnsi="Arial" w:cs="Arial"/>
                <w:sz w:val="22"/>
              </w:rPr>
              <w:t xml:space="preserve"> if users take this substance</w:t>
            </w:r>
            <w:r w:rsidRPr="00750626">
              <w:rPr>
                <w:rFonts w:ascii="Arial" w:hAnsi="Arial" w:cs="Arial"/>
                <w:sz w:val="22"/>
              </w:rPr>
              <w:t xml:space="preserve"> thinking that they are using MDMA.</w:t>
            </w:r>
            <w:r w:rsidR="00BC40C4" w:rsidRPr="00750626">
              <w:rPr>
                <w:rFonts w:ascii="Arial" w:hAnsi="Arial" w:cs="Arial"/>
                <w:sz w:val="22"/>
              </w:rPr>
              <w:t xml:space="preserve"> MDMA is currently scheduled as a Class B1 controlled drug in N</w:t>
            </w:r>
            <w:r w:rsidR="004A54FB">
              <w:rPr>
                <w:rFonts w:ascii="Arial" w:hAnsi="Arial" w:cs="Arial"/>
                <w:sz w:val="22"/>
              </w:rPr>
              <w:t xml:space="preserve">ew </w:t>
            </w:r>
            <w:r w:rsidR="00BC40C4" w:rsidRPr="00750626">
              <w:rPr>
                <w:rFonts w:ascii="Arial" w:hAnsi="Arial" w:cs="Arial"/>
                <w:sz w:val="22"/>
              </w:rPr>
              <w:t>Z</w:t>
            </w:r>
            <w:r w:rsidR="004A54FB">
              <w:rPr>
                <w:rFonts w:ascii="Arial" w:hAnsi="Arial" w:cs="Arial"/>
                <w:sz w:val="22"/>
              </w:rPr>
              <w:t>ealand</w:t>
            </w:r>
            <w:r w:rsidR="00BC40C4" w:rsidRPr="00750626">
              <w:rPr>
                <w:rFonts w:ascii="Arial" w:hAnsi="Arial" w:cs="Arial"/>
                <w:sz w:val="22"/>
              </w:rPr>
              <w:t>.</w:t>
            </w:r>
          </w:p>
          <w:p w14:paraId="2DB8F2E3" w14:textId="77777777" w:rsidR="00146195" w:rsidRPr="00750626" w:rsidRDefault="00146195" w:rsidP="00146195">
            <w:pPr>
              <w:rPr>
                <w:rFonts w:ascii="Arial" w:hAnsi="Arial" w:cs="Arial"/>
                <w:b/>
                <w:sz w:val="28"/>
              </w:rPr>
            </w:pPr>
          </w:p>
          <w:p w14:paraId="0815BE53" w14:textId="2FA1D873" w:rsidR="00146195" w:rsidRPr="00750626" w:rsidRDefault="00894472" w:rsidP="007551F6">
            <w:pPr>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212153" w:rsidRPr="00750626">
              <w:rPr>
                <w:rFonts w:ascii="Arial" w:hAnsi="Arial" w:cs="Arial"/>
                <w:sz w:val="22"/>
              </w:rPr>
              <w:t xml:space="preserve">and </w:t>
            </w: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A501DD" w:rsidRPr="00750626">
              <w:rPr>
                <w:rFonts w:ascii="Arial" w:hAnsi="Arial" w:cs="Arial"/>
                <w:sz w:val="22"/>
              </w:rPr>
              <w:t>expressed their preference to schedule these substances</w:t>
            </w:r>
            <w:r w:rsidR="00212153" w:rsidRPr="00750626">
              <w:rPr>
                <w:rFonts w:ascii="Arial" w:hAnsi="Arial" w:cs="Arial"/>
                <w:sz w:val="22"/>
              </w:rPr>
              <w:t xml:space="preserve"> as Class B </w:t>
            </w:r>
            <w:r w:rsidR="00A501DD" w:rsidRPr="00750626">
              <w:rPr>
                <w:rFonts w:ascii="Arial" w:hAnsi="Arial" w:cs="Arial"/>
                <w:sz w:val="22"/>
              </w:rPr>
              <w:t xml:space="preserve">controlled drugs </w:t>
            </w:r>
            <w:r w:rsidR="00212153" w:rsidRPr="00750626">
              <w:rPr>
                <w:rFonts w:ascii="Arial" w:hAnsi="Arial" w:cs="Arial"/>
                <w:sz w:val="22"/>
              </w:rPr>
              <w:t xml:space="preserve">given the </w:t>
            </w:r>
            <w:r w:rsidR="00F0038B" w:rsidRPr="00750626">
              <w:rPr>
                <w:rFonts w:ascii="Arial" w:hAnsi="Arial" w:cs="Arial"/>
                <w:sz w:val="22"/>
              </w:rPr>
              <w:t>similar structure as</w:t>
            </w:r>
            <w:r w:rsidR="00146195" w:rsidRPr="00750626">
              <w:rPr>
                <w:rFonts w:ascii="Arial" w:hAnsi="Arial" w:cs="Arial"/>
                <w:sz w:val="22"/>
              </w:rPr>
              <w:t xml:space="preserve"> </w:t>
            </w:r>
            <w:r w:rsidR="00212153" w:rsidRPr="00750626">
              <w:rPr>
                <w:rFonts w:ascii="Arial" w:hAnsi="Arial" w:cs="Arial"/>
                <w:sz w:val="22"/>
              </w:rPr>
              <w:t>amphetamine</w:t>
            </w:r>
            <w:r w:rsidR="007B2984" w:rsidRPr="00750626">
              <w:rPr>
                <w:rFonts w:ascii="Arial" w:hAnsi="Arial" w:cs="Arial"/>
                <w:sz w:val="22"/>
              </w:rPr>
              <w:t xml:space="preserve"> (Class B1)</w:t>
            </w:r>
            <w:r w:rsidR="00212153" w:rsidRPr="00750626">
              <w:rPr>
                <w:rFonts w:ascii="Arial" w:hAnsi="Arial" w:cs="Arial"/>
                <w:sz w:val="22"/>
              </w:rPr>
              <w:t xml:space="preserve"> </w:t>
            </w:r>
            <w:r w:rsidR="00146195" w:rsidRPr="00750626">
              <w:rPr>
                <w:rFonts w:ascii="Arial" w:hAnsi="Arial" w:cs="Arial"/>
                <w:sz w:val="22"/>
              </w:rPr>
              <w:t>and cathinone</w:t>
            </w:r>
            <w:r w:rsidR="007B2984" w:rsidRPr="00750626">
              <w:rPr>
                <w:rFonts w:ascii="Arial" w:hAnsi="Arial" w:cs="Arial"/>
                <w:sz w:val="22"/>
              </w:rPr>
              <w:t xml:space="preserve"> (Class B2)</w:t>
            </w:r>
            <w:r w:rsidR="00146195" w:rsidRPr="00750626">
              <w:rPr>
                <w:rFonts w:ascii="Arial" w:hAnsi="Arial" w:cs="Arial"/>
                <w:sz w:val="22"/>
              </w:rPr>
              <w:t xml:space="preserve"> </w:t>
            </w:r>
            <w:r w:rsidR="00212153" w:rsidRPr="00750626">
              <w:rPr>
                <w:rFonts w:ascii="Arial" w:hAnsi="Arial" w:cs="Arial"/>
                <w:sz w:val="22"/>
              </w:rPr>
              <w:t>and</w:t>
            </w:r>
            <w:r w:rsidR="00146195" w:rsidRPr="00750626">
              <w:rPr>
                <w:rFonts w:ascii="Arial" w:hAnsi="Arial" w:cs="Arial"/>
                <w:sz w:val="22"/>
              </w:rPr>
              <w:t xml:space="preserve"> to be consistent </w:t>
            </w:r>
            <w:r w:rsidR="00212153" w:rsidRPr="00750626">
              <w:rPr>
                <w:rFonts w:ascii="Arial" w:hAnsi="Arial" w:cs="Arial"/>
                <w:sz w:val="22"/>
              </w:rPr>
              <w:t>with other jurisdictions</w:t>
            </w:r>
            <w:r w:rsidR="00F0038B" w:rsidRPr="00750626">
              <w:rPr>
                <w:rFonts w:ascii="Arial" w:hAnsi="Arial" w:cs="Arial"/>
                <w:sz w:val="22"/>
              </w:rPr>
              <w:t>’</w:t>
            </w:r>
            <w:r w:rsidR="00D01CD5" w:rsidRPr="00750626">
              <w:rPr>
                <w:rFonts w:ascii="Arial" w:hAnsi="Arial" w:cs="Arial"/>
                <w:sz w:val="22"/>
              </w:rPr>
              <w:t xml:space="preserve"> </w:t>
            </w:r>
            <w:r w:rsidR="007B2984" w:rsidRPr="00750626">
              <w:rPr>
                <w:rFonts w:ascii="Arial" w:hAnsi="Arial" w:cs="Arial"/>
                <w:sz w:val="22"/>
              </w:rPr>
              <w:t>c</w:t>
            </w:r>
            <w:r w:rsidR="00F0038B" w:rsidRPr="00750626">
              <w:rPr>
                <w:rFonts w:ascii="Arial" w:hAnsi="Arial" w:cs="Arial"/>
                <w:sz w:val="22"/>
              </w:rPr>
              <w:t>lassifications</w:t>
            </w:r>
            <w:r w:rsidR="00146195" w:rsidRPr="00750626">
              <w:rPr>
                <w:rFonts w:ascii="Arial" w:hAnsi="Arial" w:cs="Arial"/>
                <w:sz w:val="22"/>
              </w:rPr>
              <w:t xml:space="preserve"> for these substances</w:t>
            </w:r>
            <w:r w:rsidR="007B2984" w:rsidRPr="00750626">
              <w:rPr>
                <w:rFonts w:ascii="Arial" w:hAnsi="Arial" w:cs="Arial"/>
                <w:sz w:val="22"/>
              </w:rPr>
              <w:t xml:space="preserve"> such as the UK</w:t>
            </w:r>
            <w:r w:rsidR="00146195" w:rsidRPr="00750626">
              <w:rPr>
                <w:rFonts w:ascii="Arial" w:hAnsi="Arial" w:cs="Arial"/>
                <w:sz w:val="22"/>
              </w:rPr>
              <w:t>.</w:t>
            </w:r>
          </w:p>
          <w:p w14:paraId="2B4AACCF" w14:textId="77777777" w:rsidR="00146195" w:rsidRPr="00750626" w:rsidRDefault="00146195" w:rsidP="007551F6">
            <w:pPr>
              <w:rPr>
                <w:rFonts w:ascii="Arial" w:hAnsi="Arial" w:cs="Arial"/>
                <w:sz w:val="28"/>
              </w:rPr>
            </w:pPr>
          </w:p>
          <w:p w14:paraId="1242C198" w14:textId="74E63B06" w:rsidR="007551F6" w:rsidRPr="00750626" w:rsidRDefault="007551F6" w:rsidP="007551F6">
            <w:pPr>
              <w:rPr>
                <w:rFonts w:ascii="Arial" w:hAnsi="Arial" w:cs="Arial"/>
                <w:sz w:val="28"/>
              </w:rPr>
            </w:pPr>
            <w:r w:rsidRPr="00750626">
              <w:rPr>
                <w:rFonts w:ascii="Arial" w:hAnsi="Arial" w:cs="Arial"/>
                <w:b/>
                <w:sz w:val="22"/>
              </w:rPr>
              <w:t>Outcome:</w:t>
            </w:r>
            <w:r w:rsidRPr="00750626">
              <w:rPr>
                <w:rFonts w:ascii="Arial" w:hAnsi="Arial" w:cs="Arial"/>
                <w:sz w:val="22"/>
              </w:rPr>
              <w:t xml:space="preserve"> The Committee agreed that </w:t>
            </w:r>
            <w:r w:rsidR="00480B27" w:rsidRPr="00750626">
              <w:rPr>
                <w:rFonts w:ascii="Arial" w:hAnsi="Arial" w:cs="Arial"/>
                <w:sz w:val="22"/>
              </w:rPr>
              <w:t>both</w:t>
            </w:r>
            <w:r w:rsidRPr="00750626">
              <w:rPr>
                <w:rFonts w:ascii="Arial" w:hAnsi="Arial" w:cs="Arial"/>
                <w:sz w:val="22"/>
              </w:rPr>
              <w:t xml:space="preserve"> </w:t>
            </w:r>
            <w:proofErr w:type="spellStart"/>
            <w:r w:rsidR="000F5305" w:rsidRPr="00750626">
              <w:rPr>
                <w:rFonts w:ascii="Arial" w:hAnsi="Arial" w:cs="Arial"/>
                <w:sz w:val="22"/>
              </w:rPr>
              <w:t>e</w:t>
            </w:r>
            <w:r w:rsidR="00C04E82" w:rsidRPr="00750626">
              <w:rPr>
                <w:rFonts w:ascii="Arial" w:hAnsi="Arial" w:cs="Arial"/>
                <w:sz w:val="22"/>
              </w:rPr>
              <w:t>thylone</w:t>
            </w:r>
            <w:proofErr w:type="spellEnd"/>
            <w:r w:rsidR="00C04E82" w:rsidRPr="00750626">
              <w:rPr>
                <w:rFonts w:ascii="Arial" w:hAnsi="Arial" w:cs="Arial"/>
                <w:sz w:val="22"/>
              </w:rPr>
              <w:t xml:space="preserve"> and N-ethyl </w:t>
            </w:r>
            <w:proofErr w:type="spellStart"/>
            <w:r w:rsidR="000F5305" w:rsidRPr="00750626">
              <w:rPr>
                <w:rFonts w:ascii="Arial" w:hAnsi="Arial" w:cs="Arial"/>
                <w:sz w:val="22"/>
              </w:rPr>
              <w:t>p</w:t>
            </w:r>
            <w:r w:rsidR="00C04E82" w:rsidRPr="00750626">
              <w:rPr>
                <w:rFonts w:ascii="Arial" w:hAnsi="Arial" w:cs="Arial"/>
                <w:sz w:val="22"/>
              </w:rPr>
              <w:t>entylone</w:t>
            </w:r>
            <w:proofErr w:type="spellEnd"/>
            <w:r w:rsidR="00C04E82" w:rsidRPr="00750626">
              <w:rPr>
                <w:rFonts w:ascii="Arial" w:hAnsi="Arial" w:cs="Arial"/>
                <w:sz w:val="22"/>
              </w:rPr>
              <w:t xml:space="preserve"> </w:t>
            </w:r>
            <w:r w:rsidRPr="00750626">
              <w:rPr>
                <w:rFonts w:ascii="Arial" w:hAnsi="Arial" w:cs="Arial"/>
                <w:sz w:val="22"/>
              </w:rPr>
              <w:t>be scheduled as Class B1 controlled drug</w:t>
            </w:r>
            <w:r w:rsidR="000F5305" w:rsidRPr="00750626">
              <w:rPr>
                <w:rFonts w:ascii="Arial" w:hAnsi="Arial" w:cs="Arial"/>
                <w:sz w:val="22"/>
              </w:rPr>
              <w:t>s</w:t>
            </w:r>
            <w:r w:rsidRPr="00750626">
              <w:rPr>
                <w:rFonts w:ascii="Arial" w:hAnsi="Arial" w:cs="Arial"/>
                <w:sz w:val="22"/>
              </w:rPr>
              <w:t xml:space="preserve"> under </w:t>
            </w:r>
            <w:proofErr w:type="spellStart"/>
            <w:r w:rsidRPr="00750626">
              <w:rPr>
                <w:rFonts w:ascii="Arial" w:hAnsi="Arial" w:cs="Arial"/>
                <w:sz w:val="22"/>
              </w:rPr>
              <w:t>MoDA</w:t>
            </w:r>
            <w:proofErr w:type="spellEnd"/>
            <w:r w:rsidRPr="00750626">
              <w:rPr>
                <w:rFonts w:ascii="Arial" w:hAnsi="Arial" w:cs="Arial"/>
                <w:sz w:val="22"/>
              </w:rPr>
              <w:t xml:space="preserve"> to align with </w:t>
            </w:r>
            <w:r w:rsidR="00257B4C" w:rsidRPr="00750626">
              <w:rPr>
                <w:rFonts w:ascii="Arial" w:hAnsi="Arial" w:cs="Arial"/>
                <w:sz w:val="22"/>
              </w:rPr>
              <w:t>drugs such as MD</w:t>
            </w:r>
            <w:r w:rsidR="007B2984" w:rsidRPr="00750626">
              <w:rPr>
                <w:rFonts w:ascii="Arial" w:hAnsi="Arial" w:cs="Arial"/>
                <w:sz w:val="22"/>
              </w:rPr>
              <w:t xml:space="preserve">MA, </w:t>
            </w:r>
            <w:proofErr w:type="spellStart"/>
            <w:r w:rsidR="007B2984" w:rsidRPr="00750626">
              <w:rPr>
                <w:rFonts w:ascii="Arial" w:hAnsi="Arial" w:cs="Arial"/>
                <w:sz w:val="22"/>
              </w:rPr>
              <w:t>methcathinone</w:t>
            </w:r>
            <w:proofErr w:type="spellEnd"/>
            <w:r w:rsidR="007B2984" w:rsidRPr="00750626">
              <w:rPr>
                <w:rFonts w:ascii="Arial" w:hAnsi="Arial" w:cs="Arial"/>
                <w:sz w:val="22"/>
              </w:rPr>
              <w:t xml:space="preserve"> and amphetamine</w:t>
            </w:r>
            <w:r w:rsidR="000F5305" w:rsidRPr="00750626">
              <w:rPr>
                <w:rFonts w:ascii="Arial" w:hAnsi="Arial" w:cs="Arial"/>
                <w:sz w:val="22"/>
              </w:rPr>
              <w:t>,</w:t>
            </w:r>
            <w:r w:rsidR="007B2984" w:rsidRPr="00750626">
              <w:rPr>
                <w:rFonts w:ascii="Arial" w:hAnsi="Arial" w:cs="Arial"/>
                <w:sz w:val="22"/>
              </w:rPr>
              <w:t xml:space="preserve"> </w:t>
            </w:r>
            <w:r w:rsidR="00480B27" w:rsidRPr="00750626">
              <w:rPr>
                <w:rFonts w:ascii="Arial" w:hAnsi="Arial" w:cs="Arial"/>
                <w:sz w:val="22"/>
              </w:rPr>
              <w:t>given</w:t>
            </w:r>
            <w:r w:rsidR="00257B4C" w:rsidRPr="00750626">
              <w:rPr>
                <w:rFonts w:ascii="Arial" w:hAnsi="Arial" w:cs="Arial"/>
                <w:sz w:val="22"/>
              </w:rPr>
              <w:t xml:space="preserve"> the similarity in their</w:t>
            </w:r>
            <w:r w:rsidR="007B2984" w:rsidRPr="00750626">
              <w:rPr>
                <w:rFonts w:ascii="Arial" w:hAnsi="Arial" w:cs="Arial"/>
                <w:sz w:val="22"/>
              </w:rPr>
              <w:t xml:space="preserve"> structure and</w:t>
            </w:r>
            <w:r w:rsidR="00257B4C" w:rsidRPr="00750626">
              <w:rPr>
                <w:rFonts w:ascii="Arial" w:hAnsi="Arial" w:cs="Arial"/>
                <w:sz w:val="22"/>
              </w:rPr>
              <w:t xml:space="preserve"> </w:t>
            </w:r>
            <w:r w:rsidR="007B2984" w:rsidRPr="00750626">
              <w:rPr>
                <w:rFonts w:ascii="Arial" w:hAnsi="Arial" w:cs="Arial"/>
                <w:sz w:val="22"/>
              </w:rPr>
              <w:t>risk of harm</w:t>
            </w:r>
            <w:r w:rsidRPr="00750626">
              <w:rPr>
                <w:rFonts w:ascii="Arial" w:hAnsi="Arial" w:cs="Arial"/>
                <w:sz w:val="22"/>
              </w:rPr>
              <w:t xml:space="preserve">. </w:t>
            </w:r>
          </w:p>
          <w:p w14:paraId="0C7E9E4B" w14:textId="77777777" w:rsidR="00257B4C" w:rsidRPr="00750626" w:rsidRDefault="00257B4C" w:rsidP="007551F6">
            <w:pPr>
              <w:rPr>
                <w:rFonts w:ascii="Arial" w:hAnsi="Arial" w:cs="Arial"/>
                <w:sz w:val="28"/>
              </w:rPr>
            </w:pPr>
          </w:p>
          <w:p w14:paraId="68506057" w14:textId="07D26696" w:rsidR="007551F6" w:rsidRPr="00750626" w:rsidRDefault="007551F6" w:rsidP="007551F6">
            <w:pPr>
              <w:rPr>
                <w:rFonts w:ascii="Arial" w:hAnsi="Arial" w:cs="Arial"/>
                <w:sz w:val="28"/>
              </w:rPr>
            </w:pPr>
            <w:r w:rsidRPr="00750626">
              <w:rPr>
                <w:rFonts w:ascii="Arial" w:hAnsi="Arial" w:cs="Arial"/>
                <w:b/>
                <w:sz w:val="22"/>
              </w:rPr>
              <w:t xml:space="preserve">Motion: </w:t>
            </w:r>
            <w:r w:rsidR="00894472" w:rsidRPr="00894472">
              <w:rPr>
                <w:rFonts w:ascii="Arial" w:hAnsi="Arial" w:cs="Arial"/>
                <w:sz w:val="22"/>
                <w:lang w:val="en-GB"/>
              </w:rPr>
              <w:t>[redacted under section 9(2)(</w:t>
            </w:r>
            <w:proofErr w:type="spellStart"/>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Pr="00750626">
              <w:rPr>
                <w:rFonts w:ascii="Arial" w:hAnsi="Arial" w:cs="Arial"/>
                <w:sz w:val="22"/>
              </w:rPr>
              <w:t xml:space="preserve">proposed that </w:t>
            </w:r>
            <w:r w:rsidR="00480B27" w:rsidRPr="00750626">
              <w:rPr>
                <w:rFonts w:ascii="Arial" w:hAnsi="Arial" w:cs="Arial"/>
                <w:sz w:val="22"/>
              </w:rPr>
              <w:t>both</w:t>
            </w:r>
            <w:r w:rsidR="00EF015B" w:rsidRPr="00750626">
              <w:rPr>
                <w:rFonts w:ascii="Arial" w:hAnsi="Arial" w:cs="Arial"/>
                <w:sz w:val="22"/>
              </w:rPr>
              <w:t xml:space="preserve"> </w:t>
            </w:r>
            <w:proofErr w:type="spellStart"/>
            <w:r w:rsidR="000F5305" w:rsidRPr="00750626">
              <w:rPr>
                <w:rFonts w:ascii="Arial" w:hAnsi="Arial" w:cs="Arial"/>
                <w:sz w:val="22"/>
              </w:rPr>
              <w:t>ethylone</w:t>
            </w:r>
            <w:proofErr w:type="spellEnd"/>
            <w:r w:rsidR="000F5305" w:rsidRPr="00750626">
              <w:rPr>
                <w:rFonts w:ascii="Arial" w:hAnsi="Arial" w:cs="Arial"/>
                <w:sz w:val="22"/>
              </w:rPr>
              <w:t xml:space="preserve"> </w:t>
            </w:r>
            <w:r w:rsidR="00EF015B" w:rsidRPr="00750626">
              <w:rPr>
                <w:rFonts w:ascii="Arial" w:hAnsi="Arial" w:cs="Arial"/>
                <w:sz w:val="22"/>
              </w:rPr>
              <w:t xml:space="preserve">and N-ethyl </w:t>
            </w:r>
            <w:proofErr w:type="spellStart"/>
            <w:r w:rsidR="000F5305" w:rsidRPr="00750626">
              <w:rPr>
                <w:rFonts w:ascii="Arial" w:hAnsi="Arial" w:cs="Arial"/>
                <w:sz w:val="22"/>
              </w:rPr>
              <w:t>pentylone</w:t>
            </w:r>
            <w:proofErr w:type="spellEnd"/>
            <w:r w:rsidR="000F5305" w:rsidRPr="00750626">
              <w:rPr>
                <w:rFonts w:ascii="Arial" w:hAnsi="Arial" w:cs="Arial"/>
                <w:sz w:val="22"/>
              </w:rPr>
              <w:t xml:space="preserve"> </w:t>
            </w:r>
            <w:r w:rsidRPr="00750626">
              <w:rPr>
                <w:rFonts w:ascii="Arial" w:hAnsi="Arial" w:cs="Arial"/>
                <w:sz w:val="22"/>
              </w:rPr>
              <w:t xml:space="preserve">be put forward for scheduling as a Class B1 controlled drug under </w:t>
            </w:r>
            <w:proofErr w:type="spellStart"/>
            <w:r w:rsidRPr="00750626">
              <w:rPr>
                <w:rFonts w:ascii="Arial" w:hAnsi="Arial" w:cs="Arial"/>
                <w:sz w:val="22"/>
              </w:rPr>
              <w:t>MoDA</w:t>
            </w:r>
            <w:proofErr w:type="spellEnd"/>
            <w:r w:rsidRPr="00750626">
              <w:rPr>
                <w:rFonts w:ascii="Arial" w:hAnsi="Arial" w:cs="Arial"/>
                <w:sz w:val="22"/>
              </w:rPr>
              <w:t xml:space="preserve">. The motion was seconded by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w:t>
            </w:r>
            <w:r w:rsidRPr="00750626">
              <w:rPr>
                <w:rFonts w:ascii="Arial" w:hAnsi="Arial" w:cs="Arial"/>
                <w:sz w:val="22"/>
              </w:rPr>
              <w:t>. The Committee were all in favour.</w:t>
            </w:r>
          </w:p>
          <w:p w14:paraId="665A1011" w14:textId="77777777" w:rsidR="007551F6" w:rsidRDefault="007551F6" w:rsidP="007551F6">
            <w:pPr>
              <w:rPr>
                <w:rFonts w:ascii="Arial" w:hAnsi="Arial" w:cs="Arial"/>
                <w:b/>
                <w:sz w:val="28"/>
              </w:rPr>
            </w:pPr>
          </w:p>
          <w:p w14:paraId="28274800" w14:textId="1712B3B5" w:rsidR="009A3C21" w:rsidRDefault="009A3C21" w:rsidP="007551F6">
            <w:pPr>
              <w:rPr>
                <w:rFonts w:ascii="Arial" w:hAnsi="Arial" w:cs="Arial"/>
                <w:b/>
                <w:sz w:val="28"/>
              </w:rPr>
            </w:pPr>
            <w:r w:rsidRPr="00750626">
              <w:rPr>
                <w:rFonts w:ascii="Arial" w:hAnsi="Arial" w:cs="Arial"/>
                <w:b/>
                <w:sz w:val="22"/>
              </w:rPr>
              <w:t>Action</w:t>
            </w:r>
            <w:r w:rsidRPr="00750626">
              <w:rPr>
                <w:rFonts w:ascii="Arial" w:hAnsi="Arial" w:cs="Arial"/>
                <w:sz w:val="22"/>
              </w:rPr>
              <w:t xml:space="preserve">: Secretariat to </w:t>
            </w:r>
            <w:r>
              <w:rPr>
                <w:rFonts w:ascii="Arial" w:hAnsi="Arial" w:cs="Arial"/>
                <w:sz w:val="22"/>
              </w:rPr>
              <w:t>c</w:t>
            </w:r>
            <w:r w:rsidRPr="00750626">
              <w:rPr>
                <w:rFonts w:ascii="Arial" w:hAnsi="Arial" w:cs="Arial"/>
                <w:sz w:val="22"/>
                <w:szCs w:val="22"/>
              </w:rPr>
              <w:t xml:space="preserve">onsult with relevant stakeholders and begin the process to schedule </w:t>
            </w:r>
            <w:proofErr w:type="spellStart"/>
            <w:r w:rsidRPr="00750626">
              <w:rPr>
                <w:rFonts w:ascii="Arial" w:hAnsi="Arial" w:cs="Arial"/>
                <w:sz w:val="22"/>
                <w:szCs w:val="22"/>
              </w:rPr>
              <w:t>ethylone</w:t>
            </w:r>
            <w:proofErr w:type="spellEnd"/>
            <w:r w:rsidRPr="00750626">
              <w:rPr>
                <w:rFonts w:ascii="Arial" w:hAnsi="Arial" w:cs="Arial"/>
                <w:sz w:val="22"/>
                <w:szCs w:val="22"/>
              </w:rPr>
              <w:t xml:space="preserve"> and N-ethyl </w:t>
            </w:r>
            <w:proofErr w:type="spellStart"/>
            <w:r w:rsidRPr="00750626">
              <w:rPr>
                <w:rFonts w:ascii="Arial" w:hAnsi="Arial" w:cs="Arial"/>
                <w:sz w:val="22"/>
                <w:szCs w:val="22"/>
              </w:rPr>
              <w:t>pentylone</w:t>
            </w:r>
            <w:proofErr w:type="spellEnd"/>
            <w:r w:rsidRPr="00750626">
              <w:rPr>
                <w:rFonts w:ascii="Arial" w:hAnsi="Arial" w:cs="Arial"/>
                <w:sz w:val="22"/>
                <w:szCs w:val="22"/>
              </w:rPr>
              <w:t xml:space="preserve"> as Class B1 controlled drugs under </w:t>
            </w:r>
            <w:proofErr w:type="spellStart"/>
            <w:r w:rsidRPr="00750626">
              <w:rPr>
                <w:rFonts w:ascii="Arial" w:hAnsi="Arial" w:cs="Arial"/>
                <w:sz w:val="22"/>
                <w:szCs w:val="22"/>
              </w:rPr>
              <w:t>MoDA</w:t>
            </w:r>
            <w:proofErr w:type="spellEnd"/>
            <w:r w:rsidRPr="00750626">
              <w:rPr>
                <w:rFonts w:ascii="Arial" w:hAnsi="Arial" w:cs="Arial"/>
                <w:sz w:val="22"/>
                <w:szCs w:val="22"/>
              </w:rPr>
              <w:t>.</w:t>
            </w:r>
          </w:p>
          <w:p w14:paraId="5610712B" w14:textId="71CFEFCA" w:rsidR="009A3C21" w:rsidRPr="00750626" w:rsidRDefault="009A3C21" w:rsidP="007551F6">
            <w:pPr>
              <w:rPr>
                <w:rFonts w:ascii="Arial" w:hAnsi="Arial" w:cs="Arial"/>
                <w:b/>
                <w:sz w:val="28"/>
              </w:rPr>
            </w:pPr>
          </w:p>
        </w:tc>
      </w:tr>
      <w:tr w:rsidR="007551F6" w:rsidRPr="00750626" w14:paraId="44849204" w14:textId="77777777" w:rsidTr="00C73693">
        <w:tc>
          <w:tcPr>
            <w:tcW w:w="880" w:type="dxa"/>
          </w:tcPr>
          <w:p w14:paraId="26B2F7FB" w14:textId="45331AA4" w:rsidR="007551F6" w:rsidRPr="00750626" w:rsidRDefault="007551F6" w:rsidP="007551F6">
            <w:pPr>
              <w:tabs>
                <w:tab w:val="right" w:leader="underscore" w:pos="5670"/>
                <w:tab w:val="left" w:pos="6237"/>
              </w:tabs>
              <w:rPr>
                <w:rFonts w:ascii="Arial" w:hAnsi="Arial" w:cs="Arial"/>
                <w:sz w:val="28"/>
              </w:rPr>
            </w:pPr>
            <w:r w:rsidRPr="00750626">
              <w:rPr>
                <w:rFonts w:ascii="Arial" w:hAnsi="Arial" w:cs="Arial"/>
                <w:sz w:val="22"/>
              </w:rPr>
              <w:lastRenderedPageBreak/>
              <w:t>12</w:t>
            </w:r>
          </w:p>
        </w:tc>
        <w:tc>
          <w:tcPr>
            <w:tcW w:w="8925" w:type="dxa"/>
          </w:tcPr>
          <w:p w14:paraId="3AE028A8" w14:textId="0A51BC60" w:rsidR="007551F6" w:rsidRPr="00750626" w:rsidRDefault="007551F6" w:rsidP="007551F6">
            <w:pPr>
              <w:rPr>
                <w:rFonts w:ascii="Arial" w:hAnsi="Arial" w:cs="Arial"/>
                <w:b/>
                <w:sz w:val="28"/>
              </w:rPr>
            </w:pPr>
            <w:r w:rsidRPr="00750626">
              <w:rPr>
                <w:rFonts w:ascii="Arial" w:hAnsi="Arial" w:cs="Arial"/>
                <w:b/>
                <w:sz w:val="22"/>
              </w:rPr>
              <w:t>Afternoon tea 2-2.13pm</w:t>
            </w:r>
          </w:p>
        </w:tc>
      </w:tr>
      <w:tr w:rsidR="00361880" w:rsidRPr="00750626" w14:paraId="48422945" w14:textId="77777777" w:rsidTr="00C73693">
        <w:tc>
          <w:tcPr>
            <w:tcW w:w="880" w:type="dxa"/>
          </w:tcPr>
          <w:p w14:paraId="56F6BCE9" w14:textId="4E3D746B" w:rsidR="00361880" w:rsidRPr="00750626" w:rsidRDefault="00361880" w:rsidP="00361880">
            <w:pPr>
              <w:tabs>
                <w:tab w:val="right" w:leader="underscore" w:pos="5670"/>
                <w:tab w:val="left" w:pos="6237"/>
              </w:tabs>
              <w:rPr>
                <w:rFonts w:ascii="Arial" w:hAnsi="Arial" w:cs="Arial"/>
                <w:sz w:val="22"/>
              </w:rPr>
            </w:pPr>
            <w:r w:rsidRPr="00750626">
              <w:rPr>
                <w:rFonts w:ascii="Arial" w:hAnsi="Arial" w:cs="Arial"/>
                <w:sz w:val="22"/>
              </w:rPr>
              <w:t>8</w:t>
            </w:r>
          </w:p>
        </w:tc>
        <w:tc>
          <w:tcPr>
            <w:tcW w:w="8925" w:type="dxa"/>
          </w:tcPr>
          <w:p w14:paraId="17D11D63" w14:textId="77777777" w:rsidR="00361880" w:rsidRPr="00750626" w:rsidRDefault="00361880" w:rsidP="00361880">
            <w:pPr>
              <w:tabs>
                <w:tab w:val="right" w:leader="underscore" w:pos="5670"/>
                <w:tab w:val="left" w:pos="6237"/>
              </w:tabs>
              <w:rPr>
                <w:rFonts w:ascii="Arial" w:hAnsi="Arial" w:cs="Arial"/>
                <w:b/>
                <w:sz w:val="28"/>
              </w:rPr>
            </w:pPr>
            <w:r w:rsidRPr="00750626">
              <w:rPr>
                <w:rFonts w:ascii="Arial" w:hAnsi="Arial" w:cs="Arial"/>
                <w:b/>
                <w:sz w:val="22"/>
              </w:rPr>
              <w:t>U-47700</w:t>
            </w:r>
          </w:p>
          <w:p w14:paraId="4AAD080A" w14:textId="0E3EA46C" w:rsidR="00361880" w:rsidRPr="00750626" w:rsidRDefault="00361880" w:rsidP="00361880">
            <w:pPr>
              <w:tabs>
                <w:tab w:val="right" w:leader="underscore" w:pos="5670"/>
                <w:tab w:val="left" w:pos="6237"/>
              </w:tabs>
              <w:rPr>
                <w:rFonts w:ascii="Arial" w:hAnsi="Arial" w:cs="Arial"/>
                <w:sz w:val="22"/>
              </w:rPr>
            </w:pPr>
            <w:r w:rsidRPr="00750626">
              <w:rPr>
                <w:rFonts w:ascii="Arial" w:hAnsi="Arial" w:cs="Arial"/>
                <w:sz w:val="22"/>
              </w:rPr>
              <w:t>The Committee discussed</w:t>
            </w:r>
            <w:r w:rsidR="00CB424B">
              <w:rPr>
                <w:rFonts w:ascii="Arial" w:hAnsi="Arial" w:cs="Arial"/>
                <w:sz w:val="22"/>
              </w:rPr>
              <w:t xml:space="preserve"> the physical effects, prevalence</w:t>
            </w:r>
            <w:r w:rsidRPr="00750626">
              <w:rPr>
                <w:rFonts w:ascii="Arial" w:hAnsi="Arial" w:cs="Arial"/>
                <w:sz w:val="22"/>
              </w:rPr>
              <w:t xml:space="preserve"> and both domestic and international evidence of risk of harm associated with this substance and agreed that there is not enough evidence that suggests an urgent need to schedule this substance under </w:t>
            </w:r>
            <w:proofErr w:type="spellStart"/>
            <w:r w:rsidRPr="00750626">
              <w:rPr>
                <w:rFonts w:ascii="Arial" w:hAnsi="Arial" w:cs="Arial"/>
                <w:sz w:val="22"/>
              </w:rPr>
              <w:t>MoDA</w:t>
            </w:r>
            <w:proofErr w:type="spellEnd"/>
            <w:r w:rsidRPr="00750626">
              <w:rPr>
                <w:rFonts w:ascii="Arial" w:hAnsi="Arial" w:cs="Arial"/>
                <w:sz w:val="22"/>
              </w:rPr>
              <w:t>.</w:t>
            </w:r>
          </w:p>
          <w:p w14:paraId="400666E2" w14:textId="74B479AE" w:rsidR="00361880" w:rsidRPr="00750626" w:rsidRDefault="00361880" w:rsidP="00361880">
            <w:pPr>
              <w:tabs>
                <w:tab w:val="right" w:leader="underscore" w:pos="5670"/>
                <w:tab w:val="left" w:pos="6237"/>
              </w:tabs>
              <w:rPr>
                <w:rFonts w:ascii="Arial" w:hAnsi="Arial" w:cs="Arial"/>
                <w:sz w:val="22"/>
              </w:rPr>
            </w:pPr>
            <w:r w:rsidRPr="00750626">
              <w:rPr>
                <w:rFonts w:ascii="Arial" w:hAnsi="Arial" w:cs="Arial"/>
                <w:sz w:val="22"/>
              </w:rPr>
              <w:t xml:space="preserve"> </w:t>
            </w:r>
          </w:p>
          <w:p w14:paraId="4C6112AA" w14:textId="4113B111" w:rsidR="00361880" w:rsidRPr="00750626" w:rsidRDefault="00894472" w:rsidP="00361880">
            <w:pPr>
              <w:tabs>
                <w:tab w:val="right" w:leader="underscore" w:pos="5670"/>
                <w:tab w:val="left" w:pos="6237"/>
              </w:tabs>
              <w:rPr>
                <w:rFonts w:ascii="Arial" w:hAnsi="Arial" w:cs="Arial"/>
                <w:sz w:val="28"/>
              </w:rPr>
            </w:pPr>
            <w:r w:rsidRPr="00894472">
              <w:rPr>
                <w:rFonts w:ascii="Arial" w:hAnsi="Arial" w:cs="Arial"/>
                <w:sz w:val="22"/>
                <w:lang w:val="en-GB"/>
              </w:rPr>
              <w:t>[redacted under section 9(2)(</w:t>
            </w:r>
            <w:proofErr w:type="spellStart"/>
            <w:r w:rsidRPr="00894472">
              <w:rPr>
                <w:rFonts w:ascii="Arial" w:hAnsi="Arial" w:cs="Arial"/>
                <w:sz w:val="22"/>
                <w:lang w:val="en-GB"/>
              </w:rPr>
              <w:t>ba</w:t>
            </w:r>
            <w:proofErr w:type="spellEnd"/>
            <w:r w:rsidRPr="00894472">
              <w:rPr>
                <w:rFonts w:ascii="Arial" w:hAnsi="Arial" w:cs="Arial"/>
                <w:sz w:val="22"/>
                <w:lang w:val="en-GB"/>
              </w:rPr>
              <w:t xml:space="preserve">)] </w:t>
            </w:r>
            <w:r w:rsidR="00361880" w:rsidRPr="00750626">
              <w:rPr>
                <w:rFonts w:ascii="Arial" w:hAnsi="Arial" w:cs="Arial"/>
                <w:sz w:val="22"/>
              </w:rPr>
              <w:t xml:space="preserve">suggested that the status quo </w:t>
            </w:r>
            <w:r w:rsidR="0026403A">
              <w:rPr>
                <w:rFonts w:ascii="Arial" w:hAnsi="Arial" w:cs="Arial"/>
                <w:sz w:val="22"/>
              </w:rPr>
              <w:t>be</w:t>
            </w:r>
            <w:r w:rsidR="00361880" w:rsidRPr="00750626">
              <w:rPr>
                <w:rFonts w:ascii="Arial" w:hAnsi="Arial" w:cs="Arial"/>
                <w:sz w:val="22"/>
              </w:rPr>
              <w:t xml:space="preserve"> maintained for U-47700 and to keep monitoring U-47700, as it is currently captured under </w:t>
            </w:r>
            <w:r w:rsidR="001F67FA" w:rsidRPr="00750626">
              <w:rPr>
                <w:rFonts w:ascii="Arial" w:hAnsi="Arial" w:cs="Arial"/>
                <w:sz w:val="22"/>
              </w:rPr>
              <w:t>PSA</w:t>
            </w:r>
            <w:r w:rsidR="00361880" w:rsidRPr="00750626">
              <w:rPr>
                <w:rFonts w:ascii="Arial" w:hAnsi="Arial" w:cs="Arial"/>
                <w:sz w:val="22"/>
              </w:rPr>
              <w:t xml:space="preserve"> and there is currently </w:t>
            </w:r>
            <w:r w:rsidR="00EC63A8">
              <w:rPr>
                <w:rFonts w:ascii="Arial" w:hAnsi="Arial" w:cs="Arial"/>
                <w:sz w:val="22"/>
              </w:rPr>
              <w:t>insufficient</w:t>
            </w:r>
            <w:r w:rsidR="00EC63A8" w:rsidRPr="00750626">
              <w:rPr>
                <w:rFonts w:ascii="Arial" w:hAnsi="Arial" w:cs="Arial"/>
                <w:sz w:val="22"/>
              </w:rPr>
              <w:t xml:space="preserve"> </w:t>
            </w:r>
            <w:r w:rsidR="00361880" w:rsidRPr="00750626">
              <w:rPr>
                <w:rFonts w:ascii="Arial" w:hAnsi="Arial" w:cs="Arial"/>
                <w:sz w:val="22"/>
              </w:rPr>
              <w:t>evidence of misuse in N</w:t>
            </w:r>
            <w:r w:rsidR="004A54FB">
              <w:rPr>
                <w:rFonts w:ascii="Arial" w:hAnsi="Arial" w:cs="Arial"/>
                <w:sz w:val="22"/>
              </w:rPr>
              <w:t xml:space="preserve">ew </w:t>
            </w:r>
            <w:r w:rsidR="00361880" w:rsidRPr="00750626">
              <w:rPr>
                <w:rFonts w:ascii="Arial" w:hAnsi="Arial" w:cs="Arial"/>
                <w:sz w:val="22"/>
              </w:rPr>
              <w:t>Z</w:t>
            </w:r>
            <w:r w:rsidR="004A54FB">
              <w:rPr>
                <w:rFonts w:ascii="Arial" w:hAnsi="Arial" w:cs="Arial"/>
                <w:sz w:val="22"/>
              </w:rPr>
              <w:t>ealand</w:t>
            </w:r>
            <w:r w:rsidR="00361880" w:rsidRPr="00750626">
              <w:rPr>
                <w:rFonts w:ascii="Arial" w:hAnsi="Arial" w:cs="Arial"/>
                <w:sz w:val="22"/>
              </w:rPr>
              <w:t xml:space="preserve">. </w:t>
            </w:r>
          </w:p>
          <w:p w14:paraId="4315EA56" w14:textId="77777777" w:rsidR="00361880" w:rsidRPr="00750626" w:rsidRDefault="00361880" w:rsidP="00361880">
            <w:pPr>
              <w:tabs>
                <w:tab w:val="right" w:leader="underscore" w:pos="5670"/>
                <w:tab w:val="left" w:pos="6237"/>
              </w:tabs>
              <w:rPr>
                <w:rFonts w:ascii="Arial" w:hAnsi="Arial" w:cs="Arial"/>
                <w:sz w:val="28"/>
              </w:rPr>
            </w:pPr>
          </w:p>
          <w:p w14:paraId="3ACBB245" w14:textId="0426F238"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sz w:val="22"/>
              </w:rPr>
              <w:t xml:space="preserve">It was pointed out that </w:t>
            </w:r>
            <w:r w:rsidR="004A54FB">
              <w:rPr>
                <w:rFonts w:ascii="Arial" w:hAnsi="Arial" w:cs="Arial"/>
                <w:sz w:val="22"/>
              </w:rPr>
              <w:t>some of the fentanyl analogues were</w:t>
            </w:r>
            <w:r w:rsidRPr="00750626">
              <w:rPr>
                <w:rFonts w:ascii="Arial" w:hAnsi="Arial" w:cs="Arial"/>
                <w:sz w:val="22"/>
              </w:rPr>
              <w:t xml:space="preserve"> recommended to be scheduled even though </w:t>
            </w:r>
            <w:r w:rsidR="004A54FB">
              <w:rPr>
                <w:rFonts w:ascii="Arial" w:hAnsi="Arial" w:cs="Arial"/>
                <w:sz w:val="22"/>
              </w:rPr>
              <w:t>they have not been</w:t>
            </w:r>
            <w:r w:rsidRPr="00750626">
              <w:rPr>
                <w:rFonts w:ascii="Arial" w:hAnsi="Arial" w:cs="Arial"/>
                <w:sz w:val="22"/>
              </w:rPr>
              <w:t xml:space="preserve"> seen </w:t>
            </w:r>
            <w:r w:rsidR="004A54FB">
              <w:rPr>
                <w:rFonts w:ascii="Arial" w:hAnsi="Arial" w:cs="Arial"/>
                <w:sz w:val="22"/>
              </w:rPr>
              <w:t>in</w:t>
            </w:r>
            <w:r w:rsidRPr="00750626">
              <w:rPr>
                <w:rFonts w:ascii="Arial" w:hAnsi="Arial" w:cs="Arial"/>
                <w:sz w:val="22"/>
              </w:rPr>
              <w:t xml:space="preserve"> N</w:t>
            </w:r>
            <w:r w:rsidR="004A54FB">
              <w:rPr>
                <w:rFonts w:ascii="Arial" w:hAnsi="Arial" w:cs="Arial"/>
                <w:sz w:val="22"/>
              </w:rPr>
              <w:t xml:space="preserve">ew </w:t>
            </w:r>
            <w:r w:rsidRPr="00750626">
              <w:rPr>
                <w:rFonts w:ascii="Arial" w:hAnsi="Arial" w:cs="Arial"/>
                <w:sz w:val="22"/>
              </w:rPr>
              <w:t>Z</w:t>
            </w:r>
            <w:r w:rsidR="004A54FB">
              <w:rPr>
                <w:rFonts w:ascii="Arial" w:hAnsi="Arial" w:cs="Arial"/>
                <w:sz w:val="22"/>
              </w:rPr>
              <w:t>ealand</w:t>
            </w:r>
            <w:r w:rsidRPr="00750626">
              <w:rPr>
                <w:rFonts w:ascii="Arial" w:hAnsi="Arial" w:cs="Arial"/>
                <w:sz w:val="22"/>
              </w:rPr>
              <w:t xml:space="preserve">. However, there was a general consensus that the Committee </w:t>
            </w:r>
            <w:r w:rsidR="007B1BD4" w:rsidRPr="00750626">
              <w:rPr>
                <w:rFonts w:ascii="Arial" w:hAnsi="Arial" w:cs="Arial"/>
                <w:sz w:val="22"/>
              </w:rPr>
              <w:t>needs</w:t>
            </w:r>
            <w:r w:rsidRPr="00750626">
              <w:rPr>
                <w:rFonts w:ascii="Arial" w:hAnsi="Arial" w:cs="Arial"/>
                <w:sz w:val="22"/>
              </w:rPr>
              <w:t xml:space="preserve"> more</w:t>
            </w:r>
            <w:r w:rsidR="007B1BD4" w:rsidRPr="00750626">
              <w:rPr>
                <w:rFonts w:ascii="Arial" w:hAnsi="Arial" w:cs="Arial"/>
                <w:sz w:val="22"/>
              </w:rPr>
              <w:t xml:space="preserve"> information about risk of harm of this substance in order to recommend an appropriate classification.</w:t>
            </w:r>
          </w:p>
          <w:p w14:paraId="3C825A0F" w14:textId="77777777" w:rsidR="00361880" w:rsidRPr="00750626" w:rsidRDefault="00361880" w:rsidP="00361880">
            <w:pPr>
              <w:tabs>
                <w:tab w:val="right" w:leader="underscore" w:pos="5670"/>
                <w:tab w:val="left" w:pos="6237"/>
              </w:tabs>
              <w:rPr>
                <w:rFonts w:ascii="Arial" w:hAnsi="Arial" w:cs="Arial"/>
                <w:b/>
                <w:sz w:val="28"/>
              </w:rPr>
            </w:pPr>
          </w:p>
          <w:p w14:paraId="6FC5CC56" w14:textId="6BDF2BB9" w:rsidR="00361880" w:rsidRPr="00750626" w:rsidRDefault="00361880" w:rsidP="00361880">
            <w:pPr>
              <w:rPr>
                <w:rFonts w:ascii="Arial" w:hAnsi="Arial" w:cs="Arial"/>
                <w:sz w:val="28"/>
              </w:rPr>
            </w:pPr>
            <w:r w:rsidRPr="00750626">
              <w:rPr>
                <w:rFonts w:ascii="Arial" w:hAnsi="Arial" w:cs="Arial"/>
                <w:b/>
                <w:sz w:val="22"/>
              </w:rPr>
              <w:t>Outcome:</w:t>
            </w:r>
            <w:r w:rsidRPr="00750626">
              <w:rPr>
                <w:rFonts w:ascii="Arial" w:hAnsi="Arial" w:cs="Arial"/>
                <w:sz w:val="22"/>
              </w:rPr>
              <w:t xml:space="preserve"> </w:t>
            </w:r>
            <w:r w:rsidR="00894472" w:rsidRPr="00894472">
              <w:rPr>
                <w:rFonts w:ascii="Arial" w:hAnsi="Arial" w:cs="Arial"/>
                <w:sz w:val="22"/>
                <w:lang w:val="en-GB"/>
              </w:rPr>
              <w:t>[redacted under section 9(2</w:t>
            </w:r>
            <w:proofErr w:type="gramStart"/>
            <w:r w:rsidR="00894472" w:rsidRPr="00894472">
              <w:rPr>
                <w:rFonts w:ascii="Arial" w:hAnsi="Arial" w:cs="Arial"/>
                <w:sz w:val="22"/>
                <w:lang w:val="en-GB"/>
              </w:rPr>
              <w:t>)(</w:t>
            </w:r>
            <w:proofErr w:type="spellStart"/>
            <w:proofErr w:type="gramEnd"/>
            <w:r w:rsidR="00894472" w:rsidRPr="00894472">
              <w:rPr>
                <w:rFonts w:ascii="Arial" w:hAnsi="Arial" w:cs="Arial"/>
                <w:sz w:val="22"/>
                <w:lang w:val="en-GB"/>
              </w:rPr>
              <w:t>ba</w:t>
            </w:r>
            <w:proofErr w:type="spellEnd"/>
            <w:r w:rsidR="00894472" w:rsidRPr="00894472">
              <w:rPr>
                <w:rFonts w:ascii="Arial" w:hAnsi="Arial" w:cs="Arial"/>
                <w:sz w:val="22"/>
                <w:lang w:val="en-GB"/>
              </w:rPr>
              <w:t xml:space="preserve">)] </w:t>
            </w:r>
            <w:r w:rsidRPr="00750626">
              <w:rPr>
                <w:rFonts w:ascii="Arial" w:hAnsi="Arial" w:cs="Arial"/>
                <w:sz w:val="22"/>
              </w:rPr>
              <w:t xml:space="preserve">proposed that U-47700 be deferred to the next meeting in October when there may be more information available. The Committee were all in favour. </w:t>
            </w:r>
          </w:p>
          <w:p w14:paraId="52BA1846" w14:textId="77777777" w:rsidR="00361880" w:rsidRPr="00750626" w:rsidRDefault="00361880" w:rsidP="00361880">
            <w:pPr>
              <w:rPr>
                <w:rFonts w:ascii="Arial" w:hAnsi="Arial" w:cs="Arial"/>
                <w:b/>
                <w:sz w:val="22"/>
              </w:rPr>
            </w:pPr>
          </w:p>
        </w:tc>
      </w:tr>
      <w:tr w:rsidR="00361880" w:rsidRPr="00750626" w14:paraId="4475A30D" w14:textId="77777777" w:rsidTr="00C73693">
        <w:tc>
          <w:tcPr>
            <w:tcW w:w="880" w:type="dxa"/>
          </w:tcPr>
          <w:p w14:paraId="3CFC4EE2" w14:textId="6B1A3CF9"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sz w:val="22"/>
              </w:rPr>
              <w:t>13</w:t>
            </w:r>
          </w:p>
        </w:tc>
        <w:tc>
          <w:tcPr>
            <w:tcW w:w="8925" w:type="dxa"/>
          </w:tcPr>
          <w:p w14:paraId="566336C5" w14:textId="161FB631" w:rsidR="00361880" w:rsidRPr="00750626" w:rsidRDefault="00361880" w:rsidP="00361880">
            <w:pPr>
              <w:rPr>
                <w:rFonts w:ascii="Arial" w:hAnsi="Arial" w:cs="Arial"/>
                <w:b/>
                <w:sz w:val="28"/>
              </w:rPr>
            </w:pPr>
            <w:r w:rsidRPr="00750626">
              <w:rPr>
                <w:rFonts w:ascii="Arial" w:hAnsi="Arial" w:cs="Arial"/>
                <w:b/>
                <w:sz w:val="22"/>
              </w:rPr>
              <w:t>PMMA</w:t>
            </w:r>
          </w:p>
          <w:p w14:paraId="1F477D00" w14:textId="4674B7D9" w:rsidR="00361880" w:rsidRPr="00750626" w:rsidRDefault="00361880" w:rsidP="00361880">
            <w:pPr>
              <w:rPr>
                <w:rFonts w:ascii="Arial" w:hAnsi="Arial" w:cs="Arial"/>
                <w:sz w:val="28"/>
              </w:rPr>
            </w:pPr>
            <w:r w:rsidRPr="00750626">
              <w:rPr>
                <w:rFonts w:ascii="Arial" w:hAnsi="Arial" w:cs="Arial"/>
                <w:b/>
                <w:sz w:val="22"/>
              </w:rPr>
              <w:lastRenderedPageBreak/>
              <w:t>Outcome:</w:t>
            </w:r>
            <w:r w:rsidRPr="00750626">
              <w:rPr>
                <w:rFonts w:ascii="Arial" w:hAnsi="Arial" w:cs="Arial"/>
                <w:sz w:val="22"/>
              </w:rPr>
              <w:t xml:space="preserve"> Deferred to the October meeting.</w:t>
            </w:r>
          </w:p>
          <w:p w14:paraId="366B10F0" w14:textId="77777777" w:rsidR="00361880" w:rsidRPr="00750626" w:rsidRDefault="00361880" w:rsidP="00361880">
            <w:pPr>
              <w:rPr>
                <w:rFonts w:ascii="Arial" w:hAnsi="Arial" w:cs="Arial"/>
                <w:b/>
                <w:sz w:val="28"/>
              </w:rPr>
            </w:pPr>
          </w:p>
        </w:tc>
      </w:tr>
      <w:tr w:rsidR="00361880" w:rsidRPr="00750626" w14:paraId="52EF3688" w14:textId="77777777" w:rsidTr="00C73693">
        <w:tc>
          <w:tcPr>
            <w:tcW w:w="880" w:type="dxa"/>
          </w:tcPr>
          <w:p w14:paraId="06AC1F19" w14:textId="2FCC0141"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sz w:val="22"/>
              </w:rPr>
              <w:lastRenderedPageBreak/>
              <w:t>13</w:t>
            </w:r>
          </w:p>
        </w:tc>
        <w:tc>
          <w:tcPr>
            <w:tcW w:w="8925" w:type="dxa"/>
          </w:tcPr>
          <w:p w14:paraId="319676FF" w14:textId="599D3770" w:rsidR="00361880" w:rsidRPr="00750626" w:rsidRDefault="00361880" w:rsidP="00361880">
            <w:pPr>
              <w:rPr>
                <w:rFonts w:ascii="Arial" w:hAnsi="Arial" w:cs="Arial"/>
                <w:b/>
                <w:sz w:val="28"/>
              </w:rPr>
            </w:pPr>
            <w:r w:rsidRPr="00750626">
              <w:rPr>
                <w:rFonts w:ascii="Arial" w:hAnsi="Arial" w:cs="Arial"/>
                <w:b/>
                <w:sz w:val="22"/>
              </w:rPr>
              <w:t>Other business</w:t>
            </w:r>
          </w:p>
          <w:p w14:paraId="71EE666D" w14:textId="77777777" w:rsidR="00361880" w:rsidRPr="00750626" w:rsidRDefault="00361880" w:rsidP="00361880">
            <w:pPr>
              <w:rPr>
                <w:rFonts w:ascii="Arial" w:hAnsi="Arial" w:cs="Arial"/>
                <w:sz w:val="22"/>
              </w:rPr>
            </w:pPr>
            <w:r w:rsidRPr="00750626">
              <w:rPr>
                <w:rFonts w:ascii="Arial" w:hAnsi="Arial" w:cs="Arial"/>
                <w:b/>
                <w:sz w:val="22"/>
              </w:rPr>
              <w:t>Action</w:t>
            </w:r>
            <w:r w:rsidRPr="00750626">
              <w:rPr>
                <w:rFonts w:ascii="Arial" w:hAnsi="Arial" w:cs="Arial"/>
                <w:sz w:val="22"/>
              </w:rPr>
              <w:t xml:space="preserve">: The Committee to email Secretariat for availability for the October meeting. </w:t>
            </w:r>
          </w:p>
          <w:p w14:paraId="1431BB68" w14:textId="57446337" w:rsidR="001F67FA" w:rsidRPr="00750626" w:rsidRDefault="001F67FA" w:rsidP="00361880">
            <w:pPr>
              <w:rPr>
                <w:rFonts w:ascii="Arial" w:hAnsi="Arial" w:cs="Arial"/>
                <w:b/>
                <w:sz w:val="28"/>
              </w:rPr>
            </w:pPr>
          </w:p>
        </w:tc>
      </w:tr>
      <w:tr w:rsidR="00361880" w:rsidRPr="00750626" w14:paraId="747B4465" w14:textId="77777777" w:rsidTr="00C73693">
        <w:tc>
          <w:tcPr>
            <w:tcW w:w="880" w:type="dxa"/>
          </w:tcPr>
          <w:p w14:paraId="7A4B8B75" w14:textId="34C00D4E"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sz w:val="22"/>
              </w:rPr>
              <w:t>14</w:t>
            </w:r>
          </w:p>
        </w:tc>
        <w:tc>
          <w:tcPr>
            <w:tcW w:w="8925" w:type="dxa"/>
          </w:tcPr>
          <w:p w14:paraId="3F320DB3" w14:textId="77777777"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b/>
                <w:sz w:val="22"/>
              </w:rPr>
              <w:t>Future meetings</w:t>
            </w:r>
          </w:p>
          <w:p w14:paraId="7E447227" w14:textId="6848A87D" w:rsidR="00361880" w:rsidRPr="00750626" w:rsidRDefault="00361880" w:rsidP="00361880">
            <w:pPr>
              <w:tabs>
                <w:tab w:val="right" w:leader="underscore" w:pos="5670"/>
                <w:tab w:val="left" w:pos="6237"/>
              </w:tabs>
              <w:rPr>
                <w:rFonts w:ascii="Arial" w:hAnsi="Arial" w:cs="Arial"/>
                <w:sz w:val="28"/>
              </w:rPr>
            </w:pPr>
            <w:r w:rsidRPr="00750626">
              <w:rPr>
                <w:rFonts w:ascii="Arial" w:hAnsi="Arial" w:cs="Arial"/>
                <w:sz w:val="22"/>
              </w:rPr>
              <w:t>The next meeting will be held in October. Time and exact date TBC.</w:t>
            </w:r>
          </w:p>
          <w:p w14:paraId="22DC321D" w14:textId="77777777" w:rsidR="00361880" w:rsidRPr="004A54FB" w:rsidRDefault="00361880" w:rsidP="00361880">
            <w:pPr>
              <w:tabs>
                <w:tab w:val="right" w:leader="underscore" w:pos="5670"/>
                <w:tab w:val="left" w:pos="6237"/>
              </w:tabs>
              <w:rPr>
                <w:rFonts w:ascii="Arial" w:hAnsi="Arial" w:cs="Arial"/>
                <w:sz w:val="22"/>
              </w:rPr>
            </w:pPr>
          </w:p>
        </w:tc>
      </w:tr>
    </w:tbl>
    <w:p w14:paraId="37FBC9EF" w14:textId="77777777" w:rsidR="007F6F56" w:rsidRPr="00750626" w:rsidRDefault="007F6F56" w:rsidP="007F6F56">
      <w:pPr>
        <w:rPr>
          <w:rFonts w:cs="Arial"/>
          <w:sz w:val="28"/>
        </w:rPr>
      </w:pPr>
    </w:p>
    <w:p w14:paraId="517E9763" w14:textId="254C9336" w:rsidR="007F6F56" w:rsidRPr="004A54FB" w:rsidRDefault="00E14585" w:rsidP="007F6F56">
      <w:pPr>
        <w:tabs>
          <w:tab w:val="right" w:leader="underscore" w:pos="5670"/>
          <w:tab w:val="left" w:pos="6237"/>
        </w:tabs>
        <w:rPr>
          <w:rFonts w:cs="Arial"/>
          <w:sz w:val="22"/>
        </w:rPr>
      </w:pPr>
      <w:r w:rsidRPr="004A54FB">
        <w:rPr>
          <w:rFonts w:cs="Arial"/>
          <w:sz w:val="22"/>
        </w:rPr>
        <w:t xml:space="preserve">The meeting closed at </w:t>
      </w:r>
      <w:r w:rsidR="0087273F" w:rsidRPr="004A54FB">
        <w:rPr>
          <w:rFonts w:cs="Arial"/>
          <w:sz w:val="22"/>
        </w:rPr>
        <w:t>2</w:t>
      </w:r>
      <w:r w:rsidR="00B9696F" w:rsidRPr="004A54FB">
        <w:rPr>
          <w:rFonts w:cs="Arial"/>
          <w:sz w:val="22"/>
        </w:rPr>
        <w:t>.50pm</w:t>
      </w:r>
    </w:p>
    <w:p w14:paraId="00828856" w14:textId="77777777" w:rsidR="00E14585" w:rsidRPr="00750626" w:rsidRDefault="00E14585" w:rsidP="007F6F56">
      <w:pPr>
        <w:tabs>
          <w:tab w:val="right" w:leader="underscore" w:pos="5670"/>
          <w:tab w:val="left" w:pos="6237"/>
        </w:tabs>
        <w:rPr>
          <w:rFonts w:cs="Arial"/>
          <w:sz w:val="28"/>
        </w:rPr>
      </w:pPr>
    </w:p>
    <w:tbl>
      <w:tblPr>
        <w:tblStyle w:val="TableGrid"/>
        <w:tblW w:w="0" w:type="auto"/>
        <w:tblInd w:w="108" w:type="dxa"/>
        <w:tblLook w:val="04A0" w:firstRow="1" w:lastRow="0" w:firstColumn="1" w:lastColumn="0" w:noHBand="0" w:noVBand="1"/>
      </w:tblPr>
      <w:tblGrid>
        <w:gridCol w:w="936"/>
        <w:gridCol w:w="5507"/>
        <w:gridCol w:w="1910"/>
        <w:gridCol w:w="1452"/>
      </w:tblGrid>
      <w:tr w:rsidR="0014031D" w:rsidRPr="00750626" w14:paraId="5905B169" w14:textId="77777777" w:rsidTr="00A87D1D">
        <w:tc>
          <w:tcPr>
            <w:tcW w:w="936" w:type="dxa"/>
          </w:tcPr>
          <w:p w14:paraId="4266046B" w14:textId="77777777" w:rsidR="0014031D" w:rsidRPr="00750626" w:rsidRDefault="0014031D" w:rsidP="004856A2">
            <w:pPr>
              <w:rPr>
                <w:rFonts w:ascii="Arial" w:hAnsi="Arial" w:cs="Arial"/>
                <w:sz w:val="22"/>
                <w:szCs w:val="22"/>
              </w:rPr>
            </w:pPr>
            <w:r w:rsidRPr="00750626">
              <w:rPr>
                <w:rFonts w:ascii="Arial" w:hAnsi="Arial" w:cs="Arial"/>
                <w:b/>
                <w:sz w:val="22"/>
                <w:szCs w:val="22"/>
              </w:rPr>
              <w:t>Item</w:t>
            </w:r>
          </w:p>
        </w:tc>
        <w:tc>
          <w:tcPr>
            <w:tcW w:w="5507" w:type="dxa"/>
          </w:tcPr>
          <w:p w14:paraId="5EC45848" w14:textId="77777777" w:rsidR="0014031D" w:rsidRPr="00750626" w:rsidRDefault="0014031D" w:rsidP="004856A2">
            <w:pPr>
              <w:rPr>
                <w:rFonts w:ascii="Arial" w:hAnsi="Arial" w:cs="Arial"/>
                <w:b/>
                <w:sz w:val="22"/>
                <w:szCs w:val="22"/>
              </w:rPr>
            </w:pPr>
            <w:r w:rsidRPr="00750626">
              <w:rPr>
                <w:rFonts w:ascii="Arial" w:hAnsi="Arial" w:cs="Arial"/>
                <w:b/>
                <w:sz w:val="22"/>
                <w:szCs w:val="22"/>
              </w:rPr>
              <w:t>Action</w:t>
            </w:r>
          </w:p>
        </w:tc>
        <w:tc>
          <w:tcPr>
            <w:tcW w:w="1910" w:type="dxa"/>
          </w:tcPr>
          <w:p w14:paraId="2D7BB313" w14:textId="77777777" w:rsidR="0014031D" w:rsidRPr="00750626" w:rsidRDefault="0014031D" w:rsidP="004856A2">
            <w:pPr>
              <w:rPr>
                <w:rFonts w:ascii="Arial" w:hAnsi="Arial" w:cs="Arial"/>
                <w:b/>
                <w:sz w:val="22"/>
                <w:szCs w:val="22"/>
              </w:rPr>
            </w:pPr>
            <w:r w:rsidRPr="00750626">
              <w:rPr>
                <w:rFonts w:ascii="Arial" w:hAnsi="Arial" w:cs="Arial"/>
                <w:b/>
                <w:sz w:val="22"/>
                <w:szCs w:val="22"/>
              </w:rPr>
              <w:t>Who</w:t>
            </w:r>
          </w:p>
        </w:tc>
        <w:tc>
          <w:tcPr>
            <w:tcW w:w="1452" w:type="dxa"/>
          </w:tcPr>
          <w:p w14:paraId="7D91AF79" w14:textId="77777777" w:rsidR="0014031D" w:rsidRPr="00750626" w:rsidRDefault="0014031D" w:rsidP="004856A2">
            <w:pPr>
              <w:rPr>
                <w:rFonts w:ascii="Arial" w:hAnsi="Arial" w:cs="Arial"/>
                <w:b/>
                <w:sz w:val="28"/>
              </w:rPr>
            </w:pPr>
            <w:r w:rsidRPr="00750626">
              <w:rPr>
                <w:rFonts w:ascii="Arial" w:hAnsi="Arial" w:cs="Arial"/>
                <w:b/>
                <w:sz w:val="22"/>
              </w:rPr>
              <w:t>Completed</w:t>
            </w:r>
          </w:p>
        </w:tc>
      </w:tr>
      <w:tr w:rsidR="0014031D" w:rsidRPr="00750626" w14:paraId="61D4AAC4" w14:textId="77777777" w:rsidTr="00A87D1D">
        <w:tc>
          <w:tcPr>
            <w:tcW w:w="936" w:type="dxa"/>
          </w:tcPr>
          <w:p w14:paraId="4A73FE1B"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5EE84067" w14:textId="77777777" w:rsidR="0014031D" w:rsidRPr="00750626" w:rsidRDefault="0014031D" w:rsidP="004856A2">
            <w:pPr>
              <w:rPr>
                <w:rFonts w:ascii="Arial" w:hAnsi="Arial" w:cs="Arial"/>
                <w:sz w:val="22"/>
                <w:szCs w:val="22"/>
              </w:rPr>
            </w:pPr>
            <w:r w:rsidRPr="00750626">
              <w:rPr>
                <w:rFonts w:ascii="Arial" w:hAnsi="Arial" w:cs="Arial"/>
                <w:sz w:val="22"/>
                <w:szCs w:val="22"/>
              </w:rPr>
              <w:t>Draft a letter from the Committee to the Minister on the following:</w:t>
            </w:r>
          </w:p>
          <w:p w14:paraId="268B3B85" w14:textId="77777777" w:rsidR="00EC63A8" w:rsidRDefault="0014031D" w:rsidP="00EC63A8">
            <w:pPr>
              <w:rPr>
                <w:rFonts w:ascii="Arial" w:hAnsi="Arial" w:cs="Arial"/>
                <w:sz w:val="22"/>
                <w:szCs w:val="22"/>
              </w:rPr>
            </w:pPr>
            <w:r w:rsidRPr="00750626">
              <w:rPr>
                <w:rFonts w:ascii="Arial" w:hAnsi="Arial" w:cs="Arial"/>
                <w:sz w:val="22"/>
                <w:szCs w:val="22"/>
              </w:rPr>
              <w:t xml:space="preserve">- the Committee’s concerns over the time it takes to schedule substances and impacts of delays </w:t>
            </w:r>
          </w:p>
          <w:p w14:paraId="59A371F6" w14:textId="39652A94" w:rsidR="00A87D1D" w:rsidRDefault="00A87D1D" w:rsidP="00A87D1D">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Committee’s suggestion to </w:t>
            </w:r>
            <w:r w:rsidRPr="00750626">
              <w:rPr>
                <w:rFonts w:ascii="Arial" w:hAnsi="Arial" w:cs="Arial"/>
                <w:sz w:val="22"/>
                <w:szCs w:val="22"/>
              </w:rPr>
              <w:t xml:space="preserve">modify the analogues provision in </w:t>
            </w:r>
            <w:proofErr w:type="spellStart"/>
            <w:r w:rsidRPr="00750626">
              <w:rPr>
                <w:rFonts w:ascii="Arial" w:hAnsi="Arial" w:cs="Arial"/>
                <w:sz w:val="22"/>
                <w:szCs w:val="22"/>
              </w:rPr>
              <w:t>MoDA</w:t>
            </w:r>
            <w:proofErr w:type="spellEnd"/>
            <w:r w:rsidRPr="00750626">
              <w:rPr>
                <w:rFonts w:ascii="Arial" w:hAnsi="Arial" w:cs="Arial"/>
                <w:sz w:val="22"/>
                <w:szCs w:val="22"/>
              </w:rPr>
              <w:t xml:space="preserve"> to allow controlled drug analogues to be captured</w:t>
            </w:r>
            <w:r>
              <w:rPr>
                <w:rFonts w:ascii="Arial" w:hAnsi="Arial" w:cs="Arial"/>
                <w:sz w:val="22"/>
                <w:szCs w:val="22"/>
              </w:rPr>
              <w:t xml:space="preserve"> </w:t>
            </w:r>
            <w:r w:rsidRPr="00750626">
              <w:rPr>
                <w:rFonts w:ascii="Arial" w:hAnsi="Arial" w:cs="Arial"/>
                <w:sz w:val="22"/>
                <w:szCs w:val="22"/>
              </w:rPr>
              <w:t>under the same classification as their parent substances in the letter from the Committee.</w:t>
            </w:r>
          </w:p>
          <w:p w14:paraId="6362F3EC" w14:textId="2E7D4B25" w:rsidR="00A87D1D" w:rsidRPr="00750626" w:rsidRDefault="00A87D1D" w:rsidP="00A87D1D">
            <w:pPr>
              <w:tabs>
                <w:tab w:val="right" w:leader="underscore" w:pos="5670"/>
                <w:tab w:val="left" w:pos="623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Committee’s suggestion to</w:t>
            </w:r>
            <w:r>
              <w:rPr>
                <w:rFonts w:ascii="Arial" w:hAnsi="Arial" w:cs="Arial"/>
                <w:sz w:val="22"/>
              </w:rPr>
              <w:t xml:space="preserve"> schedule fentanyl analogues as “fentanyl analogues”.</w:t>
            </w:r>
          </w:p>
        </w:tc>
        <w:tc>
          <w:tcPr>
            <w:tcW w:w="1910" w:type="dxa"/>
          </w:tcPr>
          <w:p w14:paraId="66348E02"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0938C470" w14:textId="77777777" w:rsidR="0014031D" w:rsidRPr="00750626" w:rsidRDefault="0014031D" w:rsidP="004856A2">
            <w:pPr>
              <w:rPr>
                <w:rFonts w:ascii="Arial" w:hAnsi="Arial" w:cs="Arial"/>
                <w:sz w:val="28"/>
              </w:rPr>
            </w:pPr>
          </w:p>
        </w:tc>
      </w:tr>
      <w:tr w:rsidR="0014031D" w:rsidRPr="00750626" w14:paraId="2A6B12A0" w14:textId="77777777" w:rsidTr="00A87D1D">
        <w:tc>
          <w:tcPr>
            <w:tcW w:w="936" w:type="dxa"/>
          </w:tcPr>
          <w:p w14:paraId="36A8163E"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696A17B8" w14:textId="77777777" w:rsidR="0014031D" w:rsidRPr="00750626" w:rsidRDefault="0014031D" w:rsidP="004856A2">
            <w:pPr>
              <w:rPr>
                <w:rFonts w:ascii="Arial" w:hAnsi="Arial" w:cs="Arial"/>
                <w:sz w:val="22"/>
                <w:szCs w:val="22"/>
              </w:rPr>
            </w:pPr>
            <w:r w:rsidRPr="00750626">
              <w:rPr>
                <w:rFonts w:ascii="Arial" w:hAnsi="Arial" w:cs="Arial"/>
                <w:sz w:val="22"/>
                <w:szCs w:val="22"/>
              </w:rPr>
              <w:t xml:space="preserve">Note the Committee’s concerns mentioned above in future Health Reports. </w:t>
            </w:r>
          </w:p>
        </w:tc>
        <w:tc>
          <w:tcPr>
            <w:tcW w:w="1910" w:type="dxa"/>
          </w:tcPr>
          <w:p w14:paraId="261CEDD3"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3EDC746B" w14:textId="77777777" w:rsidR="0014031D" w:rsidRPr="00750626" w:rsidRDefault="0014031D" w:rsidP="004856A2">
            <w:pPr>
              <w:rPr>
                <w:rFonts w:ascii="Arial" w:hAnsi="Arial" w:cs="Arial"/>
                <w:sz w:val="28"/>
              </w:rPr>
            </w:pPr>
          </w:p>
        </w:tc>
      </w:tr>
      <w:tr w:rsidR="0014031D" w:rsidRPr="00750626" w14:paraId="7896619E" w14:textId="77777777" w:rsidTr="00A87D1D">
        <w:tc>
          <w:tcPr>
            <w:tcW w:w="936" w:type="dxa"/>
          </w:tcPr>
          <w:p w14:paraId="68B65139"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3556F464" w14:textId="77777777" w:rsidR="0014031D" w:rsidRPr="00750626" w:rsidRDefault="0014031D" w:rsidP="004856A2">
            <w:pPr>
              <w:rPr>
                <w:rFonts w:ascii="Arial" w:hAnsi="Arial" w:cs="Arial"/>
                <w:sz w:val="22"/>
                <w:szCs w:val="22"/>
              </w:rPr>
            </w:pPr>
            <w:r w:rsidRPr="00750626">
              <w:rPr>
                <w:rFonts w:ascii="Arial" w:hAnsi="Arial" w:cs="Arial"/>
                <w:sz w:val="22"/>
                <w:szCs w:val="22"/>
              </w:rPr>
              <w:t xml:space="preserve">Consult with relevant stakeholders and begin the process to schedule tramadol as a Class C2 controlled drug under </w:t>
            </w:r>
            <w:proofErr w:type="spellStart"/>
            <w:r w:rsidRPr="00750626">
              <w:rPr>
                <w:rFonts w:ascii="Arial" w:hAnsi="Arial" w:cs="Arial"/>
                <w:sz w:val="22"/>
                <w:szCs w:val="22"/>
              </w:rPr>
              <w:t>MoDA</w:t>
            </w:r>
            <w:proofErr w:type="spellEnd"/>
            <w:r w:rsidRPr="00750626">
              <w:rPr>
                <w:rFonts w:ascii="Arial" w:hAnsi="Arial" w:cs="Arial"/>
                <w:sz w:val="22"/>
                <w:szCs w:val="22"/>
              </w:rPr>
              <w:t>.</w:t>
            </w:r>
          </w:p>
        </w:tc>
        <w:tc>
          <w:tcPr>
            <w:tcW w:w="1910" w:type="dxa"/>
          </w:tcPr>
          <w:p w14:paraId="63EA5D65"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310DC6F5" w14:textId="77777777" w:rsidR="0014031D" w:rsidRPr="00750626" w:rsidRDefault="0014031D" w:rsidP="004856A2">
            <w:pPr>
              <w:rPr>
                <w:rFonts w:ascii="Arial" w:hAnsi="Arial" w:cs="Arial"/>
                <w:sz w:val="28"/>
              </w:rPr>
            </w:pPr>
          </w:p>
        </w:tc>
      </w:tr>
      <w:tr w:rsidR="0014031D" w:rsidRPr="00750626" w14:paraId="48E1D534" w14:textId="77777777" w:rsidTr="00A87D1D">
        <w:tc>
          <w:tcPr>
            <w:tcW w:w="936" w:type="dxa"/>
          </w:tcPr>
          <w:p w14:paraId="3C2BE894"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7B864B1B" w14:textId="4E157366" w:rsidR="0014031D" w:rsidRPr="00750626" w:rsidRDefault="0014031D" w:rsidP="0054779E">
            <w:pPr>
              <w:tabs>
                <w:tab w:val="right" w:leader="underscore" w:pos="5670"/>
                <w:tab w:val="left" w:pos="6237"/>
              </w:tabs>
              <w:rPr>
                <w:rFonts w:ascii="Arial" w:hAnsi="Arial" w:cs="Arial"/>
                <w:sz w:val="22"/>
                <w:szCs w:val="22"/>
              </w:rPr>
            </w:pPr>
            <w:r w:rsidRPr="00750626">
              <w:rPr>
                <w:rFonts w:ascii="Arial" w:hAnsi="Arial" w:cs="Arial"/>
                <w:sz w:val="22"/>
                <w:szCs w:val="22"/>
              </w:rPr>
              <w:t xml:space="preserve">Consult with relevant stakeholders and begin the process to schedule </w:t>
            </w:r>
            <w:proofErr w:type="spellStart"/>
            <w:r w:rsidRPr="00750626">
              <w:rPr>
                <w:rFonts w:ascii="Arial" w:hAnsi="Arial" w:cs="Arial"/>
                <w:sz w:val="22"/>
                <w:szCs w:val="22"/>
              </w:rPr>
              <w:t>ocfentanil</w:t>
            </w:r>
            <w:proofErr w:type="spellEnd"/>
            <w:r w:rsidRPr="00750626">
              <w:rPr>
                <w:rFonts w:ascii="Arial" w:hAnsi="Arial" w:cs="Arial"/>
                <w:sz w:val="22"/>
                <w:szCs w:val="22"/>
              </w:rPr>
              <w:t xml:space="preserve">, </w:t>
            </w:r>
            <w:proofErr w:type="spellStart"/>
            <w:r w:rsidRPr="00750626">
              <w:rPr>
                <w:rFonts w:ascii="Arial" w:hAnsi="Arial" w:cs="Arial"/>
                <w:sz w:val="22"/>
                <w:szCs w:val="22"/>
              </w:rPr>
              <w:t>acetylfentanyl</w:t>
            </w:r>
            <w:proofErr w:type="spellEnd"/>
            <w:r w:rsidRPr="00750626">
              <w:rPr>
                <w:rFonts w:ascii="Arial" w:hAnsi="Arial" w:cs="Arial"/>
                <w:sz w:val="22"/>
                <w:szCs w:val="22"/>
              </w:rPr>
              <w:t xml:space="preserve">, </w:t>
            </w:r>
            <w:proofErr w:type="spellStart"/>
            <w:r w:rsidRPr="00750626">
              <w:rPr>
                <w:rFonts w:ascii="Arial" w:hAnsi="Arial" w:cs="Arial"/>
                <w:sz w:val="22"/>
                <w:szCs w:val="22"/>
              </w:rPr>
              <w:t>butyrfentanyl</w:t>
            </w:r>
            <w:proofErr w:type="spellEnd"/>
            <w:r w:rsidRPr="00750626">
              <w:rPr>
                <w:rFonts w:ascii="Arial" w:hAnsi="Arial" w:cs="Arial"/>
                <w:sz w:val="22"/>
                <w:szCs w:val="22"/>
              </w:rPr>
              <w:t xml:space="preserve">, </w:t>
            </w:r>
            <w:proofErr w:type="spellStart"/>
            <w:r w:rsidRPr="00750626">
              <w:rPr>
                <w:rFonts w:ascii="Arial" w:hAnsi="Arial" w:cs="Arial"/>
                <w:sz w:val="22"/>
                <w:szCs w:val="22"/>
              </w:rPr>
              <w:t>acryoylfentanyl</w:t>
            </w:r>
            <w:proofErr w:type="spellEnd"/>
            <w:r w:rsidRPr="00750626">
              <w:rPr>
                <w:rFonts w:ascii="Arial" w:hAnsi="Arial" w:cs="Arial"/>
                <w:sz w:val="22"/>
                <w:szCs w:val="22"/>
              </w:rPr>
              <w:t xml:space="preserve">, 4-FIBF, </w:t>
            </w:r>
            <w:proofErr w:type="spellStart"/>
            <w:r w:rsidRPr="00750626">
              <w:rPr>
                <w:rFonts w:ascii="Arial" w:hAnsi="Arial" w:cs="Arial"/>
                <w:sz w:val="22"/>
                <w:szCs w:val="22"/>
              </w:rPr>
              <w:t>furanylfentanyl</w:t>
            </w:r>
            <w:proofErr w:type="spellEnd"/>
            <w:r w:rsidRPr="00750626">
              <w:rPr>
                <w:rFonts w:ascii="Arial" w:hAnsi="Arial" w:cs="Arial"/>
                <w:sz w:val="22"/>
                <w:szCs w:val="22"/>
              </w:rPr>
              <w:t xml:space="preserve"> and THF-F as Class A controlled drugs and </w:t>
            </w:r>
            <w:proofErr w:type="spellStart"/>
            <w:r w:rsidRPr="00750626">
              <w:rPr>
                <w:rFonts w:ascii="Arial" w:hAnsi="Arial" w:cs="Arial"/>
                <w:sz w:val="22"/>
                <w:szCs w:val="22"/>
              </w:rPr>
              <w:t>carfentanil</w:t>
            </w:r>
            <w:proofErr w:type="spellEnd"/>
            <w:r w:rsidRPr="00750626">
              <w:rPr>
                <w:rFonts w:ascii="Arial" w:hAnsi="Arial" w:cs="Arial"/>
                <w:sz w:val="22"/>
                <w:szCs w:val="22"/>
              </w:rPr>
              <w:t xml:space="preserve"> as </w:t>
            </w:r>
            <w:r w:rsidR="0054779E">
              <w:rPr>
                <w:rFonts w:ascii="Arial" w:hAnsi="Arial" w:cs="Arial"/>
                <w:sz w:val="22"/>
                <w:szCs w:val="22"/>
              </w:rPr>
              <w:t>a Class A controlled drug</w:t>
            </w:r>
            <w:r w:rsidRPr="00750626">
              <w:rPr>
                <w:rFonts w:ascii="Arial" w:hAnsi="Arial" w:cs="Arial"/>
                <w:sz w:val="22"/>
                <w:szCs w:val="22"/>
              </w:rPr>
              <w:t xml:space="preserve"> or a Class B</w:t>
            </w:r>
            <w:r w:rsidR="00D26CAD">
              <w:rPr>
                <w:rFonts w:ascii="Arial" w:hAnsi="Arial" w:cs="Arial"/>
                <w:sz w:val="22"/>
                <w:szCs w:val="22"/>
              </w:rPr>
              <w:t>1</w:t>
            </w:r>
            <w:r w:rsidRPr="00750626">
              <w:rPr>
                <w:rFonts w:ascii="Arial" w:hAnsi="Arial" w:cs="Arial"/>
                <w:sz w:val="22"/>
                <w:szCs w:val="22"/>
              </w:rPr>
              <w:t xml:space="preserve"> controlled drug if there is a legitimate therapeutic use in the veterinary practice.</w:t>
            </w:r>
          </w:p>
        </w:tc>
        <w:tc>
          <w:tcPr>
            <w:tcW w:w="1910" w:type="dxa"/>
          </w:tcPr>
          <w:p w14:paraId="69FC46BD"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0E32AB49" w14:textId="77777777" w:rsidR="0014031D" w:rsidRPr="00750626" w:rsidRDefault="0014031D" w:rsidP="004856A2">
            <w:pPr>
              <w:rPr>
                <w:rFonts w:ascii="Arial" w:hAnsi="Arial" w:cs="Arial"/>
                <w:sz w:val="28"/>
              </w:rPr>
            </w:pPr>
          </w:p>
        </w:tc>
      </w:tr>
      <w:tr w:rsidR="0014031D" w:rsidRPr="00750626" w14:paraId="644654BB" w14:textId="77777777" w:rsidTr="00A87D1D">
        <w:tc>
          <w:tcPr>
            <w:tcW w:w="936" w:type="dxa"/>
          </w:tcPr>
          <w:p w14:paraId="0F81686D"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728FD56B"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Provide information about why the previously scheduled fentanyl analogues (</w:t>
            </w:r>
            <w:proofErr w:type="spellStart"/>
            <w:r w:rsidRPr="00750626">
              <w:rPr>
                <w:rFonts w:ascii="Arial" w:hAnsi="Arial" w:cs="Arial"/>
                <w:sz w:val="22"/>
                <w:szCs w:val="22"/>
              </w:rPr>
              <w:t>sufentanil</w:t>
            </w:r>
            <w:proofErr w:type="spellEnd"/>
            <w:r w:rsidRPr="00750626">
              <w:rPr>
                <w:rFonts w:ascii="Arial" w:hAnsi="Arial" w:cs="Arial"/>
                <w:sz w:val="22"/>
                <w:szCs w:val="22"/>
              </w:rPr>
              <w:t xml:space="preserve">, </w:t>
            </w:r>
            <w:proofErr w:type="spellStart"/>
            <w:r w:rsidRPr="00750626">
              <w:rPr>
                <w:rFonts w:ascii="Arial" w:hAnsi="Arial" w:cs="Arial"/>
                <w:sz w:val="22"/>
                <w:szCs w:val="22"/>
              </w:rPr>
              <w:t>alfentanil</w:t>
            </w:r>
            <w:proofErr w:type="spellEnd"/>
            <w:r w:rsidRPr="00750626">
              <w:rPr>
                <w:rFonts w:ascii="Arial" w:hAnsi="Arial" w:cs="Arial"/>
                <w:sz w:val="22"/>
                <w:szCs w:val="22"/>
              </w:rPr>
              <w:t xml:space="preserve"> and remifentanil) were classified as Class B3 controlled drugs, at the next meeting in October</w:t>
            </w:r>
          </w:p>
        </w:tc>
        <w:tc>
          <w:tcPr>
            <w:tcW w:w="1910" w:type="dxa"/>
          </w:tcPr>
          <w:p w14:paraId="12FB5014"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4E3BB973" w14:textId="77777777" w:rsidR="0014031D" w:rsidRPr="00750626" w:rsidRDefault="0014031D" w:rsidP="004856A2">
            <w:pPr>
              <w:rPr>
                <w:rFonts w:ascii="Arial" w:hAnsi="Arial" w:cs="Arial"/>
                <w:sz w:val="28"/>
              </w:rPr>
            </w:pPr>
          </w:p>
        </w:tc>
      </w:tr>
      <w:tr w:rsidR="0014031D" w:rsidRPr="00750626" w14:paraId="548C59A6" w14:textId="77777777" w:rsidTr="00A87D1D">
        <w:tc>
          <w:tcPr>
            <w:tcW w:w="936" w:type="dxa"/>
          </w:tcPr>
          <w:p w14:paraId="792D6F9C"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5F1FA02B"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Seek advice on obligations around classifications under the UN Conventions.</w:t>
            </w:r>
          </w:p>
        </w:tc>
        <w:tc>
          <w:tcPr>
            <w:tcW w:w="1910" w:type="dxa"/>
          </w:tcPr>
          <w:p w14:paraId="5B506C0F"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374E5E81" w14:textId="77777777" w:rsidR="0014031D" w:rsidRPr="00750626" w:rsidRDefault="0014031D" w:rsidP="004856A2">
            <w:pPr>
              <w:rPr>
                <w:rFonts w:ascii="Arial" w:hAnsi="Arial" w:cs="Arial"/>
                <w:sz w:val="28"/>
              </w:rPr>
            </w:pPr>
          </w:p>
        </w:tc>
      </w:tr>
      <w:tr w:rsidR="0014031D" w:rsidRPr="00750626" w14:paraId="764DF6CE" w14:textId="77777777" w:rsidTr="00A87D1D">
        <w:tc>
          <w:tcPr>
            <w:tcW w:w="936" w:type="dxa"/>
          </w:tcPr>
          <w:p w14:paraId="27580687" w14:textId="77777777" w:rsidR="0014031D" w:rsidRPr="00750626" w:rsidRDefault="0014031D" w:rsidP="0014031D">
            <w:pPr>
              <w:pStyle w:val="ListParagraph"/>
              <w:numPr>
                <w:ilvl w:val="0"/>
                <w:numId w:val="15"/>
              </w:numPr>
              <w:rPr>
                <w:rFonts w:ascii="Arial" w:hAnsi="Arial" w:cs="Arial"/>
                <w:sz w:val="22"/>
                <w:szCs w:val="22"/>
              </w:rPr>
            </w:pPr>
          </w:p>
          <w:p w14:paraId="76FF3EFC" w14:textId="77777777" w:rsidR="0014031D" w:rsidRPr="00750626" w:rsidRDefault="0014031D" w:rsidP="004856A2">
            <w:pPr>
              <w:rPr>
                <w:rFonts w:ascii="Arial" w:hAnsi="Arial" w:cs="Arial"/>
                <w:sz w:val="22"/>
                <w:szCs w:val="22"/>
              </w:rPr>
            </w:pPr>
          </w:p>
          <w:p w14:paraId="39203080" w14:textId="77777777" w:rsidR="0014031D" w:rsidRPr="00750626" w:rsidRDefault="0014031D" w:rsidP="004856A2">
            <w:pPr>
              <w:rPr>
                <w:rFonts w:ascii="Arial" w:hAnsi="Arial" w:cs="Arial"/>
                <w:sz w:val="22"/>
                <w:szCs w:val="22"/>
              </w:rPr>
            </w:pPr>
          </w:p>
          <w:p w14:paraId="22F16828" w14:textId="77777777" w:rsidR="0014031D" w:rsidRPr="00750626" w:rsidRDefault="0014031D" w:rsidP="004856A2">
            <w:pPr>
              <w:rPr>
                <w:rFonts w:ascii="Arial" w:hAnsi="Arial" w:cs="Arial"/>
                <w:sz w:val="22"/>
                <w:szCs w:val="22"/>
              </w:rPr>
            </w:pPr>
          </w:p>
        </w:tc>
        <w:tc>
          <w:tcPr>
            <w:tcW w:w="5507" w:type="dxa"/>
          </w:tcPr>
          <w:p w14:paraId="22358F37"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Liaise with NDIB to provide information on the following to inform the amount for presumption of supply for fentanyl analogues, 5F-ADB and AMB-FUBINACA:</w:t>
            </w:r>
          </w:p>
          <w:p w14:paraId="7BC3EBCC"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 forms that the analogues are supplied in</w:t>
            </w:r>
          </w:p>
          <w:p w14:paraId="2639E181"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 amounts typically sold on the street</w:t>
            </w:r>
            <w:r w:rsidRPr="00750626" w:rsidDel="00B442FB">
              <w:rPr>
                <w:rFonts w:ascii="Arial" w:hAnsi="Arial" w:cs="Arial"/>
                <w:sz w:val="22"/>
                <w:szCs w:val="22"/>
              </w:rPr>
              <w:t xml:space="preserve"> </w:t>
            </w:r>
          </w:p>
          <w:p w14:paraId="158CD706"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 amount for presumption of supply in other countries</w:t>
            </w:r>
          </w:p>
          <w:p w14:paraId="5721CDC1"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 xml:space="preserve">- </w:t>
            </w:r>
            <w:proofErr w:type="gramStart"/>
            <w:r w:rsidRPr="00750626">
              <w:rPr>
                <w:rFonts w:ascii="Arial" w:hAnsi="Arial" w:cs="Arial"/>
                <w:sz w:val="22"/>
                <w:szCs w:val="22"/>
              </w:rPr>
              <w:t>a</w:t>
            </w:r>
            <w:proofErr w:type="gramEnd"/>
            <w:r w:rsidRPr="00750626">
              <w:rPr>
                <w:rFonts w:ascii="Arial" w:hAnsi="Arial" w:cs="Arial"/>
                <w:sz w:val="22"/>
                <w:szCs w:val="22"/>
              </w:rPr>
              <w:t xml:space="preserve"> useable dose.</w:t>
            </w:r>
          </w:p>
        </w:tc>
        <w:tc>
          <w:tcPr>
            <w:tcW w:w="1910" w:type="dxa"/>
          </w:tcPr>
          <w:p w14:paraId="46DF5761"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0127FE28" w14:textId="77777777" w:rsidR="0014031D" w:rsidRPr="00750626" w:rsidRDefault="0014031D" w:rsidP="004856A2">
            <w:pPr>
              <w:rPr>
                <w:rFonts w:ascii="Arial" w:hAnsi="Arial" w:cs="Arial"/>
                <w:sz w:val="28"/>
              </w:rPr>
            </w:pPr>
          </w:p>
        </w:tc>
      </w:tr>
      <w:tr w:rsidR="0014031D" w:rsidRPr="00750626" w14:paraId="2E91D752" w14:textId="77777777" w:rsidTr="00A87D1D">
        <w:tc>
          <w:tcPr>
            <w:tcW w:w="936" w:type="dxa"/>
          </w:tcPr>
          <w:p w14:paraId="28023878"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783D2DBB" w14:textId="77777777" w:rsidR="0014031D" w:rsidRPr="00750626" w:rsidRDefault="0014031D" w:rsidP="004856A2">
            <w:pPr>
              <w:tabs>
                <w:tab w:val="right" w:leader="underscore" w:pos="5670"/>
                <w:tab w:val="left" w:pos="6237"/>
              </w:tabs>
              <w:rPr>
                <w:rFonts w:ascii="Arial" w:hAnsi="Arial" w:cs="Arial"/>
                <w:sz w:val="22"/>
                <w:szCs w:val="22"/>
              </w:rPr>
            </w:pPr>
            <w:r w:rsidRPr="00750626">
              <w:rPr>
                <w:rFonts w:ascii="Arial" w:hAnsi="Arial" w:cs="Arial"/>
                <w:sz w:val="22"/>
                <w:szCs w:val="22"/>
              </w:rPr>
              <w:t>Provide the Committee with information provided by NDIB and a recommendation for how a presumption of supply limit could be worded for fentanyl analogues, 5F-ADB and AMB-FUBINACA.</w:t>
            </w:r>
          </w:p>
        </w:tc>
        <w:tc>
          <w:tcPr>
            <w:tcW w:w="1910" w:type="dxa"/>
          </w:tcPr>
          <w:p w14:paraId="5E104C7A"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3252D3BD" w14:textId="77777777" w:rsidR="0014031D" w:rsidRPr="00750626" w:rsidRDefault="0014031D" w:rsidP="004856A2">
            <w:pPr>
              <w:rPr>
                <w:rFonts w:ascii="Arial" w:hAnsi="Arial" w:cs="Arial"/>
                <w:sz w:val="28"/>
              </w:rPr>
            </w:pPr>
          </w:p>
        </w:tc>
      </w:tr>
      <w:tr w:rsidR="00535ED0" w:rsidRPr="00750626" w14:paraId="7376DB8C" w14:textId="77777777" w:rsidTr="00A87D1D">
        <w:tc>
          <w:tcPr>
            <w:tcW w:w="936" w:type="dxa"/>
          </w:tcPr>
          <w:p w14:paraId="58BBEFB9" w14:textId="77777777" w:rsidR="00535ED0" w:rsidRPr="00750626" w:rsidRDefault="00535ED0" w:rsidP="0014031D">
            <w:pPr>
              <w:pStyle w:val="ListParagraph"/>
              <w:numPr>
                <w:ilvl w:val="0"/>
                <w:numId w:val="15"/>
              </w:numPr>
              <w:rPr>
                <w:rFonts w:ascii="Arial" w:hAnsi="Arial" w:cs="Arial"/>
                <w:sz w:val="22"/>
                <w:szCs w:val="22"/>
              </w:rPr>
            </w:pPr>
          </w:p>
        </w:tc>
        <w:tc>
          <w:tcPr>
            <w:tcW w:w="5507" w:type="dxa"/>
          </w:tcPr>
          <w:p w14:paraId="3CE8843E" w14:textId="6990FA67" w:rsidR="00535ED0" w:rsidRPr="00750626" w:rsidRDefault="00535ED0" w:rsidP="00535ED0">
            <w:pPr>
              <w:tabs>
                <w:tab w:val="right" w:leader="underscore" w:pos="5670"/>
                <w:tab w:val="left" w:pos="6237"/>
              </w:tabs>
              <w:rPr>
                <w:rFonts w:cs="Arial"/>
                <w:sz w:val="22"/>
                <w:szCs w:val="22"/>
              </w:rPr>
            </w:pPr>
            <w:r w:rsidRPr="00750626">
              <w:rPr>
                <w:rFonts w:ascii="Arial" w:hAnsi="Arial" w:cs="Arial"/>
                <w:sz w:val="22"/>
                <w:szCs w:val="22"/>
              </w:rPr>
              <w:t xml:space="preserve">Consult with relevant stakeholders and begin the process to schedule </w:t>
            </w:r>
            <w:r>
              <w:rPr>
                <w:rFonts w:ascii="Arial" w:hAnsi="Arial" w:cs="Arial"/>
                <w:sz w:val="22"/>
                <w:szCs w:val="22"/>
              </w:rPr>
              <w:t>5F-ADB</w:t>
            </w:r>
            <w:r w:rsidRPr="00750626">
              <w:rPr>
                <w:rFonts w:ascii="Arial" w:hAnsi="Arial" w:cs="Arial"/>
                <w:sz w:val="22"/>
                <w:szCs w:val="22"/>
              </w:rPr>
              <w:t xml:space="preserve"> and </w:t>
            </w:r>
            <w:r>
              <w:rPr>
                <w:rFonts w:ascii="Arial" w:hAnsi="Arial" w:cs="Arial"/>
                <w:sz w:val="22"/>
                <w:szCs w:val="22"/>
              </w:rPr>
              <w:t>AMB-FUBINACA</w:t>
            </w:r>
            <w:r w:rsidRPr="00750626">
              <w:rPr>
                <w:rFonts w:ascii="Arial" w:hAnsi="Arial" w:cs="Arial"/>
                <w:sz w:val="22"/>
                <w:szCs w:val="22"/>
              </w:rPr>
              <w:t xml:space="preserve"> as Class </w:t>
            </w:r>
            <w:r>
              <w:rPr>
                <w:rFonts w:ascii="Arial" w:hAnsi="Arial" w:cs="Arial"/>
                <w:sz w:val="22"/>
                <w:szCs w:val="22"/>
              </w:rPr>
              <w:t>A</w:t>
            </w:r>
            <w:r w:rsidRPr="00750626">
              <w:rPr>
                <w:rFonts w:ascii="Arial" w:hAnsi="Arial" w:cs="Arial"/>
                <w:sz w:val="22"/>
                <w:szCs w:val="22"/>
              </w:rPr>
              <w:t xml:space="preserve"> controlled drugs under </w:t>
            </w:r>
            <w:proofErr w:type="spellStart"/>
            <w:r w:rsidRPr="00750626">
              <w:rPr>
                <w:rFonts w:ascii="Arial" w:hAnsi="Arial" w:cs="Arial"/>
                <w:sz w:val="22"/>
                <w:szCs w:val="22"/>
              </w:rPr>
              <w:t>MoDA</w:t>
            </w:r>
            <w:proofErr w:type="spellEnd"/>
            <w:r w:rsidRPr="00750626">
              <w:rPr>
                <w:rFonts w:ascii="Arial" w:hAnsi="Arial" w:cs="Arial"/>
                <w:sz w:val="22"/>
                <w:szCs w:val="22"/>
              </w:rPr>
              <w:t>.</w:t>
            </w:r>
          </w:p>
        </w:tc>
        <w:tc>
          <w:tcPr>
            <w:tcW w:w="1910" w:type="dxa"/>
          </w:tcPr>
          <w:p w14:paraId="3F2617EA" w14:textId="77777777" w:rsidR="00535ED0" w:rsidRPr="00750626" w:rsidRDefault="00535ED0" w:rsidP="004856A2">
            <w:pPr>
              <w:rPr>
                <w:rFonts w:cs="Arial"/>
                <w:sz w:val="22"/>
                <w:szCs w:val="22"/>
              </w:rPr>
            </w:pPr>
          </w:p>
        </w:tc>
        <w:tc>
          <w:tcPr>
            <w:tcW w:w="1452" w:type="dxa"/>
          </w:tcPr>
          <w:p w14:paraId="33703A3C" w14:textId="77777777" w:rsidR="00535ED0" w:rsidRPr="00750626" w:rsidRDefault="00535ED0" w:rsidP="004856A2">
            <w:pPr>
              <w:rPr>
                <w:rFonts w:cs="Arial"/>
                <w:sz w:val="28"/>
              </w:rPr>
            </w:pPr>
          </w:p>
        </w:tc>
      </w:tr>
      <w:tr w:rsidR="0014031D" w:rsidRPr="00750626" w14:paraId="3F0E16BC" w14:textId="77777777" w:rsidTr="00A87D1D">
        <w:tc>
          <w:tcPr>
            <w:tcW w:w="936" w:type="dxa"/>
          </w:tcPr>
          <w:p w14:paraId="2BFE4094"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540034CC" w14:textId="57EAAA42" w:rsidR="0014031D" w:rsidRPr="00750626" w:rsidRDefault="0014031D" w:rsidP="0054779E">
            <w:pPr>
              <w:rPr>
                <w:rFonts w:ascii="Arial" w:hAnsi="Arial" w:cs="Arial"/>
                <w:sz w:val="22"/>
                <w:szCs w:val="22"/>
              </w:rPr>
            </w:pPr>
            <w:r w:rsidRPr="00750626">
              <w:rPr>
                <w:rFonts w:ascii="Arial" w:hAnsi="Arial" w:cs="Arial"/>
                <w:sz w:val="22"/>
                <w:szCs w:val="22"/>
              </w:rPr>
              <w:t xml:space="preserve">Provide more information about harm associated with </w:t>
            </w:r>
            <w:r w:rsidR="00CD7FE7" w:rsidRPr="00750626">
              <w:rPr>
                <w:rFonts w:ascii="Arial" w:hAnsi="Arial" w:cs="Arial"/>
                <w:sz w:val="22"/>
                <w:szCs w:val="22"/>
              </w:rPr>
              <w:t>the synthetic</w:t>
            </w:r>
            <w:r w:rsidRPr="00750626">
              <w:rPr>
                <w:rFonts w:ascii="Arial" w:hAnsi="Arial" w:cs="Arial"/>
                <w:sz w:val="22"/>
                <w:szCs w:val="22"/>
              </w:rPr>
              <w:t xml:space="preserve"> cannabinoids </w:t>
            </w:r>
            <w:r w:rsidR="0054779E">
              <w:rPr>
                <w:rFonts w:ascii="Arial" w:hAnsi="Arial" w:cs="Arial"/>
                <w:sz w:val="22"/>
                <w:szCs w:val="22"/>
              </w:rPr>
              <w:t xml:space="preserve">currently not </w:t>
            </w:r>
            <w:r w:rsidR="0054779E">
              <w:rPr>
                <w:rFonts w:ascii="Arial" w:hAnsi="Arial" w:cs="Arial"/>
                <w:sz w:val="22"/>
                <w:szCs w:val="22"/>
              </w:rPr>
              <w:lastRenderedPageBreak/>
              <w:t xml:space="preserve">recommended for scheduling under </w:t>
            </w:r>
            <w:proofErr w:type="spellStart"/>
            <w:r w:rsidR="0054779E">
              <w:rPr>
                <w:rFonts w:ascii="Arial" w:hAnsi="Arial" w:cs="Arial"/>
                <w:sz w:val="22"/>
                <w:szCs w:val="22"/>
              </w:rPr>
              <w:t>MoDA</w:t>
            </w:r>
            <w:proofErr w:type="spellEnd"/>
            <w:r w:rsidR="0054779E">
              <w:rPr>
                <w:rFonts w:ascii="Arial" w:hAnsi="Arial" w:cs="Arial"/>
                <w:sz w:val="22"/>
                <w:szCs w:val="22"/>
              </w:rPr>
              <w:t xml:space="preserve"> </w:t>
            </w:r>
            <w:r w:rsidRPr="00750626">
              <w:rPr>
                <w:rFonts w:ascii="Arial" w:hAnsi="Arial" w:cs="Arial"/>
                <w:sz w:val="22"/>
                <w:szCs w:val="22"/>
              </w:rPr>
              <w:t>when more information</w:t>
            </w:r>
            <w:r w:rsidR="0054779E">
              <w:rPr>
                <w:rFonts w:ascii="Arial" w:hAnsi="Arial" w:cs="Arial"/>
                <w:sz w:val="22"/>
                <w:szCs w:val="22"/>
              </w:rPr>
              <w:t xml:space="preserve"> is available</w:t>
            </w:r>
            <w:r w:rsidRPr="00750626">
              <w:rPr>
                <w:rFonts w:ascii="Arial" w:hAnsi="Arial" w:cs="Arial"/>
                <w:sz w:val="22"/>
                <w:szCs w:val="22"/>
              </w:rPr>
              <w:t>.</w:t>
            </w:r>
          </w:p>
        </w:tc>
        <w:tc>
          <w:tcPr>
            <w:tcW w:w="1910" w:type="dxa"/>
          </w:tcPr>
          <w:p w14:paraId="26F65771" w14:textId="77777777" w:rsidR="0014031D" w:rsidRPr="00750626" w:rsidRDefault="0014031D" w:rsidP="004856A2">
            <w:pPr>
              <w:rPr>
                <w:rFonts w:ascii="Arial" w:hAnsi="Arial" w:cs="Arial"/>
                <w:sz w:val="22"/>
                <w:szCs w:val="22"/>
              </w:rPr>
            </w:pPr>
            <w:r w:rsidRPr="00750626">
              <w:rPr>
                <w:rFonts w:ascii="Arial" w:hAnsi="Arial" w:cs="Arial"/>
                <w:sz w:val="22"/>
                <w:szCs w:val="22"/>
              </w:rPr>
              <w:lastRenderedPageBreak/>
              <w:t>Secretariat</w:t>
            </w:r>
          </w:p>
        </w:tc>
        <w:tc>
          <w:tcPr>
            <w:tcW w:w="1452" w:type="dxa"/>
          </w:tcPr>
          <w:p w14:paraId="53856204" w14:textId="77777777" w:rsidR="0014031D" w:rsidRPr="00750626" w:rsidRDefault="0014031D" w:rsidP="004856A2">
            <w:pPr>
              <w:rPr>
                <w:rFonts w:ascii="Arial" w:hAnsi="Arial" w:cs="Arial"/>
                <w:sz w:val="28"/>
              </w:rPr>
            </w:pPr>
          </w:p>
        </w:tc>
      </w:tr>
      <w:tr w:rsidR="0014031D" w:rsidRPr="00750626" w14:paraId="457045A6" w14:textId="77777777" w:rsidTr="00A87D1D">
        <w:tc>
          <w:tcPr>
            <w:tcW w:w="936" w:type="dxa"/>
          </w:tcPr>
          <w:p w14:paraId="1A8AF7A0"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604A79FC" w14:textId="77777777" w:rsidR="0014031D" w:rsidRPr="00750626" w:rsidRDefault="0014031D" w:rsidP="004856A2">
            <w:pPr>
              <w:rPr>
                <w:rFonts w:ascii="Arial" w:hAnsi="Arial" w:cs="Arial"/>
                <w:sz w:val="22"/>
                <w:szCs w:val="22"/>
              </w:rPr>
            </w:pPr>
            <w:r w:rsidRPr="00750626">
              <w:rPr>
                <w:rFonts w:ascii="Arial" w:hAnsi="Arial" w:cs="Arial"/>
                <w:sz w:val="22"/>
                <w:szCs w:val="22"/>
              </w:rPr>
              <w:t xml:space="preserve">Consult with relevant stakeholders and begin the process to schedule </w:t>
            </w:r>
            <w:proofErr w:type="spellStart"/>
            <w:r w:rsidRPr="00750626">
              <w:rPr>
                <w:rFonts w:ascii="Arial" w:hAnsi="Arial" w:cs="Arial"/>
                <w:sz w:val="22"/>
                <w:szCs w:val="22"/>
              </w:rPr>
              <w:t>ethylone</w:t>
            </w:r>
            <w:proofErr w:type="spellEnd"/>
            <w:r w:rsidRPr="00750626">
              <w:rPr>
                <w:rFonts w:ascii="Arial" w:hAnsi="Arial" w:cs="Arial"/>
                <w:sz w:val="22"/>
                <w:szCs w:val="22"/>
              </w:rPr>
              <w:t xml:space="preserve"> and N-ethyl </w:t>
            </w:r>
            <w:proofErr w:type="spellStart"/>
            <w:r w:rsidRPr="00750626">
              <w:rPr>
                <w:rFonts w:ascii="Arial" w:hAnsi="Arial" w:cs="Arial"/>
                <w:sz w:val="22"/>
                <w:szCs w:val="22"/>
              </w:rPr>
              <w:t>pentylone</w:t>
            </w:r>
            <w:proofErr w:type="spellEnd"/>
            <w:r w:rsidRPr="00750626">
              <w:rPr>
                <w:rFonts w:ascii="Arial" w:hAnsi="Arial" w:cs="Arial"/>
                <w:sz w:val="22"/>
                <w:szCs w:val="22"/>
              </w:rPr>
              <w:t xml:space="preserve"> as Class B1 controlled drugs under </w:t>
            </w:r>
            <w:proofErr w:type="spellStart"/>
            <w:r w:rsidRPr="00750626">
              <w:rPr>
                <w:rFonts w:ascii="Arial" w:hAnsi="Arial" w:cs="Arial"/>
                <w:sz w:val="22"/>
                <w:szCs w:val="22"/>
              </w:rPr>
              <w:t>MoDA</w:t>
            </w:r>
            <w:proofErr w:type="spellEnd"/>
            <w:r w:rsidRPr="00750626">
              <w:rPr>
                <w:rFonts w:ascii="Arial" w:hAnsi="Arial" w:cs="Arial"/>
                <w:sz w:val="22"/>
                <w:szCs w:val="22"/>
              </w:rPr>
              <w:t>.</w:t>
            </w:r>
          </w:p>
        </w:tc>
        <w:tc>
          <w:tcPr>
            <w:tcW w:w="1910" w:type="dxa"/>
          </w:tcPr>
          <w:p w14:paraId="24368F9E"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5C30566C" w14:textId="77777777" w:rsidR="0014031D" w:rsidRPr="00750626" w:rsidRDefault="0014031D" w:rsidP="004856A2">
            <w:pPr>
              <w:rPr>
                <w:rFonts w:ascii="Arial" w:hAnsi="Arial" w:cs="Arial"/>
                <w:sz w:val="28"/>
              </w:rPr>
            </w:pPr>
          </w:p>
        </w:tc>
      </w:tr>
      <w:tr w:rsidR="0014031D" w:rsidRPr="00750626" w14:paraId="39627206" w14:textId="77777777" w:rsidTr="00A87D1D">
        <w:tc>
          <w:tcPr>
            <w:tcW w:w="936" w:type="dxa"/>
          </w:tcPr>
          <w:p w14:paraId="7F2CD807"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766885DE" w14:textId="77777777" w:rsidR="0014031D" w:rsidRPr="00750626" w:rsidRDefault="0014031D" w:rsidP="004856A2">
            <w:pPr>
              <w:rPr>
                <w:rFonts w:ascii="Arial" w:hAnsi="Arial" w:cs="Arial"/>
                <w:sz w:val="22"/>
                <w:szCs w:val="22"/>
              </w:rPr>
            </w:pPr>
            <w:r w:rsidRPr="00750626">
              <w:rPr>
                <w:rFonts w:ascii="Arial" w:hAnsi="Arial" w:cs="Arial"/>
                <w:sz w:val="22"/>
                <w:szCs w:val="22"/>
              </w:rPr>
              <w:t>Seek more information about harm associated with U-47700</w:t>
            </w:r>
          </w:p>
        </w:tc>
        <w:tc>
          <w:tcPr>
            <w:tcW w:w="1910" w:type="dxa"/>
          </w:tcPr>
          <w:p w14:paraId="22E48345"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338CBE04" w14:textId="77777777" w:rsidR="0014031D" w:rsidRPr="00750626" w:rsidRDefault="0014031D" w:rsidP="004856A2">
            <w:pPr>
              <w:rPr>
                <w:rFonts w:ascii="Arial" w:hAnsi="Arial" w:cs="Arial"/>
                <w:sz w:val="28"/>
              </w:rPr>
            </w:pPr>
          </w:p>
        </w:tc>
      </w:tr>
      <w:tr w:rsidR="0014031D" w:rsidRPr="00750626" w14:paraId="5BD3F983" w14:textId="77777777" w:rsidTr="00A87D1D">
        <w:tc>
          <w:tcPr>
            <w:tcW w:w="936" w:type="dxa"/>
          </w:tcPr>
          <w:p w14:paraId="10BD3077"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44F9085E" w14:textId="77777777" w:rsidR="0014031D" w:rsidRPr="00750626" w:rsidRDefault="0014031D" w:rsidP="004856A2">
            <w:pPr>
              <w:rPr>
                <w:rFonts w:ascii="Arial" w:hAnsi="Arial" w:cs="Arial"/>
                <w:sz w:val="22"/>
                <w:szCs w:val="22"/>
              </w:rPr>
            </w:pPr>
            <w:r w:rsidRPr="00750626">
              <w:rPr>
                <w:rFonts w:ascii="Arial" w:hAnsi="Arial" w:cs="Arial"/>
                <w:sz w:val="22"/>
                <w:szCs w:val="22"/>
              </w:rPr>
              <w:t>Send out submission papers at least a month out electronically and provide hardcopy of agenda papers at the meeting.</w:t>
            </w:r>
          </w:p>
        </w:tc>
        <w:tc>
          <w:tcPr>
            <w:tcW w:w="1910" w:type="dxa"/>
          </w:tcPr>
          <w:p w14:paraId="20C2CE66" w14:textId="77777777" w:rsidR="0014031D" w:rsidRPr="00750626" w:rsidRDefault="0014031D" w:rsidP="004856A2">
            <w:pPr>
              <w:rPr>
                <w:rFonts w:ascii="Arial" w:hAnsi="Arial" w:cs="Arial"/>
                <w:sz w:val="22"/>
                <w:szCs w:val="22"/>
              </w:rPr>
            </w:pPr>
            <w:r w:rsidRPr="00750626">
              <w:rPr>
                <w:rFonts w:ascii="Arial" w:hAnsi="Arial" w:cs="Arial"/>
                <w:sz w:val="22"/>
                <w:szCs w:val="22"/>
              </w:rPr>
              <w:t>Secretariat</w:t>
            </w:r>
          </w:p>
        </w:tc>
        <w:tc>
          <w:tcPr>
            <w:tcW w:w="1452" w:type="dxa"/>
          </w:tcPr>
          <w:p w14:paraId="6C74E722" w14:textId="77777777" w:rsidR="0014031D" w:rsidRPr="00750626" w:rsidRDefault="0014031D" w:rsidP="004856A2">
            <w:pPr>
              <w:rPr>
                <w:rFonts w:ascii="Arial" w:hAnsi="Arial" w:cs="Arial"/>
                <w:sz w:val="28"/>
              </w:rPr>
            </w:pPr>
          </w:p>
        </w:tc>
      </w:tr>
      <w:tr w:rsidR="0014031D" w:rsidRPr="00750626" w14:paraId="2CDD595F" w14:textId="77777777" w:rsidTr="00A87D1D">
        <w:tc>
          <w:tcPr>
            <w:tcW w:w="936" w:type="dxa"/>
          </w:tcPr>
          <w:p w14:paraId="6E1801A9" w14:textId="77777777" w:rsidR="0014031D" w:rsidRPr="00750626" w:rsidRDefault="0014031D" w:rsidP="0014031D">
            <w:pPr>
              <w:pStyle w:val="ListParagraph"/>
              <w:numPr>
                <w:ilvl w:val="0"/>
                <w:numId w:val="15"/>
              </w:numPr>
              <w:rPr>
                <w:rFonts w:ascii="Arial" w:hAnsi="Arial" w:cs="Arial"/>
                <w:sz w:val="22"/>
                <w:szCs w:val="22"/>
              </w:rPr>
            </w:pPr>
          </w:p>
        </w:tc>
        <w:tc>
          <w:tcPr>
            <w:tcW w:w="5507" w:type="dxa"/>
          </w:tcPr>
          <w:p w14:paraId="2A049FE4" w14:textId="77777777" w:rsidR="0014031D" w:rsidRPr="00750626" w:rsidRDefault="0014031D" w:rsidP="004856A2">
            <w:pPr>
              <w:rPr>
                <w:rFonts w:ascii="Arial" w:hAnsi="Arial" w:cs="Arial"/>
                <w:sz w:val="22"/>
                <w:szCs w:val="22"/>
              </w:rPr>
            </w:pPr>
            <w:r w:rsidRPr="00750626">
              <w:rPr>
                <w:rFonts w:ascii="Arial" w:hAnsi="Arial" w:cs="Arial"/>
                <w:sz w:val="22"/>
                <w:szCs w:val="22"/>
              </w:rPr>
              <w:t>The Committee to email Secretariat for availability for the October meeting.</w:t>
            </w:r>
          </w:p>
        </w:tc>
        <w:tc>
          <w:tcPr>
            <w:tcW w:w="1910" w:type="dxa"/>
          </w:tcPr>
          <w:p w14:paraId="0E76AC19" w14:textId="77777777" w:rsidR="0014031D" w:rsidRPr="00750626" w:rsidRDefault="0014031D" w:rsidP="004856A2">
            <w:pPr>
              <w:rPr>
                <w:rFonts w:ascii="Arial" w:hAnsi="Arial" w:cs="Arial"/>
                <w:sz w:val="22"/>
                <w:szCs w:val="22"/>
              </w:rPr>
            </w:pPr>
            <w:r w:rsidRPr="00750626">
              <w:rPr>
                <w:rFonts w:ascii="Arial" w:hAnsi="Arial" w:cs="Arial"/>
                <w:sz w:val="22"/>
                <w:szCs w:val="22"/>
              </w:rPr>
              <w:t>Committee</w:t>
            </w:r>
          </w:p>
        </w:tc>
        <w:tc>
          <w:tcPr>
            <w:tcW w:w="1452" w:type="dxa"/>
          </w:tcPr>
          <w:p w14:paraId="79B4EC62" w14:textId="77777777" w:rsidR="0014031D" w:rsidRPr="00750626" w:rsidRDefault="0014031D" w:rsidP="004856A2">
            <w:pPr>
              <w:rPr>
                <w:rFonts w:ascii="Arial" w:hAnsi="Arial" w:cs="Arial"/>
                <w:sz w:val="28"/>
              </w:rPr>
            </w:pPr>
          </w:p>
        </w:tc>
      </w:tr>
    </w:tbl>
    <w:p w14:paraId="1F26E36C" w14:textId="0A0FCFE5" w:rsidR="009866FE" w:rsidRPr="00750626" w:rsidRDefault="009866FE" w:rsidP="00EF015B">
      <w:pPr>
        <w:rPr>
          <w:rFonts w:cs="Arial"/>
          <w:sz w:val="28"/>
        </w:rPr>
      </w:pPr>
    </w:p>
    <w:sectPr w:rsidR="009866FE" w:rsidRPr="00750626" w:rsidSect="00AB5BE7">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492"/>
    <w:multiLevelType w:val="hybridMultilevel"/>
    <w:tmpl w:val="774636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B53EB0"/>
    <w:multiLevelType w:val="hybridMultilevel"/>
    <w:tmpl w:val="3872C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79632A"/>
    <w:multiLevelType w:val="hybridMultilevel"/>
    <w:tmpl w:val="F8AEBF12"/>
    <w:lvl w:ilvl="0" w:tplc="14090001">
      <w:start w:val="1"/>
      <w:numFmt w:val="bullet"/>
      <w:lvlText w:val=""/>
      <w:lvlJc w:val="left"/>
      <w:pPr>
        <w:ind w:left="720" w:hanging="360"/>
      </w:pPr>
      <w:rPr>
        <w:rFonts w:ascii="Symbol" w:hAnsi="Symbo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4D510B"/>
    <w:multiLevelType w:val="hybridMultilevel"/>
    <w:tmpl w:val="C48A81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B803A8"/>
    <w:multiLevelType w:val="hybridMultilevel"/>
    <w:tmpl w:val="E94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07524C"/>
    <w:multiLevelType w:val="hybridMultilevel"/>
    <w:tmpl w:val="12E664C8"/>
    <w:lvl w:ilvl="0" w:tplc="B0CAACF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F51577"/>
    <w:multiLevelType w:val="hybridMultilevel"/>
    <w:tmpl w:val="77520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DA4FEE"/>
    <w:multiLevelType w:val="hybridMultilevel"/>
    <w:tmpl w:val="DAD235B4"/>
    <w:lvl w:ilvl="0" w:tplc="8DD6ADA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A2C96"/>
    <w:multiLevelType w:val="hybridMultilevel"/>
    <w:tmpl w:val="3E64E6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439C7B43"/>
    <w:multiLevelType w:val="hybridMultilevel"/>
    <w:tmpl w:val="9A2C25DC"/>
    <w:lvl w:ilvl="0" w:tplc="265283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EF799F"/>
    <w:multiLevelType w:val="hybridMultilevel"/>
    <w:tmpl w:val="43E63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9A4BDA"/>
    <w:multiLevelType w:val="hybridMultilevel"/>
    <w:tmpl w:val="E9ACE8A8"/>
    <w:lvl w:ilvl="0" w:tplc="28F6CD9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CA55E2"/>
    <w:multiLevelType w:val="hybridMultilevel"/>
    <w:tmpl w:val="415018AC"/>
    <w:lvl w:ilvl="0" w:tplc="C8726306">
      <w:start w:val="1"/>
      <w:numFmt w:val="decimal"/>
      <w:lvlText w:val="%1."/>
      <w:lvlJc w:val="left"/>
      <w:pPr>
        <w:ind w:left="720" w:hanging="360"/>
      </w:pPr>
      <w:rPr>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D7B5FE2"/>
    <w:multiLevelType w:val="hybridMultilevel"/>
    <w:tmpl w:val="20F81C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BE01514"/>
    <w:multiLevelType w:val="hybridMultilevel"/>
    <w:tmpl w:val="B10A4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13"/>
  </w:num>
  <w:num w:numId="7">
    <w:abstractNumId w:val="14"/>
  </w:num>
  <w:num w:numId="8">
    <w:abstractNumId w:val="7"/>
  </w:num>
  <w:num w:numId="9">
    <w:abstractNumId w:val="2"/>
  </w:num>
  <w:num w:numId="10">
    <w:abstractNumId w:val="9"/>
  </w:num>
  <w:num w:numId="11">
    <w:abstractNumId w:val="15"/>
  </w:num>
  <w:num w:numId="12">
    <w:abstractNumId w:val="11"/>
  </w:num>
  <w:num w:numId="13">
    <w:abstractNumId w:val="1"/>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56"/>
    <w:rsid w:val="00000224"/>
    <w:rsid w:val="00003B9A"/>
    <w:rsid w:val="00004E1A"/>
    <w:rsid w:val="000066C7"/>
    <w:rsid w:val="00014590"/>
    <w:rsid w:val="00014FCA"/>
    <w:rsid w:val="000174D1"/>
    <w:rsid w:val="0002083C"/>
    <w:rsid w:val="000209CC"/>
    <w:rsid w:val="00020B67"/>
    <w:rsid w:val="0002221C"/>
    <w:rsid w:val="00026BF6"/>
    <w:rsid w:val="0003294F"/>
    <w:rsid w:val="00033E0B"/>
    <w:rsid w:val="00034D1D"/>
    <w:rsid w:val="00037A96"/>
    <w:rsid w:val="00043EDB"/>
    <w:rsid w:val="00044E74"/>
    <w:rsid w:val="00046241"/>
    <w:rsid w:val="000636DF"/>
    <w:rsid w:val="000638AB"/>
    <w:rsid w:val="00064733"/>
    <w:rsid w:val="00064ADC"/>
    <w:rsid w:val="00065B71"/>
    <w:rsid w:val="00070C0D"/>
    <w:rsid w:val="00071996"/>
    <w:rsid w:val="000729BB"/>
    <w:rsid w:val="00074DED"/>
    <w:rsid w:val="0007692D"/>
    <w:rsid w:val="00083DA7"/>
    <w:rsid w:val="000876A9"/>
    <w:rsid w:val="0009250D"/>
    <w:rsid w:val="00094ADA"/>
    <w:rsid w:val="00095031"/>
    <w:rsid w:val="000950EC"/>
    <w:rsid w:val="000A2788"/>
    <w:rsid w:val="000A3ED2"/>
    <w:rsid w:val="000B137A"/>
    <w:rsid w:val="000B17D6"/>
    <w:rsid w:val="000B1AFB"/>
    <w:rsid w:val="000B397D"/>
    <w:rsid w:val="000C1500"/>
    <w:rsid w:val="000C2C6C"/>
    <w:rsid w:val="000C4873"/>
    <w:rsid w:val="000D3FED"/>
    <w:rsid w:val="000D747C"/>
    <w:rsid w:val="000E3589"/>
    <w:rsid w:val="000E3626"/>
    <w:rsid w:val="000E5B42"/>
    <w:rsid w:val="000E6DE6"/>
    <w:rsid w:val="000F05A3"/>
    <w:rsid w:val="000F5305"/>
    <w:rsid w:val="00100613"/>
    <w:rsid w:val="001034F5"/>
    <w:rsid w:val="00103D54"/>
    <w:rsid w:val="00114F66"/>
    <w:rsid w:val="00120A6F"/>
    <w:rsid w:val="00123A4B"/>
    <w:rsid w:val="001268ED"/>
    <w:rsid w:val="00134DAD"/>
    <w:rsid w:val="001353CB"/>
    <w:rsid w:val="0014031D"/>
    <w:rsid w:val="001405F2"/>
    <w:rsid w:val="00141F5E"/>
    <w:rsid w:val="00142F9C"/>
    <w:rsid w:val="00143D20"/>
    <w:rsid w:val="00144683"/>
    <w:rsid w:val="00146195"/>
    <w:rsid w:val="0015324C"/>
    <w:rsid w:val="00160A08"/>
    <w:rsid w:val="00164C8D"/>
    <w:rsid w:val="0017138E"/>
    <w:rsid w:val="001714FD"/>
    <w:rsid w:val="0017300C"/>
    <w:rsid w:val="001739A0"/>
    <w:rsid w:val="001750E6"/>
    <w:rsid w:val="00175D38"/>
    <w:rsid w:val="0018147E"/>
    <w:rsid w:val="00182C5F"/>
    <w:rsid w:val="00184CB1"/>
    <w:rsid w:val="00185AA0"/>
    <w:rsid w:val="00186F17"/>
    <w:rsid w:val="001911D8"/>
    <w:rsid w:val="001916A3"/>
    <w:rsid w:val="001931A7"/>
    <w:rsid w:val="001B1F03"/>
    <w:rsid w:val="001B5012"/>
    <w:rsid w:val="001C16F0"/>
    <w:rsid w:val="001C453E"/>
    <w:rsid w:val="001D3EC6"/>
    <w:rsid w:val="001D4210"/>
    <w:rsid w:val="001E14DE"/>
    <w:rsid w:val="001E3B7B"/>
    <w:rsid w:val="001F2E20"/>
    <w:rsid w:val="001F37CC"/>
    <w:rsid w:val="001F3A17"/>
    <w:rsid w:val="001F67FA"/>
    <w:rsid w:val="002056F5"/>
    <w:rsid w:val="00206E2F"/>
    <w:rsid w:val="00207DE1"/>
    <w:rsid w:val="00212153"/>
    <w:rsid w:val="002147B8"/>
    <w:rsid w:val="00220163"/>
    <w:rsid w:val="00222D29"/>
    <w:rsid w:val="00223FAA"/>
    <w:rsid w:val="002263FD"/>
    <w:rsid w:val="00227402"/>
    <w:rsid w:val="002276E6"/>
    <w:rsid w:val="002313C2"/>
    <w:rsid w:val="00232D2B"/>
    <w:rsid w:val="00233E6D"/>
    <w:rsid w:val="00236D71"/>
    <w:rsid w:val="00240CC5"/>
    <w:rsid w:val="00242A5F"/>
    <w:rsid w:val="00243570"/>
    <w:rsid w:val="002457CF"/>
    <w:rsid w:val="00247469"/>
    <w:rsid w:val="00250E1C"/>
    <w:rsid w:val="00252DAB"/>
    <w:rsid w:val="00255CB5"/>
    <w:rsid w:val="002566F5"/>
    <w:rsid w:val="002567A0"/>
    <w:rsid w:val="0025700C"/>
    <w:rsid w:val="00257B4C"/>
    <w:rsid w:val="00257EFA"/>
    <w:rsid w:val="0026403A"/>
    <w:rsid w:val="00265148"/>
    <w:rsid w:val="00265D55"/>
    <w:rsid w:val="00271347"/>
    <w:rsid w:val="00271E20"/>
    <w:rsid w:val="00275718"/>
    <w:rsid w:val="0027656B"/>
    <w:rsid w:val="00276B0F"/>
    <w:rsid w:val="0028135F"/>
    <w:rsid w:val="002813F1"/>
    <w:rsid w:val="002902EA"/>
    <w:rsid w:val="00290DFF"/>
    <w:rsid w:val="00294147"/>
    <w:rsid w:val="00296C71"/>
    <w:rsid w:val="00297295"/>
    <w:rsid w:val="002A429E"/>
    <w:rsid w:val="002A7646"/>
    <w:rsid w:val="002B5E34"/>
    <w:rsid w:val="002B6CC2"/>
    <w:rsid w:val="002C2F65"/>
    <w:rsid w:val="002C350B"/>
    <w:rsid w:val="002C364C"/>
    <w:rsid w:val="002D33DC"/>
    <w:rsid w:val="002E1750"/>
    <w:rsid w:val="002E6CF9"/>
    <w:rsid w:val="002E7C7E"/>
    <w:rsid w:val="002F2D30"/>
    <w:rsid w:val="002F5EBD"/>
    <w:rsid w:val="003117B7"/>
    <w:rsid w:val="00314D82"/>
    <w:rsid w:val="003157A9"/>
    <w:rsid w:val="00321C55"/>
    <w:rsid w:val="00324A89"/>
    <w:rsid w:val="00324D9C"/>
    <w:rsid w:val="00325957"/>
    <w:rsid w:val="0033346F"/>
    <w:rsid w:val="003371CB"/>
    <w:rsid w:val="003423B5"/>
    <w:rsid w:val="00350D49"/>
    <w:rsid w:val="00352E1E"/>
    <w:rsid w:val="00353A3D"/>
    <w:rsid w:val="003556FE"/>
    <w:rsid w:val="00357261"/>
    <w:rsid w:val="003573C2"/>
    <w:rsid w:val="00361880"/>
    <w:rsid w:val="00375599"/>
    <w:rsid w:val="00375FFC"/>
    <w:rsid w:val="00381CAF"/>
    <w:rsid w:val="00383E84"/>
    <w:rsid w:val="00392C76"/>
    <w:rsid w:val="00394D1C"/>
    <w:rsid w:val="00395551"/>
    <w:rsid w:val="003965BE"/>
    <w:rsid w:val="00396AF3"/>
    <w:rsid w:val="003A10D0"/>
    <w:rsid w:val="003A1D4A"/>
    <w:rsid w:val="003A2F27"/>
    <w:rsid w:val="003A579F"/>
    <w:rsid w:val="003A5FF4"/>
    <w:rsid w:val="003A6159"/>
    <w:rsid w:val="003B04D8"/>
    <w:rsid w:val="003C1681"/>
    <w:rsid w:val="003C16A9"/>
    <w:rsid w:val="003C32A3"/>
    <w:rsid w:val="003D07E5"/>
    <w:rsid w:val="003D1994"/>
    <w:rsid w:val="003D261B"/>
    <w:rsid w:val="003D2C21"/>
    <w:rsid w:val="003D4AAD"/>
    <w:rsid w:val="003D5799"/>
    <w:rsid w:val="003D6AB6"/>
    <w:rsid w:val="003E0BD8"/>
    <w:rsid w:val="003E14E5"/>
    <w:rsid w:val="003E1EBC"/>
    <w:rsid w:val="003E340E"/>
    <w:rsid w:val="003E39D4"/>
    <w:rsid w:val="003E50B6"/>
    <w:rsid w:val="003E743B"/>
    <w:rsid w:val="003F1519"/>
    <w:rsid w:val="003F5AA5"/>
    <w:rsid w:val="00400AF0"/>
    <w:rsid w:val="00405D35"/>
    <w:rsid w:val="00414DAE"/>
    <w:rsid w:val="0041680F"/>
    <w:rsid w:val="00416F47"/>
    <w:rsid w:val="00417CDF"/>
    <w:rsid w:val="00417DDD"/>
    <w:rsid w:val="00422422"/>
    <w:rsid w:val="00422D1D"/>
    <w:rsid w:val="00443E72"/>
    <w:rsid w:val="00444EB8"/>
    <w:rsid w:val="0045064F"/>
    <w:rsid w:val="00450781"/>
    <w:rsid w:val="00450F09"/>
    <w:rsid w:val="00451DD7"/>
    <w:rsid w:val="004541E3"/>
    <w:rsid w:val="00456CFC"/>
    <w:rsid w:val="00460FDC"/>
    <w:rsid w:val="00460FED"/>
    <w:rsid w:val="00464698"/>
    <w:rsid w:val="004673B8"/>
    <w:rsid w:val="00472B75"/>
    <w:rsid w:val="00473B69"/>
    <w:rsid w:val="004773D1"/>
    <w:rsid w:val="004779EE"/>
    <w:rsid w:val="00480B27"/>
    <w:rsid w:val="00482392"/>
    <w:rsid w:val="004825CE"/>
    <w:rsid w:val="00482FEA"/>
    <w:rsid w:val="004846BB"/>
    <w:rsid w:val="004856EB"/>
    <w:rsid w:val="004875D0"/>
    <w:rsid w:val="004921E7"/>
    <w:rsid w:val="004963F4"/>
    <w:rsid w:val="004972F5"/>
    <w:rsid w:val="00497AA2"/>
    <w:rsid w:val="004A107F"/>
    <w:rsid w:val="004A29CA"/>
    <w:rsid w:val="004A54FB"/>
    <w:rsid w:val="004A7794"/>
    <w:rsid w:val="004B0947"/>
    <w:rsid w:val="004B0EF4"/>
    <w:rsid w:val="004B37EF"/>
    <w:rsid w:val="004C4308"/>
    <w:rsid w:val="004E0176"/>
    <w:rsid w:val="004E69C3"/>
    <w:rsid w:val="004E6CCB"/>
    <w:rsid w:val="004F06F2"/>
    <w:rsid w:val="004F1394"/>
    <w:rsid w:val="004F243A"/>
    <w:rsid w:val="004F5839"/>
    <w:rsid w:val="004F67F6"/>
    <w:rsid w:val="0050043E"/>
    <w:rsid w:val="00504EE1"/>
    <w:rsid w:val="005126D2"/>
    <w:rsid w:val="005134C1"/>
    <w:rsid w:val="00514656"/>
    <w:rsid w:val="00514F8A"/>
    <w:rsid w:val="00522ADF"/>
    <w:rsid w:val="005238AA"/>
    <w:rsid w:val="005247A1"/>
    <w:rsid w:val="0052793C"/>
    <w:rsid w:val="00530DDE"/>
    <w:rsid w:val="00533510"/>
    <w:rsid w:val="00535B77"/>
    <w:rsid w:val="00535DFD"/>
    <w:rsid w:val="00535ED0"/>
    <w:rsid w:val="00537A3A"/>
    <w:rsid w:val="0054318F"/>
    <w:rsid w:val="0054779E"/>
    <w:rsid w:val="00547CF3"/>
    <w:rsid w:val="00550EC6"/>
    <w:rsid w:val="00550F79"/>
    <w:rsid w:val="00551FA8"/>
    <w:rsid w:val="00553EC9"/>
    <w:rsid w:val="00555A0E"/>
    <w:rsid w:val="00555A46"/>
    <w:rsid w:val="00560588"/>
    <w:rsid w:val="0056100D"/>
    <w:rsid w:val="00564DB4"/>
    <w:rsid w:val="005679CC"/>
    <w:rsid w:val="00567CC5"/>
    <w:rsid w:val="00571087"/>
    <w:rsid w:val="00573F40"/>
    <w:rsid w:val="00575872"/>
    <w:rsid w:val="00575AFE"/>
    <w:rsid w:val="0057605F"/>
    <w:rsid w:val="00580CBC"/>
    <w:rsid w:val="00581974"/>
    <w:rsid w:val="005912E6"/>
    <w:rsid w:val="005A53B1"/>
    <w:rsid w:val="005A5E62"/>
    <w:rsid w:val="005A61EC"/>
    <w:rsid w:val="005B0080"/>
    <w:rsid w:val="005B16B7"/>
    <w:rsid w:val="005B3400"/>
    <w:rsid w:val="005B41C0"/>
    <w:rsid w:val="005B6C59"/>
    <w:rsid w:val="005C4F09"/>
    <w:rsid w:val="005C5B1C"/>
    <w:rsid w:val="005D0B63"/>
    <w:rsid w:val="005D528F"/>
    <w:rsid w:val="005D5744"/>
    <w:rsid w:val="005E0564"/>
    <w:rsid w:val="005E1A82"/>
    <w:rsid w:val="005E2732"/>
    <w:rsid w:val="005E2A5D"/>
    <w:rsid w:val="005E6499"/>
    <w:rsid w:val="005F25A4"/>
    <w:rsid w:val="005F5B60"/>
    <w:rsid w:val="005F67FD"/>
    <w:rsid w:val="00603AA1"/>
    <w:rsid w:val="006131FF"/>
    <w:rsid w:val="006154C6"/>
    <w:rsid w:val="00621D72"/>
    <w:rsid w:val="00631C16"/>
    <w:rsid w:val="0063283F"/>
    <w:rsid w:val="0063501C"/>
    <w:rsid w:val="00637FEC"/>
    <w:rsid w:val="00646B37"/>
    <w:rsid w:val="00650622"/>
    <w:rsid w:val="0065156C"/>
    <w:rsid w:val="00653032"/>
    <w:rsid w:val="00653F10"/>
    <w:rsid w:val="006544D9"/>
    <w:rsid w:val="0065486A"/>
    <w:rsid w:val="00656663"/>
    <w:rsid w:val="00657A95"/>
    <w:rsid w:val="006601BB"/>
    <w:rsid w:val="006706DF"/>
    <w:rsid w:val="00671439"/>
    <w:rsid w:val="00672056"/>
    <w:rsid w:val="0067406F"/>
    <w:rsid w:val="00674914"/>
    <w:rsid w:val="00676D28"/>
    <w:rsid w:val="00681707"/>
    <w:rsid w:val="006829B2"/>
    <w:rsid w:val="006829E3"/>
    <w:rsid w:val="00686A04"/>
    <w:rsid w:val="00690DE4"/>
    <w:rsid w:val="006A2135"/>
    <w:rsid w:val="006A21FF"/>
    <w:rsid w:val="006A5A5E"/>
    <w:rsid w:val="006A5B1E"/>
    <w:rsid w:val="006B02FB"/>
    <w:rsid w:val="006B2B2F"/>
    <w:rsid w:val="006B4B17"/>
    <w:rsid w:val="006C01E0"/>
    <w:rsid w:val="006D1D2A"/>
    <w:rsid w:val="006D7115"/>
    <w:rsid w:val="006D7426"/>
    <w:rsid w:val="006E060E"/>
    <w:rsid w:val="006E3200"/>
    <w:rsid w:val="006E655C"/>
    <w:rsid w:val="006E691B"/>
    <w:rsid w:val="006E6A11"/>
    <w:rsid w:val="006F2C89"/>
    <w:rsid w:val="006F3256"/>
    <w:rsid w:val="006F7F12"/>
    <w:rsid w:val="0070523E"/>
    <w:rsid w:val="0070708C"/>
    <w:rsid w:val="007220B0"/>
    <w:rsid w:val="00723231"/>
    <w:rsid w:val="0073103D"/>
    <w:rsid w:val="0073344F"/>
    <w:rsid w:val="00733581"/>
    <w:rsid w:val="0073390C"/>
    <w:rsid w:val="007379FA"/>
    <w:rsid w:val="00744028"/>
    <w:rsid w:val="00746D57"/>
    <w:rsid w:val="00747741"/>
    <w:rsid w:val="00750626"/>
    <w:rsid w:val="0075279C"/>
    <w:rsid w:val="00753971"/>
    <w:rsid w:val="007551F6"/>
    <w:rsid w:val="007575BB"/>
    <w:rsid w:val="00757786"/>
    <w:rsid w:val="0076244A"/>
    <w:rsid w:val="00763762"/>
    <w:rsid w:val="00764F59"/>
    <w:rsid w:val="0076669E"/>
    <w:rsid w:val="00767CB5"/>
    <w:rsid w:val="00767DAA"/>
    <w:rsid w:val="00770564"/>
    <w:rsid w:val="00770B4C"/>
    <w:rsid w:val="0078532E"/>
    <w:rsid w:val="0079028F"/>
    <w:rsid w:val="00790866"/>
    <w:rsid w:val="00790CB4"/>
    <w:rsid w:val="00793446"/>
    <w:rsid w:val="00797474"/>
    <w:rsid w:val="007A24CA"/>
    <w:rsid w:val="007A384B"/>
    <w:rsid w:val="007A391F"/>
    <w:rsid w:val="007A5597"/>
    <w:rsid w:val="007A5876"/>
    <w:rsid w:val="007A6AAC"/>
    <w:rsid w:val="007A7178"/>
    <w:rsid w:val="007B1BD4"/>
    <w:rsid w:val="007B1CC9"/>
    <w:rsid w:val="007B2984"/>
    <w:rsid w:val="007B6404"/>
    <w:rsid w:val="007B74DC"/>
    <w:rsid w:val="007B757B"/>
    <w:rsid w:val="007C0CF7"/>
    <w:rsid w:val="007C2C37"/>
    <w:rsid w:val="007C670B"/>
    <w:rsid w:val="007C7748"/>
    <w:rsid w:val="007D2A47"/>
    <w:rsid w:val="007D6E80"/>
    <w:rsid w:val="007E3997"/>
    <w:rsid w:val="007E3F2D"/>
    <w:rsid w:val="007E5FB2"/>
    <w:rsid w:val="007E7084"/>
    <w:rsid w:val="007F1790"/>
    <w:rsid w:val="007F5C95"/>
    <w:rsid w:val="007F6F56"/>
    <w:rsid w:val="007F744A"/>
    <w:rsid w:val="00802A21"/>
    <w:rsid w:val="008046CD"/>
    <w:rsid w:val="008115B1"/>
    <w:rsid w:val="00816817"/>
    <w:rsid w:val="00816D4A"/>
    <w:rsid w:val="0081781D"/>
    <w:rsid w:val="008206DA"/>
    <w:rsid w:val="0084039C"/>
    <w:rsid w:val="00855EE0"/>
    <w:rsid w:val="00856217"/>
    <w:rsid w:val="008628CA"/>
    <w:rsid w:val="0086324F"/>
    <w:rsid w:val="00872731"/>
    <w:rsid w:val="0087273F"/>
    <w:rsid w:val="00872CB2"/>
    <w:rsid w:val="008757BB"/>
    <w:rsid w:val="008759BA"/>
    <w:rsid w:val="0087615E"/>
    <w:rsid w:val="008768FC"/>
    <w:rsid w:val="00877D36"/>
    <w:rsid w:val="008814C3"/>
    <w:rsid w:val="00892254"/>
    <w:rsid w:val="00892F80"/>
    <w:rsid w:val="008931E7"/>
    <w:rsid w:val="0089344A"/>
    <w:rsid w:val="00894472"/>
    <w:rsid w:val="00895EC7"/>
    <w:rsid w:val="008B0106"/>
    <w:rsid w:val="008B105D"/>
    <w:rsid w:val="008B1A79"/>
    <w:rsid w:val="008B2F57"/>
    <w:rsid w:val="008B7D01"/>
    <w:rsid w:val="008C198D"/>
    <w:rsid w:val="008C30E2"/>
    <w:rsid w:val="008C3A19"/>
    <w:rsid w:val="008C4C70"/>
    <w:rsid w:val="008C52BE"/>
    <w:rsid w:val="008C6643"/>
    <w:rsid w:val="008C6BE3"/>
    <w:rsid w:val="008C6F28"/>
    <w:rsid w:val="008D30F9"/>
    <w:rsid w:val="008D3C44"/>
    <w:rsid w:val="008E4189"/>
    <w:rsid w:val="008E68AE"/>
    <w:rsid w:val="008F608A"/>
    <w:rsid w:val="008F73D9"/>
    <w:rsid w:val="00902D01"/>
    <w:rsid w:val="009034E8"/>
    <w:rsid w:val="009118EF"/>
    <w:rsid w:val="00911A70"/>
    <w:rsid w:val="0091274F"/>
    <w:rsid w:val="009134A3"/>
    <w:rsid w:val="009138C8"/>
    <w:rsid w:val="00923A6E"/>
    <w:rsid w:val="00925AF1"/>
    <w:rsid w:val="009262F8"/>
    <w:rsid w:val="00927AE1"/>
    <w:rsid w:val="009300AB"/>
    <w:rsid w:val="00931AAC"/>
    <w:rsid w:val="0093219A"/>
    <w:rsid w:val="00941592"/>
    <w:rsid w:val="00943500"/>
    <w:rsid w:val="00945B70"/>
    <w:rsid w:val="00947CED"/>
    <w:rsid w:val="00950B52"/>
    <w:rsid w:val="00952610"/>
    <w:rsid w:val="00953C68"/>
    <w:rsid w:val="009557DA"/>
    <w:rsid w:val="00955FBC"/>
    <w:rsid w:val="009572C7"/>
    <w:rsid w:val="00963E8F"/>
    <w:rsid w:val="0096737F"/>
    <w:rsid w:val="00970D38"/>
    <w:rsid w:val="00971A29"/>
    <w:rsid w:val="00973F2D"/>
    <w:rsid w:val="0098082F"/>
    <w:rsid w:val="00984711"/>
    <w:rsid w:val="00985AC4"/>
    <w:rsid w:val="009866FE"/>
    <w:rsid w:val="00993025"/>
    <w:rsid w:val="0099563E"/>
    <w:rsid w:val="00995F1A"/>
    <w:rsid w:val="009A3C21"/>
    <w:rsid w:val="009A3D0A"/>
    <w:rsid w:val="009A3E66"/>
    <w:rsid w:val="009A750F"/>
    <w:rsid w:val="009B016C"/>
    <w:rsid w:val="009B0EAF"/>
    <w:rsid w:val="009B2B08"/>
    <w:rsid w:val="009B47FE"/>
    <w:rsid w:val="009B51C8"/>
    <w:rsid w:val="009C24A5"/>
    <w:rsid w:val="009C709C"/>
    <w:rsid w:val="009C721F"/>
    <w:rsid w:val="009C7B8E"/>
    <w:rsid w:val="009D42BD"/>
    <w:rsid w:val="009E682B"/>
    <w:rsid w:val="009F0E63"/>
    <w:rsid w:val="009F2B2D"/>
    <w:rsid w:val="009F61A4"/>
    <w:rsid w:val="00A00E61"/>
    <w:rsid w:val="00A10012"/>
    <w:rsid w:val="00A11BA3"/>
    <w:rsid w:val="00A14CD3"/>
    <w:rsid w:val="00A26F39"/>
    <w:rsid w:val="00A316E1"/>
    <w:rsid w:val="00A3276D"/>
    <w:rsid w:val="00A33739"/>
    <w:rsid w:val="00A418B6"/>
    <w:rsid w:val="00A41C05"/>
    <w:rsid w:val="00A44E07"/>
    <w:rsid w:val="00A46AA8"/>
    <w:rsid w:val="00A501DD"/>
    <w:rsid w:val="00A51DE4"/>
    <w:rsid w:val="00A542FF"/>
    <w:rsid w:val="00A56206"/>
    <w:rsid w:val="00A63608"/>
    <w:rsid w:val="00A7157B"/>
    <w:rsid w:val="00A739E7"/>
    <w:rsid w:val="00A751EF"/>
    <w:rsid w:val="00A81A82"/>
    <w:rsid w:val="00A83530"/>
    <w:rsid w:val="00A87D1D"/>
    <w:rsid w:val="00A91093"/>
    <w:rsid w:val="00A92796"/>
    <w:rsid w:val="00A96137"/>
    <w:rsid w:val="00AA04AD"/>
    <w:rsid w:val="00AA37F7"/>
    <w:rsid w:val="00AA603C"/>
    <w:rsid w:val="00AA7E28"/>
    <w:rsid w:val="00AB02E1"/>
    <w:rsid w:val="00AB0DE3"/>
    <w:rsid w:val="00AB1899"/>
    <w:rsid w:val="00AB2295"/>
    <w:rsid w:val="00AB3191"/>
    <w:rsid w:val="00AB3FBB"/>
    <w:rsid w:val="00AB4D66"/>
    <w:rsid w:val="00AB5BE7"/>
    <w:rsid w:val="00AC5D4E"/>
    <w:rsid w:val="00AC7959"/>
    <w:rsid w:val="00AD1A2B"/>
    <w:rsid w:val="00AD29AE"/>
    <w:rsid w:val="00AD2DFB"/>
    <w:rsid w:val="00AD2EBB"/>
    <w:rsid w:val="00AD3FF2"/>
    <w:rsid w:val="00AD4270"/>
    <w:rsid w:val="00AD4645"/>
    <w:rsid w:val="00AD486A"/>
    <w:rsid w:val="00AD4BF3"/>
    <w:rsid w:val="00AD5D5E"/>
    <w:rsid w:val="00AE174F"/>
    <w:rsid w:val="00AF2984"/>
    <w:rsid w:val="00AF2A34"/>
    <w:rsid w:val="00AF3065"/>
    <w:rsid w:val="00AF663A"/>
    <w:rsid w:val="00B017E8"/>
    <w:rsid w:val="00B032B4"/>
    <w:rsid w:val="00B03D66"/>
    <w:rsid w:val="00B05E33"/>
    <w:rsid w:val="00B110EF"/>
    <w:rsid w:val="00B11D60"/>
    <w:rsid w:val="00B21207"/>
    <w:rsid w:val="00B21DA8"/>
    <w:rsid w:val="00B224DF"/>
    <w:rsid w:val="00B22DEB"/>
    <w:rsid w:val="00B24227"/>
    <w:rsid w:val="00B27590"/>
    <w:rsid w:val="00B3013F"/>
    <w:rsid w:val="00B306C7"/>
    <w:rsid w:val="00B34D19"/>
    <w:rsid w:val="00B36AC5"/>
    <w:rsid w:val="00B41092"/>
    <w:rsid w:val="00B42D8E"/>
    <w:rsid w:val="00B442FB"/>
    <w:rsid w:val="00B449E2"/>
    <w:rsid w:val="00B44A60"/>
    <w:rsid w:val="00B45B09"/>
    <w:rsid w:val="00B56244"/>
    <w:rsid w:val="00B57A51"/>
    <w:rsid w:val="00B70857"/>
    <w:rsid w:val="00B7163C"/>
    <w:rsid w:val="00B72E12"/>
    <w:rsid w:val="00B75A4E"/>
    <w:rsid w:val="00B80A47"/>
    <w:rsid w:val="00B87436"/>
    <w:rsid w:val="00B9162F"/>
    <w:rsid w:val="00B95848"/>
    <w:rsid w:val="00B9696F"/>
    <w:rsid w:val="00BA1033"/>
    <w:rsid w:val="00BA3094"/>
    <w:rsid w:val="00BB0B02"/>
    <w:rsid w:val="00BB1EA0"/>
    <w:rsid w:val="00BB2D41"/>
    <w:rsid w:val="00BB4FB1"/>
    <w:rsid w:val="00BB5873"/>
    <w:rsid w:val="00BB5F31"/>
    <w:rsid w:val="00BC40C4"/>
    <w:rsid w:val="00BC59DD"/>
    <w:rsid w:val="00BD0C44"/>
    <w:rsid w:val="00BD1A38"/>
    <w:rsid w:val="00BE57A2"/>
    <w:rsid w:val="00BF1FBB"/>
    <w:rsid w:val="00BF5FE6"/>
    <w:rsid w:val="00BF6602"/>
    <w:rsid w:val="00C0047C"/>
    <w:rsid w:val="00C04E82"/>
    <w:rsid w:val="00C05400"/>
    <w:rsid w:val="00C05BAA"/>
    <w:rsid w:val="00C15B3B"/>
    <w:rsid w:val="00C164EF"/>
    <w:rsid w:val="00C20DAA"/>
    <w:rsid w:val="00C246FE"/>
    <w:rsid w:val="00C268CC"/>
    <w:rsid w:val="00C31FBB"/>
    <w:rsid w:val="00C34EA8"/>
    <w:rsid w:val="00C401B7"/>
    <w:rsid w:val="00C40859"/>
    <w:rsid w:val="00C462D4"/>
    <w:rsid w:val="00C4674F"/>
    <w:rsid w:val="00C468AC"/>
    <w:rsid w:val="00C52DA3"/>
    <w:rsid w:val="00C57399"/>
    <w:rsid w:val="00C62FB1"/>
    <w:rsid w:val="00C666C5"/>
    <w:rsid w:val="00C702F9"/>
    <w:rsid w:val="00C7117E"/>
    <w:rsid w:val="00C72154"/>
    <w:rsid w:val="00C73693"/>
    <w:rsid w:val="00C75B2D"/>
    <w:rsid w:val="00C75D3A"/>
    <w:rsid w:val="00C801BE"/>
    <w:rsid w:val="00C8037C"/>
    <w:rsid w:val="00C8407E"/>
    <w:rsid w:val="00C86CBB"/>
    <w:rsid w:val="00C871FF"/>
    <w:rsid w:val="00C87F9E"/>
    <w:rsid w:val="00C93E19"/>
    <w:rsid w:val="00C966A8"/>
    <w:rsid w:val="00CA42ED"/>
    <w:rsid w:val="00CA4976"/>
    <w:rsid w:val="00CA4B13"/>
    <w:rsid w:val="00CB0DE8"/>
    <w:rsid w:val="00CB3F2B"/>
    <w:rsid w:val="00CB40D1"/>
    <w:rsid w:val="00CB424B"/>
    <w:rsid w:val="00CB655B"/>
    <w:rsid w:val="00CC01A4"/>
    <w:rsid w:val="00CC0B74"/>
    <w:rsid w:val="00CC63A0"/>
    <w:rsid w:val="00CC73EC"/>
    <w:rsid w:val="00CC7562"/>
    <w:rsid w:val="00CD15CB"/>
    <w:rsid w:val="00CD2174"/>
    <w:rsid w:val="00CD55AA"/>
    <w:rsid w:val="00CD6551"/>
    <w:rsid w:val="00CD7FE7"/>
    <w:rsid w:val="00CE666F"/>
    <w:rsid w:val="00CF01DF"/>
    <w:rsid w:val="00CF41FC"/>
    <w:rsid w:val="00CF63D2"/>
    <w:rsid w:val="00CF65E7"/>
    <w:rsid w:val="00D019A5"/>
    <w:rsid w:val="00D01CD5"/>
    <w:rsid w:val="00D02A97"/>
    <w:rsid w:val="00D0600B"/>
    <w:rsid w:val="00D14DF8"/>
    <w:rsid w:val="00D25A19"/>
    <w:rsid w:val="00D26CAD"/>
    <w:rsid w:val="00D302D7"/>
    <w:rsid w:val="00D31767"/>
    <w:rsid w:val="00D3266A"/>
    <w:rsid w:val="00D3280C"/>
    <w:rsid w:val="00D33E94"/>
    <w:rsid w:val="00D373EB"/>
    <w:rsid w:val="00D42F4B"/>
    <w:rsid w:val="00D444D6"/>
    <w:rsid w:val="00D450A7"/>
    <w:rsid w:val="00D46AA8"/>
    <w:rsid w:val="00D47FEA"/>
    <w:rsid w:val="00D52AF2"/>
    <w:rsid w:val="00D52F52"/>
    <w:rsid w:val="00D53AFC"/>
    <w:rsid w:val="00D54C50"/>
    <w:rsid w:val="00D56800"/>
    <w:rsid w:val="00D60752"/>
    <w:rsid w:val="00D63427"/>
    <w:rsid w:val="00D63EDD"/>
    <w:rsid w:val="00D65AFF"/>
    <w:rsid w:val="00D65F66"/>
    <w:rsid w:val="00D6644C"/>
    <w:rsid w:val="00D74F04"/>
    <w:rsid w:val="00D76F3F"/>
    <w:rsid w:val="00D81C70"/>
    <w:rsid w:val="00D823CE"/>
    <w:rsid w:val="00D84EF6"/>
    <w:rsid w:val="00D90290"/>
    <w:rsid w:val="00D90885"/>
    <w:rsid w:val="00D95F20"/>
    <w:rsid w:val="00D9691F"/>
    <w:rsid w:val="00D969C6"/>
    <w:rsid w:val="00DA0505"/>
    <w:rsid w:val="00DA1088"/>
    <w:rsid w:val="00DA1A44"/>
    <w:rsid w:val="00DB21AF"/>
    <w:rsid w:val="00DB4A52"/>
    <w:rsid w:val="00DB735A"/>
    <w:rsid w:val="00DC382B"/>
    <w:rsid w:val="00DC5E35"/>
    <w:rsid w:val="00DC70DA"/>
    <w:rsid w:val="00DC7CB1"/>
    <w:rsid w:val="00DD1D70"/>
    <w:rsid w:val="00DD3F8D"/>
    <w:rsid w:val="00DD5546"/>
    <w:rsid w:val="00DD69A8"/>
    <w:rsid w:val="00DF2C80"/>
    <w:rsid w:val="00DF4144"/>
    <w:rsid w:val="00DF48FB"/>
    <w:rsid w:val="00DF5681"/>
    <w:rsid w:val="00DF6180"/>
    <w:rsid w:val="00DF6BAD"/>
    <w:rsid w:val="00DF7727"/>
    <w:rsid w:val="00E00E57"/>
    <w:rsid w:val="00E018B7"/>
    <w:rsid w:val="00E05F7A"/>
    <w:rsid w:val="00E06976"/>
    <w:rsid w:val="00E07AC6"/>
    <w:rsid w:val="00E07C36"/>
    <w:rsid w:val="00E11658"/>
    <w:rsid w:val="00E1282A"/>
    <w:rsid w:val="00E14585"/>
    <w:rsid w:val="00E21B48"/>
    <w:rsid w:val="00E22FC1"/>
    <w:rsid w:val="00E2452C"/>
    <w:rsid w:val="00E26B21"/>
    <w:rsid w:val="00E33B33"/>
    <w:rsid w:val="00E35E19"/>
    <w:rsid w:val="00E36833"/>
    <w:rsid w:val="00E40B6B"/>
    <w:rsid w:val="00E429F9"/>
    <w:rsid w:val="00E43340"/>
    <w:rsid w:val="00E46A1E"/>
    <w:rsid w:val="00E50553"/>
    <w:rsid w:val="00E50DA6"/>
    <w:rsid w:val="00E52090"/>
    <w:rsid w:val="00E52964"/>
    <w:rsid w:val="00E555CE"/>
    <w:rsid w:val="00E55D3B"/>
    <w:rsid w:val="00E55EB5"/>
    <w:rsid w:val="00E56495"/>
    <w:rsid w:val="00E57BC3"/>
    <w:rsid w:val="00E615B6"/>
    <w:rsid w:val="00E731D1"/>
    <w:rsid w:val="00E808AA"/>
    <w:rsid w:val="00E84CD0"/>
    <w:rsid w:val="00E85E3B"/>
    <w:rsid w:val="00E86C9E"/>
    <w:rsid w:val="00E8734F"/>
    <w:rsid w:val="00E878F3"/>
    <w:rsid w:val="00E910BE"/>
    <w:rsid w:val="00E93077"/>
    <w:rsid w:val="00E934E5"/>
    <w:rsid w:val="00E93E6C"/>
    <w:rsid w:val="00E96DE4"/>
    <w:rsid w:val="00EA0F8C"/>
    <w:rsid w:val="00EA17DF"/>
    <w:rsid w:val="00EA3EA4"/>
    <w:rsid w:val="00EA60CA"/>
    <w:rsid w:val="00EB1D2A"/>
    <w:rsid w:val="00EB2322"/>
    <w:rsid w:val="00EB537C"/>
    <w:rsid w:val="00EB5A48"/>
    <w:rsid w:val="00EB7784"/>
    <w:rsid w:val="00EC61F4"/>
    <w:rsid w:val="00EC63A8"/>
    <w:rsid w:val="00EC7BC5"/>
    <w:rsid w:val="00ED1B37"/>
    <w:rsid w:val="00ED46CB"/>
    <w:rsid w:val="00ED66F8"/>
    <w:rsid w:val="00ED6F89"/>
    <w:rsid w:val="00ED79CC"/>
    <w:rsid w:val="00EE0E29"/>
    <w:rsid w:val="00EE11DB"/>
    <w:rsid w:val="00EE1D98"/>
    <w:rsid w:val="00EE6BF8"/>
    <w:rsid w:val="00EF015B"/>
    <w:rsid w:val="00EF3952"/>
    <w:rsid w:val="00EF3D3D"/>
    <w:rsid w:val="00EF5DD3"/>
    <w:rsid w:val="00EF7B80"/>
    <w:rsid w:val="00F0038B"/>
    <w:rsid w:val="00F00614"/>
    <w:rsid w:val="00F014ED"/>
    <w:rsid w:val="00F0244A"/>
    <w:rsid w:val="00F045AE"/>
    <w:rsid w:val="00F07F1A"/>
    <w:rsid w:val="00F10AE3"/>
    <w:rsid w:val="00F13ABD"/>
    <w:rsid w:val="00F147A1"/>
    <w:rsid w:val="00F206E8"/>
    <w:rsid w:val="00F2075C"/>
    <w:rsid w:val="00F211B7"/>
    <w:rsid w:val="00F2609F"/>
    <w:rsid w:val="00F30BFF"/>
    <w:rsid w:val="00F32264"/>
    <w:rsid w:val="00F322E2"/>
    <w:rsid w:val="00F33E5B"/>
    <w:rsid w:val="00F35E56"/>
    <w:rsid w:val="00F42C70"/>
    <w:rsid w:val="00F45ED5"/>
    <w:rsid w:val="00F5123B"/>
    <w:rsid w:val="00F539C5"/>
    <w:rsid w:val="00F57D0E"/>
    <w:rsid w:val="00F60963"/>
    <w:rsid w:val="00F671A4"/>
    <w:rsid w:val="00F7513F"/>
    <w:rsid w:val="00F76DC9"/>
    <w:rsid w:val="00F85052"/>
    <w:rsid w:val="00F85101"/>
    <w:rsid w:val="00F8550C"/>
    <w:rsid w:val="00F86046"/>
    <w:rsid w:val="00F86126"/>
    <w:rsid w:val="00F86C05"/>
    <w:rsid w:val="00F94CC0"/>
    <w:rsid w:val="00F94E2F"/>
    <w:rsid w:val="00FA0DE9"/>
    <w:rsid w:val="00FA46FB"/>
    <w:rsid w:val="00FA620F"/>
    <w:rsid w:val="00FB0119"/>
    <w:rsid w:val="00FB3976"/>
    <w:rsid w:val="00FB4085"/>
    <w:rsid w:val="00FB7B33"/>
    <w:rsid w:val="00FC3FB6"/>
    <w:rsid w:val="00FC5114"/>
    <w:rsid w:val="00FD13FA"/>
    <w:rsid w:val="00FD2FA4"/>
    <w:rsid w:val="00FD6A7A"/>
    <w:rsid w:val="00FD6D0F"/>
    <w:rsid w:val="00FE421A"/>
    <w:rsid w:val="00FE4E30"/>
    <w:rsid w:val="00FF299E"/>
    <w:rsid w:val="00FF4AAC"/>
    <w:rsid w:val="00FF5BF5"/>
    <w:rsid w:val="00FF63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BA8A8"/>
  <w15:docId w15:val="{F8D23A3D-D69B-469B-B5F0-FEDA5D99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56"/>
    <w:pPr>
      <w:spacing w:after="0" w:line="240" w:lineRule="auto"/>
    </w:pPr>
    <w:rPr>
      <w:rFonts w:eastAsia="Times New Roman" w:cs="Time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F5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F6F56"/>
    <w:pPr>
      <w:spacing w:before="120" w:after="120"/>
    </w:pPr>
  </w:style>
  <w:style w:type="paragraph" w:styleId="ListParagraph">
    <w:name w:val="List Paragraph"/>
    <w:basedOn w:val="Normal"/>
    <w:uiPriority w:val="34"/>
    <w:qFormat/>
    <w:rsid w:val="007F6F56"/>
    <w:pPr>
      <w:ind w:left="720"/>
      <w:contextualSpacing/>
    </w:pPr>
    <w:rPr>
      <w:rFonts w:ascii="Times New Roman" w:hAnsi="Times New Roman" w:cs="Times New Roman"/>
      <w:lang w:val="en-GB"/>
    </w:rPr>
  </w:style>
  <w:style w:type="paragraph" w:styleId="BalloonText">
    <w:name w:val="Balloon Text"/>
    <w:basedOn w:val="Normal"/>
    <w:link w:val="BalloonTextChar"/>
    <w:uiPriority w:val="99"/>
    <w:semiHidden/>
    <w:unhideWhenUsed/>
    <w:rsid w:val="007F6F56"/>
    <w:rPr>
      <w:rFonts w:ascii="Tahoma" w:hAnsi="Tahoma" w:cs="Tahoma"/>
      <w:sz w:val="16"/>
      <w:szCs w:val="16"/>
    </w:rPr>
  </w:style>
  <w:style w:type="character" w:customStyle="1" w:styleId="BalloonTextChar">
    <w:name w:val="Balloon Text Char"/>
    <w:basedOn w:val="DefaultParagraphFont"/>
    <w:link w:val="BalloonText"/>
    <w:uiPriority w:val="99"/>
    <w:semiHidden/>
    <w:rsid w:val="007F6F56"/>
    <w:rPr>
      <w:rFonts w:ascii="Tahoma" w:eastAsia="Times New Roman" w:hAnsi="Tahoma" w:cs="Tahoma"/>
      <w:sz w:val="16"/>
      <w:szCs w:val="16"/>
      <w:lang w:eastAsia="en-GB"/>
    </w:rPr>
  </w:style>
  <w:style w:type="paragraph" w:customStyle="1" w:styleId="Bullet">
    <w:name w:val="Bullet"/>
    <w:basedOn w:val="Normal"/>
    <w:rsid w:val="00383E84"/>
    <w:pPr>
      <w:numPr>
        <w:numId w:val="3"/>
      </w:numPr>
      <w:spacing w:before="120"/>
    </w:pPr>
    <w:rPr>
      <w:rFonts w:ascii="Times New Roman" w:hAnsi="Times New Roman"/>
    </w:rPr>
  </w:style>
  <w:style w:type="character" w:styleId="CommentReference">
    <w:name w:val="annotation reference"/>
    <w:basedOn w:val="DefaultParagraphFont"/>
    <w:uiPriority w:val="99"/>
    <w:semiHidden/>
    <w:unhideWhenUsed/>
    <w:rsid w:val="00026BF6"/>
    <w:rPr>
      <w:sz w:val="16"/>
      <w:szCs w:val="16"/>
    </w:rPr>
  </w:style>
  <w:style w:type="paragraph" w:styleId="CommentText">
    <w:name w:val="annotation text"/>
    <w:basedOn w:val="Normal"/>
    <w:link w:val="CommentTextChar"/>
    <w:uiPriority w:val="99"/>
    <w:semiHidden/>
    <w:unhideWhenUsed/>
    <w:rsid w:val="00026BF6"/>
    <w:rPr>
      <w:sz w:val="20"/>
      <w:szCs w:val="20"/>
    </w:rPr>
  </w:style>
  <w:style w:type="character" w:customStyle="1" w:styleId="CommentTextChar">
    <w:name w:val="Comment Text Char"/>
    <w:basedOn w:val="DefaultParagraphFont"/>
    <w:link w:val="CommentText"/>
    <w:uiPriority w:val="99"/>
    <w:semiHidden/>
    <w:rsid w:val="00026BF6"/>
    <w:rPr>
      <w:rFonts w:eastAsia="Times New Roman" w:cs="Times"/>
      <w:sz w:val="20"/>
      <w:szCs w:val="20"/>
      <w:lang w:eastAsia="en-GB"/>
    </w:rPr>
  </w:style>
  <w:style w:type="paragraph" w:styleId="CommentSubject">
    <w:name w:val="annotation subject"/>
    <w:basedOn w:val="CommentText"/>
    <w:next w:val="CommentText"/>
    <w:link w:val="CommentSubjectChar"/>
    <w:uiPriority w:val="99"/>
    <w:semiHidden/>
    <w:unhideWhenUsed/>
    <w:rsid w:val="00026BF6"/>
    <w:rPr>
      <w:b/>
      <w:bCs/>
    </w:rPr>
  </w:style>
  <w:style w:type="character" w:customStyle="1" w:styleId="CommentSubjectChar">
    <w:name w:val="Comment Subject Char"/>
    <w:basedOn w:val="CommentTextChar"/>
    <w:link w:val="CommentSubject"/>
    <w:uiPriority w:val="99"/>
    <w:semiHidden/>
    <w:rsid w:val="00026BF6"/>
    <w:rPr>
      <w:rFonts w:eastAsia="Times New Roman" w:cs="Time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FE9F-F02C-4CC2-8F0A-EBF25913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ModifiedBy>Saerom Shin</cp:lastModifiedBy>
  <cp:revision>6</cp:revision>
  <cp:lastPrinted>2018-08-08T21:35:00Z</cp:lastPrinted>
  <dcterms:created xsi:type="dcterms:W3CDTF">2018-05-14T02:47:00Z</dcterms:created>
  <dcterms:modified xsi:type="dcterms:W3CDTF">2018-08-08T22:58:00Z</dcterms:modified>
</cp:coreProperties>
</file>