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7B31" w14:textId="77777777" w:rsidR="00BB0404" w:rsidRDefault="00BB0404" w:rsidP="00DA035C">
      <w:pPr>
        <w:spacing w:after="360"/>
      </w:pPr>
    </w:p>
    <w:p w14:paraId="4F62E8F5" w14:textId="77777777" w:rsidR="00B14C13" w:rsidRPr="00DA035C" w:rsidRDefault="00BB0404" w:rsidP="00DA035C">
      <w:pPr>
        <w:spacing w:before="240" w:after="360"/>
        <w:rPr>
          <w:rFonts w:ascii="Georgia" w:hAnsi="Georgia"/>
          <w:b/>
          <w:sz w:val="48"/>
          <w:szCs w:val="48"/>
        </w:rPr>
      </w:pPr>
      <w:r w:rsidRPr="00DA035C">
        <w:rPr>
          <w:rFonts w:ascii="Georgia" w:hAnsi="Georgia"/>
          <w:b/>
          <w:sz w:val="48"/>
          <w:szCs w:val="48"/>
        </w:rPr>
        <w:t>Memo</w:t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804DD4">
        <w:rPr>
          <w:rFonts w:ascii="Georgia" w:hAnsi="Georgia"/>
          <w:b/>
          <w:sz w:val="48"/>
          <w:szCs w:val="48"/>
        </w:rPr>
        <w:tab/>
      </w:r>
      <w:r w:rsidR="00AF49D1">
        <w:rPr>
          <w:noProof/>
          <w:lang w:eastAsia="en-NZ"/>
        </w:rPr>
        <w:drawing>
          <wp:inline distT="0" distB="0" distL="0" distR="0" wp14:anchorId="520F82EB" wp14:editId="381E4152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006665" w:rsidRPr="00006665" w14:paraId="67DE854F" w14:textId="77777777" w:rsidTr="002426D7">
        <w:trPr>
          <w:cantSplit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208FD6E6" w14:textId="77777777" w:rsidR="00006665" w:rsidRPr="00006665" w:rsidRDefault="00006665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933EB81" w14:textId="77777777" w:rsidR="00006665" w:rsidRPr="00006665" w:rsidRDefault="00D463A1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September 2020</w:t>
            </w:r>
          </w:p>
        </w:tc>
      </w:tr>
      <w:tr w:rsidR="00006665" w:rsidRPr="00006665" w14:paraId="06338969" w14:textId="77777777" w:rsidTr="002426D7">
        <w:trPr>
          <w:cantSplit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EAD128C" w14:textId="77777777" w:rsidR="00006665" w:rsidRPr="00006665" w:rsidRDefault="00006665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To: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AD5F73" w14:textId="77777777" w:rsidR="00006665" w:rsidRPr="00006665" w:rsidRDefault="00D463A1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Ashley Bloomfield, Director-General of Health</w:t>
            </w:r>
          </w:p>
        </w:tc>
      </w:tr>
      <w:tr w:rsidR="00006665" w:rsidRPr="00006665" w14:paraId="59210D87" w14:textId="77777777" w:rsidTr="002426D7">
        <w:trPr>
          <w:cantSplit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22B3154" w14:textId="77777777" w:rsidR="00006665" w:rsidRPr="00006665" w:rsidRDefault="00006665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Copy to: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100F20" w14:textId="6EC953B0" w:rsidR="002426D7" w:rsidRPr="00006665" w:rsidRDefault="00D463A1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Sarah Turner, Deputy Director-General, Office of the D</w:t>
            </w:r>
            <w:r w:rsidR="00641EE5">
              <w:rPr>
                <w:rFonts w:cs="Arial"/>
                <w:sz w:val="22"/>
                <w:szCs w:val="22"/>
              </w:rPr>
              <w:t>irector-General (ODG)</w:t>
            </w:r>
            <w:r w:rsidR="002426D7">
              <w:rPr>
                <w:rFonts w:cs="Arial"/>
                <w:sz w:val="22"/>
                <w:szCs w:val="22"/>
              </w:rPr>
              <w:br/>
              <w:t>Robyn Shearer, Acting Director-General of Health (29 Aug - 1 Sept 2020)</w:t>
            </w:r>
            <w:r w:rsidR="00C253E9">
              <w:rPr>
                <w:rFonts w:cs="Arial"/>
                <w:sz w:val="22"/>
                <w:szCs w:val="22"/>
              </w:rPr>
              <w:br/>
              <w:t>Paul Giles, Group Manager, Communications, ODG</w:t>
            </w:r>
          </w:p>
        </w:tc>
      </w:tr>
      <w:tr w:rsidR="00006665" w:rsidRPr="00006665" w14:paraId="09EFECC2" w14:textId="77777777" w:rsidTr="002426D7">
        <w:trPr>
          <w:cantSplit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410C8C9" w14:textId="77777777" w:rsidR="00006665" w:rsidRPr="00006665" w:rsidRDefault="00006665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From: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F3B191" w14:textId="77777777" w:rsidR="00006665" w:rsidRPr="00006665" w:rsidRDefault="00D463A1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Sue Gordon, Deputy Chief Executive, COVID-19 Health System Response</w:t>
            </w:r>
          </w:p>
        </w:tc>
      </w:tr>
      <w:tr w:rsidR="00006665" w:rsidRPr="00006665" w14:paraId="5CD52B7C" w14:textId="77777777" w:rsidTr="002426D7">
        <w:trPr>
          <w:cantSplit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45A834D" w14:textId="77777777" w:rsidR="00006665" w:rsidRPr="00006665" w:rsidRDefault="00006665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Subject: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6BFCFC" w14:textId="77777777" w:rsidR="00006665" w:rsidRPr="00006665" w:rsidRDefault="00D463A1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bookmarkStart w:id="0" w:name="_GoBack"/>
            <w:r>
              <w:rPr>
                <w:rFonts w:cs="Arial"/>
                <w:sz w:val="22"/>
                <w:szCs w:val="22"/>
              </w:rPr>
              <w:t>Internal Rapid Review – COVID-19 Key Communications</w:t>
            </w:r>
            <w:bookmarkEnd w:id="0"/>
          </w:p>
        </w:tc>
      </w:tr>
      <w:tr w:rsidR="00D463A1" w:rsidRPr="00006665" w14:paraId="4B9E2849" w14:textId="77777777" w:rsidTr="002426D7">
        <w:trPr>
          <w:cantSplit/>
        </w:trPr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78F20903" w14:textId="77777777" w:rsidR="00D463A1" w:rsidRPr="00006665" w:rsidRDefault="00D463A1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006665">
              <w:rPr>
                <w:rFonts w:cs="Arial"/>
                <w:b/>
                <w:sz w:val="22"/>
                <w:szCs w:val="22"/>
              </w:rPr>
              <w:t>For your: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7850B78A" w14:textId="27D37120" w:rsidR="00D463A1" w:rsidRPr="00006665" w:rsidRDefault="00AE126B" w:rsidP="00C609B5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Noting</w:t>
            </w:r>
          </w:p>
        </w:tc>
      </w:tr>
    </w:tbl>
    <w:p w14:paraId="0D7C5BCE" w14:textId="0D2923B2" w:rsidR="00D463A1" w:rsidRPr="004E6B68" w:rsidRDefault="00094200" w:rsidP="004E6B68">
      <w:pPr>
        <w:pStyle w:val="Heading1"/>
        <w:rPr>
          <w:b w:val="0"/>
          <w:sz w:val="22"/>
          <w:szCs w:val="22"/>
        </w:rPr>
      </w:pPr>
      <w:r w:rsidRPr="004E6B68">
        <w:rPr>
          <w:b w:val="0"/>
          <w:sz w:val="22"/>
          <w:szCs w:val="22"/>
        </w:rPr>
        <w:t xml:space="preserve">This memo </w:t>
      </w:r>
      <w:r w:rsidR="00C253E9">
        <w:rPr>
          <w:b w:val="0"/>
          <w:sz w:val="22"/>
          <w:szCs w:val="22"/>
        </w:rPr>
        <w:t xml:space="preserve">informs you of </w:t>
      </w:r>
      <w:r w:rsidR="001C6837">
        <w:rPr>
          <w:b w:val="0"/>
          <w:sz w:val="22"/>
          <w:szCs w:val="22"/>
        </w:rPr>
        <w:t xml:space="preserve">some changes to improve the sign-out of communications relating to COVID-19. </w:t>
      </w:r>
    </w:p>
    <w:p w14:paraId="76DA94CC" w14:textId="77777777" w:rsidR="00E50D90" w:rsidRPr="00006665" w:rsidRDefault="00E50D90" w:rsidP="004E6B68">
      <w:pPr>
        <w:pStyle w:val="Heading1"/>
        <w:spacing w:before="360"/>
        <w:rPr>
          <w:sz w:val="22"/>
          <w:szCs w:val="22"/>
        </w:rPr>
      </w:pPr>
      <w:r w:rsidRPr="00006665">
        <w:rPr>
          <w:sz w:val="22"/>
          <w:szCs w:val="22"/>
        </w:rPr>
        <w:t>Background</w:t>
      </w:r>
    </w:p>
    <w:p w14:paraId="3A8B4155" w14:textId="77777777" w:rsidR="004E6B68" w:rsidRDefault="004E6B68" w:rsidP="004E6B6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 the weekend of 29/30 August, incorrect messaging provided by the Ministry of Health was publicised by the </w:t>
      </w:r>
      <w:r w:rsidR="001C6837">
        <w:rPr>
          <w:sz w:val="22"/>
          <w:szCs w:val="22"/>
        </w:rPr>
        <w:t>AOG</w:t>
      </w:r>
      <w:r>
        <w:rPr>
          <w:sz w:val="22"/>
          <w:szCs w:val="22"/>
        </w:rPr>
        <w:t xml:space="preserve"> communications team. </w:t>
      </w:r>
    </w:p>
    <w:p w14:paraId="0B563106" w14:textId="211041BE" w:rsidR="00280A23" w:rsidRPr="00006665" w:rsidRDefault="00A430BA" w:rsidP="00884B15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A430BA">
        <w:rPr>
          <w:sz w:val="22"/>
          <w:szCs w:val="22"/>
        </w:rPr>
        <w:t xml:space="preserve">he Acting Director-General of Health, the Deputy Director-General of ODG, the Group Manager for Communications and myself </w:t>
      </w:r>
      <w:r w:rsidR="004E6B68" w:rsidRPr="004E6B68">
        <w:rPr>
          <w:sz w:val="22"/>
          <w:szCs w:val="22"/>
        </w:rPr>
        <w:t xml:space="preserve">met to understand how an incorrect message regarding COVID-19 testing was disseminated, and how to ensure it would not happen again. </w:t>
      </w:r>
    </w:p>
    <w:p w14:paraId="04A3702D" w14:textId="77777777" w:rsidR="008C00A2" w:rsidRPr="00006665" w:rsidRDefault="00975352" w:rsidP="004E6B68">
      <w:pPr>
        <w:pStyle w:val="Heading1"/>
        <w:spacing w:before="360"/>
        <w:rPr>
          <w:sz w:val="22"/>
          <w:szCs w:val="22"/>
        </w:rPr>
      </w:pPr>
      <w:r>
        <w:rPr>
          <w:sz w:val="22"/>
          <w:szCs w:val="22"/>
        </w:rPr>
        <w:t>What happened</w:t>
      </w:r>
    </w:p>
    <w:p w14:paraId="0D131C48" w14:textId="77777777" w:rsidR="00BC4B2A" w:rsidRDefault="00BC4B2A" w:rsidP="00975352">
      <w:pPr>
        <w:spacing w:after="120"/>
        <w:rPr>
          <w:sz w:val="22"/>
          <w:szCs w:val="22"/>
        </w:rPr>
      </w:pPr>
      <w:r>
        <w:rPr>
          <w:sz w:val="22"/>
          <w:szCs w:val="22"/>
        </w:rPr>
        <w:t>On 26 August, y</w:t>
      </w:r>
      <w:r w:rsidR="00975352">
        <w:rPr>
          <w:sz w:val="22"/>
          <w:szCs w:val="22"/>
        </w:rPr>
        <w:t xml:space="preserve">ou signed a letter to the sector </w:t>
      </w:r>
      <w:r>
        <w:rPr>
          <w:sz w:val="22"/>
          <w:szCs w:val="22"/>
        </w:rPr>
        <w:t>outlining the Ministry’s expectations for testing</w:t>
      </w:r>
      <w:r w:rsidR="001C6837">
        <w:rPr>
          <w:sz w:val="22"/>
          <w:szCs w:val="22"/>
        </w:rPr>
        <w:t xml:space="preserve"> over the coming 2-3 weeks</w:t>
      </w:r>
      <w:r w:rsidR="00563370">
        <w:rPr>
          <w:sz w:val="22"/>
          <w:szCs w:val="22"/>
        </w:rPr>
        <w:t xml:space="preserve"> (attached)</w:t>
      </w:r>
      <w:r>
        <w:rPr>
          <w:sz w:val="22"/>
          <w:szCs w:val="22"/>
        </w:rPr>
        <w:t xml:space="preserve">. A request was made by </w:t>
      </w:r>
      <w:r w:rsidR="00563370">
        <w:rPr>
          <w:sz w:val="22"/>
          <w:szCs w:val="22"/>
        </w:rPr>
        <w:t>AOG</w:t>
      </w:r>
      <w:r>
        <w:rPr>
          <w:sz w:val="22"/>
          <w:szCs w:val="22"/>
        </w:rPr>
        <w:t xml:space="preserve"> for some public facing messaging that complemented those expectations.</w:t>
      </w:r>
    </w:p>
    <w:p w14:paraId="3130B6E5" w14:textId="25733922" w:rsidR="00975352" w:rsidRPr="00975352" w:rsidRDefault="00BC4B2A" w:rsidP="00975352">
      <w:pPr>
        <w:spacing w:after="1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1E8AE" wp14:editId="21617947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6038850" cy="2438400"/>
            <wp:effectExtent l="0" t="0" r="0" b="0"/>
            <wp:wrapTight wrapText="bothSides">
              <wp:wrapPolygon edited="0">
                <wp:start x="2930" y="4219"/>
                <wp:lineTo x="2317" y="5063"/>
                <wp:lineTo x="1363" y="6750"/>
                <wp:lineTo x="954" y="9788"/>
                <wp:lineTo x="1022" y="12656"/>
                <wp:lineTo x="1703" y="15694"/>
                <wp:lineTo x="2930" y="17044"/>
                <wp:lineTo x="3339" y="17381"/>
                <wp:lineTo x="14105" y="17381"/>
                <wp:lineTo x="19351" y="17044"/>
                <wp:lineTo x="21055" y="16706"/>
                <wp:lineTo x="20987" y="15356"/>
                <wp:lineTo x="21532" y="12825"/>
                <wp:lineTo x="21532" y="9113"/>
                <wp:lineTo x="21259" y="7256"/>
                <wp:lineTo x="21327" y="5400"/>
                <wp:lineTo x="19420" y="4556"/>
                <wp:lineTo x="14514" y="4219"/>
                <wp:lineTo x="2930" y="4219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sz w:val="22"/>
          <w:szCs w:val="22"/>
        </w:rPr>
        <w:t>The k</w:t>
      </w:r>
      <w:r w:rsidR="00975352" w:rsidRPr="00975352">
        <w:rPr>
          <w:sz w:val="22"/>
          <w:szCs w:val="22"/>
        </w:rPr>
        <w:t>ey messages were developed at an operational Manager and Communications advice level</w:t>
      </w:r>
      <w:r w:rsidR="001C6837">
        <w:rPr>
          <w:sz w:val="22"/>
          <w:szCs w:val="22"/>
        </w:rPr>
        <w:t>. They were</w:t>
      </w:r>
      <w:r w:rsidR="00975352" w:rsidRPr="00975352">
        <w:rPr>
          <w:sz w:val="22"/>
          <w:szCs w:val="22"/>
        </w:rPr>
        <w:t xml:space="preserve"> signed out by senior subject matter experts, but not by a </w:t>
      </w:r>
      <w:r w:rsidR="004E24E7">
        <w:rPr>
          <w:sz w:val="22"/>
          <w:szCs w:val="22"/>
        </w:rPr>
        <w:t>COVID</w:t>
      </w:r>
      <w:r w:rsidR="00902148" w:rsidRPr="00902148">
        <w:rPr>
          <w:sz w:val="22"/>
          <w:szCs w:val="22"/>
        </w:rPr>
        <w:t xml:space="preserve">-19 Health System Response </w:t>
      </w:r>
      <w:r w:rsidR="00902148">
        <w:rPr>
          <w:sz w:val="22"/>
          <w:szCs w:val="22"/>
        </w:rPr>
        <w:t>d</w:t>
      </w:r>
      <w:r w:rsidR="00902148" w:rsidRPr="00902148">
        <w:rPr>
          <w:sz w:val="22"/>
          <w:szCs w:val="22"/>
        </w:rPr>
        <w:t>irectorate</w:t>
      </w:r>
      <w:r w:rsidR="004E24E7">
        <w:rPr>
          <w:sz w:val="22"/>
          <w:szCs w:val="22"/>
        </w:rPr>
        <w:t xml:space="preserve"> </w:t>
      </w:r>
      <w:r w:rsidR="00975352" w:rsidRPr="00975352">
        <w:rPr>
          <w:sz w:val="22"/>
          <w:szCs w:val="22"/>
        </w:rPr>
        <w:t>senior responsible officer</w:t>
      </w:r>
      <w:r w:rsidR="004E24E7">
        <w:rPr>
          <w:sz w:val="22"/>
          <w:szCs w:val="22"/>
        </w:rPr>
        <w:t>.</w:t>
      </w:r>
    </w:p>
    <w:p w14:paraId="34E546A2" w14:textId="77777777" w:rsidR="00BC4B2A" w:rsidRDefault="00BC4B2A" w:rsidP="00975352">
      <w:pPr>
        <w:spacing w:after="120"/>
        <w:rPr>
          <w:sz w:val="22"/>
          <w:szCs w:val="22"/>
        </w:rPr>
      </w:pPr>
    </w:p>
    <w:p w14:paraId="5AD38DB7" w14:textId="77777777" w:rsidR="00BC4B2A" w:rsidRDefault="00BC4B2A" w:rsidP="00975352">
      <w:pPr>
        <w:spacing w:after="120"/>
        <w:rPr>
          <w:sz w:val="22"/>
          <w:szCs w:val="22"/>
        </w:rPr>
      </w:pPr>
    </w:p>
    <w:p w14:paraId="00F08FA8" w14:textId="77777777" w:rsidR="00BC4B2A" w:rsidRDefault="00BC4B2A" w:rsidP="00975352">
      <w:pPr>
        <w:spacing w:after="120"/>
        <w:rPr>
          <w:sz w:val="22"/>
          <w:szCs w:val="22"/>
        </w:rPr>
      </w:pPr>
    </w:p>
    <w:p w14:paraId="27C3E245" w14:textId="77777777" w:rsidR="001C6837" w:rsidRDefault="001C6837" w:rsidP="00975352">
      <w:pPr>
        <w:spacing w:after="120"/>
        <w:rPr>
          <w:sz w:val="22"/>
          <w:szCs w:val="22"/>
        </w:rPr>
      </w:pPr>
    </w:p>
    <w:p w14:paraId="20CC3A6D" w14:textId="77777777" w:rsidR="00975352" w:rsidRPr="00975352" w:rsidRDefault="00975352" w:rsidP="00975352">
      <w:pPr>
        <w:spacing w:after="120"/>
        <w:rPr>
          <w:sz w:val="22"/>
          <w:szCs w:val="22"/>
        </w:rPr>
      </w:pPr>
      <w:r w:rsidRPr="00975352">
        <w:rPr>
          <w:sz w:val="22"/>
          <w:szCs w:val="22"/>
        </w:rPr>
        <w:t>The</w:t>
      </w:r>
      <w:r w:rsidR="00CE54F7">
        <w:rPr>
          <w:sz w:val="22"/>
          <w:szCs w:val="22"/>
        </w:rPr>
        <w:t xml:space="preserve"> key messages </w:t>
      </w:r>
      <w:r w:rsidRPr="00975352">
        <w:rPr>
          <w:sz w:val="22"/>
          <w:szCs w:val="22"/>
        </w:rPr>
        <w:t>were then distributed to AOG for creation of assets used to communicate to the public (including the AOG Unite Against COVID-19 public messages used on social media and Ministry of Health website.)</w:t>
      </w:r>
    </w:p>
    <w:p w14:paraId="55EA1FE8" w14:textId="1553D168" w:rsidR="00975352" w:rsidRPr="00975352" w:rsidRDefault="00975352" w:rsidP="00975352">
      <w:pPr>
        <w:spacing w:after="120"/>
        <w:rPr>
          <w:sz w:val="22"/>
          <w:szCs w:val="22"/>
        </w:rPr>
      </w:pPr>
      <w:r w:rsidRPr="00975352">
        <w:rPr>
          <w:sz w:val="22"/>
          <w:szCs w:val="22"/>
        </w:rPr>
        <w:t>One element of the key messages</w:t>
      </w:r>
      <w:r w:rsidR="001C6837">
        <w:rPr>
          <w:sz w:val="22"/>
          <w:szCs w:val="22"/>
        </w:rPr>
        <w:t xml:space="preserve"> </w:t>
      </w:r>
      <w:r w:rsidRPr="00975352">
        <w:rPr>
          <w:sz w:val="22"/>
          <w:szCs w:val="22"/>
        </w:rPr>
        <w:t xml:space="preserve">regarding the testing of </w:t>
      </w:r>
      <w:r w:rsidR="001C6837">
        <w:rPr>
          <w:sz w:val="22"/>
          <w:szCs w:val="22"/>
        </w:rPr>
        <w:t>those in South and West Auckland re</w:t>
      </w:r>
      <w:r w:rsidRPr="00975352">
        <w:rPr>
          <w:sz w:val="22"/>
          <w:szCs w:val="22"/>
        </w:rPr>
        <w:t xml:space="preserve">gardless of symptoms was amplified in the AOG messaging. That message was incorrect. </w:t>
      </w:r>
    </w:p>
    <w:p w14:paraId="11D6E13C" w14:textId="77777777" w:rsidR="001C6837" w:rsidRDefault="001C6837" w:rsidP="00975352">
      <w:pPr>
        <w:spacing w:after="120"/>
        <w:rPr>
          <w:sz w:val="22"/>
          <w:szCs w:val="22"/>
        </w:rPr>
      </w:pPr>
    </w:p>
    <w:p w14:paraId="7B8B83C6" w14:textId="77777777" w:rsidR="001C6837" w:rsidRDefault="001C6837" w:rsidP="00975352">
      <w:pPr>
        <w:spacing w:after="120"/>
        <w:rPr>
          <w:sz w:val="22"/>
          <w:szCs w:val="22"/>
        </w:rPr>
      </w:pPr>
    </w:p>
    <w:p w14:paraId="0C4FDD09" w14:textId="77777777" w:rsidR="00A43F5A" w:rsidRDefault="00975352" w:rsidP="003F6714">
      <w:pPr>
        <w:spacing w:after="120"/>
        <w:rPr>
          <w:sz w:val="22"/>
          <w:szCs w:val="22"/>
        </w:rPr>
      </w:pPr>
      <w:r w:rsidRPr="00975352">
        <w:rPr>
          <w:sz w:val="22"/>
          <w:szCs w:val="22"/>
        </w:rPr>
        <w:t xml:space="preserve">The Ministry of Health email sent to AOG said </w:t>
      </w:r>
      <w:r w:rsidRPr="002426D7">
        <w:rPr>
          <w:i/>
          <w:sz w:val="22"/>
          <w:szCs w:val="22"/>
        </w:rPr>
        <w:t>‘If you’re in South or West Auckland, or if you have a greater risk of poor health outcomes if you were to get COVID-19, even if you don’t have symptoms, please have a test</w:t>
      </w:r>
      <w:r w:rsidRPr="002426D7">
        <w:rPr>
          <w:sz w:val="22"/>
          <w:szCs w:val="22"/>
        </w:rPr>
        <w:t>.</w:t>
      </w:r>
      <w:r w:rsidRPr="00975352">
        <w:rPr>
          <w:sz w:val="22"/>
          <w:szCs w:val="22"/>
        </w:rPr>
        <w:t>’</w:t>
      </w:r>
    </w:p>
    <w:p w14:paraId="6EDF5CA3" w14:textId="77777777" w:rsidR="00975352" w:rsidRDefault="00975352" w:rsidP="003F6714">
      <w:pPr>
        <w:spacing w:after="120"/>
        <w:rPr>
          <w:sz w:val="22"/>
          <w:szCs w:val="22"/>
        </w:rPr>
      </w:pPr>
      <w:r w:rsidRPr="00975352">
        <w:rPr>
          <w:sz w:val="22"/>
          <w:szCs w:val="22"/>
        </w:rPr>
        <w:t xml:space="preserve">The second ‘or’ should have read ‘and’ (i.e. ‘…South or West Auckland, </w:t>
      </w:r>
      <w:r w:rsidRPr="002426D7">
        <w:rPr>
          <w:b/>
          <w:sz w:val="22"/>
          <w:szCs w:val="22"/>
          <w:u w:val="single"/>
        </w:rPr>
        <w:t>and</w:t>
      </w:r>
      <w:r w:rsidRPr="002426D7">
        <w:rPr>
          <w:sz w:val="22"/>
          <w:szCs w:val="22"/>
        </w:rPr>
        <w:t xml:space="preserve"> </w:t>
      </w:r>
      <w:r w:rsidRPr="00975352">
        <w:rPr>
          <w:sz w:val="22"/>
          <w:szCs w:val="22"/>
        </w:rPr>
        <w:t>if you…’). This is consistent with the Ministry of Health guidance that was sent to the sector</w:t>
      </w:r>
      <w:r w:rsidR="00A43F5A">
        <w:rPr>
          <w:sz w:val="22"/>
          <w:szCs w:val="22"/>
        </w:rPr>
        <w:t>.</w:t>
      </w:r>
      <w:r w:rsidRPr="00975352">
        <w:rPr>
          <w:sz w:val="22"/>
          <w:szCs w:val="22"/>
        </w:rPr>
        <w:t xml:space="preserve">  </w:t>
      </w:r>
    </w:p>
    <w:p w14:paraId="09F1C62A" w14:textId="77777777" w:rsidR="001C6837" w:rsidRPr="00975352" w:rsidRDefault="001C6837" w:rsidP="003F671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Based on the Ministry of Health message, AOG distributed the message </w:t>
      </w:r>
      <w:r w:rsidRPr="002426D7">
        <w:rPr>
          <w:sz w:val="22"/>
          <w:szCs w:val="22"/>
        </w:rPr>
        <w:t>‘</w:t>
      </w:r>
      <w:r w:rsidRPr="002426D7">
        <w:rPr>
          <w:i/>
          <w:sz w:val="22"/>
          <w:szCs w:val="22"/>
        </w:rPr>
        <w:t>Over the next week, even if you don’t have symptoms, please have a test if you live in South or West Auckland or if you have a greater risk of poor health outcomes if you were to get COVID-19.</w:t>
      </w:r>
      <w:r>
        <w:rPr>
          <w:sz w:val="22"/>
          <w:szCs w:val="22"/>
        </w:rPr>
        <w:t>’</w:t>
      </w:r>
    </w:p>
    <w:p w14:paraId="1B4BF0EF" w14:textId="77777777" w:rsidR="00A43F5A" w:rsidRPr="002426D7" w:rsidRDefault="00975352" w:rsidP="003F6714">
      <w:pPr>
        <w:spacing w:after="120"/>
        <w:rPr>
          <w:sz w:val="22"/>
          <w:szCs w:val="22"/>
        </w:rPr>
      </w:pPr>
      <w:r w:rsidRPr="002426D7">
        <w:rPr>
          <w:sz w:val="22"/>
          <w:szCs w:val="22"/>
        </w:rPr>
        <w:t xml:space="preserve">On Sunday </w:t>
      </w:r>
      <w:r w:rsidR="002426D7">
        <w:rPr>
          <w:sz w:val="22"/>
          <w:szCs w:val="22"/>
        </w:rPr>
        <w:t xml:space="preserve">30 August </w:t>
      </w:r>
      <w:r w:rsidRPr="002426D7">
        <w:rPr>
          <w:sz w:val="22"/>
          <w:szCs w:val="22"/>
        </w:rPr>
        <w:t xml:space="preserve">the offices of the Prime Minister and the Minister of Health were made aware of the message, and actions were immediately taken to remove the incorrect information. </w:t>
      </w:r>
    </w:p>
    <w:p w14:paraId="4B66B2BA" w14:textId="77777777" w:rsidR="008C00A2" w:rsidRPr="00006665" w:rsidRDefault="00563370" w:rsidP="00A43F5A">
      <w:pPr>
        <w:pStyle w:val="Heading1"/>
        <w:spacing w:before="360"/>
        <w:rPr>
          <w:sz w:val="22"/>
          <w:szCs w:val="22"/>
        </w:rPr>
      </w:pPr>
      <w:r>
        <w:rPr>
          <w:sz w:val="22"/>
          <w:szCs w:val="22"/>
        </w:rPr>
        <w:t>Internal Rapid Review</w:t>
      </w:r>
    </w:p>
    <w:p w14:paraId="3DE3625C" w14:textId="7B9964E3" w:rsidR="004E24E7" w:rsidRDefault="00641EE5" w:rsidP="003F6714">
      <w:pPr>
        <w:spacing w:after="120"/>
        <w:rPr>
          <w:sz w:val="22"/>
          <w:szCs w:val="22"/>
        </w:rPr>
      </w:pPr>
      <w:r>
        <w:rPr>
          <w:sz w:val="22"/>
          <w:szCs w:val="22"/>
        </w:rPr>
        <w:t>Across Monday and Tuesday, t</w:t>
      </w:r>
      <w:r w:rsidR="00563370" w:rsidRPr="004E6B68">
        <w:rPr>
          <w:sz w:val="22"/>
          <w:szCs w:val="22"/>
        </w:rPr>
        <w:t>he Acting Director-General of Health, t</w:t>
      </w:r>
      <w:r w:rsidR="002426D7">
        <w:rPr>
          <w:sz w:val="22"/>
          <w:szCs w:val="22"/>
        </w:rPr>
        <w:t xml:space="preserve">he Deputy Director-General of ODG, </w:t>
      </w:r>
      <w:r w:rsidR="00563370" w:rsidRPr="004E6B68">
        <w:rPr>
          <w:sz w:val="22"/>
          <w:szCs w:val="22"/>
        </w:rPr>
        <w:t>the Group Manager for Communications</w:t>
      </w:r>
      <w:r w:rsidR="002426D7">
        <w:rPr>
          <w:sz w:val="22"/>
          <w:szCs w:val="22"/>
        </w:rPr>
        <w:t xml:space="preserve"> and myself</w:t>
      </w:r>
      <w:r w:rsidR="00563370" w:rsidRPr="004E6B68">
        <w:rPr>
          <w:sz w:val="22"/>
          <w:szCs w:val="22"/>
        </w:rPr>
        <w:t xml:space="preserve"> met to understand how </w:t>
      </w:r>
      <w:r w:rsidR="00563370">
        <w:rPr>
          <w:sz w:val="22"/>
          <w:szCs w:val="22"/>
        </w:rPr>
        <w:t>th</w:t>
      </w:r>
      <w:r w:rsidR="004E24E7">
        <w:rPr>
          <w:sz w:val="22"/>
          <w:szCs w:val="22"/>
        </w:rPr>
        <w:t xml:space="preserve">e incorrect message had been provided to AOG. </w:t>
      </w:r>
      <w:r w:rsidR="00563370">
        <w:rPr>
          <w:sz w:val="22"/>
          <w:szCs w:val="22"/>
        </w:rPr>
        <w:t>Once it had been confirmed that the correct level of sign-out had not been attained, actions were discussed</w:t>
      </w:r>
      <w:r w:rsidR="004E24E7">
        <w:rPr>
          <w:sz w:val="22"/>
          <w:szCs w:val="22"/>
        </w:rPr>
        <w:t xml:space="preserve"> to ensure a more robust sign-out process could be operationalised</w:t>
      </w:r>
      <w:r w:rsidR="00DE0758">
        <w:rPr>
          <w:sz w:val="22"/>
          <w:szCs w:val="22"/>
        </w:rPr>
        <w:t>. These actions are:</w:t>
      </w:r>
    </w:p>
    <w:p w14:paraId="46C0567F" w14:textId="46F40468" w:rsidR="00DE0758" w:rsidRPr="00902148" w:rsidRDefault="009566EC" w:rsidP="00DE0758">
      <w:pPr>
        <w:pStyle w:val="ListParagraph"/>
        <w:numPr>
          <w:ilvl w:val="0"/>
          <w:numId w:val="7"/>
        </w:numPr>
        <w:spacing w:after="120"/>
        <w:ind w:left="709" w:hanging="425"/>
        <w:rPr>
          <w:sz w:val="22"/>
          <w:szCs w:val="22"/>
        </w:rPr>
      </w:pPr>
      <w:r>
        <w:rPr>
          <w:sz w:val="22"/>
          <w:szCs w:val="22"/>
        </w:rPr>
        <w:t>r</w:t>
      </w:r>
      <w:r w:rsidR="00DE0758" w:rsidRPr="00902148">
        <w:rPr>
          <w:sz w:val="22"/>
          <w:szCs w:val="22"/>
        </w:rPr>
        <w:t>einforce the sign-out process</w:t>
      </w:r>
      <w:r w:rsidR="00902148" w:rsidRPr="00902148">
        <w:rPr>
          <w:sz w:val="22"/>
          <w:szCs w:val="22"/>
        </w:rPr>
        <w:t xml:space="preserve">, </w:t>
      </w:r>
      <w:r w:rsidR="00902148">
        <w:rPr>
          <w:sz w:val="22"/>
          <w:szCs w:val="22"/>
        </w:rPr>
        <w:t>e</w:t>
      </w:r>
      <w:r w:rsidR="00DE0758" w:rsidRPr="00902148">
        <w:rPr>
          <w:sz w:val="22"/>
          <w:szCs w:val="22"/>
        </w:rPr>
        <w:t>nsuring th</w:t>
      </w:r>
      <w:r w:rsidR="00902148">
        <w:rPr>
          <w:sz w:val="22"/>
          <w:szCs w:val="22"/>
        </w:rPr>
        <w:t>e</w:t>
      </w:r>
      <w:r w:rsidR="00DE0758" w:rsidRPr="00902148">
        <w:rPr>
          <w:sz w:val="22"/>
          <w:szCs w:val="22"/>
        </w:rPr>
        <w:t xml:space="preserve"> DCE of </w:t>
      </w:r>
      <w:r w:rsidR="00902148" w:rsidRPr="00902148">
        <w:rPr>
          <w:sz w:val="22"/>
          <w:szCs w:val="22"/>
        </w:rPr>
        <w:t xml:space="preserve">the COVID-19 Health System Response </w:t>
      </w:r>
      <w:r w:rsidR="00902148">
        <w:rPr>
          <w:sz w:val="22"/>
          <w:szCs w:val="22"/>
        </w:rPr>
        <w:t>d</w:t>
      </w:r>
      <w:r w:rsidR="00902148" w:rsidRPr="00902148">
        <w:rPr>
          <w:sz w:val="22"/>
          <w:szCs w:val="22"/>
        </w:rPr>
        <w:t>irectorate (or named Tier 3 delegate) approves any public facing messages</w:t>
      </w:r>
      <w:r>
        <w:rPr>
          <w:sz w:val="22"/>
          <w:szCs w:val="22"/>
        </w:rPr>
        <w:t>;</w:t>
      </w:r>
    </w:p>
    <w:p w14:paraId="30D93555" w14:textId="7BBC207E" w:rsidR="00902148" w:rsidRDefault="009566EC" w:rsidP="00DE0758">
      <w:pPr>
        <w:pStyle w:val="ListParagraph"/>
        <w:numPr>
          <w:ilvl w:val="0"/>
          <w:numId w:val="7"/>
        </w:numPr>
        <w:spacing w:after="120"/>
        <w:ind w:left="709" w:hanging="425"/>
        <w:rPr>
          <w:sz w:val="22"/>
          <w:szCs w:val="22"/>
        </w:rPr>
      </w:pPr>
      <w:r>
        <w:rPr>
          <w:sz w:val="22"/>
          <w:szCs w:val="22"/>
        </w:rPr>
        <w:t>e</w:t>
      </w:r>
      <w:r w:rsidR="00902148">
        <w:rPr>
          <w:sz w:val="22"/>
          <w:szCs w:val="22"/>
        </w:rPr>
        <w:t xml:space="preserve">stablish a communications lead </w:t>
      </w:r>
      <w:r w:rsidR="00902148" w:rsidRPr="00902148">
        <w:rPr>
          <w:sz w:val="22"/>
          <w:szCs w:val="22"/>
        </w:rPr>
        <w:t>who is responsible for the development of key messages and the relationship with the team delivering the AOG campaign</w:t>
      </w:r>
      <w:r>
        <w:rPr>
          <w:sz w:val="22"/>
          <w:szCs w:val="22"/>
        </w:rPr>
        <w:t>;</w:t>
      </w:r>
    </w:p>
    <w:p w14:paraId="5C0AC63D" w14:textId="19806E87" w:rsidR="00DE0758" w:rsidRDefault="009566EC" w:rsidP="003F6714">
      <w:pPr>
        <w:pStyle w:val="ListParagraph"/>
        <w:numPr>
          <w:ilvl w:val="0"/>
          <w:numId w:val="7"/>
        </w:numPr>
        <w:spacing w:after="120"/>
        <w:ind w:left="709" w:hanging="425"/>
        <w:rPr>
          <w:sz w:val="22"/>
          <w:szCs w:val="22"/>
        </w:rPr>
      </w:pPr>
      <w:r>
        <w:rPr>
          <w:sz w:val="22"/>
          <w:szCs w:val="22"/>
        </w:rPr>
        <w:t>by Monday 7 September, a</w:t>
      </w:r>
      <w:r w:rsidR="00902148">
        <w:rPr>
          <w:sz w:val="22"/>
          <w:szCs w:val="22"/>
        </w:rPr>
        <w:t xml:space="preserve">gree the </w:t>
      </w:r>
      <w:r>
        <w:rPr>
          <w:sz w:val="22"/>
          <w:szCs w:val="22"/>
        </w:rPr>
        <w:t xml:space="preserve">most appropriate </w:t>
      </w:r>
      <w:r w:rsidR="00902148">
        <w:rPr>
          <w:sz w:val="22"/>
          <w:szCs w:val="22"/>
        </w:rPr>
        <w:t xml:space="preserve">organisational arrangements to provide </w:t>
      </w:r>
      <w:r>
        <w:rPr>
          <w:sz w:val="22"/>
          <w:szCs w:val="22"/>
        </w:rPr>
        <w:t xml:space="preserve">the </w:t>
      </w:r>
      <w:r w:rsidR="00902148">
        <w:rPr>
          <w:sz w:val="22"/>
          <w:szCs w:val="22"/>
        </w:rPr>
        <w:t xml:space="preserve">communications support </w:t>
      </w:r>
      <w:r>
        <w:rPr>
          <w:sz w:val="22"/>
          <w:szCs w:val="22"/>
        </w:rPr>
        <w:t>required by the</w:t>
      </w:r>
      <w:r w:rsidR="00902148">
        <w:rPr>
          <w:sz w:val="22"/>
          <w:szCs w:val="22"/>
        </w:rPr>
        <w:t xml:space="preserve"> COVID</w:t>
      </w:r>
      <w:r w:rsidR="00902148" w:rsidRPr="00902148">
        <w:rPr>
          <w:sz w:val="22"/>
          <w:szCs w:val="22"/>
        </w:rPr>
        <w:t xml:space="preserve">-19 Health System Response </w:t>
      </w:r>
      <w:r w:rsidR="00902148">
        <w:rPr>
          <w:sz w:val="22"/>
          <w:szCs w:val="22"/>
        </w:rPr>
        <w:t>directorate</w:t>
      </w:r>
      <w:r>
        <w:rPr>
          <w:sz w:val="22"/>
          <w:szCs w:val="22"/>
        </w:rPr>
        <w:t>; and</w:t>
      </w:r>
    </w:p>
    <w:p w14:paraId="4F9482F1" w14:textId="633F05E3" w:rsidR="009566EC" w:rsidRPr="009566EC" w:rsidRDefault="009566EC" w:rsidP="003F6714">
      <w:pPr>
        <w:pStyle w:val="ListParagraph"/>
        <w:numPr>
          <w:ilvl w:val="0"/>
          <w:numId w:val="7"/>
        </w:numPr>
        <w:spacing w:after="120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work with AOG a develop a </w:t>
      </w:r>
      <w:r w:rsidR="00C73512">
        <w:rPr>
          <w:sz w:val="22"/>
          <w:szCs w:val="22"/>
        </w:rPr>
        <w:t xml:space="preserve">communications </w:t>
      </w:r>
      <w:r>
        <w:rPr>
          <w:sz w:val="22"/>
          <w:szCs w:val="22"/>
        </w:rPr>
        <w:t>protocol</w:t>
      </w:r>
      <w:r w:rsidR="001575EE">
        <w:rPr>
          <w:sz w:val="22"/>
          <w:szCs w:val="22"/>
        </w:rPr>
        <w:t>, to be in place by Wednesday 9 September</w:t>
      </w:r>
      <w:r w:rsidR="00C73512">
        <w:rPr>
          <w:sz w:val="22"/>
          <w:szCs w:val="22"/>
        </w:rPr>
        <w:t>.</w:t>
      </w:r>
    </w:p>
    <w:p w14:paraId="40CBEF68" w14:textId="77777777" w:rsidR="008C00A2" w:rsidRPr="00006665" w:rsidRDefault="008C00A2" w:rsidP="004E6B68">
      <w:pPr>
        <w:pStyle w:val="Heading1"/>
        <w:spacing w:before="360"/>
        <w:rPr>
          <w:sz w:val="22"/>
          <w:szCs w:val="22"/>
        </w:rPr>
      </w:pPr>
      <w:r w:rsidRPr="00006665">
        <w:rPr>
          <w:sz w:val="22"/>
          <w:szCs w:val="22"/>
        </w:rPr>
        <w:t>Recommendations</w:t>
      </w:r>
    </w:p>
    <w:p w14:paraId="6AAC3043" w14:textId="77777777" w:rsidR="00C609B5" w:rsidRPr="00006665" w:rsidRDefault="00C609B5" w:rsidP="00C609B5">
      <w:pPr>
        <w:spacing w:after="120"/>
        <w:rPr>
          <w:sz w:val="22"/>
          <w:szCs w:val="22"/>
        </w:rPr>
      </w:pPr>
      <w:r w:rsidRPr="00006665">
        <w:rPr>
          <w:sz w:val="22"/>
          <w:szCs w:val="22"/>
        </w:rPr>
        <w:t>It is recommended that you:</w:t>
      </w:r>
    </w:p>
    <w:tbl>
      <w:tblPr>
        <w:tblStyle w:val="TableGrid"/>
        <w:tblW w:w="9923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917"/>
        <w:gridCol w:w="7421"/>
        <w:gridCol w:w="1134"/>
      </w:tblGrid>
      <w:tr w:rsidR="008C00A2" w:rsidRPr="00006665" w14:paraId="7CF65E1F" w14:textId="77777777" w:rsidTr="004E24E7">
        <w:trPr>
          <w:cantSplit/>
        </w:trPr>
        <w:tc>
          <w:tcPr>
            <w:tcW w:w="451" w:type="dxa"/>
          </w:tcPr>
          <w:p w14:paraId="6AC45F1E" w14:textId="77777777" w:rsidR="008C00A2" w:rsidRPr="00006665" w:rsidRDefault="008C00A2" w:rsidP="00563370">
            <w:pPr>
              <w:pStyle w:val="TableText"/>
              <w:rPr>
                <w:sz w:val="22"/>
                <w:szCs w:val="22"/>
              </w:rPr>
            </w:pPr>
            <w:r w:rsidRPr="00006665">
              <w:rPr>
                <w:sz w:val="22"/>
                <w:szCs w:val="22"/>
              </w:rPr>
              <w:t>1.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A81E781" w14:textId="655F8C48" w:rsidR="008C00A2" w:rsidRPr="00006665" w:rsidRDefault="00DE0758" w:rsidP="0056337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42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49AFF07" w14:textId="67D214C6" w:rsidR="008C00A2" w:rsidRPr="00A43F5A" w:rsidRDefault="009566EC" w:rsidP="00563370">
            <w:pPr>
              <w:pStyle w:val="Heading1"/>
              <w:spacing w:before="120"/>
              <w:rPr>
                <w:rFonts w:cs="Times"/>
                <w:b w:val="0"/>
                <w:bCs w:val="0"/>
                <w:sz w:val="22"/>
                <w:szCs w:val="22"/>
              </w:rPr>
            </w:pPr>
            <w:r>
              <w:rPr>
                <w:rFonts w:cs="Times"/>
                <w:b w:val="0"/>
                <w:bCs w:val="0"/>
                <w:sz w:val="22"/>
                <w:szCs w:val="22"/>
              </w:rPr>
              <w:t>the</w:t>
            </w:r>
            <w:r w:rsidR="00A43F5A" w:rsidRPr="00A43F5A">
              <w:rPr>
                <w:rFonts w:cs="Times"/>
                <w:b w:val="0"/>
                <w:bCs w:val="0"/>
                <w:sz w:val="22"/>
                <w:szCs w:val="22"/>
              </w:rPr>
              <w:t xml:space="preserve"> </w:t>
            </w:r>
            <w:r w:rsidR="00A43F5A">
              <w:rPr>
                <w:rFonts w:cs="Times"/>
                <w:b w:val="0"/>
                <w:bCs w:val="0"/>
                <w:sz w:val="22"/>
                <w:szCs w:val="22"/>
              </w:rPr>
              <w:t>e</w:t>
            </w:r>
            <w:r w:rsidR="0032599F">
              <w:rPr>
                <w:rFonts w:cs="Times"/>
                <w:b w:val="0"/>
                <w:bCs w:val="0"/>
                <w:sz w:val="22"/>
                <w:szCs w:val="22"/>
              </w:rPr>
              <w:t>stablish</w:t>
            </w:r>
            <w:r>
              <w:rPr>
                <w:rFonts w:cs="Times"/>
                <w:b w:val="0"/>
                <w:bCs w:val="0"/>
                <w:sz w:val="22"/>
                <w:szCs w:val="22"/>
              </w:rPr>
              <w:t>ment of</w:t>
            </w:r>
            <w:r w:rsidR="0032599F">
              <w:rPr>
                <w:rFonts w:cs="Times"/>
                <w:b w:val="0"/>
                <w:bCs w:val="0"/>
                <w:sz w:val="22"/>
                <w:szCs w:val="22"/>
              </w:rPr>
              <w:t xml:space="preserve"> a </w:t>
            </w:r>
            <w:r>
              <w:rPr>
                <w:rFonts w:cs="Times"/>
                <w:b w:val="0"/>
                <w:bCs w:val="0"/>
                <w:sz w:val="22"/>
                <w:szCs w:val="22"/>
              </w:rPr>
              <w:t xml:space="preserve">communications </w:t>
            </w:r>
            <w:r w:rsidR="0032599F">
              <w:rPr>
                <w:rFonts w:cs="Times"/>
                <w:b w:val="0"/>
                <w:bCs w:val="0"/>
                <w:sz w:val="22"/>
                <w:szCs w:val="22"/>
              </w:rPr>
              <w:t>lead who is responsible for the development of key messages and the relationship with the team delivering the AOG campaign</w:t>
            </w:r>
          </w:p>
        </w:tc>
        <w:tc>
          <w:tcPr>
            <w:tcW w:w="1134" w:type="dxa"/>
          </w:tcPr>
          <w:p w14:paraId="39368E1A" w14:textId="77777777" w:rsidR="008C00A2" w:rsidRPr="00006665" w:rsidRDefault="008C00A2" w:rsidP="00563370">
            <w:pPr>
              <w:pStyle w:val="TableText"/>
              <w:jc w:val="center"/>
              <w:rPr>
                <w:sz w:val="22"/>
                <w:szCs w:val="22"/>
              </w:rPr>
            </w:pPr>
            <w:r w:rsidRPr="00006665">
              <w:rPr>
                <w:sz w:val="22"/>
                <w:szCs w:val="22"/>
              </w:rPr>
              <w:t>Yes/No</w:t>
            </w:r>
          </w:p>
        </w:tc>
      </w:tr>
      <w:tr w:rsidR="004E24E7" w:rsidRPr="00006665" w14:paraId="53CB5C9F" w14:textId="77777777" w:rsidTr="00C73512">
        <w:trPr>
          <w:cantSplit/>
        </w:trPr>
        <w:tc>
          <w:tcPr>
            <w:tcW w:w="451" w:type="dxa"/>
            <w:tcBorders>
              <w:bottom w:val="single" w:sz="2" w:space="0" w:color="auto"/>
            </w:tcBorders>
          </w:tcPr>
          <w:p w14:paraId="1285D3EF" w14:textId="77777777" w:rsidR="004E24E7" w:rsidRPr="00006665" w:rsidRDefault="004E24E7" w:rsidP="0056337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14:paraId="3320374A" w14:textId="51922A4E" w:rsidR="004E24E7" w:rsidRDefault="00DE0758" w:rsidP="0056337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75F5E5F3" w14:textId="5EC669D1" w:rsidR="004E24E7" w:rsidRPr="00C73512" w:rsidRDefault="00C73512" w:rsidP="00563370">
            <w:pPr>
              <w:pStyle w:val="Heading1"/>
              <w:spacing w:before="120"/>
              <w:rPr>
                <w:b w:val="0"/>
                <w:sz w:val="22"/>
                <w:szCs w:val="22"/>
              </w:rPr>
            </w:pPr>
            <w:r>
              <w:rPr>
                <w:rFonts w:cs="Times"/>
                <w:b w:val="0"/>
                <w:bCs w:val="0"/>
                <w:sz w:val="22"/>
                <w:szCs w:val="22"/>
              </w:rPr>
              <w:t>that by Monday 7 September, the most appropriate</w:t>
            </w:r>
            <w:r w:rsidRPr="009566EC">
              <w:rPr>
                <w:rFonts w:cs="Times"/>
                <w:b w:val="0"/>
                <w:bCs w:val="0"/>
                <w:sz w:val="22"/>
                <w:szCs w:val="22"/>
              </w:rPr>
              <w:t xml:space="preserve"> organisational arrangements to provide the communications support required by the COVID-19 Health System Response directorate</w:t>
            </w:r>
            <w:r>
              <w:rPr>
                <w:rFonts w:cs="Times"/>
                <w:b w:val="0"/>
                <w:bCs w:val="0"/>
                <w:sz w:val="22"/>
                <w:szCs w:val="22"/>
              </w:rPr>
              <w:t xml:space="preserve"> will have been agreed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758393D6" w14:textId="77777777" w:rsidR="004E24E7" w:rsidRPr="00006665" w:rsidRDefault="002426D7" w:rsidP="00563370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tr w:rsidR="00C73512" w:rsidRPr="00006665" w14:paraId="23AD91A7" w14:textId="77777777" w:rsidTr="00C73512">
        <w:trPr>
          <w:cantSplit/>
        </w:trPr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</w:tcPr>
          <w:p w14:paraId="3BAD1E8C" w14:textId="77777777" w:rsidR="00C73512" w:rsidRPr="00006665" w:rsidRDefault="00C73512" w:rsidP="00C73512">
            <w:pPr>
              <w:pStyle w:val="TableText"/>
              <w:rPr>
                <w:sz w:val="22"/>
                <w:szCs w:val="22"/>
              </w:rPr>
            </w:pPr>
            <w:r w:rsidRPr="00006665">
              <w:rPr>
                <w:sz w:val="22"/>
                <w:szCs w:val="22"/>
              </w:rPr>
              <w:t>3.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B79B214" w14:textId="0B0553B9" w:rsidR="00C73512" w:rsidRPr="00006665" w:rsidRDefault="00C73512" w:rsidP="00C73512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742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6B1A593" w14:textId="37B2B021" w:rsidR="00C73512" w:rsidRPr="00A43F5A" w:rsidRDefault="00C73512" w:rsidP="00C73512">
            <w:pPr>
              <w:pStyle w:val="Heading1"/>
              <w:spacing w:before="120"/>
              <w:rPr>
                <w:rFonts w:cs="Times"/>
                <w:b w:val="0"/>
                <w:bCs w:val="0"/>
                <w:sz w:val="22"/>
                <w:szCs w:val="22"/>
              </w:rPr>
            </w:pPr>
            <w:r w:rsidRPr="00C73512">
              <w:rPr>
                <w:b w:val="0"/>
                <w:sz w:val="22"/>
                <w:szCs w:val="22"/>
              </w:rPr>
              <w:t>work with AOG to establish a develop a communications protocol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6829B910" w14:textId="77777777" w:rsidR="00C73512" w:rsidRPr="00006665" w:rsidRDefault="00C73512" w:rsidP="00C73512">
            <w:pPr>
              <w:pStyle w:val="TableText"/>
              <w:jc w:val="center"/>
              <w:rPr>
                <w:sz w:val="22"/>
                <w:szCs w:val="22"/>
              </w:rPr>
            </w:pPr>
            <w:r w:rsidRPr="00006665">
              <w:rPr>
                <w:sz w:val="22"/>
                <w:szCs w:val="22"/>
              </w:rPr>
              <w:t>Yes/No</w:t>
            </w:r>
          </w:p>
        </w:tc>
      </w:tr>
    </w:tbl>
    <w:p w14:paraId="54B96A4A" w14:textId="29AE52CF" w:rsidR="00984CF0" w:rsidRDefault="00984CF0" w:rsidP="00002337">
      <w:pPr>
        <w:tabs>
          <w:tab w:val="right" w:leader="underscore" w:pos="5670"/>
          <w:tab w:val="left" w:pos="6237"/>
        </w:tabs>
        <w:spacing w:before="240"/>
        <w:rPr>
          <w:sz w:val="22"/>
          <w:szCs w:val="22"/>
        </w:rPr>
      </w:pPr>
    </w:p>
    <w:p w14:paraId="1FAB94D0" w14:textId="77777777" w:rsidR="003F6714" w:rsidRDefault="003F6714" w:rsidP="00002337">
      <w:pPr>
        <w:tabs>
          <w:tab w:val="right" w:leader="underscore" w:pos="5670"/>
          <w:tab w:val="left" w:pos="6237"/>
        </w:tabs>
        <w:spacing w:before="240"/>
        <w:rPr>
          <w:sz w:val="22"/>
          <w:szCs w:val="22"/>
        </w:rPr>
      </w:pPr>
    </w:p>
    <w:p w14:paraId="01B53956" w14:textId="78449E30" w:rsidR="00002337" w:rsidRPr="00006665" w:rsidRDefault="00002337" w:rsidP="00002337">
      <w:pPr>
        <w:tabs>
          <w:tab w:val="right" w:leader="underscore" w:pos="5670"/>
          <w:tab w:val="left" w:pos="6237"/>
        </w:tabs>
        <w:spacing w:before="240"/>
        <w:rPr>
          <w:sz w:val="22"/>
          <w:szCs w:val="22"/>
        </w:rPr>
      </w:pPr>
      <w:r w:rsidRPr="00006665">
        <w:rPr>
          <w:sz w:val="22"/>
          <w:szCs w:val="22"/>
        </w:rPr>
        <w:t>Signature</w:t>
      </w:r>
      <w:r w:rsidRPr="00006665">
        <w:rPr>
          <w:sz w:val="22"/>
          <w:szCs w:val="22"/>
        </w:rPr>
        <w:tab/>
      </w:r>
      <w:r w:rsidRPr="00006665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Pr="00006665">
        <w:rPr>
          <w:sz w:val="22"/>
          <w:szCs w:val="22"/>
        </w:rPr>
        <w:t>Date:</w:t>
      </w:r>
    </w:p>
    <w:p w14:paraId="69B4BC67" w14:textId="7C68D0AF" w:rsidR="00002337" w:rsidRDefault="004E6B68" w:rsidP="00002337">
      <w:pPr>
        <w:tabs>
          <w:tab w:val="right" w:leader="underscore" w:pos="5670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Sue Gordon</w:t>
      </w:r>
      <w:r w:rsidR="003F6714">
        <w:rPr>
          <w:sz w:val="22"/>
          <w:szCs w:val="22"/>
        </w:rPr>
        <w:t xml:space="preserve">, </w:t>
      </w:r>
      <w:r>
        <w:rPr>
          <w:sz w:val="22"/>
          <w:szCs w:val="22"/>
        </w:rPr>
        <w:t>Deputy Chief Executive, COVID-19 Health System Response</w:t>
      </w:r>
    </w:p>
    <w:p w14:paraId="55ACAF55" w14:textId="77777777" w:rsidR="004E6B68" w:rsidRDefault="004E6B68" w:rsidP="00002337">
      <w:pPr>
        <w:tabs>
          <w:tab w:val="right" w:leader="underscore" w:pos="5670"/>
          <w:tab w:val="left" w:pos="6237"/>
        </w:tabs>
        <w:rPr>
          <w:sz w:val="22"/>
          <w:szCs w:val="22"/>
        </w:rPr>
      </w:pPr>
    </w:p>
    <w:p w14:paraId="127D69A6" w14:textId="77777777" w:rsidR="002426D7" w:rsidRDefault="002426D7" w:rsidP="004E6B68">
      <w:pPr>
        <w:tabs>
          <w:tab w:val="right" w:leader="underscore" w:pos="5670"/>
          <w:tab w:val="left" w:pos="6237"/>
        </w:tabs>
        <w:rPr>
          <w:sz w:val="22"/>
          <w:szCs w:val="22"/>
        </w:rPr>
      </w:pPr>
    </w:p>
    <w:p w14:paraId="704ABC73" w14:textId="77777777" w:rsidR="00984CF0" w:rsidRDefault="00984CF0" w:rsidP="004E6B68">
      <w:pPr>
        <w:tabs>
          <w:tab w:val="right" w:leader="underscore" w:pos="5670"/>
          <w:tab w:val="left" w:pos="6237"/>
        </w:tabs>
        <w:rPr>
          <w:sz w:val="22"/>
          <w:szCs w:val="22"/>
        </w:rPr>
      </w:pPr>
    </w:p>
    <w:p w14:paraId="7E2C7BFD" w14:textId="77777777" w:rsidR="00563370" w:rsidRDefault="00563370" w:rsidP="004E6B68">
      <w:pPr>
        <w:tabs>
          <w:tab w:val="right" w:leader="underscore" w:pos="5670"/>
          <w:tab w:val="left" w:pos="6237"/>
        </w:tabs>
        <w:rPr>
          <w:sz w:val="22"/>
          <w:szCs w:val="22"/>
        </w:rPr>
      </w:pPr>
    </w:p>
    <w:p w14:paraId="0B9D8EA0" w14:textId="4E52A0EC" w:rsidR="00563370" w:rsidRPr="00006665" w:rsidRDefault="00563370" w:rsidP="00563370">
      <w:pPr>
        <w:tabs>
          <w:tab w:val="right" w:leader="underscore" w:pos="5670"/>
          <w:tab w:val="left" w:pos="6237"/>
        </w:tabs>
        <w:rPr>
          <w:sz w:val="22"/>
          <w:szCs w:val="22"/>
        </w:rPr>
      </w:pPr>
      <w:r w:rsidRPr="00006665">
        <w:rPr>
          <w:sz w:val="22"/>
          <w:szCs w:val="22"/>
        </w:rPr>
        <w:t>Signature</w:t>
      </w:r>
      <w:r w:rsidRPr="00006665">
        <w:rPr>
          <w:sz w:val="22"/>
          <w:szCs w:val="22"/>
        </w:rPr>
        <w:tab/>
      </w:r>
      <w:r w:rsidRPr="00006665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="003F6714">
        <w:rPr>
          <w:sz w:val="22"/>
          <w:szCs w:val="22"/>
        </w:rPr>
        <w:tab/>
      </w:r>
      <w:r w:rsidRPr="00006665">
        <w:rPr>
          <w:sz w:val="22"/>
          <w:szCs w:val="22"/>
        </w:rPr>
        <w:t>Date:</w:t>
      </w:r>
    </w:p>
    <w:p w14:paraId="4DC024D2" w14:textId="6B71621D" w:rsidR="00563370" w:rsidRPr="00006665" w:rsidRDefault="00563370" w:rsidP="00563370">
      <w:pPr>
        <w:tabs>
          <w:tab w:val="right" w:leader="underscore" w:pos="5670"/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Dr Ashley Bloomfield</w:t>
      </w:r>
      <w:r w:rsidR="003F6714">
        <w:rPr>
          <w:sz w:val="22"/>
          <w:szCs w:val="22"/>
        </w:rPr>
        <w:t xml:space="preserve">, </w:t>
      </w:r>
      <w:r>
        <w:rPr>
          <w:sz w:val="22"/>
          <w:szCs w:val="22"/>
        </w:rPr>
        <w:t>Director-General of Health</w:t>
      </w:r>
    </w:p>
    <w:p w14:paraId="5F516EAB" w14:textId="77777777" w:rsidR="00563370" w:rsidRPr="001F0700" w:rsidRDefault="00563370" w:rsidP="004E6B68">
      <w:pPr>
        <w:tabs>
          <w:tab w:val="right" w:leader="underscore" w:pos="5670"/>
          <w:tab w:val="left" w:pos="6237"/>
        </w:tabs>
        <w:rPr>
          <w:sz w:val="22"/>
          <w:szCs w:val="22"/>
        </w:rPr>
      </w:pPr>
    </w:p>
    <w:sectPr w:rsidR="00563370" w:rsidRPr="001F0700" w:rsidSect="002426D7">
      <w:footerReference w:type="even" r:id="rId16"/>
      <w:footerReference w:type="default" r:id="rId17"/>
      <w:pgSz w:w="11907" w:h="16840" w:code="9"/>
      <w:pgMar w:top="567" w:right="1134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0C50" w14:textId="77777777" w:rsidR="00E33688" w:rsidRDefault="00E33688">
      <w:r>
        <w:separator/>
      </w:r>
    </w:p>
  </w:endnote>
  <w:endnote w:type="continuationSeparator" w:id="0">
    <w:p w14:paraId="299243AA" w14:textId="77777777" w:rsidR="00E33688" w:rsidRDefault="00E3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16EE" w14:textId="77777777" w:rsidR="00AE126B" w:rsidRDefault="00AE126B" w:rsidP="00324B4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B72CA" w14:textId="77777777" w:rsidR="00AE126B" w:rsidRDefault="00AE126B" w:rsidP="00324B4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14F6" w14:textId="77777777" w:rsidR="00AE126B" w:rsidRDefault="00AE126B" w:rsidP="00324B4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DE84" w14:textId="77777777" w:rsidR="00E33688" w:rsidRDefault="00E33688">
      <w:r>
        <w:separator/>
      </w:r>
    </w:p>
  </w:footnote>
  <w:footnote w:type="continuationSeparator" w:id="0">
    <w:p w14:paraId="12CF9020" w14:textId="77777777" w:rsidR="00E33688" w:rsidRDefault="00E3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C9B1286"/>
    <w:multiLevelType w:val="hybridMultilevel"/>
    <w:tmpl w:val="A7806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64F0"/>
    <w:multiLevelType w:val="hybridMultilevel"/>
    <w:tmpl w:val="78143D30"/>
    <w:lvl w:ilvl="0" w:tplc="1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37045"/>
    <w:multiLevelType w:val="hybridMultilevel"/>
    <w:tmpl w:val="C62C4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7B1D4BC1"/>
    <w:multiLevelType w:val="hybridMultilevel"/>
    <w:tmpl w:val="FEB2BD24"/>
    <w:lvl w:ilvl="0" w:tplc="C6D0C304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2049"/>
    <w:rsid w:val="00002337"/>
    <w:rsid w:val="00006665"/>
    <w:rsid w:val="0001369A"/>
    <w:rsid w:val="0003710F"/>
    <w:rsid w:val="00043324"/>
    <w:rsid w:val="000671D4"/>
    <w:rsid w:val="000675CB"/>
    <w:rsid w:val="00084C18"/>
    <w:rsid w:val="00094200"/>
    <w:rsid w:val="0009709A"/>
    <w:rsid w:val="000A009F"/>
    <w:rsid w:val="000A2F23"/>
    <w:rsid w:val="000C37B8"/>
    <w:rsid w:val="000F5040"/>
    <w:rsid w:val="000F76E7"/>
    <w:rsid w:val="000F77AF"/>
    <w:rsid w:val="00105EC1"/>
    <w:rsid w:val="0012724C"/>
    <w:rsid w:val="00134BBB"/>
    <w:rsid w:val="00156293"/>
    <w:rsid w:val="001575EE"/>
    <w:rsid w:val="00170111"/>
    <w:rsid w:val="00175201"/>
    <w:rsid w:val="00181ABF"/>
    <w:rsid w:val="001828E9"/>
    <w:rsid w:val="001834D3"/>
    <w:rsid w:val="00190D84"/>
    <w:rsid w:val="00194D60"/>
    <w:rsid w:val="001C27C0"/>
    <w:rsid w:val="001C6837"/>
    <w:rsid w:val="001D52A9"/>
    <w:rsid w:val="001D6742"/>
    <w:rsid w:val="001E2DCC"/>
    <w:rsid w:val="001E4E1A"/>
    <w:rsid w:val="001F0700"/>
    <w:rsid w:val="00214ABA"/>
    <w:rsid w:val="00231C91"/>
    <w:rsid w:val="002345F1"/>
    <w:rsid w:val="002426D7"/>
    <w:rsid w:val="00243C6E"/>
    <w:rsid w:val="00245E7A"/>
    <w:rsid w:val="00246A53"/>
    <w:rsid w:val="002676D6"/>
    <w:rsid w:val="0027447E"/>
    <w:rsid w:val="00280A23"/>
    <w:rsid w:val="00283DA9"/>
    <w:rsid w:val="0029295D"/>
    <w:rsid w:val="002A1D05"/>
    <w:rsid w:val="002B49E8"/>
    <w:rsid w:val="002C2E04"/>
    <w:rsid w:val="002C7CF5"/>
    <w:rsid w:val="00304CDA"/>
    <w:rsid w:val="003103A6"/>
    <w:rsid w:val="00324B4C"/>
    <w:rsid w:val="0032599F"/>
    <w:rsid w:val="00325F29"/>
    <w:rsid w:val="00326F50"/>
    <w:rsid w:val="0034743A"/>
    <w:rsid w:val="00351003"/>
    <w:rsid w:val="003814B1"/>
    <w:rsid w:val="00392D1D"/>
    <w:rsid w:val="003A169D"/>
    <w:rsid w:val="003C0969"/>
    <w:rsid w:val="003C1E37"/>
    <w:rsid w:val="003C531B"/>
    <w:rsid w:val="003D009B"/>
    <w:rsid w:val="003D11AC"/>
    <w:rsid w:val="003E0E31"/>
    <w:rsid w:val="003E1D0C"/>
    <w:rsid w:val="003E206A"/>
    <w:rsid w:val="003E2A56"/>
    <w:rsid w:val="003E3955"/>
    <w:rsid w:val="003F0AD4"/>
    <w:rsid w:val="003F585B"/>
    <w:rsid w:val="003F6444"/>
    <w:rsid w:val="003F6714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66ACA"/>
    <w:rsid w:val="00471F6E"/>
    <w:rsid w:val="004769A4"/>
    <w:rsid w:val="00480C49"/>
    <w:rsid w:val="00482FA0"/>
    <w:rsid w:val="004A21C2"/>
    <w:rsid w:val="004B5673"/>
    <w:rsid w:val="004C53DB"/>
    <w:rsid w:val="004D05F3"/>
    <w:rsid w:val="004D5848"/>
    <w:rsid w:val="004E24E7"/>
    <w:rsid w:val="004E46A2"/>
    <w:rsid w:val="004E6B68"/>
    <w:rsid w:val="004F4883"/>
    <w:rsid w:val="004F5F3A"/>
    <w:rsid w:val="00510544"/>
    <w:rsid w:val="005136D4"/>
    <w:rsid w:val="005337E7"/>
    <w:rsid w:val="00533C44"/>
    <w:rsid w:val="005373EC"/>
    <w:rsid w:val="00554245"/>
    <w:rsid w:val="00563370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B4AB1"/>
    <w:rsid w:val="005C09F1"/>
    <w:rsid w:val="005C2CF3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125F"/>
    <w:rsid w:val="006343A9"/>
    <w:rsid w:val="00634A6C"/>
    <w:rsid w:val="00641EE5"/>
    <w:rsid w:val="006442A5"/>
    <w:rsid w:val="00645201"/>
    <w:rsid w:val="006514B1"/>
    <w:rsid w:val="00651830"/>
    <w:rsid w:val="00653FA6"/>
    <w:rsid w:val="00666014"/>
    <w:rsid w:val="00681615"/>
    <w:rsid w:val="0068302E"/>
    <w:rsid w:val="00691636"/>
    <w:rsid w:val="006935EC"/>
    <w:rsid w:val="006A694A"/>
    <w:rsid w:val="006C3AB4"/>
    <w:rsid w:val="006C5BCD"/>
    <w:rsid w:val="006D1070"/>
    <w:rsid w:val="006E0737"/>
    <w:rsid w:val="006E372E"/>
    <w:rsid w:val="006F68D0"/>
    <w:rsid w:val="0072546C"/>
    <w:rsid w:val="007434C3"/>
    <w:rsid w:val="007434EC"/>
    <w:rsid w:val="00747BC2"/>
    <w:rsid w:val="007749A4"/>
    <w:rsid w:val="00794FF7"/>
    <w:rsid w:val="007A0120"/>
    <w:rsid w:val="007B414E"/>
    <w:rsid w:val="007B79CE"/>
    <w:rsid w:val="007D5F5F"/>
    <w:rsid w:val="00802389"/>
    <w:rsid w:val="0080314D"/>
    <w:rsid w:val="00804DD4"/>
    <w:rsid w:val="00812043"/>
    <w:rsid w:val="00824003"/>
    <w:rsid w:val="008329AF"/>
    <w:rsid w:val="008367FE"/>
    <w:rsid w:val="008530D4"/>
    <w:rsid w:val="00863FE4"/>
    <w:rsid w:val="00870E6F"/>
    <w:rsid w:val="00873D65"/>
    <w:rsid w:val="008757C9"/>
    <w:rsid w:val="008847A2"/>
    <w:rsid w:val="00884B15"/>
    <w:rsid w:val="008A0619"/>
    <w:rsid w:val="008A3320"/>
    <w:rsid w:val="008C00A2"/>
    <w:rsid w:val="008C3902"/>
    <w:rsid w:val="008E43A2"/>
    <w:rsid w:val="008E4BAE"/>
    <w:rsid w:val="008F0EBF"/>
    <w:rsid w:val="008F1BBC"/>
    <w:rsid w:val="008F5297"/>
    <w:rsid w:val="008F58CD"/>
    <w:rsid w:val="00902148"/>
    <w:rsid w:val="0090647B"/>
    <w:rsid w:val="009068E2"/>
    <w:rsid w:val="00916A47"/>
    <w:rsid w:val="00916D08"/>
    <w:rsid w:val="0092561B"/>
    <w:rsid w:val="00931A22"/>
    <w:rsid w:val="00932FE0"/>
    <w:rsid w:val="00951CF9"/>
    <w:rsid w:val="009566EC"/>
    <w:rsid w:val="009645B6"/>
    <w:rsid w:val="00967B4E"/>
    <w:rsid w:val="0097142E"/>
    <w:rsid w:val="0097163F"/>
    <w:rsid w:val="00975352"/>
    <w:rsid w:val="009842FE"/>
    <w:rsid w:val="00984CF0"/>
    <w:rsid w:val="009A38BD"/>
    <w:rsid w:val="009B3A23"/>
    <w:rsid w:val="009B4781"/>
    <w:rsid w:val="009F2E59"/>
    <w:rsid w:val="00A02A0B"/>
    <w:rsid w:val="00A02DF8"/>
    <w:rsid w:val="00A34CFF"/>
    <w:rsid w:val="00A41109"/>
    <w:rsid w:val="00A42800"/>
    <w:rsid w:val="00A430BA"/>
    <w:rsid w:val="00A43F5A"/>
    <w:rsid w:val="00A47BF8"/>
    <w:rsid w:val="00A54328"/>
    <w:rsid w:val="00A54D8A"/>
    <w:rsid w:val="00A555BA"/>
    <w:rsid w:val="00A63E3A"/>
    <w:rsid w:val="00A64804"/>
    <w:rsid w:val="00A6734A"/>
    <w:rsid w:val="00A6770C"/>
    <w:rsid w:val="00A8192B"/>
    <w:rsid w:val="00A9045F"/>
    <w:rsid w:val="00AA0A39"/>
    <w:rsid w:val="00AA14D3"/>
    <w:rsid w:val="00AC2FC2"/>
    <w:rsid w:val="00AC449D"/>
    <w:rsid w:val="00AD59BA"/>
    <w:rsid w:val="00AE126B"/>
    <w:rsid w:val="00AE47D8"/>
    <w:rsid w:val="00AF49D1"/>
    <w:rsid w:val="00AF6857"/>
    <w:rsid w:val="00AF7A3A"/>
    <w:rsid w:val="00B037A3"/>
    <w:rsid w:val="00B11156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B1E3F"/>
    <w:rsid w:val="00BC36EC"/>
    <w:rsid w:val="00BC4B2A"/>
    <w:rsid w:val="00BF4AF3"/>
    <w:rsid w:val="00C1487C"/>
    <w:rsid w:val="00C17199"/>
    <w:rsid w:val="00C253E9"/>
    <w:rsid w:val="00C42BF8"/>
    <w:rsid w:val="00C609B5"/>
    <w:rsid w:val="00C73512"/>
    <w:rsid w:val="00C755A4"/>
    <w:rsid w:val="00C75BEF"/>
    <w:rsid w:val="00C8137F"/>
    <w:rsid w:val="00C86776"/>
    <w:rsid w:val="00C9518B"/>
    <w:rsid w:val="00CA5F5D"/>
    <w:rsid w:val="00CA733A"/>
    <w:rsid w:val="00CB2656"/>
    <w:rsid w:val="00CB7AC2"/>
    <w:rsid w:val="00CC5D65"/>
    <w:rsid w:val="00CC7779"/>
    <w:rsid w:val="00CD227E"/>
    <w:rsid w:val="00CD5019"/>
    <w:rsid w:val="00CE1ED2"/>
    <w:rsid w:val="00CE54F7"/>
    <w:rsid w:val="00CE716A"/>
    <w:rsid w:val="00D13B77"/>
    <w:rsid w:val="00D15710"/>
    <w:rsid w:val="00D16DCE"/>
    <w:rsid w:val="00D2492C"/>
    <w:rsid w:val="00D36767"/>
    <w:rsid w:val="00D4139C"/>
    <w:rsid w:val="00D463A1"/>
    <w:rsid w:val="00D54A27"/>
    <w:rsid w:val="00D5598B"/>
    <w:rsid w:val="00D66607"/>
    <w:rsid w:val="00D92447"/>
    <w:rsid w:val="00D94C9D"/>
    <w:rsid w:val="00DA035C"/>
    <w:rsid w:val="00DA17A5"/>
    <w:rsid w:val="00DB02DB"/>
    <w:rsid w:val="00DB795F"/>
    <w:rsid w:val="00DC3ADF"/>
    <w:rsid w:val="00DC3CD1"/>
    <w:rsid w:val="00DC45FE"/>
    <w:rsid w:val="00DE0758"/>
    <w:rsid w:val="00E1361F"/>
    <w:rsid w:val="00E140F9"/>
    <w:rsid w:val="00E142D7"/>
    <w:rsid w:val="00E14955"/>
    <w:rsid w:val="00E17012"/>
    <w:rsid w:val="00E26FD7"/>
    <w:rsid w:val="00E33688"/>
    <w:rsid w:val="00E33ACC"/>
    <w:rsid w:val="00E34420"/>
    <w:rsid w:val="00E426F6"/>
    <w:rsid w:val="00E44267"/>
    <w:rsid w:val="00E50D90"/>
    <w:rsid w:val="00E72109"/>
    <w:rsid w:val="00E80A14"/>
    <w:rsid w:val="00E87725"/>
    <w:rsid w:val="00E94374"/>
    <w:rsid w:val="00EA69C2"/>
    <w:rsid w:val="00EB0B44"/>
    <w:rsid w:val="00EB0E32"/>
    <w:rsid w:val="00EC0A56"/>
    <w:rsid w:val="00EC5359"/>
    <w:rsid w:val="00EC7E9A"/>
    <w:rsid w:val="00ED693D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78AC"/>
    <w:rsid w:val="00FF2507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287FB"/>
  <w15:docId w15:val="{BCC470B9-416F-4CDE-A08B-AB3408F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324B4C"/>
  </w:style>
  <w:style w:type="paragraph" w:styleId="BalloonText">
    <w:name w:val="Balloon Text"/>
    <w:basedOn w:val="Normal"/>
    <w:link w:val="BalloonTextChar"/>
    <w:semiHidden/>
    <w:unhideWhenUsed/>
    <w:rsid w:val="00D46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63A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7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422B2-4F37-4B15-900D-DF8657FD8D6B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F55ED012-665B-442B-A035-BC89D411B0FE}">
      <dgm:prSet phldrT="[Text]"/>
      <dgm:spPr/>
      <dgm:t>
        <a:bodyPr/>
        <a:lstStyle/>
        <a:p>
          <a:r>
            <a:rPr lang="en-NZ" b="1"/>
            <a:t>26 Aug 3.17pm </a:t>
          </a:r>
          <a:r>
            <a:rPr lang="en-NZ" b="0"/>
            <a:t>Comms send draft messaging for clinical and Testing Subject Matter approval </a:t>
          </a:r>
        </a:p>
      </dgm:t>
    </dgm:pt>
    <dgm:pt modelId="{795E1169-EC65-42CA-8743-5E4652217954}" type="parTrans" cxnId="{A8D756C4-F1FD-4ACC-ADB9-3CEE3B48DD0F}">
      <dgm:prSet/>
      <dgm:spPr/>
      <dgm:t>
        <a:bodyPr/>
        <a:lstStyle/>
        <a:p>
          <a:endParaRPr lang="en-NZ"/>
        </a:p>
      </dgm:t>
    </dgm:pt>
    <dgm:pt modelId="{AD5DBEB9-74BF-4EA3-AC20-F46875EE1A2B}" type="sibTrans" cxnId="{A8D756C4-F1FD-4ACC-ADB9-3CEE3B48DD0F}">
      <dgm:prSet/>
      <dgm:spPr/>
      <dgm:t>
        <a:bodyPr/>
        <a:lstStyle/>
        <a:p>
          <a:endParaRPr lang="en-NZ"/>
        </a:p>
      </dgm:t>
    </dgm:pt>
    <dgm:pt modelId="{FE30EE05-39A7-4B0D-B923-46B9C174CA23}">
      <dgm:prSet phldrT="[Text]"/>
      <dgm:spPr/>
      <dgm:t>
        <a:bodyPr/>
        <a:lstStyle/>
        <a:p>
          <a:r>
            <a:rPr lang="en-NZ" b="1"/>
            <a:t>26 Aug 4.59pm</a:t>
          </a:r>
          <a:br>
            <a:rPr lang="en-NZ" b="1"/>
          </a:br>
          <a:r>
            <a:rPr lang="en-NZ" b="0"/>
            <a:t>Key messages sent to AOG by Comms Advisor</a:t>
          </a:r>
        </a:p>
      </dgm:t>
    </dgm:pt>
    <dgm:pt modelId="{6376F6F4-4413-4F09-A044-B9DDF5A6310D}" type="parTrans" cxnId="{25709215-04D9-49C5-BC32-66DF99E3A85A}">
      <dgm:prSet/>
      <dgm:spPr/>
      <dgm:t>
        <a:bodyPr/>
        <a:lstStyle/>
        <a:p>
          <a:endParaRPr lang="en-NZ"/>
        </a:p>
      </dgm:t>
    </dgm:pt>
    <dgm:pt modelId="{9664629E-E88C-4EDA-9C8E-55830A15A382}" type="sibTrans" cxnId="{25709215-04D9-49C5-BC32-66DF99E3A85A}">
      <dgm:prSet/>
      <dgm:spPr/>
      <dgm:t>
        <a:bodyPr/>
        <a:lstStyle/>
        <a:p>
          <a:endParaRPr lang="en-NZ"/>
        </a:p>
      </dgm:t>
    </dgm:pt>
    <dgm:pt modelId="{6BA84CBB-7242-44AD-B36D-169A8D8D9A37}">
      <dgm:prSet phldrT="[Text]"/>
      <dgm:spPr/>
      <dgm:t>
        <a:bodyPr/>
        <a:lstStyle/>
        <a:p>
          <a:r>
            <a:rPr lang="en-NZ" b="1"/>
            <a:t>26 Aug 4.58pm</a:t>
          </a:r>
          <a:br>
            <a:rPr lang="en-NZ" b="1"/>
          </a:br>
          <a:r>
            <a:rPr lang="en-NZ" b="0"/>
            <a:t>Minor clinical feedback provided back </a:t>
          </a:r>
          <a:r>
            <a:rPr lang="en-NZ"/>
            <a:t>to Comms by a Deputy Director of Public Health </a:t>
          </a:r>
        </a:p>
      </dgm:t>
    </dgm:pt>
    <dgm:pt modelId="{8737400F-8778-4475-AB24-BD9C8D91DFA5}" type="parTrans" cxnId="{87C29F7E-065E-46DE-BC55-785D848A528B}">
      <dgm:prSet/>
      <dgm:spPr/>
      <dgm:t>
        <a:bodyPr/>
        <a:lstStyle/>
        <a:p>
          <a:endParaRPr lang="en-NZ"/>
        </a:p>
      </dgm:t>
    </dgm:pt>
    <dgm:pt modelId="{9E3B2B6C-368C-485A-9897-A03FCAC04CC1}" type="sibTrans" cxnId="{87C29F7E-065E-46DE-BC55-785D848A528B}">
      <dgm:prSet/>
      <dgm:spPr/>
      <dgm:t>
        <a:bodyPr/>
        <a:lstStyle/>
        <a:p>
          <a:endParaRPr lang="en-NZ"/>
        </a:p>
      </dgm:t>
    </dgm:pt>
    <dgm:pt modelId="{4CD3D482-D2AE-4421-8114-353F028BAB8F}">
      <dgm:prSet phldrT="[Text]"/>
      <dgm:spPr/>
      <dgm:t>
        <a:bodyPr/>
        <a:lstStyle/>
        <a:p>
          <a:r>
            <a:rPr lang="en-NZ" b="1"/>
            <a:t>26 Aug</a:t>
          </a:r>
          <a:br>
            <a:rPr lang="en-NZ" b="1"/>
          </a:br>
          <a:r>
            <a:rPr lang="en-NZ" b="0"/>
            <a:t>Testing Subject Matter approval given in person with printed version by Tier 3 Manager</a:t>
          </a:r>
          <a:endParaRPr lang="en-NZ"/>
        </a:p>
      </dgm:t>
    </dgm:pt>
    <dgm:pt modelId="{70E888B6-2AEA-4B0A-B149-1637D62D7DCC}" type="parTrans" cxnId="{532FB6BD-1C0E-4985-A7D4-9BE771D6CC12}">
      <dgm:prSet/>
      <dgm:spPr/>
      <dgm:t>
        <a:bodyPr/>
        <a:lstStyle/>
        <a:p>
          <a:endParaRPr lang="en-NZ"/>
        </a:p>
      </dgm:t>
    </dgm:pt>
    <dgm:pt modelId="{F3D0019D-66F7-4675-819E-AC209E88B9C7}" type="sibTrans" cxnId="{532FB6BD-1C0E-4985-A7D4-9BE771D6CC12}">
      <dgm:prSet/>
      <dgm:spPr/>
      <dgm:t>
        <a:bodyPr/>
        <a:lstStyle/>
        <a:p>
          <a:endParaRPr lang="en-NZ"/>
        </a:p>
      </dgm:t>
    </dgm:pt>
    <dgm:pt modelId="{F87F59AB-BE0B-437B-9A7F-203210B3C53B}" type="pres">
      <dgm:prSet presAssocID="{D57422B2-4F37-4B15-900D-DF8657FD8D6B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AC11F1A7-611D-4750-9C0B-C2040E1B6964}" type="pres">
      <dgm:prSet presAssocID="{FE30EE05-39A7-4B0D-B923-46B9C174CA23}" presName="Accent4" presStyleCnt="0"/>
      <dgm:spPr/>
    </dgm:pt>
    <dgm:pt modelId="{7D0FE3FA-82DD-459B-9382-AA38EDC2D784}" type="pres">
      <dgm:prSet presAssocID="{FE30EE05-39A7-4B0D-B923-46B9C174CA23}" presName="Accent" presStyleLbl="node1" presStyleIdx="0" presStyleCnt="4"/>
      <dgm:spPr/>
    </dgm:pt>
    <dgm:pt modelId="{33B2D8AD-D036-48F6-B993-A09AC9735D92}" type="pres">
      <dgm:prSet presAssocID="{FE30EE05-39A7-4B0D-B923-46B9C174CA23}" presName="ParentBackground4" presStyleCnt="0"/>
      <dgm:spPr/>
    </dgm:pt>
    <dgm:pt modelId="{8BA64E9A-FDA1-48EC-AD40-94B78EB899E5}" type="pres">
      <dgm:prSet presAssocID="{FE30EE05-39A7-4B0D-B923-46B9C174CA23}" presName="ParentBackground" presStyleLbl="fgAcc1" presStyleIdx="0" presStyleCnt="4"/>
      <dgm:spPr/>
    </dgm:pt>
    <dgm:pt modelId="{F2C98750-2041-4A46-B04A-5577F9A584B1}" type="pres">
      <dgm:prSet presAssocID="{FE30EE05-39A7-4B0D-B923-46B9C174CA23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D32EE90E-D2DE-4F60-8D21-B4985C259D81}" type="pres">
      <dgm:prSet presAssocID="{6BA84CBB-7242-44AD-B36D-169A8D8D9A37}" presName="Accent3" presStyleCnt="0"/>
      <dgm:spPr/>
    </dgm:pt>
    <dgm:pt modelId="{8D116518-7DB4-4290-AB78-D608A989693A}" type="pres">
      <dgm:prSet presAssocID="{6BA84CBB-7242-44AD-B36D-169A8D8D9A37}" presName="Accent" presStyleLbl="node1" presStyleIdx="1" presStyleCnt="4"/>
      <dgm:spPr/>
    </dgm:pt>
    <dgm:pt modelId="{9FF4A279-BC31-48D2-BDC8-1A38F45C62FC}" type="pres">
      <dgm:prSet presAssocID="{6BA84CBB-7242-44AD-B36D-169A8D8D9A37}" presName="ParentBackground3" presStyleCnt="0"/>
      <dgm:spPr/>
    </dgm:pt>
    <dgm:pt modelId="{10EB5DDB-99CB-47E7-BEAD-35B671DD11E8}" type="pres">
      <dgm:prSet presAssocID="{6BA84CBB-7242-44AD-B36D-169A8D8D9A37}" presName="ParentBackground" presStyleLbl="fgAcc1" presStyleIdx="1" presStyleCnt="4"/>
      <dgm:spPr/>
    </dgm:pt>
    <dgm:pt modelId="{4F6C58C2-3CC0-495A-9EBB-BBEA4E050831}" type="pres">
      <dgm:prSet presAssocID="{6BA84CBB-7242-44AD-B36D-169A8D8D9A37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46C7177-CA66-4E8C-8778-87D7E34EA066}" type="pres">
      <dgm:prSet presAssocID="{4CD3D482-D2AE-4421-8114-353F028BAB8F}" presName="Accent2" presStyleCnt="0"/>
      <dgm:spPr/>
    </dgm:pt>
    <dgm:pt modelId="{148182CE-1340-465C-B385-A786331A7B06}" type="pres">
      <dgm:prSet presAssocID="{4CD3D482-D2AE-4421-8114-353F028BAB8F}" presName="Accent" presStyleLbl="node1" presStyleIdx="2" presStyleCnt="4"/>
      <dgm:spPr/>
    </dgm:pt>
    <dgm:pt modelId="{0CC611AD-31C0-40E9-8222-241B0B995F49}" type="pres">
      <dgm:prSet presAssocID="{4CD3D482-D2AE-4421-8114-353F028BAB8F}" presName="ParentBackground2" presStyleCnt="0"/>
      <dgm:spPr/>
    </dgm:pt>
    <dgm:pt modelId="{7C395E9E-0D93-453B-A16C-D03DC4318248}" type="pres">
      <dgm:prSet presAssocID="{4CD3D482-D2AE-4421-8114-353F028BAB8F}" presName="ParentBackground" presStyleLbl="fgAcc1" presStyleIdx="2" presStyleCnt="4"/>
      <dgm:spPr/>
    </dgm:pt>
    <dgm:pt modelId="{341E7182-7A0D-480E-8493-19F4BB0AAD87}" type="pres">
      <dgm:prSet presAssocID="{4CD3D482-D2AE-4421-8114-353F028BAB8F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FEE955D8-B998-4878-A1C8-C2AF5914C5A0}" type="pres">
      <dgm:prSet presAssocID="{F55ED012-665B-442B-A035-BC89D411B0FE}" presName="Accent1" presStyleCnt="0"/>
      <dgm:spPr/>
    </dgm:pt>
    <dgm:pt modelId="{B17CD30E-3156-41BC-A80C-68B9CC873DC2}" type="pres">
      <dgm:prSet presAssocID="{F55ED012-665B-442B-A035-BC89D411B0FE}" presName="Accent" presStyleLbl="node1" presStyleIdx="3" presStyleCnt="4"/>
      <dgm:spPr/>
    </dgm:pt>
    <dgm:pt modelId="{A8E9F0BA-6D83-42A4-BE33-CB296A779260}" type="pres">
      <dgm:prSet presAssocID="{F55ED012-665B-442B-A035-BC89D411B0FE}" presName="ParentBackground1" presStyleCnt="0"/>
      <dgm:spPr/>
    </dgm:pt>
    <dgm:pt modelId="{9796ECC8-658F-42E6-8EAB-7A23AE7BE272}" type="pres">
      <dgm:prSet presAssocID="{F55ED012-665B-442B-A035-BC89D411B0FE}" presName="ParentBackground" presStyleLbl="fgAcc1" presStyleIdx="3" presStyleCnt="4"/>
      <dgm:spPr/>
    </dgm:pt>
    <dgm:pt modelId="{C9F907A6-77BF-47AF-BF65-F59079B7F8E1}" type="pres">
      <dgm:prSet presAssocID="{F55ED012-665B-442B-A035-BC89D411B0FE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0C49A70D-911C-44FD-BDA1-E38C6CAD4DD0}" type="presOf" srcId="{FE30EE05-39A7-4B0D-B923-46B9C174CA23}" destId="{F2C98750-2041-4A46-B04A-5577F9A584B1}" srcOrd="1" destOrd="0" presId="urn:microsoft.com/office/officeart/2011/layout/CircleProcess"/>
    <dgm:cxn modelId="{25709215-04D9-49C5-BC32-66DF99E3A85A}" srcId="{D57422B2-4F37-4B15-900D-DF8657FD8D6B}" destId="{FE30EE05-39A7-4B0D-B923-46B9C174CA23}" srcOrd="3" destOrd="0" parTransId="{6376F6F4-4413-4F09-A044-B9DDF5A6310D}" sibTransId="{9664629E-E88C-4EDA-9C8E-55830A15A382}"/>
    <dgm:cxn modelId="{31727F27-FCC6-4DED-B533-3D6C5F75BB76}" type="presOf" srcId="{FE30EE05-39A7-4B0D-B923-46B9C174CA23}" destId="{8BA64E9A-FDA1-48EC-AD40-94B78EB899E5}" srcOrd="0" destOrd="0" presId="urn:microsoft.com/office/officeart/2011/layout/CircleProcess"/>
    <dgm:cxn modelId="{C347F344-1CCF-4724-BB92-EE41EC6085EC}" type="presOf" srcId="{F55ED012-665B-442B-A035-BC89D411B0FE}" destId="{9796ECC8-658F-42E6-8EAB-7A23AE7BE272}" srcOrd="0" destOrd="0" presId="urn:microsoft.com/office/officeart/2011/layout/CircleProcess"/>
    <dgm:cxn modelId="{8C74A06C-1FD5-4A17-A1C8-00BF3E781FFA}" type="presOf" srcId="{6BA84CBB-7242-44AD-B36D-169A8D8D9A37}" destId="{4F6C58C2-3CC0-495A-9EBB-BBEA4E050831}" srcOrd="1" destOrd="0" presId="urn:microsoft.com/office/officeart/2011/layout/CircleProcess"/>
    <dgm:cxn modelId="{DF7B714D-681B-4702-9F6C-A8EC4AD4348E}" type="presOf" srcId="{4CD3D482-D2AE-4421-8114-353F028BAB8F}" destId="{7C395E9E-0D93-453B-A16C-D03DC4318248}" srcOrd="0" destOrd="0" presId="urn:microsoft.com/office/officeart/2011/layout/CircleProcess"/>
    <dgm:cxn modelId="{87C29F7E-065E-46DE-BC55-785D848A528B}" srcId="{D57422B2-4F37-4B15-900D-DF8657FD8D6B}" destId="{6BA84CBB-7242-44AD-B36D-169A8D8D9A37}" srcOrd="2" destOrd="0" parTransId="{8737400F-8778-4475-AB24-BD9C8D91DFA5}" sibTransId="{9E3B2B6C-368C-485A-9897-A03FCAC04CC1}"/>
    <dgm:cxn modelId="{0BAD60B0-88B3-4216-860C-E975D4734523}" type="presOf" srcId="{F55ED012-665B-442B-A035-BC89D411B0FE}" destId="{C9F907A6-77BF-47AF-BF65-F59079B7F8E1}" srcOrd="1" destOrd="0" presId="urn:microsoft.com/office/officeart/2011/layout/CircleProcess"/>
    <dgm:cxn modelId="{AC4434B2-9D8A-423F-98BE-C1F570A3BE10}" type="presOf" srcId="{D57422B2-4F37-4B15-900D-DF8657FD8D6B}" destId="{F87F59AB-BE0B-437B-9A7F-203210B3C53B}" srcOrd="0" destOrd="0" presId="urn:microsoft.com/office/officeart/2011/layout/CircleProcess"/>
    <dgm:cxn modelId="{532FB6BD-1C0E-4985-A7D4-9BE771D6CC12}" srcId="{D57422B2-4F37-4B15-900D-DF8657FD8D6B}" destId="{4CD3D482-D2AE-4421-8114-353F028BAB8F}" srcOrd="1" destOrd="0" parTransId="{70E888B6-2AEA-4B0A-B149-1637D62D7DCC}" sibTransId="{F3D0019D-66F7-4675-819E-AC209E88B9C7}"/>
    <dgm:cxn modelId="{A8D756C4-F1FD-4ACC-ADB9-3CEE3B48DD0F}" srcId="{D57422B2-4F37-4B15-900D-DF8657FD8D6B}" destId="{F55ED012-665B-442B-A035-BC89D411B0FE}" srcOrd="0" destOrd="0" parTransId="{795E1169-EC65-42CA-8743-5E4652217954}" sibTransId="{AD5DBEB9-74BF-4EA3-AC20-F46875EE1A2B}"/>
    <dgm:cxn modelId="{EE4B52C7-066E-49C0-B0EF-63679213E183}" type="presOf" srcId="{6BA84CBB-7242-44AD-B36D-169A8D8D9A37}" destId="{10EB5DDB-99CB-47E7-BEAD-35B671DD11E8}" srcOrd="0" destOrd="0" presId="urn:microsoft.com/office/officeart/2011/layout/CircleProcess"/>
    <dgm:cxn modelId="{F1DA16ED-80F5-4D17-9BA2-C4A28142A0F0}" type="presOf" srcId="{4CD3D482-D2AE-4421-8114-353F028BAB8F}" destId="{341E7182-7A0D-480E-8493-19F4BB0AAD87}" srcOrd="1" destOrd="0" presId="urn:microsoft.com/office/officeart/2011/layout/CircleProcess"/>
    <dgm:cxn modelId="{585C02F6-D47D-4C02-8CC1-E6311A479E5F}" type="presParOf" srcId="{F87F59AB-BE0B-437B-9A7F-203210B3C53B}" destId="{AC11F1A7-611D-4750-9C0B-C2040E1B6964}" srcOrd="0" destOrd="0" presId="urn:microsoft.com/office/officeart/2011/layout/CircleProcess"/>
    <dgm:cxn modelId="{ECAFBDD3-E7AF-4322-8A5B-F600D3CF5AA4}" type="presParOf" srcId="{AC11F1A7-611D-4750-9C0B-C2040E1B6964}" destId="{7D0FE3FA-82DD-459B-9382-AA38EDC2D784}" srcOrd="0" destOrd="0" presId="urn:microsoft.com/office/officeart/2011/layout/CircleProcess"/>
    <dgm:cxn modelId="{9B4949F8-4599-4C4C-AF8E-5CD2255B436E}" type="presParOf" srcId="{F87F59AB-BE0B-437B-9A7F-203210B3C53B}" destId="{33B2D8AD-D036-48F6-B993-A09AC9735D92}" srcOrd="1" destOrd="0" presId="urn:microsoft.com/office/officeart/2011/layout/CircleProcess"/>
    <dgm:cxn modelId="{100FBB34-98DB-4D33-B0A1-4C5378BF545A}" type="presParOf" srcId="{33B2D8AD-D036-48F6-B993-A09AC9735D92}" destId="{8BA64E9A-FDA1-48EC-AD40-94B78EB899E5}" srcOrd="0" destOrd="0" presId="urn:microsoft.com/office/officeart/2011/layout/CircleProcess"/>
    <dgm:cxn modelId="{C7C8CA5B-94BD-451A-8D01-61BDDF32F0BA}" type="presParOf" srcId="{F87F59AB-BE0B-437B-9A7F-203210B3C53B}" destId="{F2C98750-2041-4A46-B04A-5577F9A584B1}" srcOrd="2" destOrd="0" presId="urn:microsoft.com/office/officeart/2011/layout/CircleProcess"/>
    <dgm:cxn modelId="{8A193029-38E0-41DB-B6FB-E43E75BF204E}" type="presParOf" srcId="{F87F59AB-BE0B-437B-9A7F-203210B3C53B}" destId="{D32EE90E-D2DE-4F60-8D21-B4985C259D81}" srcOrd="3" destOrd="0" presId="urn:microsoft.com/office/officeart/2011/layout/CircleProcess"/>
    <dgm:cxn modelId="{2AD8AA27-DC58-4D1F-9B4B-111E0960E482}" type="presParOf" srcId="{D32EE90E-D2DE-4F60-8D21-B4985C259D81}" destId="{8D116518-7DB4-4290-AB78-D608A989693A}" srcOrd="0" destOrd="0" presId="urn:microsoft.com/office/officeart/2011/layout/CircleProcess"/>
    <dgm:cxn modelId="{F1F1FE09-67B1-487E-9B59-0C8B2A2B1512}" type="presParOf" srcId="{F87F59AB-BE0B-437B-9A7F-203210B3C53B}" destId="{9FF4A279-BC31-48D2-BDC8-1A38F45C62FC}" srcOrd="4" destOrd="0" presId="urn:microsoft.com/office/officeart/2011/layout/CircleProcess"/>
    <dgm:cxn modelId="{E169E70B-4EFC-4091-9497-56C6C31036FF}" type="presParOf" srcId="{9FF4A279-BC31-48D2-BDC8-1A38F45C62FC}" destId="{10EB5DDB-99CB-47E7-BEAD-35B671DD11E8}" srcOrd="0" destOrd="0" presId="urn:microsoft.com/office/officeart/2011/layout/CircleProcess"/>
    <dgm:cxn modelId="{8B0F1791-CE5B-4ACC-938B-9F20BBA093ED}" type="presParOf" srcId="{F87F59AB-BE0B-437B-9A7F-203210B3C53B}" destId="{4F6C58C2-3CC0-495A-9EBB-BBEA4E050831}" srcOrd="5" destOrd="0" presId="urn:microsoft.com/office/officeart/2011/layout/CircleProcess"/>
    <dgm:cxn modelId="{0CE28641-CA25-44F2-A968-A97E58225200}" type="presParOf" srcId="{F87F59AB-BE0B-437B-9A7F-203210B3C53B}" destId="{246C7177-CA66-4E8C-8778-87D7E34EA066}" srcOrd="6" destOrd="0" presId="urn:microsoft.com/office/officeart/2011/layout/CircleProcess"/>
    <dgm:cxn modelId="{8E7136D0-2AA8-4293-ACD1-84A891DA477E}" type="presParOf" srcId="{246C7177-CA66-4E8C-8778-87D7E34EA066}" destId="{148182CE-1340-465C-B385-A786331A7B06}" srcOrd="0" destOrd="0" presId="urn:microsoft.com/office/officeart/2011/layout/CircleProcess"/>
    <dgm:cxn modelId="{D3B1B973-6066-4181-A939-241E0E63AEF2}" type="presParOf" srcId="{F87F59AB-BE0B-437B-9A7F-203210B3C53B}" destId="{0CC611AD-31C0-40E9-8222-241B0B995F49}" srcOrd="7" destOrd="0" presId="urn:microsoft.com/office/officeart/2011/layout/CircleProcess"/>
    <dgm:cxn modelId="{95F64B3A-A0BA-4AB6-8574-C398CF8F3326}" type="presParOf" srcId="{0CC611AD-31C0-40E9-8222-241B0B995F49}" destId="{7C395E9E-0D93-453B-A16C-D03DC4318248}" srcOrd="0" destOrd="0" presId="urn:microsoft.com/office/officeart/2011/layout/CircleProcess"/>
    <dgm:cxn modelId="{0ED771F1-14EF-4188-B218-DD566DC505BD}" type="presParOf" srcId="{F87F59AB-BE0B-437B-9A7F-203210B3C53B}" destId="{341E7182-7A0D-480E-8493-19F4BB0AAD87}" srcOrd="8" destOrd="0" presId="urn:microsoft.com/office/officeart/2011/layout/CircleProcess"/>
    <dgm:cxn modelId="{BCD6635F-191B-4294-856E-84BED70ADCF7}" type="presParOf" srcId="{F87F59AB-BE0B-437B-9A7F-203210B3C53B}" destId="{FEE955D8-B998-4878-A1C8-C2AF5914C5A0}" srcOrd="9" destOrd="0" presId="urn:microsoft.com/office/officeart/2011/layout/CircleProcess"/>
    <dgm:cxn modelId="{D5ED39F4-6910-4A33-AD4A-CA02B0159DB1}" type="presParOf" srcId="{FEE955D8-B998-4878-A1C8-C2AF5914C5A0}" destId="{B17CD30E-3156-41BC-A80C-68B9CC873DC2}" srcOrd="0" destOrd="0" presId="urn:microsoft.com/office/officeart/2011/layout/CircleProcess"/>
    <dgm:cxn modelId="{B5CC0A69-4B18-4ABB-BA1A-D743B7A218A4}" type="presParOf" srcId="{F87F59AB-BE0B-437B-9A7F-203210B3C53B}" destId="{A8E9F0BA-6D83-42A4-BE33-CB296A779260}" srcOrd="10" destOrd="0" presId="urn:microsoft.com/office/officeart/2011/layout/CircleProcess"/>
    <dgm:cxn modelId="{5B5F38DA-EA4C-49C0-88B8-42073CFEDB21}" type="presParOf" srcId="{A8E9F0BA-6D83-42A4-BE33-CB296A779260}" destId="{9796ECC8-658F-42E6-8EAB-7A23AE7BE272}" srcOrd="0" destOrd="0" presId="urn:microsoft.com/office/officeart/2011/layout/CircleProcess"/>
    <dgm:cxn modelId="{708C59EC-74FA-4398-A3FA-41DACCF83155}" type="presParOf" srcId="{F87F59AB-BE0B-437B-9A7F-203210B3C53B}" destId="{C9F907A6-77BF-47AF-BF65-F59079B7F8E1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FE3FA-82DD-459B-9382-AA38EDC2D784}">
      <dsp:nvSpPr>
        <dsp:cNvPr id="0" name=""/>
        <dsp:cNvSpPr/>
      </dsp:nvSpPr>
      <dsp:spPr>
        <a:xfrm>
          <a:off x="4622618" y="524499"/>
          <a:ext cx="1389573" cy="13896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A64E9A-FDA1-48EC-AD40-94B78EB899E5}">
      <dsp:nvSpPr>
        <dsp:cNvPr id="0" name=""/>
        <dsp:cNvSpPr/>
      </dsp:nvSpPr>
      <dsp:spPr>
        <a:xfrm>
          <a:off x="4669096" y="570829"/>
          <a:ext cx="1297212" cy="129698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26 Aug 4.59pm</a:t>
          </a:r>
          <a:br>
            <a:rPr lang="en-NZ" sz="900" b="1" kern="1200"/>
          </a:br>
          <a:r>
            <a:rPr lang="en-NZ" sz="900" b="0" kern="1200"/>
            <a:t>Key messages sent to AOG by Comms Advisor</a:t>
          </a:r>
        </a:p>
      </dsp:txBody>
      <dsp:txXfrm>
        <a:off x="4854412" y="756147"/>
        <a:ext cx="926580" cy="926348"/>
      </dsp:txXfrm>
    </dsp:sp>
    <dsp:sp modelId="{8D116518-7DB4-4290-AB78-D608A989693A}">
      <dsp:nvSpPr>
        <dsp:cNvPr id="0" name=""/>
        <dsp:cNvSpPr/>
      </dsp:nvSpPr>
      <dsp:spPr>
        <a:xfrm rot="2700000">
          <a:off x="3180596" y="524402"/>
          <a:ext cx="1389595" cy="13895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EB5DDB-99CB-47E7-BEAD-35B671DD11E8}">
      <dsp:nvSpPr>
        <dsp:cNvPr id="0" name=""/>
        <dsp:cNvSpPr/>
      </dsp:nvSpPr>
      <dsp:spPr>
        <a:xfrm>
          <a:off x="3233045" y="570829"/>
          <a:ext cx="1297212" cy="129698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26 Aug 4.58pm</a:t>
          </a:r>
          <a:br>
            <a:rPr lang="en-NZ" sz="900" b="1" kern="1200"/>
          </a:br>
          <a:r>
            <a:rPr lang="en-NZ" sz="900" b="0" kern="1200"/>
            <a:t>Minor clinical feedback provided back </a:t>
          </a:r>
          <a:r>
            <a:rPr lang="en-NZ" sz="900" kern="1200"/>
            <a:t>to Comms by a Deputy Director of Public Health </a:t>
          </a:r>
        </a:p>
      </dsp:txBody>
      <dsp:txXfrm>
        <a:off x="3418361" y="756147"/>
        <a:ext cx="926580" cy="926348"/>
      </dsp:txXfrm>
    </dsp:sp>
    <dsp:sp modelId="{148182CE-1340-465C-B385-A786331A7B06}">
      <dsp:nvSpPr>
        <dsp:cNvPr id="0" name=""/>
        <dsp:cNvSpPr/>
      </dsp:nvSpPr>
      <dsp:spPr>
        <a:xfrm rot="2700000">
          <a:off x="1750504" y="524402"/>
          <a:ext cx="1389595" cy="13895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95E9E-0D93-453B-A16C-D03DC4318248}">
      <dsp:nvSpPr>
        <dsp:cNvPr id="0" name=""/>
        <dsp:cNvSpPr/>
      </dsp:nvSpPr>
      <dsp:spPr>
        <a:xfrm>
          <a:off x="1796993" y="570829"/>
          <a:ext cx="1297212" cy="129698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26 Aug</a:t>
          </a:r>
          <a:br>
            <a:rPr lang="en-NZ" sz="900" b="1" kern="1200"/>
          </a:br>
          <a:r>
            <a:rPr lang="en-NZ" sz="900" b="0" kern="1200"/>
            <a:t>Testing Subject Matter approval given in person with printed version by Tier 3 Manager</a:t>
          </a:r>
          <a:endParaRPr lang="en-NZ" sz="900" kern="1200"/>
        </a:p>
      </dsp:txBody>
      <dsp:txXfrm>
        <a:off x="1982310" y="756147"/>
        <a:ext cx="926580" cy="926348"/>
      </dsp:txXfrm>
    </dsp:sp>
    <dsp:sp modelId="{B17CD30E-3156-41BC-A80C-68B9CC873DC2}">
      <dsp:nvSpPr>
        <dsp:cNvPr id="0" name=""/>
        <dsp:cNvSpPr/>
      </dsp:nvSpPr>
      <dsp:spPr>
        <a:xfrm rot="2700000">
          <a:off x="314453" y="524402"/>
          <a:ext cx="1389595" cy="13895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6ECC8-658F-42E6-8EAB-7A23AE7BE272}">
      <dsp:nvSpPr>
        <dsp:cNvPr id="0" name=""/>
        <dsp:cNvSpPr/>
      </dsp:nvSpPr>
      <dsp:spPr>
        <a:xfrm>
          <a:off x="360942" y="570829"/>
          <a:ext cx="1297212" cy="129698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b="1" kern="1200"/>
            <a:t>26 Aug 3.17pm </a:t>
          </a:r>
          <a:r>
            <a:rPr lang="en-NZ" sz="900" b="0" kern="1200"/>
            <a:t>Comms send draft messaging for clinical and Testing Subject Matter approval </a:t>
          </a:r>
        </a:p>
      </dsp:txBody>
      <dsp:txXfrm>
        <a:off x="546259" y="756147"/>
        <a:ext cx="926580" cy="926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9" ma:contentTypeDescription="Create a new document." ma:contentTypeScope="" ma:versionID="d05c2d9883ce522e9ab8ccb90f45769e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cc91fe76acadb2d3b7f248687177a0c3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521E4-9707-4A9F-A1E9-791C3ABB2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2A89C-6314-4DF0-8D7A-80AC23F1A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153FB-2324-48C6-B299-F37058CB2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 Internal Rapid Review – COVID-19 Key Communications</vt:lpstr>
    </vt:vector>
  </TitlesOfParts>
  <Company>Wordpro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Internal Rapid Review – COVID-19 Key Communications</dc:title>
  <dc:creator>Ministry of Health</dc:creator>
  <cp:lastModifiedBy>Ministry of Health</cp:lastModifiedBy>
  <cp:revision>3</cp:revision>
  <cp:lastPrinted>2020-09-10T01:42:00Z</cp:lastPrinted>
  <dcterms:created xsi:type="dcterms:W3CDTF">2020-09-10T01:42:00Z</dcterms:created>
  <dcterms:modified xsi:type="dcterms:W3CDTF">2020-09-10T01:43:00Z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1070422574</vt:i4>
  </property>
  <property fmtid="{D5CDD505-2E9C-101B-9397-08002B2CF9AE}" pid="3" name="_EmailSubject">
    <vt:lpwstr>Fax and memo templates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1070422574</vt:i4>
  </property>
  <property fmtid="{D5CDD505-2E9C-101B-9397-08002B2CF9AE}" pid="7" name="_ReviewingToolsShownOnce">
    <vt:lpwstr/>
  </property>
  <property fmtid="{D5CDD505-2E9C-101B-9397-08002B2CF9AE}" pid="8" name="ContentTypeId">
    <vt:lpwstr>0x010100080D82E3FC07494888D7C9368DFAC697</vt:lpwstr>
  </property>
</Properties>
</file>