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8325" w14:textId="5D30A988" w:rsidR="00802A08" w:rsidRDefault="009C1BF2" w:rsidP="00802A08">
      <w:pPr>
        <w:pStyle w:val="Title"/>
        <w:spacing w:before="120" w:after="120"/>
        <w:rPr>
          <w:rFonts w:ascii="Segoe UI Semibold" w:hAnsi="Segoe UI Semibold" w:cs="Segoe UI Semibold"/>
        </w:rPr>
      </w:pPr>
      <w:r>
        <w:rPr>
          <w:rFonts w:ascii="Segoe UI Semibold" w:hAnsi="Segoe UI Semibold" w:cs="Segoe UI Semibold"/>
        </w:rPr>
        <w:t xml:space="preserve">Additional </w:t>
      </w:r>
      <w:r w:rsidR="00802A08">
        <w:rPr>
          <w:rFonts w:ascii="Segoe UI Semibold" w:hAnsi="Segoe UI Semibold" w:cs="Segoe UI Semibold"/>
        </w:rPr>
        <w:t>Health</w:t>
      </w:r>
      <w:r w:rsidR="00802A08" w:rsidRPr="004A5825">
        <w:rPr>
          <w:rFonts w:ascii="Segoe UI Semibold" w:hAnsi="Segoe UI Semibold" w:cs="Segoe UI Semibold"/>
        </w:rPr>
        <w:t xml:space="preserve"> Committee 3 September 2020 Post-Hearing Questions</w:t>
      </w:r>
    </w:p>
    <w:sdt>
      <w:sdtPr>
        <w:rPr>
          <w:rFonts w:asciiTheme="minorHAnsi" w:eastAsiaTheme="minorEastAsia" w:hAnsiTheme="minorHAnsi" w:cstheme="minorBidi"/>
          <w:color w:val="auto"/>
          <w:sz w:val="22"/>
          <w:szCs w:val="22"/>
        </w:rPr>
        <w:id w:val="-2136704098"/>
        <w:docPartObj>
          <w:docPartGallery w:val="Table of Contents"/>
          <w:docPartUnique/>
        </w:docPartObj>
      </w:sdtPr>
      <w:sdtEndPr>
        <w:rPr>
          <w:b/>
          <w:bCs/>
          <w:noProof/>
        </w:rPr>
      </w:sdtEndPr>
      <w:sdtContent>
        <w:p w14:paraId="40A3142F" w14:textId="77777777" w:rsidR="00802A08" w:rsidRPr="00802A08" w:rsidRDefault="00802A08" w:rsidP="00802A08">
          <w:pPr>
            <w:pStyle w:val="TOCHeading"/>
            <w:spacing w:before="120" w:after="120"/>
            <w:rPr>
              <w:b/>
            </w:rPr>
          </w:pPr>
          <w:r w:rsidRPr="00802A08">
            <w:rPr>
              <w:b/>
            </w:rPr>
            <w:t>Contents</w:t>
          </w:r>
        </w:p>
        <w:p w14:paraId="362ADD84" w14:textId="6BCF516D" w:rsidR="00931CCC" w:rsidRDefault="00802A08">
          <w:pPr>
            <w:pStyle w:val="TOC2"/>
            <w:tabs>
              <w:tab w:val="right" w:leader="dot" w:pos="9016"/>
            </w:tabs>
            <w:rPr>
              <w:noProof/>
              <w:lang w:eastAsia="en-NZ"/>
            </w:rPr>
          </w:pPr>
          <w:r>
            <w:fldChar w:fldCharType="begin"/>
          </w:r>
          <w:r>
            <w:instrText xml:space="preserve"> TOC \o "1-3" \h \z \u </w:instrText>
          </w:r>
          <w:r>
            <w:fldChar w:fldCharType="separate"/>
          </w:r>
          <w:hyperlink w:anchor="_Toc51229417" w:history="1">
            <w:r w:rsidR="00931CCC" w:rsidRPr="004976BF">
              <w:rPr>
                <w:rStyle w:val="Hyperlink"/>
                <w:rFonts w:ascii="Segoe UI Semibold" w:hAnsi="Segoe UI Semibold" w:cs="Segoe UI Semibold"/>
                <w:noProof/>
              </w:rPr>
              <w:t>MIQ</w:t>
            </w:r>
            <w:r w:rsidR="00931CCC">
              <w:rPr>
                <w:noProof/>
                <w:webHidden/>
              </w:rPr>
              <w:tab/>
            </w:r>
            <w:r w:rsidR="00931CCC">
              <w:rPr>
                <w:noProof/>
                <w:webHidden/>
              </w:rPr>
              <w:fldChar w:fldCharType="begin"/>
            </w:r>
            <w:r w:rsidR="00931CCC">
              <w:rPr>
                <w:noProof/>
                <w:webHidden/>
              </w:rPr>
              <w:instrText xml:space="preserve"> PAGEREF _Toc51229417 \h </w:instrText>
            </w:r>
            <w:r w:rsidR="00931CCC">
              <w:rPr>
                <w:noProof/>
                <w:webHidden/>
              </w:rPr>
            </w:r>
            <w:r w:rsidR="00931CCC">
              <w:rPr>
                <w:noProof/>
                <w:webHidden/>
              </w:rPr>
              <w:fldChar w:fldCharType="separate"/>
            </w:r>
            <w:r w:rsidR="00931CCC">
              <w:rPr>
                <w:noProof/>
                <w:webHidden/>
              </w:rPr>
              <w:t>2</w:t>
            </w:r>
            <w:r w:rsidR="00931CCC">
              <w:rPr>
                <w:noProof/>
                <w:webHidden/>
              </w:rPr>
              <w:fldChar w:fldCharType="end"/>
            </w:r>
          </w:hyperlink>
        </w:p>
        <w:p w14:paraId="2580E121" w14:textId="26549BAB" w:rsidR="00931CCC" w:rsidRDefault="00931CCC">
          <w:pPr>
            <w:pStyle w:val="TOC3"/>
            <w:tabs>
              <w:tab w:val="left" w:pos="880"/>
              <w:tab w:val="right" w:leader="dot" w:pos="9016"/>
            </w:tabs>
            <w:rPr>
              <w:noProof/>
              <w:lang w:eastAsia="en-NZ"/>
            </w:rPr>
          </w:pPr>
          <w:hyperlink w:anchor="_Toc51229418" w:history="1">
            <w:r w:rsidRPr="004976BF">
              <w:rPr>
                <w:rStyle w:val="Hyperlink"/>
                <w:rFonts w:ascii="Segoe UI" w:eastAsia="Times New Roman" w:hAnsi="Segoe UI" w:cs="Segoe UI"/>
                <w:noProof/>
              </w:rPr>
              <w:t>1.</w:t>
            </w:r>
            <w:r>
              <w:rPr>
                <w:noProof/>
                <w:lang w:eastAsia="en-NZ"/>
              </w:rPr>
              <w:tab/>
            </w:r>
            <w:r w:rsidRPr="004976BF">
              <w:rPr>
                <w:rStyle w:val="Hyperlink"/>
                <w:rFonts w:ascii="Segoe UI" w:eastAsia="Times New Roman" w:hAnsi="Segoe UI" w:cs="Segoe UI"/>
                <w:noProof/>
              </w:rPr>
              <w:t>For people who completed their 14 days in managed isolation and quarantine, what is the total number of people who tested positive at day 3 of MIQ compared with the number who tested positive at day 12?</w:t>
            </w:r>
            <w:r>
              <w:rPr>
                <w:noProof/>
                <w:webHidden/>
              </w:rPr>
              <w:tab/>
            </w:r>
            <w:r>
              <w:rPr>
                <w:noProof/>
                <w:webHidden/>
              </w:rPr>
              <w:fldChar w:fldCharType="begin"/>
            </w:r>
            <w:r>
              <w:rPr>
                <w:noProof/>
                <w:webHidden/>
              </w:rPr>
              <w:instrText xml:space="preserve"> PAGEREF _Toc51229418 \h </w:instrText>
            </w:r>
            <w:r>
              <w:rPr>
                <w:noProof/>
                <w:webHidden/>
              </w:rPr>
            </w:r>
            <w:r>
              <w:rPr>
                <w:noProof/>
                <w:webHidden/>
              </w:rPr>
              <w:fldChar w:fldCharType="separate"/>
            </w:r>
            <w:r>
              <w:rPr>
                <w:noProof/>
                <w:webHidden/>
              </w:rPr>
              <w:t>2</w:t>
            </w:r>
            <w:r>
              <w:rPr>
                <w:noProof/>
                <w:webHidden/>
              </w:rPr>
              <w:fldChar w:fldCharType="end"/>
            </w:r>
          </w:hyperlink>
        </w:p>
        <w:p w14:paraId="5C497019" w14:textId="0CE1D9AE" w:rsidR="00931CCC" w:rsidRDefault="00931CCC">
          <w:pPr>
            <w:pStyle w:val="TOC3"/>
            <w:tabs>
              <w:tab w:val="left" w:pos="880"/>
              <w:tab w:val="right" w:leader="dot" w:pos="9016"/>
            </w:tabs>
            <w:rPr>
              <w:noProof/>
              <w:lang w:eastAsia="en-NZ"/>
            </w:rPr>
          </w:pPr>
          <w:hyperlink w:anchor="_Toc51229419" w:history="1">
            <w:r w:rsidRPr="004976BF">
              <w:rPr>
                <w:rStyle w:val="Hyperlink"/>
                <w:rFonts w:ascii="Segoe UI" w:eastAsia="Times New Roman" w:hAnsi="Segoe UI" w:cs="Segoe UI"/>
                <w:noProof/>
              </w:rPr>
              <w:t>2.</w:t>
            </w:r>
            <w:r>
              <w:rPr>
                <w:noProof/>
                <w:lang w:eastAsia="en-NZ"/>
              </w:rPr>
              <w:tab/>
            </w:r>
            <w:r w:rsidRPr="004976BF">
              <w:rPr>
                <w:rStyle w:val="Hyperlink"/>
                <w:rFonts w:ascii="Segoe UI" w:hAnsi="Segoe UI" w:cs="Segoe UI"/>
                <w:noProof/>
              </w:rPr>
              <w:t>If the Minister is able to estimate that roughly 95% of people passing through managed isolation facilities have taken a Day 3 test, is the Minister able to provide a rough number as to how many people that is in real terms?</w:t>
            </w:r>
            <w:r>
              <w:rPr>
                <w:noProof/>
                <w:webHidden/>
              </w:rPr>
              <w:tab/>
            </w:r>
            <w:r>
              <w:rPr>
                <w:noProof/>
                <w:webHidden/>
              </w:rPr>
              <w:fldChar w:fldCharType="begin"/>
            </w:r>
            <w:r>
              <w:rPr>
                <w:noProof/>
                <w:webHidden/>
              </w:rPr>
              <w:instrText xml:space="preserve"> PAGEREF _Toc51229419 \h </w:instrText>
            </w:r>
            <w:r>
              <w:rPr>
                <w:noProof/>
                <w:webHidden/>
              </w:rPr>
            </w:r>
            <w:r>
              <w:rPr>
                <w:noProof/>
                <w:webHidden/>
              </w:rPr>
              <w:fldChar w:fldCharType="separate"/>
            </w:r>
            <w:r>
              <w:rPr>
                <w:noProof/>
                <w:webHidden/>
              </w:rPr>
              <w:t>2</w:t>
            </w:r>
            <w:r>
              <w:rPr>
                <w:noProof/>
                <w:webHidden/>
              </w:rPr>
              <w:fldChar w:fldCharType="end"/>
            </w:r>
          </w:hyperlink>
        </w:p>
        <w:p w14:paraId="085E695E" w14:textId="57053EE2" w:rsidR="00931CCC" w:rsidRDefault="00931CCC">
          <w:pPr>
            <w:pStyle w:val="TOC3"/>
            <w:tabs>
              <w:tab w:val="left" w:pos="880"/>
              <w:tab w:val="right" w:leader="dot" w:pos="9016"/>
            </w:tabs>
            <w:rPr>
              <w:noProof/>
              <w:lang w:eastAsia="en-NZ"/>
            </w:rPr>
          </w:pPr>
          <w:hyperlink w:anchor="_Toc51229420" w:history="1">
            <w:r w:rsidRPr="004976BF">
              <w:rPr>
                <w:rStyle w:val="Hyperlink"/>
                <w:rFonts w:ascii="Segoe UI" w:eastAsiaTheme="majorEastAsia" w:hAnsi="Segoe UI" w:cs="Segoe UI"/>
                <w:noProof/>
              </w:rPr>
              <w:t>3.</w:t>
            </w:r>
            <w:r>
              <w:rPr>
                <w:noProof/>
                <w:lang w:eastAsia="en-NZ"/>
              </w:rPr>
              <w:tab/>
            </w:r>
            <w:r w:rsidRPr="004976BF">
              <w:rPr>
                <w:rStyle w:val="Hyperlink"/>
                <w:rFonts w:ascii="Segoe UI" w:eastAsiaTheme="majorEastAsia" w:hAnsi="Segoe UI" w:cs="Segoe UI"/>
                <w:noProof/>
              </w:rPr>
              <w:t>For a worker to enter into a cold zone at a managed isolation facility, should it be mandatory that they have had up to date regular testing, to limit any chance of transmission between staff while they are not wearing PPE?</w:t>
            </w:r>
            <w:r>
              <w:rPr>
                <w:noProof/>
                <w:webHidden/>
              </w:rPr>
              <w:tab/>
            </w:r>
            <w:r>
              <w:rPr>
                <w:noProof/>
                <w:webHidden/>
              </w:rPr>
              <w:fldChar w:fldCharType="begin"/>
            </w:r>
            <w:r>
              <w:rPr>
                <w:noProof/>
                <w:webHidden/>
              </w:rPr>
              <w:instrText xml:space="preserve"> PAGEREF _Toc51229420 \h </w:instrText>
            </w:r>
            <w:r>
              <w:rPr>
                <w:noProof/>
                <w:webHidden/>
              </w:rPr>
            </w:r>
            <w:r>
              <w:rPr>
                <w:noProof/>
                <w:webHidden/>
              </w:rPr>
              <w:fldChar w:fldCharType="separate"/>
            </w:r>
            <w:r>
              <w:rPr>
                <w:noProof/>
                <w:webHidden/>
              </w:rPr>
              <w:t>3</w:t>
            </w:r>
            <w:r>
              <w:rPr>
                <w:noProof/>
                <w:webHidden/>
              </w:rPr>
              <w:fldChar w:fldCharType="end"/>
            </w:r>
          </w:hyperlink>
        </w:p>
        <w:p w14:paraId="28FCFF69" w14:textId="02194222" w:rsidR="00931CCC" w:rsidRDefault="00931CCC">
          <w:pPr>
            <w:pStyle w:val="TOC2"/>
            <w:tabs>
              <w:tab w:val="right" w:leader="dot" w:pos="9016"/>
            </w:tabs>
            <w:rPr>
              <w:noProof/>
              <w:lang w:eastAsia="en-NZ"/>
            </w:rPr>
          </w:pPr>
          <w:hyperlink w:anchor="_Toc51229421" w:history="1">
            <w:r w:rsidRPr="004976BF">
              <w:rPr>
                <w:rStyle w:val="Hyperlink"/>
                <w:rFonts w:ascii="Segoe UI Semibold" w:hAnsi="Segoe UI Semibold" w:cs="Segoe UI Semibold"/>
                <w:noProof/>
              </w:rPr>
              <w:t>Testing</w:t>
            </w:r>
            <w:r>
              <w:rPr>
                <w:noProof/>
                <w:webHidden/>
              </w:rPr>
              <w:tab/>
            </w:r>
            <w:r>
              <w:rPr>
                <w:noProof/>
                <w:webHidden/>
              </w:rPr>
              <w:fldChar w:fldCharType="begin"/>
            </w:r>
            <w:r>
              <w:rPr>
                <w:noProof/>
                <w:webHidden/>
              </w:rPr>
              <w:instrText xml:space="preserve"> PAGEREF _Toc51229421 \h </w:instrText>
            </w:r>
            <w:r>
              <w:rPr>
                <w:noProof/>
                <w:webHidden/>
              </w:rPr>
            </w:r>
            <w:r>
              <w:rPr>
                <w:noProof/>
                <w:webHidden/>
              </w:rPr>
              <w:fldChar w:fldCharType="separate"/>
            </w:r>
            <w:r>
              <w:rPr>
                <w:noProof/>
                <w:webHidden/>
              </w:rPr>
              <w:t>3</w:t>
            </w:r>
            <w:r>
              <w:rPr>
                <w:noProof/>
                <w:webHidden/>
              </w:rPr>
              <w:fldChar w:fldCharType="end"/>
            </w:r>
          </w:hyperlink>
        </w:p>
        <w:p w14:paraId="0CDF24D5" w14:textId="22A4EC58" w:rsidR="00931CCC" w:rsidRDefault="00931CCC">
          <w:pPr>
            <w:pStyle w:val="TOC3"/>
            <w:tabs>
              <w:tab w:val="left" w:pos="880"/>
              <w:tab w:val="right" w:leader="dot" w:pos="9016"/>
            </w:tabs>
            <w:rPr>
              <w:noProof/>
              <w:lang w:eastAsia="en-NZ"/>
            </w:rPr>
          </w:pPr>
          <w:hyperlink w:anchor="_Toc51229422" w:history="1">
            <w:r w:rsidRPr="004976BF">
              <w:rPr>
                <w:rStyle w:val="Hyperlink"/>
                <w:rFonts w:ascii="Segoe UI" w:eastAsia="Times New Roman" w:hAnsi="Segoe UI" w:cs="Segoe UI"/>
                <w:noProof/>
              </w:rPr>
              <w:t>4.</w:t>
            </w:r>
            <w:r>
              <w:rPr>
                <w:noProof/>
                <w:lang w:eastAsia="en-NZ"/>
              </w:rPr>
              <w:tab/>
            </w:r>
            <w:r w:rsidRPr="004976BF">
              <w:rPr>
                <w:rStyle w:val="Hyperlink"/>
                <w:rFonts w:ascii="Segoe UI" w:hAnsi="Segoe UI" w:cs="Segoe UI"/>
                <w:noProof/>
              </w:rPr>
              <w:t>At what percentage compliance for day 3 testing would it be made compulsory?</w:t>
            </w:r>
            <w:r>
              <w:rPr>
                <w:noProof/>
                <w:webHidden/>
              </w:rPr>
              <w:tab/>
            </w:r>
            <w:r>
              <w:rPr>
                <w:noProof/>
                <w:webHidden/>
              </w:rPr>
              <w:fldChar w:fldCharType="begin"/>
            </w:r>
            <w:r>
              <w:rPr>
                <w:noProof/>
                <w:webHidden/>
              </w:rPr>
              <w:instrText xml:space="preserve"> PAGEREF _Toc51229422 \h </w:instrText>
            </w:r>
            <w:r>
              <w:rPr>
                <w:noProof/>
                <w:webHidden/>
              </w:rPr>
            </w:r>
            <w:r>
              <w:rPr>
                <w:noProof/>
                <w:webHidden/>
              </w:rPr>
              <w:fldChar w:fldCharType="separate"/>
            </w:r>
            <w:r>
              <w:rPr>
                <w:noProof/>
                <w:webHidden/>
              </w:rPr>
              <w:t>3</w:t>
            </w:r>
            <w:r>
              <w:rPr>
                <w:noProof/>
                <w:webHidden/>
              </w:rPr>
              <w:fldChar w:fldCharType="end"/>
            </w:r>
          </w:hyperlink>
        </w:p>
        <w:p w14:paraId="6794B001" w14:textId="4FD3D424" w:rsidR="00931CCC" w:rsidRDefault="00931CCC">
          <w:pPr>
            <w:pStyle w:val="TOC3"/>
            <w:tabs>
              <w:tab w:val="left" w:pos="880"/>
              <w:tab w:val="right" w:leader="dot" w:pos="9016"/>
            </w:tabs>
            <w:rPr>
              <w:noProof/>
              <w:lang w:eastAsia="en-NZ"/>
            </w:rPr>
          </w:pPr>
          <w:hyperlink w:anchor="_Toc51229423" w:history="1">
            <w:r w:rsidRPr="004976BF">
              <w:rPr>
                <w:rStyle w:val="Hyperlink"/>
                <w:rFonts w:ascii="Segoe UI" w:eastAsia="Times New Roman" w:hAnsi="Segoe UI" w:cs="Segoe UI"/>
                <w:noProof/>
              </w:rPr>
              <w:t>5.</w:t>
            </w:r>
            <w:r>
              <w:rPr>
                <w:noProof/>
                <w:lang w:eastAsia="en-NZ"/>
              </w:rPr>
              <w:tab/>
            </w:r>
            <w:r w:rsidRPr="004976BF">
              <w:rPr>
                <w:rStyle w:val="Hyperlink"/>
                <w:rFonts w:ascii="Segoe UI" w:hAnsi="Segoe UI" w:cs="Segoe UI"/>
                <w:noProof/>
              </w:rPr>
              <w:t>How many adults in managed isolation have not had their day 3 test from when the policy came into effect on June 8?</w:t>
            </w:r>
            <w:r>
              <w:rPr>
                <w:noProof/>
                <w:webHidden/>
              </w:rPr>
              <w:tab/>
            </w:r>
            <w:r>
              <w:rPr>
                <w:noProof/>
                <w:webHidden/>
              </w:rPr>
              <w:fldChar w:fldCharType="begin"/>
            </w:r>
            <w:r>
              <w:rPr>
                <w:noProof/>
                <w:webHidden/>
              </w:rPr>
              <w:instrText xml:space="preserve"> PAGEREF _Toc51229423 \h </w:instrText>
            </w:r>
            <w:r>
              <w:rPr>
                <w:noProof/>
                <w:webHidden/>
              </w:rPr>
            </w:r>
            <w:r>
              <w:rPr>
                <w:noProof/>
                <w:webHidden/>
              </w:rPr>
              <w:fldChar w:fldCharType="separate"/>
            </w:r>
            <w:r>
              <w:rPr>
                <w:noProof/>
                <w:webHidden/>
              </w:rPr>
              <w:t>3</w:t>
            </w:r>
            <w:r>
              <w:rPr>
                <w:noProof/>
                <w:webHidden/>
              </w:rPr>
              <w:fldChar w:fldCharType="end"/>
            </w:r>
          </w:hyperlink>
        </w:p>
        <w:p w14:paraId="4E311225" w14:textId="6ED565C4" w:rsidR="00931CCC" w:rsidRDefault="00931CCC">
          <w:pPr>
            <w:pStyle w:val="TOC3"/>
            <w:tabs>
              <w:tab w:val="left" w:pos="880"/>
              <w:tab w:val="right" w:leader="dot" w:pos="9016"/>
            </w:tabs>
            <w:rPr>
              <w:noProof/>
              <w:lang w:eastAsia="en-NZ"/>
            </w:rPr>
          </w:pPr>
          <w:hyperlink w:anchor="_Toc51229424" w:history="1">
            <w:r w:rsidRPr="004976BF">
              <w:rPr>
                <w:rStyle w:val="Hyperlink"/>
                <w:rFonts w:ascii="Segoe UI" w:eastAsia="Times New Roman" w:hAnsi="Segoe UI" w:cs="Segoe UI"/>
                <w:noProof/>
              </w:rPr>
              <w:t>6.</w:t>
            </w:r>
            <w:r>
              <w:rPr>
                <w:noProof/>
                <w:lang w:eastAsia="en-NZ"/>
              </w:rPr>
              <w:tab/>
            </w:r>
            <w:r w:rsidRPr="004976BF">
              <w:rPr>
                <w:rStyle w:val="Hyperlink"/>
                <w:rFonts w:ascii="Segoe UI" w:hAnsi="Segoe UI" w:cs="Segoe UI"/>
                <w:noProof/>
              </w:rPr>
              <w:t>Did laboratory turnaround times in Auckland at the start of the 2nd spike, meet all the relevant criteria of the Verrall report?</w:t>
            </w:r>
            <w:r>
              <w:rPr>
                <w:noProof/>
                <w:webHidden/>
              </w:rPr>
              <w:tab/>
            </w:r>
            <w:r>
              <w:rPr>
                <w:noProof/>
                <w:webHidden/>
              </w:rPr>
              <w:fldChar w:fldCharType="begin"/>
            </w:r>
            <w:r>
              <w:rPr>
                <w:noProof/>
                <w:webHidden/>
              </w:rPr>
              <w:instrText xml:space="preserve"> PAGEREF _Toc51229424 \h </w:instrText>
            </w:r>
            <w:r>
              <w:rPr>
                <w:noProof/>
                <w:webHidden/>
              </w:rPr>
            </w:r>
            <w:r>
              <w:rPr>
                <w:noProof/>
                <w:webHidden/>
              </w:rPr>
              <w:fldChar w:fldCharType="separate"/>
            </w:r>
            <w:r>
              <w:rPr>
                <w:noProof/>
                <w:webHidden/>
              </w:rPr>
              <w:t>4</w:t>
            </w:r>
            <w:r>
              <w:rPr>
                <w:noProof/>
                <w:webHidden/>
              </w:rPr>
              <w:fldChar w:fldCharType="end"/>
            </w:r>
          </w:hyperlink>
        </w:p>
        <w:p w14:paraId="4B91F1FA" w14:textId="321FBDD7" w:rsidR="00931CCC" w:rsidRDefault="00931CCC">
          <w:pPr>
            <w:pStyle w:val="TOC3"/>
            <w:tabs>
              <w:tab w:val="left" w:pos="880"/>
              <w:tab w:val="right" w:leader="dot" w:pos="9016"/>
            </w:tabs>
            <w:rPr>
              <w:noProof/>
              <w:lang w:eastAsia="en-NZ"/>
            </w:rPr>
          </w:pPr>
          <w:hyperlink w:anchor="_Toc51229425" w:history="1">
            <w:r w:rsidRPr="004976BF">
              <w:rPr>
                <w:rStyle w:val="Hyperlink"/>
                <w:rFonts w:ascii="Segoe UI" w:hAnsi="Segoe UI" w:cs="Segoe UI"/>
                <w:noProof/>
              </w:rPr>
              <w:t>7.</w:t>
            </w:r>
            <w:r>
              <w:rPr>
                <w:noProof/>
                <w:lang w:eastAsia="en-NZ"/>
              </w:rPr>
              <w:tab/>
            </w:r>
            <w:r w:rsidRPr="004976BF">
              <w:rPr>
                <w:rStyle w:val="Hyperlink"/>
                <w:rFonts w:ascii="Segoe UI" w:hAnsi="Segoe UI" w:cs="Segoe UI"/>
                <w:noProof/>
              </w:rPr>
              <w:t>Did laboratory processing times in Auckland cause any delays in contact tracing the start of this second spike?</w:t>
            </w:r>
            <w:r>
              <w:rPr>
                <w:noProof/>
                <w:webHidden/>
              </w:rPr>
              <w:tab/>
            </w:r>
            <w:r>
              <w:rPr>
                <w:noProof/>
                <w:webHidden/>
              </w:rPr>
              <w:fldChar w:fldCharType="begin"/>
            </w:r>
            <w:r>
              <w:rPr>
                <w:noProof/>
                <w:webHidden/>
              </w:rPr>
              <w:instrText xml:space="preserve"> PAGEREF _Toc51229425 \h </w:instrText>
            </w:r>
            <w:r>
              <w:rPr>
                <w:noProof/>
                <w:webHidden/>
              </w:rPr>
            </w:r>
            <w:r>
              <w:rPr>
                <w:noProof/>
                <w:webHidden/>
              </w:rPr>
              <w:fldChar w:fldCharType="separate"/>
            </w:r>
            <w:r>
              <w:rPr>
                <w:noProof/>
                <w:webHidden/>
              </w:rPr>
              <w:t>4</w:t>
            </w:r>
            <w:r>
              <w:rPr>
                <w:noProof/>
                <w:webHidden/>
              </w:rPr>
              <w:fldChar w:fldCharType="end"/>
            </w:r>
          </w:hyperlink>
        </w:p>
        <w:p w14:paraId="38FCEA2C" w14:textId="339A4F4D" w:rsidR="00931CCC" w:rsidRDefault="00931CCC">
          <w:pPr>
            <w:pStyle w:val="TOC2"/>
            <w:tabs>
              <w:tab w:val="right" w:leader="dot" w:pos="9016"/>
            </w:tabs>
            <w:rPr>
              <w:noProof/>
              <w:lang w:eastAsia="en-NZ"/>
            </w:rPr>
          </w:pPr>
          <w:hyperlink w:anchor="_Toc51229426" w:history="1">
            <w:r w:rsidRPr="004976BF">
              <w:rPr>
                <w:rStyle w:val="Hyperlink"/>
                <w:rFonts w:ascii="Segoe UI Semibold" w:hAnsi="Segoe UI Semibold" w:cs="Segoe UI Semibold"/>
                <w:noProof/>
              </w:rPr>
              <w:t>Elective Surgery</w:t>
            </w:r>
            <w:r>
              <w:rPr>
                <w:noProof/>
                <w:webHidden/>
              </w:rPr>
              <w:tab/>
            </w:r>
            <w:r>
              <w:rPr>
                <w:noProof/>
                <w:webHidden/>
              </w:rPr>
              <w:fldChar w:fldCharType="begin"/>
            </w:r>
            <w:r>
              <w:rPr>
                <w:noProof/>
                <w:webHidden/>
              </w:rPr>
              <w:instrText xml:space="preserve"> PAGEREF _Toc51229426 \h </w:instrText>
            </w:r>
            <w:r>
              <w:rPr>
                <w:noProof/>
                <w:webHidden/>
              </w:rPr>
            </w:r>
            <w:r>
              <w:rPr>
                <w:noProof/>
                <w:webHidden/>
              </w:rPr>
              <w:fldChar w:fldCharType="separate"/>
            </w:r>
            <w:r>
              <w:rPr>
                <w:noProof/>
                <w:webHidden/>
              </w:rPr>
              <w:t>5</w:t>
            </w:r>
            <w:r>
              <w:rPr>
                <w:noProof/>
                <w:webHidden/>
              </w:rPr>
              <w:fldChar w:fldCharType="end"/>
            </w:r>
          </w:hyperlink>
        </w:p>
        <w:p w14:paraId="59B07878" w14:textId="481961B8" w:rsidR="00931CCC" w:rsidRDefault="00931CCC">
          <w:pPr>
            <w:pStyle w:val="TOC3"/>
            <w:tabs>
              <w:tab w:val="left" w:pos="880"/>
              <w:tab w:val="right" w:leader="dot" w:pos="9016"/>
            </w:tabs>
            <w:rPr>
              <w:noProof/>
              <w:lang w:eastAsia="en-NZ"/>
            </w:rPr>
          </w:pPr>
          <w:hyperlink w:anchor="_Toc51229427" w:history="1">
            <w:r w:rsidRPr="004976BF">
              <w:rPr>
                <w:rStyle w:val="Hyperlink"/>
                <w:rFonts w:ascii="Segoe UI" w:hAnsi="Segoe UI" w:cs="Segoe UI"/>
                <w:noProof/>
                <w:lang w:val="en-US"/>
              </w:rPr>
              <w:t>8.</w:t>
            </w:r>
            <w:r>
              <w:rPr>
                <w:noProof/>
                <w:lang w:eastAsia="en-NZ"/>
              </w:rPr>
              <w:tab/>
            </w:r>
            <w:r w:rsidRPr="004976BF">
              <w:rPr>
                <w:rStyle w:val="Hyperlink"/>
                <w:rFonts w:ascii="Segoe UI" w:hAnsi="Segoe UI" w:cs="Segoe UI"/>
                <w:noProof/>
              </w:rPr>
              <w:t>What was the elective surgery backlog in Auckland on August 10</w:t>
            </w:r>
            <w:r w:rsidRPr="004976BF">
              <w:rPr>
                <w:rStyle w:val="Hyperlink"/>
                <w:rFonts w:ascii="Segoe UI" w:hAnsi="Segoe UI" w:cs="Segoe UI"/>
                <w:noProof/>
                <w:vertAlign w:val="superscript"/>
              </w:rPr>
              <w:t>th</w:t>
            </w:r>
            <w:r w:rsidRPr="004976BF">
              <w:rPr>
                <w:rStyle w:val="Hyperlink"/>
                <w:rFonts w:ascii="Segoe UI" w:hAnsi="Segoe UI" w:cs="Segoe UI"/>
                <w:noProof/>
              </w:rPr>
              <w:t xml:space="preserve"> and how has the second lockdown affected this?</w:t>
            </w:r>
            <w:r>
              <w:rPr>
                <w:noProof/>
                <w:webHidden/>
              </w:rPr>
              <w:tab/>
            </w:r>
            <w:r>
              <w:rPr>
                <w:noProof/>
                <w:webHidden/>
              </w:rPr>
              <w:fldChar w:fldCharType="begin"/>
            </w:r>
            <w:r>
              <w:rPr>
                <w:noProof/>
                <w:webHidden/>
              </w:rPr>
              <w:instrText xml:space="preserve"> PAGEREF _Toc51229427 \h </w:instrText>
            </w:r>
            <w:r>
              <w:rPr>
                <w:noProof/>
                <w:webHidden/>
              </w:rPr>
            </w:r>
            <w:r>
              <w:rPr>
                <w:noProof/>
                <w:webHidden/>
              </w:rPr>
              <w:fldChar w:fldCharType="separate"/>
            </w:r>
            <w:r>
              <w:rPr>
                <w:noProof/>
                <w:webHidden/>
              </w:rPr>
              <w:t>5</w:t>
            </w:r>
            <w:r>
              <w:rPr>
                <w:noProof/>
                <w:webHidden/>
              </w:rPr>
              <w:fldChar w:fldCharType="end"/>
            </w:r>
          </w:hyperlink>
        </w:p>
        <w:p w14:paraId="620A6F4E" w14:textId="0881FDC6" w:rsidR="00931CCC" w:rsidRDefault="00931CCC">
          <w:pPr>
            <w:pStyle w:val="TOC3"/>
            <w:tabs>
              <w:tab w:val="left" w:pos="880"/>
              <w:tab w:val="right" w:leader="dot" w:pos="9016"/>
            </w:tabs>
            <w:rPr>
              <w:noProof/>
              <w:lang w:eastAsia="en-NZ"/>
            </w:rPr>
          </w:pPr>
          <w:hyperlink w:anchor="_Toc51229428" w:history="1">
            <w:r w:rsidRPr="004976BF">
              <w:rPr>
                <w:rStyle w:val="Hyperlink"/>
                <w:rFonts w:ascii="Segoe UI" w:hAnsi="Segoe UI" w:cs="Segoe UI"/>
                <w:noProof/>
                <w:lang w:val="en-US"/>
              </w:rPr>
              <w:t>9.</w:t>
            </w:r>
            <w:r>
              <w:rPr>
                <w:noProof/>
                <w:lang w:eastAsia="en-NZ"/>
              </w:rPr>
              <w:tab/>
            </w:r>
            <w:r w:rsidRPr="004976BF">
              <w:rPr>
                <w:rStyle w:val="Hyperlink"/>
                <w:rFonts w:ascii="Segoe UI" w:hAnsi="Segoe UI" w:cs="Segoe UI"/>
                <w:noProof/>
              </w:rPr>
              <w:t>What is the estimated time to clear this backlog?</w:t>
            </w:r>
            <w:r>
              <w:rPr>
                <w:noProof/>
                <w:webHidden/>
              </w:rPr>
              <w:tab/>
            </w:r>
            <w:r>
              <w:rPr>
                <w:noProof/>
                <w:webHidden/>
              </w:rPr>
              <w:fldChar w:fldCharType="begin"/>
            </w:r>
            <w:r>
              <w:rPr>
                <w:noProof/>
                <w:webHidden/>
              </w:rPr>
              <w:instrText xml:space="preserve"> PAGEREF _Toc51229428 \h </w:instrText>
            </w:r>
            <w:r>
              <w:rPr>
                <w:noProof/>
                <w:webHidden/>
              </w:rPr>
            </w:r>
            <w:r>
              <w:rPr>
                <w:noProof/>
                <w:webHidden/>
              </w:rPr>
              <w:fldChar w:fldCharType="separate"/>
            </w:r>
            <w:r>
              <w:rPr>
                <w:noProof/>
                <w:webHidden/>
              </w:rPr>
              <w:t>5</w:t>
            </w:r>
            <w:r>
              <w:rPr>
                <w:noProof/>
                <w:webHidden/>
              </w:rPr>
              <w:fldChar w:fldCharType="end"/>
            </w:r>
          </w:hyperlink>
        </w:p>
        <w:p w14:paraId="2EE087E2" w14:textId="44601C4F" w:rsidR="00802A08" w:rsidRDefault="00802A08" w:rsidP="00802A08">
          <w:pPr>
            <w:spacing w:before="120" w:after="120"/>
          </w:pPr>
          <w:r>
            <w:rPr>
              <w:b/>
              <w:bCs/>
              <w:noProof/>
            </w:rPr>
            <w:fldChar w:fldCharType="end"/>
          </w:r>
        </w:p>
      </w:sdtContent>
    </w:sdt>
    <w:p w14:paraId="76C9AEB5" w14:textId="77777777" w:rsidR="00802A08" w:rsidRPr="00802A08" w:rsidRDefault="00802A08" w:rsidP="00802A08">
      <w:pPr>
        <w:spacing w:before="120" w:after="120"/>
      </w:pPr>
      <w:bookmarkStart w:id="0" w:name="_GoBack"/>
      <w:bookmarkEnd w:id="0"/>
    </w:p>
    <w:p w14:paraId="32404C24" w14:textId="77777777" w:rsidR="00802A08" w:rsidRDefault="00802A08">
      <w:pPr>
        <w:rPr>
          <w:rFonts w:ascii="Segoe UI Semibold" w:eastAsiaTheme="majorEastAsia" w:hAnsi="Segoe UI Semibold" w:cs="Segoe UI Semibold"/>
          <w:color w:val="262626" w:themeColor="text1" w:themeTint="D9"/>
          <w:sz w:val="28"/>
          <w:szCs w:val="28"/>
        </w:rPr>
      </w:pPr>
      <w:r>
        <w:rPr>
          <w:rFonts w:ascii="Segoe UI Semibold" w:hAnsi="Segoe UI Semibold" w:cs="Segoe UI Semibold"/>
        </w:rPr>
        <w:br w:type="page"/>
      </w:r>
    </w:p>
    <w:p w14:paraId="11B9B5E3" w14:textId="0DDF2B3F" w:rsidR="004C04EB" w:rsidRDefault="00802A08" w:rsidP="009C1BF2">
      <w:pPr>
        <w:pStyle w:val="Heading2"/>
        <w:spacing w:before="120" w:after="120"/>
        <w:rPr>
          <w:rFonts w:ascii="Segoe UI Semibold" w:hAnsi="Segoe UI Semibold" w:cs="Segoe UI Semibold"/>
        </w:rPr>
      </w:pPr>
      <w:bookmarkStart w:id="1" w:name="_Toc51229417"/>
      <w:r w:rsidRPr="00802A08">
        <w:rPr>
          <w:rFonts w:ascii="Segoe UI Semibold" w:hAnsi="Segoe UI Semibold" w:cs="Segoe UI Semibold"/>
        </w:rPr>
        <w:lastRenderedPageBreak/>
        <w:t>MIQ</w:t>
      </w:r>
      <w:bookmarkEnd w:id="1"/>
    </w:p>
    <w:tbl>
      <w:tblPr>
        <w:tblStyle w:val="TableGrid"/>
        <w:tblW w:w="8931" w:type="dxa"/>
        <w:tblInd w:w="-5" w:type="dxa"/>
        <w:tblLook w:val="04A0" w:firstRow="1" w:lastRow="0" w:firstColumn="1" w:lastColumn="0" w:noHBand="0" w:noVBand="1"/>
      </w:tblPr>
      <w:tblGrid>
        <w:gridCol w:w="8931"/>
      </w:tblGrid>
      <w:tr w:rsidR="009C1BF2" w:rsidRPr="00DB2C44" w14:paraId="79537F20" w14:textId="77777777" w:rsidTr="007B1AEF">
        <w:tc>
          <w:tcPr>
            <w:tcW w:w="8931" w:type="dxa"/>
            <w:shd w:val="clear" w:color="auto" w:fill="BFBFBF" w:themeFill="background1" w:themeFillShade="BF"/>
          </w:tcPr>
          <w:p w14:paraId="7789B78C" w14:textId="77777777" w:rsidR="009C1BF2" w:rsidRPr="00DB2C44" w:rsidRDefault="009C1BF2" w:rsidP="007B1AEF">
            <w:pPr>
              <w:pStyle w:val="Heading3"/>
              <w:numPr>
                <w:ilvl w:val="0"/>
                <w:numId w:val="1"/>
              </w:numPr>
              <w:spacing w:before="120" w:after="120"/>
              <w:outlineLvl w:val="2"/>
              <w:rPr>
                <w:rFonts w:ascii="Segoe UI" w:eastAsia="Times New Roman" w:hAnsi="Segoe UI" w:cs="Segoe UI"/>
              </w:rPr>
            </w:pPr>
            <w:bookmarkStart w:id="2" w:name="_Toc50223606"/>
            <w:bookmarkStart w:id="3" w:name="_Toc51140047"/>
            <w:bookmarkStart w:id="4" w:name="_Toc51229418"/>
            <w:r w:rsidRPr="00DB2C44">
              <w:rPr>
                <w:rFonts w:ascii="Segoe UI" w:eastAsia="Times New Roman" w:hAnsi="Segoe UI" w:cs="Segoe UI"/>
                <w:color w:val="auto"/>
              </w:rPr>
              <w:t>For people who completed their 14 days in managed isolation and quarantine, what is the total number of people who tested positive at day 3 of MIQ compared with the number who tested positive at day 12?</w:t>
            </w:r>
            <w:bookmarkEnd w:id="2"/>
            <w:bookmarkEnd w:id="3"/>
            <w:bookmarkEnd w:id="4"/>
          </w:p>
        </w:tc>
      </w:tr>
    </w:tbl>
    <w:p w14:paraId="1340E5D7" w14:textId="77777777" w:rsidR="009C1BF2" w:rsidRPr="00DB2C44" w:rsidRDefault="009C1BF2" w:rsidP="009C1BF2">
      <w:pPr>
        <w:pStyle w:val="ListParagraph"/>
        <w:spacing w:before="120" w:after="120"/>
        <w:ind w:left="0"/>
        <w:rPr>
          <w:rFonts w:ascii="Segoe UI" w:hAnsi="Segoe UI" w:cs="Segoe UI"/>
        </w:rPr>
      </w:pPr>
      <w:r w:rsidRPr="00DB2C44">
        <w:rPr>
          <w:rFonts w:ascii="Segoe UI" w:hAnsi="Segoe UI" w:cs="Segoe UI"/>
        </w:rPr>
        <w:t>Based on records in the NCTS Border Health Record and lab test result data for the period of 1 August to 4 September 2020:</w:t>
      </w:r>
    </w:p>
    <w:p w14:paraId="3BBE1C48" w14:textId="77777777" w:rsidR="009C1BF2" w:rsidRPr="00DB2C44" w:rsidRDefault="009C1BF2" w:rsidP="009C1BF2">
      <w:pPr>
        <w:pStyle w:val="ListParagraph"/>
        <w:spacing w:before="120" w:after="120"/>
        <w:ind w:left="0"/>
        <w:rPr>
          <w:rFonts w:ascii="Segoe UI" w:hAnsi="Segoe UI" w:cs="Segoe UI"/>
        </w:rPr>
      </w:pPr>
    </w:p>
    <w:p w14:paraId="074FD252" w14:textId="77777777" w:rsidR="009C1BF2" w:rsidRPr="00DB2C44" w:rsidRDefault="009C1BF2" w:rsidP="009C1BF2">
      <w:pPr>
        <w:pStyle w:val="ListParagraph"/>
        <w:numPr>
          <w:ilvl w:val="0"/>
          <w:numId w:val="2"/>
        </w:numPr>
        <w:spacing w:before="120" w:after="120"/>
        <w:ind w:left="720"/>
        <w:rPr>
          <w:rFonts w:ascii="Segoe UI" w:hAnsi="Segoe UI" w:cs="Segoe UI"/>
        </w:rPr>
      </w:pPr>
      <w:r w:rsidRPr="00DB2C44">
        <w:rPr>
          <w:rFonts w:ascii="Segoe UI" w:hAnsi="Segoe UI" w:cs="Segoe UI"/>
        </w:rPr>
        <w:t>39 returnees who have been in MIQ facilities have tested positive.</w:t>
      </w:r>
    </w:p>
    <w:p w14:paraId="1C44574D" w14:textId="77777777" w:rsidR="009C1BF2" w:rsidRPr="00DB2C44" w:rsidRDefault="009C1BF2" w:rsidP="009C1BF2">
      <w:pPr>
        <w:pStyle w:val="ListParagraph"/>
        <w:numPr>
          <w:ilvl w:val="0"/>
          <w:numId w:val="2"/>
        </w:numPr>
        <w:spacing w:before="120" w:after="120"/>
        <w:ind w:left="720"/>
        <w:rPr>
          <w:rFonts w:ascii="Segoe UI" w:hAnsi="Segoe UI" w:cs="Segoe UI"/>
        </w:rPr>
      </w:pPr>
      <w:r w:rsidRPr="00DB2C44">
        <w:rPr>
          <w:rFonts w:ascii="Segoe UI" w:hAnsi="Segoe UI" w:cs="Segoe UI"/>
        </w:rPr>
        <w:t>30 tested positive as part of Day 3 testing</w:t>
      </w:r>
    </w:p>
    <w:p w14:paraId="04D5F1B4" w14:textId="77777777" w:rsidR="009C1BF2" w:rsidRPr="008547A6" w:rsidRDefault="009C1BF2" w:rsidP="009C1BF2">
      <w:pPr>
        <w:pStyle w:val="ListParagraph"/>
        <w:numPr>
          <w:ilvl w:val="0"/>
          <w:numId w:val="2"/>
        </w:numPr>
        <w:spacing w:before="120" w:after="120"/>
        <w:ind w:left="720"/>
      </w:pPr>
      <w:r w:rsidRPr="008547A6">
        <w:rPr>
          <w:rFonts w:ascii="Segoe UI" w:hAnsi="Segoe UI" w:cs="Segoe UI"/>
        </w:rPr>
        <w:t>9 tested positive as part of Day 12 testing.</w:t>
      </w:r>
    </w:p>
    <w:p w14:paraId="1EA639DE" w14:textId="77777777" w:rsidR="009C1BF2" w:rsidRPr="008547A6" w:rsidRDefault="009C1BF2" w:rsidP="009C1BF2">
      <w:pPr>
        <w:pStyle w:val="ListParagraph"/>
        <w:spacing w:before="120" w:after="120"/>
        <w:ind w:left="0"/>
        <w:rPr>
          <w:rFonts w:ascii="Segoe UI" w:hAnsi="Segoe UI" w:cs="Segoe UI"/>
        </w:rPr>
      </w:pPr>
    </w:p>
    <w:p w14:paraId="6A06CB51" w14:textId="77777777" w:rsidR="009C1BF2" w:rsidRPr="008547A6" w:rsidRDefault="009C1BF2" w:rsidP="009C1BF2">
      <w:pPr>
        <w:pStyle w:val="ListParagraph"/>
        <w:spacing w:before="120" w:after="120"/>
        <w:ind w:left="0"/>
        <w:rPr>
          <w:rFonts w:ascii="Segoe UI" w:hAnsi="Segoe UI" w:cs="Segoe UI"/>
        </w:rPr>
      </w:pPr>
      <w:r w:rsidRPr="008547A6">
        <w:rPr>
          <w:rFonts w:ascii="Segoe UI" w:hAnsi="Segoe UI" w:cs="Segoe UI"/>
        </w:rPr>
        <w:t>1 August 2020 represents a time from which all MIQs are using the NCTS Border system, as MIQ facilities were being onboarded on the Border system in NCTS throughout July. Please note that these figures exclude the community cases that have been transferred to MIQ facilities.</w:t>
      </w:r>
    </w:p>
    <w:p w14:paraId="21B2E22E" w14:textId="77777777" w:rsidR="009C1BF2" w:rsidRDefault="009C1BF2" w:rsidP="009C1BF2">
      <w:pPr>
        <w:spacing w:before="120" w:after="120"/>
        <w:rPr>
          <w:rFonts w:ascii="Segoe UI" w:hAnsi="Segoe UI" w:cs="Segoe UI"/>
        </w:rPr>
      </w:pPr>
      <w:r w:rsidRPr="008547A6">
        <w:rPr>
          <w:rFonts w:ascii="Segoe UI" w:hAnsi="Segoe UI" w:cs="Segoe UI"/>
        </w:rPr>
        <w:t>In almost all cases a negative COVID-19 test and confirmation from a health practitioner that a guest has a low risk of having or transmitting COVID-19 are needed before they can leave the facility.</w:t>
      </w:r>
      <w:r w:rsidRPr="00490B4A">
        <w:rPr>
          <w:rFonts w:ascii="Segoe UI" w:hAnsi="Segoe UI" w:cs="Segoe UI"/>
        </w:rPr>
        <w:t xml:space="preserve"> </w:t>
      </w:r>
    </w:p>
    <w:p w14:paraId="669BCCEF" w14:textId="77777777" w:rsidR="009C1BF2" w:rsidRPr="00490B4A" w:rsidRDefault="009C1BF2" w:rsidP="009C1BF2">
      <w:pPr>
        <w:spacing w:before="120" w:after="120"/>
        <w:rPr>
          <w:rFonts w:ascii="Segoe UI" w:hAnsi="Segoe UI" w:cs="Segoe UI"/>
        </w:rPr>
      </w:pPr>
    </w:p>
    <w:tbl>
      <w:tblPr>
        <w:tblStyle w:val="TableGrid"/>
        <w:tblW w:w="8931" w:type="dxa"/>
        <w:tblInd w:w="-5" w:type="dxa"/>
        <w:tblLook w:val="04A0" w:firstRow="1" w:lastRow="0" w:firstColumn="1" w:lastColumn="0" w:noHBand="0" w:noVBand="1"/>
      </w:tblPr>
      <w:tblGrid>
        <w:gridCol w:w="8931"/>
      </w:tblGrid>
      <w:tr w:rsidR="009C1BF2" w:rsidRPr="00F47079" w14:paraId="02A28F88" w14:textId="77777777" w:rsidTr="007B1AEF">
        <w:tc>
          <w:tcPr>
            <w:tcW w:w="8931" w:type="dxa"/>
            <w:shd w:val="clear" w:color="auto" w:fill="BFBFBF" w:themeFill="background1" w:themeFillShade="BF"/>
          </w:tcPr>
          <w:p w14:paraId="0211DEF2" w14:textId="77777777" w:rsidR="009C1BF2" w:rsidRPr="00F47079" w:rsidRDefault="009C1BF2" w:rsidP="007B1AEF">
            <w:pPr>
              <w:pStyle w:val="Heading3"/>
              <w:numPr>
                <w:ilvl w:val="0"/>
                <w:numId w:val="1"/>
              </w:numPr>
              <w:spacing w:before="120" w:after="120"/>
              <w:outlineLvl w:val="2"/>
              <w:rPr>
                <w:rFonts w:ascii="Segoe UI" w:eastAsia="Times New Roman" w:hAnsi="Segoe UI" w:cs="Segoe UI"/>
              </w:rPr>
            </w:pPr>
            <w:bookmarkStart w:id="5" w:name="_Toc50223607"/>
            <w:bookmarkStart w:id="6" w:name="_Toc51140048"/>
            <w:bookmarkStart w:id="7" w:name="_Toc51229419"/>
            <w:r w:rsidRPr="00F47079">
              <w:rPr>
                <w:rFonts w:ascii="Segoe UI" w:hAnsi="Segoe UI" w:cs="Segoe UI"/>
              </w:rPr>
              <w:t xml:space="preserve">If the Minister </w:t>
            </w:r>
            <w:proofErr w:type="gramStart"/>
            <w:r w:rsidRPr="00F47079">
              <w:rPr>
                <w:rFonts w:ascii="Segoe UI" w:hAnsi="Segoe UI" w:cs="Segoe UI"/>
              </w:rPr>
              <w:t>is able to</w:t>
            </w:r>
            <w:proofErr w:type="gramEnd"/>
            <w:r w:rsidRPr="00F47079">
              <w:rPr>
                <w:rFonts w:ascii="Segoe UI" w:hAnsi="Segoe UI" w:cs="Segoe UI"/>
              </w:rPr>
              <w:t xml:space="preserve"> estimate that roughly 95% of people passing through managed isolation facilities have taken a Day 3 test, is the Minister able to provide a rough number as to how many people that is in real terms?</w:t>
            </w:r>
            <w:bookmarkEnd w:id="5"/>
            <w:bookmarkEnd w:id="6"/>
            <w:bookmarkEnd w:id="7"/>
          </w:p>
        </w:tc>
      </w:tr>
    </w:tbl>
    <w:p w14:paraId="31690EEE" w14:textId="77777777" w:rsidR="009C1BF2" w:rsidRPr="00F47079" w:rsidRDefault="009C1BF2" w:rsidP="009C1BF2">
      <w:pPr>
        <w:pStyle w:val="ListParagraph"/>
        <w:spacing w:before="120" w:after="120"/>
        <w:ind w:left="0"/>
        <w:rPr>
          <w:rFonts w:ascii="Segoe UI" w:hAnsi="Segoe UI" w:cs="Segoe UI"/>
        </w:rPr>
      </w:pPr>
      <w:r w:rsidRPr="00F47079">
        <w:rPr>
          <w:rFonts w:ascii="Segoe UI" w:hAnsi="Segoe UI" w:cs="Segoe UI"/>
        </w:rPr>
        <w:t xml:space="preserve">For the period of 1 August to 4 September 2020, 12,253 of the 12,753 returnees who have completed their stay at managed isolation and quarantine facilities completed a Day 3 test, which is 96.1% of the total number.    </w:t>
      </w:r>
    </w:p>
    <w:p w14:paraId="266E859E" w14:textId="77777777" w:rsidR="009C1BF2" w:rsidRPr="00F47079" w:rsidRDefault="009C1BF2" w:rsidP="009C1BF2">
      <w:pPr>
        <w:pStyle w:val="ListParagraph"/>
        <w:spacing w:before="120" w:after="120"/>
        <w:ind w:left="0"/>
        <w:rPr>
          <w:rFonts w:ascii="Segoe UI" w:hAnsi="Segoe UI" w:cs="Segoe UI"/>
        </w:rPr>
      </w:pPr>
    </w:p>
    <w:p w14:paraId="7908C354" w14:textId="77777777" w:rsidR="009C1BF2" w:rsidRPr="00F47079" w:rsidRDefault="009C1BF2" w:rsidP="009C1BF2">
      <w:pPr>
        <w:pStyle w:val="ListParagraph"/>
        <w:spacing w:before="120" w:after="120"/>
        <w:ind w:left="0"/>
        <w:rPr>
          <w:rFonts w:ascii="Segoe UI" w:hAnsi="Segoe UI" w:cs="Segoe UI"/>
        </w:rPr>
      </w:pPr>
      <w:r w:rsidRPr="00F47079">
        <w:rPr>
          <w:rFonts w:ascii="Segoe UI" w:hAnsi="Segoe UI" w:cs="Segoe UI"/>
        </w:rPr>
        <w:t>1 August 2020 represents a time from which all MIQs are using the NCTS Border system, as MIQ facilities were being onboarded on the Border system in NCTS throughout July. Please note that this figure excludes the community cases that have been transferred to MIQ facilities.</w:t>
      </w:r>
    </w:p>
    <w:p w14:paraId="603A71EA" w14:textId="77777777" w:rsidR="009C1BF2" w:rsidRPr="00F47079" w:rsidRDefault="009C1BF2" w:rsidP="009C1BF2">
      <w:pPr>
        <w:pStyle w:val="ListParagraph"/>
        <w:spacing w:before="120" w:after="120"/>
        <w:ind w:left="0"/>
        <w:rPr>
          <w:rFonts w:ascii="Segoe UI" w:hAnsi="Segoe UI" w:cs="Segoe UI"/>
        </w:rPr>
      </w:pPr>
    </w:p>
    <w:p w14:paraId="7BA856C8" w14:textId="00170C35" w:rsidR="009C1BF2" w:rsidRDefault="009C1BF2" w:rsidP="009C1BF2">
      <w:pPr>
        <w:spacing w:before="120" w:after="120"/>
        <w:rPr>
          <w:rFonts w:ascii="Segoe UI" w:hAnsi="Segoe UI" w:cs="Segoe UI"/>
        </w:rPr>
      </w:pPr>
      <w:r w:rsidRPr="00F47079">
        <w:rPr>
          <w:rFonts w:ascii="Segoe UI" w:hAnsi="Segoe UI" w:cs="Segoe UI"/>
        </w:rPr>
        <w:t>In almost all cases a negative COVID-19 test and confirmation from a health practitioner that a guest has a low risk of having or transmitting COVID-19 are needed before they can leave the facility.</w:t>
      </w:r>
    </w:p>
    <w:p w14:paraId="0F3C06A7" w14:textId="0CD7ED65" w:rsidR="00931CCC" w:rsidRDefault="00931CCC" w:rsidP="009C1BF2">
      <w:pPr>
        <w:spacing w:before="120" w:after="120"/>
        <w:rPr>
          <w:rFonts w:ascii="Segoe UI" w:hAnsi="Segoe UI" w:cs="Segoe UI"/>
        </w:rPr>
      </w:pPr>
    </w:p>
    <w:tbl>
      <w:tblPr>
        <w:tblStyle w:val="TableGrid"/>
        <w:tblW w:w="8931" w:type="dxa"/>
        <w:tblInd w:w="-5" w:type="dxa"/>
        <w:tblLook w:val="04A0" w:firstRow="1" w:lastRow="0" w:firstColumn="1" w:lastColumn="0" w:noHBand="0" w:noVBand="1"/>
      </w:tblPr>
      <w:tblGrid>
        <w:gridCol w:w="8931"/>
      </w:tblGrid>
      <w:tr w:rsidR="00931CCC" w:rsidRPr="00931CCC" w14:paraId="5E93A657" w14:textId="77777777" w:rsidTr="00931CCC">
        <w:tc>
          <w:tcPr>
            <w:tcW w:w="8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925354" w14:textId="77777777" w:rsidR="00931CCC" w:rsidRPr="00931CCC" w:rsidRDefault="00931CCC" w:rsidP="00931CCC">
            <w:pPr>
              <w:keepNext/>
              <w:keepLines/>
              <w:numPr>
                <w:ilvl w:val="0"/>
                <w:numId w:val="1"/>
              </w:numPr>
              <w:spacing w:before="120" w:after="120"/>
              <w:outlineLvl w:val="2"/>
              <w:rPr>
                <w:rFonts w:ascii="Segoe UI" w:eastAsiaTheme="majorEastAsia" w:hAnsi="Segoe UI" w:cs="Segoe UI"/>
                <w:color w:val="0D0D0D" w:themeColor="text1" w:themeTint="F2"/>
                <w:sz w:val="24"/>
                <w:szCs w:val="24"/>
              </w:rPr>
            </w:pPr>
            <w:bookmarkStart w:id="8" w:name="_Toc50109041"/>
            <w:bookmarkStart w:id="9" w:name="_Toc50132812"/>
            <w:bookmarkStart w:id="10" w:name="_Toc50703643"/>
            <w:bookmarkStart w:id="11" w:name="_Toc51229420"/>
            <w:r w:rsidRPr="00931CCC">
              <w:rPr>
                <w:rFonts w:ascii="Segoe UI" w:eastAsiaTheme="majorEastAsia" w:hAnsi="Segoe UI" w:cs="Segoe UI"/>
                <w:color w:val="0D0D0D" w:themeColor="text1" w:themeTint="F2"/>
                <w:sz w:val="24"/>
                <w:szCs w:val="24"/>
              </w:rPr>
              <w:lastRenderedPageBreak/>
              <w:t xml:space="preserve">For a worker to </w:t>
            </w:r>
            <w:proofErr w:type="gramStart"/>
            <w:r w:rsidRPr="00931CCC">
              <w:rPr>
                <w:rFonts w:ascii="Segoe UI" w:eastAsiaTheme="majorEastAsia" w:hAnsi="Segoe UI" w:cs="Segoe UI"/>
                <w:color w:val="0D0D0D" w:themeColor="text1" w:themeTint="F2"/>
                <w:sz w:val="24"/>
                <w:szCs w:val="24"/>
              </w:rPr>
              <w:t>enter into</w:t>
            </w:r>
            <w:proofErr w:type="gramEnd"/>
            <w:r w:rsidRPr="00931CCC">
              <w:rPr>
                <w:rFonts w:ascii="Segoe UI" w:eastAsiaTheme="majorEastAsia" w:hAnsi="Segoe UI" w:cs="Segoe UI"/>
                <w:color w:val="0D0D0D" w:themeColor="text1" w:themeTint="F2"/>
                <w:sz w:val="24"/>
                <w:szCs w:val="24"/>
              </w:rPr>
              <w:t xml:space="preserve"> a cold zone at a managed isolation facility, should it be mandatory that they have had up to date regular testing, to limit any chance of transmission between staff while they are not wearing PPE?</w:t>
            </w:r>
            <w:bookmarkEnd w:id="8"/>
            <w:bookmarkEnd w:id="9"/>
            <w:bookmarkEnd w:id="10"/>
            <w:bookmarkEnd w:id="11"/>
          </w:p>
        </w:tc>
      </w:tr>
    </w:tbl>
    <w:p w14:paraId="616135DD" w14:textId="77777777" w:rsidR="00931CCC" w:rsidRDefault="00931CCC" w:rsidP="00931CCC">
      <w:pPr>
        <w:spacing w:before="120" w:after="120"/>
        <w:rPr>
          <w:rFonts w:ascii="Segoe UI" w:hAnsi="Segoe UI" w:cs="Segoe UI"/>
        </w:rPr>
      </w:pPr>
      <w:r w:rsidRPr="00931CCC">
        <w:rPr>
          <w:rFonts w:ascii="Segoe UI" w:hAnsi="Segoe UI" w:cs="Segoe UI"/>
        </w:rPr>
        <w:t>The COVID-19 Public Health Response (COVID-19 Testing) Order 2020 came into force at 11.59pm 14 August 2020 which required mandatory COVID-19 testing for all Managed Isolation and Quarantine Facility staff.</w:t>
      </w:r>
    </w:p>
    <w:p w14:paraId="695C4C74" w14:textId="77777777" w:rsidR="00931CCC" w:rsidRDefault="00931CCC" w:rsidP="00931CCC">
      <w:pPr>
        <w:spacing w:before="120" w:after="120"/>
        <w:rPr>
          <w:rFonts w:ascii="Segoe UI" w:hAnsi="Segoe UI" w:cs="Segoe UI"/>
        </w:rPr>
      </w:pPr>
      <w:r>
        <w:rPr>
          <w:rFonts w:ascii="Segoe UI" w:hAnsi="Segoe UI" w:cs="Segoe UI"/>
        </w:rPr>
        <w:t>In addition to this, the COVID-19 Public Health Response (Required Testing) Order 2020 which came into effect at 11.59pm 6 September 2020 requires routine ongoing testing for Managed Isolation and Quarantine Facility workers. Staff at Managed Quarantine Facilities are required to have weekly testing until further notice, and staff at Manged Isolation Facilities are required to have fortnightly testing until further notice.</w:t>
      </w:r>
    </w:p>
    <w:p w14:paraId="48711825" w14:textId="71F54BF4" w:rsidR="009C1BF2" w:rsidRDefault="009C1BF2">
      <w:pPr>
        <w:rPr>
          <w:rFonts w:ascii="Segoe UI" w:hAnsi="Segoe UI" w:cs="Segoe UI"/>
        </w:rPr>
      </w:pPr>
    </w:p>
    <w:p w14:paraId="011C6939" w14:textId="7066C128" w:rsidR="009C1BF2" w:rsidRPr="009C1BF2" w:rsidRDefault="009C1BF2" w:rsidP="009C1BF2">
      <w:pPr>
        <w:pStyle w:val="Heading2"/>
        <w:spacing w:before="120" w:after="120"/>
        <w:rPr>
          <w:rFonts w:ascii="Segoe UI Semibold" w:hAnsi="Segoe UI Semibold" w:cs="Segoe UI Semibold"/>
        </w:rPr>
      </w:pPr>
      <w:bookmarkStart w:id="12" w:name="_Toc51229421"/>
      <w:r>
        <w:rPr>
          <w:rFonts w:ascii="Segoe UI Semibold" w:hAnsi="Segoe UI Semibold" w:cs="Segoe UI Semibold"/>
        </w:rPr>
        <w:t>Testing</w:t>
      </w:r>
      <w:bookmarkEnd w:id="12"/>
    </w:p>
    <w:tbl>
      <w:tblPr>
        <w:tblStyle w:val="TableGrid"/>
        <w:tblW w:w="8931" w:type="dxa"/>
        <w:tblInd w:w="-5" w:type="dxa"/>
        <w:tblLook w:val="04A0" w:firstRow="1" w:lastRow="0" w:firstColumn="1" w:lastColumn="0" w:noHBand="0" w:noVBand="1"/>
      </w:tblPr>
      <w:tblGrid>
        <w:gridCol w:w="8931"/>
      </w:tblGrid>
      <w:tr w:rsidR="009C1BF2" w:rsidRPr="00FA4178" w14:paraId="63A75A31" w14:textId="77777777" w:rsidTr="007B1AEF">
        <w:tc>
          <w:tcPr>
            <w:tcW w:w="8931" w:type="dxa"/>
            <w:shd w:val="clear" w:color="auto" w:fill="BFBFBF" w:themeFill="background1" w:themeFillShade="BF"/>
          </w:tcPr>
          <w:p w14:paraId="5D8F75CE" w14:textId="77777777" w:rsidR="009C1BF2" w:rsidRPr="00FA4178" w:rsidRDefault="009C1BF2" w:rsidP="009C1BF2">
            <w:pPr>
              <w:pStyle w:val="Heading3"/>
              <w:numPr>
                <w:ilvl w:val="0"/>
                <w:numId w:val="1"/>
              </w:numPr>
              <w:spacing w:before="120" w:after="120"/>
              <w:outlineLvl w:val="2"/>
              <w:rPr>
                <w:rFonts w:ascii="Segoe UI" w:eastAsia="Times New Roman" w:hAnsi="Segoe UI" w:cs="Segoe UI"/>
              </w:rPr>
            </w:pPr>
            <w:bookmarkStart w:id="13" w:name="_Toc50115132"/>
            <w:bookmarkStart w:id="14" w:name="_Toc51140059"/>
            <w:bookmarkStart w:id="15" w:name="_Hlk51052832"/>
            <w:bookmarkStart w:id="16" w:name="_Toc51229422"/>
            <w:r w:rsidRPr="00FA4178">
              <w:rPr>
                <w:rFonts w:ascii="Segoe UI" w:hAnsi="Segoe UI" w:cs="Segoe UI"/>
              </w:rPr>
              <w:t>At what percentage compliance for day 3 testing would it be made compulsory?</w:t>
            </w:r>
            <w:bookmarkEnd w:id="13"/>
            <w:bookmarkEnd w:id="14"/>
            <w:bookmarkEnd w:id="16"/>
          </w:p>
        </w:tc>
      </w:tr>
    </w:tbl>
    <w:p w14:paraId="263BFB65" w14:textId="77777777" w:rsidR="009C1BF2" w:rsidRDefault="009C1BF2" w:rsidP="009C1BF2">
      <w:pPr>
        <w:pStyle w:val="ListParagraph"/>
        <w:spacing w:before="120" w:after="120"/>
        <w:ind w:left="0"/>
        <w:rPr>
          <w:rFonts w:ascii="Segoe UI" w:hAnsi="Segoe UI" w:cs="Segoe UI"/>
        </w:rPr>
      </w:pPr>
      <w:proofErr w:type="gramStart"/>
      <w:r w:rsidRPr="00FA4178">
        <w:rPr>
          <w:rFonts w:ascii="Segoe UI" w:hAnsi="Segoe UI" w:cs="Segoe UI"/>
        </w:rPr>
        <w:t>In light of</w:t>
      </w:r>
      <w:proofErr w:type="gramEnd"/>
      <w:r w:rsidRPr="00FA4178">
        <w:rPr>
          <w:rFonts w:ascii="Segoe UI" w:hAnsi="Segoe UI" w:cs="Segoe UI"/>
        </w:rPr>
        <w:t xml:space="preserve"> compliance tracking around 95% and above, the Ministry has not considered a percentage of compliance where day three testing would be made compulsory.</w:t>
      </w:r>
    </w:p>
    <w:p w14:paraId="66281340" w14:textId="77777777" w:rsidR="009C1BF2" w:rsidRDefault="009C1BF2" w:rsidP="009C1BF2">
      <w:pPr>
        <w:pStyle w:val="ListParagraph"/>
        <w:spacing w:before="120" w:after="120"/>
        <w:ind w:left="0"/>
        <w:rPr>
          <w:rFonts w:ascii="Segoe UI" w:hAnsi="Segoe UI" w:cs="Segoe UI"/>
        </w:rPr>
      </w:pPr>
    </w:p>
    <w:tbl>
      <w:tblPr>
        <w:tblStyle w:val="TableGrid"/>
        <w:tblW w:w="8931" w:type="dxa"/>
        <w:tblInd w:w="-5" w:type="dxa"/>
        <w:tblLook w:val="04A0" w:firstRow="1" w:lastRow="0" w:firstColumn="1" w:lastColumn="0" w:noHBand="0" w:noVBand="1"/>
      </w:tblPr>
      <w:tblGrid>
        <w:gridCol w:w="8931"/>
      </w:tblGrid>
      <w:tr w:rsidR="009C1BF2" w:rsidRPr="00172EC6" w14:paraId="44DC1E15" w14:textId="77777777" w:rsidTr="007B1AEF">
        <w:tc>
          <w:tcPr>
            <w:tcW w:w="8931" w:type="dxa"/>
            <w:shd w:val="clear" w:color="auto" w:fill="BFBFBF" w:themeFill="background1" w:themeFillShade="BF"/>
          </w:tcPr>
          <w:p w14:paraId="2A777BFB" w14:textId="77777777" w:rsidR="009C1BF2" w:rsidRPr="00172EC6" w:rsidRDefault="009C1BF2" w:rsidP="009C1BF2">
            <w:pPr>
              <w:pStyle w:val="Heading3"/>
              <w:numPr>
                <w:ilvl w:val="0"/>
                <w:numId w:val="1"/>
              </w:numPr>
              <w:spacing w:before="120" w:after="120"/>
              <w:outlineLvl w:val="2"/>
              <w:rPr>
                <w:rFonts w:ascii="Segoe UI" w:eastAsia="Times New Roman" w:hAnsi="Segoe UI" w:cs="Segoe UI"/>
              </w:rPr>
            </w:pPr>
            <w:bookmarkStart w:id="17" w:name="_Toc50115133"/>
            <w:bookmarkStart w:id="18" w:name="_Toc51140060"/>
            <w:bookmarkStart w:id="19" w:name="_Hlk50108034"/>
            <w:bookmarkStart w:id="20" w:name="_Hlk50448308"/>
            <w:bookmarkStart w:id="21" w:name="_Toc51229423"/>
            <w:r w:rsidRPr="00172EC6">
              <w:rPr>
                <w:rFonts w:ascii="Segoe UI" w:hAnsi="Segoe UI" w:cs="Segoe UI"/>
              </w:rPr>
              <w:t>How many adults in managed isolation have not had their day 3 test from when the policy came into effect on June 8?</w:t>
            </w:r>
            <w:bookmarkEnd w:id="17"/>
            <w:bookmarkEnd w:id="18"/>
            <w:bookmarkEnd w:id="21"/>
          </w:p>
        </w:tc>
      </w:tr>
    </w:tbl>
    <w:bookmarkEnd w:id="15"/>
    <w:bookmarkEnd w:id="19"/>
    <w:bookmarkEnd w:id="20"/>
    <w:p w14:paraId="0566F3CD" w14:textId="5C92992B" w:rsidR="00C278F9" w:rsidRPr="00C2321F" w:rsidRDefault="00C278F9" w:rsidP="00C278F9">
      <w:pPr>
        <w:spacing w:before="120" w:after="120"/>
        <w:rPr>
          <w:rFonts w:ascii="Segoe UI" w:hAnsi="Segoe UI" w:cs="Segoe UI"/>
        </w:rPr>
      </w:pPr>
      <w:r w:rsidRPr="00C2321F">
        <w:rPr>
          <w:rFonts w:ascii="Segoe UI" w:hAnsi="Segoe UI" w:cs="Segoe UI"/>
        </w:rPr>
        <w:t>Between 8 June and 9 September 2020, 31,259 border arrivals were recorded</w:t>
      </w:r>
      <w:r w:rsidR="00F91FB3">
        <w:rPr>
          <w:rFonts w:ascii="Segoe UI" w:hAnsi="Segoe UI" w:cs="Segoe UI"/>
        </w:rPr>
        <w:t xml:space="preserve">, </w:t>
      </w:r>
      <w:r w:rsidRPr="00C2321F">
        <w:rPr>
          <w:rFonts w:ascii="Segoe UI" w:hAnsi="Segoe UI" w:cs="Segoe UI"/>
        </w:rPr>
        <w:t>of this number 27953 (89.4%) received a Day 3</w:t>
      </w:r>
      <w:r>
        <w:rPr>
          <w:rFonts w:ascii="Segoe UI" w:hAnsi="Segoe UI" w:cs="Segoe UI"/>
        </w:rPr>
        <w:t xml:space="preserve"> test.</w:t>
      </w:r>
    </w:p>
    <w:p w14:paraId="59A3C109" w14:textId="77777777" w:rsidR="00C278F9" w:rsidRPr="00C2321F" w:rsidRDefault="00C278F9" w:rsidP="00C278F9">
      <w:pPr>
        <w:spacing w:before="120" w:after="120"/>
        <w:rPr>
          <w:rFonts w:ascii="Segoe UI" w:hAnsi="Segoe UI" w:cs="Segoe UI"/>
        </w:rPr>
      </w:pPr>
      <w:r w:rsidRPr="00C2321F">
        <w:rPr>
          <w:rFonts w:ascii="Segoe UI" w:hAnsi="Segoe UI" w:cs="Segoe UI"/>
        </w:rPr>
        <w:t xml:space="preserve">It is worth noting that </w:t>
      </w:r>
      <w:r>
        <w:rPr>
          <w:rFonts w:ascii="Segoe UI" w:hAnsi="Segoe UI" w:cs="Segoe UI"/>
        </w:rPr>
        <w:t xml:space="preserve">data available </w:t>
      </w:r>
      <w:r w:rsidRPr="00C2321F">
        <w:rPr>
          <w:rFonts w:ascii="Segoe UI" w:hAnsi="Segoe UI" w:cs="Segoe UI"/>
        </w:rPr>
        <w:t xml:space="preserve">prior to 1 August 2020 </w:t>
      </w:r>
      <w:r>
        <w:rPr>
          <w:rFonts w:ascii="Segoe UI" w:hAnsi="Segoe UI" w:cs="Segoe UI"/>
        </w:rPr>
        <w:t>is</w:t>
      </w:r>
      <w:r w:rsidRPr="00C2321F">
        <w:rPr>
          <w:rFonts w:ascii="Segoe UI" w:hAnsi="Segoe UI" w:cs="Segoe UI"/>
        </w:rPr>
        <w:t xml:space="preserve"> backdated as it involved the compilation of information between the Ministry of Health and the Ministry of Business, Innovation, and Employment</w:t>
      </w:r>
      <w:r>
        <w:rPr>
          <w:rFonts w:ascii="Segoe UI" w:hAnsi="Segoe UI" w:cs="Segoe UI"/>
        </w:rPr>
        <w:t xml:space="preserve">. </w:t>
      </w:r>
      <w:r w:rsidRPr="00C2321F">
        <w:rPr>
          <w:rFonts w:ascii="Segoe UI" w:hAnsi="Segoe UI" w:cs="Segoe UI"/>
        </w:rPr>
        <w:t xml:space="preserve">This meant data matching between border arrival data and the NHI system was required to identify the recording of a Day 3 test. Data matching was unable to identify 494 (3.0%) of arrivals for this period and thus these results are recorded as being ‘not tested’ in the number reported. </w:t>
      </w:r>
    </w:p>
    <w:p w14:paraId="7A314DA2" w14:textId="77777777" w:rsidR="00C278F9" w:rsidRPr="00C2321F" w:rsidRDefault="00C278F9" w:rsidP="00C278F9">
      <w:pPr>
        <w:spacing w:before="120" w:after="120"/>
        <w:rPr>
          <w:rFonts w:ascii="Segoe UI" w:hAnsi="Segoe UI" w:cs="Segoe UI"/>
        </w:rPr>
      </w:pPr>
      <w:r w:rsidRPr="00C2321F">
        <w:rPr>
          <w:rFonts w:ascii="Segoe UI" w:hAnsi="Segoe UI" w:cs="Segoe UI"/>
        </w:rPr>
        <w:t xml:space="preserve">Since 1 August 2020 data has been recorded in a centralised system. From 1 August to 9 September 2020, 14,145 of 14,672 arrivals (96.4%) completed a Day 3 test, which is likely to be a more accurate representation of the number of Day 3 tests occurring during the </w:t>
      </w:r>
      <w:proofErr w:type="gramStart"/>
      <w:r w:rsidRPr="00C2321F">
        <w:rPr>
          <w:rFonts w:ascii="Segoe UI" w:hAnsi="Segoe UI" w:cs="Segoe UI"/>
        </w:rPr>
        <w:t>aforementioned time</w:t>
      </w:r>
      <w:proofErr w:type="gramEnd"/>
      <w:r w:rsidRPr="00C2321F">
        <w:rPr>
          <w:rFonts w:ascii="Segoe UI" w:hAnsi="Segoe UI" w:cs="Segoe UI"/>
        </w:rPr>
        <w:t xml:space="preserve"> period.</w:t>
      </w:r>
    </w:p>
    <w:p w14:paraId="507C381C" w14:textId="77777777" w:rsidR="00C278F9" w:rsidRPr="00C2321F" w:rsidRDefault="00C278F9" w:rsidP="00C278F9">
      <w:pPr>
        <w:spacing w:before="120" w:after="120"/>
        <w:rPr>
          <w:rFonts w:ascii="Segoe UI" w:hAnsi="Segoe UI" w:cs="Segoe UI"/>
        </w:rPr>
      </w:pPr>
      <w:r w:rsidRPr="00C2321F">
        <w:rPr>
          <w:rFonts w:ascii="Segoe UI" w:hAnsi="Segoe UI" w:cs="Segoe UI"/>
        </w:rPr>
        <w:t xml:space="preserve">There are </w:t>
      </w:r>
      <w:proofErr w:type="gramStart"/>
      <w:r w:rsidRPr="00C2321F">
        <w:rPr>
          <w:rFonts w:ascii="Segoe UI" w:hAnsi="Segoe UI" w:cs="Segoe UI"/>
        </w:rPr>
        <w:t>a number of</w:t>
      </w:r>
      <w:proofErr w:type="gramEnd"/>
      <w:r w:rsidRPr="00C2321F">
        <w:rPr>
          <w:rFonts w:ascii="Segoe UI" w:hAnsi="Segoe UI" w:cs="Segoe UI"/>
        </w:rPr>
        <w:t xml:space="preserve"> other reasons why someone might not be tested, or their test might not be recorded. These include:</w:t>
      </w:r>
    </w:p>
    <w:p w14:paraId="4881788B" w14:textId="77777777" w:rsidR="00C278F9" w:rsidRPr="00C2321F" w:rsidRDefault="00C278F9" w:rsidP="00C278F9">
      <w:pPr>
        <w:pStyle w:val="ListParagraph"/>
        <w:numPr>
          <w:ilvl w:val="0"/>
          <w:numId w:val="3"/>
        </w:numPr>
        <w:spacing w:before="120" w:after="120"/>
        <w:rPr>
          <w:rFonts w:ascii="Segoe UI" w:hAnsi="Segoe UI" w:cs="Segoe UI"/>
        </w:rPr>
      </w:pPr>
      <w:r w:rsidRPr="00C2321F">
        <w:rPr>
          <w:rFonts w:ascii="Segoe UI" w:hAnsi="Segoe UI" w:cs="Segoe UI"/>
        </w:rPr>
        <w:t>Infants under 6 months</w:t>
      </w:r>
    </w:p>
    <w:p w14:paraId="29FA3554" w14:textId="77777777" w:rsidR="00C278F9" w:rsidRPr="00C2321F" w:rsidRDefault="00C278F9" w:rsidP="00C278F9">
      <w:pPr>
        <w:pStyle w:val="ListParagraph"/>
        <w:numPr>
          <w:ilvl w:val="0"/>
          <w:numId w:val="3"/>
        </w:numPr>
        <w:spacing w:before="120" w:after="120"/>
        <w:rPr>
          <w:rFonts w:ascii="Segoe UI" w:hAnsi="Segoe UI" w:cs="Segoe UI"/>
        </w:rPr>
      </w:pPr>
      <w:r w:rsidRPr="00C2321F">
        <w:rPr>
          <w:rFonts w:ascii="Segoe UI" w:hAnsi="Segoe UI" w:cs="Segoe UI"/>
        </w:rPr>
        <w:t>People with physical or other needs that preclude a nasopharyngeal test</w:t>
      </w:r>
    </w:p>
    <w:p w14:paraId="7EDCA044" w14:textId="77777777" w:rsidR="00C278F9" w:rsidRPr="00C2321F" w:rsidRDefault="00C278F9" w:rsidP="00C278F9">
      <w:pPr>
        <w:pStyle w:val="ListParagraph"/>
        <w:numPr>
          <w:ilvl w:val="0"/>
          <w:numId w:val="3"/>
        </w:numPr>
        <w:spacing w:before="120" w:after="120"/>
        <w:rPr>
          <w:rFonts w:ascii="Segoe UI" w:hAnsi="Segoe UI" w:cs="Segoe UI"/>
        </w:rPr>
      </w:pPr>
      <w:r w:rsidRPr="00C2321F">
        <w:rPr>
          <w:rFonts w:ascii="Segoe UI" w:hAnsi="Segoe UI" w:cs="Segoe UI"/>
        </w:rPr>
        <w:lastRenderedPageBreak/>
        <w:t>Maritime workers arriving by air who are transferred directly to ship</w:t>
      </w:r>
    </w:p>
    <w:p w14:paraId="70FD5F37" w14:textId="77777777" w:rsidR="00C278F9" w:rsidRDefault="00C278F9" w:rsidP="00C278F9">
      <w:pPr>
        <w:pStyle w:val="ListParagraph"/>
        <w:numPr>
          <w:ilvl w:val="0"/>
          <w:numId w:val="3"/>
        </w:numPr>
        <w:spacing w:before="120" w:after="120"/>
        <w:rPr>
          <w:rFonts w:ascii="Segoe UI" w:hAnsi="Segoe UI" w:cs="Segoe UI"/>
        </w:rPr>
      </w:pPr>
      <w:r w:rsidRPr="00C2321F">
        <w:rPr>
          <w:rFonts w:ascii="Segoe UI" w:hAnsi="Segoe UI" w:cs="Segoe UI"/>
        </w:rPr>
        <w:t>Refusal of day 3 test</w:t>
      </w:r>
    </w:p>
    <w:p w14:paraId="433AAD67" w14:textId="77777777" w:rsidR="00C278F9" w:rsidRPr="00C2321F" w:rsidRDefault="00C278F9" w:rsidP="00C278F9">
      <w:pPr>
        <w:pStyle w:val="ListParagraph"/>
        <w:numPr>
          <w:ilvl w:val="0"/>
          <w:numId w:val="3"/>
        </w:numPr>
        <w:spacing w:before="120" w:after="120"/>
        <w:rPr>
          <w:rFonts w:ascii="Segoe UI" w:hAnsi="Segoe UI" w:cs="Segoe UI"/>
        </w:rPr>
      </w:pPr>
      <w:r>
        <w:rPr>
          <w:rFonts w:ascii="Segoe UI" w:hAnsi="Segoe UI" w:cs="Segoe UI"/>
        </w:rPr>
        <w:t>Under 72-hour transits</w:t>
      </w:r>
    </w:p>
    <w:p w14:paraId="3D1B1BF7" w14:textId="77777777" w:rsidR="00C278F9" w:rsidRPr="00C2321F" w:rsidRDefault="00C278F9" w:rsidP="00C278F9">
      <w:pPr>
        <w:pStyle w:val="ListParagraph"/>
        <w:numPr>
          <w:ilvl w:val="0"/>
          <w:numId w:val="3"/>
        </w:numPr>
        <w:spacing w:before="120" w:after="120"/>
        <w:rPr>
          <w:rFonts w:ascii="Segoe UI" w:hAnsi="Segoe UI" w:cs="Segoe UI"/>
        </w:rPr>
      </w:pPr>
      <w:r w:rsidRPr="00C2321F">
        <w:rPr>
          <w:rFonts w:ascii="Segoe UI" w:hAnsi="Segoe UI" w:cs="Segoe UI"/>
        </w:rPr>
        <w:t>And as previously mentioned; NHI numbers not matched to returnees at the time of testing.</w:t>
      </w:r>
    </w:p>
    <w:p w14:paraId="2E9BE803" w14:textId="37124D77" w:rsidR="00931CCC" w:rsidRPr="00931CCC" w:rsidRDefault="00931CCC" w:rsidP="00931CCC">
      <w:pPr>
        <w:spacing w:before="120" w:after="120"/>
        <w:ind w:left="360"/>
        <w:rPr>
          <w:rFonts w:ascii="Segoe UI" w:hAnsi="Segoe UI" w:cs="Segoe UI"/>
        </w:rPr>
      </w:pPr>
      <w:r>
        <w:rPr>
          <w:rFonts w:ascii="Segoe UI" w:hAnsi="Segoe UI" w:cs="Segoe UI"/>
        </w:rPr>
        <w:t>I</w:t>
      </w:r>
      <w:r w:rsidRPr="00931CCC">
        <w:rPr>
          <w:rFonts w:ascii="Segoe UI" w:hAnsi="Segoe UI" w:cs="Segoe UI"/>
        </w:rPr>
        <w:t xml:space="preserve">f a person refuses a Day 12 nasopharyngeal test and a Medical Officer of Health does not determine that they have physical or other needs that make nasopharyngeal testing inappropriate, they will be required to stay at the Managed Isolation Facility, and be symptom-free, for an additional 10 days following their day 12 test refusal (22 days in total). </w:t>
      </w:r>
    </w:p>
    <w:p w14:paraId="0560B8C6" w14:textId="084BD5BF" w:rsidR="00EA4727" w:rsidRDefault="00EA4727" w:rsidP="00802A08">
      <w:pPr>
        <w:spacing w:before="120" w:after="120"/>
        <w:rPr>
          <w:rFonts w:ascii="Segoe UI" w:hAnsi="Segoe UI" w:cs="Segoe UI"/>
        </w:rPr>
      </w:pPr>
    </w:p>
    <w:tbl>
      <w:tblPr>
        <w:tblStyle w:val="TableGrid"/>
        <w:tblW w:w="8931" w:type="dxa"/>
        <w:tblInd w:w="-5" w:type="dxa"/>
        <w:tblLook w:val="04A0" w:firstRow="1" w:lastRow="0" w:firstColumn="1" w:lastColumn="0" w:noHBand="0" w:noVBand="1"/>
      </w:tblPr>
      <w:tblGrid>
        <w:gridCol w:w="8931"/>
      </w:tblGrid>
      <w:tr w:rsidR="009C1BF2" w:rsidRPr="00DB2C44" w14:paraId="386D3D85" w14:textId="77777777" w:rsidTr="007B1AEF">
        <w:tc>
          <w:tcPr>
            <w:tcW w:w="8931" w:type="dxa"/>
            <w:shd w:val="clear" w:color="auto" w:fill="BFBFBF" w:themeFill="background1" w:themeFillShade="BF"/>
          </w:tcPr>
          <w:p w14:paraId="063EF5ED" w14:textId="77777777" w:rsidR="009C1BF2" w:rsidRPr="00DB2C44" w:rsidRDefault="009C1BF2" w:rsidP="007B1AEF">
            <w:pPr>
              <w:pStyle w:val="Heading3"/>
              <w:numPr>
                <w:ilvl w:val="0"/>
                <w:numId w:val="1"/>
              </w:numPr>
              <w:spacing w:before="120" w:after="120"/>
              <w:outlineLvl w:val="2"/>
              <w:rPr>
                <w:rFonts w:ascii="Segoe UI" w:eastAsia="Times New Roman" w:hAnsi="Segoe UI" w:cs="Segoe UI"/>
              </w:rPr>
            </w:pPr>
            <w:bookmarkStart w:id="22" w:name="_Toc50223619"/>
            <w:bookmarkStart w:id="23" w:name="_Toc51140063"/>
            <w:bookmarkStart w:id="24" w:name="_Hlk51154731"/>
            <w:bookmarkStart w:id="25" w:name="_Toc51229424"/>
            <w:r w:rsidRPr="00DB2C44">
              <w:rPr>
                <w:rFonts w:ascii="Segoe UI" w:hAnsi="Segoe UI" w:cs="Segoe UI"/>
              </w:rPr>
              <w:t xml:space="preserve">Did laboratory turnaround times in Auckland at the start of the 2nd spike, meet all the relevant criteria of the </w:t>
            </w:r>
            <w:proofErr w:type="spellStart"/>
            <w:r w:rsidRPr="00DB2C44">
              <w:rPr>
                <w:rFonts w:ascii="Segoe UI" w:hAnsi="Segoe UI" w:cs="Segoe UI"/>
              </w:rPr>
              <w:t>Verrall</w:t>
            </w:r>
            <w:proofErr w:type="spellEnd"/>
            <w:r w:rsidRPr="00DB2C44">
              <w:rPr>
                <w:rFonts w:ascii="Segoe UI" w:hAnsi="Segoe UI" w:cs="Segoe UI"/>
              </w:rPr>
              <w:t xml:space="preserve"> report?</w:t>
            </w:r>
            <w:bookmarkEnd w:id="22"/>
            <w:bookmarkEnd w:id="23"/>
            <w:bookmarkEnd w:id="25"/>
          </w:p>
        </w:tc>
      </w:tr>
    </w:tbl>
    <w:p w14:paraId="51DDE88A" w14:textId="77777777" w:rsidR="009C1BF2" w:rsidRPr="008547A6" w:rsidRDefault="009C1BF2" w:rsidP="009C1BF2">
      <w:pPr>
        <w:spacing w:before="120" w:after="120"/>
        <w:rPr>
          <w:rFonts w:ascii="Segoe UI" w:hAnsi="Segoe UI" w:cs="Segoe UI"/>
        </w:rPr>
      </w:pPr>
      <w:r w:rsidRPr="008547A6">
        <w:rPr>
          <w:rFonts w:ascii="Segoe UI" w:hAnsi="Segoe UI" w:cs="Segoe UI"/>
        </w:rPr>
        <w:t xml:space="preserve">The COVID-19 disease indicator developed based on Dr </w:t>
      </w:r>
      <w:proofErr w:type="spellStart"/>
      <w:r w:rsidRPr="008547A6">
        <w:rPr>
          <w:rFonts w:ascii="Segoe UI" w:hAnsi="Segoe UI" w:cs="Segoe UI"/>
        </w:rPr>
        <w:t>Verrall’s</w:t>
      </w:r>
      <w:proofErr w:type="spellEnd"/>
      <w:r w:rsidRPr="008547A6">
        <w:rPr>
          <w:rFonts w:ascii="Segoe UI" w:hAnsi="Segoe UI" w:cs="Segoe UI"/>
        </w:rPr>
        <w:t xml:space="preserve"> recommendation regarding laboratory processing time for positive results is L001: Time from test sample taken to notification of positive result. The set target for this indicator is 80 percent within 24 hours. </w:t>
      </w:r>
    </w:p>
    <w:p w14:paraId="492ECC13" w14:textId="77777777" w:rsidR="009C1BF2" w:rsidRPr="000758CE" w:rsidRDefault="009C1BF2" w:rsidP="009C1BF2">
      <w:pPr>
        <w:spacing w:before="120" w:after="120"/>
        <w:rPr>
          <w:rFonts w:ascii="Segoe UI" w:hAnsi="Segoe UI" w:cs="Segoe UI"/>
        </w:rPr>
      </w:pPr>
      <w:r w:rsidRPr="008547A6">
        <w:rPr>
          <w:rFonts w:ascii="Segoe UI" w:hAnsi="Segoe UI" w:cs="Segoe UI"/>
        </w:rPr>
        <w:t xml:space="preserve">The target measures the time between when a swab is taken to notification of a confirmed </w:t>
      </w:r>
      <w:r w:rsidRPr="000758CE">
        <w:rPr>
          <w:rFonts w:ascii="Segoe UI" w:hAnsi="Segoe UI" w:cs="Segoe UI"/>
        </w:rPr>
        <w:t xml:space="preserve">case in </w:t>
      </w:r>
      <w:proofErr w:type="spellStart"/>
      <w:r w:rsidRPr="000758CE">
        <w:rPr>
          <w:rFonts w:ascii="Segoe UI" w:hAnsi="Segoe UI" w:cs="Segoe UI"/>
        </w:rPr>
        <w:t>Episurv</w:t>
      </w:r>
      <w:proofErr w:type="spellEnd"/>
      <w:r w:rsidRPr="000758CE">
        <w:rPr>
          <w:rFonts w:ascii="Segoe UI" w:hAnsi="Segoe UI" w:cs="Segoe UI"/>
        </w:rPr>
        <w:t>. Data are not currently available for the date/time swab is collected. Therefore, as a proxy, the date/time the laboratory receives a swab is used as the start of the event. Using this measure, in Auckland, between 11 August and 16 August 2020, 79 percent of positive results were notified within 24 hours.</w:t>
      </w:r>
    </w:p>
    <w:p w14:paraId="2357DBDB" w14:textId="77777777" w:rsidR="009C1BF2" w:rsidRPr="000758CE" w:rsidRDefault="009C1BF2" w:rsidP="009C1BF2">
      <w:pPr>
        <w:spacing w:before="120" w:after="120"/>
        <w:rPr>
          <w:rFonts w:ascii="Segoe UI" w:hAnsi="Segoe UI" w:cs="Segoe UI"/>
        </w:rPr>
      </w:pPr>
      <w:r w:rsidRPr="000758CE">
        <w:rPr>
          <w:rFonts w:ascii="Segoe UI" w:hAnsi="Segoe UI" w:cs="Segoe UI"/>
        </w:rPr>
        <w:t>You can read more information on the COVID-19 Disease Indicators here: https://www.health.govt.nz/system/files/documents/pages/covid-19_disease_indicators_specifications_2020.06.09.pdf</w:t>
      </w:r>
    </w:p>
    <w:bookmarkEnd w:id="24"/>
    <w:p w14:paraId="7C9A2A0F" w14:textId="77777777" w:rsidR="009C1BF2" w:rsidRDefault="009C1BF2" w:rsidP="009C1BF2">
      <w:pPr>
        <w:spacing w:before="120" w:after="120"/>
      </w:pPr>
    </w:p>
    <w:tbl>
      <w:tblPr>
        <w:tblStyle w:val="TableGrid"/>
        <w:tblW w:w="8931" w:type="dxa"/>
        <w:tblInd w:w="-5" w:type="dxa"/>
        <w:tblLook w:val="04A0" w:firstRow="1" w:lastRow="0" w:firstColumn="1" w:lastColumn="0" w:noHBand="0" w:noVBand="1"/>
      </w:tblPr>
      <w:tblGrid>
        <w:gridCol w:w="8931"/>
      </w:tblGrid>
      <w:tr w:rsidR="009C1BF2" w:rsidRPr="000758CE" w14:paraId="302D88CC" w14:textId="77777777" w:rsidTr="007B1AEF">
        <w:tc>
          <w:tcPr>
            <w:tcW w:w="8931" w:type="dxa"/>
            <w:shd w:val="clear" w:color="auto" w:fill="BFBFBF" w:themeFill="background1" w:themeFillShade="BF"/>
          </w:tcPr>
          <w:p w14:paraId="414C88EB" w14:textId="77777777" w:rsidR="009C1BF2" w:rsidRPr="000758CE" w:rsidRDefault="009C1BF2" w:rsidP="007B1AEF">
            <w:pPr>
              <w:pStyle w:val="Heading3"/>
              <w:numPr>
                <w:ilvl w:val="0"/>
                <w:numId w:val="1"/>
              </w:numPr>
              <w:spacing w:before="120" w:after="120"/>
              <w:outlineLvl w:val="2"/>
              <w:rPr>
                <w:rFonts w:ascii="Segoe UI" w:hAnsi="Segoe UI" w:cs="Segoe UI"/>
              </w:rPr>
            </w:pPr>
            <w:bookmarkStart w:id="26" w:name="_Toc50223621"/>
            <w:bookmarkStart w:id="27" w:name="_Toc51140065"/>
            <w:bookmarkStart w:id="28" w:name="_Hlk51052867"/>
            <w:bookmarkStart w:id="29" w:name="_Toc51229425"/>
            <w:r w:rsidRPr="000758CE">
              <w:rPr>
                <w:rFonts w:ascii="Segoe UI" w:hAnsi="Segoe UI" w:cs="Segoe UI"/>
              </w:rPr>
              <w:t>Did laboratory processing times in Auckland cause any delays in contact tracing the start of this second spike?</w:t>
            </w:r>
            <w:bookmarkEnd w:id="26"/>
            <w:bookmarkEnd w:id="27"/>
            <w:bookmarkEnd w:id="29"/>
            <w:r w:rsidRPr="000758CE">
              <w:rPr>
                <w:rFonts w:ascii="Segoe UI" w:hAnsi="Segoe UI" w:cs="Segoe UI"/>
              </w:rPr>
              <w:t xml:space="preserve"> </w:t>
            </w:r>
          </w:p>
        </w:tc>
      </w:tr>
    </w:tbl>
    <w:p w14:paraId="5DE5C363" w14:textId="77777777" w:rsidR="009C1BF2" w:rsidRPr="009C1BF2" w:rsidRDefault="009C1BF2" w:rsidP="009C1BF2">
      <w:pPr>
        <w:spacing w:before="120" w:after="120"/>
        <w:rPr>
          <w:rFonts w:ascii="Segoe UI" w:hAnsi="Segoe UI" w:cs="Segoe UI"/>
        </w:rPr>
      </w:pPr>
      <w:r w:rsidRPr="000758CE">
        <w:rPr>
          <w:rFonts w:ascii="Segoe UI" w:hAnsi="Segoe UI" w:cs="Segoe UI"/>
        </w:rPr>
        <w:t>See Question 16 for laboratory turnaround times. Given these results, it is unlikely that laboratory processing times for positive results had a significant effect on contact tracing. To help ensure no delays in laboratory processing times mobile testing units went to the Americold sites in Auckland and to the homes of symptomatic Americold workers.</w:t>
      </w:r>
      <w:bookmarkEnd w:id="28"/>
    </w:p>
    <w:p w14:paraId="6053B476" w14:textId="77777777" w:rsidR="009C1BF2" w:rsidRDefault="009C1BF2" w:rsidP="00802A08">
      <w:pPr>
        <w:spacing w:before="120" w:after="120"/>
        <w:rPr>
          <w:rFonts w:ascii="Segoe UI" w:hAnsi="Segoe UI" w:cs="Segoe UI"/>
        </w:rPr>
      </w:pPr>
    </w:p>
    <w:p w14:paraId="2A5B19DD" w14:textId="687BC692" w:rsidR="00EA4727" w:rsidRPr="009C1BF2" w:rsidRDefault="009C1BF2" w:rsidP="009C1BF2">
      <w:pPr>
        <w:pStyle w:val="Heading2"/>
        <w:spacing w:before="120" w:after="120"/>
        <w:rPr>
          <w:rFonts w:ascii="Segoe UI Semibold" w:hAnsi="Segoe UI Semibold" w:cs="Segoe UI Semibold"/>
        </w:rPr>
      </w:pPr>
      <w:bookmarkStart w:id="30" w:name="_Toc51229426"/>
      <w:r>
        <w:rPr>
          <w:rFonts w:ascii="Segoe UI Semibold" w:hAnsi="Segoe UI Semibold" w:cs="Segoe UI Semibold"/>
        </w:rPr>
        <w:lastRenderedPageBreak/>
        <w:t>Elective Surgery</w:t>
      </w:r>
      <w:bookmarkEnd w:id="30"/>
    </w:p>
    <w:tbl>
      <w:tblPr>
        <w:tblStyle w:val="TableGrid"/>
        <w:tblW w:w="8931" w:type="dxa"/>
        <w:tblInd w:w="-5" w:type="dxa"/>
        <w:tblLook w:val="04A0" w:firstRow="1" w:lastRow="0" w:firstColumn="1" w:lastColumn="0" w:noHBand="0" w:noVBand="1"/>
      </w:tblPr>
      <w:tblGrid>
        <w:gridCol w:w="8931"/>
      </w:tblGrid>
      <w:tr w:rsidR="009C1BF2" w:rsidRPr="00FA4178" w14:paraId="4DC1700E" w14:textId="77777777" w:rsidTr="007B1AEF">
        <w:tc>
          <w:tcPr>
            <w:tcW w:w="8931" w:type="dxa"/>
            <w:shd w:val="clear" w:color="auto" w:fill="BFBFBF" w:themeFill="background1" w:themeFillShade="BF"/>
          </w:tcPr>
          <w:p w14:paraId="274CF0DF" w14:textId="77777777" w:rsidR="009C1BF2" w:rsidRPr="00FA4178" w:rsidRDefault="009C1BF2" w:rsidP="009C1BF2">
            <w:pPr>
              <w:pStyle w:val="Heading3"/>
              <w:numPr>
                <w:ilvl w:val="0"/>
                <w:numId w:val="1"/>
              </w:numPr>
              <w:spacing w:before="120" w:after="120"/>
              <w:outlineLvl w:val="2"/>
              <w:rPr>
                <w:rFonts w:ascii="Segoe UI" w:hAnsi="Segoe UI" w:cs="Segoe UI"/>
                <w:lang w:val="en-US"/>
              </w:rPr>
            </w:pPr>
            <w:bookmarkStart w:id="31" w:name="_Toc50132677"/>
            <w:bookmarkStart w:id="32" w:name="_Toc51140073"/>
            <w:bookmarkStart w:id="33" w:name="_Toc51229427"/>
            <w:r w:rsidRPr="00FA4178">
              <w:rPr>
                <w:rFonts w:ascii="Segoe UI" w:hAnsi="Segoe UI" w:cs="Segoe UI"/>
              </w:rPr>
              <w:t>What was the elective surgery backlog in Auckland on August 10</w:t>
            </w:r>
            <w:r w:rsidRPr="00FA4178">
              <w:rPr>
                <w:rFonts w:ascii="Segoe UI" w:hAnsi="Segoe UI" w:cs="Segoe UI"/>
                <w:vertAlign w:val="superscript"/>
              </w:rPr>
              <w:t>th</w:t>
            </w:r>
            <w:r w:rsidRPr="00FA4178">
              <w:rPr>
                <w:rFonts w:ascii="Segoe UI" w:hAnsi="Segoe UI" w:cs="Segoe UI"/>
              </w:rPr>
              <w:t xml:space="preserve"> and how has the second lockdown affected this?</w:t>
            </w:r>
            <w:bookmarkEnd w:id="31"/>
            <w:bookmarkEnd w:id="32"/>
            <w:bookmarkEnd w:id="33"/>
          </w:p>
        </w:tc>
      </w:tr>
    </w:tbl>
    <w:p w14:paraId="10F4A926" w14:textId="77777777" w:rsidR="009C1BF2" w:rsidRPr="00FA4178" w:rsidRDefault="009C1BF2" w:rsidP="009C1BF2">
      <w:pPr>
        <w:spacing w:before="120" w:after="120"/>
        <w:rPr>
          <w:rFonts w:ascii="Segoe UI" w:hAnsi="Segoe UI" w:cs="Segoe UI"/>
        </w:rPr>
      </w:pPr>
      <w:r w:rsidRPr="00FA4178">
        <w:rPr>
          <w:rFonts w:ascii="Segoe UI" w:hAnsi="Segoe UI" w:cs="Segoe UI"/>
        </w:rPr>
        <w:t xml:space="preserve">The Ministry continues to engage with DHBs over their Improvement Action Plans including strategies and actions to reduce their planned care waiting lists following the disruption of COVID-19. The Ministry will be finalising these plans with all DHBs in the coming weeks, at which time we will be in a better position to provide an estimated timeframe.  </w:t>
      </w:r>
    </w:p>
    <w:p w14:paraId="1509C50A" w14:textId="77777777" w:rsidR="009C1BF2" w:rsidRPr="00FA4178" w:rsidRDefault="009C1BF2" w:rsidP="009C1BF2">
      <w:pPr>
        <w:spacing w:before="120" w:after="120"/>
        <w:rPr>
          <w:rFonts w:ascii="Segoe UI" w:hAnsi="Segoe UI" w:cs="Segoe UI"/>
        </w:rPr>
      </w:pPr>
      <w:r w:rsidRPr="00FA4178">
        <w:rPr>
          <w:rFonts w:ascii="Segoe UI" w:hAnsi="Segoe UI" w:cs="Segoe UI"/>
        </w:rPr>
        <w:t xml:space="preserve">The latest available data for the Auckland metropolitan DHBs (Auckland, Counties Manukau, Waitemata) shows that there were 14,843 patients waiting for elective treatment, including 3,394 patients waiting over four months for treatment at the end of July 2020. This includes patients who were waiting for treatment during the first lockdown period and patients subsequently added to the treatment waitlist during the initial stages of recovery and prior to the re-emergence of COVID-19 in the community. In these 3 DHBs approximately 3,000 patients have been identified as having their treatment deferred during the first lockdown – 84 of these patients are identified as still waiting for treatment at 31 August. Elective patients continue to be seen in the order of clinical priority in line with the hospital response framework and local circumstances including hospital capacity and the wider effects of COVID-19 on hospitals and the community. </w:t>
      </w:r>
    </w:p>
    <w:p w14:paraId="32D8C6E2" w14:textId="4C232154" w:rsidR="009C1BF2" w:rsidRDefault="009C1BF2" w:rsidP="009C1BF2">
      <w:pPr>
        <w:spacing w:before="120" w:after="120"/>
        <w:rPr>
          <w:rFonts w:ascii="Segoe UI" w:hAnsi="Segoe UI" w:cs="Segoe UI"/>
        </w:rPr>
      </w:pPr>
      <w:r w:rsidRPr="00FA4178">
        <w:rPr>
          <w:rFonts w:ascii="Segoe UI" w:hAnsi="Segoe UI" w:cs="Segoe UI"/>
        </w:rPr>
        <w:t xml:space="preserve">The impact of the second lockdown in August 2020 will not be fully known until waiting list numbers and clinical coding for August 2020 are reported in early October 2020. Information from the weekly COVID-19 tracker template from the DHB advises an estimated further 783 planned care interventions have been cancelled as a result of COVID-19 between 10 August 2020 and 6 September 2020. Any further patient deferrals and cancellations will be seen and treated in line with the patient’s clinical priority.  </w:t>
      </w:r>
    </w:p>
    <w:p w14:paraId="7AC26A81" w14:textId="77777777" w:rsidR="00FB7DE1" w:rsidRDefault="00FB7DE1" w:rsidP="009C1BF2">
      <w:pPr>
        <w:spacing w:before="120" w:after="120"/>
        <w:rPr>
          <w:rFonts w:ascii="Segoe UI" w:hAnsi="Segoe UI" w:cs="Segoe UI"/>
        </w:rPr>
      </w:pPr>
    </w:p>
    <w:tbl>
      <w:tblPr>
        <w:tblStyle w:val="TableGrid"/>
        <w:tblW w:w="8931" w:type="dxa"/>
        <w:tblInd w:w="-5" w:type="dxa"/>
        <w:tblLook w:val="04A0" w:firstRow="1" w:lastRow="0" w:firstColumn="1" w:lastColumn="0" w:noHBand="0" w:noVBand="1"/>
      </w:tblPr>
      <w:tblGrid>
        <w:gridCol w:w="8931"/>
      </w:tblGrid>
      <w:tr w:rsidR="009C1BF2" w:rsidRPr="00FA4178" w14:paraId="17E080D1" w14:textId="77777777" w:rsidTr="007B1AEF">
        <w:tc>
          <w:tcPr>
            <w:tcW w:w="8931" w:type="dxa"/>
            <w:shd w:val="clear" w:color="auto" w:fill="BFBFBF" w:themeFill="background1" w:themeFillShade="BF"/>
          </w:tcPr>
          <w:p w14:paraId="4152930F" w14:textId="77777777" w:rsidR="009C1BF2" w:rsidRPr="00FA4178" w:rsidRDefault="009C1BF2" w:rsidP="009C1BF2">
            <w:pPr>
              <w:pStyle w:val="Heading3"/>
              <w:numPr>
                <w:ilvl w:val="0"/>
                <w:numId w:val="1"/>
              </w:numPr>
              <w:spacing w:before="120" w:after="120"/>
              <w:outlineLvl w:val="2"/>
              <w:rPr>
                <w:rFonts w:ascii="Segoe UI" w:hAnsi="Segoe UI" w:cs="Segoe UI"/>
                <w:lang w:val="en-US"/>
              </w:rPr>
            </w:pPr>
            <w:bookmarkStart w:id="34" w:name="_Toc50132678"/>
            <w:bookmarkStart w:id="35" w:name="_Toc51140074"/>
            <w:bookmarkStart w:id="36" w:name="_Toc51229428"/>
            <w:r w:rsidRPr="00FA4178">
              <w:rPr>
                <w:rFonts w:ascii="Segoe UI" w:hAnsi="Segoe UI" w:cs="Segoe UI"/>
              </w:rPr>
              <w:t>What is the estimated time to clear this backlog?</w:t>
            </w:r>
            <w:bookmarkEnd w:id="34"/>
            <w:bookmarkEnd w:id="35"/>
            <w:bookmarkEnd w:id="36"/>
          </w:p>
        </w:tc>
      </w:tr>
    </w:tbl>
    <w:p w14:paraId="3F922186" w14:textId="6E264214" w:rsidR="00CF1298" w:rsidRPr="00931CCC" w:rsidRDefault="009C1BF2" w:rsidP="00CF1298">
      <w:pPr>
        <w:spacing w:before="120" w:after="120"/>
        <w:rPr>
          <w:rFonts w:ascii="Segoe UI" w:hAnsi="Segoe UI" w:cs="Segoe UI"/>
        </w:rPr>
      </w:pPr>
      <w:r w:rsidRPr="00FA4178">
        <w:rPr>
          <w:rFonts w:ascii="Segoe UI" w:hAnsi="Segoe UI" w:cs="Segoe UI"/>
        </w:rPr>
        <w:t>Nationally, the number of estimated planned care cancellations in the week ending 6 September was 33 patients, down from 117 in the week ending 30 August, and 433 in the week ending 23 August with approximately 94% of the cancellations since 10 August from the three Auckland DHBs. This suggests that DHBs have returned to close to usual levels of throughput and continue to address the lockdown backlog and recovery. The Ministry continues to engage with all DHBs over their Improvement Action Plans including strategies and actions to reduce their planned care waiting lists following the disruption of COVID-19. The Ministry will be finalising these plans with all DHBs in the coming weeks, at which time we will be in a better position to provide an estimated recovery timeframe.</w:t>
      </w:r>
    </w:p>
    <w:sectPr w:rsidR="00CF1298" w:rsidRPr="00931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453D"/>
    <w:multiLevelType w:val="hybridMultilevel"/>
    <w:tmpl w:val="06BA5F66"/>
    <w:lvl w:ilvl="0" w:tplc="830E3DAA">
      <w:numFmt w:val="bullet"/>
      <w:lvlText w:val="-"/>
      <w:lvlJc w:val="left"/>
      <w:pPr>
        <w:ind w:left="1080" w:hanging="720"/>
      </w:pPr>
      <w:rPr>
        <w:rFonts w:ascii="Segoe UI" w:eastAsiaTheme="minorEastAsia"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2B65C6"/>
    <w:multiLevelType w:val="hybridMultilevel"/>
    <w:tmpl w:val="6374EE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7202CC0"/>
    <w:multiLevelType w:val="hybridMultilevel"/>
    <w:tmpl w:val="B3C64366"/>
    <w:lvl w:ilvl="0" w:tplc="2982E28A">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08"/>
    <w:rsid w:val="00001C31"/>
    <w:rsid w:val="0004627D"/>
    <w:rsid w:val="000572EF"/>
    <w:rsid w:val="00070B38"/>
    <w:rsid w:val="00250666"/>
    <w:rsid w:val="00323E2F"/>
    <w:rsid w:val="00404CA8"/>
    <w:rsid w:val="00446DC7"/>
    <w:rsid w:val="004C04EB"/>
    <w:rsid w:val="005A7454"/>
    <w:rsid w:val="00616236"/>
    <w:rsid w:val="0064287C"/>
    <w:rsid w:val="00784001"/>
    <w:rsid w:val="00802A08"/>
    <w:rsid w:val="00931CCC"/>
    <w:rsid w:val="0098791E"/>
    <w:rsid w:val="009C0B34"/>
    <w:rsid w:val="009C1BF2"/>
    <w:rsid w:val="00A263BE"/>
    <w:rsid w:val="00A569AE"/>
    <w:rsid w:val="00B842DD"/>
    <w:rsid w:val="00C278F9"/>
    <w:rsid w:val="00CF1298"/>
    <w:rsid w:val="00E03AA3"/>
    <w:rsid w:val="00EA4727"/>
    <w:rsid w:val="00F91FB3"/>
    <w:rsid w:val="00FB7DE1"/>
    <w:rsid w:val="00FE6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0B37"/>
  <w15:chartTrackingRefBased/>
  <w15:docId w15:val="{8527D92E-5F9A-424A-B70C-805C0424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A08"/>
  </w:style>
  <w:style w:type="paragraph" w:styleId="Heading1">
    <w:name w:val="heading 1"/>
    <w:basedOn w:val="Normal"/>
    <w:next w:val="Normal"/>
    <w:link w:val="Heading1Char"/>
    <w:uiPriority w:val="9"/>
    <w:qFormat/>
    <w:rsid w:val="00802A0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02A0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02A0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02A0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02A0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02A0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02A0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2A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02A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A0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02A08"/>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rsid w:val="00802A08"/>
    <w:rPr>
      <w:rFonts w:asciiTheme="majorHAnsi" w:eastAsiaTheme="majorEastAsia" w:hAnsiTheme="majorHAnsi" w:cstheme="majorBidi"/>
      <w:color w:val="0D0D0D" w:themeColor="text1" w:themeTint="F2"/>
      <w:sz w:val="24"/>
      <w:szCs w:val="24"/>
    </w:rPr>
  </w:style>
  <w:style w:type="character" w:styleId="CommentReference">
    <w:name w:val="annotation reference"/>
    <w:basedOn w:val="DefaultParagraphFont"/>
    <w:uiPriority w:val="99"/>
    <w:semiHidden/>
    <w:unhideWhenUsed/>
    <w:rsid w:val="00802A08"/>
    <w:rPr>
      <w:sz w:val="16"/>
      <w:szCs w:val="16"/>
    </w:rPr>
  </w:style>
  <w:style w:type="paragraph" w:styleId="CommentText">
    <w:name w:val="annotation text"/>
    <w:basedOn w:val="Normal"/>
    <w:link w:val="CommentTextChar"/>
    <w:uiPriority w:val="99"/>
    <w:semiHidden/>
    <w:unhideWhenUsed/>
    <w:rsid w:val="00802A08"/>
    <w:rPr>
      <w:sz w:val="20"/>
      <w:szCs w:val="20"/>
    </w:rPr>
  </w:style>
  <w:style w:type="character" w:customStyle="1" w:styleId="CommentTextChar">
    <w:name w:val="Comment Text Char"/>
    <w:basedOn w:val="DefaultParagraphFont"/>
    <w:link w:val="CommentText"/>
    <w:uiPriority w:val="99"/>
    <w:semiHidden/>
    <w:rsid w:val="00802A08"/>
    <w:rPr>
      <w:rFonts w:eastAsiaTheme="minorEastAsia"/>
      <w:sz w:val="20"/>
      <w:szCs w:val="20"/>
    </w:rPr>
  </w:style>
  <w:style w:type="paragraph" w:styleId="BalloonText">
    <w:name w:val="Balloon Text"/>
    <w:basedOn w:val="Normal"/>
    <w:link w:val="BalloonTextChar"/>
    <w:uiPriority w:val="99"/>
    <w:semiHidden/>
    <w:unhideWhenUsed/>
    <w:rsid w:val="0080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08"/>
    <w:rPr>
      <w:rFonts w:ascii="Segoe UI" w:hAnsi="Segoe UI" w:cs="Segoe UI"/>
      <w:sz w:val="18"/>
      <w:szCs w:val="18"/>
    </w:rPr>
  </w:style>
  <w:style w:type="character" w:customStyle="1" w:styleId="Heading2Char">
    <w:name w:val="Heading 2 Char"/>
    <w:basedOn w:val="DefaultParagraphFont"/>
    <w:link w:val="Heading2"/>
    <w:uiPriority w:val="9"/>
    <w:rsid w:val="00802A08"/>
    <w:rPr>
      <w:rFonts w:asciiTheme="majorHAnsi" w:eastAsiaTheme="majorEastAsia" w:hAnsiTheme="majorHAnsi" w:cstheme="majorBidi"/>
      <w:color w:val="262626" w:themeColor="text1" w:themeTint="D9"/>
      <w:sz w:val="28"/>
      <w:szCs w:val="28"/>
    </w:rPr>
  </w:style>
  <w:style w:type="character" w:customStyle="1" w:styleId="Heading1Char">
    <w:name w:val="Heading 1 Char"/>
    <w:basedOn w:val="DefaultParagraphFont"/>
    <w:link w:val="Heading1"/>
    <w:uiPriority w:val="9"/>
    <w:rsid w:val="00802A08"/>
    <w:rPr>
      <w:rFonts w:asciiTheme="majorHAnsi" w:eastAsiaTheme="majorEastAsia" w:hAnsiTheme="majorHAnsi" w:cstheme="majorBidi"/>
      <w:color w:val="262626" w:themeColor="text1" w:themeTint="D9"/>
      <w:sz w:val="32"/>
      <w:szCs w:val="32"/>
    </w:rPr>
  </w:style>
  <w:style w:type="character" w:customStyle="1" w:styleId="Heading4Char">
    <w:name w:val="Heading 4 Char"/>
    <w:basedOn w:val="DefaultParagraphFont"/>
    <w:link w:val="Heading4"/>
    <w:uiPriority w:val="9"/>
    <w:semiHidden/>
    <w:rsid w:val="00802A0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02A0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02A0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02A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2A0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02A0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02A0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02A0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02A08"/>
    <w:rPr>
      <w:color w:val="5A5A5A" w:themeColor="text1" w:themeTint="A5"/>
      <w:spacing w:val="15"/>
    </w:rPr>
  </w:style>
  <w:style w:type="character" w:styleId="Strong">
    <w:name w:val="Strong"/>
    <w:basedOn w:val="DefaultParagraphFont"/>
    <w:uiPriority w:val="22"/>
    <w:qFormat/>
    <w:rsid w:val="00802A08"/>
    <w:rPr>
      <w:b/>
      <w:bCs/>
      <w:color w:val="auto"/>
    </w:rPr>
  </w:style>
  <w:style w:type="character" w:styleId="Emphasis">
    <w:name w:val="Emphasis"/>
    <w:basedOn w:val="DefaultParagraphFont"/>
    <w:uiPriority w:val="20"/>
    <w:qFormat/>
    <w:rsid w:val="00802A08"/>
    <w:rPr>
      <w:i/>
      <w:iCs/>
      <w:color w:val="auto"/>
    </w:rPr>
  </w:style>
  <w:style w:type="paragraph" w:styleId="NoSpacing">
    <w:name w:val="No Spacing"/>
    <w:uiPriority w:val="1"/>
    <w:qFormat/>
    <w:rsid w:val="00802A08"/>
    <w:pPr>
      <w:spacing w:after="0" w:line="240" w:lineRule="auto"/>
    </w:pPr>
  </w:style>
  <w:style w:type="paragraph" w:styleId="Quote">
    <w:name w:val="Quote"/>
    <w:basedOn w:val="Normal"/>
    <w:next w:val="Normal"/>
    <w:link w:val="QuoteChar"/>
    <w:uiPriority w:val="29"/>
    <w:qFormat/>
    <w:rsid w:val="00802A0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02A08"/>
    <w:rPr>
      <w:i/>
      <w:iCs/>
      <w:color w:val="404040" w:themeColor="text1" w:themeTint="BF"/>
    </w:rPr>
  </w:style>
  <w:style w:type="paragraph" w:styleId="IntenseQuote">
    <w:name w:val="Intense Quote"/>
    <w:basedOn w:val="Normal"/>
    <w:next w:val="Normal"/>
    <w:link w:val="IntenseQuoteChar"/>
    <w:uiPriority w:val="30"/>
    <w:qFormat/>
    <w:rsid w:val="00802A0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02A08"/>
    <w:rPr>
      <w:i/>
      <w:iCs/>
      <w:color w:val="404040" w:themeColor="text1" w:themeTint="BF"/>
    </w:rPr>
  </w:style>
  <w:style w:type="character" w:styleId="SubtleEmphasis">
    <w:name w:val="Subtle Emphasis"/>
    <w:basedOn w:val="DefaultParagraphFont"/>
    <w:uiPriority w:val="19"/>
    <w:qFormat/>
    <w:rsid w:val="00802A08"/>
    <w:rPr>
      <w:i/>
      <w:iCs/>
      <w:color w:val="404040" w:themeColor="text1" w:themeTint="BF"/>
    </w:rPr>
  </w:style>
  <w:style w:type="character" w:styleId="IntenseEmphasis">
    <w:name w:val="Intense Emphasis"/>
    <w:basedOn w:val="DefaultParagraphFont"/>
    <w:uiPriority w:val="21"/>
    <w:qFormat/>
    <w:rsid w:val="00802A08"/>
    <w:rPr>
      <w:b/>
      <w:bCs/>
      <w:i/>
      <w:iCs/>
      <w:color w:val="auto"/>
    </w:rPr>
  </w:style>
  <w:style w:type="character" w:styleId="SubtleReference">
    <w:name w:val="Subtle Reference"/>
    <w:basedOn w:val="DefaultParagraphFont"/>
    <w:uiPriority w:val="31"/>
    <w:qFormat/>
    <w:rsid w:val="00802A08"/>
    <w:rPr>
      <w:smallCaps/>
      <w:color w:val="404040" w:themeColor="text1" w:themeTint="BF"/>
    </w:rPr>
  </w:style>
  <w:style w:type="character" w:styleId="IntenseReference">
    <w:name w:val="Intense Reference"/>
    <w:basedOn w:val="DefaultParagraphFont"/>
    <w:uiPriority w:val="32"/>
    <w:qFormat/>
    <w:rsid w:val="00802A08"/>
    <w:rPr>
      <w:b/>
      <w:bCs/>
      <w:smallCaps/>
      <w:color w:val="404040" w:themeColor="text1" w:themeTint="BF"/>
      <w:spacing w:val="5"/>
    </w:rPr>
  </w:style>
  <w:style w:type="character" w:styleId="BookTitle">
    <w:name w:val="Book Title"/>
    <w:basedOn w:val="DefaultParagraphFont"/>
    <w:uiPriority w:val="33"/>
    <w:qFormat/>
    <w:rsid w:val="00802A08"/>
    <w:rPr>
      <w:b/>
      <w:bCs/>
      <w:i/>
      <w:iCs/>
      <w:spacing w:val="5"/>
    </w:rPr>
  </w:style>
  <w:style w:type="paragraph" w:styleId="TOCHeading">
    <w:name w:val="TOC Heading"/>
    <w:basedOn w:val="Heading1"/>
    <w:next w:val="Normal"/>
    <w:uiPriority w:val="39"/>
    <w:unhideWhenUsed/>
    <w:qFormat/>
    <w:rsid w:val="00802A08"/>
    <w:pPr>
      <w:outlineLvl w:val="9"/>
    </w:pPr>
  </w:style>
  <w:style w:type="table" w:styleId="TableGrid">
    <w:name w:val="Table Grid"/>
    <w:basedOn w:val="TableNormal"/>
    <w:uiPriority w:val="59"/>
    <w:rsid w:val="00802A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02A08"/>
    <w:pPr>
      <w:spacing w:after="100"/>
      <w:ind w:left="220"/>
    </w:pPr>
  </w:style>
  <w:style w:type="paragraph" w:styleId="TOC3">
    <w:name w:val="toc 3"/>
    <w:basedOn w:val="Normal"/>
    <w:next w:val="Normal"/>
    <w:autoRedefine/>
    <w:uiPriority w:val="39"/>
    <w:unhideWhenUsed/>
    <w:rsid w:val="00802A08"/>
    <w:pPr>
      <w:spacing w:after="100"/>
      <w:ind w:left="440"/>
    </w:pPr>
  </w:style>
  <w:style w:type="character" w:styleId="Hyperlink">
    <w:name w:val="Hyperlink"/>
    <w:basedOn w:val="DefaultParagraphFont"/>
    <w:uiPriority w:val="99"/>
    <w:unhideWhenUsed/>
    <w:rsid w:val="00802A08"/>
    <w:rPr>
      <w:color w:val="0563C1" w:themeColor="hyperlink"/>
      <w:u w:val="single"/>
    </w:rPr>
  </w:style>
  <w:style w:type="paragraph" w:styleId="ListParagraph">
    <w:name w:val="List Paragraph"/>
    <w:basedOn w:val="Normal"/>
    <w:uiPriority w:val="34"/>
    <w:qFormat/>
    <w:rsid w:val="00B842DD"/>
    <w:pPr>
      <w:ind w:left="720"/>
      <w:contextualSpacing/>
    </w:pPr>
  </w:style>
  <w:style w:type="paragraph" w:styleId="CommentSubject">
    <w:name w:val="annotation subject"/>
    <w:basedOn w:val="CommentText"/>
    <w:next w:val="CommentText"/>
    <w:link w:val="CommentSubjectChar"/>
    <w:uiPriority w:val="99"/>
    <w:semiHidden/>
    <w:unhideWhenUsed/>
    <w:rsid w:val="00B842DD"/>
    <w:pPr>
      <w:spacing w:line="240" w:lineRule="auto"/>
    </w:pPr>
    <w:rPr>
      <w:b/>
      <w:bCs/>
    </w:rPr>
  </w:style>
  <w:style w:type="character" w:customStyle="1" w:styleId="CommentSubjectChar">
    <w:name w:val="Comment Subject Char"/>
    <w:basedOn w:val="CommentTextChar"/>
    <w:link w:val="CommentSubject"/>
    <w:uiPriority w:val="99"/>
    <w:semiHidden/>
    <w:rsid w:val="00B84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320">
      <w:bodyDiv w:val="1"/>
      <w:marLeft w:val="0"/>
      <w:marRight w:val="0"/>
      <w:marTop w:val="0"/>
      <w:marBottom w:val="0"/>
      <w:divBdr>
        <w:top w:val="none" w:sz="0" w:space="0" w:color="auto"/>
        <w:left w:val="none" w:sz="0" w:space="0" w:color="auto"/>
        <w:bottom w:val="none" w:sz="0" w:space="0" w:color="auto"/>
        <w:right w:val="none" w:sz="0" w:space="0" w:color="auto"/>
      </w:divBdr>
    </w:div>
    <w:div w:id="417101331">
      <w:bodyDiv w:val="1"/>
      <w:marLeft w:val="0"/>
      <w:marRight w:val="0"/>
      <w:marTop w:val="0"/>
      <w:marBottom w:val="0"/>
      <w:divBdr>
        <w:top w:val="none" w:sz="0" w:space="0" w:color="auto"/>
        <w:left w:val="none" w:sz="0" w:space="0" w:color="auto"/>
        <w:bottom w:val="none" w:sz="0" w:space="0" w:color="auto"/>
        <w:right w:val="none" w:sz="0" w:space="0" w:color="auto"/>
      </w:divBdr>
    </w:div>
    <w:div w:id="642655893">
      <w:bodyDiv w:val="1"/>
      <w:marLeft w:val="0"/>
      <w:marRight w:val="0"/>
      <w:marTop w:val="0"/>
      <w:marBottom w:val="0"/>
      <w:divBdr>
        <w:top w:val="none" w:sz="0" w:space="0" w:color="auto"/>
        <w:left w:val="none" w:sz="0" w:space="0" w:color="auto"/>
        <w:bottom w:val="none" w:sz="0" w:space="0" w:color="auto"/>
        <w:right w:val="none" w:sz="0" w:space="0" w:color="auto"/>
      </w:divBdr>
    </w:div>
    <w:div w:id="20455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0E7E-975C-43F0-A74B-2925A423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Gorzeman</dc:creator>
  <cp:keywords/>
  <dc:description/>
  <cp:lastModifiedBy>Ava Gorzeman</cp:lastModifiedBy>
  <cp:revision>21</cp:revision>
  <dcterms:created xsi:type="dcterms:W3CDTF">2020-09-04T00:22:00Z</dcterms:created>
  <dcterms:modified xsi:type="dcterms:W3CDTF">2020-09-16T22:03:00Z</dcterms:modified>
</cp:coreProperties>
</file>