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11E" w:rsidRPr="00C37333" w:rsidRDefault="0074411E" w:rsidP="00716F8A">
      <w:pPr>
        <w:pStyle w:val="Title"/>
        <w:spacing w:after="0"/>
        <w:rPr>
          <w:rFonts w:ascii="Arial" w:eastAsia="Times New Roman" w:hAnsi="Arial" w:cs="Arial"/>
          <w:sz w:val="22"/>
          <w:szCs w:val="22"/>
          <w:lang w:eastAsia="en-NZ"/>
        </w:rPr>
      </w:pPr>
      <w:bookmarkStart w:id="0" w:name="_top"/>
      <w:bookmarkEnd w:id="0"/>
      <w:r w:rsidRPr="00C37333">
        <w:rPr>
          <w:rFonts w:ascii="Arial" w:hAnsi="Arial" w:cs="Arial"/>
          <w:noProof/>
          <w:sz w:val="22"/>
          <w:szCs w:val="22"/>
          <w:lang w:eastAsia="en-NZ"/>
        </w:rPr>
        <w:drawing>
          <wp:inline distT="0" distB="0" distL="0" distR="0">
            <wp:extent cx="4293704" cy="1670011"/>
            <wp:effectExtent l="0" t="0" r="0" b="6985"/>
            <wp:docPr id="1" name="Picture 1" descr="The logo shows a picture of books held by the Ministry of Health librar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p>
    <w:p w:rsidR="0074411E" w:rsidRPr="00C37333" w:rsidRDefault="0074411E" w:rsidP="00716F8A">
      <w:pPr>
        <w:pStyle w:val="Title"/>
        <w:spacing w:after="0"/>
        <w:rPr>
          <w:rFonts w:ascii="Arial" w:eastAsia="Times New Roman" w:hAnsi="Arial" w:cs="Arial"/>
          <w:sz w:val="22"/>
          <w:szCs w:val="22"/>
          <w:lang w:eastAsia="en-NZ"/>
        </w:rPr>
      </w:pPr>
    </w:p>
    <w:p w:rsidR="000F05DA" w:rsidRPr="00AB0580" w:rsidRDefault="000F05DA" w:rsidP="00716F8A">
      <w:pPr>
        <w:pStyle w:val="Title"/>
        <w:spacing w:after="0"/>
        <w:rPr>
          <w:rFonts w:ascii="Arial" w:eastAsia="Times New Roman" w:hAnsi="Arial" w:cs="Arial"/>
          <w:b/>
          <w:color w:val="C0504D" w:themeColor="accent2"/>
          <w:sz w:val="48"/>
          <w:szCs w:val="48"/>
          <w:lang w:eastAsia="en-NZ"/>
        </w:rPr>
      </w:pPr>
      <w:r w:rsidRPr="00AB0580">
        <w:rPr>
          <w:rFonts w:ascii="Arial" w:eastAsia="Times New Roman" w:hAnsi="Arial" w:cs="Arial"/>
          <w:b/>
          <w:color w:val="C0504D" w:themeColor="accent2"/>
          <w:sz w:val="48"/>
          <w:szCs w:val="48"/>
          <w:lang w:eastAsia="en-NZ"/>
        </w:rPr>
        <w:t xml:space="preserve">Grey </w:t>
      </w:r>
      <w:r w:rsidR="00BF590E" w:rsidRPr="00AB0580">
        <w:rPr>
          <w:rFonts w:ascii="Arial" w:eastAsia="Times New Roman" w:hAnsi="Arial" w:cs="Arial"/>
          <w:b/>
          <w:color w:val="C0504D" w:themeColor="accent2"/>
          <w:sz w:val="48"/>
          <w:szCs w:val="48"/>
          <w:lang w:eastAsia="en-NZ"/>
        </w:rPr>
        <w:t>Matter</w:t>
      </w:r>
      <w:r w:rsidRPr="00AB0580">
        <w:rPr>
          <w:rFonts w:ascii="Arial" w:eastAsia="Times New Roman" w:hAnsi="Arial" w:cs="Arial"/>
          <w:b/>
          <w:color w:val="C0504D" w:themeColor="accent2"/>
          <w:sz w:val="48"/>
          <w:szCs w:val="48"/>
          <w:lang w:eastAsia="en-NZ"/>
        </w:rPr>
        <w:t xml:space="preserve">: A Collection of Recent </w:t>
      </w:r>
      <w:r w:rsidR="0074411E" w:rsidRPr="00AB0580">
        <w:rPr>
          <w:rFonts w:ascii="Arial" w:eastAsia="Times New Roman" w:hAnsi="Arial" w:cs="Arial"/>
          <w:b/>
          <w:color w:val="C0504D" w:themeColor="accent2"/>
          <w:sz w:val="48"/>
          <w:szCs w:val="48"/>
          <w:lang w:eastAsia="en-NZ"/>
        </w:rPr>
        <w:t xml:space="preserve">NGO, </w:t>
      </w:r>
      <w:r w:rsidRPr="00AB0580">
        <w:rPr>
          <w:rFonts w:ascii="Arial" w:eastAsia="Times New Roman" w:hAnsi="Arial" w:cs="Arial"/>
          <w:b/>
          <w:color w:val="C0504D" w:themeColor="accent2"/>
          <w:sz w:val="48"/>
          <w:szCs w:val="48"/>
          <w:lang w:eastAsia="en-NZ"/>
        </w:rPr>
        <w:t>Think Tank</w:t>
      </w:r>
      <w:r w:rsidR="0074411E" w:rsidRPr="00AB0580">
        <w:rPr>
          <w:rFonts w:ascii="Arial" w:eastAsia="Times New Roman" w:hAnsi="Arial" w:cs="Arial"/>
          <w:b/>
          <w:color w:val="C0504D" w:themeColor="accent2"/>
          <w:sz w:val="48"/>
          <w:szCs w:val="48"/>
          <w:lang w:eastAsia="en-NZ"/>
        </w:rPr>
        <w:t>, and International Government</w:t>
      </w:r>
      <w:r w:rsidRPr="00AB0580">
        <w:rPr>
          <w:rFonts w:ascii="Arial" w:eastAsia="Times New Roman" w:hAnsi="Arial" w:cs="Arial"/>
          <w:b/>
          <w:color w:val="C0504D" w:themeColor="accent2"/>
          <w:sz w:val="48"/>
          <w:szCs w:val="48"/>
          <w:lang w:eastAsia="en-NZ"/>
        </w:rPr>
        <w:t xml:space="preserve"> Reports</w:t>
      </w:r>
    </w:p>
    <w:p w:rsidR="00E0627D" w:rsidRPr="001417E6" w:rsidRDefault="00E0627D" w:rsidP="00716F8A">
      <w:pPr>
        <w:spacing w:after="0" w:line="240" w:lineRule="auto"/>
        <w:rPr>
          <w:rFonts w:eastAsia="Times New Roman" w:cs="Arial"/>
          <w:sz w:val="22"/>
          <w:lang w:eastAsia="en-NZ"/>
        </w:rPr>
      </w:pPr>
      <w:r w:rsidRPr="001417E6">
        <w:rPr>
          <w:rFonts w:eastAsia="Times New Roman" w:cs="Arial"/>
          <w:sz w:val="22"/>
          <w:lang w:eastAsia="en-NZ"/>
        </w:rPr>
        <w:t xml:space="preserve">Issue </w:t>
      </w:r>
      <w:r w:rsidR="009D4D04" w:rsidRPr="001417E6">
        <w:rPr>
          <w:rFonts w:eastAsia="Times New Roman" w:cs="Arial"/>
          <w:sz w:val="22"/>
          <w:lang w:eastAsia="en-NZ"/>
        </w:rPr>
        <w:t>1</w:t>
      </w:r>
      <w:r w:rsidR="00C1070A">
        <w:rPr>
          <w:rFonts w:eastAsia="Times New Roman" w:cs="Arial"/>
          <w:sz w:val="22"/>
          <w:lang w:eastAsia="en-NZ"/>
        </w:rPr>
        <w:t>5</w:t>
      </w:r>
      <w:r w:rsidR="00EE3206" w:rsidRPr="001417E6">
        <w:rPr>
          <w:rFonts w:eastAsia="Times New Roman" w:cs="Arial"/>
          <w:sz w:val="22"/>
          <w:lang w:eastAsia="en-NZ"/>
        </w:rPr>
        <w:t xml:space="preserve">, </w:t>
      </w:r>
      <w:r w:rsidR="001E1DD6" w:rsidRPr="001417E6">
        <w:rPr>
          <w:rFonts w:eastAsia="Times New Roman" w:cs="Arial"/>
          <w:sz w:val="22"/>
          <w:lang w:eastAsia="en-NZ"/>
        </w:rPr>
        <w:t>2014</w:t>
      </w:r>
      <w:r w:rsidR="00BF590E" w:rsidRPr="001417E6">
        <w:rPr>
          <w:rFonts w:eastAsia="Times New Roman" w:cs="Arial"/>
          <w:sz w:val="22"/>
          <w:lang w:eastAsia="en-NZ"/>
        </w:rPr>
        <w:t xml:space="preserve"> </w:t>
      </w:r>
      <w:r w:rsidR="00C1070A">
        <w:rPr>
          <w:rFonts w:eastAsia="Times New Roman" w:cs="Arial"/>
          <w:sz w:val="22"/>
          <w:lang w:eastAsia="en-NZ"/>
        </w:rPr>
        <w:t>October</w:t>
      </w:r>
    </w:p>
    <w:p w:rsidR="00E0627D" w:rsidRPr="001417E6" w:rsidRDefault="00E0627D" w:rsidP="00716F8A">
      <w:pPr>
        <w:spacing w:after="0" w:line="240" w:lineRule="auto"/>
        <w:rPr>
          <w:rFonts w:eastAsia="Times New Roman" w:cs="Arial"/>
          <w:sz w:val="22"/>
          <w:lang w:eastAsia="en-NZ"/>
        </w:rPr>
      </w:pPr>
    </w:p>
    <w:p w:rsidR="00BF590E" w:rsidRPr="001417E6" w:rsidRDefault="008F72C2" w:rsidP="00716F8A">
      <w:pPr>
        <w:spacing w:after="0" w:line="240" w:lineRule="auto"/>
        <w:rPr>
          <w:rFonts w:eastAsia="Times New Roman" w:cs="Arial"/>
          <w:sz w:val="22"/>
          <w:lang w:eastAsia="en-NZ"/>
        </w:rPr>
      </w:pPr>
      <w:r w:rsidRPr="001417E6">
        <w:rPr>
          <w:rFonts w:eastAsia="Times New Roman" w:cs="Arial"/>
          <w:sz w:val="22"/>
          <w:lang w:eastAsia="en-NZ"/>
        </w:rPr>
        <w:t xml:space="preserve">Welcome to </w:t>
      </w:r>
      <w:r w:rsidR="0074411E" w:rsidRPr="001417E6">
        <w:rPr>
          <w:rFonts w:eastAsia="Times New Roman" w:cs="Arial"/>
          <w:sz w:val="22"/>
          <w:lang w:eastAsia="en-NZ"/>
        </w:rPr>
        <w:t xml:space="preserve">Grey Matter, </w:t>
      </w:r>
      <w:r w:rsidRPr="001417E6">
        <w:rPr>
          <w:rFonts w:eastAsia="Times New Roman" w:cs="Arial"/>
          <w:sz w:val="22"/>
          <w:lang w:eastAsia="en-NZ"/>
        </w:rPr>
        <w:t xml:space="preserve">the Ministry of Health Library’s Grey Literature Bulletin. </w:t>
      </w:r>
      <w:r w:rsidR="00877114" w:rsidRPr="001417E6">
        <w:rPr>
          <w:rFonts w:eastAsia="Times New Roman" w:cs="Arial"/>
          <w:sz w:val="22"/>
          <w:lang w:eastAsia="en-NZ"/>
        </w:rPr>
        <w:t xml:space="preserve"> </w:t>
      </w:r>
      <w:r w:rsidRPr="001417E6">
        <w:rPr>
          <w:rFonts w:eastAsia="Times New Roman" w:cs="Arial"/>
          <w:sz w:val="22"/>
          <w:lang w:eastAsia="en-NZ"/>
        </w:rPr>
        <w:t>In each issue, we provide</w:t>
      </w:r>
      <w:r w:rsidR="007D3C80" w:rsidRPr="001417E6">
        <w:rPr>
          <w:rFonts w:eastAsia="Times New Roman" w:cs="Arial"/>
          <w:sz w:val="22"/>
          <w:lang w:eastAsia="en-NZ"/>
        </w:rPr>
        <w:t xml:space="preserve"> access to </w:t>
      </w:r>
      <w:r w:rsidR="00AC26FE" w:rsidRPr="001417E6">
        <w:rPr>
          <w:rFonts w:eastAsia="Times New Roman" w:cs="Arial"/>
          <w:sz w:val="22"/>
          <w:lang w:eastAsia="en-NZ"/>
        </w:rPr>
        <w:t xml:space="preserve">a selection of </w:t>
      </w:r>
      <w:r w:rsidR="007D3C80" w:rsidRPr="001417E6">
        <w:rPr>
          <w:rFonts w:eastAsia="Times New Roman" w:cs="Arial"/>
          <w:sz w:val="22"/>
          <w:lang w:eastAsia="en-NZ"/>
        </w:rPr>
        <w:t xml:space="preserve">the most recent </w:t>
      </w:r>
      <w:r w:rsidR="00EA2356" w:rsidRPr="001417E6">
        <w:rPr>
          <w:rFonts w:eastAsia="Times New Roman" w:cs="Arial"/>
          <w:sz w:val="22"/>
          <w:lang w:eastAsia="en-NZ"/>
        </w:rPr>
        <w:t>NGO,</w:t>
      </w:r>
      <w:r w:rsidR="007D3C80" w:rsidRPr="001417E6">
        <w:rPr>
          <w:rFonts w:eastAsia="Times New Roman" w:cs="Arial"/>
          <w:sz w:val="22"/>
          <w:lang w:eastAsia="en-NZ"/>
        </w:rPr>
        <w:t xml:space="preserve"> Think Tank</w:t>
      </w:r>
      <w:r w:rsidR="00EA2356" w:rsidRPr="001417E6">
        <w:rPr>
          <w:rFonts w:eastAsia="Times New Roman" w:cs="Arial"/>
          <w:sz w:val="22"/>
          <w:lang w:eastAsia="en-NZ"/>
        </w:rPr>
        <w:t xml:space="preserve">, and </w:t>
      </w:r>
      <w:r w:rsidR="00261E43" w:rsidRPr="001417E6">
        <w:rPr>
          <w:rFonts w:eastAsia="Times New Roman" w:cs="Arial"/>
          <w:sz w:val="22"/>
          <w:lang w:eastAsia="en-NZ"/>
        </w:rPr>
        <w:t>I</w:t>
      </w:r>
      <w:r w:rsidR="00EA2356" w:rsidRPr="001417E6">
        <w:rPr>
          <w:rFonts w:eastAsia="Times New Roman" w:cs="Arial"/>
          <w:sz w:val="22"/>
          <w:lang w:eastAsia="en-NZ"/>
        </w:rPr>
        <w:t>nternational Government</w:t>
      </w:r>
      <w:r w:rsidR="007D3C80" w:rsidRPr="001417E6">
        <w:rPr>
          <w:rFonts w:eastAsia="Times New Roman" w:cs="Arial"/>
          <w:sz w:val="22"/>
          <w:lang w:eastAsia="en-NZ"/>
        </w:rPr>
        <w:t xml:space="preserve"> reports</w:t>
      </w:r>
      <w:r w:rsidR="00EE3206" w:rsidRPr="001417E6">
        <w:rPr>
          <w:rFonts w:eastAsia="Times New Roman" w:cs="Arial"/>
          <w:sz w:val="22"/>
          <w:lang w:eastAsia="en-NZ"/>
        </w:rPr>
        <w:t xml:space="preserve"> </w:t>
      </w:r>
      <w:r w:rsidRPr="001417E6">
        <w:rPr>
          <w:rFonts w:eastAsia="Times New Roman" w:cs="Arial"/>
          <w:sz w:val="22"/>
          <w:lang w:eastAsia="en-NZ"/>
        </w:rPr>
        <w:t xml:space="preserve">that are relevant to </w:t>
      </w:r>
      <w:r w:rsidR="00F15E09" w:rsidRPr="001417E6">
        <w:rPr>
          <w:rFonts w:eastAsia="Times New Roman" w:cs="Arial"/>
          <w:sz w:val="22"/>
          <w:lang w:eastAsia="en-NZ"/>
        </w:rPr>
        <w:t>the health context</w:t>
      </w:r>
      <w:r w:rsidR="00286D3F" w:rsidRPr="001417E6">
        <w:rPr>
          <w:rFonts w:eastAsia="Times New Roman" w:cs="Arial"/>
          <w:sz w:val="22"/>
          <w:lang w:eastAsia="en-NZ"/>
        </w:rPr>
        <w:t>.  The goal of this</w:t>
      </w:r>
      <w:r w:rsidR="007D3C80" w:rsidRPr="001417E6">
        <w:rPr>
          <w:rFonts w:eastAsia="Times New Roman" w:cs="Arial"/>
          <w:sz w:val="22"/>
          <w:lang w:eastAsia="en-NZ"/>
        </w:rPr>
        <w:t xml:space="preserve"> newsletter </w:t>
      </w:r>
      <w:r w:rsidR="00286D3F" w:rsidRPr="001417E6">
        <w:rPr>
          <w:rFonts w:eastAsia="Times New Roman" w:cs="Arial"/>
          <w:sz w:val="22"/>
          <w:lang w:eastAsia="en-NZ"/>
        </w:rPr>
        <w:t>is to facilitate</w:t>
      </w:r>
      <w:r w:rsidR="007D3C80" w:rsidRPr="001417E6">
        <w:rPr>
          <w:rFonts w:eastAsia="Times New Roman" w:cs="Arial"/>
          <w:sz w:val="22"/>
          <w:lang w:eastAsia="en-NZ"/>
        </w:rPr>
        <w:t xml:space="preserve"> access to material that may be more difficult to loca</w:t>
      </w:r>
      <w:r w:rsidR="00BF590E" w:rsidRPr="001417E6">
        <w:rPr>
          <w:rFonts w:eastAsia="Times New Roman" w:cs="Arial"/>
          <w:sz w:val="22"/>
          <w:lang w:eastAsia="en-NZ"/>
        </w:rPr>
        <w:t>te</w:t>
      </w:r>
      <w:r w:rsidR="00262930" w:rsidRPr="001417E6">
        <w:rPr>
          <w:rFonts w:eastAsia="Times New Roman" w:cs="Arial"/>
          <w:sz w:val="22"/>
          <w:lang w:eastAsia="en-NZ"/>
        </w:rPr>
        <w:t xml:space="preserve"> (in contrast to journal articles and the news media)</w:t>
      </w:r>
      <w:r w:rsidR="00BF590E" w:rsidRPr="001417E6">
        <w:rPr>
          <w:rFonts w:eastAsia="Times New Roman" w:cs="Arial"/>
          <w:sz w:val="22"/>
          <w:lang w:eastAsia="en-NZ"/>
        </w:rPr>
        <w:t xml:space="preserve">.  </w:t>
      </w:r>
      <w:r w:rsidR="00F15E09" w:rsidRPr="001417E6">
        <w:rPr>
          <w:rFonts w:eastAsia="Times New Roman" w:cs="Arial"/>
          <w:sz w:val="22"/>
          <w:lang w:eastAsia="en-NZ"/>
        </w:rPr>
        <w:t>Inform</w:t>
      </w:r>
      <w:r w:rsidR="00261E43" w:rsidRPr="001417E6">
        <w:rPr>
          <w:rFonts w:eastAsia="Times New Roman" w:cs="Arial"/>
          <w:sz w:val="22"/>
          <w:lang w:eastAsia="en-NZ"/>
        </w:rPr>
        <w:t xml:space="preserve">ation </w:t>
      </w:r>
      <w:r w:rsidR="00792076" w:rsidRPr="001417E6">
        <w:rPr>
          <w:rFonts w:eastAsia="Times New Roman" w:cs="Arial"/>
          <w:sz w:val="22"/>
          <w:lang w:eastAsia="en-NZ"/>
        </w:rPr>
        <w:t>is</w:t>
      </w:r>
      <w:r w:rsidR="00261E43" w:rsidRPr="001417E6">
        <w:rPr>
          <w:rFonts w:eastAsia="Times New Roman" w:cs="Arial"/>
          <w:sz w:val="22"/>
          <w:lang w:eastAsia="en-NZ"/>
        </w:rPr>
        <w:t xml:space="preserve"> arranged by topic, allowing </w:t>
      </w:r>
      <w:r w:rsidR="00F15E09" w:rsidRPr="001417E6">
        <w:rPr>
          <w:rFonts w:eastAsia="Times New Roman" w:cs="Arial"/>
          <w:sz w:val="22"/>
          <w:lang w:eastAsia="en-NZ"/>
        </w:rPr>
        <w:t>readers to quickly hone in on their key areas of interest.</w:t>
      </w:r>
      <w:r w:rsidR="007378DF" w:rsidRPr="001417E6">
        <w:rPr>
          <w:rFonts w:eastAsia="Times New Roman" w:cs="Arial"/>
          <w:sz w:val="22"/>
          <w:lang w:eastAsia="en-NZ"/>
        </w:rPr>
        <w:t xml:space="preserve"> Email </w:t>
      </w:r>
      <w:hyperlink r:id="rId11" w:history="1">
        <w:r w:rsidR="007378DF" w:rsidRPr="001417E6">
          <w:rPr>
            <w:rStyle w:val="Hyperlink"/>
            <w:rFonts w:eastAsia="Times New Roman" w:cs="Arial"/>
            <w:sz w:val="22"/>
            <w:lang w:eastAsia="en-NZ"/>
          </w:rPr>
          <w:t>library@moh.govt.nz</w:t>
        </w:r>
      </w:hyperlink>
      <w:r w:rsidR="007378DF" w:rsidRPr="001417E6">
        <w:rPr>
          <w:rFonts w:eastAsia="Times New Roman" w:cs="Arial"/>
          <w:sz w:val="22"/>
          <w:lang w:eastAsia="en-NZ"/>
        </w:rPr>
        <w:t xml:space="preserve"> to subscribe.</w:t>
      </w:r>
    </w:p>
    <w:p w:rsidR="00026B74" w:rsidRPr="001417E6" w:rsidRDefault="00026B74" w:rsidP="00716F8A">
      <w:pPr>
        <w:spacing w:after="0" w:line="240" w:lineRule="auto"/>
        <w:rPr>
          <w:rFonts w:eastAsia="Times New Roman" w:cs="Arial"/>
          <w:sz w:val="22"/>
          <w:lang w:eastAsia="en-NZ"/>
        </w:rPr>
      </w:pPr>
    </w:p>
    <w:p w:rsidR="002131CB" w:rsidRPr="001417E6" w:rsidRDefault="002131CB" w:rsidP="00716F8A">
      <w:pPr>
        <w:spacing w:after="0" w:line="240" w:lineRule="auto"/>
        <w:rPr>
          <w:rFonts w:eastAsia="Times New Roman" w:cs="Arial"/>
          <w:sz w:val="22"/>
          <w:lang w:eastAsia="en-NZ"/>
        </w:rPr>
      </w:pPr>
      <w:r w:rsidRPr="001417E6">
        <w:rPr>
          <w:rFonts w:eastAsia="Times New Roman" w:cs="Arial"/>
          <w:sz w:val="22"/>
          <w:lang w:eastAsia="en-NZ"/>
        </w:rPr>
        <w:t>Click on any of the bulleted points below to go to a section of interest.</w:t>
      </w:r>
    </w:p>
    <w:p w:rsidR="00AC26FE" w:rsidRPr="001417E6" w:rsidRDefault="00AC26FE" w:rsidP="00716F8A">
      <w:pPr>
        <w:spacing w:after="0" w:line="240" w:lineRule="auto"/>
        <w:rPr>
          <w:rFonts w:eastAsia="Times New Roman" w:cs="Arial"/>
          <w:sz w:val="22"/>
          <w:lang w:eastAsia="en-NZ"/>
        </w:rPr>
      </w:pPr>
    </w:p>
    <w:p w:rsidR="000F05DA" w:rsidRPr="001417E6" w:rsidRDefault="007D3C80" w:rsidP="00716F8A">
      <w:pPr>
        <w:spacing w:after="0" w:line="240" w:lineRule="auto"/>
        <w:rPr>
          <w:rFonts w:eastAsia="Times New Roman" w:cs="Arial"/>
          <w:sz w:val="22"/>
          <w:lang w:eastAsia="en-NZ"/>
        </w:rPr>
      </w:pPr>
      <w:r w:rsidRPr="001417E6">
        <w:rPr>
          <w:rFonts w:eastAsia="Times New Roman" w:cs="Arial"/>
          <w:sz w:val="22"/>
          <w:lang w:eastAsia="en-NZ"/>
        </w:rPr>
        <w:t>Key areas</w:t>
      </w:r>
      <w:r w:rsidR="00E0627D" w:rsidRPr="001417E6">
        <w:rPr>
          <w:rFonts w:eastAsia="Times New Roman" w:cs="Arial"/>
          <w:sz w:val="22"/>
          <w:lang w:eastAsia="en-NZ"/>
        </w:rPr>
        <w:t xml:space="preserve"> of interest in </w:t>
      </w:r>
      <w:r w:rsidR="00BF590E" w:rsidRPr="001417E6">
        <w:rPr>
          <w:rFonts w:eastAsia="Times New Roman" w:cs="Arial"/>
          <w:sz w:val="22"/>
          <w:lang w:eastAsia="en-NZ"/>
        </w:rPr>
        <w:t>our current issue</w:t>
      </w:r>
      <w:r w:rsidRPr="001417E6">
        <w:rPr>
          <w:rFonts w:eastAsia="Times New Roman" w:cs="Arial"/>
          <w:sz w:val="22"/>
          <w:lang w:eastAsia="en-NZ"/>
        </w:rPr>
        <w:t xml:space="preserve"> include:</w:t>
      </w:r>
    </w:p>
    <w:p w:rsidR="007D3C80" w:rsidRPr="001417E6" w:rsidRDefault="007D3C80" w:rsidP="00716F8A">
      <w:pPr>
        <w:spacing w:after="0" w:line="240" w:lineRule="auto"/>
        <w:rPr>
          <w:rFonts w:eastAsia="Times New Roman" w:cs="Arial"/>
          <w:sz w:val="22"/>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of contents for newsletter"/>
      </w:tblPr>
      <w:tblGrid>
        <w:gridCol w:w="5070"/>
        <w:gridCol w:w="4173"/>
      </w:tblGrid>
      <w:tr w:rsidR="007D3C80" w:rsidRPr="001417E6" w:rsidTr="001A4454">
        <w:tc>
          <w:tcPr>
            <w:tcW w:w="5070" w:type="dxa"/>
          </w:tcPr>
          <w:p w:rsidR="007D3C80" w:rsidRPr="001417E6" w:rsidRDefault="002A221C" w:rsidP="00FC525E">
            <w:pPr>
              <w:pStyle w:val="ListParagraph"/>
              <w:numPr>
                <w:ilvl w:val="0"/>
                <w:numId w:val="1"/>
              </w:numPr>
              <w:rPr>
                <w:rFonts w:eastAsia="Times New Roman" w:cs="Arial"/>
                <w:sz w:val="22"/>
                <w:lang w:eastAsia="en-NZ"/>
              </w:rPr>
            </w:pPr>
            <w:hyperlink w:anchor="_Public_Health_Issues" w:history="1">
              <w:r w:rsidR="00F4492D" w:rsidRPr="002A221C">
                <w:rPr>
                  <w:rStyle w:val="Hyperlink"/>
                  <w:rFonts w:eastAsia="Times New Roman" w:cs="Arial"/>
                  <w:sz w:val="22"/>
                  <w:lang w:eastAsia="en-NZ"/>
                </w:rPr>
                <w:t>Public Health Issues</w:t>
              </w:r>
            </w:hyperlink>
          </w:p>
        </w:tc>
        <w:tc>
          <w:tcPr>
            <w:tcW w:w="4173" w:type="dxa"/>
          </w:tcPr>
          <w:p w:rsidR="007D3C80" w:rsidRPr="001417E6" w:rsidRDefault="002A221C" w:rsidP="002A221C">
            <w:pPr>
              <w:pStyle w:val="ListParagraph"/>
              <w:numPr>
                <w:ilvl w:val="0"/>
                <w:numId w:val="1"/>
              </w:numPr>
              <w:rPr>
                <w:rFonts w:eastAsia="Times New Roman" w:cs="Arial"/>
                <w:sz w:val="22"/>
                <w:lang w:eastAsia="en-NZ"/>
              </w:rPr>
            </w:pPr>
            <w:hyperlink w:anchor="_Systems,_Costs_&amp;" w:history="1">
              <w:r w:rsidRPr="002A221C">
                <w:rPr>
                  <w:rStyle w:val="Hyperlink"/>
                  <w:rFonts w:eastAsia="Times New Roman" w:cs="Arial"/>
                  <w:sz w:val="22"/>
                  <w:lang w:eastAsia="en-NZ"/>
                </w:rPr>
                <w:t>Systems, Costs &amp; Reform</w:t>
              </w:r>
            </w:hyperlink>
            <w:r>
              <w:rPr>
                <w:rFonts w:eastAsia="Times New Roman" w:cs="Arial"/>
                <w:sz w:val="22"/>
                <w:lang w:eastAsia="en-NZ"/>
              </w:rPr>
              <w:t xml:space="preserve"> </w:t>
            </w:r>
          </w:p>
        </w:tc>
      </w:tr>
      <w:tr w:rsidR="007D3C80" w:rsidRPr="001417E6" w:rsidTr="001A4454">
        <w:tc>
          <w:tcPr>
            <w:tcW w:w="5070" w:type="dxa"/>
          </w:tcPr>
          <w:p w:rsidR="007D3C80" w:rsidRPr="001417E6" w:rsidRDefault="002A221C" w:rsidP="00FC525E">
            <w:pPr>
              <w:pStyle w:val="ListParagraph"/>
              <w:numPr>
                <w:ilvl w:val="0"/>
                <w:numId w:val="1"/>
              </w:numPr>
              <w:rPr>
                <w:rFonts w:eastAsia="Times New Roman" w:cs="Arial"/>
                <w:sz w:val="22"/>
                <w:lang w:eastAsia="en-NZ"/>
              </w:rPr>
            </w:pPr>
            <w:hyperlink w:anchor="_Inequality" w:history="1">
              <w:r w:rsidR="00F4492D" w:rsidRPr="002A221C">
                <w:rPr>
                  <w:rStyle w:val="Hyperlink"/>
                  <w:rFonts w:eastAsia="Times New Roman" w:cs="Arial"/>
                  <w:sz w:val="22"/>
                  <w:lang w:eastAsia="en-NZ"/>
                </w:rPr>
                <w:t>Inequality</w:t>
              </w:r>
            </w:hyperlink>
          </w:p>
        </w:tc>
        <w:tc>
          <w:tcPr>
            <w:tcW w:w="4173" w:type="dxa"/>
          </w:tcPr>
          <w:p w:rsidR="007D3C80" w:rsidRPr="001417E6" w:rsidRDefault="002A221C" w:rsidP="002A221C">
            <w:pPr>
              <w:pStyle w:val="ListParagraph"/>
              <w:numPr>
                <w:ilvl w:val="0"/>
                <w:numId w:val="1"/>
              </w:numPr>
              <w:rPr>
                <w:rFonts w:eastAsia="Times New Roman" w:cs="Arial"/>
                <w:sz w:val="22"/>
                <w:lang w:eastAsia="en-NZ"/>
              </w:rPr>
            </w:pPr>
            <w:hyperlink w:anchor="_Child_&amp;_Youth" w:history="1">
              <w:r w:rsidRPr="002A221C">
                <w:rPr>
                  <w:rStyle w:val="Hyperlink"/>
                  <w:rFonts w:eastAsia="Times New Roman" w:cs="Arial"/>
                  <w:sz w:val="22"/>
                  <w:lang w:eastAsia="en-NZ"/>
                </w:rPr>
                <w:t>Child &amp; Youth Health</w:t>
              </w:r>
            </w:hyperlink>
          </w:p>
        </w:tc>
      </w:tr>
      <w:tr w:rsidR="008F72C2" w:rsidRPr="001417E6" w:rsidTr="001A4454">
        <w:tc>
          <w:tcPr>
            <w:tcW w:w="5070" w:type="dxa"/>
          </w:tcPr>
          <w:p w:rsidR="008F72C2" w:rsidRPr="001417E6" w:rsidRDefault="002A221C" w:rsidP="002A221C">
            <w:pPr>
              <w:pStyle w:val="ListParagraph"/>
              <w:numPr>
                <w:ilvl w:val="0"/>
                <w:numId w:val="1"/>
              </w:numPr>
              <w:rPr>
                <w:rFonts w:eastAsia="Times New Roman" w:cs="Arial"/>
                <w:sz w:val="22"/>
                <w:lang w:eastAsia="en-NZ"/>
              </w:rPr>
            </w:pPr>
            <w:hyperlink w:anchor="_Workforce_1" w:history="1">
              <w:r w:rsidRPr="002A221C">
                <w:rPr>
                  <w:rStyle w:val="Hyperlink"/>
                  <w:rFonts w:eastAsia="Times New Roman" w:cs="Arial"/>
                  <w:sz w:val="22"/>
                  <w:lang w:eastAsia="en-NZ"/>
                </w:rPr>
                <w:t>Workforce</w:t>
              </w:r>
            </w:hyperlink>
          </w:p>
        </w:tc>
        <w:tc>
          <w:tcPr>
            <w:tcW w:w="4173" w:type="dxa"/>
          </w:tcPr>
          <w:p w:rsidR="008F72C2" w:rsidRPr="001417E6" w:rsidRDefault="002A221C" w:rsidP="00716F8A">
            <w:pPr>
              <w:pStyle w:val="ListParagraph"/>
              <w:numPr>
                <w:ilvl w:val="0"/>
                <w:numId w:val="1"/>
              </w:numPr>
              <w:rPr>
                <w:rFonts w:eastAsia="Times New Roman" w:cs="Arial"/>
                <w:sz w:val="22"/>
                <w:lang w:eastAsia="en-NZ"/>
              </w:rPr>
            </w:pPr>
            <w:hyperlink w:anchor="_Social_Care" w:history="1">
              <w:r w:rsidRPr="002A221C">
                <w:rPr>
                  <w:rStyle w:val="Hyperlink"/>
                  <w:rFonts w:eastAsia="Times New Roman" w:cs="Arial"/>
                  <w:sz w:val="22"/>
                  <w:lang w:eastAsia="en-NZ"/>
                </w:rPr>
                <w:t>Social</w:t>
              </w:r>
              <w:r w:rsidRPr="002A221C">
                <w:rPr>
                  <w:rStyle w:val="Hyperlink"/>
                  <w:rFonts w:eastAsia="Times New Roman" w:cs="Arial"/>
                  <w:sz w:val="22"/>
                  <w:lang w:eastAsia="en-NZ"/>
                </w:rPr>
                <w:t xml:space="preserve"> </w:t>
              </w:r>
              <w:r w:rsidRPr="002A221C">
                <w:rPr>
                  <w:rStyle w:val="Hyperlink"/>
                  <w:rFonts w:eastAsia="Times New Roman" w:cs="Arial"/>
                  <w:sz w:val="22"/>
                  <w:lang w:eastAsia="en-NZ"/>
                </w:rPr>
                <w:t>Care</w:t>
              </w:r>
            </w:hyperlink>
          </w:p>
        </w:tc>
      </w:tr>
      <w:tr w:rsidR="00714E7C" w:rsidRPr="001417E6" w:rsidTr="001A4454">
        <w:tc>
          <w:tcPr>
            <w:tcW w:w="5070" w:type="dxa"/>
          </w:tcPr>
          <w:p w:rsidR="00714E7C" w:rsidRPr="001417E6" w:rsidRDefault="002A221C" w:rsidP="00007EEB">
            <w:pPr>
              <w:pStyle w:val="ListParagraph"/>
              <w:numPr>
                <w:ilvl w:val="0"/>
                <w:numId w:val="1"/>
              </w:numPr>
              <w:rPr>
                <w:rFonts w:eastAsia="Times New Roman" w:cs="Arial"/>
                <w:sz w:val="22"/>
                <w:lang w:eastAsia="en-NZ"/>
              </w:rPr>
            </w:pPr>
            <w:hyperlink w:anchor="_Health_of_Older_1" w:history="1">
              <w:r w:rsidRPr="002A221C">
                <w:rPr>
                  <w:rStyle w:val="Hyperlink"/>
                  <w:rFonts w:eastAsia="Times New Roman" w:cs="Arial"/>
                  <w:sz w:val="22"/>
                  <w:lang w:eastAsia="en-NZ"/>
                </w:rPr>
                <w:t>Health of Ol</w:t>
              </w:r>
              <w:r w:rsidRPr="002A221C">
                <w:rPr>
                  <w:rStyle w:val="Hyperlink"/>
                  <w:rFonts w:eastAsia="Times New Roman" w:cs="Arial"/>
                  <w:sz w:val="22"/>
                  <w:lang w:eastAsia="en-NZ"/>
                </w:rPr>
                <w:t>d</w:t>
              </w:r>
              <w:r w:rsidRPr="002A221C">
                <w:rPr>
                  <w:rStyle w:val="Hyperlink"/>
                  <w:rFonts w:eastAsia="Times New Roman" w:cs="Arial"/>
                  <w:sz w:val="22"/>
                  <w:lang w:eastAsia="en-NZ"/>
                </w:rPr>
                <w:t>er People</w:t>
              </w:r>
            </w:hyperlink>
          </w:p>
        </w:tc>
        <w:tc>
          <w:tcPr>
            <w:tcW w:w="4173" w:type="dxa"/>
          </w:tcPr>
          <w:p w:rsidR="00714E7C" w:rsidRPr="001417E6" w:rsidRDefault="002A221C" w:rsidP="00716F8A">
            <w:pPr>
              <w:pStyle w:val="ListParagraph"/>
              <w:numPr>
                <w:ilvl w:val="0"/>
                <w:numId w:val="1"/>
              </w:numPr>
              <w:rPr>
                <w:rFonts w:eastAsia="Times New Roman" w:cs="Arial"/>
                <w:sz w:val="22"/>
                <w:lang w:eastAsia="en-NZ"/>
              </w:rPr>
            </w:pPr>
            <w:hyperlink w:anchor="_Cancer_&amp;_End" w:history="1">
              <w:r w:rsidRPr="002A221C">
                <w:rPr>
                  <w:rStyle w:val="Hyperlink"/>
                  <w:rFonts w:eastAsia="Times New Roman" w:cs="Arial"/>
                  <w:sz w:val="22"/>
                  <w:lang w:eastAsia="en-NZ"/>
                </w:rPr>
                <w:t>Can</w:t>
              </w:r>
              <w:r w:rsidRPr="002A221C">
                <w:rPr>
                  <w:rStyle w:val="Hyperlink"/>
                  <w:rFonts w:eastAsia="Times New Roman" w:cs="Arial"/>
                  <w:sz w:val="22"/>
                  <w:lang w:eastAsia="en-NZ"/>
                </w:rPr>
                <w:t>c</w:t>
              </w:r>
              <w:r w:rsidRPr="002A221C">
                <w:rPr>
                  <w:rStyle w:val="Hyperlink"/>
                  <w:rFonts w:eastAsia="Times New Roman" w:cs="Arial"/>
                  <w:sz w:val="22"/>
                  <w:lang w:eastAsia="en-NZ"/>
                </w:rPr>
                <w:t xml:space="preserve">er &amp; </w:t>
              </w:r>
              <w:r w:rsidRPr="002A221C">
                <w:rPr>
                  <w:rStyle w:val="Hyperlink"/>
                  <w:rFonts w:eastAsia="Times New Roman" w:cs="Arial"/>
                  <w:sz w:val="22"/>
                  <w:lang w:eastAsia="en-NZ"/>
                </w:rPr>
                <w:t>E</w:t>
              </w:r>
              <w:r w:rsidRPr="002A221C">
                <w:rPr>
                  <w:rStyle w:val="Hyperlink"/>
                  <w:rFonts w:eastAsia="Times New Roman" w:cs="Arial"/>
                  <w:sz w:val="22"/>
                  <w:lang w:eastAsia="en-NZ"/>
                </w:rPr>
                <w:t>nd of Life Care</w:t>
              </w:r>
            </w:hyperlink>
          </w:p>
        </w:tc>
      </w:tr>
      <w:tr w:rsidR="00714E7C" w:rsidRPr="001417E6" w:rsidTr="001A4454">
        <w:tc>
          <w:tcPr>
            <w:tcW w:w="5070" w:type="dxa"/>
          </w:tcPr>
          <w:p w:rsidR="00714E7C" w:rsidRPr="001417E6" w:rsidRDefault="002A221C" w:rsidP="001A4454">
            <w:pPr>
              <w:pStyle w:val="ListParagraph"/>
              <w:numPr>
                <w:ilvl w:val="0"/>
                <w:numId w:val="1"/>
              </w:numPr>
              <w:rPr>
                <w:rFonts w:eastAsia="Times New Roman" w:cs="Arial"/>
                <w:sz w:val="22"/>
                <w:lang w:eastAsia="en-NZ"/>
              </w:rPr>
            </w:pPr>
            <w:hyperlink w:anchor="_Drugs_&amp;_Pharmaceutical" w:history="1">
              <w:r w:rsidR="00DF151F">
                <w:rPr>
                  <w:rStyle w:val="Hyperlink"/>
                  <w:rFonts w:eastAsia="Times New Roman" w:cs="Arial"/>
                  <w:sz w:val="22"/>
                  <w:lang w:eastAsia="en-NZ"/>
                </w:rPr>
                <w:t>Drugs/</w:t>
              </w:r>
              <w:r w:rsidRPr="002A221C">
                <w:rPr>
                  <w:rStyle w:val="Hyperlink"/>
                  <w:rFonts w:eastAsia="Times New Roman" w:cs="Arial"/>
                  <w:sz w:val="22"/>
                  <w:lang w:eastAsia="en-NZ"/>
                </w:rPr>
                <w:t>Pharmaceu</w:t>
              </w:r>
              <w:r w:rsidRPr="002A221C">
                <w:rPr>
                  <w:rStyle w:val="Hyperlink"/>
                  <w:rFonts w:eastAsia="Times New Roman" w:cs="Arial"/>
                  <w:sz w:val="22"/>
                  <w:lang w:eastAsia="en-NZ"/>
                </w:rPr>
                <w:t>t</w:t>
              </w:r>
              <w:r w:rsidRPr="002A221C">
                <w:rPr>
                  <w:rStyle w:val="Hyperlink"/>
                  <w:rFonts w:eastAsia="Times New Roman" w:cs="Arial"/>
                  <w:sz w:val="22"/>
                  <w:lang w:eastAsia="en-NZ"/>
                </w:rPr>
                <w:t>ic</w:t>
              </w:r>
              <w:r w:rsidRPr="002A221C">
                <w:rPr>
                  <w:rStyle w:val="Hyperlink"/>
                  <w:rFonts w:eastAsia="Times New Roman" w:cs="Arial"/>
                  <w:sz w:val="22"/>
                  <w:lang w:eastAsia="en-NZ"/>
                </w:rPr>
                <w:t>a</w:t>
              </w:r>
              <w:r w:rsidRPr="002A221C">
                <w:rPr>
                  <w:rStyle w:val="Hyperlink"/>
                  <w:rFonts w:eastAsia="Times New Roman" w:cs="Arial"/>
                  <w:sz w:val="22"/>
                  <w:lang w:eastAsia="en-NZ"/>
                </w:rPr>
                <w:t>l Polic</w:t>
              </w:r>
              <w:r w:rsidR="001A4454">
                <w:rPr>
                  <w:rStyle w:val="Hyperlink"/>
                  <w:rFonts w:eastAsia="Times New Roman" w:cs="Arial"/>
                  <w:sz w:val="22"/>
                  <w:lang w:eastAsia="en-NZ"/>
                </w:rPr>
                <w:t>y &amp; Evidence</w:t>
              </w:r>
            </w:hyperlink>
          </w:p>
        </w:tc>
        <w:tc>
          <w:tcPr>
            <w:tcW w:w="4173" w:type="dxa"/>
          </w:tcPr>
          <w:p w:rsidR="00714E7C" w:rsidRPr="001417E6" w:rsidRDefault="008547EA" w:rsidP="00190B7B">
            <w:pPr>
              <w:pStyle w:val="ListParagraph"/>
              <w:numPr>
                <w:ilvl w:val="0"/>
                <w:numId w:val="1"/>
              </w:numPr>
              <w:rPr>
                <w:rFonts w:eastAsia="Times New Roman" w:cs="Arial"/>
                <w:sz w:val="22"/>
                <w:lang w:eastAsia="en-NZ"/>
              </w:rPr>
            </w:pPr>
            <w:hyperlink w:anchor="_Person-Centered_Initiatives" w:history="1">
              <w:r w:rsidR="00190B7B" w:rsidRPr="008547EA">
                <w:rPr>
                  <w:rStyle w:val="Hyperlink"/>
                  <w:rFonts w:eastAsia="Times New Roman" w:cs="Arial"/>
                  <w:sz w:val="22"/>
                  <w:lang w:eastAsia="en-NZ"/>
                </w:rPr>
                <w:t>Per</w:t>
              </w:r>
              <w:r w:rsidR="00190B7B" w:rsidRPr="008547EA">
                <w:rPr>
                  <w:rStyle w:val="Hyperlink"/>
                  <w:rFonts w:eastAsia="Times New Roman" w:cs="Arial"/>
                  <w:sz w:val="22"/>
                  <w:lang w:eastAsia="en-NZ"/>
                </w:rPr>
                <w:t>s</w:t>
              </w:r>
              <w:r w:rsidR="00190B7B" w:rsidRPr="008547EA">
                <w:rPr>
                  <w:rStyle w:val="Hyperlink"/>
                  <w:rFonts w:eastAsia="Times New Roman" w:cs="Arial"/>
                  <w:sz w:val="22"/>
                  <w:lang w:eastAsia="en-NZ"/>
                </w:rPr>
                <w:t>on-Centred Initiatives</w:t>
              </w:r>
            </w:hyperlink>
          </w:p>
        </w:tc>
      </w:tr>
      <w:tr w:rsidR="00714E7C" w:rsidRPr="001417E6" w:rsidTr="001A4454">
        <w:trPr>
          <w:trHeight w:val="217"/>
        </w:trPr>
        <w:tc>
          <w:tcPr>
            <w:tcW w:w="5070" w:type="dxa"/>
          </w:tcPr>
          <w:p w:rsidR="00714E7C" w:rsidRPr="001417E6" w:rsidRDefault="002A221C" w:rsidP="00716F8A">
            <w:pPr>
              <w:pStyle w:val="ListParagraph"/>
              <w:numPr>
                <w:ilvl w:val="0"/>
                <w:numId w:val="1"/>
              </w:numPr>
              <w:rPr>
                <w:rFonts w:eastAsia="Times New Roman" w:cs="Arial"/>
                <w:sz w:val="22"/>
                <w:lang w:eastAsia="en-NZ"/>
              </w:rPr>
            </w:pPr>
            <w:hyperlink w:anchor="_Nutrition,_Physical_Activity" w:history="1">
              <w:r w:rsidRPr="002A221C">
                <w:rPr>
                  <w:rStyle w:val="Hyperlink"/>
                  <w:rFonts w:eastAsia="Times New Roman" w:cs="Arial"/>
                  <w:sz w:val="22"/>
                  <w:lang w:eastAsia="en-NZ"/>
                </w:rPr>
                <w:t>Nutrition, Physical Activity &amp; Obesity</w:t>
              </w:r>
            </w:hyperlink>
          </w:p>
        </w:tc>
        <w:tc>
          <w:tcPr>
            <w:tcW w:w="4173" w:type="dxa"/>
          </w:tcPr>
          <w:p w:rsidR="00714E7C" w:rsidRPr="001417E6" w:rsidRDefault="002A221C" w:rsidP="00611645">
            <w:pPr>
              <w:pStyle w:val="ListParagraph"/>
              <w:numPr>
                <w:ilvl w:val="0"/>
                <w:numId w:val="1"/>
              </w:numPr>
              <w:rPr>
                <w:rFonts w:eastAsia="Times New Roman" w:cs="Arial"/>
                <w:sz w:val="22"/>
                <w:lang w:eastAsia="en-NZ"/>
              </w:rPr>
            </w:pPr>
            <w:hyperlink w:anchor="_Health_Information_&amp;" w:history="1">
              <w:r w:rsidRPr="002A221C">
                <w:rPr>
                  <w:rStyle w:val="Hyperlink"/>
                  <w:rFonts w:eastAsia="Times New Roman" w:cs="Arial"/>
                  <w:sz w:val="22"/>
                  <w:lang w:eastAsia="en-NZ"/>
                </w:rPr>
                <w:t xml:space="preserve">Health Information &amp; </w:t>
              </w:r>
              <w:r w:rsidR="00611645">
                <w:rPr>
                  <w:rStyle w:val="Hyperlink"/>
                  <w:rFonts w:eastAsia="Times New Roman" w:cs="Arial"/>
                  <w:sz w:val="22"/>
                  <w:lang w:eastAsia="en-NZ"/>
                </w:rPr>
                <w:t>Knowledge</w:t>
              </w:r>
            </w:hyperlink>
          </w:p>
        </w:tc>
      </w:tr>
      <w:tr w:rsidR="00E94D0C" w:rsidRPr="001417E6" w:rsidTr="001A4454">
        <w:trPr>
          <w:trHeight w:val="235"/>
        </w:trPr>
        <w:tc>
          <w:tcPr>
            <w:tcW w:w="5070" w:type="dxa"/>
          </w:tcPr>
          <w:p w:rsidR="00E94D0C" w:rsidRPr="001417E6" w:rsidRDefault="002A221C" w:rsidP="00716F8A">
            <w:pPr>
              <w:pStyle w:val="ListParagraph"/>
              <w:numPr>
                <w:ilvl w:val="0"/>
                <w:numId w:val="1"/>
              </w:numPr>
              <w:rPr>
                <w:rFonts w:eastAsia="Times New Roman" w:cs="Arial"/>
                <w:sz w:val="22"/>
                <w:lang w:eastAsia="en-NZ"/>
              </w:rPr>
            </w:pPr>
            <w:hyperlink w:anchor="_Surgery" w:history="1">
              <w:r w:rsidRPr="002A221C">
                <w:rPr>
                  <w:rStyle w:val="Hyperlink"/>
                  <w:rFonts w:eastAsia="Times New Roman" w:cs="Arial"/>
                  <w:sz w:val="22"/>
                  <w:lang w:eastAsia="en-NZ"/>
                </w:rPr>
                <w:t>Surgery</w:t>
              </w:r>
            </w:hyperlink>
          </w:p>
        </w:tc>
        <w:tc>
          <w:tcPr>
            <w:tcW w:w="4173" w:type="dxa"/>
          </w:tcPr>
          <w:p w:rsidR="00E94D0C" w:rsidRPr="001417E6" w:rsidRDefault="002A221C" w:rsidP="00EB7C77">
            <w:pPr>
              <w:pStyle w:val="ListParagraph"/>
              <w:numPr>
                <w:ilvl w:val="0"/>
                <w:numId w:val="1"/>
              </w:numPr>
              <w:rPr>
                <w:rFonts w:eastAsia="Times New Roman" w:cs="Arial"/>
                <w:sz w:val="22"/>
                <w:lang w:eastAsia="en-NZ"/>
              </w:rPr>
            </w:pPr>
            <w:hyperlink w:anchor="_Global_Health_1" w:history="1">
              <w:r w:rsidRPr="002A221C">
                <w:rPr>
                  <w:rStyle w:val="Hyperlink"/>
                  <w:rFonts w:eastAsia="Times New Roman" w:cs="Arial"/>
                  <w:sz w:val="22"/>
                  <w:lang w:eastAsia="en-NZ"/>
                </w:rPr>
                <w:t>Global Health</w:t>
              </w:r>
            </w:hyperlink>
          </w:p>
        </w:tc>
      </w:tr>
    </w:tbl>
    <w:p w:rsidR="00F4492D" w:rsidRDefault="00F4492D" w:rsidP="00F4492D">
      <w:pPr>
        <w:pStyle w:val="Heading3"/>
        <w:rPr>
          <w:color w:val="548DD4" w:themeColor="text2" w:themeTint="99"/>
        </w:rPr>
      </w:pPr>
      <w:bookmarkStart w:id="1" w:name="_Nutrition_&amp;_Physical"/>
      <w:bookmarkStart w:id="2" w:name="_Quality,_Safety,_and"/>
      <w:bookmarkStart w:id="3" w:name="_Long-Term_Conditions_&amp;"/>
      <w:bookmarkStart w:id="4" w:name="_Health_Systems,_Reform,"/>
      <w:bookmarkStart w:id="5" w:name="_Service_Delivery"/>
      <w:bookmarkStart w:id="6" w:name="_Health_of_Older"/>
      <w:bookmarkStart w:id="7" w:name="_Mental_Health_&amp;"/>
      <w:bookmarkStart w:id="8" w:name="_Global_Health"/>
      <w:bookmarkStart w:id="9" w:name="_Health_Systems,_Reforms,"/>
      <w:bookmarkStart w:id="10" w:name="_Health_Systems,_Reforms,_1"/>
      <w:bookmarkStart w:id="11" w:name="_Workforce"/>
      <w:bookmarkStart w:id="12" w:name="_Quality_&amp;_Safety"/>
      <w:bookmarkStart w:id="13" w:name="_Public_Health_Issues"/>
      <w:bookmarkEnd w:id="1"/>
      <w:bookmarkEnd w:id="2"/>
      <w:bookmarkEnd w:id="3"/>
      <w:bookmarkEnd w:id="4"/>
      <w:bookmarkEnd w:id="5"/>
      <w:bookmarkEnd w:id="6"/>
      <w:bookmarkEnd w:id="7"/>
      <w:bookmarkEnd w:id="8"/>
      <w:bookmarkEnd w:id="9"/>
      <w:bookmarkEnd w:id="10"/>
      <w:bookmarkEnd w:id="11"/>
      <w:bookmarkEnd w:id="12"/>
      <w:bookmarkEnd w:id="13"/>
      <w:r w:rsidRPr="00F4492D">
        <w:rPr>
          <w:color w:val="548DD4" w:themeColor="text2" w:themeTint="99"/>
        </w:rPr>
        <w:t>Public Health Issues</w:t>
      </w:r>
    </w:p>
    <w:p w:rsidR="00E1797C" w:rsidRDefault="00E1797C" w:rsidP="00E1797C">
      <w:pPr>
        <w:spacing w:after="0" w:line="240" w:lineRule="auto"/>
        <w:rPr>
          <w:rFonts w:ascii="Arial Mäori" w:hAnsi="Arial Mäori" w:cs="Arial Mäori"/>
          <w:b/>
          <w:color w:val="000000"/>
          <w:sz w:val="20"/>
          <w:szCs w:val="20"/>
        </w:rPr>
      </w:pPr>
      <w:hyperlink r:id="rId12" w:history="1">
        <w:r w:rsidRPr="004D0451">
          <w:rPr>
            <w:rStyle w:val="Hyperlink"/>
            <w:rFonts w:ascii="Arial Mäori" w:hAnsi="Arial Mäori" w:cs="Arial Mäori"/>
            <w:b/>
            <w:sz w:val="20"/>
            <w:szCs w:val="20"/>
          </w:rPr>
          <w:t>Implications of Health Literacy for Public Health: Workshop Summary</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36181">
        <w:rPr>
          <w:rFonts w:ascii="Arial Mäori" w:hAnsi="Arial Mäori" w:cs="Arial Mäori"/>
          <w:color w:val="000000"/>
          <w:sz w:val="20"/>
          <w:szCs w:val="20"/>
        </w:rPr>
        <w:t>Implications of Health Literacy for Public Health is the summary of a workshop convened by the Institute of Medicine Roundtable on Health Literacy in November 2013 that focused on the implications of health literacy for the mission and essential services of public health. The workshop featured the presentation of a commissioned paper on health literacy activities under way in public health organizations. Other presentations examined the implications of health literacy for the mission and essential services of public health, for example, community health and safety, disease prevention, disaster management, or health communication.</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E1797C" w:rsidRDefault="00E1797C" w:rsidP="00E1797C">
      <w:pPr>
        <w:spacing w:after="0" w:line="240" w:lineRule="auto"/>
        <w:rPr>
          <w:rFonts w:ascii="Arial Mäori" w:hAnsi="Arial Mäori" w:cs="Arial Mäori"/>
          <w:i/>
          <w:color w:val="000000"/>
          <w:sz w:val="20"/>
          <w:szCs w:val="20"/>
        </w:rPr>
      </w:pPr>
      <w:r w:rsidRPr="00A36181">
        <w:rPr>
          <w:rFonts w:ascii="Arial Mäori" w:hAnsi="Arial Mäori" w:cs="Arial Mäori"/>
          <w:i/>
          <w:color w:val="000000"/>
          <w:sz w:val="20"/>
          <w:szCs w:val="20"/>
        </w:rPr>
        <w:t>*sign up for free account to download</w:t>
      </w:r>
    </w:p>
    <w:p w:rsidR="00E1797C" w:rsidRDefault="00E1797C" w:rsidP="00E1797C">
      <w:pPr>
        <w:spacing w:after="0" w:line="240" w:lineRule="auto"/>
      </w:pPr>
    </w:p>
    <w:p w:rsidR="00E1797C" w:rsidRDefault="00E1797C" w:rsidP="00E1797C">
      <w:pPr>
        <w:spacing w:after="0" w:line="240" w:lineRule="auto"/>
        <w:rPr>
          <w:rFonts w:ascii="Arial Mäori" w:hAnsi="Arial Mäori" w:cs="Arial Mäori"/>
          <w:b/>
          <w:color w:val="000000"/>
          <w:sz w:val="20"/>
          <w:szCs w:val="20"/>
        </w:rPr>
      </w:pPr>
      <w:hyperlink r:id="rId13" w:history="1">
        <w:r w:rsidRPr="004D0451">
          <w:rPr>
            <w:rStyle w:val="Hyperlink"/>
            <w:rFonts w:ascii="Arial Mäori" w:hAnsi="Arial Mäori" w:cs="Arial Mäori"/>
            <w:b/>
            <w:sz w:val="20"/>
            <w:szCs w:val="20"/>
          </w:rPr>
          <w:t>Public Mental Health Priorities: Investing in the Evidence</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67E95">
        <w:rPr>
          <w:rFonts w:ascii="Arial Mäori" w:hAnsi="Arial Mäori" w:cs="Arial Mäori"/>
          <w:color w:val="000000"/>
          <w:sz w:val="20"/>
          <w:szCs w:val="20"/>
        </w:rPr>
        <w:t>This report includes a</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focus on the epidemiology of public mental</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health and the quality of the evidence base,</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‘horizon scanning’ of innovation in science</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and technology, the economic case for good</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mental health and chapters outlining the</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importance of both treating mental health</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 xml:space="preserve">as equal to </w:t>
      </w:r>
      <w:r w:rsidRPr="00567E95">
        <w:rPr>
          <w:rFonts w:ascii="Arial Mäori" w:hAnsi="Arial Mäori" w:cs="Arial Mäori"/>
          <w:color w:val="000000"/>
          <w:sz w:val="20"/>
          <w:szCs w:val="20"/>
        </w:rPr>
        <w:lastRenderedPageBreak/>
        <w:t>physical health and of focusing</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on the needs and safety of people with</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mental illness.</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The chapters also include</w:t>
      </w:r>
      <w:r>
        <w:rPr>
          <w:rFonts w:ascii="Arial Mäori" w:hAnsi="Arial Mäori" w:cs="Arial Mäori"/>
          <w:color w:val="000000"/>
          <w:sz w:val="20"/>
          <w:szCs w:val="20"/>
        </w:rPr>
        <w:t xml:space="preserve"> </w:t>
      </w:r>
      <w:r w:rsidRPr="00567E95">
        <w:rPr>
          <w:rFonts w:ascii="Arial Mäori" w:hAnsi="Arial Mäori" w:cs="Arial Mäori"/>
          <w:color w:val="000000"/>
          <w:sz w:val="20"/>
          <w:szCs w:val="20"/>
        </w:rPr>
        <w:t>authors’ suggestions for improvement.</w:t>
      </w:r>
      <w:r>
        <w:rPr>
          <w:rFonts w:ascii="Arial Mäori" w:hAnsi="Arial Mäori" w:cs="Arial Mäori"/>
          <w:color w:val="000000"/>
          <w:sz w:val="20"/>
          <w:szCs w:val="20"/>
        </w:rPr>
        <w:t>”</w:t>
      </w:r>
      <w:r w:rsidRPr="00567E95">
        <w:rPr>
          <w:rFonts w:ascii="Arial Mäori" w:hAnsi="Arial Mäori" w:cs="Arial Mäori"/>
          <w:color w:val="000000"/>
          <w:sz w:val="20"/>
          <w:szCs w:val="20"/>
        </w:rPr>
        <w:t xml:space="preserve"> </w:t>
      </w:r>
      <w:r>
        <w:rPr>
          <w:rFonts w:ascii="Arial Mäori" w:hAnsi="Arial Mäori" w:cs="Arial Mäori"/>
          <w:i/>
          <w:color w:val="000000"/>
          <w:sz w:val="20"/>
          <w:szCs w:val="20"/>
        </w:rPr>
        <w:t>Source: UK Department of Health</w:t>
      </w:r>
    </w:p>
    <w:p w:rsidR="00E1797C" w:rsidRDefault="00E1797C" w:rsidP="002A221C">
      <w:pPr>
        <w:spacing w:after="0" w:line="240" w:lineRule="auto"/>
        <w:rPr>
          <w:rFonts w:ascii="Arial Mäori" w:hAnsi="Arial Mäori" w:cs="Arial Mäori"/>
          <w:b/>
          <w:color w:val="000000"/>
          <w:sz w:val="20"/>
          <w:szCs w:val="20"/>
        </w:rPr>
      </w:pPr>
    </w:p>
    <w:p w:rsidR="00E1797C" w:rsidRPr="003D53D4" w:rsidRDefault="00E1797C" w:rsidP="00E1797C">
      <w:pPr>
        <w:spacing w:after="0" w:line="240" w:lineRule="auto"/>
        <w:rPr>
          <w:rFonts w:ascii="Arial Mäori" w:hAnsi="Arial Mäori" w:cs="Arial Mäori"/>
          <w:b/>
          <w:color w:val="000000"/>
          <w:sz w:val="20"/>
          <w:szCs w:val="20"/>
        </w:rPr>
      </w:pPr>
      <w:hyperlink r:id="rId14" w:history="1">
        <w:r w:rsidRPr="00153F35">
          <w:rPr>
            <w:rStyle w:val="Hyperlink"/>
            <w:rFonts w:ascii="Arial Mäori" w:hAnsi="Arial Mäori" w:cs="Arial Mäori"/>
            <w:b/>
            <w:sz w:val="20"/>
            <w:szCs w:val="20"/>
          </w:rPr>
          <w:t>Preventing suicide: a global imperative</w:t>
        </w:r>
      </w:hyperlink>
    </w:p>
    <w:p w:rsidR="00E1797C" w:rsidRPr="003D53D4" w:rsidRDefault="00E1797C" w:rsidP="00E1797C">
      <w:pPr>
        <w:spacing w:after="0" w:line="240" w:lineRule="auto"/>
        <w:rPr>
          <w:rFonts w:ascii="Arial Mäori" w:hAnsi="Arial Mäori" w:cs="Arial Mäori"/>
          <w:i/>
          <w:color w:val="000000"/>
          <w:sz w:val="20"/>
          <w:szCs w:val="20"/>
        </w:rPr>
      </w:pPr>
      <w:r w:rsidRPr="003D53D4">
        <w:rPr>
          <w:rFonts w:ascii="Arial Mäori" w:hAnsi="Arial Mäori" w:cs="Arial Mäori"/>
          <w:color w:val="000000"/>
          <w:sz w:val="20"/>
          <w:szCs w:val="20"/>
        </w:rPr>
        <w:t>"This is the first-ever WHO report on suicide prevention. It aims to increase awareness of the public health significance of suicide and suicide attempts, to make suicide prevention a higher priority on the global public health agenda, and to encourage and support countries to develop or strengthen comprehensive suicide prevention strategies in a multisectoral public health approach."</w:t>
      </w:r>
      <w:r>
        <w:rPr>
          <w:rFonts w:ascii="Arial Mäori" w:hAnsi="Arial Mäori" w:cs="Arial Mäori"/>
          <w:color w:val="000000"/>
          <w:sz w:val="20"/>
          <w:szCs w:val="20"/>
        </w:rPr>
        <w:t xml:space="preserve"> </w:t>
      </w:r>
      <w:r>
        <w:rPr>
          <w:rFonts w:ascii="Arial Mäori" w:hAnsi="Arial Mäori" w:cs="Arial Mäori"/>
          <w:i/>
          <w:color w:val="000000"/>
          <w:sz w:val="20"/>
          <w:szCs w:val="20"/>
        </w:rPr>
        <w:t>Source: WHO</w:t>
      </w:r>
    </w:p>
    <w:p w:rsidR="00E1797C" w:rsidRDefault="00E1797C" w:rsidP="002A221C">
      <w:pPr>
        <w:spacing w:after="0" w:line="240" w:lineRule="auto"/>
        <w:rPr>
          <w:rFonts w:ascii="Arial Mäori" w:hAnsi="Arial Mäori" w:cs="Arial Mäori"/>
          <w:b/>
          <w:color w:val="000000"/>
          <w:sz w:val="20"/>
          <w:szCs w:val="20"/>
        </w:rPr>
      </w:pPr>
    </w:p>
    <w:p w:rsidR="002A221C" w:rsidRDefault="002A221C" w:rsidP="002A221C">
      <w:pPr>
        <w:spacing w:after="0" w:line="240" w:lineRule="auto"/>
        <w:rPr>
          <w:rFonts w:ascii="Arial Mäori" w:hAnsi="Arial Mäori" w:cs="Arial Mäori"/>
          <w:b/>
          <w:color w:val="000000"/>
          <w:sz w:val="20"/>
          <w:szCs w:val="20"/>
        </w:rPr>
      </w:pPr>
      <w:hyperlink r:id="rId15" w:history="1">
        <w:r w:rsidRPr="00153F35">
          <w:rPr>
            <w:rStyle w:val="Hyperlink"/>
            <w:rFonts w:ascii="Arial Mäori" w:hAnsi="Arial Mäori" w:cs="Arial Mäori"/>
            <w:b/>
            <w:sz w:val="20"/>
            <w:szCs w:val="20"/>
          </w:rPr>
          <w:t>Electronic nicotine delivery systems: report by the World Health Organization</w:t>
        </w:r>
      </w:hyperlink>
    </w:p>
    <w:p w:rsidR="002A221C" w:rsidRDefault="002A221C" w:rsidP="002A221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41300">
        <w:rPr>
          <w:rFonts w:ascii="Arial Mäori" w:hAnsi="Arial Mäori" w:cs="Arial Mäori"/>
          <w:color w:val="000000"/>
          <w:sz w:val="20"/>
          <w:szCs w:val="20"/>
        </w:rPr>
        <w:t>This document was prepared in response to the request made by the Conference of the Parties (COP) at its fifth session (Seoul, Republic of Korea, 12–17 November 2012) to the Convention Secretariat to invite WHO to examine emerging evidence on the health impacts of electronic nicotine delivery systems (ENDS) use and to identify options for their prevention and control</w:t>
      </w:r>
      <w:r>
        <w:rPr>
          <w:rFonts w:ascii="Arial Mäori" w:hAnsi="Arial Mäori" w:cs="Arial Mäori"/>
          <w:color w:val="000000"/>
          <w:sz w:val="20"/>
          <w:szCs w:val="20"/>
        </w:rPr>
        <w:t xml:space="preserve">.” </w:t>
      </w:r>
      <w:r>
        <w:rPr>
          <w:rFonts w:ascii="Arial Mäori" w:hAnsi="Arial Mäori" w:cs="Arial Mäori"/>
          <w:i/>
          <w:color w:val="000000"/>
          <w:sz w:val="20"/>
          <w:szCs w:val="20"/>
        </w:rPr>
        <w:t>Source: WHO</w:t>
      </w:r>
    </w:p>
    <w:p w:rsidR="006C629E" w:rsidRDefault="006C629E" w:rsidP="002A221C">
      <w:pPr>
        <w:spacing w:after="0" w:line="240" w:lineRule="auto"/>
        <w:rPr>
          <w:rFonts w:ascii="Arial Mäori" w:hAnsi="Arial Mäori" w:cs="Arial Mäori"/>
          <w:i/>
          <w:color w:val="000000"/>
          <w:sz w:val="20"/>
          <w:szCs w:val="20"/>
        </w:rPr>
      </w:pPr>
    </w:p>
    <w:p w:rsidR="006C629E" w:rsidRPr="006129D6" w:rsidRDefault="006C629E" w:rsidP="006C629E">
      <w:pPr>
        <w:spacing w:after="0" w:line="240" w:lineRule="auto"/>
        <w:rPr>
          <w:rFonts w:ascii="Arial Mäori" w:hAnsi="Arial Mäori" w:cs="Arial Mäori"/>
          <w:b/>
          <w:color w:val="000000"/>
          <w:sz w:val="20"/>
          <w:szCs w:val="20"/>
        </w:rPr>
      </w:pPr>
      <w:hyperlink r:id="rId16" w:history="1">
        <w:r w:rsidRPr="006129D6">
          <w:rPr>
            <w:rStyle w:val="Hyperlink"/>
            <w:rFonts w:ascii="Arial Mäori" w:hAnsi="Arial Mäori" w:cs="Arial Mäori"/>
            <w:b/>
            <w:sz w:val="20"/>
            <w:szCs w:val="20"/>
          </w:rPr>
          <w:t>Working together to prevent family and sexual violence in Auckland : an approach</w:t>
        </w:r>
      </w:hyperlink>
    </w:p>
    <w:p w:rsidR="006C629E" w:rsidRDefault="006C629E" w:rsidP="006C629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6129D6">
        <w:rPr>
          <w:rFonts w:ascii="Arial Mäori" w:hAnsi="Arial Mäori" w:cs="Arial Mäori"/>
          <w:color w:val="000000"/>
          <w:sz w:val="20"/>
          <w:szCs w:val="20"/>
        </w:rPr>
        <w:t>This literature review is aimed at outlining where New Zealand sits on matters of family and sexual violence – both in terms of impacts and in terms of current policies and programmes – and what steps we might take to address these issues. We particularly pay attention to the role that local government bodies such as the Auckland Council c</w:t>
      </w:r>
      <w:r>
        <w:rPr>
          <w:rFonts w:ascii="Arial Mäori" w:hAnsi="Arial Mäori" w:cs="Arial Mäori"/>
          <w:color w:val="000000"/>
          <w:sz w:val="20"/>
          <w:szCs w:val="20"/>
        </w:rPr>
        <w:t xml:space="preserve">an play in addressing violence.” </w:t>
      </w:r>
      <w:r>
        <w:rPr>
          <w:rFonts w:ascii="Arial Mäori" w:hAnsi="Arial Mäori" w:cs="Arial Mäori"/>
          <w:i/>
          <w:color w:val="000000"/>
          <w:sz w:val="20"/>
          <w:szCs w:val="20"/>
        </w:rPr>
        <w:t>Source: Point Research</w:t>
      </w:r>
    </w:p>
    <w:p w:rsidR="00FB2AEF" w:rsidRDefault="00FB2AEF" w:rsidP="002A221C">
      <w:pPr>
        <w:spacing w:after="0" w:line="240" w:lineRule="auto"/>
        <w:rPr>
          <w:rFonts w:ascii="Arial Mäori" w:hAnsi="Arial Mäori" w:cs="Arial Mäori"/>
          <w:i/>
          <w:color w:val="000000"/>
          <w:sz w:val="20"/>
          <w:szCs w:val="20"/>
        </w:rPr>
      </w:pPr>
    </w:p>
    <w:p w:rsidR="00FB2AEF" w:rsidRDefault="00FB2AEF" w:rsidP="00FB2AEF">
      <w:pPr>
        <w:spacing w:after="0" w:line="240" w:lineRule="auto"/>
        <w:rPr>
          <w:rFonts w:ascii="Arial Mäori" w:hAnsi="Arial Mäori" w:cs="Arial Mäori"/>
          <w:color w:val="000000"/>
          <w:sz w:val="20"/>
          <w:szCs w:val="20"/>
        </w:rPr>
      </w:pPr>
      <w:hyperlink r:id="rId17" w:history="1">
        <w:r w:rsidRPr="004D0451">
          <w:rPr>
            <w:rStyle w:val="Hyperlink"/>
            <w:rFonts w:ascii="Arial Mäori" w:hAnsi="Arial Mäori" w:cs="Arial Mäori"/>
            <w:b/>
            <w:sz w:val="20"/>
            <w:szCs w:val="20"/>
          </w:rPr>
          <w:t>Why Pets Mean So Much: The Human-Animal Bond in the Context of Intimate Partner Violence</w:t>
        </w:r>
      </w:hyperlink>
    </w:p>
    <w:p w:rsidR="007E017B" w:rsidRDefault="00FB2AEF" w:rsidP="00FB2AEF">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“U</w:t>
      </w:r>
      <w:r w:rsidRPr="001F4141">
        <w:rPr>
          <w:rFonts w:ascii="Arial Mäori" w:hAnsi="Arial Mäori" w:cs="Arial Mäori"/>
          <w:color w:val="000000"/>
          <w:sz w:val="20"/>
          <w:szCs w:val="20"/>
        </w:rPr>
        <w:t>p to 70% of domestic violence victims report having a pet, and when a batterer causes violence in the home, it can be inflicted on pets as well (Ascione, 1997; Loring &amp; Bolden-Hines, 2004). Abusers threaten, injure, and at times kill pets in order to control their victims and to create an environment of fear within the home. The close relationship that battered women and their children feel toward their companion animals complicates their willingness to leave a violent situation, potentially putting their pets at risk of violence or death. Developed by the Animal Welfare Institute, this Technical Assistance Guidance explores ways that victim advocates can assist survivors of domestic violence and their pets when seeking safety and refuge from abuse.</w:t>
      </w:r>
      <w:r>
        <w:rPr>
          <w:rFonts w:ascii="Arial Mäori" w:hAnsi="Arial Mäori" w:cs="Arial Mäori"/>
          <w:color w:val="000000"/>
          <w:sz w:val="20"/>
          <w:szCs w:val="20"/>
        </w:rPr>
        <w:t xml:space="preserve">” </w:t>
      </w:r>
      <w:r>
        <w:rPr>
          <w:rFonts w:ascii="Arial Mäori" w:hAnsi="Arial Mäori" w:cs="Arial Mäori"/>
          <w:i/>
          <w:color w:val="000000"/>
          <w:sz w:val="20"/>
          <w:szCs w:val="20"/>
        </w:rPr>
        <w:t>Source: National Resource Center on Domestic Violence</w:t>
      </w:r>
    </w:p>
    <w:p w:rsidR="007E017B" w:rsidRPr="004E0D23" w:rsidRDefault="007E017B" w:rsidP="00FB2AEF">
      <w:pPr>
        <w:spacing w:after="0" w:line="240" w:lineRule="auto"/>
        <w:rPr>
          <w:rFonts w:ascii="Arial Mäori" w:hAnsi="Arial Mäori" w:cs="Arial Mäori"/>
          <w:i/>
          <w:color w:val="000000"/>
          <w:sz w:val="20"/>
          <w:szCs w:val="20"/>
        </w:rPr>
      </w:pPr>
      <w:hyperlink w:anchor="_top" w:history="1">
        <w:r w:rsidRPr="00866424">
          <w:rPr>
            <w:rStyle w:val="Hyperlink"/>
            <w:rFonts w:ascii="Arial Mäori" w:hAnsi="Arial Mäori" w:cs="Arial Mäori"/>
            <w:i/>
            <w:sz w:val="20"/>
            <w:szCs w:val="20"/>
          </w:rPr>
          <w:t>back to top</w:t>
        </w:r>
      </w:hyperlink>
    </w:p>
    <w:p w:rsidR="002A221C" w:rsidRDefault="002A221C" w:rsidP="002A221C">
      <w:pPr>
        <w:pStyle w:val="Heading3"/>
        <w:rPr>
          <w:color w:val="548DD4" w:themeColor="text2" w:themeTint="99"/>
        </w:rPr>
      </w:pPr>
      <w:bookmarkStart w:id="14" w:name="_Systems,_Costs_&amp;"/>
      <w:bookmarkEnd w:id="14"/>
      <w:r>
        <w:rPr>
          <w:color w:val="548DD4" w:themeColor="text2" w:themeTint="99"/>
        </w:rPr>
        <w:t>Systems, Costs &amp; Reform</w:t>
      </w:r>
    </w:p>
    <w:p w:rsidR="00E1797C" w:rsidRDefault="00E1797C" w:rsidP="00E1797C">
      <w:pPr>
        <w:spacing w:after="0" w:line="240" w:lineRule="auto"/>
        <w:rPr>
          <w:rFonts w:ascii="Arial Mäori" w:hAnsi="Arial Mäori" w:cs="Arial Mäori"/>
          <w:b/>
          <w:color w:val="000000"/>
          <w:sz w:val="20"/>
          <w:szCs w:val="20"/>
        </w:rPr>
      </w:pPr>
      <w:r>
        <w:fldChar w:fldCharType="begin"/>
      </w:r>
      <w:r>
        <w:instrText xml:space="preserve"> HYPERLINK "http://www.ihi.org/resources/Pages/IHIWhitePapers/ComparingLeanandQualityImprovement.aspx" </w:instrText>
      </w:r>
      <w:r>
        <w:fldChar w:fldCharType="separate"/>
      </w:r>
      <w:r w:rsidRPr="004D0451">
        <w:rPr>
          <w:rStyle w:val="Hyperlink"/>
          <w:rFonts w:ascii="Arial Mäori" w:hAnsi="Arial Mäori" w:cs="Arial Mäori"/>
          <w:b/>
          <w:sz w:val="20"/>
          <w:szCs w:val="20"/>
        </w:rPr>
        <w:t>Comparing Lean and Quality Improvement</w:t>
      </w:r>
      <w:r>
        <w:rPr>
          <w:rStyle w:val="Hyperlink"/>
          <w:rFonts w:ascii="Arial Mäori" w:hAnsi="Arial Mäori" w:cs="Arial Mäori"/>
          <w:b/>
          <w:sz w:val="20"/>
          <w:szCs w:val="20"/>
        </w:rPr>
        <w:fldChar w:fldCharType="end"/>
      </w:r>
    </w:p>
    <w:p w:rsidR="00E1797C" w:rsidRDefault="00E1797C" w:rsidP="00E1797C">
      <w:pPr>
        <w:spacing w:after="0" w:line="240" w:lineRule="auto"/>
        <w:rPr>
          <w:rFonts w:ascii="Arial Mäori" w:hAnsi="Arial Mäori" w:cs="Arial Mäori"/>
          <w:i/>
          <w:color w:val="000000"/>
          <w:sz w:val="20"/>
          <w:szCs w:val="20"/>
        </w:rPr>
      </w:pPr>
      <w:r w:rsidRPr="00567E95">
        <w:rPr>
          <w:rFonts w:ascii="Arial Mäori" w:hAnsi="Arial Mäori" w:cs="Arial Mäori"/>
          <w:color w:val="000000"/>
          <w:sz w:val="20"/>
          <w:szCs w:val="20"/>
        </w:rPr>
        <w:t>“The white paper provides a brief overview of the issues and some key definitions, followed by more detailed descriptions of Lean and the IHI approach to quality improvement (referred to as "IHI-QI" throughout the paper).”</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for Healthcare Improvement</w:t>
      </w:r>
    </w:p>
    <w:p w:rsidR="006A02E3" w:rsidRDefault="006A02E3" w:rsidP="00E1797C">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E1797C" w:rsidRDefault="00E1797C" w:rsidP="00E1797C">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18" w:history="1">
        <w:r w:rsidRPr="004D0451">
          <w:rPr>
            <w:rStyle w:val="Hyperlink"/>
            <w:rFonts w:ascii="Arial Mäori" w:hAnsi="Arial Mäori" w:cs="Arial Mäori"/>
            <w:b/>
            <w:sz w:val="20"/>
            <w:szCs w:val="20"/>
          </w:rPr>
          <w:t>More than money: closing the NHS quality gap</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3254E">
        <w:rPr>
          <w:rFonts w:ascii="Arial Mäori" w:hAnsi="Arial Mäori" w:cs="Arial Mäori"/>
          <w:color w:val="000000"/>
          <w:sz w:val="20"/>
          <w:szCs w:val="20"/>
        </w:rPr>
        <w:t>That the NHS faces a significant financial challenge is well known and much discussed. This ‘financial gap’ has been projected to reach £30bn by 2021. This is due to the disparity between the pressures on the NHS and the projected resources available to it.</w:t>
      </w:r>
      <w:r>
        <w:rPr>
          <w:rFonts w:ascii="Arial Mäori" w:hAnsi="Arial Mäori" w:cs="Arial Mäori"/>
          <w:color w:val="000000"/>
          <w:sz w:val="20"/>
          <w:szCs w:val="20"/>
        </w:rPr>
        <w:t xml:space="preserve"> </w:t>
      </w:r>
      <w:r w:rsidRPr="0063254E">
        <w:rPr>
          <w:rFonts w:ascii="Arial Mäori" w:hAnsi="Arial Mäori" w:cs="Arial Mäori"/>
          <w:color w:val="000000"/>
          <w:sz w:val="20"/>
          <w:szCs w:val="20"/>
        </w:rPr>
        <w:t>More than money: closing the NHS quality gap discusses the implications of this financial gap for quality of care in the NHS.</w:t>
      </w:r>
      <w:r>
        <w:rPr>
          <w:rFonts w:ascii="Arial Mäori" w:hAnsi="Arial Mäori" w:cs="Arial Mäori"/>
          <w:color w:val="000000"/>
          <w:sz w:val="20"/>
          <w:szCs w:val="20"/>
        </w:rPr>
        <w:t xml:space="preserve"> </w:t>
      </w:r>
      <w:r w:rsidRPr="0063254E">
        <w:rPr>
          <w:rFonts w:ascii="Arial Mäori" w:hAnsi="Arial Mäori" w:cs="Arial Mäori"/>
          <w:color w:val="000000"/>
          <w:sz w:val="20"/>
          <w:szCs w:val="20"/>
        </w:rPr>
        <w:t>It argues that additional resources alone will not be enough to close the ‘quality gap’: the difference between the quality of care the NHS should deliver, and what it is capable of delivering.</w:t>
      </w:r>
      <w:r>
        <w:rPr>
          <w:rFonts w:ascii="Arial Mäori" w:hAnsi="Arial Mäori" w:cs="Arial Mäori"/>
          <w:color w:val="000000"/>
          <w:sz w:val="20"/>
          <w:szCs w:val="20"/>
        </w:rPr>
        <w:t xml:space="preserve">” </w:t>
      </w:r>
      <w:r>
        <w:rPr>
          <w:rFonts w:ascii="Arial Mäori" w:hAnsi="Arial Mäori" w:cs="Arial Mäori"/>
          <w:i/>
          <w:color w:val="000000"/>
          <w:sz w:val="20"/>
          <w:szCs w:val="20"/>
        </w:rPr>
        <w:t>Source: Health Foundation</w:t>
      </w:r>
    </w:p>
    <w:p w:rsidR="006C629E" w:rsidRDefault="006C629E" w:rsidP="00E1797C">
      <w:pPr>
        <w:spacing w:after="0" w:line="240" w:lineRule="auto"/>
        <w:rPr>
          <w:rFonts w:ascii="Arial Mäori" w:hAnsi="Arial Mäori" w:cs="Arial Mäori"/>
          <w:i/>
          <w:color w:val="000000"/>
          <w:sz w:val="20"/>
          <w:szCs w:val="20"/>
        </w:rPr>
      </w:pPr>
    </w:p>
    <w:p w:rsidR="006C629E" w:rsidRPr="00BE439D" w:rsidRDefault="006C629E" w:rsidP="006C629E">
      <w:pPr>
        <w:spacing w:after="0" w:line="240" w:lineRule="auto"/>
        <w:rPr>
          <w:rFonts w:ascii="Arial Mäori" w:hAnsi="Arial Mäori" w:cs="Arial Mäori"/>
          <w:b/>
          <w:color w:val="000000"/>
          <w:sz w:val="20"/>
          <w:szCs w:val="20"/>
        </w:rPr>
      </w:pPr>
      <w:hyperlink r:id="rId19" w:history="1">
        <w:r w:rsidRPr="006129D6">
          <w:rPr>
            <w:rStyle w:val="Hyperlink"/>
            <w:rFonts w:ascii="Arial Mäori" w:hAnsi="Arial Mäori" w:cs="Arial Mäori"/>
            <w:b/>
            <w:sz w:val="20"/>
            <w:szCs w:val="20"/>
          </w:rPr>
          <w:t>Economic Evaluation of Complex Health System Interventions: A Discussion Paper</w:t>
        </w:r>
      </w:hyperlink>
    </w:p>
    <w:p w:rsidR="006C629E" w:rsidRPr="00BE439D" w:rsidRDefault="006C629E" w:rsidP="006C629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BE439D">
        <w:rPr>
          <w:rFonts w:ascii="Arial Mäori" w:hAnsi="Arial Mäori" w:cs="Arial Mäori"/>
          <w:color w:val="000000"/>
          <w:sz w:val="20"/>
          <w:szCs w:val="20"/>
        </w:rPr>
        <w:t>The discussion paper will provide guidance to those tasked with conducting an economic evaluation</w:t>
      </w:r>
    </w:p>
    <w:p w:rsidR="006C629E" w:rsidRPr="00BE439D" w:rsidRDefault="006C629E" w:rsidP="006C629E">
      <w:pPr>
        <w:spacing w:after="0" w:line="240" w:lineRule="auto"/>
        <w:rPr>
          <w:rFonts w:ascii="Arial Mäori" w:hAnsi="Arial Mäori" w:cs="Arial Mäori"/>
          <w:color w:val="000000"/>
          <w:sz w:val="20"/>
          <w:szCs w:val="20"/>
        </w:rPr>
      </w:pPr>
      <w:r w:rsidRPr="00BE439D">
        <w:rPr>
          <w:rFonts w:ascii="Arial Mäori" w:hAnsi="Arial Mäori" w:cs="Arial Mäori"/>
          <w:color w:val="000000"/>
          <w:sz w:val="20"/>
          <w:szCs w:val="20"/>
        </w:rPr>
        <w:t>of complex health system interventions. The guidance will be an elaboration of existing national</w:t>
      </w:r>
    </w:p>
    <w:p w:rsidR="006C629E" w:rsidRPr="00BE439D" w:rsidRDefault="006C629E" w:rsidP="006C629E">
      <w:pPr>
        <w:spacing w:after="0" w:line="240" w:lineRule="auto"/>
        <w:rPr>
          <w:rFonts w:ascii="Arial Mäori" w:hAnsi="Arial Mäori" w:cs="Arial Mäori"/>
          <w:color w:val="000000"/>
          <w:sz w:val="20"/>
          <w:szCs w:val="20"/>
        </w:rPr>
      </w:pPr>
      <w:r w:rsidRPr="00BE439D">
        <w:rPr>
          <w:rFonts w:ascii="Arial Mäori" w:hAnsi="Arial Mäori" w:cs="Arial Mäori"/>
          <w:color w:val="000000"/>
          <w:sz w:val="20"/>
          <w:szCs w:val="20"/>
        </w:rPr>
        <w:t>guidelines for economic evaluation, and serve as a discussion paper to aid investigators conducting</w:t>
      </w:r>
    </w:p>
    <w:p w:rsidR="006C629E" w:rsidRDefault="006C629E" w:rsidP="006C629E">
      <w:pPr>
        <w:spacing w:after="0" w:line="240" w:lineRule="auto"/>
        <w:rPr>
          <w:rFonts w:ascii="Arial Mäori" w:hAnsi="Arial Mäori" w:cs="Arial Mäori"/>
          <w:i/>
          <w:color w:val="000000"/>
          <w:sz w:val="20"/>
          <w:szCs w:val="20"/>
        </w:rPr>
      </w:pPr>
      <w:r w:rsidRPr="00BE439D">
        <w:rPr>
          <w:rFonts w:ascii="Arial Mäori" w:hAnsi="Arial Mäori" w:cs="Arial Mäori"/>
          <w:color w:val="000000"/>
          <w:sz w:val="20"/>
          <w:szCs w:val="20"/>
        </w:rPr>
        <w:t>economic evaluations of complex health interventions.</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for Health Economics</w:t>
      </w:r>
    </w:p>
    <w:p w:rsidR="00E1797C" w:rsidRDefault="00E1797C" w:rsidP="00D76EC7">
      <w:pPr>
        <w:spacing w:after="0" w:line="240" w:lineRule="auto"/>
      </w:pPr>
    </w:p>
    <w:p w:rsidR="00D76EC7" w:rsidRDefault="00D76EC7" w:rsidP="00D76EC7">
      <w:pPr>
        <w:spacing w:after="0" w:line="240" w:lineRule="auto"/>
        <w:rPr>
          <w:rFonts w:ascii="Arial Mäori" w:hAnsi="Arial Mäori" w:cs="Arial Mäori"/>
          <w:b/>
          <w:color w:val="000000"/>
          <w:sz w:val="20"/>
          <w:szCs w:val="20"/>
        </w:rPr>
      </w:pPr>
      <w:hyperlink r:id="rId20" w:history="1">
        <w:r w:rsidRPr="00153F35">
          <w:rPr>
            <w:rStyle w:val="Hyperlink"/>
            <w:rFonts w:ascii="Arial Mäori" w:hAnsi="Arial Mäori" w:cs="Arial Mäori"/>
            <w:b/>
            <w:sz w:val="20"/>
            <w:szCs w:val="20"/>
          </w:rPr>
          <w:t>Health, austerity and economic crisis: assessing the short-term impact in OECD countries</w:t>
        </w:r>
      </w:hyperlink>
      <w:r w:rsidRPr="00EF5675">
        <w:rPr>
          <w:rFonts w:ascii="Arial Mäori" w:hAnsi="Arial Mäori" w:cs="Arial Mäori"/>
          <w:b/>
          <w:color w:val="000000"/>
          <w:sz w:val="20"/>
          <w:szCs w:val="20"/>
        </w:rPr>
        <w:t xml:space="preserve"> </w:t>
      </w:r>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EF5675">
        <w:rPr>
          <w:rFonts w:ascii="Arial Mäori" w:hAnsi="Arial Mäori" w:cs="Arial Mäori"/>
          <w:color w:val="000000"/>
          <w:sz w:val="20"/>
          <w:szCs w:val="20"/>
        </w:rPr>
        <w:t xml:space="preserve">This paper looks at the impact of economic crisis on health and health care. It summarises findings from the published literature on the effects of economic crisis that took place over the past few decades and also describes recent health policy reforms, focusing on those countries where the </w:t>
      </w:r>
      <w:r w:rsidRPr="00EF5675">
        <w:rPr>
          <w:rFonts w:ascii="Arial Mäori" w:hAnsi="Arial Mäori" w:cs="Arial Mäori"/>
          <w:color w:val="000000"/>
          <w:sz w:val="20"/>
          <w:szCs w:val="20"/>
        </w:rPr>
        <w:lastRenderedPageBreak/>
        <w:t>economic crisis has hit hardest. Finally, this paper analyses the empirical relationship between unemployment and health care use, quality and health outcomes, using data from OECD Health Statistics.</w:t>
      </w:r>
      <w:r>
        <w:rPr>
          <w:rFonts w:ascii="Arial Mäori" w:hAnsi="Arial Mäori" w:cs="Arial Mäori"/>
          <w:color w:val="000000"/>
          <w:sz w:val="20"/>
          <w:szCs w:val="20"/>
        </w:rPr>
        <w:t xml:space="preserve">” </w:t>
      </w:r>
      <w:r>
        <w:rPr>
          <w:rFonts w:ascii="Arial Mäori" w:hAnsi="Arial Mäori" w:cs="Arial Mäori"/>
          <w:i/>
          <w:color w:val="000000"/>
          <w:sz w:val="20"/>
          <w:szCs w:val="20"/>
        </w:rPr>
        <w:t>Source: OECD</w:t>
      </w:r>
    </w:p>
    <w:p w:rsidR="00D76EC7" w:rsidRDefault="00D76EC7" w:rsidP="00D76EC7">
      <w:pPr>
        <w:spacing w:after="0" w:line="240" w:lineRule="auto"/>
        <w:rPr>
          <w:rFonts w:ascii="Arial Mäori" w:hAnsi="Arial Mäori" w:cs="Arial Mäori"/>
          <w:i/>
          <w:color w:val="000000"/>
          <w:sz w:val="20"/>
          <w:szCs w:val="20"/>
        </w:rPr>
      </w:pPr>
    </w:p>
    <w:p w:rsidR="00D76EC7" w:rsidRPr="001E3B11" w:rsidRDefault="00D76EC7" w:rsidP="00D76EC7">
      <w:pPr>
        <w:spacing w:after="0" w:line="240" w:lineRule="auto"/>
        <w:rPr>
          <w:rFonts w:ascii="Arial Mäori" w:hAnsi="Arial Mäori" w:cs="Arial Mäori"/>
          <w:b/>
          <w:color w:val="000000"/>
          <w:sz w:val="20"/>
          <w:szCs w:val="20"/>
        </w:rPr>
      </w:pPr>
      <w:hyperlink r:id="rId21" w:history="1">
        <w:r w:rsidRPr="00153F35">
          <w:rPr>
            <w:rStyle w:val="Hyperlink"/>
            <w:rFonts w:ascii="Arial Mäori" w:hAnsi="Arial Mäori" w:cs="Arial Mäori"/>
            <w:b/>
            <w:sz w:val="20"/>
            <w:szCs w:val="20"/>
          </w:rPr>
          <w:t>Regulatory institutions and practices</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EF5675">
        <w:rPr>
          <w:rFonts w:ascii="Arial Mäori" w:hAnsi="Arial Mäori" w:cs="Arial Mäori"/>
          <w:color w:val="000000"/>
          <w:sz w:val="20"/>
          <w:szCs w:val="20"/>
        </w:rPr>
        <w:t>The purpose of this inquiry is to develop recommendations on how to improve the design of new</w:t>
      </w:r>
      <w:r>
        <w:rPr>
          <w:rFonts w:ascii="Arial Mäori" w:hAnsi="Arial Mäori" w:cs="Arial Mäori"/>
          <w:color w:val="000000"/>
          <w:sz w:val="20"/>
          <w:szCs w:val="20"/>
        </w:rPr>
        <w:t xml:space="preserve"> </w:t>
      </w:r>
      <w:r w:rsidRPr="00EF5675">
        <w:rPr>
          <w:rFonts w:ascii="Arial Mäori" w:hAnsi="Arial Mäori" w:cs="Arial Mäori"/>
          <w:color w:val="000000"/>
          <w:sz w:val="20"/>
          <w:szCs w:val="20"/>
        </w:rPr>
        <w:t>regulatory regimes and make system-wide improvements to the operation of existing regulatory</w:t>
      </w:r>
      <w:r>
        <w:rPr>
          <w:rFonts w:ascii="Arial Mäori" w:hAnsi="Arial Mäori" w:cs="Arial Mäori"/>
          <w:color w:val="000000"/>
          <w:sz w:val="20"/>
          <w:szCs w:val="20"/>
        </w:rPr>
        <w:t xml:space="preserve"> </w:t>
      </w:r>
      <w:r w:rsidRPr="00EF5675">
        <w:rPr>
          <w:rFonts w:ascii="Arial Mäori" w:hAnsi="Arial Mäori" w:cs="Arial Mäori"/>
          <w:color w:val="000000"/>
          <w:sz w:val="20"/>
          <w:szCs w:val="20"/>
        </w:rPr>
        <w:t>regimes in New Zealand. The inquiry is not a review of individual regulators, specific regulations or the</w:t>
      </w:r>
      <w:r>
        <w:rPr>
          <w:rFonts w:ascii="Arial Mäori" w:hAnsi="Arial Mäori" w:cs="Arial Mäori"/>
          <w:color w:val="000000"/>
          <w:sz w:val="20"/>
          <w:szCs w:val="20"/>
        </w:rPr>
        <w:t xml:space="preserve"> </w:t>
      </w:r>
      <w:r w:rsidRPr="00EF5675">
        <w:rPr>
          <w:rFonts w:ascii="Arial Mäori" w:hAnsi="Arial Mäori" w:cs="Arial Mäori"/>
          <w:color w:val="000000"/>
          <w:sz w:val="20"/>
          <w:szCs w:val="20"/>
        </w:rPr>
        <w:t>objectives of regimes.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New Zealand Productivity Commission</w:t>
      </w:r>
    </w:p>
    <w:p w:rsidR="00190B7B" w:rsidRDefault="00190B7B" w:rsidP="00D76EC7">
      <w:pPr>
        <w:spacing w:after="0" w:line="240" w:lineRule="auto"/>
        <w:rPr>
          <w:rFonts w:ascii="Arial Mäori" w:hAnsi="Arial Mäori" w:cs="Arial Mäori"/>
          <w:i/>
          <w:color w:val="000000"/>
          <w:sz w:val="20"/>
          <w:szCs w:val="20"/>
        </w:rPr>
      </w:pPr>
    </w:p>
    <w:p w:rsidR="00190B7B" w:rsidRDefault="00190B7B" w:rsidP="00190B7B">
      <w:pPr>
        <w:spacing w:after="0" w:line="240" w:lineRule="auto"/>
        <w:rPr>
          <w:rFonts w:ascii="Arial Mäori" w:hAnsi="Arial Mäori" w:cs="Arial Mäori"/>
          <w:b/>
          <w:color w:val="000000"/>
          <w:sz w:val="20"/>
          <w:szCs w:val="20"/>
        </w:rPr>
      </w:pPr>
      <w:hyperlink r:id="rId22" w:history="1">
        <w:r w:rsidRPr="00153F35">
          <w:rPr>
            <w:rStyle w:val="Hyperlink"/>
            <w:rFonts w:ascii="Arial Mäori" w:hAnsi="Arial Mäori" w:cs="Arial Mäori"/>
            <w:b/>
            <w:sz w:val="20"/>
            <w:szCs w:val="20"/>
          </w:rPr>
          <w:t>On effective, accessible and resilient health systems</w:t>
        </w:r>
      </w:hyperlink>
    </w:p>
    <w:p w:rsidR="00190B7B" w:rsidRDefault="00190B7B" w:rsidP="00190B7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“T</w:t>
      </w:r>
      <w:r w:rsidRPr="008312EE">
        <w:rPr>
          <w:rFonts w:ascii="Arial Mäori" w:hAnsi="Arial Mäori" w:cs="Arial Mäori"/>
          <w:color w:val="000000"/>
          <w:sz w:val="20"/>
          <w:szCs w:val="20"/>
        </w:rPr>
        <w:t>his Communication focuses on actions to:</w:t>
      </w:r>
      <w:r>
        <w:rPr>
          <w:rFonts w:ascii="Arial Mäori" w:hAnsi="Arial Mäori" w:cs="Arial Mäori"/>
          <w:color w:val="000000"/>
          <w:sz w:val="20"/>
          <w:szCs w:val="20"/>
        </w:rPr>
        <w:t xml:space="preserve"> </w:t>
      </w:r>
      <w:r w:rsidRPr="008312EE">
        <w:rPr>
          <w:rFonts w:ascii="Arial Mäori" w:hAnsi="Arial Mäori" w:cs="Arial Mäori"/>
          <w:color w:val="000000"/>
          <w:sz w:val="20"/>
          <w:szCs w:val="20"/>
        </w:rPr>
        <w:t>1. Strengthen the effectiveness of health systems</w:t>
      </w:r>
      <w:r>
        <w:rPr>
          <w:rFonts w:ascii="Arial Mäori" w:hAnsi="Arial Mäori" w:cs="Arial Mäori"/>
          <w:color w:val="000000"/>
          <w:sz w:val="20"/>
          <w:szCs w:val="20"/>
        </w:rPr>
        <w:t xml:space="preserve">; </w:t>
      </w:r>
      <w:r w:rsidRPr="008312EE">
        <w:rPr>
          <w:rFonts w:ascii="Arial Mäori" w:hAnsi="Arial Mäori" w:cs="Arial Mäori"/>
          <w:color w:val="000000"/>
          <w:sz w:val="20"/>
          <w:szCs w:val="20"/>
        </w:rPr>
        <w:t>2. Increase the accessibility of healthcare</w:t>
      </w:r>
      <w:r>
        <w:rPr>
          <w:rFonts w:ascii="Arial Mäori" w:hAnsi="Arial Mäori" w:cs="Arial Mäori"/>
          <w:color w:val="000000"/>
          <w:sz w:val="20"/>
          <w:szCs w:val="20"/>
        </w:rPr>
        <w:t xml:space="preserve">; [and] </w:t>
      </w:r>
      <w:r w:rsidRPr="008312EE">
        <w:rPr>
          <w:rFonts w:ascii="Arial Mäori" w:hAnsi="Arial Mäori" w:cs="Arial Mäori"/>
          <w:color w:val="000000"/>
          <w:sz w:val="20"/>
          <w:szCs w:val="20"/>
        </w:rPr>
        <w:t>3. Improve the resilience of health systems</w:t>
      </w:r>
      <w:r>
        <w:rPr>
          <w:rFonts w:ascii="Arial Mäori" w:hAnsi="Arial Mäori" w:cs="Arial Mäori"/>
          <w:color w:val="000000"/>
          <w:sz w:val="20"/>
          <w:szCs w:val="20"/>
        </w:rPr>
        <w:t xml:space="preserve">.” </w:t>
      </w:r>
      <w:r>
        <w:rPr>
          <w:rFonts w:ascii="Arial Mäori" w:hAnsi="Arial Mäori" w:cs="Arial Mäori"/>
          <w:i/>
          <w:color w:val="000000"/>
          <w:sz w:val="20"/>
          <w:szCs w:val="20"/>
        </w:rPr>
        <w:t>Source: European Commission</w:t>
      </w:r>
    </w:p>
    <w:p w:rsidR="00E1797C" w:rsidRDefault="00E1797C" w:rsidP="00190B7B">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23" w:history="1">
        <w:r w:rsidRPr="00153F35">
          <w:rPr>
            <w:rStyle w:val="Hyperlink"/>
            <w:rFonts w:ascii="Arial Mäori" w:hAnsi="Arial Mäori" w:cs="Arial Mäori"/>
            <w:b/>
            <w:sz w:val="20"/>
            <w:szCs w:val="20"/>
          </w:rPr>
          <w:t>Closing the Loop: Why We Need to Invest—and Reinvest—in Prevention</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4545C9">
        <w:rPr>
          <w:rFonts w:ascii="Arial Mäori" w:hAnsi="Arial Mäori" w:cs="Arial Mäori"/>
          <w:color w:val="000000"/>
          <w:sz w:val="20"/>
          <w:szCs w:val="20"/>
        </w:rPr>
        <w:t>In their discussion paper, Cohen and Iton propose a sustainable model for funding prevention strategies. By pooling and managing prevention funds from federal, state, and local sources, philanthropies, and others based on population needs, and investing in evidence-informed strategies in communities, the prevention system continuously captures and reinvests savings through intermediary organizations that support the development of community strategies to improve health, reduce costs, and the need for additional health care, thereby creating a virtuous cycle of investment bef</w:t>
      </w:r>
      <w:r w:rsidR="00563E13">
        <w:rPr>
          <w:rFonts w:ascii="Arial Mäori" w:hAnsi="Arial Mäori" w:cs="Arial Mäori"/>
          <w:color w:val="000000"/>
          <w:sz w:val="20"/>
          <w:szCs w:val="20"/>
        </w:rPr>
        <w:t>ore people are sick or injured.”</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DF151F" w:rsidRDefault="00DF151F" w:rsidP="00E1797C">
      <w:pPr>
        <w:spacing w:after="0" w:line="240" w:lineRule="auto"/>
        <w:rPr>
          <w:rFonts w:ascii="Arial Mäori" w:hAnsi="Arial Mäori" w:cs="Arial Mäori"/>
          <w:i/>
          <w:color w:val="000000"/>
          <w:sz w:val="20"/>
          <w:szCs w:val="20"/>
        </w:rPr>
      </w:pPr>
    </w:p>
    <w:p w:rsidR="00DF151F" w:rsidRDefault="00DF151F" w:rsidP="00DF151F">
      <w:pPr>
        <w:spacing w:after="0" w:line="240" w:lineRule="auto"/>
        <w:rPr>
          <w:rFonts w:ascii="Arial Mäori" w:hAnsi="Arial Mäori" w:cs="Arial Mäori"/>
          <w:b/>
          <w:color w:val="000000"/>
          <w:sz w:val="20"/>
          <w:szCs w:val="20"/>
        </w:rPr>
      </w:pPr>
      <w:hyperlink r:id="rId24" w:history="1">
        <w:r w:rsidRPr="004D0451">
          <w:rPr>
            <w:rStyle w:val="Hyperlink"/>
            <w:rFonts w:ascii="Arial Mäori" w:hAnsi="Arial Mäori" w:cs="Arial Mäori"/>
            <w:b/>
            <w:sz w:val="20"/>
            <w:szCs w:val="20"/>
          </w:rPr>
          <w:t>Smart governance for health and well-being: the evidence</w:t>
        </w:r>
      </w:hyperlink>
    </w:p>
    <w:p w:rsidR="00DF151F" w:rsidRDefault="00DF151F" w:rsidP="00DF151F">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165714">
        <w:rPr>
          <w:rFonts w:ascii="Arial Mäori" w:hAnsi="Arial Mäori" w:cs="Arial Mäori"/>
          <w:color w:val="000000"/>
          <w:sz w:val="20"/>
          <w:szCs w:val="20"/>
        </w:rPr>
        <w:t>Governance for health describes the attempts of governments and other actors to steer communities, whole</w:t>
      </w:r>
      <w:r>
        <w:rPr>
          <w:rFonts w:ascii="Arial Mäori" w:hAnsi="Arial Mäori" w:cs="Arial Mäori"/>
          <w:color w:val="000000"/>
          <w:sz w:val="20"/>
          <w:szCs w:val="20"/>
        </w:rPr>
        <w:t xml:space="preserve"> </w:t>
      </w:r>
      <w:r w:rsidRPr="00165714">
        <w:rPr>
          <w:rFonts w:ascii="Arial Mäori" w:hAnsi="Arial Mäori" w:cs="Arial Mäori"/>
          <w:color w:val="000000"/>
          <w:sz w:val="20"/>
          <w:szCs w:val="20"/>
        </w:rPr>
        <w:t>countries or even groups of countries in the pursuit of health as integral to well-being. This study tracks</w:t>
      </w:r>
      <w:r>
        <w:rPr>
          <w:rFonts w:ascii="Arial Mäori" w:hAnsi="Arial Mäori" w:cs="Arial Mäori"/>
          <w:color w:val="000000"/>
          <w:sz w:val="20"/>
          <w:szCs w:val="20"/>
        </w:rPr>
        <w:t xml:space="preserve"> </w:t>
      </w:r>
      <w:r w:rsidRPr="00165714">
        <w:rPr>
          <w:rFonts w:ascii="Arial Mäori" w:hAnsi="Arial Mäori" w:cs="Arial Mäori"/>
          <w:color w:val="000000"/>
          <w:sz w:val="20"/>
          <w:szCs w:val="20"/>
        </w:rPr>
        <w:t>recent governance innovations to address the priority determinants of health and categorizes them into five</w:t>
      </w:r>
      <w:r>
        <w:rPr>
          <w:rFonts w:ascii="Arial Mäori" w:hAnsi="Arial Mäori" w:cs="Arial Mäori"/>
          <w:color w:val="000000"/>
          <w:sz w:val="20"/>
          <w:szCs w:val="20"/>
        </w:rPr>
        <w:t xml:space="preserve"> </w:t>
      </w:r>
      <w:r w:rsidRPr="00165714">
        <w:rPr>
          <w:rFonts w:ascii="Arial Mäori" w:hAnsi="Arial Mäori" w:cs="Arial Mäori"/>
          <w:color w:val="000000"/>
          <w:sz w:val="20"/>
          <w:szCs w:val="20"/>
        </w:rPr>
        <w:t>strategic approaches to smart governance for health. It relates the emergence of joint action by the health</w:t>
      </w:r>
      <w:r>
        <w:rPr>
          <w:rFonts w:ascii="Arial Mäori" w:hAnsi="Arial Mäori" w:cs="Arial Mäori"/>
          <w:color w:val="000000"/>
          <w:sz w:val="20"/>
          <w:szCs w:val="20"/>
        </w:rPr>
        <w:t xml:space="preserve"> </w:t>
      </w:r>
      <w:r w:rsidRPr="00165714">
        <w:rPr>
          <w:rFonts w:ascii="Arial Mäori" w:hAnsi="Arial Mäori" w:cs="Arial Mäori"/>
          <w:color w:val="000000"/>
          <w:sz w:val="20"/>
          <w:szCs w:val="20"/>
        </w:rPr>
        <w:t>and non-health sectors, public and private actors and citizens, all of whom have an increasing role to play in</w:t>
      </w:r>
      <w:r>
        <w:rPr>
          <w:rFonts w:ascii="Arial Mäori" w:hAnsi="Arial Mäori" w:cs="Arial Mäori"/>
          <w:color w:val="000000"/>
          <w:sz w:val="20"/>
          <w:szCs w:val="20"/>
        </w:rPr>
        <w:t xml:space="preserve"> </w:t>
      </w:r>
      <w:r w:rsidRPr="00165714">
        <w:rPr>
          <w:rFonts w:ascii="Arial Mäori" w:hAnsi="Arial Mäori" w:cs="Arial Mäori"/>
          <w:color w:val="000000"/>
          <w:sz w:val="20"/>
          <w:szCs w:val="20"/>
        </w:rPr>
        <w:t>achieving seminal changes in 21st century societies.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World Health Organization</w:t>
      </w:r>
    </w:p>
    <w:p w:rsidR="006C629E" w:rsidRDefault="006C629E" w:rsidP="008547EA">
      <w:pPr>
        <w:spacing w:after="0" w:line="240" w:lineRule="auto"/>
        <w:rPr>
          <w:rFonts w:ascii="Arial Mäori" w:hAnsi="Arial Mäori" w:cs="Arial Mäori"/>
          <w:i/>
          <w:color w:val="000000"/>
          <w:sz w:val="20"/>
          <w:szCs w:val="20"/>
        </w:rPr>
      </w:pPr>
    </w:p>
    <w:p w:rsidR="006C629E" w:rsidRDefault="006C629E" w:rsidP="006C629E">
      <w:pPr>
        <w:spacing w:after="0" w:line="240" w:lineRule="auto"/>
        <w:rPr>
          <w:rFonts w:ascii="Arial Mäori" w:hAnsi="Arial Mäori" w:cs="Arial Mäori"/>
          <w:b/>
          <w:color w:val="000000"/>
          <w:sz w:val="20"/>
          <w:szCs w:val="20"/>
        </w:rPr>
      </w:pPr>
      <w:hyperlink r:id="rId25" w:history="1">
        <w:r w:rsidRPr="006129D6">
          <w:rPr>
            <w:rStyle w:val="Hyperlink"/>
            <w:rFonts w:ascii="Arial Mäori" w:hAnsi="Arial Mäori" w:cs="Arial Mäori"/>
            <w:b/>
            <w:sz w:val="20"/>
            <w:szCs w:val="20"/>
          </w:rPr>
          <w:t>Commissioning and funding general practice: Making the case for family care networks</w:t>
        </w:r>
      </w:hyperlink>
    </w:p>
    <w:p w:rsidR="006C629E" w:rsidRPr="000E28A8" w:rsidRDefault="006C629E" w:rsidP="006C629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0E28A8">
        <w:rPr>
          <w:rFonts w:ascii="Arial Mäori" w:hAnsi="Arial Mäori" w:cs="Arial Mäori"/>
          <w:color w:val="000000"/>
          <w:sz w:val="20"/>
          <w:szCs w:val="20"/>
        </w:rPr>
        <w:t>This paper describes the current system of commissioning and funding general practice and how this is being used in four areas of England to develop innovative models of primary care provision. The current system contains a range of freedoms and flexibilities and these are enabling general practices to provide a wider range of services and to raise standards of care. This is leading to greater collaboration between practices and the emergence of federations and networks operating on a larger scale than has traditionally been the case.</w:t>
      </w:r>
      <w:r>
        <w:rPr>
          <w:rFonts w:ascii="Arial Mäori" w:hAnsi="Arial Mäori" w:cs="Arial Mäori"/>
          <w:color w:val="000000"/>
          <w:sz w:val="20"/>
          <w:szCs w:val="20"/>
        </w:rPr>
        <w:t xml:space="preserve">” </w:t>
      </w:r>
      <w:r>
        <w:rPr>
          <w:rFonts w:ascii="Arial Mäori" w:hAnsi="Arial Mäori" w:cs="Arial Mäori"/>
          <w:i/>
          <w:color w:val="000000"/>
          <w:sz w:val="20"/>
          <w:szCs w:val="20"/>
        </w:rPr>
        <w:t>Source: King’s Fund</w:t>
      </w:r>
    </w:p>
    <w:p w:rsidR="006C629E" w:rsidRPr="008C3ED0" w:rsidRDefault="006C629E" w:rsidP="006C629E">
      <w:pPr>
        <w:spacing w:after="0" w:line="240" w:lineRule="auto"/>
        <w:rPr>
          <w:rFonts w:ascii="Arial Mäori" w:hAnsi="Arial Mäori" w:cs="Arial Mäori"/>
          <w:color w:val="000000"/>
          <w:sz w:val="20"/>
          <w:szCs w:val="20"/>
        </w:rPr>
      </w:pPr>
    </w:p>
    <w:p w:rsidR="006C629E" w:rsidRDefault="006C629E" w:rsidP="006C629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 xml:space="preserve"> </w:t>
      </w:r>
      <w:hyperlink r:id="rId26" w:history="1">
        <w:r w:rsidRPr="006129D6">
          <w:rPr>
            <w:rStyle w:val="Hyperlink"/>
            <w:rFonts w:ascii="Arial Mäori" w:hAnsi="Arial Mäori" w:cs="Arial Mäori"/>
            <w:b/>
            <w:sz w:val="20"/>
            <w:szCs w:val="20"/>
          </w:rPr>
          <w:t>Transforming Mental Health: A Plan of Action for London</w:t>
        </w:r>
      </w:hyperlink>
    </w:p>
    <w:p w:rsidR="006C629E" w:rsidRDefault="006C629E" w:rsidP="006C629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15281">
        <w:rPr>
          <w:rFonts w:ascii="Arial Mäori" w:hAnsi="Arial Mäori" w:cs="Arial Mäori"/>
          <w:color w:val="000000"/>
          <w:sz w:val="20"/>
          <w:szCs w:val="20"/>
        </w:rPr>
        <w:t>This report describes a vision for the future of mental health provision in London, generated through a process of engagement with key stakeholders in the capital. The vision is based on a collaborative, integrated approach towards mental health that is relevant in London and elsewhere.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King’s Fund</w:t>
      </w:r>
    </w:p>
    <w:p w:rsidR="008547EA" w:rsidRDefault="008547EA" w:rsidP="008547EA">
      <w:pPr>
        <w:spacing w:after="0" w:line="240" w:lineRule="auto"/>
        <w:rPr>
          <w:rFonts w:ascii="Arial Mäori" w:hAnsi="Arial Mäori" w:cs="Arial Mäori"/>
          <w:color w:val="000000"/>
          <w:sz w:val="20"/>
          <w:szCs w:val="20"/>
        </w:rPr>
      </w:pPr>
    </w:p>
    <w:p w:rsidR="008547EA" w:rsidRDefault="008547EA" w:rsidP="008547EA">
      <w:pPr>
        <w:spacing w:after="0" w:line="240" w:lineRule="auto"/>
        <w:rPr>
          <w:rFonts w:ascii="Arial Mäori" w:hAnsi="Arial Mäori" w:cs="Arial Mäori"/>
          <w:b/>
          <w:color w:val="000000"/>
          <w:sz w:val="20"/>
          <w:szCs w:val="20"/>
        </w:rPr>
      </w:pPr>
      <w:hyperlink r:id="rId27" w:history="1">
        <w:r w:rsidRPr="004D0451">
          <w:rPr>
            <w:rStyle w:val="Hyperlink"/>
            <w:rFonts w:ascii="Arial Mäori" w:hAnsi="Arial Mäori" w:cs="Arial Mäori"/>
            <w:b/>
            <w:sz w:val="20"/>
            <w:szCs w:val="20"/>
          </w:rPr>
          <w:t>Geographic Variations in Health Care: What Do We Know and What Can Be Done to Improve Health System Performance?</w:t>
        </w:r>
      </w:hyperlink>
    </w:p>
    <w:p w:rsidR="008547EA"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E67EFE">
        <w:rPr>
          <w:rFonts w:ascii="Arial Mäori" w:hAnsi="Arial Mäori" w:cs="Arial Mäori"/>
          <w:color w:val="000000"/>
          <w:sz w:val="20"/>
          <w:szCs w:val="20"/>
        </w:rPr>
        <w:t xml:space="preserve">Variations in health care use within a country are complicated. In some cases they may reflect differences in health needs, in patient preferences or in the diffusion of a therapeutic innovation; in others they may not. There is evidence that some of the observed variations are unwarranted, </w:t>
      </w:r>
      <w:r w:rsidRPr="00E67EFE">
        <w:rPr>
          <w:rFonts w:ascii="Arial Mäori" w:hAnsi="Arial Mäori" w:cs="Arial Mäori"/>
          <w:color w:val="000000"/>
          <w:sz w:val="20"/>
          <w:szCs w:val="20"/>
        </w:rPr>
        <w:lastRenderedPageBreak/>
        <w:t>signalling under- or over-provision of health services, or both. This study documents geographic variations for high-cost and high-volume procedures in select OECD countries.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OECD</w:t>
      </w:r>
    </w:p>
    <w:p w:rsidR="007E017B" w:rsidRDefault="008547EA" w:rsidP="008547EA">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*you may need to inter-library loan from your local library</w:t>
      </w:r>
      <w:r>
        <w:rPr>
          <w:rFonts w:ascii="Arial Mäori" w:hAnsi="Arial Mäori" w:cs="Arial Mäori"/>
          <w:i/>
          <w:color w:val="000000"/>
          <w:sz w:val="20"/>
          <w:szCs w:val="20"/>
        </w:rPr>
        <w:t xml:space="preserve"> if you can’t link to full text</w:t>
      </w:r>
      <w:r w:rsidR="007E017B">
        <w:rPr>
          <w:rFonts w:ascii="Arial Mäori" w:hAnsi="Arial Mäori" w:cs="Arial Mäori"/>
          <w:i/>
          <w:color w:val="000000"/>
          <w:sz w:val="20"/>
          <w:szCs w:val="20"/>
        </w:rPr>
        <w:tab/>
      </w:r>
    </w:p>
    <w:p w:rsidR="008547EA" w:rsidRDefault="00866424" w:rsidP="008547EA">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back to top</w:t>
        </w:r>
      </w:hyperlink>
    </w:p>
    <w:p w:rsidR="00582AF7" w:rsidRDefault="00582AF7">
      <w:pPr>
        <w:rPr>
          <w:rFonts w:ascii="Times New Roman" w:eastAsia="Times New Roman" w:hAnsi="Times New Roman" w:cs="Times New Roman"/>
          <w:b/>
          <w:bCs/>
          <w:color w:val="548DD4" w:themeColor="text2" w:themeTint="99"/>
          <w:sz w:val="27"/>
          <w:szCs w:val="27"/>
          <w:lang w:eastAsia="en-NZ"/>
        </w:rPr>
      </w:pPr>
      <w:bookmarkStart w:id="15" w:name="_Inequality"/>
      <w:bookmarkEnd w:id="15"/>
      <w:r>
        <w:rPr>
          <w:color w:val="548DD4" w:themeColor="text2" w:themeTint="99"/>
        </w:rPr>
        <w:br w:type="page"/>
      </w:r>
    </w:p>
    <w:p w:rsidR="00F4492D" w:rsidRDefault="00F4492D" w:rsidP="00F4492D">
      <w:pPr>
        <w:pStyle w:val="Heading3"/>
        <w:rPr>
          <w:color w:val="548DD4" w:themeColor="text2" w:themeTint="99"/>
        </w:rPr>
      </w:pPr>
      <w:r>
        <w:rPr>
          <w:color w:val="548DD4" w:themeColor="text2" w:themeTint="99"/>
        </w:rPr>
        <w:t>Inequality</w:t>
      </w:r>
    </w:p>
    <w:p w:rsidR="00D76EC7" w:rsidRDefault="00D76EC7" w:rsidP="00D76EC7">
      <w:pPr>
        <w:spacing w:after="0" w:line="240" w:lineRule="auto"/>
        <w:rPr>
          <w:rFonts w:ascii="Arial Mäori" w:hAnsi="Arial Mäori" w:cs="Arial Mäori"/>
          <w:b/>
          <w:color w:val="000000"/>
          <w:sz w:val="20"/>
          <w:szCs w:val="20"/>
        </w:rPr>
      </w:pPr>
      <w:hyperlink r:id="rId28" w:history="1">
        <w:r w:rsidRPr="00153F35">
          <w:rPr>
            <w:rStyle w:val="Hyperlink"/>
            <w:rFonts w:ascii="Arial Mäori" w:hAnsi="Arial Mäori" w:cs="Arial Mäori"/>
            <w:b/>
            <w:sz w:val="20"/>
            <w:szCs w:val="20"/>
          </w:rPr>
          <w:t>Indicators of inequality for Māori and Pacific people</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114796">
        <w:rPr>
          <w:rFonts w:ascii="Arial Mäori" w:hAnsi="Arial Mäori" w:cs="Arial Mäori"/>
          <w:color w:val="000000"/>
          <w:sz w:val="20"/>
          <w:szCs w:val="20"/>
        </w:rPr>
        <w:t>This study investigates a number of inequality indicators in New Zealand. The research examines the current gaps in the indicators between the European population, and Māori and Pacific people. The study also undertakes a comparison of the changes in the gaps over a period approximating 10 years for each of the indicators. A total of 21 indicators are investigated in this study, incorporating measures of health; knowledge and skills; employment; standards of living; cultural identity; and social connectedness.</w:t>
      </w:r>
      <w:r>
        <w:rPr>
          <w:rFonts w:ascii="Arial Mäori" w:hAnsi="Arial Mäori" w:cs="Arial Mäori"/>
          <w:color w:val="000000"/>
          <w:sz w:val="20"/>
          <w:szCs w:val="20"/>
        </w:rPr>
        <w:t xml:space="preserve">” </w:t>
      </w:r>
      <w:r>
        <w:rPr>
          <w:rFonts w:ascii="Arial Mäori" w:hAnsi="Arial Mäori" w:cs="Arial Mäori"/>
          <w:i/>
          <w:color w:val="000000"/>
          <w:sz w:val="20"/>
          <w:szCs w:val="20"/>
        </w:rPr>
        <w:t>Source: Victoria Business School</w:t>
      </w:r>
    </w:p>
    <w:p w:rsidR="00E1797C" w:rsidRDefault="00E1797C" w:rsidP="00D76EC7">
      <w:pPr>
        <w:spacing w:after="0" w:line="240" w:lineRule="auto"/>
        <w:rPr>
          <w:rFonts w:ascii="Arial Mäori" w:hAnsi="Arial Mäori" w:cs="Arial Mäori"/>
          <w:i/>
          <w:color w:val="000000"/>
          <w:sz w:val="20"/>
          <w:szCs w:val="20"/>
        </w:rPr>
      </w:pPr>
    </w:p>
    <w:p w:rsidR="00FB2AEF" w:rsidRDefault="00FB2AEF" w:rsidP="00FB2AEF">
      <w:pPr>
        <w:spacing w:after="0" w:line="240" w:lineRule="auto"/>
        <w:rPr>
          <w:rFonts w:ascii="Arial Mäori" w:hAnsi="Arial Mäori" w:cs="Arial Mäori"/>
          <w:b/>
          <w:color w:val="000000"/>
          <w:sz w:val="20"/>
          <w:szCs w:val="20"/>
        </w:rPr>
      </w:pPr>
      <w:hyperlink r:id="rId29" w:history="1">
        <w:r w:rsidRPr="004D0451">
          <w:rPr>
            <w:rStyle w:val="Hyperlink"/>
            <w:rFonts w:ascii="Arial Mäori" w:hAnsi="Arial Mäori" w:cs="Arial Mäori"/>
            <w:b/>
            <w:sz w:val="20"/>
            <w:szCs w:val="20"/>
          </w:rPr>
          <w:t>The Relati</w:t>
        </w:r>
        <w:r w:rsidRPr="004D0451">
          <w:rPr>
            <w:rStyle w:val="Hyperlink"/>
            <w:rFonts w:ascii="Arial Mäori" w:hAnsi="Arial Mäori" w:cs="Arial Mäori"/>
            <w:b/>
            <w:sz w:val="20"/>
            <w:szCs w:val="20"/>
          </w:rPr>
          <w:t>v</w:t>
        </w:r>
        <w:r w:rsidRPr="004D0451">
          <w:rPr>
            <w:rStyle w:val="Hyperlink"/>
            <w:rFonts w:ascii="Arial Mäori" w:hAnsi="Arial Mäori" w:cs="Arial Mäori"/>
            <w:b/>
            <w:sz w:val="20"/>
            <w:szCs w:val="20"/>
          </w:rPr>
          <w:t>e Contribution of Multiple Determinants to Health Outcomes</w:t>
        </w:r>
      </w:hyperlink>
    </w:p>
    <w:p w:rsidR="00FB2AEF" w:rsidRDefault="00FB2AEF" w:rsidP="00FB2AEF">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F0522">
        <w:rPr>
          <w:rFonts w:ascii="Arial Mäori" w:hAnsi="Arial Mäori" w:cs="Arial Mäori"/>
          <w:color w:val="000000"/>
          <w:sz w:val="20"/>
          <w:szCs w:val="20"/>
        </w:rPr>
        <w:t>In this issue brief we focus on multiple determinant</w:t>
      </w:r>
      <w:r>
        <w:rPr>
          <w:rFonts w:ascii="Arial Mäori" w:hAnsi="Arial Mäori" w:cs="Arial Mäori"/>
          <w:color w:val="000000"/>
          <w:sz w:val="20"/>
          <w:szCs w:val="20"/>
        </w:rPr>
        <w:t xml:space="preserve"> </w:t>
      </w:r>
      <w:r w:rsidRPr="008F0522">
        <w:rPr>
          <w:rFonts w:ascii="Arial Mäori" w:hAnsi="Arial Mäori" w:cs="Arial Mäori"/>
          <w:color w:val="000000"/>
          <w:sz w:val="20"/>
          <w:szCs w:val="20"/>
        </w:rPr>
        <w:t>studies that seek to quantify the</w:t>
      </w:r>
      <w:r>
        <w:rPr>
          <w:rFonts w:ascii="Arial Mäori" w:hAnsi="Arial Mäori" w:cs="Arial Mäori"/>
          <w:color w:val="000000"/>
          <w:sz w:val="20"/>
          <w:szCs w:val="20"/>
        </w:rPr>
        <w:t xml:space="preserve"> </w:t>
      </w:r>
      <w:r w:rsidRPr="008F0522">
        <w:rPr>
          <w:rFonts w:ascii="Arial Mäori" w:hAnsi="Arial Mäori" w:cs="Arial Mäori"/>
          <w:color w:val="000000"/>
          <w:sz w:val="20"/>
          <w:szCs w:val="20"/>
        </w:rPr>
        <w:t>relative influence of the major categories of</w:t>
      </w:r>
      <w:r>
        <w:rPr>
          <w:rFonts w:ascii="Arial Mäori" w:hAnsi="Arial Mäori" w:cs="Arial Mäori"/>
          <w:color w:val="000000"/>
          <w:sz w:val="20"/>
          <w:szCs w:val="20"/>
        </w:rPr>
        <w:t xml:space="preserve"> determinants on health.” </w:t>
      </w:r>
      <w:r>
        <w:rPr>
          <w:rFonts w:ascii="Arial Mäori" w:hAnsi="Arial Mäori" w:cs="Arial Mäori"/>
          <w:i/>
          <w:color w:val="000000"/>
          <w:sz w:val="20"/>
          <w:szCs w:val="20"/>
        </w:rPr>
        <w:t>Source: Health Affairs</w:t>
      </w:r>
    </w:p>
    <w:p w:rsidR="00FB2AEF" w:rsidRDefault="00FB2AEF" w:rsidP="00D76EC7">
      <w:pPr>
        <w:spacing w:after="0" w:line="240" w:lineRule="auto"/>
        <w:rPr>
          <w:rFonts w:ascii="Arial Mäori" w:hAnsi="Arial Mäori" w:cs="Arial Mäori"/>
          <w:i/>
          <w:color w:val="000000"/>
          <w:sz w:val="20"/>
          <w:szCs w:val="20"/>
        </w:rPr>
      </w:pPr>
    </w:p>
    <w:p w:rsidR="008547EA" w:rsidRDefault="008547EA" w:rsidP="008547EA">
      <w:pPr>
        <w:spacing w:after="0" w:line="240" w:lineRule="auto"/>
        <w:rPr>
          <w:rFonts w:ascii="Arial Mäori" w:hAnsi="Arial Mäori" w:cs="Arial Mäori"/>
          <w:b/>
          <w:color w:val="000000"/>
          <w:sz w:val="20"/>
          <w:szCs w:val="20"/>
        </w:rPr>
      </w:pPr>
      <w:hyperlink r:id="rId30" w:history="1">
        <w:r w:rsidRPr="004D0451">
          <w:rPr>
            <w:rStyle w:val="Hyperlink"/>
            <w:rFonts w:ascii="Arial Mäori" w:hAnsi="Arial Mäori" w:cs="Arial Mäori"/>
            <w:b/>
            <w:sz w:val="20"/>
            <w:szCs w:val="20"/>
          </w:rPr>
          <w:t>The relative effectiveness of Aboriginal Community Controlled Health Services compared with mainstream health service</w:t>
        </w:r>
      </w:hyperlink>
    </w:p>
    <w:p w:rsidR="008547EA"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B04D1">
        <w:rPr>
          <w:rFonts w:ascii="Arial Mäori" w:hAnsi="Arial Mäori" w:cs="Arial Mäori"/>
          <w:color w:val="000000"/>
          <w:sz w:val="20"/>
          <w:szCs w:val="20"/>
        </w:rPr>
        <w:t>The literature review underpinning this brief found a dearth of evidence on the relative effectiveness of ACCHS compared with mainstream health services.</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 xml:space="preserve"> However, a range of studies have been conducted which indicate that services provided by ACCHS are valued by their Aboriginal clients. In addition, there is some evidence that innovative models of care, such as partnerships with mainstream health services, may be beneficial.</w:t>
      </w:r>
      <w:r>
        <w:rPr>
          <w:rFonts w:ascii="Arial Mäori" w:hAnsi="Arial Mäori" w:cs="Arial Mäori"/>
          <w:color w:val="000000"/>
          <w:sz w:val="20"/>
          <w:szCs w:val="20"/>
        </w:rPr>
        <w:t xml:space="preserve">” </w:t>
      </w:r>
      <w:r>
        <w:rPr>
          <w:rFonts w:ascii="Arial Mäori" w:hAnsi="Arial Mäori" w:cs="Arial Mäori"/>
          <w:i/>
          <w:color w:val="000000"/>
          <w:sz w:val="20"/>
          <w:szCs w:val="20"/>
        </w:rPr>
        <w:t>Source: Deeble Institute</w:t>
      </w:r>
    </w:p>
    <w:p w:rsidR="008547EA" w:rsidRDefault="008547EA" w:rsidP="008547EA">
      <w:pPr>
        <w:spacing w:after="0" w:line="240" w:lineRule="auto"/>
        <w:rPr>
          <w:rFonts w:ascii="Arial Mäori" w:hAnsi="Arial Mäori" w:cs="Arial Mäori"/>
          <w:color w:val="000000"/>
          <w:sz w:val="20"/>
          <w:szCs w:val="20"/>
        </w:rPr>
      </w:pPr>
    </w:p>
    <w:p w:rsidR="008547EA" w:rsidRDefault="008547EA" w:rsidP="008547EA">
      <w:pPr>
        <w:spacing w:after="0" w:line="240" w:lineRule="auto"/>
        <w:rPr>
          <w:rFonts w:ascii="Arial Mäori" w:hAnsi="Arial Mäori" w:cs="Arial Mäori"/>
          <w:b/>
          <w:color w:val="000000"/>
          <w:sz w:val="20"/>
          <w:szCs w:val="20"/>
        </w:rPr>
      </w:pPr>
      <w:hyperlink r:id="rId31" w:history="1">
        <w:r w:rsidRPr="004D0451">
          <w:rPr>
            <w:rStyle w:val="Hyperlink"/>
            <w:rFonts w:ascii="Arial Mäori" w:hAnsi="Arial Mäori" w:cs="Arial Mäori"/>
            <w:b/>
            <w:sz w:val="20"/>
            <w:szCs w:val="20"/>
          </w:rPr>
          <w:t>Funding Indigenous organisations: improving governance performance through innovations in public finance management in remote Australia</w:t>
        </w:r>
      </w:hyperlink>
    </w:p>
    <w:p w:rsidR="008547EA" w:rsidRDefault="008547EA" w:rsidP="008547EA">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8B04D1">
        <w:rPr>
          <w:rFonts w:ascii="Arial Mäori" w:hAnsi="Arial Mäori" w:cs="Arial Mäori"/>
          <w:color w:val="000000"/>
          <w:sz w:val="20"/>
          <w:szCs w:val="20"/>
        </w:rPr>
        <w:t>In this review, block funding was identified for its potential to reform the public finance system to create</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enabling conditions for enhanced Indigenous governance. Building a devolved accountability framework around</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the organisation, rather than the centralised grant program, is a sensible alternative to multiple grants and</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ineffective cycles of grant risk management and attendant accountability measures. As block funding has never</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been explicitly trialled in Australia, there is a lack of evaluations and other evidence for its efficacy in remote</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Indigenous contexts. In comparison, the international development literature documents a wealth of experience</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of the success and</w:t>
      </w:r>
      <w:r>
        <w:rPr>
          <w:rFonts w:ascii="Arial Mäori" w:hAnsi="Arial Mäori" w:cs="Arial Mäori"/>
          <w:color w:val="000000"/>
          <w:sz w:val="20"/>
          <w:szCs w:val="20"/>
        </w:rPr>
        <w:t xml:space="preserve"> s</w:t>
      </w:r>
      <w:r w:rsidRPr="008B04D1">
        <w:rPr>
          <w:rFonts w:ascii="Arial Mäori" w:hAnsi="Arial Mäori" w:cs="Arial Mäori"/>
          <w:color w:val="000000"/>
          <w:sz w:val="20"/>
          <w:szCs w:val="20"/>
        </w:rPr>
        <w:t>hortcoming of generically similar financing modalities. The paper therefore considers the</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circumstances under which block funding could be usefully adapted to the unique context of remote Indigenous</w:t>
      </w:r>
      <w:r>
        <w:rPr>
          <w:rFonts w:ascii="Arial Mäori" w:hAnsi="Arial Mäori" w:cs="Arial Mäori"/>
          <w:color w:val="000000"/>
          <w:sz w:val="20"/>
          <w:szCs w:val="20"/>
        </w:rPr>
        <w:t xml:space="preserve"> </w:t>
      </w:r>
      <w:r w:rsidRPr="008B04D1">
        <w:rPr>
          <w:rFonts w:ascii="Arial Mäori" w:hAnsi="Arial Mäori" w:cs="Arial Mäori"/>
          <w:color w:val="000000"/>
          <w:sz w:val="20"/>
          <w:szCs w:val="20"/>
        </w:rPr>
        <w:t>communities in Australia.</w:t>
      </w:r>
      <w:r>
        <w:rPr>
          <w:rFonts w:ascii="Arial Mäori" w:hAnsi="Arial Mäori" w:cs="Arial Mäori"/>
          <w:color w:val="000000"/>
          <w:sz w:val="20"/>
          <w:szCs w:val="20"/>
        </w:rPr>
        <w:t xml:space="preserve">” </w:t>
      </w:r>
      <w:r>
        <w:rPr>
          <w:rFonts w:ascii="Arial Mäori" w:hAnsi="Arial Mäori" w:cs="Arial Mäori"/>
          <w:i/>
          <w:color w:val="000000"/>
          <w:sz w:val="20"/>
          <w:szCs w:val="20"/>
        </w:rPr>
        <w:t>Source: Australian Institute of Health and Welfare</w:t>
      </w:r>
    </w:p>
    <w:p w:rsidR="00E1797C" w:rsidRDefault="00E1797C" w:rsidP="00E1797C">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color w:val="000000"/>
          <w:sz w:val="20"/>
          <w:szCs w:val="20"/>
        </w:rPr>
      </w:pPr>
      <w:hyperlink r:id="rId32" w:history="1">
        <w:r w:rsidRPr="004D0451">
          <w:rPr>
            <w:rStyle w:val="Hyperlink"/>
            <w:rFonts w:ascii="Arial Mäori" w:hAnsi="Arial Mäori" w:cs="Arial Mäori"/>
            <w:b/>
            <w:sz w:val="20"/>
            <w:szCs w:val="20"/>
          </w:rPr>
          <w:t>Due North: The report of the Inquiry on Health Equity for the North</w:t>
        </w:r>
      </w:hyperlink>
      <w:r w:rsidRPr="00A36181">
        <w:rPr>
          <w:rFonts w:ascii="Arial Mäori" w:hAnsi="Arial Mäori" w:cs="Arial Mäori"/>
          <w:b/>
          <w:color w:val="000000"/>
          <w:sz w:val="20"/>
          <w:szCs w:val="20"/>
        </w:rPr>
        <w:t xml:space="preserve"> </w:t>
      </w:r>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36181">
        <w:rPr>
          <w:rFonts w:ascii="Arial Mäori" w:hAnsi="Arial Mäori" w:cs="Arial Mäori"/>
          <w:color w:val="000000"/>
          <w:sz w:val="20"/>
          <w:szCs w:val="20"/>
        </w:rPr>
        <w:t>The aim of this inquiry is to develop</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recommendations for policies that can address</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the social inequalities in health within the North</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and between the North and the rest of England.</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A36181">
        <w:rPr>
          <w:rFonts w:ascii="Arial Mäori" w:hAnsi="Arial Mäori" w:cs="Arial Mäori"/>
          <w:i/>
          <w:color w:val="000000"/>
          <w:sz w:val="20"/>
          <w:szCs w:val="20"/>
        </w:rPr>
        <w:t>University of Liverpool and Centre for Local</w:t>
      </w:r>
      <w:r>
        <w:rPr>
          <w:rFonts w:ascii="Arial Mäori" w:hAnsi="Arial Mäori" w:cs="Arial Mäori"/>
          <w:i/>
          <w:color w:val="000000"/>
          <w:sz w:val="20"/>
          <w:szCs w:val="20"/>
        </w:rPr>
        <w:t xml:space="preserve"> </w:t>
      </w:r>
      <w:r w:rsidRPr="00A36181">
        <w:rPr>
          <w:rFonts w:ascii="Arial Mäori" w:hAnsi="Arial Mäori" w:cs="Arial Mäori"/>
          <w:i/>
          <w:color w:val="000000"/>
          <w:sz w:val="20"/>
          <w:szCs w:val="20"/>
        </w:rPr>
        <w:t>Economic Strategies</w:t>
      </w:r>
    </w:p>
    <w:p w:rsidR="00735424" w:rsidRDefault="00735424" w:rsidP="00E1797C">
      <w:pPr>
        <w:spacing w:after="0" w:line="240" w:lineRule="auto"/>
        <w:rPr>
          <w:rFonts w:ascii="Arial Mäori" w:hAnsi="Arial Mäori" w:cs="Arial Mäori"/>
          <w:i/>
          <w:color w:val="000000"/>
          <w:sz w:val="20"/>
          <w:szCs w:val="20"/>
        </w:rPr>
      </w:pPr>
    </w:p>
    <w:p w:rsidR="00735424" w:rsidRDefault="00735424" w:rsidP="00735424">
      <w:pPr>
        <w:spacing w:after="0" w:line="240" w:lineRule="auto"/>
        <w:rPr>
          <w:rFonts w:ascii="Arial Mäori" w:hAnsi="Arial Mäori" w:cs="Arial Mäori"/>
          <w:b/>
          <w:color w:val="000000"/>
          <w:sz w:val="20"/>
          <w:szCs w:val="20"/>
        </w:rPr>
      </w:pPr>
      <w:hyperlink r:id="rId33" w:history="1">
        <w:r w:rsidRPr="004D0451">
          <w:rPr>
            <w:rStyle w:val="Hyperlink"/>
            <w:rFonts w:ascii="Arial Mäori" w:hAnsi="Arial Mäori" w:cs="Arial Mäori"/>
            <w:b/>
            <w:sz w:val="20"/>
            <w:szCs w:val="20"/>
          </w:rPr>
          <w:t>Premature deaths of people with learning disabilities: progress update</w:t>
        </w:r>
      </w:hyperlink>
      <w:r w:rsidRPr="00E67EFE">
        <w:rPr>
          <w:rFonts w:ascii="Arial Mäori" w:hAnsi="Arial Mäori" w:cs="Arial Mäori"/>
          <w:b/>
          <w:color w:val="000000"/>
          <w:sz w:val="20"/>
          <w:szCs w:val="20"/>
        </w:rPr>
        <w:t xml:space="preserve"> </w:t>
      </w:r>
    </w:p>
    <w:p w:rsidR="00735424" w:rsidRDefault="00735424" w:rsidP="0073542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01A93">
        <w:rPr>
          <w:rFonts w:ascii="Arial Mäori" w:hAnsi="Arial Mäori" w:cs="Arial Mäori"/>
          <w:color w:val="000000"/>
          <w:sz w:val="20"/>
          <w:szCs w:val="20"/>
        </w:rPr>
        <w:t>This report outlines the action being taken to improve the experience of people with learning disabilities in hospital and reduce premature deaths. It shows progress against the 18 recommendations in the Confidential Inquiry into premature deaths of people with learning disabilities both locally and nationally.</w:t>
      </w:r>
      <w:r>
        <w:rPr>
          <w:rFonts w:ascii="Arial Mäori" w:hAnsi="Arial Mäori" w:cs="Arial Mäori"/>
          <w:color w:val="000000"/>
          <w:sz w:val="20"/>
          <w:szCs w:val="20"/>
        </w:rPr>
        <w:t xml:space="preserve">” </w:t>
      </w:r>
      <w:r>
        <w:rPr>
          <w:rFonts w:ascii="Arial Mäori" w:hAnsi="Arial Mäori" w:cs="Arial Mäori"/>
          <w:i/>
          <w:color w:val="000000"/>
          <w:sz w:val="20"/>
          <w:szCs w:val="20"/>
        </w:rPr>
        <w:t>Source: UK Department of Health</w:t>
      </w:r>
    </w:p>
    <w:p w:rsidR="00735424" w:rsidRDefault="00735424" w:rsidP="00735424">
      <w:pPr>
        <w:spacing w:after="0" w:line="240" w:lineRule="auto"/>
        <w:rPr>
          <w:rFonts w:ascii="Arial Mäori" w:hAnsi="Arial Mäori" w:cs="Arial Mäori"/>
          <w:i/>
          <w:color w:val="000000"/>
          <w:sz w:val="20"/>
          <w:szCs w:val="20"/>
        </w:rPr>
      </w:pPr>
    </w:p>
    <w:p w:rsidR="00735424" w:rsidRDefault="00735424" w:rsidP="00735424">
      <w:pPr>
        <w:spacing w:after="0" w:line="240" w:lineRule="auto"/>
        <w:rPr>
          <w:rFonts w:ascii="Arial Mäori" w:hAnsi="Arial Mäori" w:cs="Arial Mäori"/>
          <w:b/>
          <w:color w:val="000000"/>
          <w:sz w:val="20"/>
          <w:szCs w:val="20"/>
        </w:rPr>
      </w:pPr>
      <w:hyperlink r:id="rId34" w:history="1">
        <w:r w:rsidRPr="004D0451">
          <w:rPr>
            <w:rStyle w:val="Hyperlink"/>
            <w:rFonts w:ascii="Arial Mäori" w:hAnsi="Arial Mäori" w:cs="Arial Mäori"/>
            <w:b/>
            <w:sz w:val="20"/>
            <w:szCs w:val="20"/>
          </w:rPr>
          <w:t>Tackling health inequities: from concepts to practice. The experience of Västra Götaland</w:t>
        </w:r>
      </w:hyperlink>
    </w:p>
    <w:p w:rsidR="007E017B" w:rsidRDefault="00735424" w:rsidP="0073542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3E4872">
        <w:rPr>
          <w:rFonts w:ascii="Arial Mäori" w:hAnsi="Arial Mäori" w:cs="Arial Mäori"/>
          <w:color w:val="000000"/>
          <w:sz w:val="20"/>
          <w:szCs w:val="20"/>
        </w:rPr>
        <w:t>This publication, produced by Region Västra Götaland and the WHO</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Regional Office for Europe, adds to the growing number of reports on joint</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efforts to tackle health inequalities. Governance for equitable health requires</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the involvement of a broad spectrum of stakeholders as well as contextual</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flexibility for framing the problem. The joint venture to create an action plan</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for social sustainability and health equity in Västra Götaland, Sweden serves</w:t>
      </w:r>
      <w:r>
        <w:rPr>
          <w:rFonts w:ascii="Arial Mäori" w:hAnsi="Arial Mäori" w:cs="Arial Mäori"/>
          <w:color w:val="000000"/>
          <w:sz w:val="20"/>
          <w:szCs w:val="20"/>
        </w:rPr>
        <w:t xml:space="preserve"> </w:t>
      </w:r>
      <w:r w:rsidRPr="003E4872">
        <w:rPr>
          <w:rFonts w:ascii="Arial Mäori" w:hAnsi="Arial Mäori" w:cs="Arial Mäori"/>
          <w:color w:val="000000"/>
          <w:sz w:val="20"/>
          <w:szCs w:val="20"/>
        </w:rPr>
        <w:t>as an example of the pitfalls and the possibilities of collaborative processes.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WHO</w:t>
      </w:r>
    </w:p>
    <w:p w:rsidR="00735424" w:rsidRDefault="00866424" w:rsidP="00735424">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back to top</w:t>
        </w:r>
      </w:hyperlink>
    </w:p>
    <w:p w:rsidR="00582AF7" w:rsidRDefault="00582AF7">
      <w:pPr>
        <w:rPr>
          <w:rFonts w:ascii="Times New Roman" w:eastAsia="Times New Roman" w:hAnsi="Times New Roman" w:cs="Times New Roman"/>
          <w:b/>
          <w:bCs/>
          <w:color w:val="548DD4" w:themeColor="text2" w:themeTint="99"/>
          <w:sz w:val="27"/>
          <w:szCs w:val="27"/>
          <w:lang w:eastAsia="en-NZ"/>
        </w:rPr>
      </w:pPr>
      <w:bookmarkStart w:id="16" w:name="_Child_&amp;_Youth"/>
      <w:bookmarkEnd w:id="16"/>
      <w:r>
        <w:rPr>
          <w:color w:val="548DD4" w:themeColor="text2" w:themeTint="99"/>
        </w:rPr>
        <w:lastRenderedPageBreak/>
        <w:br w:type="page"/>
      </w:r>
    </w:p>
    <w:p w:rsidR="002A221C" w:rsidRDefault="002A221C" w:rsidP="002A221C">
      <w:pPr>
        <w:pStyle w:val="Heading3"/>
        <w:rPr>
          <w:color w:val="548DD4" w:themeColor="text2" w:themeTint="99"/>
        </w:rPr>
      </w:pPr>
      <w:r>
        <w:rPr>
          <w:color w:val="548DD4" w:themeColor="text2" w:themeTint="99"/>
        </w:rPr>
        <w:t>Child</w:t>
      </w:r>
      <w:r>
        <w:rPr>
          <w:color w:val="548DD4" w:themeColor="text2" w:themeTint="99"/>
        </w:rPr>
        <w:t xml:space="preserve"> &amp; Youth Health</w:t>
      </w:r>
    </w:p>
    <w:p w:rsidR="000B6EB9" w:rsidRDefault="000B6EB9" w:rsidP="000B6EB9">
      <w:pPr>
        <w:spacing w:after="0" w:line="240" w:lineRule="auto"/>
        <w:rPr>
          <w:rFonts w:ascii="Arial Mäori" w:hAnsi="Arial Mäori" w:cs="Arial Mäori"/>
          <w:b/>
          <w:color w:val="000000"/>
          <w:sz w:val="20"/>
          <w:szCs w:val="20"/>
        </w:rPr>
      </w:pPr>
      <w:hyperlink r:id="rId35" w:history="1">
        <w:r w:rsidRPr="004D0451">
          <w:rPr>
            <w:rStyle w:val="Hyperlink"/>
            <w:rFonts w:ascii="Arial Mäori" w:hAnsi="Arial Mäori" w:cs="Arial Mäori"/>
            <w:b/>
            <w:sz w:val="20"/>
            <w:szCs w:val="20"/>
          </w:rPr>
          <w:t>Investing in children: the European child and adolescent health strategy 2015–2020</w:t>
        </w:r>
      </w:hyperlink>
    </w:p>
    <w:p w:rsidR="000B6EB9" w:rsidRDefault="000B6EB9" w:rsidP="000B6EB9">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D6624F">
        <w:rPr>
          <w:rFonts w:ascii="Arial Mäori" w:hAnsi="Arial Mäori" w:cs="Arial Mäori"/>
          <w:color w:val="000000"/>
          <w:sz w:val="20"/>
          <w:szCs w:val="20"/>
        </w:rPr>
        <w:t>The aims of the renewed strategy are to:</w:t>
      </w:r>
      <w:r>
        <w:rPr>
          <w:rFonts w:ascii="Arial Mäori" w:hAnsi="Arial Mäori" w:cs="Arial Mäori"/>
          <w:color w:val="000000"/>
          <w:sz w:val="20"/>
          <w:szCs w:val="20"/>
        </w:rPr>
        <w:t xml:space="preserve"> </w:t>
      </w:r>
      <w:r w:rsidRPr="00D6624F">
        <w:rPr>
          <w:rFonts w:ascii="Arial Mäori" w:hAnsi="Arial Mäori" w:cs="Arial Mäori"/>
          <w:color w:val="000000"/>
          <w:sz w:val="20"/>
          <w:szCs w:val="20"/>
        </w:rPr>
        <w:t>enable children and adolescents in the WHO European Region to realize their full</w:t>
      </w:r>
      <w:r>
        <w:rPr>
          <w:rFonts w:ascii="Arial Mäori" w:hAnsi="Arial Mäori" w:cs="Arial Mäori"/>
          <w:color w:val="000000"/>
          <w:sz w:val="20"/>
          <w:szCs w:val="20"/>
        </w:rPr>
        <w:t xml:space="preserve"> </w:t>
      </w:r>
      <w:r w:rsidRPr="00D6624F">
        <w:rPr>
          <w:rFonts w:ascii="Arial Mäori" w:hAnsi="Arial Mäori" w:cs="Arial Mäori"/>
          <w:color w:val="000000"/>
          <w:sz w:val="20"/>
          <w:szCs w:val="20"/>
        </w:rPr>
        <w:t>potential for health, development and well-being; and</w:t>
      </w:r>
      <w:r>
        <w:rPr>
          <w:rFonts w:ascii="Arial Mäori" w:hAnsi="Arial Mäori" w:cs="Arial Mäori"/>
          <w:color w:val="000000"/>
          <w:sz w:val="20"/>
          <w:szCs w:val="20"/>
        </w:rPr>
        <w:t xml:space="preserve"> </w:t>
      </w:r>
      <w:r w:rsidRPr="00D6624F">
        <w:rPr>
          <w:rFonts w:ascii="Arial Mäori" w:hAnsi="Arial Mäori" w:cs="Arial Mäori"/>
          <w:color w:val="000000"/>
          <w:sz w:val="20"/>
          <w:szCs w:val="20"/>
        </w:rPr>
        <w:t>reduce their burden of avoidable disease and mortality.</w:t>
      </w:r>
      <w:r>
        <w:rPr>
          <w:rFonts w:ascii="Arial Mäori" w:hAnsi="Arial Mäori" w:cs="Arial Mäori"/>
          <w:color w:val="000000"/>
          <w:sz w:val="20"/>
          <w:szCs w:val="20"/>
        </w:rPr>
        <w:t xml:space="preserve">” </w:t>
      </w:r>
      <w:r>
        <w:rPr>
          <w:rFonts w:ascii="Arial Mäori" w:hAnsi="Arial Mäori" w:cs="Arial Mäori"/>
          <w:i/>
          <w:color w:val="000000"/>
          <w:sz w:val="20"/>
          <w:szCs w:val="20"/>
        </w:rPr>
        <w:t>Source: WHO</w:t>
      </w:r>
    </w:p>
    <w:p w:rsidR="001A4454" w:rsidRDefault="001A4454" w:rsidP="001A4454">
      <w:pPr>
        <w:spacing w:after="0" w:line="240" w:lineRule="auto"/>
        <w:rPr>
          <w:rFonts w:ascii="Arial Mäori" w:hAnsi="Arial Mäori" w:cs="Arial Mäori"/>
          <w:i/>
          <w:color w:val="000000"/>
          <w:sz w:val="20"/>
          <w:szCs w:val="20"/>
        </w:rPr>
      </w:pPr>
    </w:p>
    <w:p w:rsidR="001A4454" w:rsidRPr="007C5E8F" w:rsidRDefault="007C5E8F" w:rsidP="001A4454">
      <w:pPr>
        <w:spacing w:after="0" w:line="240" w:lineRule="auto"/>
        <w:rPr>
          <w:rStyle w:val="Hyperlink"/>
          <w:rFonts w:ascii="Arial Mäori" w:hAnsi="Arial Mäori" w:cs="Arial Mäori"/>
          <w:sz w:val="20"/>
          <w:szCs w:val="20"/>
        </w:rPr>
      </w:pPr>
      <w:r>
        <w:rPr>
          <w:rFonts w:ascii="Arial Mäori" w:hAnsi="Arial Mäori" w:cs="Arial Mäori"/>
          <w:b/>
          <w:sz w:val="20"/>
          <w:szCs w:val="20"/>
        </w:rPr>
        <w:fldChar w:fldCharType="begin"/>
      </w:r>
      <w:r>
        <w:rPr>
          <w:rFonts w:ascii="Arial Mäori" w:hAnsi="Arial Mäori" w:cs="Arial Mäori"/>
          <w:b/>
          <w:sz w:val="20"/>
          <w:szCs w:val="20"/>
        </w:rPr>
        <w:instrText xml:space="preserve"> HYPERLINK "http://www.iom.edu/~/media/Files/Perspectives-Files/2014/Discussion-Papers/PowerofYouth.pdf" </w:instrText>
      </w:r>
      <w:r>
        <w:rPr>
          <w:rFonts w:ascii="Arial Mäori" w:hAnsi="Arial Mäori" w:cs="Arial Mäori"/>
          <w:b/>
          <w:sz w:val="20"/>
          <w:szCs w:val="20"/>
        </w:rPr>
      </w:r>
      <w:r>
        <w:rPr>
          <w:rFonts w:ascii="Arial Mäori" w:hAnsi="Arial Mäori" w:cs="Arial Mäori"/>
          <w:b/>
          <w:sz w:val="20"/>
          <w:szCs w:val="20"/>
        </w:rPr>
        <w:fldChar w:fldCharType="separate"/>
      </w:r>
      <w:r w:rsidR="001A4454" w:rsidRPr="007C5E8F">
        <w:rPr>
          <w:rStyle w:val="Hyperlink"/>
          <w:rFonts w:ascii="Arial Mäori" w:hAnsi="Arial Mäori" w:cs="Arial Mäori"/>
          <w:b/>
          <w:sz w:val="20"/>
          <w:szCs w:val="20"/>
        </w:rPr>
        <w:t>The Power of Youth in Improving Community Conditions for Health</w:t>
      </w:r>
    </w:p>
    <w:p w:rsidR="001A4454" w:rsidRDefault="007C5E8F" w:rsidP="001A4454">
      <w:pPr>
        <w:spacing w:after="0" w:line="240" w:lineRule="auto"/>
        <w:rPr>
          <w:rFonts w:ascii="Arial Mäori" w:hAnsi="Arial Mäori" w:cs="Arial Mäori"/>
          <w:i/>
          <w:color w:val="000000"/>
          <w:sz w:val="20"/>
          <w:szCs w:val="20"/>
        </w:rPr>
      </w:pPr>
      <w:r>
        <w:rPr>
          <w:rFonts w:ascii="Arial Mäori" w:hAnsi="Arial Mäori" w:cs="Arial Mäori"/>
          <w:b/>
          <w:sz w:val="20"/>
          <w:szCs w:val="20"/>
        </w:rPr>
        <w:fldChar w:fldCharType="end"/>
      </w:r>
      <w:r w:rsidR="001A4454">
        <w:rPr>
          <w:rFonts w:ascii="Arial Mäori" w:hAnsi="Arial Mäori" w:cs="Arial Mäori"/>
          <w:color w:val="000000"/>
          <w:sz w:val="20"/>
          <w:szCs w:val="20"/>
        </w:rPr>
        <w:t>“</w:t>
      </w:r>
      <w:r w:rsidR="001A4454" w:rsidRPr="001A11F9">
        <w:rPr>
          <w:rFonts w:ascii="Arial Mäori" w:hAnsi="Arial Mäori" w:cs="Arial Mäori"/>
          <w:color w:val="000000"/>
          <w:sz w:val="20"/>
          <w:szCs w:val="20"/>
        </w:rPr>
        <w:t>Though a common target for health-improving efforts, young people are not often regarded as agents of change for healthier communities. However, a growing number of successful health-supportive policy, environment, and systems-change efforts trace their impetus to youth involvement. Not only are youth proving to be catalysts and prolific communicators in social movements, but their involvement signals a potential for career choices and civic stewardship that portends improving population health and equity in the years to come</w:t>
      </w:r>
      <w:r w:rsidR="001A4454">
        <w:rPr>
          <w:rFonts w:ascii="Arial Mäori" w:hAnsi="Arial Mäori" w:cs="Arial Mäori"/>
          <w:color w:val="000000"/>
          <w:sz w:val="20"/>
          <w:szCs w:val="20"/>
        </w:rPr>
        <w:t>.</w:t>
      </w:r>
      <w:r w:rsidR="001A4454" w:rsidRPr="001A11F9">
        <w:rPr>
          <w:rFonts w:ascii="Arial Mäori" w:hAnsi="Arial Mäori" w:cs="Arial Mäori"/>
          <w:color w:val="000000"/>
          <w:sz w:val="20"/>
          <w:szCs w:val="20"/>
        </w:rPr>
        <w:t xml:space="preserve"> This discussion paper examines promising models of youth involvement in social movements for better community health, some of which recently came to the attention of the Roundtable on Improving Population Health.</w:t>
      </w:r>
      <w:r w:rsidR="001A4454">
        <w:rPr>
          <w:rFonts w:ascii="Arial Mäori" w:hAnsi="Arial Mäori" w:cs="Arial Mäori"/>
          <w:color w:val="000000"/>
          <w:sz w:val="20"/>
          <w:szCs w:val="20"/>
        </w:rPr>
        <w:t xml:space="preserve">” </w:t>
      </w:r>
      <w:r w:rsidR="001A4454">
        <w:rPr>
          <w:rFonts w:ascii="Arial Mäori" w:hAnsi="Arial Mäori" w:cs="Arial Mäori"/>
          <w:i/>
          <w:color w:val="000000"/>
          <w:sz w:val="20"/>
          <w:szCs w:val="20"/>
        </w:rPr>
        <w:t xml:space="preserve">Source: Institute of Medicine </w:t>
      </w:r>
    </w:p>
    <w:p w:rsidR="006C629E" w:rsidRDefault="006C629E" w:rsidP="000B6EB9">
      <w:pPr>
        <w:spacing w:after="0" w:line="240" w:lineRule="auto"/>
        <w:rPr>
          <w:rFonts w:ascii="Arial Mäori" w:hAnsi="Arial Mäori" w:cs="Arial Mäori"/>
          <w:i/>
          <w:color w:val="000000"/>
          <w:sz w:val="20"/>
          <w:szCs w:val="20"/>
        </w:rPr>
      </w:pPr>
    </w:p>
    <w:p w:rsidR="006C629E" w:rsidRDefault="006C629E" w:rsidP="006C629E">
      <w:pPr>
        <w:spacing w:after="0" w:line="240" w:lineRule="auto"/>
        <w:rPr>
          <w:rFonts w:ascii="Arial Mäori" w:hAnsi="Arial Mäori" w:cs="Arial Mäori"/>
          <w:b/>
          <w:color w:val="000000"/>
          <w:sz w:val="20"/>
          <w:szCs w:val="20"/>
        </w:rPr>
      </w:pPr>
      <w:hyperlink r:id="rId36" w:history="1">
        <w:r w:rsidRPr="004D0451">
          <w:rPr>
            <w:rStyle w:val="Hyperlink"/>
            <w:rFonts w:ascii="Arial Mäori" w:hAnsi="Arial Mäori" w:cs="Arial Mäori"/>
            <w:b/>
            <w:sz w:val="20"/>
            <w:szCs w:val="20"/>
          </w:rPr>
          <w:t>Committing to child survival: a promise renewed – progress report 2014</w:t>
        </w:r>
      </w:hyperlink>
    </w:p>
    <w:p w:rsidR="006C629E" w:rsidRDefault="006C629E" w:rsidP="006C629E">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464574">
        <w:rPr>
          <w:rFonts w:ascii="Arial Mäori" w:hAnsi="Arial Mäori" w:cs="Arial Mäori"/>
          <w:color w:val="000000"/>
          <w:sz w:val="20"/>
          <w:szCs w:val="20"/>
        </w:rPr>
        <w:t>This report discusses global trends in under-five and neonatal mortality since 1990, and also analyses key interventions for mothers and their newborns, highlighting a gap between contact with the health system and the quality of care received.</w:t>
      </w:r>
      <w:r>
        <w:rPr>
          <w:rFonts w:ascii="Arial Mäori" w:hAnsi="Arial Mäori" w:cs="Arial Mäori"/>
          <w:color w:val="000000"/>
          <w:sz w:val="20"/>
          <w:szCs w:val="20"/>
        </w:rPr>
        <w:t xml:space="preserve">” </w:t>
      </w:r>
      <w:r>
        <w:rPr>
          <w:rFonts w:ascii="Arial Mäori" w:hAnsi="Arial Mäori" w:cs="Arial Mäori"/>
          <w:i/>
          <w:color w:val="000000"/>
          <w:sz w:val="20"/>
          <w:szCs w:val="20"/>
        </w:rPr>
        <w:t>Source: Unicef</w:t>
      </w:r>
    </w:p>
    <w:p w:rsidR="006C629E" w:rsidRDefault="00866424" w:rsidP="006C629E">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fldChar w:fldCharType="begin"/>
      </w:r>
      <w:r>
        <w:rPr>
          <w:rFonts w:ascii="Arial Mäori" w:hAnsi="Arial Mäori" w:cs="Arial Mäori"/>
          <w:i/>
          <w:color w:val="000000"/>
          <w:sz w:val="20"/>
          <w:szCs w:val="20"/>
        </w:rPr>
        <w:instrText xml:space="preserve"> HYPERLINK  \l "_top" </w:instrText>
      </w:r>
      <w:r>
        <w:rPr>
          <w:rFonts w:ascii="Arial Mäori" w:hAnsi="Arial Mäori" w:cs="Arial Mäori"/>
          <w:i/>
          <w:color w:val="000000"/>
          <w:sz w:val="20"/>
          <w:szCs w:val="20"/>
        </w:rPr>
      </w:r>
      <w:r>
        <w:rPr>
          <w:rFonts w:ascii="Arial Mäori" w:hAnsi="Arial Mäori" w:cs="Arial Mäori"/>
          <w:i/>
          <w:color w:val="000000"/>
          <w:sz w:val="20"/>
          <w:szCs w:val="20"/>
        </w:rPr>
        <w:fldChar w:fldCharType="separate"/>
      </w:r>
      <w:r w:rsidRPr="00866424">
        <w:rPr>
          <w:rStyle w:val="Hyperlink"/>
          <w:rFonts w:ascii="Arial Mäori" w:hAnsi="Arial Mäori" w:cs="Arial Mäori"/>
          <w:i/>
          <w:sz w:val="20"/>
          <w:szCs w:val="20"/>
        </w:rPr>
        <w:t>back to top</w:t>
      </w:r>
      <w:r>
        <w:rPr>
          <w:rFonts w:ascii="Arial Mäori" w:hAnsi="Arial Mäori" w:cs="Arial Mäori"/>
          <w:i/>
          <w:color w:val="000000"/>
          <w:sz w:val="20"/>
          <w:szCs w:val="20"/>
        </w:rPr>
        <w:fldChar w:fldCharType="end"/>
      </w:r>
    </w:p>
    <w:p w:rsidR="002A221C" w:rsidRDefault="002A221C" w:rsidP="002A221C">
      <w:pPr>
        <w:pStyle w:val="Heading3"/>
        <w:rPr>
          <w:color w:val="548DD4" w:themeColor="text2" w:themeTint="99"/>
        </w:rPr>
      </w:pPr>
      <w:bookmarkStart w:id="17" w:name="_Workforce_1"/>
      <w:bookmarkEnd w:id="17"/>
      <w:r>
        <w:rPr>
          <w:color w:val="548DD4" w:themeColor="text2" w:themeTint="99"/>
        </w:rPr>
        <w:t>Workforce</w:t>
      </w:r>
    </w:p>
    <w:p w:rsidR="00D76EC7" w:rsidRPr="00114796" w:rsidRDefault="00D76EC7" w:rsidP="00D76EC7">
      <w:pPr>
        <w:spacing w:after="0" w:line="240" w:lineRule="auto"/>
        <w:rPr>
          <w:rFonts w:ascii="Arial Mäori" w:hAnsi="Arial Mäori" w:cs="Arial Mäori"/>
          <w:b/>
          <w:color w:val="000000"/>
          <w:sz w:val="20"/>
          <w:szCs w:val="20"/>
        </w:rPr>
      </w:pPr>
      <w:hyperlink r:id="rId37" w:history="1">
        <w:r w:rsidRPr="00153F35">
          <w:rPr>
            <w:rStyle w:val="Hyperlink"/>
            <w:rFonts w:ascii="Arial Mäori" w:hAnsi="Arial Mäori" w:cs="Arial Mäori"/>
            <w:b/>
            <w:sz w:val="20"/>
            <w:szCs w:val="20"/>
          </w:rPr>
          <w:t>Scenario generation: Enhancing scenario generation and quantification</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114796">
        <w:rPr>
          <w:rFonts w:ascii="Arial Mäori" w:hAnsi="Arial Mäori" w:cs="Arial Mäori"/>
          <w:color w:val="000000"/>
          <w:sz w:val="20"/>
          <w:szCs w:val="20"/>
        </w:rPr>
        <w:t>This technical paper addresses improvements to the scenario generation stage of the Centre for Workforce Intelligence’s robust workforce planning framework, in particular on scenario generation and quantification. The methods have been tested on a new project – Horizon 2035 – the purpose of which is to consider different workforce futures for health, social care and public health 20 years from now.</w:t>
      </w:r>
      <w:r>
        <w:rPr>
          <w:rFonts w:ascii="Arial Mäori" w:hAnsi="Arial Mäori" w:cs="Arial Mäori"/>
          <w:color w:val="000000"/>
          <w:sz w:val="20"/>
          <w:szCs w:val="20"/>
        </w:rPr>
        <w:t xml:space="preserve">” </w:t>
      </w:r>
      <w:r>
        <w:rPr>
          <w:rFonts w:ascii="Arial Mäori" w:hAnsi="Arial Mäori" w:cs="Arial Mäori"/>
          <w:i/>
          <w:color w:val="000000"/>
          <w:sz w:val="20"/>
          <w:szCs w:val="20"/>
        </w:rPr>
        <w:t>Source: Centre for Workforce Intelligence</w:t>
      </w:r>
    </w:p>
    <w:p w:rsidR="00E1797C" w:rsidRDefault="00E1797C" w:rsidP="00D76EC7">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38" w:history="1">
        <w:r w:rsidRPr="00153F35">
          <w:rPr>
            <w:rStyle w:val="Hyperlink"/>
            <w:rFonts w:ascii="Arial Mäori" w:hAnsi="Arial Mäori" w:cs="Arial Mäori"/>
            <w:b/>
            <w:sz w:val="20"/>
            <w:szCs w:val="20"/>
          </w:rPr>
          <w:t>Competencies for the mental health and addiction service user, consumer and peer workforce</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4545C9">
        <w:rPr>
          <w:rFonts w:ascii="Arial Mäori" w:hAnsi="Arial Mäori" w:cs="Arial Mäori"/>
          <w:color w:val="000000"/>
          <w:sz w:val="20"/>
          <w:szCs w:val="20"/>
        </w:rPr>
        <w:t>This document provides a set of competencies for this workforce that can also inform training curricula, job descriptions, performance management systems, self-assessment processes, service specifications, auditing and more. They were developed from a scan of national and international literature and consultation and advice from consumer/service user and peer support workers and leaders around New Zealand. This included a reference group of people working in consumer/service user/peer leadership roles from around the country and a number o</w:t>
      </w:r>
      <w:r>
        <w:rPr>
          <w:rFonts w:ascii="Arial Mäori" w:hAnsi="Arial Mäori" w:cs="Arial Mäori"/>
          <w:color w:val="000000"/>
          <w:sz w:val="20"/>
          <w:szCs w:val="20"/>
        </w:rPr>
        <w:t xml:space="preserve">f forums in the Midland region.” </w:t>
      </w:r>
      <w:r>
        <w:rPr>
          <w:rFonts w:ascii="Arial Mäori" w:hAnsi="Arial Mäori" w:cs="Arial Mäori"/>
          <w:i/>
          <w:color w:val="000000"/>
          <w:sz w:val="20"/>
          <w:szCs w:val="20"/>
        </w:rPr>
        <w:t>Source: Te Pou</w:t>
      </w:r>
    </w:p>
    <w:p w:rsidR="008547EA" w:rsidRDefault="00866424" w:rsidP="008547EA">
      <w:pPr>
        <w:spacing w:after="0" w:line="240" w:lineRule="auto"/>
        <w:rPr>
          <w:rFonts w:ascii="Arial Mäori" w:hAnsi="Arial Mäori" w:cs="Arial Mäori"/>
          <w:color w:val="000000"/>
          <w:sz w:val="20"/>
          <w:szCs w:val="20"/>
        </w:rPr>
      </w:pPr>
      <w:r>
        <w:rPr>
          <w:rFonts w:ascii="Arial Mäori" w:hAnsi="Arial Mäori" w:cs="Arial Mäori"/>
          <w:i/>
          <w:color w:val="000000"/>
          <w:sz w:val="20"/>
          <w:szCs w:val="20"/>
        </w:rPr>
        <w:fldChar w:fldCharType="begin"/>
      </w:r>
      <w:r>
        <w:rPr>
          <w:rFonts w:ascii="Arial Mäori" w:hAnsi="Arial Mäori" w:cs="Arial Mäori"/>
          <w:i/>
          <w:color w:val="000000"/>
          <w:sz w:val="20"/>
          <w:szCs w:val="20"/>
        </w:rPr>
        <w:instrText xml:space="preserve"> HYPERLINK  \l "_top" </w:instrText>
      </w:r>
      <w:r>
        <w:rPr>
          <w:rFonts w:ascii="Arial Mäori" w:hAnsi="Arial Mäori" w:cs="Arial Mäori"/>
          <w:i/>
          <w:color w:val="000000"/>
          <w:sz w:val="20"/>
          <w:szCs w:val="20"/>
        </w:rPr>
      </w:r>
      <w:r>
        <w:rPr>
          <w:rFonts w:ascii="Arial Mäori" w:hAnsi="Arial Mäori" w:cs="Arial Mäori"/>
          <w:i/>
          <w:color w:val="000000"/>
          <w:sz w:val="20"/>
          <w:szCs w:val="20"/>
        </w:rPr>
        <w:fldChar w:fldCharType="separate"/>
      </w:r>
      <w:r w:rsidRPr="00866424">
        <w:rPr>
          <w:rStyle w:val="Hyperlink"/>
          <w:rFonts w:ascii="Arial Mäori" w:hAnsi="Arial Mäori" w:cs="Arial Mäori"/>
          <w:i/>
          <w:sz w:val="20"/>
          <w:szCs w:val="20"/>
        </w:rPr>
        <w:t>bac</w:t>
      </w:r>
      <w:r w:rsidRPr="00866424">
        <w:rPr>
          <w:rStyle w:val="Hyperlink"/>
          <w:rFonts w:ascii="Arial Mäori" w:hAnsi="Arial Mäori" w:cs="Arial Mäori"/>
          <w:i/>
          <w:sz w:val="20"/>
          <w:szCs w:val="20"/>
        </w:rPr>
        <w:t>k</w:t>
      </w:r>
      <w:r w:rsidRPr="00866424">
        <w:rPr>
          <w:rStyle w:val="Hyperlink"/>
          <w:rFonts w:ascii="Arial Mäori" w:hAnsi="Arial Mäori" w:cs="Arial Mäori"/>
          <w:i/>
          <w:sz w:val="20"/>
          <w:szCs w:val="20"/>
        </w:rPr>
        <w:t xml:space="preserve"> to</w:t>
      </w:r>
      <w:r w:rsidRPr="00866424">
        <w:rPr>
          <w:rStyle w:val="Hyperlink"/>
          <w:rFonts w:ascii="Arial Mäori" w:hAnsi="Arial Mäori" w:cs="Arial Mäori"/>
          <w:i/>
          <w:sz w:val="20"/>
          <w:szCs w:val="20"/>
        </w:rPr>
        <w:t xml:space="preserve"> </w:t>
      </w:r>
      <w:r w:rsidRPr="00866424">
        <w:rPr>
          <w:rStyle w:val="Hyperlink"/>
          <w:rFonts w:ascii="Arial Mäori" w:hAnsi="Arial Mäori" w:cs="Arial Mäori"/>
          <w:i/>
          <w:sz w:val="20"/>
          <w:szCs w:val="20"/>
        </w:rPr>
        <w:t>top</w:t>
      </w:r>
      <w:r>
        <w:rPr>
          <w:rFonts w:ascii="Arial Mäori" w:hAnsi="Arial Mäori" w:cs="Arial Mäori"/>
          <w:i/>
          <w:color w:val="000000"/>
          <w:sz w:val="20"/>
          <w:szCs w:val="20"/>
        </w:rPr>
        <w:fldChar w:fldCharType="end"/>
      </w:r>
    </w:p>
    <w:p w:rsidR="00CF088B" w:rsidRDefault="00CF088B" w:rsidP="00F4492D">
      <w:pPr>
        <w:pStyle w:val="Heading3"/>
        <w:rPr>
          <w:color w:val="548DD4" w:themeColor="text2" w:themeTint="99"/>
        </w:rPr>
      </w:pPr>
      <w:bookmarkStart w:id="18" w:name="_Social_Care"/>
      <w:bookmarkEnd w:id="18"/>
      <w:r>
        <w:rPr>
          <w:color w:val="548DD4" w:themeColor="text2" w:themeTint="99"/>
        </w:rPr>
        <w:t>Social Care</w:t>
      </w:r>
    </w:p>
    <w:p w:rsidR="00D76EC7" w:rsidRDefault="00D76EC7" w:rsidP="00D76EC7">
      <w:pPr>
        <w:spacing w:after="0" w:line="240" w:lineRule="auto"/>
        <w:rPr>
          <w:rFonts w:ascii="Arial Mäori" w:hAnsi="Arial Mäori" w:cs="Arial Mäori"/>
          <w:color w:val="000000"/>
          <w:sz w:val="20"/>
          <w:szCs w:val="20"/>
        </w:rPr>
      </w:pPr>
      <w:hyperlink r:id="rId39" w:history="1">
        <w:r w:rsidRPr="00153F35">
          <w:rPr>
            <w:rStyle w:val="Hyperlink"/>
            <w:rFonts w:ascii="Arial Mäori" w:hAnsi="Arial Mäori" w:cs="Arial Mäori"/>
            <w:b/>
            <w:sz w:val="20"/>
            <w:szCs w:val="20"/>
          </w:rPr>
          <w:t>The Commission on Residential Care</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EF5675">
        <w:rPr>
          <w:rFonts w:ascii="Arial Mäori" w:hAnsi="Arial Mäori" w:cs="Arial Mäori"/>
          <w:color w:val="000000"/>
          <w:sz w:val="20"/>
          <w:szCs w:val="20"/>
        </w:rPr>
        <w:t>The Commission recommends a number of measures to embed good practice and challenge public perceptions. These include enshrining a broader, more accurate definition of ‘housing with care’ throughout government policy; greater co-location of care settings with other community services such as colleges; the expansion of C</w:t>
      </w:r>
      <w:r w:rsidR="00530B7A">
        <w:rPr>
          <w:rFonts w:ascii="Arial Mäori" w:hAnsi="Arial Mäori" w:cs="Arial Mäori"/>
          <w:color w:val="000000"/>
          <w:sz w:val="20"/>
          <w:szCs w:val="20"/>
        </w:rPr>
        <w:t>QC’s role in inspecting commis</w:t>
      </w:r>
      <w:r w:rsidRPr="00EF5675">
        <w:rPr>
          <w:rFonts w:ascii="Arial Mäori" w:hAnsi="Arial Mäori" w:cs="Arial Mäori"/>
          <w:color w:val="000000"/>
          <w:sz w:val="20"/>
          <w:szCs w:val="20"/>
        </w:rPr>
        <w:t xml:space="preserve">sioning practices; and promoting excellence in the profession through the introduction of a license to practice and a living wage. The </w:t>
      </w:r>
      <w:r w:rsidRPr="00EF5675">
        <w:rPr>
          <w:rFonts w:ascii="Arial Mäori" w:hAnsi="Arial Mäori" w:cs="Arial Mäori"/>
          <w:color w:val="000000"/>
          <w:sz w:val="20"/>
          <w:szCs w:val="20"/>
        </w:rPr>
        <w:lastRenderedPageBreak/>
        <w:t>Commission concludes that these measures, among others, could help build a housing with care sector fit for the twenty-first century.</w:t>
      </w:r>
      <w:r>
        <w:rPr>
          <w:rFonts w:ascii="Arial Mäori" w:hAnsi="Arial Mäori" w:cs="Arial Mäori"/>
          <w:color w:val="000000"/>
          <w:sz w:val="20"/>
          <w:szCs w:val="20"/>
        </w:rPr>
        <w:t xml:space="preserve">” </w:t>
      </w:r>
      <w:r>
        <w:rPr>
          <w:rFonts w:ascii="Arial Mäori" w:hAnsi="Arial Mäori" w:cs="Arial Mäori"/>
          <w:i/>
          <w:color w:val="000000"/>
          <w:sz w:val="20"/>
          <w:szCs w:val="20"/>
        </w:rPr>
        <w:t>Source: DEMOS</w:t>
      </w:r>
    </w:p>
    <w:p w:rsidR="00E1797C" w:rsidRDefault="00E1797C" w:rsidP="00D76EC7">
      <w:pPr>
        <w:spacing w:after="0" w:line="240" w:lineRule="auto"/>
      </w:pPr>
    </w:p>
    <w:p w:rsidR="00D76EC7" w:rsidRDefault="00C25FA1" w:rsidP="00C25FA1">
      <w:pPr>
        <w:spacing w:after="0" w:line="240" w:lineRule="auto"/>
        <w:rPr>
          <w:rFonts w:ascii="Arial Mäori" w:hAnsi="Arial Mäori" w:cs="Arial Mäori"/>
          <w:b/>
          <w:color w:val="000000"/>
          <w:sz w:val="20"/>
          <w:szCs w:val="20"/>
        </w:rPr>
      </w:pPr>
      <w:hyperlink r:id="rId40" w:history="1">
        <w:r w:rsidRPr="00C25FA1">
          <w:rPr>
            <w:rStyle w:val="Hyperlink"/>
            <w:rFonts w:ascii="Arial Mäori" w:hAnsi="Arial Mäori" w:cs="Arial Mäori"/>
            <w:b/>
            <w:sz w:val="20"/>
            <w:szCs w:val="20"/>
          </w:rPr>
          <w:t>A new settlement for health and social care</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E61C9F">
        <w:rPr>
          <w:rFonts w:ascii="Arial Mäori" w:hAnsi="Arial Mäori" w:cs="Arial Mäori"/>
          <w:color w:val="000000"/>
          <w:sz w:val="20"/>
          <w:szCs w:val="20"/>
        </w:rPr>
        <w:t>The commission produced an interim report in April 2014 in which it concluded that England needs a single health and social care system, with a ring-fenced, singly commissioned budget, and more closely aligned entitlements. The commission has now developed its thinking and in this final report sets out its vision of: how to create a system of care that works better and more appropriately for individuals and their carers</w:t>
      </w:r>
      <w:r>
        <w:rPr>
          <w:rFonts w:ascii="Arial Mäori" w:hAnsi="Arial Mäori" w:cs="Arial Mäori"/>
          <w:color w:val="000000"/>
          <w:sz w:val="20"/>
          <w:szCs w:val="20"/>
        </w:rPr>
        <w:t xml:space="preserve"> [and] </w:t>
      </w:r>
      <w:r w:rsidRPr="00E61C9F">
        <w:rPr>
          <w:rFonts w:ascii="Arial Mäori" w:hAnsi="Arial Mäori" w:cs="Arial Mäori"/>
          <w:color w:val="000000"/>
          <w:sz w:val="20"/>
          <w:szCs w:val="20"/>
        </w:rPr>
        <w:t>how far social care costs should be funded by those in need and their families, and how far they should be shared across society (as we are committed to doing for health care costs).</w:t>
      </w:r>
      <w:r>
        <w:rPr>
          <w:rFonts w:ascii="Arial Mäori" w:hAnsi="Arial Mäori" w:cs="Arial Mäori"/>
          <w:color w:val="000000"/>
          <w:sz w:val="20"/>
          <w:szCs w:val="20"/>
        </w:rPr>
        <w:t xml:space="preserve">” </w:t>
      </w:r>
      <w:r>
        <w:rPr>
          <w:rFonts w:ascii="Arial Mäori" w:hAnsi="Arial Mäori" w:cs="Arial Mäori"/>
          <w:i/>
          <w:color w:val="000000"/>
          <w:sz w:val="20"/>
          <w:szCs w:val="20"/>
        </w:rPr>
        <w:t>Source: The King’s Fund</w:t>
      </w:r>
    </w:p>
    <w:p w:rsidR="00E1797C" w:rsidRDefault="00E1797C" w:rsidP="00D76EC7">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41" w:history="1">
        <w:r w:rsidRPr="004D0451">
          <w:rPr>
            <w:rStyle w:val="Hyperlink"/>
            <w:rFonts w:ascii="Arial Mäori" w:hAnsi="Arial Mäori" w:cs="Arial Mäori"/>
            <w:b/>
            <w:sz w:val="20"/>
            <w:szCs w:val="20"/>
          </w:rPr>
          <w:t>Carers at breaking point</w:t>
        </w:r>
      </w:hyperlink>
    </w:p>
    <w:p w:rsidR="007E017B"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252F57">
        <w:rPr>
          <w:rFonts w:ascii="Arial Mäori" w:hAnsi="Arial Mäori" w:cs="Arial Mäori"/>
          <w:color w:val="000000"/>
          <w:sz w:val="20"/>
          <w:szCs w:val="20"/>
        </w:rPr>
        <w:t>This research sets out the findings from Carers UK’s State of</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Caring Survey 2014, examining the experiences of over 5,200</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carers – asking if they have ever reached breaking point, the</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causes of crisis and what support would have prevented it.</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Their experiences show that insufficient support from health</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and social care services is leaving carers isolated, burnt-out</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and unable to look after their own health.</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Carers UK</w:t>
      </w:r>
    </w:p>
    <w:p w:rsidR="00E1797C" w:rsidRDefault="00866424" w:rsidP="00E1797C">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back</w:t>
        </w:r>
        <w:r w:rsidRPr="00866424">
          <w:rPr>
            <w:rStyle w:val="Hyperlink"/>
            <w:rFonts w:ascii="Arial Mäori" w:hAnsi="Arial Mäori" w:cs="Arial Mäori"/>
            <w:i/>
            <w:sz w:val="20"/>
            <w:szCs w:val="20"/>
          </w:rPr>
          <w:t xml:space="preserve"> </w:t>
        </w:r>
        <w:r w:rsidRPr="00866424">
          <w:rPr>
            <w:rStyle w:val="Hyperlink"/>
            <w:rFonts w:ascii="Arial Mäori" w:hAnsi="Arial Mäori" w:cs="Arial Mäori"/>
            <w:i/>
            <w:sz w:val="20"/>
            <w:szCs w:val="20"/>
          </w:rPr>
          <w:t>to top</w:t>
        </w:r>
      </w:hyperlink>
    </w:p>
    <w:p w:rsidR="00E1797C" w:rsidRDefault="00E1797C" w:rsidP="00D76EC7">
      <w:pPr>
        <w:spacing w:after="0" w:line="240" w:lineRule="auto"/>
        <w:rPr>
          <w:rFonts w:ascii="Arial Mäori" w:hAnsi="Arial Mäori" w:cs="Arial Mäori"/>
          <w:color w:val="000000"/>
          <w:sz w:val="20"/>
          <w:szCs w:val="20"/>
        </w:rPr>
      </w:pPr>
    </w:p>
    <w:p w:rsidR="00CF088B" w:rsidRDefault="00CF088B" w:rsidP="00F4492D">
      <w:pPr>
        <w:pStyle w:val="Heading3"/>
        <w:rPr>
          <w:color w:val="548DD4" w:themeColor="text2" w:themeTint="99"/>
        </w:rPr>
      </w:pPr>
      <w:bookmarkStart w:id="19" w:name="_Health_of_Older_1"/>
      <w:bookmarkEnd w:id="19"/>
      <w:r>
        <w:rPr>
          <w:color w:val="548DD4" w:themeColor="text2" w:themeTint="99"/>
        </w:rPr>
        <w:t>Health of Older People</w:t>
      </w:r>
    </w:p>
    <w:p w:rsidR="00D76EC7" w:rsidRDefault="00D76EC7" w:rsidP="00D76EC7">
      <w:pPr>
        <w:spacing w:after="0" w:line="240" w:lineRule="auto"/>
        <w:rPr>
          <w:rFonts w:ascii="Arial Mäori" w:hAnsi="Arial Mäori" w:cs="Arial Mäori"/>
          <w:b/>
          <w:color w:val="000000"/>
          <w:sz w:val="20"/>
          <w:szCs w:val="20"/>
        </w:rPr>
      </w:pPr>
      <w:hyperlink r:id="rId42" w:history="1">
        <w:r w:rsidRPr="00153F35">
          <w:rPr>
            <w:rStyle w:val="Hyperlink"/>
            <w:rFonts w:ascii="Arial Mäori" w:hAnsi="Arial Mäori" w:cs="Arial Mäori"/>
            <w:b/>
            <w:sz w:val="20"/>
            <w:szCs w:val="20"/>
          </w:rPr>
          <w:t>Blueprint for an ageing Australia</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3B4EDF">
        <w:rPr>
          <w:rFonts w:ascii="Arial Mäori" w:hAnsi="Arial Mäori" w:cs="Arial Mäori"/>
          <w:color w:val="000000"/>
          <w:sz w:val="20"/>
          <w:szCs w:val="20"/>
        </w:rPr>
        <w:t>This document—Blueprint for an Ageing Australia—is built around that idea that living longer is a good thing, that the rising average age of our population is a vindication of advances in science and health policy, and that the best way to approach it is to look for ways that older Australians can participate more effectively in our society and our economy to the best of their abilities. The Blueprint is, ultimately, based on the reality that ageing isn’t something that happens to other, older people, it happens to all of us and it is in all our interests to make it a more positive experience for everyone.</w:t>
      </w:r>
      <w:r>
        <w:rPr>
          <w:rFonts w:ascii="Arial Mäori" w:hAnsi="Arial Mäori" w:cs="Arial Mäori"/>
          <w:color w:val="000000"/>
          <w:sz w:val="20"/>
          <w:szCs w:val="20"/>
        </w:rPr>
        <w:t xml:space="preserve">” </w:t>
      </w:r>
      <w:r>
        <w:rPr>
          <w:rFonts w:ascii="Arial Mäori" w:hAnsi="Arial Mäori" w:cs="Arial Mäori"/>
          <w:i/>
          <w:color w:val="000000"/>
          <w:sz w:val="20"/>
          <w:szCs w:val="20"/>
        </w:rPr>
        <w:t>Source: Per Capita</w:t>
      </w:r>
    </w:p>
    <w:p w:rsidR="00190B7B" w:rsidRDefault="00190B7B" w:rsidP="00D76EC7">
      <w:pPr>
        <w:spacing w:after="0" w:line="240" w:lineRule="auto"/>
        <w:rPr>
          <w:rFonts w:ascii="Arial Mäori" w:hAnsi="Arial Mäori" w:cs="Arial Mäori"/>
          <w:i/>
          <w:color w:val="000000"/>
          <w:sz w:val="20"/>
          <w:szCs w:val="20"/>
        </w:rPr>
      </w:pPr>
    </w:p>
    <w:p w:rsidR="00190B7B" w:rsidRDefault="00190B7B" w:rsidP="00190B7B">
      <w:pPr>
        <w:spacing w:after="0" w:line="240" w:lineRule="auto"/>
        <w:rPr>
          <w:rFonts w:ascii="Arial Mäori" w:hAnsi="Arial Mäori" w:cs="Arial Mäori"/>
          <w:b/>
          <w:color w:val="000000"/>
          <w:sz w:val="20"/>
          <w:szCs w:val="20"/>
        </w:rPr>
      </w:pPr>
      <w:hyperlink r:id="rId43" w:history="1">
        <w:r w:rsidRPr="00153F35">
          <w:rPr>
            <w:rStyle w:val="Hyperlink"/>
            <w:rFonts w:ascii="Arial Mäori" w:hAnsi="Arial Mäori" w:cs="Arial Mäori"/>
            <w:b/>
            <w:sz w:val="20"/>
            <w:szCs w:val="20"/>
          </w:rPr>
          <w:t>Growing older positively: the challenge of ageing with HIV</w:t>
        </w:r>
      </w:hyperlink>
    </w:p>
    <w:p w:rsidR="00190B7B" w:rsidRDefault="00190B7B" w:rsidP="00190B7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977FF8">
        <w:rPr>
          <w:rFonts w:ascii="Arial Mäori" w:hAnsi="Arial Mäori" w:cs="Arial Mäori"/>
          <w:color w:val="000000"/>
          <w:sz w:val="20"/>
          <w:szCs w:val="20"/>
        </w:rPr>
        <w:t>This report reviews how HIV is strategically planned for and managed in the UK today and develops recommendations for Government and the NHS in light of changes in the patient profile. The goal must be to ensure that with appropriate care and support everyone with HIV can live a long and fulfilled life.</w:t>
      </w:r>
      <w:r>
        <w:rPr>
          <w:rFonts w:ascii="Arial Mäori" w:hAnsi="Arial Mäori" w:cs="Arial Mäori"/>
          <w:color w:val="000000"/>
          <w:sz w:val="20"/>
          <w:szCs w:val="20"/>
        </w:rPr>
        <w:t xml:space="preserve">” </w:t>
      </w:r>
      <w:r>
        <w:rPr>
          <w:rFonts w:ascii="Arial Mäori" w:hAnsi="Arial Mäori" w:cs="Arial Mäori"/>
          <w:i/>
          <w:color w:val="000000"/>
          <w:sz w:val="20"/>
          <w:szCs w:val="20"/>
        </w:rPr>
        <w:t>Source: 2020 Health</w:t>
      </w:r>
    </w:p>
    <w:p w:rsidR="00E1797C" w:rsidRDefault="00E1797C" w:rsidP="00190B7B">
      <w:pPr>
        <w:spacing w:after="0" w:line="240" w:lineRule="auto"/>
        <w:rPr>
          <w:rFonts w:ascii="Arial Mäori" w:hAnsi="Arial Mäori" w:cs="Arial Mäori"/>
          <w:i/>
          <w:color w:val="000000"/>
          <w:sz w:val="20"/>
          <w:szCs w:val="20"/>
        </w:rPr>
      </w:pPr>
    </w:p>
    <w:p w:rsidR="00E1797C" w:rsidRPr="00323461" w:rsidRDefault="00E1797C" w:rsidP="00E1797C">
      <w:pPr>
        <w:spacing w:after="0" w:line="240" w:lineRule="auto"/>
        <w:rPr>
          <w:rFonts w:ascii="Arial Mäori" w:hAnsi="Arial Mäori" w:cs="Arial Mäori"/>
          <w:b/>
          <w:color w:val="000000"/>
          <w:sz w:val="20"/>
          <w:szCs w:val="20"/>
        </w:rPr>
      </w:pPr>
      <w:hyperlink r:id="rId44" w:history="1">
        <w:r w:rsidRPr="004D0451">
          <w:rPr>
            <w:rStyle w:val="Hyperlink"/>
            <w:rFonts w:ascii="Arial Mäori" w:hAnsi="Arial Mäori" w:cs="Arial Mäori"/>
            <w:b/>
            <w:sz w:val="20"/>
            <w:szCs w:val="20"/>
          </w:rPr>
          <w:t>Dementia 2014: Opportunity for change</w:t>
        </w:r>
      </w:hyperlink>
      <w:r w:rsidRPr="00323461">
        <w:rPr>
          <w:rFonts w:ascii="Arial Mäori" w:hAnsi="Arial Mäori" w:cs="Arial Mäori"/>
          <w:b/>
          <w:color w:val="000000"/>
          <w:sz w:val="20"/>
          <w:szCs w:val="20"/>
        </w:rPr>
        <w:t xml:space="preserve"> </w:t>
      </w:r>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323461">
        <w:rPr>
          <w:rFonts w:ascii="Arial Mäori" w:hAnsi="Arial Mäori" w:cs="Arial Mäori"/>
          <w:color w:val="000000"/>
          <w:sz w:val="20"/>
          <w:szCs w:val="20"/>
        </w:rPr>
        <w:t>Dementia 2014: Opportunity for change provides a</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comprehensive summary of some key areas affecting people</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with dementia over the last year in England, Wales and Northern</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Ireland. It considers the significant political and public attention</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on dementia in this period and what impact this is having for</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people living with the condition. It gives an update of aspects</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of dementia research including trials, cause, prevention, care</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and treatment. It explores how well people are living in their</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communities and details the changes that need to be made to</w:t>
      </w:r>
      <w:r>
        <w:rPr>
          <w:rFonts w:ascii="Arial Mäori" w:hAnsi="Arial Mäori" w:cs="Arial Mäori"/>
          <w:color w:val="000000"/>
          <w:sz w:val="20"/>
          <w:szCs w:val="20"/>
        </w:rPr>
        <w:t xml:space="preserve"> </w:t>
      </w:r>
      <w:r w:rsidRPr="00323461">
        <w:rPr>
          <w:rFonts w:ascii="Arial Mäori" w:hAnsi="Arial Mäori" w:cs="Arial Mäori"/>
          <w:color w:val="000000"/>
          <w:sz w:val="20"/>
          <w:szCs w:val="20"/>
        </w:rPr>
        <w:t>improve their quality of life.</w:t>
      </w:r>
      <w:r>
        <w:rPr>
          <w:rFonts w:ascii="Arial Mäori" w:hAnsi="Arial Mäori" w:cs="Arial Mäori"/>
          <w:color w:val="000000"/>
          <w:sz w:val="20"/>
          <w:szCs w:val="20"/>
        </w:rPr>
        <w:t xml:space="preserve">” </w:t>
      </w:r>
      <w:r>
        <w:rPr>
          <w:rFonts w:ascii="Arial Mäori" w:hAnsi="Arial Mäori" w:cs="Arial Mäori"/>
          <w:i/>
          <w:color w:val="000000"/>
          <w:sz w:val="20"/>
          <w:szCs w:val="20"/>
        </w:rPr>
        <w:t>Source: Alzheimer’s Society</w:t>
      </w:r>
    </w:p>
    <w:p w:rsidR="00DF151F" w:rsidRDefault="00DF151F" w:rsidP="00E1797C">
      <w:pPr>
        <w:spacing w:after="0" w:line="240" w:lineRule="auto"/>
        <w:rPr>
          <w:rFonts w:ascii="Arial Mäori" w:hAnsi="Arial Mäori" w:cs="Arial Mäori"/>
          <w:i/>
          <w:color w:val="000000"/>
          <w:sz w:val="20"/>
          <w:szCs w:val="20"/>
        </w:rPr>
      </w:pPr>
    </w:p>
    <w:p w:rsidR="00DF151F" w:rsidRDefault="00DF151F" w:rsidP="00DF151F">
      <w:pPr>
        <w:spacing w:after="0" w:line="240" w:lineRule="auto"/>
        <w:rPr>
          <w:rFonts w:ascii="Arial Mäori" w:hAnsi="Arial Mäori" w:cs="Arial Mäori"/>
          <w:b/>
          <w:color w:val="000000"/>
          <w:sz w:val="20"/>
          <w:szCs w:val="20"/>
        </w:rPr>
      </w:pPr>
      <w:hyperlink r:id="rId45" w:history="1">
        <w:r w:rsidRPr="004D0451">
          <w:rPr>
            <w:rStyle w:val="Hyperlink"/>
            <w:rFonts w:ascii="Arial Mäori" w:hAnsi="Arial Mäori" w:cs="Arial Mäori"/>
            <w:b/>
            <w:sz w:val="20"/>
            <w:szCs w:val="20"/>
          </w:rPr>
          <w:t>World Alzheimer Report 2014: Dementia and Risk Reduction</w:t>
        </w:r>
      </w:hyperlink>
    </w:p>
    <w:p w:rsidR="00DF151F" w:rsidRDefault="00DF151F" w:rsidP="00DF151F">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BF28D1">
        <w:rPr>
          <w:rFonts w:ascii="Arial Mäori" w:hAnsi="Arial Mäori" w:cs="Arial Mäori"/>
          <w:color w:val="000000"/>
          <w:sz w:val="20"/>
          <w:szCs w:val="20"/>
        </w:rPr>
        <w:t>The World Alzheimer Report 2014, Dementia and Risk Reduction: An analysis of protective and modifiable factors critically examines the evidence for the existence of modifiable risk factors for dementia.</w:t>
      </w:r>
      <w:r>
        <w:rPr>
          <w:rFonts w:ascii="Arial Mäori" w:hAnsi="Arial Mäori" w:cs="Arial Mäori"/>
          <w:color w:val="000000"/>
          <w:sz w:val="20"/>
          <w:szCs w:val="20"/>
        </w:rPr>
        <w:t xml:space="preserve"> </w:t>
      </w:r>
      <w:r w:rsidRPr="00BF28D1">
        <w:rPr>
          <w:rFonts w:ascii="Arial Mäori" w:hAnsi="Arial Mäori" w:cs="Arial Mäori"/>
          <w:color w:val="000000"/>
          <w:sz w:val="20"/>
          <w:szCs w:val="20"/>
        </w:rPr>
        <w:t>It focuses on sets of potential modifiable risk factors in four key domains: developmental, psychological and psychosocial, lifestyle and cardiovascular conditions. The report makes recommendations to drive public health campaigns and disease prevention strategies.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Alzheimer’s Disease International</w:t>
      </w:r>
    </w:p>
    <w:p w:rsidR="008547EA" w:rsidRDefault="008547EA" w:rsidP="00DF151F">
      <w:pPr>
        <w:spacing w:after="0" w:line="240" w:lineRule="auto"/>
        <w:rPr>
          <w:rFonts w:ascii="Arial Mäori" w:hAnsi="Arial Mäori" w:cs="Arial Mäori"/>
          <w:i/>
          <w:color w:val="000000"/>
          <w:sz w:val="20"/>
          <w:szCs w:val="20"/>
        </w:rPr>
      </w:pPr>
    </w:p>
    <w:p w:rsidR="008547EA" w:rsidRDefault="008547EA" w:rsidP="008547EA">
      <w:pPr>
        <w:spacing w:after="0" w:line="240" w:lineRule="auto"/>
        <w:rPr>
          <w:rFonts w:ascii="Arial Mäori" w:hAnsi="Arial Mäori" w:cs="Arial Mäori"/>
          <w:color w:val="000000"/>
          <w:sz w:val="20"/>
          <w:szCs w:val="20"/>
        </w:rPr>
      </w:pPr>
      <w:hyperlink r:id="rId46" w:history="1">
        <w:r w:rsidRPr="004D0451">
          <w:rPr>
            <w:rStyle w:val="Hyperlink"/>
            <w:rFonts w:ascii="Arial Mäori" w:hAnsi="Arial Mäori" w:cs="Arial Mäori"/>
            <w:b/>
            <w:sz w:val="20"/>
            <w:szCs w:val="20"/>
          </w:rPr>
          <w:t>Getting ready for ageing: A manifesto for action</w:t>
        </w:r>
      </w:hyperlink>
    </w:p>
    <w:p w:rsidR="008547EA" w:rsidRPr="00910D4A" w:rsidRDefault="008547EA" w:rsidP="008547EA">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910D4A">
        <w:rPr>
          <w:rFonts w:ascii="Arial Mäori" w:hAnsi="Arial Mäori" w:cs="Arial Mäori"/>
          <w:color w:val="000000"/>
          <w:sz w:val="20"/>
          <w:szCs w:val="20"/>
        </w:rPr>
        <w:t>This report sets out the Ready for Ageing Alliance’s recommendations for action so that we can be</w:t>
      </w:r>
    </w:p>
    <w:p w:rsidR="008547EA" w:rsidRDefault="008547EA" w:rsidP="008547EA">
      <w:pPr>
        <w:spacing w:after="0" w:line="240" w:lineRule="auto"/>
        <w:rPr>
          <w:rFonts w:ascii="Arial Mäori" w:hAnsi="Arial Mäori" w:cs="Arial Mäori"/>
          <w:i/>
          <w:color w:val="000000"/>
          <w:sz w:val="20"/>
          <w:szCs w:val="20"/>
        </w:rPr>
      </w:pPr>
      <w:r w:rsidRPr="00910D4A">
        <w:rPr>
          <w:rFonts w:ascii="Arial Mäori" w:hAnsi="Arial Mäori" w:cs="Arial Mäori"/>
          <w:color w:val="000000"/>
          <w:sz w:val="20"/>
          <w:szCs w:val="20"/>
        </w:rPr>
        <w:t>ready for ageing, organised around a series of key themes.</w:t>
      </w:r>
      <w:r>
        <w:rPr>
          <w:rFonts w:ascii="Arial Mäori" w:hAnsi="Arial Mäori" w:cs="Arial Mäori"/>
          <w:color w:val="000000"/>
          <w:sz w:val="20"/>
          <w:szCs w:val="20"/>
        </w:rPr>
        <w:t xml:space="preserve"> </w:t>
      </w:r>
      <w:r w:rsidRPr="00910D4A">
        <w:rPr>
          <w:rFonts w:ascii="Arial Mäori" w:hAnsi="Arial Mäori" w:cs="Arial Mäori"/>
          <w:color w:val="000000"/>
          <w:sz w:val="20"/>
          <w:szCs w:val="20"/>
        </w:rPr>
        <w:t>Unlike most such reports it also includes a section on what you, the reader, can do to ensure you</w:t>
      </w:r>
      <w:r>
        <w:rPr>
          <w:rFonts w:ascii="Arial Mäori" w:hAnsi="Arial Mäori" w:cs="Arial Mäori"/>
          <w:color w:val="000000"/>
          <w:sz w:val="20"/>
          <w:szCs w:val="20"/>
        </w:rPr>
        <w:t xml:space="preserve"> </w:t>
      </w:r>
      <w:r w:rsidRPr="00910D4A">
        <w:rPr>
          <w:rFonts w:ascii="Arial Mäori" w:hAnsi="Arial Mäori" w:cs="Arial Mäori"/>
          <w:color w:val="000000"/>
          <w:sz w:val="20"/>
          <w:szCs w:val="20"/>
        </w:rPr>
        <w:t>are ready for ageing too, since demographic change isn’t about ‘them’, it is about ‘us’.</w:t>
      </w:r>
      <w:r>
        <w:rPr>
          <w:rFonts w:ascii="Arial Mäori" w:hAnsi="Arial Mäori" w:cs="Arial Mäori"/>
          <w:color w:val="000000"/>
          <w:sz w:val="20"/>
          <w:szCs w:val="20"/>
        </w:rPr>
        <w:t xml:space="preserve">” </w:t>
      </w:r>
      <w:r>
        <w:rPr>
          <w:rFonts w:ascii="Arial Mäori" w:hAnsi="Arial Mäori" w:cs="Arial Mäori"/>
          <w:i/>
          <w:color w:val="000000"/>
          <w:sz w:val="20"/>
          <w:szCs w:val="20"/>
        </w:rPr>
        <w:t>Source: Ready for Ageing Alliance</w:t>
      </w:r>
    </w:p>
    <w:p w:rsidR="008547EA" w:rsidRDefault="008547EA" w:rsidP="008547EA">
      <w:pPr>
        <w:spacing w:after="0" w:line="240" w:lineRule="auto"/>
        <w:rPr>
          <w:rFonts w:ascii="Arial Mäori" w:hAnsi="Arial Mäori" w:cs="Arial Mäori"/>
          <w:color w:val="000000"/>
          <w:sz w:val="20"/>
          <w:szCs w:val="20"/>
        </w:rPr>
      </w:pPr>
    </w:p>
    <w:p w:rsidR="008547EA" w:rsidRPr="00910D4A" w:rsidRDefault="008547EA" w:rsidP="008547EA">
      <w:pPr>
        <w:spacing w:after="0" w:line="240" w:lineRule="auto"/>
        <w:rPr>
          <w:rFonts w:ascii="Arial Mäori" w:hAnsi="Arial Mäori" w:cs="Arial Mäori"/>
          <w:b/>
          <w:color w:val="000000"/>
          <w:sz w:val="20"/>
          <w:szCs w:val="20"/>
        </w:rPr>
      </w:pPr>
      <w:hyperlink r:id="rId47" w:history="1">
        <w:r w:rsidRPr="004D0451">
          <w:rPr>
            <w:rStyle w:val="Hyperlink"/>
            <w:rFonts w:ascii="Arial Mäori" w:hAnsi="Arial Mäori" w:cs="Arial Mäori"/>
            <w:b/>
            <w:sz w:val="20"/>
            <w:szCs w:val="20"/>
          </w:rPr>
          <w:t>Strategic commissioning of long-term care: can we get more for less?</w:t>
        </w:r>
      </w:hyperlink>
      <w:r w:rsidRPr="00910D4A">
        <w:rPr>
          <w:rFonts w:ascii="Arial Mäori" w:hAnsi="Arial Mäori" w:cs="Arial Mäori"/>
          <w:b/>
          <w:color w:val="000000"/>
          <w:sz w:val="20"/>
          <w:szCs w:val="20"/>
        </w:rPr>
        <w:t xml:space="preserve"> </w:t>
      </w:r>
    </w:p>
    <w:p w:rsidR="007E017B"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910D4A">
        <w:rPr>
          <w:rFonts w:ascii="Arial Mäori" w:hAnsi="Arial Mäori" w:cs="Arial Mäori"/>
          <w:color w:val="000000"/>
          <w:sz w:val="20"/>
          <w:szCs w:val="20"/>
        </w:rPr>
        <w:t>This</w:t>
      </w:r>
      <w:r w:rsidR="00582AF7">
        <w:rPr>
          <w:rFonts w:ascii="Arial Mäori" w:hAnsi="Arial Mäori" w:cs="Arial Mäori"/>
          <w:color w:val="000000"/>
          <w:sz w:val="20"/>
          <w:szCs w:val="20"/>
        </w:rPr>
        <w:t xml:space="preserve"> </w:t>
      </w:r>
      <w:r w:rsidRPr="00910D4A">
        <w:rPr>
          <w:rFonts w:ascii="Arial Mäori" w:hAnsi="Arial Mäori" w:cs="Arial Mäori"/>
          <w:color w:val="000000"/>
          <w:sz w:val="20"/>
          <w:szCs w:val="20"/>
        </w:rPr>
        <w:t>White Paper seeks to analyse the state of the UK market in care services for older people, to identify the market failures (and achievements) and to ask if there are any ways to correct the failures.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LaingBuisson</w:t>
      </w:r>
    </w:p>
    <w:p w:rsidR="008547EA" w:rsidRDefault="00866424" w:rsidP="008547EA">
      <w:pPr>
        <w:spacing w:after="0" w:line="240" w:lineRule="auto"/>
        <w:rPr>
          <w:rFonts w:ascii="Arial Mäori" w:hAnsi="Arial Mäori" w:cs="Arial Mäori"/>
          <w:i/>
          <w:color w:val="000000"/>
          <w:sz w:val="20"/>
          <w:szCs w:val="20"/>
        </w:rPr>
      </w:pPr>
      <w:hyperlink w:anchor="_top" w:history="1">
        <w:r w:rsidRPr="00866424">
          <w:rPr>
            <w:rStyle w:val="Hyperlink"/>
            <w:rFonts w:ascii="Arial Mäori" w:hAnsi="Arial Mäori" w:cs="Arial Mäori"/>
            <w:i/>
            <w:sz w:val="20"/>
            <w:szCs w:val="20"/>
          </w:rPr>
          <w:t>back to top</w:t>
        </w:r>
      </w:hyperlink>
    </w:p>
    <w:p w:rsidR="00035B28" w:rsidRDefault="00035B28">
      <w:pPr>
        <w:rPr>
          <w:rFonts w:ascii="Times New Roman" w:eastAsia="Times New Roman" w:hAnsi="Times New Roman" w:cs="Times New Roman"/>
          <w:b/>
          <w:bCs/>
          <w:color w:val="548DD4" w:themeColor="text2" w:themeTint="99"/>
          <w:sz w:val="27"/>
          <w:szCs w:val="27"/>
          <w:lang w:eastAsia="en-NZ"/>
        </w:rPr>
      </w:pPr>
      <w:bookmarkStart w:id="20" w:name="_Cancer_&amp;_End"/>
      <w:bookmarkEnd w:id="20"/>
      <w:r>
        <w:rPr>
          <w:color w:val="548DD4" w:themeColor="text2" w:themeTint="99"/>
        </w:rPr>
        <w:br w:type="page"/>
      </w:r>
    </w:p>
    <w:p w:rsidR="00CF088B" w:rsidRDefault="00CF088B" w:rsidP="00F4492D">
      <w:pPr>
        <w:pStyle w:val="Heading3"/>
        <w:rPr>
          <w:color w:val="548DD4" w:themeColor="text2" w:themeTint="99"/>
        </w:rPr>
      </w:pPr>
      <w:r>
        <w:rPr>
          <w:color w:val="548DD4" w:themeColor="text2" w:themeTint="99"/>
        </w:rPr>
        <w:t>Cancer &amp; End of Life Care</w:t>
      </w:r>
    </w:p>
    <w:p w:rsidR="00E1797C" w:rsidRPr="00983A92" w:rsidRDefault="00E1797C" w:rsidP="00E1797C">
      <w:pPr>
        <w:spacing w:after="0" w:line="240" w:lineRule="auto"/>
        <w:rPr>
          <w:rFonts w:ascii="Arial Mäori" w:hAnsi="Arial Mäori" w:cs="Arial Mäori"/>
          <w:b/>
          <w:color w:val="000000"/>
          <w:sz w:val="20"/>
          <w:szCs w:val="20"/>
        </w:rPr>
      </w:pPr>
      <w:hyperlink r:id="rId48" w:history="1">
        <w:r w:rsidRPr="00153F35">
          <w:rPr>
            <w:rStyle w:val="Hyperlink"/>
            <w:rFonts w:ascii="Arial Mäori" w:hAnsi="Arial Mäori" w:cs="Arial Mäori"/>
            <w:b/>
            <w:sz w:val="20"/>
            <w:szCs w:val="20"/>
          </w:rPr>
          <w:t>Measuring up? The health of NHS cancer services</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983A92">
        <w:rPr>
          <w:rFonts w:ascii="Arial Mäori" w:hAnsi="Arial Mäori" w:cs="Arial Mäori"/>
          <w:color w:val="000000"/>
          <w:sz w:val="20"/>
          <w:szCs w:val="20"/>
        </w:rPr>
        <w:t>This report highlights key concerns regarding the pressures on NHS cancer services following the NHS reorganisation and the Health and Social Care Act 2012. It calls for urgent action to increase investment, particularly in diagnostic services, and also highlights the need to review both the leadership and commissioning of cancer services so they are fit to meet the looming demands of an ageing population and the predicted rapid increase in cancer cases.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Cancer Research UK</w:t>
      </w:r>
    </w:p>
    <w:p w:rsidR="00735424" w:rsidRDefault="00735424" w:rsidP="00E1797C">
      <w:pPr>
        <w:spacing w:after="0" w:line="240" w:lineRule="auto"/>
        <w:rPr>
          <w:rFonts w:ascii="Arial Mäori" w:hAnsi="Arial Mäori" w:cs="Arial Mäori"/>
          <w:i/>
          <w:color w:val="000000"/>
          <w:sz w:val="20"/>
          <w:szCs w:val="20"/>
        </w:rPr>
      </w:pPr>
    </w:p>
    <w:p w:rsidR="00735424" w:rsidRPr="004D0451" w:rsidRDefault="00735424" w:rsidP="00735424">
      <w:pPr>
        <w:spacing w:after="0" w:line="240" w:lineRule="auto"/>
        <w:rPr>
          <w:rStyle w:val="Hyperlink"/>
          <w:rFonts w:ascii="Arial Mäori" w:hAnsi="Arial Mäori" w:cs="Arial Mäori"/>
          <w:b/>
          <w:sz w:val="20"/>
          <w:szCs w:val="20"/>
        </w:rPr>
      </w:pPr>
      <w:r>
        <w:rPr>
          <w:rFonts w:ascii="Arial Mäori" w:hAnsi="Arial Mäori" w:cs="Arial Mäori"/>
          <w:b/>
          <w:color w:val="000000"/>
          <w:sz w:val="20"/>
          <w:szCs w:val="20"/>
        </w:rPr>
        <w:fldChar w:fldCharType="begin"/>
      </w:r>
      <w:r>
        <w:rPr>
          <w:rFonts w:ascii="Arial Mäori" w:hAnsi="Arial Mäori" w:cs="Arial Mäori"/>
          <w:b/>
          <w:color w:val="000000"/>
          <w:sz w:val="20"/>
          <w:szCs w:val="20"/>
        </w:rPr>
        <w:instrText xml:space="preserve"> HYPERLINK "http://www.incisivehealth.com/uploads/Saving%20lives%20averting%20costs.pdf" </w:instrText>
      </w:r>
      <w:r>
        <w:rPr>
          <w:rFonts w:ascii="Arial Mäori" w:hAnsi="Arial Mäori" w:cs="Arial Mäori"/>
          <w:b/>
          <w:color w:val="000000"/>
          <w:sz w:val="20"/>
          <w:szCs w:val="20"/>
        </w:rPr>
        <w:fldChar w:fldCharType="separate"/>
      </w:r>
      <w:r w:rsidRPr="004D0451">
        <w:rPr>
          <w:rStyle w:val="Hyperlink"/>
          <w:rFonts w:ascii="Arial Mäori" w:hAnsi="Arial Mäori" w:cs="Arial Mäori"/>
          <w:b/>
          <w:sz w:val="20"/>
          <w:szCs w:val="20"/>
        </w:rPr>
        <w:t>Saving lives, averting costs:  An analysis of the financial implications of achieving earlier</w:t>
      </w:r>
    </w:p>
    <w:p w:rsidR="00735424" w:rsidRDefault="00735424" w:rsidP="00735424">
      <w:pPr>
        <w:spacing w:after="0" w:line="240" w:lineRule="auto"/>
        <w:rPr>
          <w:rFonts w:ascii="Arial Mäori" w:hAnsi="Arial Mäori" w:cs="Arial Mäori"/>
          <w:b/>
          <w:color w:val="000000"/>
          <w:sz w:val="20"/>
          <w:szCs w:val="20"/>
        </w:rPr>
      </w:pPr>
      <w:r w:rsidRPr="004D0451">
        <w:rPr>
          <w:rStyle w:val="Hyperlink"/>
          <w:rFonts w:ascii="Arial Mäori" w:hAnsi="Arial Mäori" w:cs="Arial Mäori"/>
          <w:b/>
          <w:sz w:val="20"/>
          <w:szCs w:val="20"/>
        </w:rPr>
        <w:t>diagnosis of colorectal, lung and ovarian cancer</w:t>
      </w:r>
      <w:r>
        <w:rPr>
          <w:rFonts w:ascii="Arial Mäori" w:hAnsi="Arial Mäori" w:cs="Arial Mäori"/>
          <w:b/>
          <w:color w:val="000000"/>
          <w:sz w:val="20"/>
          <w:szCs w:val="20"/>
        </w:rPr>
        <w:fldChar w:fldCharType="end"/>
      </w:r>
    </w:p>
    <w:p w:rsidR="00735424" w:rsidRPr="00252000" w:rsidRDefault="00735424" w:rsidP="00735424">
      <w:pPr>
        <w:spacing w:after="0" w:line="240" w:lineRule="auto"/>
        <w:rPr>
          <w:rFonts w:ascii="Arial Mäori" w:hAnsi="Arial Mäori" w:cs="Arial Mäori"/>
          <w:color w:val="000000"/>
          <w:sz w:val="20"/>
          <w:szCs w:val="20"/>
        </w:rPr>
      </w:pPr>
      <w:r w:rsidRPr="00252000">
        <w:rPr>
          <w:rFonts w:ascii="Arial Mäori" w:hAnsi="Arial Mäori" w:cs="Arial Mäori"/>
          <w:color w:val="000000"/>
          <w:sz w:val="20"/>
          <w:szCs w:val="20"/>
        </w:rPr>
        <w:t>“There is now good evidence that earlier diagnosis can be effectively encouraged, through a</w:t>
      </w:r>
    </w:p>
    <w:p w:rsidR="00735424" w:rsidRDefault="00735424" w:rsidP="00735424">
      <w:pPr>
        <w:spacing w:after="0" w:line="240" w:lineRule="auto"/>
        <w:rPr>
          <w:rFonts w:ascii="Arial Mäori" w:hAnsi="Arial Mäori" w:cs="Arial Mäori"/>
          <w:i/>
          <w:color w:val="000000"/>
          <w:sz w:val="20"/>
          <w:szCs w:val="20"/>
        </w:rPr>
      </w:pPr>
      <w:r w:rsidRPr="00252000">
        <w:rPr>
          <w:rFonts w:ascii="Arial Mäori" w:hAnsi="Arial Mäori" w:cs="Arial Mäori"/>
          <w:color w:val="000000"/>
          <w:sz w:val="20"/>
          <w:szCs w:val="20"/>
        </w:rPr>
        <w:t>combination of screening, public awareness, clinician education and better access to diagnostics. However, the financial implications of achieving earlier diagnosis are less well understood. This report seeks to consider the cost impact of earlier diagnosis on cancer treatment services.”</w:t>
      </w:r>
      <w:r>
        <w:rPr>
          <w:rFonts w:ascii="Arial Mäori" w:hAnsi="Arial Mäori" w:cs="Arial Mäori"/>
          <w:b/>
          <w:color w:val="000000"/>
          <w:sz w:val="20"/>
          <w:szCs w:val="20"/>
        </w:rPr>
        <w:t xml:space="preserve"> </w:t>
      </w:r>
      <w:r>
        <w:rPr>
          <w:rFonts w:ascii="Arial Mäori" w:hAnsi="Arial Mäori" w:cs="Arial Mäori"/>
          <w:i/>
          <w:color w:val="000000"/>
          <w:sz w:val="20"/>
          <w:szCs w:val="20"/>
        </w:rPr>
        <w:t>Source: Cancer Research UK</w:t>
      </w:r>
    </w:p>
    <w:p w:rsidR="00FA0364" w:rsidRDefault="00FA0364" w:rsidP="00735424">
      <w:pPr>
        <w:spacing w:after="0" w:line="240" w:lineRule="auto"/>
        <w:rPr>
          <w:rFonts w:ascii="Arial Mäori" w:hAnsi="Arial Mäori" w:cs="Arial Mäori"/>
          <w:i/>
          <w:color w:val="000000"/>
          <w:sz w:val="20"/>
          <w:szCs w:val="20"/>
        </w:rPr>
      </w:pPr>
    </w:p>
    <w:p w:rsidR="00FA0364" w:rsidRDefault="00FA0364" w:rsidP="00FA0364">
      <w:pPr>
        <w:spacing w:after="0" w:line="240" w:lineRule="auto"/>
        <w:rPr>
          <w:rFonts w:ascii="Arial Mäori" w:hAnsi="Arial Mäori" w:cs="Arial Mäori"/>
          <w:b/>
          <w:color w:val="000000"/>
          <w:sz w:val="20"/>
          <w:szCs w:val="20"/>
        </w:rPr>
      </w:pPr>
      <w:hyperlink r:id="rId49" w:history="1">
        <w:r w:rsidRPr="006129D6">
          <w:rPr>
            <w:rStyle w:val="Hyperlink"/>
            <w:rFonts w:ascii="Arial Mäori" w:hAnsi="Arial Mäori" w:cs="Arial Mäori"/>
            <w:b/>
            <w:sz w:val="20"/>
            <w:szCs w:val="20"/>
          </w:rPr>
          <w:t>Dying Well</w:t>
        </w:r>
      </w:hyperlink>
    </w:p>
    <w:p w:rsidR="00FA0364" w:rsidRDefault="00FA0364" w:rsidP="00FA036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42A8A">
        <w:rPr>
          <w:rFonts w:ascii="Arial Mäori" w:hAnsi="Arial Mäori" w:cs="Arial Mäori"/>
          <w:color w:val="000000"/>
          <w:sz w:val="20"/>
          <w:szCs w:val="20"/>
        </w:rPr>
        <w:t>This report is about how, where and with whom we die. The baby</w:t>
      </w:r>
      <w:r>
        <w:rPr>
          <w:rFonts w:ascii="Arial Mäori" w:hAnsi="Arial Mäori" w:cs="Arial Mäori"/>
          <w:color w:val="000000"/>
          <w:sz w:val="20"/>
          <w:szCs w:val="20"/>
        </w:rPr>
        <w:t xml:space="preserve"> </w:t>
      </w:r>
      <w:r w:rsidRPr="00642A8A">
        <w:rPr>
          <w:rFonts w:ascii="Arial Mäori" w:hAnsi="Arial Mäori" w:cs="Arial Mäori"/>
          <w:color w:val="000000"/>
          <w:sz w:val="20"/>
          <w:szCs w:val="20"/>
        </w:rPr>
        <w:t>boomers are growing old, and in the next 25 years the number of</w:t>
      </w:r>
      <w:r>
        <w:rPr>
          <w:rFonts w:ascii="Arial Mäori" w:hAnsi="Arial Mäori" w:cs="Arial Mäori"/>
          <w:color w:val="000000"/>
          <w:sz w:val="20"/>
          <w:szCs w:val="20"/>
        </w:rPr>
        <w:t xml:space="preserve"> </w:t>
      </w:r>
      <w:r w:rsidRPr="00642A8A">
        <w:rPr>
          <w:rFonts w:ascii="Arial Mäori" w:hAnsi="Arial Mäori" w:cs="Arial Mäori"/>
          <w:color w:val="000000"/>
          <w:sz w:val="20"/>
          <w:szCs w:val="20"/>
        </w:rPr>
        <w:t>Australians who die each year will double. People want to die</w:t>
      </w:r>
      <w:r>
        <w:rPr>
          <w:rFonts w:ascii="Arial Mäori" w:hAnsi="Arial Mäori" w:cs="Arial Mäori"/>
          <w:color w:val="000000"/>
          <w:sz w:val="20"/>
          <w:szCs w:val="20"/>
        </w:rPr>
        <w:t xml:space="preserve"> </w:t>
      </w:r>
      <w:r w:rsidRPr="00642A8A">
        <w:rPr>
          <w:rFonts w:ascii="Arial Mäori" w:hAnsi="Arial Mäori" w:cs="Arial Mäori"/>
          <w:color w:val="000000"/>
          <w:sz w:val="20"/>
          <w:szCs w:val="20"/>
        </w:rPr>
        <w:t>comfortably at home, supp</w:t>
      </w:r>
      <w:r>
        <w:rPr>
          <w:rFonts w:ascii="Arial Mäori" w:hAnsi="Arial Mäori" w:cs="Arial Mäori"/>
          <w:color w:val="000000"/>
          <w:sz w:val="20"/>
          <w:szCs w:val="20"/>
        </w:rPr>
        <w:t xml:space="preserve">orted by family and friends and </w:t>
      </w:r>
      <w:r w:rsidRPr="00642A8A">
        <w:rPr>
          <w:rFonts w:ascii="Arial Mäori" w:hAnsi="Arial Mäori" w:cs="Arial Mäori"/>
          <w:color w:val="000000"/>
          <w:sz w:val="20"/>
          <w:szCs w:val="20"/>
        </w:rPr>
        <w:t>effective services.</w:t>
      </w:r>
      <w:r>
        <w:rPr>
          <w:rFonts w:ascii="Arial Mäori" w:hAnsi="Arial Mäori" w:cs="Arial Mäori"/>
          <w:color w:val="000000"/>
          <w:sz w:val="20"/>
          <w:szCs w:val="20"/>
        </w:rPr>
        <w:t xml:space="preserve">” </w:t>
      </w:r>
      <w:r>
        <w:rPr>
          <w:rFonts w:ascii="Arial Mäori" w:hAnsi="Arial Mäori" w:cs="Arial Mäori"/>
          <w:i/>
          <w:color w:val="000000"/>
          <w:sz w:val="20"/>
          <w:szCs w:val="20"/>
        </w:rPr>
        <w:t>Source: Grattan Institute</w:t>
      </w:r>
    </w:p>
    <w:p w:rsidR="00FA0364" w:rsidRDefault="00FA0364" w:rsidP="00FA0364">
      <w:pPr>
        <w:spacing w:after="0" w:line="240" w:lineRule="auto"/>
        <w:rPr>
          <w:rFonts w:ascii="Arial Mäori" w:hAnsi="Arial Mäori" w:cs="Arial Mäori"/>
          <w:color w:val="000000"/>
          <w:sz w:val="20"/>
          <w:szCs w:val="20"/>
        </w:rPr>
      </w:pPr>
    </w:p>
    <w:p w:rsidR="00FA0364" w:rsidRPr="003B3810" w:rsidRDefault="00FA0364" w:rsidP="00FA0364">
      <w:pPr>
        <w:spacing w:after="0" w:line="240" w:lineRule="auto"/>
        <w:rPr>
          <w:rFonts w:ascii="Arial Mäori" w:hAnsi="Arial Mäori" w:cs="Arial Mäori"/>
          <w:b/>
          <w:color w:val="000000"/>
          <w:sz w:val="20"/>
          <w:szCs w:val="20"/>
        </w:rPr>
      </w:pPr>
      <w:hyperlink r:id="rId50" w:history="1">
        <w:r w:rsidRPr="006129D6">
          <w:rPr>
            <w:rStyle w:val="Hyperlink"/>
            <w:rFonts w:ascii="Arial Mäori" w:hAnsi="Arial Mäori" w:cs="Arial Mäori"/>
            <w:b/>
            <w:sz w:val="20"/>
            <w:szCs w:val="20"/>
          </w:rPr>
          <w:t>Exploring the cost of care at the end of life</w:t>
        </w:r>
      </w:hyperlink>
    </w:p>
    <w:p w:rsidR="00FA0364" w:rsidRDefault="00FA0364" w:rsidP="00FA0364">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3B3810">
        <w:rPr>
          <w:rFonts w:ascii="Arial Mäori" w:hAnsi="Arial Mäori" w:cs="Arial Mäori"/>
          <w:color w:val="000000"/>
          <w:sz w:val="20"/>
          <w:szCs w:val="20"/>
        </w:rPr>
        <w:t>This work demonstrates how crucial it is that we develop better ways to understand resource use in everyday care. This would help care services to be responsive to the needs of those near to death, so they can provide support and care in the most appropriate setting for the individual</w:t>
      </w:r>
      <w:r>
        <w:rPr>
          <w:rFonts w:ascii="Arial Mäori" w:hAnsi="Arial Mäori" w:cs="Arial Mäori"/>
          <w:color w:val="000000"/>
          <w:sz w:val="20"/>
          <w:szCs w:val="20"/>
        </w:rPr>
        <w:t xml:space="preserve">.” </w:t>
      </w:r>
      <w:r>
        <w:rPr>
          <w:rFonts w:ascii="Arial Mäori" w:hAnsi="Arial Mäori" w:cs="Arial Mäori"/>
          <w:i/>
          <w:color w:val="000000"/>
          <w:sz w:val="20"/>
          <w:szCs w:val="20"/>
        </w:rPr>
        <w:t>Source: Nuffield Trust</w:t>
      </w:r>
    </w:p>
    <w:p w:rsidR="000B6EB9" w:rsidRDefault="000B6EB9" w:rsidP="00E1797C">
      <w:pPr>
        <w:spacing w:after="0" w:line="240" w:lineRule="auto"/>
        <w:rPr>
          <w:rFonts w:ascii="Arial Mäori" w:hAnsi="Arial Mäori" w:cs="Arial Mäori"/>
          <w:i/>
          <w:color w:val="000000"/>
          <w:sz w:val="20"/>
          <w:szCs w:val="20"/>
        </w:rPr>
      </w:pPr>
    </w:p>
    <w:p w:rsidR="000B6EB9" w:rsidRDefault="000B6EB9" w:rsidP="000B6EB9">
      <w:pPr>
        <w:spacing w:after="0" w:line="240" w:lineRule="auto"/>
        <w:rPr>
          <w:rFonts w:ascii="Arial Mäori" w:hAnsi="Arial Mäori" w:cs="Arial Mäori"/>
          <w:b/>
          <w:color w:val="000000"/>
          <w:sz w:val="20"/>
          <w:szCs w:val="20"/>
        </w:rPr>
      </w:pPr>
      <w:hyperlink r:id="rId51" w:history="1">
        <w:r w:rsidRPr="004D0451">
          <w:rPr>
            <w:rStyle w:val="Hyperlink"/>
            <w:rFonts w:ascii="Arial Mäori" w:hAnsi="Arial Mäori" w:cs="Arial Mäori"/>
            <w:b/>
            <w:sz w:val="20"/>
            <w:szCs w:val="20"/>
          </w:rPr>
          <w:t>Dying in America: Improving Quality and Honoring Individual Preferences Near the End of Life</w:t>
        </w:r>
      </w:hyperlink>
    </w:p>
    <w:p w:rsidR="000B6EB9" w:rsidRDefault="000B6EB9" w:rsidP="000B6EB9">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9878D7">
        <w:rPr>
          <w:rFonts w:ascii="Arial Mäori" w:hAnsi="Arial Mäori" w:cs="Arial Mäori"/>
          <w:color w:val="000000"/>
          <w:sz w:val="20"/>
          <w:szCs w:val="20"/>
        </w:rPr>
        <w:t>A substantial body of evidence shows that broad improvements to end-of-life care are within reach. In Dying in America, a consensus report from the Institute of Medicine (IOM), a committee of experts finds that improving the quality and availability of medical and social services for patients and their families could not only enhance quality of life through the end of life, but may also contribute to a more sustainable care system.</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7E017B" w:rsidRDefault="000B6EB9" w:rsidP="000B6EB9">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0B6EB9" w:rsidRDefault="00866424" w:rsidP="000B6EB9">
      <w:pPr>
        <w:spacing w:after="0" w:line="240" w:lineRule="auto"/>
        <w:rPr>
          <w:rFonts w:ascii="Arial Mäori" w:hAnsi="Arial Mäori" w:cs="Arial Mäori"/>
          <w:i/>
          <w:color w:val="000000"/>
          <w:sz w:val="20"/>
          <w:szCs w:val="20"/>
        </w:rPr>
      </w:pPr>
      <w:hyperlink w:anchor="_top" w:history="1">
        <w:r w:rsidRPr="00866424">
          <w:rPr>
            <w:rStyle w:val="Hyperlink"/>
            <w:rFonts w:ascii="Arial Mäori" w:hAnsi="Arial Mäori" w:cs="Arial Mäori"/>
            <w:i/>
            <w:sz w:val="20"/>
            <w:szCs w:val="20"/>
          </w:rPr>
          <w:t>ba</w:t>
        </w:r>
        <w:r w:rsidRPr="00866424">
          <w:rPr>
            <w:rStyle w:val="Hyperlink"/>
            <w:rFonts w:ascii="Arial Mäori" w:hAnsi="Arial Mäori" w:cs="Arial Mäori"/>
            <w:i/>
            <w:sz w:val="20"/>
            <w:szCs w:val="20"/>
          </w:rPr>
          <w:t>c</w:t>
        </w:r>
        <w:r w:rsidRPr="00866424">
          <w:rPr>
            <w:rStyle w:val="Hyperlink"/>
            <w:rFonts w:ascii="Arial Mäori" w:hAnsi="Arial Mäori" w:cs="Arial Mäori"/>
            <w:i/>
            <w:sz w:val="20"/>
            <w:szCs w:val="20"/>
          </w:rPr>
          <w:t>k to to</w:t>
        </w:r>
        <w:r w:rsidRPr="00866424">
          <w:rPr>
            <w:rStyle w:val="Hyperlink"/>
            <w:rFonts w:ascii="Arial Mäori" w:hAnsi="Arial Mäori" w:cs="Arial Mäori"/>
            <w:i/>
            <w:sz w:val="20"/>
            <w:szCs w:val="20"/>
          </w:rPr>
          <w:t>p</w:t>
        </w:r>
      </w:hyperlink>
    </w:p>
    <w:p w:rsidR="00CF088B" w:rsidRDefault="00CF088B" w:rsidP="00F4492D">
      <w:pPr>
        <w:pStyle w:val="Heading3"/>
        <w:rPr>
          <w:color w:val="548DD4" w:themeColor="text2" w:themeTint="99"/>
        </w:rPr>
      </w:pPr>
      <w:bookmarkStart w:id="21" w:name="_Drugs_&amp;_Pharmaceutical"/>
      <w:bookmarkEnd w:id="21"/>
      <w:r>
        <w:rPr>
          <w:color w:val="548DD4" w:themeColor="text2" w:themeTint="99"/>
        </w:rPr>
        <w:t>Drugs</w:t>
      </w:r>
      <w:r w:rsidR="00DF151F">
        <w:rPr>
          <w:color w:val="548DD4" w:themeColor="text2" w:themeTint="99"/>
        </w:rPr>
        <w:t>/</w:t>
      </w:r>
      <w:r>
        <w:rPr>
          <w:color w:val="548DD4" w:themeColor="text2" w:themeTint="99"/>
        </w:rPr>
        <w:t>Pharmaceutical Policy</w:t>
      </w:r>
      <w:r w:rsidR="00DF151F">
        <w:rPr>
          <w:color w:val="548DD4" w:themeColor="text2" w:themeTint="99"/>
        </w:rPr>
        <w:t xml:space="preserve"> &amp; Evidence</w:t>
      </w:r>
    </w:p>
    <w:p w:rsidR="00E1797C" w:rsidRDefault="00E1797C" w:rsidP="00E1797C">
      <w:pPr>
        <w:spacing w:after="0" w:line="240" w:lineRule="auto"/>
        <w:rPr>
          <w:rFonts w:ascii="Arial Mäori" w:hAnsi="Arial Mäori" w:cs="Arial Mäori"/>
          <w:b/>
          <w:color w:val="000000"/>
          <w:sz w:val="20"/>
          <w:szCs w:val="20"/>
        </w:rPr>
      </w:pPr>
      <w:hyperlink r:id="rId52" w:history="1">
        <w:r w:rsidRPr="004D0451">
          <w:rPr>
            <w:rStyle w:val="Hyperlink"/>
            <w:rFonts w:ascii="Arial Mäori" w:hAnsi="Arial Mäori" w:cs="Arial Mäori"/>
            <w:b/>
            <w:sz w:val="20"/>
            <w:szCs w:val="20"/>
          </w:rPr>
          <w:t>Health Policy Brief: Drug Shortages</w:t>
        </w:r>
      </w:hyperlink>
    </w:p>
    <w:p w:rsidR="00E1797C" w:rsidRPr="000127F4" w:rsidRDefault="00E1797C" w:rsidP="00E1797C">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0127F4">
        <w:rPr>
          <w:rFonts w:ascii="Arial Mäori" w:hAnsi="Arial Mäori" w:cs="Arial Mäori"/>
          <w:color w:val="000000"/>
          <w:sz w:val="20"/>
          <w:szCs w:val="20"/>
        </w:rPr>
        <w:t>The brief traces the role of the FDA in regulating drug shortages. A 2011 report by the Government Accountability Office (GAO) noted that the FDA lacked the authority to address this problem, and that steps were needed “to effectively evaluate its work and improve its abilit</w:t>
      </w:r>
      <w:r>
        <w:rPr>
          <w:rFonts w:ascii="Arial Mäori" w:hAnsi="Arial Mäori" w:cs="Arial Mäori"/>
          <w:color w:val="000000"/>
          <w:sz w:val="20"/>
          <w:szCs w:val="20"/>
        </w:rPr>
        <w:t>y to protect the public health.</w:t>
      </w:r>
    </w:p>
    <w:p w:rsidR="00E1797C" w:rsidRDefault="00E1797C" w:rsidP="00E1797C">
      <w:pPr>
        <w:spacing w:after="0" w:line="240" w:lineRule="auto"/>
        <w:rPr>
          <w:rFonts w:ascii="Arial Mäori" w:hAnsi="Arial Mäori" w:cs="Arial Mäori"/>
          <w:i/>
          <w:color w:val="000000"/>
          <w:sz w:val="20"/>
          <w:szCs w:val="20"/>
        </w:rPr>
      </w:pPr>
      <w:r w:rsidRPr="000127F4">
        <w:rPr>
          <w:rFonts w:ascii="Arial Mäori" w:hAnsi="Arial Mäori" w:cs="Arial Mäori"/>
          <w:color w:val="000000"/>
          <w:sz w:val="20"/>
          <w:szCs w:val="20"/>
        </w:rPr>
        <w:t>The brief details subsequent efforts by the Executive branch and Congress, including a drug shortage task force and a 2013 strategic plan to prevent and mitigate drug shortages. The brief also examines the efforts of the Generic Pharmaceutical Association, the key trade association, to improve communication between manufacturers, the FDA, and stakeholders, a move that so far has not had a significant impact.</w:t>
      </w:r>
      <w:r>
        <w:rPr>
          <w:rFonts w:ascii="Arial Mäori" w:hAnsi="Arial Mäori" w:cs="Arial Mäori"/>
          <w:color w:val="000000"/>
          <w:sz w:val="20"/>
          <w:szCs w:val="20"/>
        </w:rPr>
        <w:t xml:space="preserve">” </w:t>
      </w:r>
      <w:r>
        <w:rPr>
          <w:rFonts w:ascii="Arial Mäori" w:hAnsi="Arial Mäori" w:cs="Arial Mäori"/>
          <w:i/>
          <w:color w:val="000000"/>
          <w:sz w:val="20"/>
          <w:szCs w:val="20"/>
        </w:rPr>
        <w:t>Source: Health Affairs</w:t>
      </w:r>
    </w:p>
    <w:p w:rsidR="006C629E" w:rsidRDefault="006C629E" w:rsidP="00E1797C">
      <w:pPr>
        <w:spacing w:after="0" w:line="240" w:lineRule="auto"/>
        <w:rPr>
          <w:rFonts w:ascii="Arial Mäori" w:hAnsi="Arial Mäori" w:cs="Arial Mäori"/>
          <w:i/>
          <w:color w:val="000000"/>
          <w:sz w:val="20"/>
          <w:szCs w:val="20"/>
        </w:rPr>
      </w:pPr>
    </w:p>
    <w:p w:rsidR="006C629E" w:rsidRDefault="006C629E" w:rsidP="006C629E">
      <w:pPr>
        <w:spacing w:after="0" w:line="240" w:lineRule="auto"/>
        <w:rPr>
          <w:rFonts w:ascii="Arial Mäori" w:hAnsi="Arial Mäori" w:cs="Arial Mäori"/>
          <w:b/>
          <w:color w:val="000000"/>
          <w:sz w:val="20"/>
          <w:szCs w:val="20"/>
        </w:rPr>
      </w:pPr>
      <w:hyperlink r:id="rId53" w:history="1">
        <w:r w:rsidRPr="006129D6">
          <w:rPr>
            <w:rStyle w:val="Hyperlink"/>
            <w:rFonts w:ascii="Arial Mäori" w:hAnsi="Arial Mäori" w:cs="Arial Mäori"/>
            <w:b/>
            <w:sz w:val="20"/>
            <w:szCs w:val="20"/>
          </w:rPr>
          <w:t>Taking Control: Pathways to Drug Policies that Work</w:t>
        </w:r>
      </w:hyperlink>
    </w:p>
    <w:p w:rsidR="006C629E" w:rsidRDefault="006C629E" w:rsidP="006C629E">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8C3ED0">
        <w:rPr>
          <w:rFonts w:ascii="Arial Mäori" w:hAnsi="Arial Mäori" w:cs="Arial Mäori"/>
          <w:color w:val="000000"/>
          <w:sz w:val="20"/>
          <w:szCs w:val="20"/>
        </w:rPr>
        <w:t>The Global Commission proposes five pathways</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to improve the global drug policy regime. After</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putting people´s health and safety at the</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center of the picture, governments are urged</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to ensure access to essential medicines and</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pain control. The Commissioners call for an</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end to the criminalization and incarceration</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of users together with targeted prevention,</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harm reduction and treatment strategies for</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dependent users. In order to reduce drug related</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harms and undermine the power and profits of</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organized crime, the Commission recommends</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that governments regulate drug markets and</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adapt their enforcement strategies to target</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the most violent and disruptive criminal groups</w:t>
      </w:r>
      <w:r>
        <w:rPr>
          <w:rFonts w:ascii="Arial Mäori" w:hAnsi="Arial Mäori" w:cs="Arial Mäori"/>
          <w:color w:val="000000"/>
          <w:sz w:val="20"/>
          <w:szCs w:val="20"/>
        </w:rPr>
        <w:t xml:space="preserve"> </w:t>
      </w:r>
      <w:r w:rsidRPr="008C3ED0">
        <w:rPr>
          <w:rFonts w:ascii="Arial Mäori" w:hAnsi="Arial Mäori" w:cs="Arial Mäori"/>
          <w:color w:val="000000"/>
          <w:sz w:val="20"/>
          <w:szCs w:val="20"/>
        </w:rPr>
        <w:t>rather than punish low level players.</w:t>
      </w:r>
      <w:r>
        <w:rPr>
          <w:rFonts w:ascii="Arial Mäori" w:hAnsi="Arial Mäori" w:cs="Arial Mäori"/>
          <w:color w:val="000000"/>
          <w:sz w:val="20"/>
          <w:szCs w:val="20"/>
        </w:rPr>
        <w:t xml:space="preserve">” </w:t>
      </w:r>
      <w:r>
        <w:rPr>
          <w:rFonts w:ascii="Arial Mäori" w:hAnsi="Arial Mäori" w:cs="Arial Mäori"/>
          <w:i/>
          <w:color w:val="000000"/>
          <w:sz w:val="20"/>
          <w:szCs w:val="20"/>
        </w:rPr>
        <w:t>Source: Global Commission on Drug Policy</w:t>
      </w:r>
    </w:p>
    <w:p w:rsidR="00DF151F" w:rsidRDefault="00DF151F" w:rsidP="00E1797C">
      <w:pPr>
        <w:spacing w:after="0" w:line="240" w:lineRule="auto"/>
        <w:rPr>
          <w:rFonts w:ascii="Arial Mäori" w:hAnsi="Arial Mäori" w:cs="Arial Mäori"/>
          <w:i/>
          <w:color w:val="000000"/>
          <w:sz w:val="20"/>
          <w:szCs w:val="20"/>
        </w:rPr>
      </w:pPr>
    </w:p>
    <w:p w:rsidR="00DF151F" w:rsidRDefault="00DF151F" w:rsidP="00DF151F">
      <w:pPr>
        <w:spacing w:after="0" w:line="240" w:lineRule="auto"/>
        <w:rPr>
          <w:rFonts w:ascii="Arial Mäori" w:hAnsi="Arial Mäori" w:cs="Arial Mäori"/>
          <w:color w:val="000000"/>
          <w:sz w:val="20"/>
          <w:szCs w:val="20"/>
        </w:rPr>
      </w:pPr>
      <w:hyperlink r:id="rId54" w:history="1">
        <w:r w:rsidRPr="004D0451">
          <w:rPr>
            <w:rStyle w:val="Hyperlink"/>
            <w:rFonts w:ascii="Arial Mäori" w:hAnsi="Arial Mäori" w:cs="Arial Mäori"/>
            <w:b/>
            <w:sz w:val="20"/>
            <w:szCs w:val="20"/>
          </w:rPr>
          <w:t>New Psychoactive Substances - Evidence Review</w:t>
        </w:r>
      </w:hyperlink>
    </w:p>
    <w:p w:rsidR="00DF151F" w:rsidRDefault="00DF151F" w:rsidP="00DF151F">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E1EA0">
        <w:rPr>
          <w:rFonts w:ascii="Arial Mäori" w:hAnsi="Arial Mäori" w:cs="Arial Mäori"/>
          <w:color w:val="000000"/>
          <w:sz w:val="20"/>
          <w:szCs w:val="20"/>
        </w:rPr>
        <w:t>This paper summarises the key information currently available on New Psychoactive Substances (NPS) and evidence gaps. The paper is structured around the themes of - demand/ prevalence of use, supply, impact/ harms, responses (enforcement, prevention, and treatment); and evidence gaps. In each section, information on what we know about NPS in Scotland is set in the context of information from the rest of the UK and internationally. The paper concludes with a list of areas requiring further research.</w:t>
      </w:r>
      <w:r>
        <w:rPr>
          <w:rFonts w:ascii="Arial Mäori" w:hAnsi="Arial Mäori" w:cs="Arial Mäori"/>
          <w:color w:val="000000"/>
          <w:sz w:val="20"/>
          <w:szCs w:val="20"/>
        </w:rPr>
        <w:t xml:space="preserve">” </w:t>
      </w:r>
      <w:r>
        <w:rPr>
          <w:rFonts w:ascii="Arial Mäori" w:hAnsi="Arial Mäori" w:cs="Arial Mäori"/>
          <w:i/>
          <w:color w:val="000000"/>
          <w:sz w:val="20"/>
          <w:szCs w:val="20"/>
        </w:rPr>
        <w:t>Source: Scottish Government</w:t>
      </w:r>
    </w:p>
    <w:p w:rsidR="008547EA" w:rsidRDefault="008547EA" w:rsidP="00DF151F">
      <w:pPr>
        <w:spacing w:after="0" w:line="240" w:lineRule="auto"/>
        <w:rPr>
          <w:rFonts w:ascii="Arial Mäori" w:hAnsi="Arial Mäori" w:cs="Arial Mäori"/>
          <w:i/>
          <w:color w:val="000000"/>
          <w:sz w:val="20"/>
          <w:szCs w:val="20"/>
        </w:rPr>
      </w:pPr>
    </w:p>
    <w:p w:rsidR="008547EA" w:rsidRDefault="008547EA" w:rsidP="008547EA">
      <w:pPr>
        <w:spacing w:after="0" w:line="240" w:lineRule="auto"/>
        <w:rPr>
          <w:rFonts w:ascii="Arial Mäori" w:hAnsi="Arial Mäori" w:cs="Arial Mäori"/>
          <w:b/>
          <w:color w:val="000000"/>
          <w:sz w:val="20"/>
          <w:szCs w:val="20"/>
        </w:rPr>
      </w:pPr>
      <w:hyperlink r:id="rId55" w:history="1">
        <w:r w:rsidRPr="004D0451">
          <w:rPr>
            <w:rStyle w:val="Hyperlink"/>
            <w:rFonts w:ascii="Arial Mäori" w:hAnsi="Arial Mäori" w:cs="Arial Mäori"/>
            <w:b/>
            <w:sz w:val="20"/>
            <w:szCs w:val="20"/>
          </w:rPr>
          <w:t>National Strategy for Combating Antibiotic-Resistant Bacteria</w:t>
        </w:r>
      </w:hyperlink>
    </w:p>
    <w:p w:rsidR="008547EA" w:rsidRDefault="008547EA" w:rsidP="008547EA">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1A11F9">
        <w:rPr>
          <w:rFonts w:ascii="Arial Mäori" w:hAnsi="Arial Mäori" w:cs="Arial Mäori"/>
          <w:color w:val="000000"/>
          <w:sz w:val="20"/>
          <w:szCs w:val="20"/>
        </w:rPr>
        <w:t>The National Strategy for Combating Antibiotic Resistant Bacteria identifies priorities and</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coordinates investments: to prevent, detect, and control outbreaks of resistant pathogens</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recognized by CDC as urgent or serious threats, including carbapenem-resistant</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Enterobacteriaceae (CRE), methicillin-resistant Staphylococcus aureus (MRSA), ceftriaxoneresistant</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Neisseria gonorrhoeae, and Clostridium difficile</w:t>
      </w:r>
      <w:r>
        <w:rPr>
          <w:rFonts w:ascii="Arial Mäori" w:hAnsi="Arial Mäori" w:cs="Arial Mäori"/>
          <w:color w:val="000000"/>
          <w:sz w:val="20"/>
          <w:szCs w:val="20"/>
        </w:rPr>
        <w:t xml:space="preserve">.” </w:t>
      </w:r>
      <w:r>
        <w:rPr>
          <w:rFonts w:ascii="Arial Mäori" w:hAnsi="Arial Mäori" w:cs="Arial Mäori"/>
          <w:i/>
          <w:color w:val="000000"/>
          <w:sz w:val="20"/>
          <w:szCs w:val="20"/>
        </w:rPr>
        <w:t>Source: The White House</w:t>
      </w:r>
    </w:p>
    <w:p w:rsidR="008547EA" w:rsidRDefault="008547EA" w:rsidP="008547EA">
      <w:pPr>
        <w:spacing w:after="0" w:line="240" w:lineRule="auto"/>
        <w:rPr>
          <w:rFonts w:ascii="Arial Mäori" w:hAnsi="Arial Mäori" w:cs="Arial Mäori"/>
          <w:color w:val="000000"/>
          <w:sz w:val="20"/>
          <w:szCs w:val="20"/>
        </w:rPr>
      </w:pPr>
    </w:p>
    <w:p w:rsidR="008547EA" w:rsidRDefault="008547EA" w:rsidP="008547EA">
      <w:pPr>
        <w:spacing w:after="0" w:line="240" w:lineRule="auto"/>
        <w:rPr>
          <w:rFonts w:ascii="Arial Mäori" w:hAnsi="Arial Mäori" w:cs="Arial Mäori"/>
          <w:color w:val="000000"/>
          <w:sz w:val="20"/>
          <w:szCs w:val="20"/>
        </w:rPr>
      </w:pPr>
      <w:hyperlink r:id="rId56" w:history="1">
        <w:r w:rsidRPr="004D0451">
          <w:rPr>
            <w:rStyle w:val="Hyperlink"/>
            <w:rFonts w:ascii="Arial Mäori" w:hAnsi="Arial Mäori" w:cs="Arial Mäori"/>
            <w:b/>
            <w:sz w:val="20"/>
            <w:szCs w:val="20"/>
          </w:rPr>
          <w:t>Report to the President on Combating Antibiotic-Resistant Bacteria</w:t>
        </w:r>
      </w:hyperlink>
    </w:p>
    <w:p w:rsidR="007E017B"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1A11F9">
        <w:rPr>
          <w:rFonts w:ascii="Arial Mäori" w:hAnsi="Arial Mäori" w:cs="Arial Mäori"/>
          <w:color w:val="000000"/>
          <w:sz w:val="20"/>
          <w:szCs w:val="20"/>
        </w:rPr>
        <w:t>In November 2013, President Obama tasked his President’s Council of Advisors on Science and</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Technology (PCAST) with making practical and actionable recommendations concerning how</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the Federal Government can best combat the rise of antibiotic resistance that is threatening the</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health of Americans and people around the world. To respond to this request, PCAST rapidly</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 xml:space="preserve">assembled a </w:t>
      </w:r>
      <w:r>
        <w:rPr>
          <w:rFonts w:ascii="Arial Mäori" w:hAnsi="Arial Mäori" w:cs="Arial Mäori"/>
          <w:color w:val="000000"/>
          <w:sz w:val="20"/>
          <w:szCs w:val="20"/>
        </w:rPr>
        <w:t xml:space="preserve"> t</w:t>
      </w:r>
      <w:r w:rsidRPr="001A11F9">
        <w:rPr>
          <w:rFonts w:ascii="Arial Mäori" w:hAnsi="Arial Mäori" w:cs="Arial Mäori"/>
          <w:color w:val="000000"/>
          <w:sz w:val="20"/>
          <w:szCs w:val="20"/>
        </w:rPr>
        <w:t>askforce of 15 non</w:t>
      </w:r>
      <w:r w:rsidRPr="001A11F9">
        <w:rPr>
          <w:rFonts w:ascii="Cambria Math" w:hAnsi="Cambria Math" w:cs="Cambria Math"/>
          <w:color w:val="000000"/>
          <w:sz w:val="20"/>
          <w:szCs w:val="20"/>
        </w:rPr>
        <w:t>‐</w:t>
      </w:r>
      <w:r w:rsidRPr="001A11F9">
        <w:rPr>
          <w:rFonts w:ascii="Arial Mäori" w:hAnsi="Arial Mäori" w:cs="Arial Mäori"/>
          <w:color w:val="000000"/>
          <w:sz w:val="20"/>
          <w:szCs w:val="20"/>
        </w:rPr>
        <w:t>Federal experts in the field of antibiotic resistance and also</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consulted with experts across Federal agencies. Informed by extensive discussions with these</w:t>
      </w:r>
      <w:r>
        <w:rPr>
          <w:rFonts w:ascii="Arial Mäori" w:hAnsi="Arial Mäori" w:cs="Arial Mäori"/>
          <w:color w:val="000000"/>
          <w:sz w:val="20"/>
          <w:szCs w:val="20"/>
        </w:rPr>
        <w:t xml:space="preserve"> </w:t>
      </w:r>
      <w:r w:rsidRPr="001A11F9">
        <w:rPr>
          <w:rFonts w:ascii="Arial Mäori" w:hAnsi="Arial Mäori" w:cs="Arial Mäori"/>
          <w:color w:val="000000"/>
          <w:sz w:val="20"/>
          <w:szCs w:val="20"/>
        </w:rPr>
        <w:t>experts, PCAST developed this report.</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1A11F9">
        <w:rPr>
          <w:rFonts w:ascii="Arial Mäori" w:hAnsi="Arial Mäori" w:cs="Arial Mäori"/>
          <w:i/>
          <w:color w:val="000000"/>
          <w:sz w:val="20"/>
          <w:szCs w:val="20"/>
        </w:rPr>
        <w:t>Executive Office of the President</w:t>
      </w:r>
    </w:p>
    <w:p w:rsidR="008547EA" w:rsidRDefault="00866424" w:rsidP="008547EA">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w:t>
        </w:r>
        <w:r w:rsidRPr="00866424">
          <w:rPr>
            <w:rStyle w:val="Hyperlink"/>
            <w:rFonts w:ascii="Arial Mäori" w:hAnsi="Arial Mäori" w:cs="Arial Mäori"/>
            <w:i/>
            <w:sz w:val="20"/>
            <w:szCs w:val="20"/>
          </w:rPr>
          <w:t>k</w:t>
        </w:r>
        <w:r w:rsidRPr="00866424">
          <w:rPr>
            <w:rStyle w:val="Hyperlink"/>
            <w:rFonts w:ascii="Arial Mäori" w:hAnsi="Arial Mäori" w:cs="Arial Mäori"/>
            <w:i/>
            <w:sz w:val="20"/>
            <w:szCs w:val="20"/>
          </w:rPr>
          <w:t xml:space="preserve"> to top</w:t>
        </w:r>
      </w:hyperlink>
    </w:p>
    <w:p w:rsidR="000F2AB6" w:rsidRDefault="00190B7B" w:rsidP="00F4492D">
      <w:pPr>
        <w:pStyle w:val="Heading3"/>
        <w:rPr>
          <w:color w:val="548DD4" w:themeColor="text2" w:themeTint="99"/>
        </w:rPr>
      </w:pPr>
      <w:bookmarkStart w:id="22" w:name="_Patient-Centred_Care"/>
      <w:bookmarkStart w:id="23" w:name="_Person-Centered_Initiatives"/>
      <w:bookmarkEnd w:id="22"/>
      <w:bookmarkEnd w:id="23"/>
      <w:r>
        <w:rPr>
          <w:color w:val="548DD4" w:themeColor="text2" w:themeTint="99"/>
        </w:rPr>
        <w:t>Person</w:t>
      </w:r>
      <w:r w:rsidR="000F2AB6">
        <w:rPr>
          <w:color w:val="548DD4" w:themeColor="text2" w:themeTint="99"/>
        </w:rPr>
        <w:t>-</w:t>
      </w:r>
      <w:r w:rsidR="00530B7A">
        <w:rPr>
          <w:color w:val="548DD4" w:themeColor="text2" w:themeTint="99"/>
        </w:rPr>
        <w:t>Centred</w:t>
      </w:r>
      <w:r w:rsidR="000F2AB6">
        <w:rPr>
          <w:color w:val="548DD4" w:themeColor="text2" w:themeTint="99"/>
        </w:rPr>
        <w:t xml:space="preserve"> </w:t>
      </w:r>
      <w:r>
        <w:rPr>
          <w:color w:val="548DD4" w:themeColor="text2" w:themeTint="99"/>
        </w:rPr>
        <w:t>I</w:t>
      </w:r>
      <w:r w:rsidR="00FF3908">
        <w:rPr>
          <w:color w:val="548DD4" w:themeColor="text2" w:themeTint="99"/>
        </w:rPr>
        <w:t>nitiatives</w:t>
      </w:r>
    </w:p>
    <w:p w:rsidR="008547EA" w:rsidRDefault="008547EA" w:rsidP="008547EA">
      <w:pPr>
        <w:spacing w:after="0" w:line="240" w:lineRule="auto"/>
        <w:rPr>
          <w:rFonts w:ascii="Arial Mäori" w:hAnsi="Arial Mäori" w:cs="Arial Mäori"/>
          <w:b/>
          <w:color w:val="000000"/>
          <w:sz w:val="20"/>
          <w:szCs w:val="20"/>
        </w:rPr>
      </w:pPr>
      <w:hyperlink r:id="rId57" w:history="1">
        <w:r w:rsidRPr="004D0451">
          <w:rPr>
            <w:rStyle w:val="Hyperlink"/>
            <w:rFonts w:ascii="Arial Mäori" w:hAnsi="Arial Mäori" w:cs="Arial Mäori"/>
            <w:b/>
            <w:sz w:val="20"/>
            <w:szCs w:val="20"/>
          </w:rPr>
          <w:t>Patients in control: why people with long-term conditions must be empowered</w:t>
        </w:r>
      </w:hyperlink>
    </w:p>
    <w:p w:rsidR="008547EA" w:rsidRDefault="008547EA" w:rsidP="008547EA">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9A39C9">
        <w:rPr>
          <w:rFonts w:ascii="Arial Mäori" w:hAnsi="Arial Mäori" w:cs="Arial Mäori"/>
          <w:color w:val="000000"/>
          <w:sz w:val="20"/>
          <w:szCs w:val="20"/>
        </w:rPr>
        <w:t>This report purposely focuses on what ‘good’ looks like from the point of view</w:t>
      </w:r>
      <w:r>
        <w:rPr>
          <w:rFonts w:ascii="Arial Mäori" w:hAnsi="Arial Mäori" w:cs="Arial Mäori"/>
          <w:color w:val="000000"/>
          <w:sz w:val="20"/>
          <w:szCs w:val="20"/>
        </w:rPr>
        <w:t xml:space="preserve"> </w:t>
      </w:r>
      <w:r w:rsidRPr="009A39C9">
        <w:rPr>
          <w:rFonts w:ascii="Arial Mäori" w:hAnsi="Arial Mäori" w:cs="Arial Mäori"/>
          <w:color w:val="000000"/>
          <w:sz w:val="20"/>
          <w:szCs w:val="20"/>
        </w:rPr>
        <w:t>of people with long-term conditions who want to have more control. It explores</w:t>
      </w:r>
      <w:r>
        <w:rPr>
          <w:rFonts w:ascii="Arial Mäori" w:hAnsi="Arial Mäori" w:cs="Arial Mäori"/>
          <w:color w:val="000000"/>
          <w:sz w:val="20"/>
          <w:szCs w:val="20"/>
        </w:rPr>
        <w:t xml:space="preserve"> </w:t>
      </w:r>
      <w:r w:rsidRPr="009A39C9">
        <w:rPr>
          <w:rFonts w:ascii="Arial Mäori" w:hAnsi="Arial Mäori" w:cs="Arial Mäori"/>
          <w:color w:val="000000"/>
          <w:sz w:val="20"/>
          <w:szCs w:val="20"/>
        </w:rPr>
        <w:t>what people’s priorities are, in order to truly put patients’ views at the centre of</w:t>
      </w:r>
      <w:r>
        <w:rPr>
          <w:rFonts w:ascii="Arial Mäori" w:hAnsi="Arial Mäori" w:cs="Arial Mäori"/>
          <w:color w:val="000000"/>
          <w:sz w:val="20"/>
          <w:szCs w:val="20"/>
        </w:rPr>
        <w:t xml:space="preserve"> </w:t>
      </w:r>
      <w:r w:rsidRPr="009A39C9">
        <w:rPr>
          <w:rFonts w:ascii="Arial Mäori" w:hAnsi="Arial Mäori" w:cs="Arial Mäori"/>
          <w:color w:val="000000"/>
          <w:sz w:val="20"/>
          <w:szCs w:val="20"/>
        </w:rPr>
        <w:t>its proposals. It considers what giving patients more control means and requires,</w:t>
      </w:r>
      <w:r>
        <w:rPr>
          <w:rFonts w:ascii="Arial Mäori" w:hAnsi="Arial Mäori" w:cs="Arial Mäori"/>
          <w:color w:val="000000"/>
          <w:sz w:val="20"/>
          <w:szCs w:val="20"/>
        </w:rPr>
        <w:t xml:space="preserve"> </w:t>
      </w:r>
      <w:r w:rsidRPr="009A39C9">
        <w:rPr>
          <w:rFonts w:ascii="Arial Mäori" w:hAnsi="Arial Mäori" w:cs="Arial Mäori"/>
          <w:color w:val="000000"/>
          <w:sz w:val="20"/>
          <w:szCs w:val="20"/>
        </w:rPr>
        <w:t>rather than jumping straight into service-redesign.</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for Public Policy Research</w:t>
      </w:r>
    </w:p>
    <w:p w:rsidR="008547EA" w:rsidRDefault="008547EA" w:rsidP="00190B7B">
      <w:pPr>
        <w:spacing w:after="0" w:line="240" w:lineRule="auto"/>
      </w:pPr>
    </w:p>
    <w:p w:rsidR="00190B7B" w:rsidRDefault="00190B7B" w:rsidP="00190B7B">
      <w:pPr>
        <w:spacing w:after="0" w:line="240" w:lineRule="auto"/>
        <w:rPr>
          <w:rFonts w:ascii="Arial Mäori" w:hAnsi="Arial Mäori" w:cs="Arial Mäori"/>
          <w:b/>
          <w:color w:val="000000"/>
          <w:sz w:val="20"/>
          <w:szCs w:val="20"/>
        </w:rPr>
      </w:pPr>
      <w:hyperlink r:id="rId58" w:history="1">
        <w:r w:rsidRPr="00153F35">
          <w:rPr>
            <w:rStyle w:val="Hyperlink"/>
            <w:rFonts w:ascii="Arial Mäori" w:hAnsi="Arial Mäori" w:cs="Arial Mäori"/>
            <w:b/>
            <w:sz w:val="20"/>
            <w:szCs w:val="20"/>
          </w:rPr>
          <w:t>People helping people: The future of public services</w:t>
        </w:r>
      </w:hyperlink>
    </w:p>
    <w:p w:rsidR="00190B7B" w:rsidRDefault="00190B7B" w:rsidP="00190B7B">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FB2AAD">
        <w:rPr>
          <w:rFonts w:ascii="Arial Mäori" w:hAnsi="Arial Mäori" w:cs="Arial Mäori"/>
          <w:color w:val="000000"/>
          <w:sz w:val="20"/>
          <w:szCs w:val="20"/>
        </w:rPr>
        <w:t>This report argues that mobilising the energy and contributions of members of the public</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should become a core organising principle for public services.</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Doing so would increase the resources available to achieve</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social goals, such as by offering tutoring to children and</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young people to increase their educational attainment. It</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would give public services access to new expertise and</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knowledge; people with long–term health issues, such</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as diabetes, could find support from those in a similar</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position, drawing on their understanding of managing their</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condition. It would provide a way of reaching people who</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public services cannot reach, or giving them more support</w:t>
      </w:r>
      <w:r>
        <w:rPr>
          <w:rFonts w:ascii="Arial Mäori" w:hAnsi="Arial Mäori" w:cs="Arial Mäori"/>
          <w:color w:val="000000"/>
          <w:sz w:val="20"/>
          <w:szCs w:val="20"/>
        </w:rPr>
        <w:t xml:space="preserve"> </w:t>
      </w:r>
      <w:r w:rsidRPr="00FB2AAD">
        <w:rPr>
          <w:rFonts w:ascii="Arial Mäori" w:hAnsi="Arial Mäori" w:cs="Arial Mäori"/>
          <w:color w:val="000000"/>
          <w:sz w:val="20"/>
          <w:szCs w:val="20"/>
        </w:rPr>
        <w:t>than public services can offer.</w:t>
      </w:r>
      <w:r>
        <w:rPr>
          <w:rFonts w:ascii="Arial Mäori" w:hAnsi="Arial Mäori" w:cs="Arial Mäori"/>
          <w:color w:val="000000"/>
          <w:sz w:val="20"/>
          <w:szCs w:val="20"/>
        </w:rPr>
        <w:t xml:space="preserve">” </w:t>
      </w:r>
      <w:r>
        <w:rPr>
          <w:rFonts w:ascii="Arial Mäori" w:hAnsi="Arial Mäori" w:cs="Arial Mäori"/>
          <w:i/>
          <w:color w:val="000000"/>
          <w:sz w:val="20"/>
          <w:szCs w:val="20"/>
        </w:rPr>
        <w:t>Source: Nesta</w:t>
      </w:r>
    </w:p>
    <w:p w:rsidR="00E1797C" w:rsidRDefault="00E1797C" w:rsidP="00190B7B">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59" w:history="1">
        <w:r w:rsidRPr="00153F35">
          <w:rPr>
            <w:rStyle w:val="Hyperlink"/>
            <w:rFonts w:ascii="Arial Mäori" w:hAnsi="Arial Mäori" w:cs="Arial Mäori"/>
            <w:b/>
            <w:sz w:val="20"/>
            <w:szCs w:val="20"/>
          </w:rPr>
          <w:t>The Role and Potential of Communities in Population Health Improvement: Workshop Summary</w:t>
        </w:r>
      </w:hyperlink>
    </w:p>
    <w:p w:rsidR="00E1797C" w:rsidRDefault="00E1797C" w:rsidP="00E1797C">
      <w:pPr>
        <w:spacing w:after="0" w:line="240" w:lineRule="auto"/>
        <w:rPr>
          <w:rFonts w:ascii="Arial Mäori" w:hAnsi="Arial Mäori" w:cs="Arial Mäori"/>
          <w:i/>
          <w:color w:val="000000"/>
          <w:sz w:val="20"/>
          <w:szCs w:val="20"/>
        </w:rPr>
      </w:pPr>
      <w:r w:rsidRPr="003D53D4">
        <w:rPr>
          <w:rFonts w:ascii="Arial Mäori" w:hAnsi="Arial Mäori" w:cs="Arial Mäori"/>
          <w:color w:val="000000"/>
          <w:sz w:val="20"/>
          <w:szCs w:val="20"/>
        </w:rPr>
        <w:t xml:space="preserve">“The Role and Potential of Communuities in Population Health Improvement is the summary of a workshop held by the Institute of Medicine Roundtable on Population Health Improvement in April 2014 that featured invited speakers from community groups that have taken steps to improve the </w:t>
      </w:r>
      <w:r w:rsidRPr="003D53D4">
        <w:rPr>
          <w:rFonts w:ascii="Arial Mäori" w:hAnsi="Arial Mäori" w:cs="Arial Mäori"/>
          <w:color w:val="000000"/>
          <w:sz w:val="20"/>
          <w:szCs w:val="20"/>
        </w:rPr>
        <w:lastRenderedPageBreak/>
        <w:t>health of their communities. Speakers from communities across the United States discussed the potential roles of communities for improving population health. The workshop focused on youth organizing, community organizing or other types of community participation, and partnerships between community and institutional actors. This report explores the roles and potential of the community as leaders, partners, and facilitators in transforming the social and environmental conditions that shape health and well-being at the local level.”</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C25FA1" w:rsidRDefault="00C25FA1" w:rsidP="00E1797C">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E1797C" w:rsidRDefault="00E1797C" w:rsidP="00E1797C">
      <w:pPr>
        <w:spacing w:after="0" w:line="240" w:lineRule="auto"/>
        <w:rPr>
          <w:rFonts w:ascii="Arial Mäori" w:hAnsi="Arial Mäori" w:cs="Arial Mäori"/>
          <w:i/>
          <w:color w:val="000000"/>
          <w:sz w:val="20"/>
          <w:szCs w:val="20"/>
        </w:rPr>
      </w:pPr>
    </w:p>
    <w:p w:rsidR="00035B28" w:rsidRDefault="00035B28">
      <w:r>
        <w:br w:type="page"/>
      </w:r>
    </w:p>
    <w:bookmarkStart w:id="24" w:name="_GoBack"/>
    <w:bookmarkEnd w:id="24"/>
    <w:p w:rsidR="00E1797C" w:rsidRDefault="00E1797C" w:rsidP="00E1797C">
      <w:pPr>
        <w:spacing w:after="0" w:line="240" w:lineRule="auto"/>
        <w:rPr>
          <w:rFonts w:ascii="Arial Mäori" w:hAnsi="Arial Mäori" w:cs="Arial Mäori"/>
          <w:b/>
          <w:color w:val="000000"/>
          <w:sz w:val="20"/>
          <w:szCs w:val="20"/>
        </w:rPr>
      </w:pPr>
      <w:r>
        <w:fldChar w:fldCharType="begin"/>
      </w:r>
      <w:r>
        <w:instrText xml:space="preserve"> HYPERLINK "http://www.abbvie.co.uk/content/dam/abbviecorp/uk/docs/AbbVie-Knowledge-Network-Report.pdf" </w:instrText>
      </w:r>
      <w:r>
        <w:fldChar w:fldCharType="separate"/>
      </w:r>
      <w:r w:rsidRPr="004D0451">
        <w:rPr>
          <w:rStyle w:val="Hyperlink"/>
          <w:rFonts w:ascii="Arial Mäori" w:hAnsi="Arial Mäori" w:cs="Arial Mäori"/>
          <w:b/>
          <w:sz w:val="20"/>
          <w:szCs w:val="20"/>
        </w:rPr>
        <w:t>Investigating the future of self-supported management</w:t>
      </w:r>
      <w:r>
        <w:rPr>
          <w:rStyle w:val="Hyperlink"/>
          <w:rFonts w:ascii="Arial Mäori" w:hAnsi="Arial Mäori" w:cs="Arial Mäori"/>
          <w:b/>
          <w:sz w:val="20"/>
          <w:szCs w:val="20"/>
        </w:rPr>
        <w:fldChar w:fldCharType="end"/>
      </w:r>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252F57">
        <w:rPr>
          <w:rFonts w:ascii="Arial Mäori" w:hAnsi="Arial Mäori" w:cs="Arial Mäori"/>
          <w:color w:val="000000"/>
          <w:sz w:val="20"/>
          <w:szCs w:val="20"/>
        </w:rPr>
        <w:t>The initiative Investigating the Future of Supported Self-Management</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comprised an Expert Panel to identify the key issues and challenges around the</w:t>
      </w:r>
      <w:r>
        <w:rPr>
          <w:rFonts w:ascii="Arial Mäori" w:hAnsi="Arial Mäori" w:cs="Arial Mäori"/>
          <w:color w:val="000000"/>
          <w:sz w:val="20"/>
          <w:szCs w:val="20"/>
        </w:rPr>
        <w:t xml:space="preserve"> </w:t>
      </w:r>
      <w:r w:rsidRPr="00252F57">
        <w:rPr>
          <w:rFonts w:ascii="Arial Mäori" w:hAnsi="Arial Mäori" w:cs="Arial Mäori"/>
          <w:color w:val="000000"/>
          <w:sz w:val="20"/>
          <w:szCs w:val="20"/>
        </w:rPr>
        <w:t>implementation of supported self-management programmes within the health</w:t>
      </w:r>
      <w:r>
        <w:rPr>
          <w:rFonts w:ascii="Arial Mäori" w:hAnsi="Arial Mäori" w:cs="Arial Mäori"/>
          <w:color w:val="000000"/>
          <w:sz w:val="20"/>
          <w:szCs w:val="20"/>
        </w:rPr>
        <w:t xml:space="preserve"> service.” </w:t>
      </w:r>
      <w:r>
        <w:rPr>
          <w:rFonts w:ascii="Arial Mäori" w:hAnsi="Arial Mäori" w:cs="Arial Mäori"/>
          <w:i/>
          <w:color w:val="000000"/>
          <w:sz w:val="20"/>
          <w:szCs w:val="20"/>
        </w:rPr>
        <w:t>Source: Abbvie</w:t>
      </w:r>
    </w:p>
    <w:p w:rsidR="008547EA" w:rsidRDefault="008547EA" w:rsidP="00E1797C">
      <w:pPr>
        <w:spacing w:after="0" w:line="240" w:lineRule="auto"/>
        <w:rPr>
          <w:rFonts w:ascii="Arial Mäori" w:hAnsi="Arial Mäori" w:cs="Arial Mäori"/>
          <w:i/>
          <w:color w:val="000000"/>
          <w:sz w:val="20"/>
          <w:szCs w:val="20"/>
        </w:rPr>
      </w:pPr>
    </w:p>
    <w:p w:rsidR="008547EA" w:rsidRDefault="008547EA" w:rsidP="008547EA">
      <w:pPr>
        <w:spacing w:after="0" w:line="240" w:lineRule="auto"/>
        <w:rPr>
          <w:rFonts w:ascii="Arial Mäori" w:hAnsi="Arial Mäori" w:cs="Arial Mäori"/>
          <w:b/>
          <w:color w:val="000000"/>
          <w:sz w:val="20"/>
          <w:szCs w:val="20"/>
        </w:rPr>
      </w:pPr>
      <w:hyperlink r:id="rId60" w:history="1">
        <w:r w:rsidRPr="004D0451">
          <w:rPr>
            <w:rStyle w:val="Hyperlink"/>
            <w:rFonts w:ascii="Arial Mäori" w:hAnsi="Arial Mäori" w:cs="Arial Mäori"/>
            <w:b/>
            <w:sz w:val="20"/>
            <w:szCs w:val="20"/>
          </w:rPr>
          <w:t>Shared Decision-Making Strategies for Best Care: Patient Decision Aids</w:t>
        </w:r>
      </w:hyperlink>
    </w:p>
    <w:p w:rsidR="007E017B"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C748A">
        <w:rPr>
          <w:rFonts w:ascii="Arial Mäori" w:hAnsi="Arial Mäori" w:cs="Arial Mäori"/>
          <w:color w:val="000000"/>
          <w:sz w:val="20"/>
          <w:szCs w:val="20"/>
        </w:rPr>
        <w:t>This discussion paper seeks to stimulate action toward embedding SDM—which has been</w:t>
      </w:r>
      <w:r>
        <w:rPr>
          <w:rFonts w:ascii="Arial Mäori" w:hAnsi="Arial Mäori" w:cs="Arial Mäori"/>
          <w:color w:val="000000"/>
          <w:sz w:val="20"/>
          <w:szCs w:val="20"/>
        </w:rPr>
        <w:t xml:space="preserve"> </w:t>
      </w:r>
      <w:r w:rsidRPr="006C748A">
        <w:rPr>
          <w:rFonts w:ascii="Arial Mäori" w:hAnsi="Arial Mäori" w:cs="Arial Mäori"/>
          <w:color w:val="000000"/>
          <w:sz w:val="20"/>
          <w:szCs w:val="20"/>
        </w:rPr>
        <w:t>called the “pinnacle” of patient-centered care—into clinical practice. As such, the authors focus</w:t>
      </w:r>
      <w:r>
        <w:rPr>
          <w:rFonts w:ascii="Arial Mäori" w:hAnsi="Arial Mäori" w:cs="Arial Mäori"/>
          <w:color w:val="000000"/>
          <w:sz w:val="20"/>
          <w:szCs w:val="20"/>
        </w:rPr>
        <w:t xml:space="preserve"> </w:t>
      </w:r>
      <w:r w:rsidRPr="006C748A">
        <w:rPr>
          <w:rFonts w:ascii="Arial Mäori" w:hAnsi="Arial Mäori" w:cs="Arial Mäori"/>
          <w:color w:val="000000"/>
          <w:sz w:val="20"/>
          <w:szCs w:val="20"/>
        </w:rPr>
        <w:t>particular attention on the need to ensure the quality, integrity, and availability of patient</w:t>
      </w:r>
      <w:r>
        <w:rPr>
          <w:rFonts w:ascii="Arial Mäori" w:hAnsi="Arial Mäori" w:cs="Arial Mäori"/>
          <w:color w:val="000000"/>
          <w:sz w:val="20"/>
          <w:szCs w:val="20"/>
        </w:rPr>
        <w:t xml:space="preserve"> </w:t>
      </w:r>
      <w:r w:rsidRPr="006C748A">
        <w:rPr>
          <w:rFonts w:ascii="Arial Mäori" w:hAnsi="Arial Mäori" w:cs="Arial Mäori"/>
          <w:color w:val="000000"/>
          <w:sz w:val="20"/>
          <w:szCs w:val="20"/>
        </w:rPr>
        <w:t>decision aids</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Institute of Medicine</w:t>
      </w:r>
    </w:p>
    <w:p w:rsidR="008547EA" w:rsidRDefault="00866424" w:rsidP="008547EA">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w:t>
        </w:r>
        <w:r w:rsidRPr="00866424">
          <w:rPr>
            <w:rStyle w:val="Hyperlink"/>
            <w:rFonts w:ascii="Arial Mäori" w:hAnsi="Arial Mäori" w:cs="Arial Mäori"/>
            <w:i/>
            <w:sz w:val="20"/>
            <w:szCs w:val="20"/>
          </w:rPr>
          <w:t>k</w:t>
        </w:r>
        <w:r w:rsidRPr="00866424">
          <w:rPr>
            <w:rStyle w:val="Hyperlink"/>
            <w:rFonts w:ascii="Arial Mäori" w:hAnsi="Arial Mäori" w:cs="Arial Mäori"/>
            <w:i/>
            <w:sz w:val="20"/>
            <w:szCs w:val="20"/>
          </w:rPr>
          <w:t xml:space="preserve"> to top</w:t>
        </w:r>
      </w:hyperlink>
    </w:p>
    <w:p w:rsidR="000F2AB6" w:rsidRDefault="000F2AB6" w:rsidP="00F4492D">
      <w:pPr>
        <w:pStyle w:val="Heading3"/>
        <w:rPr>
          <w:color w:val="548DD4" w:themeColor="text2" w:themeTint="99"/>
        </w:rPr>
      </w:pPr>
      <w:bookmarkStart w:id="25" w:name="_Nutrition,_Physical_Activity"/>
      <w:bookmarkEnd w:id="25"/>
      <w:r>
        <w:rPr>
          <w:color w:val="548DD4" w:themeColor="text2" w:themeTint="99"/>
        </w:rPr>
        <w:t>Nutrition, Physical Activity &amp; Obesity</w:t>
      </w:r>
    </w:p>
    <w:p w:rsidR="00E1797C" w:rsidRDefault="00E1797C" w:rsidP="00E1797C">
      <w:pPr>
        <w:spacing w:after="0" w:line="240" w:lineRule="auto"/>
        <w:rPr>
          <w:rFonts w:ascii="Arial Mäori" w:hAnsi="Arial Mäori" w:cs="Arial Mäori"/>
          <w:b/>
          <w:color w:val="000000"/>
          <w:sz w:val="20"/>
          <w:szCs w:val="20"/>
        </w:rPr>
      </w:pPr>
      <w:hyperlink r:id="rId61" w:history="1">
        <w:r w:rsidRPr="004D0451">
          <w:rPr>
            <w:rStyle w:val="Hyperlink"/>
            <w:rFonts w:ascii="Arial Mäori" w:hAnsi="Arial Mäori" w:cs="Arial Mäori"/>
            <w:b/>
            <w:sz w:val="20"/>
            <w:szCs w:val="20"/>
          </w:rPr>
          <w:t>Looking Beyond the Marketing Claims of New Beverages Health Risks of Consuming Sports Drinks, Energy Drinks, Fortified Waters and Other Flavored Beverages: Health Risks of Consuming Sports Drinks, Energy Drinks, Fortified Waters and Other Flavored Beverages</w:t>
        </w:r>
      </w:hyperlink>
    </w:p>
    <w:p w:rsidR="00E1797C" w:rsidRPr="001F4141" w:rsidRDefault="00E1797C" w:rsidP="00E1797C">
      <w:pPr>
        <w:spacing w:after="0" w:line="240" w:lineRule="auto"/>
        <w:rPr>
          <w:rFonts w:ascii="Arial Mäori" w:hAnsi="Arial Mäori" w:cs="Arial Mäori"/>
          <w:i/>
          <w:color w:val="000000"/>
          <w:sz w:val="20"/>
          <w:szCs w:val="20"/>
        </w:rPr>
      </w:pPr>
      <w:r w:rsidRPr="001F4141">
        <w:rPr>
          <w:rFonts w:ascii="Arial Mäori" w:hAnsi="Arial Mäori" w:cs="Arial Mäori"/>
          <w:color w:val="000000"/>
          <w:sz w:val="20"/>
          <w:szCs w:val="20"/>
        </w:rPr>
        <w:t>“This report will discuss the major categories of fortified beverages, presenting data on their nature, their ingredients, their similarities and differences, the possible effects on children of their consumption, and areas for further research.”</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w:t>
      </w:r>
      <w:r w:rsidRPr="001F4141">
        <w:rPr>
          <w:rFonts w:ascii="Arial Mäori" w:hAnsi="Arial Mäori" w:cs="Arial Mäori"/>
          <w:i/>
          <w:color w:val="000000"/>
          <w:sz w:val="20"/>
          <w:szCs w:val="20"/>
        </w:rPr>
        <w:t>University of California at Berkeley,</w:t>
      </w:r>
    </w:p>
    <w:p w:rsidR="009C6660" w:rsidRDefault="00E1797C" w:rsidP="009C6660">
      <w:pPr>
        <w:spacing w:after="0" w:line="240" w:lineRule="auto"/>
        <w:rPr>
          <w:rFonts w:ascii="Arial Mäori" w:hAnsi="Arial Mäori" w:cs="Arial Mäori"/>
          <w:i/>
          <w:color w:val="000000"/>
          <w:sz w:val="20"/>
          <w:szCs w:val="20"/>
        </w:rPr>
      </w:pPr>
      <w:r w:rsidRPr="001F4141">
        <w:rPr>
          <w:rFonts w:ascii="Arial Mäori" w:hAnsi="Arial Mäori" w:cs="Arial Mäori"/>
          <w:i/>
          <w:color w:val="000000"/>
          <w:sz w:val="20"/>
          <w:szCs w:val="20"/>
        </w:rPr>
        <w:t>Atkins Center for Weight and Health</w:t>
      </w:r>
    </w:p>
    <w:p w:rsidR="009C6660" w:rsidRDefault="009C6660" w:rsidP="009C6660">
      <w:pPr>
        <w:spacing w:after="0" w:line="240" w:lineRule="auto"/>
        <w:rPr>
          <w:rFonts w:ascii="Arial Mäori" w:hAnsi="Arial Mäori" w:cs="Arial Mäori"/>
          <w:i/>
          <w:color w:val="000000"/>
          <w:sz w:val="20"/>
          <w:szCs w:val="20"/>
        </w:rPr>
      </w:pPr>
    </w:p>
    <w:p w:rsidR="009C6660" w:rsidRPr="0063254E" w:rsidRDefault="009C6660" w:rsidP="009C6660">
      <w:pPr>
        <w:spacing w:after="0" w:line="240" w:lineRule="auto"/>
        <w:rPr>
          <w:rFonts w:ascii="Arial Mäori" w:hAnsi="Arial Mäori" w:cs="Arial Mäori"/>
          <w:b/>
          <w:color w:val="000000"/>
          <w:sz w:val="20"/>
          <w:szCs w:val="20"/>
        </w:rPr>
      </w:pPr>
      <w:hyperlink r:id="rId62" w:history="1">
        <w:r w:rsidRPr="004D0451">
          <w:rPr>
            <w:rStyle w:val="Hyperlink"/>
            <w:rFonts w:ascii="Arial Mäori" w:hAnsi="Arial Mäori" w:cs="Arial Mäori"/>
            <w:b/>
            <w:sz w:val="20"/>
            <w:szCs w:val="20"/>
          </w:rPr>
          <w:t>Overweight and obesity among Indigenous children: individual and social determinants</w:t>
        </w:r>
      </w:hyperlink>
    </w:p>
    <w:p w:rsidR="009C6660" w:rsidRDefault="009C6660" w:rsidP="009C6660">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3254E">
        <w:rPr>
          <w:rFonts w:ascii="Arial Mäori" w:hAnsi="Arial Mäori" w:cs="Arial Mäori"/>
          <w:color w:val="000000"/>
          <w:sz w:val="20"/>
          <w:szCs w:val="20"/>
        </w:rPr>
        <w:t>If programs are to change the health behaviours and health outcomes of Indigenous children successfully, they must address social and economic factors—the context in which individual choices are made. Factors influencing obesity are not confined to the health portfolio; policy development should occur across portfolios including housing, education, employment, social welfare and community development.</w:t>
      </w:r>
      <w:r>
        <w:rPr>
          <w:rFonts w:ascii="Arial Mäori" w:hAnsi="Arial Mäori" w:cs="Arial Mäori"/>
          <w:color w:val="000000"/>
          <w:sz w:val="20"/>
          <w:szCs w:val="20"/>
        </w:rPr>
        <w:t xml:space="preserve">” </w:t>
      </w:r>
      <w:r>
        <w:rPr>
          <w:rFonts w:ascii="Arial Mäori" w:hAnsi="Arial Mäori" w:cs="Arial Mäori"/>
          <w:i/>
          <w:color w:val="000000"/>
          <w:sz w:val="20"/>
          <w:szCs w:val="20"/>
        </w:rPr>
        <w:t>Source: Deeble Institute</w:t>
      </w:r>
    </w:p>
    <w:p w:rsidR="000B6EB9" w:rsidRDefault="000B6EB9" w:rsidP="00E1797C">
      <w:pPr>
        <w:spacing w:after="0" w:line="240" w:lineRule="auto"/>
        <w:rPr>
          <w:rFonts w:ascii="Arial Mäori" w:hAnsi="Arial Mäori" w:cs="Arial Mäori"/>
          <w:i/>
          <w:color w:val="000000"/>
          <w:sz w:val="20"/>
          <w:szCs w:val="20"/>
        </w:rPr>
      </w:pPr>
    </w:p>
    <w:p w:rsidR="000B6EB9" w:rsidRDefault="000B6EB9" w:rsidP="000B6EB9">
      <w:pPr>
        <w:spacing w:after="0" w:line="240" w:lineRule="auto"/>
        <w:rPr>
          <w:rFonts w:ascii="Arial Mäori" w:hAnsi="Arial Mäori" w:cs="Arial Mäori"/>
          <w:color w:val="000000"/>
          <w:sz w:val="20"/>
          <w:szCs w:val="20"/>
        </w:rPr>
      </w:pPr>
      <w:hyperlink r:id="rId63" w:history="1">
        <w:r w:rsidRPr="004D0451">
          <w:rPr>
            <w:rStyle w:val="Hyperlink"/>
            <w:rFonts w:ascii="Arial Mäori" w:hAnsi="Arial Mäori" w:cs="Arial Mäori"/>
            <w:b/>
            <w:sz w:val="20"/>
            <w:szCs w:val="20"/>
          </w:rPr>
          <w:t>Vitamin D and Calcium: A Systematic Review of Health Outcomes</w:t>
        </w:r>
      </w:hyperlink>
    </w:p>
    <w:p w:rsidR="007E017B" w:rsidRDefault="000B6EB9" w:rsidP="000B6EB9">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86324F">
        <w:rPr>
          <w:rFonts w:ascii="Arial Mäori" w:hAnsi="Arial Mäori" w:cs="Arial Mäori"/>
          <w:color w:val="000000"/>
          <w:sz w:val="20"/>
          <w:szCs w:val="20"/>
        </w:rPr>
        <w:t>This updated report assesses all outcomes assessed in the original 2009 report (for vitamin D and vitamin D plus calcium) with the exception of outcomes pertaining to body weight and composition and postnatal growth. This report also describes the assay methodologies used in trials included in the original review as well as any newly included studies that report on the effect of vitamin D supplementation on serum 25(OH)D concentrations, to permit a comparison of dose-response outcomes by assay method.</w:t>
      </w:r>
      <w:r>
        <w:rPr>
          <w:rFonts w:ascii="Arial Mäori" w:hAnsi="Arial Mäori" w:cs="Arial Mäori"/>
          <w:color w:val="000000"/>
          <w:sz w:val="20"/>
          <w:szCs w:val="20"/>
        </w:rPr>
        <w:t xml:space="preserve">” </w:t>
      </w:r>
      <w:r>
        <w:rPr>
          <w:rFonts w:ascii="Arial Mäori" w:hAnsi="Arial Mäori" w:cs="Arial Mäori"/>
          <w:i/>
          <w:color w:val="000000"/>
          <w:sz w:val="20"/>
          <w:szCs w:val="20"/>
        </w:rPr>
        <w:t>Source: Agency for Healthcare Research and Quality</w:t>
      </w:r>
      <w:r w:rsidR="00866424">
        <w:rPr>
          <w:rFonts w:ascii="Arial Mäori" w:hAnsi="Arial Mäori" w:cs="Arial Mäori"/>
          <w:i/>
          <w:color w:val="000000"/>
          <w:sz w:val="20"/>
          <w:szCs w:val="20"/>
        </w:rPr>
        <w:t xml:space="preserve"> </w:t>
      </w:r>
    </w:p>
    <w:p w:rsidR="000B6EB9" w:rsidRDefault="00866424" w:rsidP="000B6EB9">
      <w:pPr>
        <w:spacing w:after="0" w:line="240" w:lineRule="auto"/>
        <w:rPr>
          <w:rFonts w:ascii="Arial Mäori" w:hAnsi="Arial Mäori" w:cs="Arial Mäori"/>
          <w:i/>
          <w:color w:val="000000"/>
          <w:sz w:val="20"/>
          <w:szCs w:val="20"/>
        </w:rPr>
      </w:pPr>
      <w:hyperlink w:anchor="_top" w:history="1">
        <w:r w:rsidRPr="00866424">
          <w:rPr>
            <w:rStyle w:val="Hyperlink"/>
            <w:rFonts w:ascii="Arial Mäori" w:hAnsi="Arial Mäori" w:cs="Arial Mäori"/>
            <w:i/>
            <w:sz w:val="20"/>
            <w:szCs w:val="20"/>
          </w:rPr>
          <w:t>back to top</w:t>
        </w:r>
      </w:hyperlink>
    </w:p>
    <w:p w:rsidR="002A221C" w:rsidRDefault="002A221C" w:rsidP="002A221C">
      <w:pPr>
        <w:pStyle w:val="Heading3"/>
        <w:rPr>
          <w:color w:val="548DD4" w:themeColor="text2" w:themeTint="99"/>
        </w:rPr>
      </w:pPr>
      <w:bookmarkStart w:id="26" w:name="_Health_Information_&amp;"/>
      <w:bookmarkEnd w:id="26"/>
      <w:r>
        <w:rPr>
          <w:color w:val="548DD4" w:themeColor="text2" w:themeTint="99"/>
        </w:rPr>
        <w:t xml:space="preserve">Health Information &amp; </w:t>
      </w:r>
      <w:r w:rsidR="00E1797C">
        <w:rPr>
          <w:color w:val="548DD4" w:themeColor="text2" w:themeTint="99"/>
        </w:rPr>
        <w:t>Knowledge</w:t>
      </w:r>
    </w:p>
    <w:p w:rsidR="00611645" w:rsidRDefault="00611645" w:rsidP="00611645">
      <w:pPr>
        <w:spacing w:after="0" w:line="240" w:lineRule="auto"/>
        <w:rPr>
          <w:rFonts w:ascii="Arial Mäori" w:hAnsi="Arial Mäori" w:cs="Arial Mäori"/>
          <w:b/>
          <w:color w:val="000000"/>
          <w:sz w:val="20"/>
          <w:szCs w:val="20"/>
        </w:rPr>
      </w:pPr>
      <w:r>
        <w:fldChar w:fldCharType="begin"/>
      </w:r>
      <w:r>
        <w:instrText xml:space="preserve"> HYPERLINK "http://privacy.org.nz/assets/Files/Reports-to-ParlGovt/Electronic-Shared-Care-Records-Elements-of-Trust-report-1.pdf" </w:instrText>
      </w:r>
      <w:r>
        <w:fldChar w:fldCharType="separate"/>
      </w:r>
      <w:r w:rsidRPr="006129D6">
        <w:rPr>
          <w:rStyle w:val="Hyperlink"/>
          <w:rFonts w:ascii="Arial Mäori" w:hAnsi="Arial Mäori" w:cs="Arial Mäori"/>
          <w:b/>
          <w:sz w:val="20"/>
          <w:szCs w:val="20"/>
        </w:rPr>
        <w:t>Electronic Shared Care Records Elements of Trust</w:t>
      </w:r>
      <w:r>
        <w:rPr>
          <w:rStyle w:val="Hyperlink"/>
          <w:rFonts w:ascii="Arial Mäori" w:hAnsi="Arial Mäori" w:cs="Arial Mäori"/>
          <w:b/>
          <w:sz w:val="20"/>
          <w:szCs w:val="20"/>
        </w:rPr>
        <w:fldChar w:fldCharType="end"/>
      </w:r>
    </w:p>
    <w:p w:rsidR="00611645" w:rsidRPr="003E4872" w:rsidRDefault="00611645" w:rsidP="00611645">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3E4872">
        <w:rPr>
          <w:rFonts w:ascii="Arial Mäori" w:hAnsi="Arial Mäori" w:cs="Arial Mäori"/>
          <w:color w:val="000000"/>
          <w:sz w:val="20"/>
          <w:szCs w:val="20"/>
        </w:rPr>
        <w:t>This review identifies common elements, shared solutions, and how any potential privacy issues have been identified and mitigated</w:t>
      </w:r>
      <w:r>
        <w:rPr>
          <w:rFonts w:ascii="Arial Mäori" w:hAnsi="Arial Mäori" w:cs="Arial Mäori"/>
          <w:color w:val="000000"/>
          <w:sz w:val="20"/>
          <w:szCs w:val="20"/>
        </w:rPr>
        <w:t xml:space="preserve"> [across </w:t>
      </w:r>
      <w:r w:rsidRPr="003E4872">
        <w:rPr>
          <w:rFonts w:ascii="Arial Mäori" w:hAnsi="Arial Mäori" w:cs="Arial Mäori"/>
          <w:color w:val="000000"/>
          <w:sz w:val="20"/>
          <w:szCs w:val="20"/>
        </w:rPr>
        <w:t>three existing regional</w:t>
      </w:r>
      <w:r>
        <w:rPr>
          <w:rFonts w:ascii="Arial Mäori" w:hAnsi="Arial Mäori" w:cs="Arial Mäori"/>
          <w:color w:val="000000"/>
          <w:sz w:val="20"/>
          <w:szCs w:val="20"/>
        </w:rPr>
        <w:t xml:space="preserve"> shared care records]</w:t>
      </w:r>
      <w:r w:rsidRPr="003E4872">
        <w:rPr>
          <w:rFonts w:ascii="Arial Mäori" w:hAnsi="Arial Mäori" w:cs="Arial Mäori"/>
          <w:color w:val="000000"/>
          <w:sz w:val="20"/>
          <w:szCs w:val="20"/>
        </w:rPr>
        <w:t>. It also makes recommendations about which elements of these and other SCRs should be considered compulsory from a privacy viewpoint.</w:t>
      </w:r>
      <w:r>
        <w:rPr>
          <w:rFonts w:ascii="Arial Mäori" w:hAnsi="Arial Mäori" w:cs="Arial Mäori"/>
          <w:color w:val="000000"/>
          <w:sz w:val="20"/>
          <w:szCs w:val="20"/>
        </w:rPr>
        <w:t xml:space="preserve">” </w:t>
      </w:r>
      <w:r>
        <w:rPr>
          <w:rFonts w:ascii="Arial Mäori" w:hAnsi="Arial Mäori" w:cs="Arial Mäori"/>
          <w:i/>
          <w:color w:val="000000"/>
          <w:sz w:val="20"/>
          <w:szCs w:val="20"/>
        </w:rPr>
        <w:t>Source: New Zealand Privacy Commissioner</w:t>
      </w:r>
    </w:p>
    <w:p w:rsidR="00611645" w:rsidRDefault="00611645" w:rsidP="00DF151F">
      <w:pPr>
        <w:spacing w:after="0" w:line="240" w:lineRule="auto"/>
      </w:pPr>
    </w:p>
    <w:p w:rsidR="00DF151F" w:rsidRDefault="00DF151F" w:rsidP="00DF151F">
      <w:pPr>
        <w:spacing w:after="0" w:line="240" w:lineRule="auto"/>
        <w:rPr>
          <w:rFonts w:ascii="Arial Mäori" w:hAnsi="Arial Mäori" w:cs="Arial Mäori"/>
          <w:b/>
          <w:color w:val="000000"/>
          <w:sz w:val="20"/>
          <w:szCs w:val="20"/>
        </w:rPr>
      </w:pPr>
      <w:hyperlink r:id="rId64" w:history="1">
        <w:r w:rsidRPr="004D0451">
          <w:rPr>
            <w:rStyle w:val="Hyperlink"/>
            <w:rFonts w:ascii="Arial Mäori" w:hAnsi="Arial Mäori" w:cs="Arial Mäori"/>
            <w:b/>
            <w:sz w:val="20"/>
            <w:szCs w:val="20"/>
          </w:rPr>
          <w:t>Knowledge strategy: harnessing the power of information to improve the public’s health</w:t>
        </w:r>
      </w:hyperlink>
    </w:p>
    <w:p w:rsidR="00DF151F" w:rsidRDefault="00DF151F" w:rsidP="00DF151F">
      <w:pPr>
        <w:spacing w:after="0" w:line="240" w:lineRule="auto"/>
        <w:rPr>
          <w:rFonts w:ascii="Arial Mäori" w:hAnsi="Arial Mäori" w:cs="Arial Mäori"/>
          <w:color w:val="000000"/>
          <w:sz w:val="20"/>
          <w:szCs w:val="20"/>
        </w:rPr>
      </w:pPr>
      <w:r>
        <w:rPr>
          <w:rFonts w:ascii="Arial Mäori" w:hAnsi="Arial Mäori" w:cs="Arial Mäori"/>
          <w:color w:val="000000"/>
          <w:sz w:val="20"/>
          <w:szCs w:val="20"/>
        </w:rPr>
        <w:t>“</w:t>
      </w:r>
      <w:r w:rsidRPr="00165714">
        <w:rPr>
          <w:rFonts w:ascii="Arial Mäori" w:hAnsi="Arial Mäori" w:cs="Arial Mäori"/>
          <w:color w:val="000000"/>
          <w:sz w:val="20"/>
          <w:szCs w:val="20"/>
        </w:rPr>
        <w:t>This document describes the strategic approach to information and knowledge that the public health system needs to take in order to improve and protect public health and reduce inequalities. The knowledge strategy was developed following an extended and open consultation process and incorporates responses from local government, national organisations and key partners.</w:t>
      </w:r>
      <w:r>
        <w:rPr>
          <w:rFonts w:ascii="Arial Mäori" w:hAnsi="Arial Mäori" w:cs="Arial Mäori"/>
          <w:color w:val="000000"/>
          <w:sz w:val="20"/>
          <w:szCs w:val="20"/>
        </w:rPr>
        <w:t xml:space="preserve">” </w:t>
      </w:r>
      <w:r>
        <w:rPr>
          <w:rFonts w:ascii="Arial Mäori" w:hAnsi="Arial Mäori" w:cs="Arial Mäori"/>
          <w:i/>
          <w:color w:val="000000"/>
          <w:sz w:val="20"/>
          <w:szCs w:val="20"/>
        </w:rPr>
        <w:t>Source: Public Health England</w:t>
      </w:r>
    </w:p>
    <w:p w:rsidR="00DF151F" w:rsidRDefault="00DF151F" w:rsidP="00E1797C">
      <w:pPr>
        <w:spacing w:after="0" w:line="240" w:lineRule="auto"/>
      </w:pPr>
    </w:p>
    <w:p w:rsidR="00E1797C" w:rsidRDefault="00E1797C" w:rsidP="00E1797C">
      <w:pPr>
        <w:spacing w:after="0" w:line="240" w:lineRule="auto"/>
        <w:rPr>
          <w:rFonts w:ascii="Arial Mäori" w:hAnsi="Arial Mäori" w:cs="Arial Mäori"/>
          <w:b/>
          <w:color w:val="000000"/>
          <w:sz w:val="20"/>
          <w:szCs w:val="20"/>
        </w:rPr>
      </w:pPr>
      <w:hyperlink r:id="rId65" w:history="1">
        <w:r w:rsidRPr="00153F35">
          <w:rPr>
            <w:rStyle w:val="Hyperlink"/>
            <w:rFonts w:ascii="Arial Mäori" w:hAnsi="Arial Mäori" w:cs="Arial Mäori"/>
            <w:b/>
            <w:sz w:val="20"/>
            <w:szCs w:val="20"/>
          </w:rPr>
          <w:t>Framework for Australian clinical quality registries</w:t>
        </w:r>
      </w:hyperlink>
    </w:p>
    <w:p w:rsidR="007E017B"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983A92">
        <w:rPr>
          <w:rFonts w:ascii="Arial Mäori" w:hAnsi="Arial Mäori" w:cs="Arial Mäori"/>
          <w:color w:val="000000"/>
          <w:sz w:val="20"/>
          <w:szCs w:val="20"/>
        </w:rPr>
        <w:t>In Australia there is limited capacity to measure and monitor the degree to which health care</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benefits the patient and how closely that care aligns with evidence-based practice. Currently, only</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a small number of data collections capture and report process and outcomes data for specific</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clinical conditions or interventions. This results in significant gaps in current Australian health</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 xml:space="preserve">information </w:t>
      </w:r>
      <w:r w:rsidRPr="00983A92">
        <w:rPr>
          <w:rFonts w:ascii="Arial Mäori" w:hAnsi="Arial Mäori" w:cs="Arial Mäori"/>
          <w:color w:val="000000"/>
          <w:sz w:val="20"/>
          <w:szCs w:val="20"/>
        </w:rPr>
        <w:lastRenderedPageBreak/>
        <w:t>regarding the appropriateness and effectiveness of specific healthcare interventions.</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The development of national clinical quality registries is a cost-effective way of addressing these</w:t>
      </w:r>
      <w:r>
        <w:rPr>
          <w:rFonts w:ascii="Arial Mäori" w:hAnsi="Arial Mäori" w:cs="Arial Mäori"/>
          <w:color w:val="000000"/>
          <w:sz w:val="20"/>
          <w:szCs w:val="20"/>
        </w:rPr>
        <w:t xml:space="preserve"> </w:t>
      </w:r>
      <w:r w:rsidRPr="00983A92">
        <w:rPr>
          <w:rFonts w:ascii="Arial Mäori" w:hAnsi="Arial Mäori" w:cs="Arial Mäori"/>
          <w:color w:val="000000"/>
          <w:sz w:val="20"/>
          <w:szCs w:val="20"/>
        </w:rPr>
        <w:t>gaps.</w:t>
      </w:r>
      <w:r>
        <w:rPr>
          <w:rFonts w:ascii="Arial Mäori" w:hAnsi="Arial Mäori" w:cs="Arial Mäori"/>
          <w:color w:val="000000"/>
          <w:sz w:val="20"/>
          <w:szCs w:val="20"/>
        </w:rPr>
        <w:t xml:space="preserve">” </w:t>
      </w:r>
      <w:r>
        <w:rPr>
          <w:rFonts w:ascii="Arial Mäori" w:hAnsi="Arial Mäori" w:cs="Arial Mäori"/>
          <w:i/>
          <w:color w:val="000000"/>
          <w:sz w:val="20"/>
          <w:szCs w:val="20"/>
        </w:rPr>
        <w:t>Source: Australian Commission on Safety and Quality in Health Care</w:t>
      </w:r>
    </w:p>
    <w:p w:rsidR="00E1797C" w:rsidRDefault="00E1797C" w:rsidP="00D76EC7">
      <w:pPr>
        <w:spacing w:after="0" w:line="240" w:lineRule="auto"/>
      </w:pPr>
    </w:p>
    <w:p w:rsidR="00D76EC7" w:rsidRDefault="00D76EC7" w:rsidP="00D76EC7">
      <w:pPr>
        <w:spacing w:after="0" w:line="240" w:lineRule="auto"/>
        <w:rPr>
          <w:rFonts w:ascii="Arial Mäori" w:hAnsi="Arial Mäori" w:cs="Arial Mäori"/>
          <w:b/>
          <w:color w:val="000000"/>
          <w:sz w:val="20"/>
          <w:szCs w:val="20"/>
        </w:rPr>
      </w:pPr>
      <w:hyperlink r:id="rId66" w:history="1">
        <w:r w:rsidRPr="00153F35">
          <w:rPr>
            <w:rStyle w:val="Hyperlink"/>
            <w:rFonts w:ascii="Arial Mäori" w:hAnsi="Arial Mäori" w:cs="Arial Mäori"/>
            <w:b/>
            <w:sz w:val="20"/>
            <w:szCs w:val="20"/>
          </w:rPr>
          <w:t>Evidence for Success: The guide to getting evidence and using it</w:t>
        </w:r>
      </w:hyperlink>
    </w:p>
    <w:p w:rsidR="00D76EC7" w:rsidRDefault="00D76EC7" w:rsidP="00D76EC7">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114796">
        <w:rPr>
          <w:rFonts w:ascii="Arial Mäori" w:hAnsi="Arial Mäori" w:cs="Arial Mäori"/>
          <w:color w:val="000000"/>
          <w:sz w:val="20"/>
          <w:szCs w:val="20"/>
        </w:rPr>
        <w:t>This guide responds to a demand amongst</w:t>
      </w:r>
      <w:r>
        <w:rPr>
          <w:rFonts w:ascii="Arial Mäori" w:hAnsi="Arial Mäori" w:cs="Arial Mäori"/>
          <w:color w:val="000000"/>
          <w:sz w:val="20"/>
          <w:szCs w:val="20"/>
        </w:rPr>
        <w:t xml:space="preserve"> </w:t>
      </w:r>
      <w:r w:rsidRPr="00114796">
        <w:rPr>
          <w:rFonts w:ascii="Arial Mäori" w:hAnsi="Arial Mäori" w:cs="Arial Mäori"/>
          <w:color w:val="000000"/>
          <w:sz w:val="20"/>
          <w:szCs w:val="20"/>
        </w:rPr>
        <w:t>third sector organisations for guidance on</w:t>
      </w:r>
      <w:r>
        <w:rPr>
          <w:rFonts w:ascii="Arial Mäori" w:hAnsi="Arial Mäori" w:cs="Arial Mäori"/>
          <w:color w:val="000000"/>
          <w:sz w:val="20"/>
          <w:szCs w:val="20"/>
        </w:rPr>
        <w:t xml:space="preserve"> </w:t>
      </w:r>
      <w:r w:rsidRPr="00114796">
        <w:rPr>
          <w:rFonts w:ascii="Arial Mäori" w:hAnsi="Arial Mäori" w:cs="Arial Mäori"/>
          <w:color w:val="000000"/>
          <w:sz w:val="20"/>
          <w:szCs w:val="20"/>
        </w:rPr>
        <w:t>how to use evidence to influence policy</w:t>
      </w:r>
      <w:r>
        <w:rPr>
          <w:rFonts w:ascii="Arial Mäori" w:hAnsi="Arial Mäori" w:cs="Arial Mäori"/>
          <w:color w:val="000000"/>
          <w:sz w:val="20"/>
          <w:szCs w:val="20"/>
        </w:rPr>
        <w:t xml:space="preserve"> </w:t>
      </w:r>
      <w:r w:rsidRPr="00114796">
        <w:rPr>
          <w:rFonts w:ascii="Arial Mäori" w:hAnsi="Arial Mäori" w:cs="Arial Mäori"/>
          <w:color w:val="000000"/>
          <w:sz w:val="20"/>
          <w:szCs w:val="20"/>
        </w:rPr>
        <w:t>and practice.</w:t>
      </w:r>
      <w:r>
        <w:rPr>
          <w:rFonts w:ascii="Arial Mäori" w:hAnsi="Arial Mäori" w:cs="Arial Mäori"/>
          <w:color w:val="000000"/>
          <w:sz w:val="20"/>
          <w:szCs w:val="20"/>
        </w:rPr>
        <w:t xml:space="preserve">” </w:t>
      </w:r>
      <w:r>
        <w:rPr>
          <w:rFonts w:ascii="Arial Mäori" w:hAnsi="Arial Mäori" w:cs="Arial Mäori"/>
          <w:i/>
          <w:color w:val="000000"/>
          <w:sz w:val="20"/>
          <w:szCs w:val="20"/>
        </w:rPr>
        <w:t>Source: Knowledge Translation Network</w:t>
      </w:r>
    </w:p>
    <w:p w:rsidR="00E1797C" w:rsidRDefault="00E1797C" w:rsidP="00D76EC7">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67" w:history="1">
        <w:r w:rsidRPr="004D0451">
          <w:rPr>
            <w:rStyle w:val="Hyperlink"/>
            <w:rFonts w:ascii="Arial Mäori" w:hAnsi="Arial Mäori" w:cs="Arial Mäori"/>
            <w:b/>
            <w:sz w:val="20"/>
            <w:szCs w:val="20"/>
          </w:rPr>
          <w:t>An ethnographic study of knowledge sharing across the boundaries between care processes, services and organisations: the contributions to ‘safe’ hospital discharge</w:t>
        </w:r>
      </w:hyperlink>
    </w:p>
    <w:p w:rsidR="007E017B"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052F92">
        <w:rPr>
          <w:rFonts w:ascii="Arial Mäori" w:hAnsi="Arial Mäori" w:cs="Arial Mäori"/>
          <w:color w:val="000000"/>
          <w:sz w:val="20"/>
          <w:szCs w:val="20"/>
        </w:rPr>
        <w:t>The study shows how hospital discharge does not occur as a single or isolated event, but rather through a</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complex series of situations and opportunities for knowledge sharing. However, these situations vary</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according to a number of key factors, such as the range of people involved, the types of resources they</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have access to and the level of leadership. The study also shows that stakeholders perceive a wide range</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of threats to safe discharge associated with falls, medicines, infection, clinical procedures, equipment,</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timing and scheduling, and communication. Drawing upon this research evidence, the report develops</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lessons for policy-makers and service leaders to support knowledge sharing, especially between health</w:t>
      </w:r>
      <w:r>
        <w:rPr>
          <w:rFonts w:ascii="Arial Mäori" w:hAnsi="Arial Mäori" w:cs="Arial Mäori"/>
          <w:color w:val="000000"/>
          <w:sz w:val="20"/>
          <w:szCs w:val="20"/>
        </w:rPr>
        <w:t xml:space="preserve"> </w:t>
      </w:r>
      <w:r w:rsidRPr="00052F92">
        <w:rPr>
          <w:rFonts w:ascii="Arial Mäori" w:hAnsi="Arial Mäori" w:cs="Arial Mäori"/>
          <w:color w:val="000000"/>
          <w:sz w:val="20"/>
          <w:szCs w:val="20"/>
        </w:rPr>
        <w:t>and social care agencies, and thereby mitigate system complexity and promote discharge safety.</w:t>
      </w:r>
      <w:r>
        <w:rPr>
          <w:rFonts w:ascii="Arial Mäori" w:hAnsi="Arial Mäori" w:cs="Arial Mäori"/>
          <w:color w:val="000000"/>
          <w:sz w:val="20"/>
          <w:szCs w:val="20"/>
        </w:rPr>
        <w:t xml:space="preserve">” </w:t>
      </w:r>
      <w:r>
        <w:rPr>
          <w:rFonts w:ascii="Arial Mäori" w:hAnsi="Arial Mäori" w:cs="Arial Mäori"/>
          <w:i/>
          <w:color w:val="000000"/>
          <w:sz w:val="20"/>
          <w:szCs w:val="20"/>
        </w:rPr>
        <w:t>Source: National Institute for Health Research</w:t>
      </w:r>
    </w:p>
    <w:p w:rsidR="00E1797C" w:rsidRDefault="00D87434" w:rsidP="00E1797C">
      <w:pPr>
        <w:spacing w:after="0" w:line="240" w:lineRule="auto"/>
        <w:rPr>
          <w:rFonts w:ascii="Arial Mäori" w:hAnsi="Arial Mäori" w:cs="Arial Mäori"/>
          <w:i/>
          <w:color w:val="000000"/>
          <w:sz w:val="20"/>
          <w:szCs w:val="20"/>
        </w:rPr>
      </w:pPr>
      <w:hyperlink w:anchor="_top" w:history="1">
        <w:r w:rsidRPr="00866424">
          <w:rPr>
            <w:rStyle w:val="Hyperlink"/>
            <w:rFonts w:ascii="Arial Mäori" w:hAnsi="Arial Mäori" w:cs="Arial Mäori"/>
            <w:i/>
            <w:sz w:val="20"/>
            <w:szCs w:val="20"/>
          </w:rPr>
          <w:t>back to top</w:t>
        </w:r>
      </w:hyperlink>
    </w:p>
    <w:p w:rsidR="000F2AB6" w:rsidRDefault="000F2AB6" w:rsidP="00F4492D">
      <w:pPr>
        <w:pStyle w:val="Heading3"/>
        <w:rPr>
          <w:color w:val="548DD4" w:themeColor="text2" w:themeTint="99"/>
        </w:rPr>
      </w:pPr>
      <w:bookmarkStart w:id="27" w:name="_Surgery"/>
      <w:bookmarkEnd w:id="27"/>
      <w:r>
        <w:rPr>
          <w:color w:val="548DD4" w:themeColor="text2" w:themeTint="99"/>
        </w:rPr>
        <w:t>Surgery</w:t>
      </w:r>
    </w:p>
    <w:p w:rsidR="008547EA" w:rsidRDefault="008547EA" w:rsidP="008547EA">
      <w:pPr>
        <w:spacing w:after="0" w:line="240" w:lineRule="auto"/>
        <w:rPr>
          <w:rFonts w:ascii="Arial Mäori" w:hAnsi="Arial Mäori" w:cs="Arial Mäori"/>
          <w:color w:val="000000"/>
          <w:sz w:val="20"/>
          <w:szCs w:val="20"/>
        </w:rPr>
      </w:pPr>
      <w:hyperlink r:id="rId68" w:history="1">
        <w:r w:rsidRPr="004D0451">
          <w:rPr>
            <w:rStyle w:val="Hyperlink"/>
            <w:rFonts w:ascii="Arial Mäori" w:hAnsi="Arial Mäori" w:cs="Arial Mäori"/>
            <w:b/>
            <w:sz w:val="20"/>
            <w:szCs w:val="20"/>
          </w:rPr>
          <w:t>Good Surgical Practice</w:t>
        </w:r>
      </w:hyperlink>
    </w:p>
    <w:p w:rsidR="008547EA"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E1EA0">
        <w:rPr>
          <w:rFonts w:ascii="Arial Mäori" w:hAnsi="Arial Mäori" w:cs="Arial Mäori"/>
          <w:color w:val="000000"/>
          <w:sz w:val="20"/>
          <w:szCs w:val="20"/>
        </w:rPr>
        <w:t>Good surgical practice sets out standards for all surgeons and their practice. It has been developed in consultation with members and fellows, patients, surgical royal colleges and surgical specialty associations and reflects the profession’s expectation of all competent surgeons.</w:t>
      </w:r>
      <w:r>
        <w:rPr>
          <w:rFonts w:ascii="Arial Mäori" w:hAnsi="Arial Mäori" w:cs="Arial Mäori"/>
          <w:color w:val="000000"/>
          <w:sz w:val="20"/>
          <w:szCs w:val="20"/>
        </w:rPr>
        <w:t xml:space="preserve">” </w:t>
      </w:r>
      <w:r>
        <w:rPr>
          <w:rFonts w:ascii="Arial Mäori" w:hAnsi="Arial Mäori" w:cs="Arial Mäori"/>
          <w:i/>
          <w:color w:val="000000"/>
          <w:sz w:val="20"/>
          <w:szCs w:val="20"/>
        </w:rPr>
        <w:t xml:space="preserve">Source: Royal College of Surgeons </w:t>
      </w:r>
    </w:p>
    <w:p w:rsidR="00735424" w:rsidRPr="001A11F9" w:rsidRDefault="00735424" w:rsidP="00735424">
      <w:pPr>
        <w:spacing w:after="0" w:line="240" w:lineRule="auto"/>
        <w:rPr>
          <w:rFonts w:ascii="Arial Mäori" w:hAnsi="Arial Mäori" w:cs="Arial Mäori"/>
          <w:color w:val="000000"/>
          <w:sz w:val="20"/>
          <w:szCs w:val="20"/>
        </w:rPr>
      </w:pPr>
    </w:p>
    <w:p w:rsidR="00735424" w:rsidRDefault="00735424" w:rsidP="00735424">
      <w:pPr>
        <w:spacing w:after="0" w:line="240" w:lineRule="auto"/>
        <w:rPr>
          <w:rFonts w:ascii="Arial Mäori" w:hAnsi="Arial Mäori" w:cs="Arial Mäori"/>
          <w:b/>
          <w:color w:val="000000"/>
          <w:sz w:val="20"/>
          <w:szCs w:val="20"/>
        </w:rPr>
      </w:pPr>
      <w:hyperlink r:id="rId69" w:history="1">
        <w:r w:rsidRPr="004D0451">
          <w:rPr>
            <w:rStyle w:val="Hyperlink"/>
            <w:rFonts w:ascii="Arial Mäori" w:hAnsi="Arial Mäori" w:cs="Arial Mäori"/>
            <w:b/>
            <w:sz w:val="20"/>
            <w:szCs w:val="20"/>
          </w:rPr>
          <w:t>Emergency surgery policy briefing</w:t>
        </w:r>
      </w:hyperlink>
    </w:p>
    <w:p w:rsidR="007E017B" w:rsidRDefault="00735424" w:rsidP="0073542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C270F6">
        <w:rPr>
          <w:rFonts w:ascii="Arial Mäori" w:hAnsi="Arial Mäori" w:cs="Arial Mäori"/>
          <w:color w:val="000000"/>
          <w:sz w:val="20"/>
          <w:szCs w:val="20"/>
        </w:rPr>
        <w:t>This briefing sets out the main challenges facing emergency surgery, and the high-level actions the Government and other policy-makers can take to support patients who require emergency surgical care.</w:t>
      </w:r>
      <w:r>
        <w:rPr>
          <w:rFonts w:ascii="Arial Mäori" w:hAnsi="Arial Mäori" w:cs="Arial Mäori"/>
          <w:color w:val="000000"/>
          <w:sz w:val="20"/>
          <w:szCs w:val="20"/>
        </w:rPr>
        <w:t xml:space="preserve">” </w:t>
      </w:r>
      <w:r>
        <w:rPr>
          <w:rFonts w:ascii="Arial Mäori" w:hAnsi="Arial Mäori" w:cs="Arial Mäori"/>
          <w:i/>
          <w:color w:val="000000"/>
          <w:sz w:val="20"/>
          <w:szCs w:val="20"/>
        </w:rPr>
        <w:t>Source: Royal College of Surgeons</w:t>
      </w:r>
    </w:p>
    <w:p w:rsidR="00735424" w:rsidRDefault="00D87434" w:rsidP="00735424">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back to top</w:t>
        </w:r>
      </w:hyperlink>
    </w:p>
    <w:p w:rsidR="000F2AB6" w:rsidRPr="00F4492D" w:rsidRDefault="000F2AB6" w:rsidP="00F4492D">
      <w:pPr>
        <w:pStyle w:val="Heading3"/>
        <w:rPr>
          <w:color w:val="548DD4" w:themeColor="text2" w:themeTint="99"/>
        </w:rPr>
      </w:pPr>
      <w:bookmarkStart w:id="28" w:name="_Global_Health_1"/>
      <w:bookmarkEnd w:id="28"/>
      <w:r>
        <w:rPr>
          <w:color w:val="548DD4" w:themeColor="text2" w:themeTint="99"/>
        </w:rPr>
        <w:t>Global Health</w:t>
      </w:r>
    </w:p>
    <w:p w:rsidR="008547EA" w:rsidRDefault="008547EA" w:rsidP="008547EA">
      <w:pPr>
        <w:spacing w:after="0" w:line="240" w:lineRule="auto"/>
        <w:rPr>
          <w:rFonts w:ascii="Arial Mäori" w:hAnsi="Arial Mäori" w:cs="Arial Mäori"/>
          <w:b/>
          <w:color w:val="000000"/>
          <w:sz w:val="20"/>
          <w:szCs w:val="20"/>
        </w:rPr>
      </w:pPr>
      <w:hyperlink r:id="rId70" w:history="1">
        <w:r w:rsidRPr="004D0451">
          <w:rPr>
            <w:rStyle w:val="Hyperlink"/>
            <w:rFonts w:ascii="Arial Mäori" w:hAnsi="Arial Mäori" w:cs="Arial Mäori"/>
            <w:b/>
            <w:sz w:val="20"/>
            <w:szCs w:val="20"/>
          </w:rPr>
          <w:t>Global Health Strategy:  2014 to 2019</w:t>
        </w:r>
      </w:hyperlink>
    </w:p>
    <w:p w:rsidR="008547EA" w:rsidRDefault="008547EA" w:rsidP="008547E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6C748A">
        <w:rPr>
          <w:rFonts w:ascii="Arial Mäori" w:hAnsi="Arial Mäori" w:cs="Arial Mäori"/>
          <w:color w:val="000000"/>
          <w:sz w:val="20"/>
          <w:szCs w:val="20"/>
        </w:rPr>
        <w:t xml:space="preserve">In this document </w:t>
      </w:r>
      <w:r>
        <w:rPr>
          <w:rFonts w:ascii="Arial Mäori" w:hAnsi="Arial Mäori" w:cs="Arial Mäori"/>
          <w:color w:val="000000"/>
          <w:sz w:val="20"/>
          <w:szCs w:val="20"/>
        </w:rPr>
        <w:t>[the authors]</w:t>
      </w:r>
      <w:r w:rsidRPr="006C748A">
        <w:rPr>
          <w:rFonts w:ascii="Arial Mäori" w:hAnsi="Arial Mäori" w:cs="Arial Mäori"/>
          <w:color w:val="000000"/>
          <w:sz w:val="20"/>
          <w:szCs w:val="20"/>
        </w:rPr>
        <w:t xml:space="preserve"> set out PHE’s approach to global health for the next five years, and provide a framework </w:t>
      </w:r>
      <w:r>
        <w:rPr>
          <w:rFonts w:ascii="Arial Mäori" w:hAnsi="Arial Mäori" w:cs="Arial Mäori"/>
          <w:color w:val="000000"/>
          <w:sz w:val="20"/>
          <w:szCs w:val="20"/>
        </w:rPr>
        <w:t>for</w:t>
      </w:r>
      <w:r w:rsidRPr="006C748A">
        <w:rPr>
          <w:rFonts w:ascii="Arial Mäori" w:hAnsi="Arial Mäori" w:cs="Arial Mäori"/>
          <w:color w:val="000000"/>
          <w:sz w:val="20"/>
          <w:szCs w:val="20"/>
        </w:rPr>
        <w:t xml:space="preserve"> international engagement. It is ambitious in its reach, recognising the globalised nature of public health work and the need for strategic engagement in multiple ways and in many areas. The approach outlined affects everyone who works in public health, at home and abroad. We care about global health and are committed to its improvement.</w:t>
      </w:r>
      <w:r>
        <w:rPr>
          <w:rFonts w:ascii="Arial Mäori" w:hAnsi="Arial Mäori" w:cs="Arial Mäori"/>
          <w:color w:val="000000"/>
          <w:sz w:val="20"/>
          <w:szCs w:val="20"/>
        </w:rPr>
        <w:t xml:space="preserve">” </w:t>
      </w:r>
      <w:r>
        <w:rPr>
          <w:rFonts w:ascii="Arial Mäori" w:hAnsi="Arial Mäori" w:cs="Arial Mäori"/>
          <w:i/>
          <w:color w:val="000000"/>
          <w:sz w:val="20"/>
          <w:szCs w:val="20"/>
        </w:rPr>
        <w:t>Source: Public Health England</w:t>
      </w:r>
    </w:p>
    <w:p w:rsidR="008547EA" w:rsidRDefault="008547EA" w:rsidP="008547EA">
      <w:pPr>
        <w:spacing w:after="0" w:line="240" w:lineRule="auto"/>
        <w:rPr>
          <w:rFonts w:ascii="Arial Mäori" w:hAnsi="Arial Mäori" w:cs="Arial Mäori"/>
          <w:color w:val="000000"/>
          <w:sz w:val="20"/>
          <w:szCs w:val="20"/>
        </w:rPr>
      </w:pPr>
    </w:p>
    <w:p w:rsidR="00735424" w:rsidRPr="00501A93" w:rsidRDefault="00735424" w:rsidP="00735424">
      <w:pPr>
        <w:spacing w:after="0" w:line="240" w:lineRule="auto"/>
        <w:rPr>
          <w:rFonts w:ascii="Arial Mäori" w:hAnsi="Arial Mäori" w:cs="Arial Mäori"/>
          <w:b/>
          <w:color w:val="000000"/>
          <w:sz w:val="20"/>
          <w:szCs w:val="20"/>
        </w:rPr>
      </w:pPr>
      <w:hyperlink r:id="rId71" w:history="1">
        <w:r w:rsidRPr="004D0451">
          <w:rPr>
            <w:rStyle w:val="Hyperlink"/>
            <w:rFonts w:ascii="Arial Mäori" w:hAnsi="Arial Mäori" w:cs="Arial Mäori"/>
            <w:b/>
            <w:sz w:val="20"/>
            <w:szCs w:val="20"/>
          </w:rPr>
          <w:t>Investing in Global Health Systems: Sustaining Gains, Transforming Lives</w:t>
        </w:r>
      </w:hyperlink>
    </w:p>
    <w:p w:rsidR="00735424" w:rsidRDefault="00735424" w:rsidP="00735424">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501A93">
        <w:rPr>
          <w:rFonts w:ascii="Arial Mäori" w:hAnsi="Arial Mäori" w:cs="Arial Mäori"/>
          <w:color w:val="000000"/>
          <w:sz w:val="20"/>
          <w:szCs w:val="20"/>
        </w:rPr>
        <w:t>An IOM study looked at how health systems improvements can lead to better health, reduce poverty, and make donor investment in health sustainable. The resulting report stresses the importance of the health system in making transformative investments that support health in developing countries, and outlines a broad donor strategy that can make effective use of the United States’ comparative advantage in science and technology to improve health for the world’s most vulnerable people.</w:t>
      </w:r>
      <w:r>
        <w:rPr>
          <w:rFonts w:ascii="Arial Mäori" w:hAnsi="Arial Mäori" w:cs="Arial Mäori"/>
          <w:color w:val="000000"/>
          <w:sz w:val="20"/>
          <w:szCs w:val="20"/>
        </w:rPr>
        <w:t>”</w:t>
      </w:r>
      <w:r>
        <w:rPr>
          <w:rFonts w:ascii="Arial Mäori" w:hAnsi="Arial Mäori" w:cs="Arial Mäori"/>
          <w:i/>
          <w:color w:val="000000"/>
          <w:sz w:val="20"/>
          <w:szCs w:val="20"/>
        </w:rPr>
        <w:t xml:space="preserve"> Source: Institute of Medicine</w:t>
      </w:r>
    </w:p>
    <w:p w:rsidR="00735424" w:rsidRDefault="00735424" w:rsidP="00735424">
      <w:pPr>
        <w:spacing w:after="0" w:line="240" w:lineRule="auto"/>
        <w:rPr>
          <w:rFonts w:ascii="Arial Mäori" w:hAnsi="Arial Mäori" w:cs="Arial Mäori"/>
          <w:i/>
          <w:color w:val="000000"/>
          <w:sz w:val="20"/>
          <w:szCs w:val="20"/>
        </w:rPr>
      </w:pPr>
      <w:r>
        <w:rPr>
          <w:rFonts w:ascii="Arial Mäori" w:hAnsi="Arial Mäori" w:cs="Arial Mäori"/>
          <w:i/>
          <w:color w:val="000000"/>
          <w:sz w:val="20"/>
          <w:szCs w:val="20"/>
        </w:rPr>
        <w:t>*sign up for free account to download</w:t>
      </w:r>
    </w:p>
    <w:p w:rsidR="00735424" w:rsidRDefault="00735424" w:rsidP="00735424">
      <w:pPr>
        <w:spacing w:after="0" w:line="240" w:lineRule="auto"/>
        <w:rPr>
          <w:rFonts w:ascii="Arial Mäori" w:hAnsi="Arial Mäori" w:cs="Arial Mäori"/>
          <w:i/>
          <w:color w:val="000000"/>
          <w:sz w:val="20"/>
          <w:szCs w:val="20"/>
        </w:rPr>
      </w:pPr>
    </w:p>
    <w:p w:rsidR="00E1797C" w:rsidRDefault="00E1797C" w:rsidP="00E1797C">
      <w:pPr>
        <w:spacing w:after="0" w:line="240" w:lineRule="auto"/>
        <w:rPr>
          <w:rFonts w:ascii="Arial Mäori" w:hAnsi="Arial Mäori" w:cs="Arial Mäori"/>
          <w:b/>
          <w:color w:val="000000"/>
          <w:sz w:val="20"/>
          <w:szCs w:val="20"/>
        </w:rPr>
      </w:pPr>
      <w:hyperlink r:id="rId72" w:history="1">
        <w:r w:rsidRPr="00153F35">
          <w:rPr>
            <w:rStyle w:val="Hyperlink"/>
            <w:rFonts w:ascii="Arial Mäori" w:hAnsi="Arial Mäori" w:cs="Arial Mäori"/>
            <w:b/>
            <w:sz w:val="20"/>
            <w:szCs w:val="20"/>
          </w:rPr>
          <w:t>The Influence of Global Environmental Change on Infectious Disease Dynamics: Workshop Summary</w:t>
        </w:r>
      </w:hyperlink>
    </w:p>
    <w:p w:rsidR="00E1797C" w:rsidRDefault="00E1797C" w:rsidP="00E1797C">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983A92">
        <w:rPr>
          <w:rFonts w:ascii="Arial Mäori" w:hAnsi="Arial Mäori" w:cs="Arial Mäori"/>
          <w:color w:val="000000"/>
          <w:sz w:val="20"/>
          <w:szCs w:val="20"/>
        </w:rPr>
        <w:t xml:space="preserve">The twentieth century witnessed an era of unprecedented, large-scale, anthropogenic changes to the natural environment. Understanding how environmental factors directly and indirectly affect the </w:t>
      </w:r>
      <w:r w:rsidRPr="00983A92">
        <w:rPr>
          <w:rFonts w:ascii="Arial Mäori" w:hAnsi="Arial Mäori" w:cs="Arial Mäori"/>
          <w:color w:val="000000"/>
          <w:sz w:val="20"/>
          <w:szCs w:val="20"/>
        </w:rPr>
        <w:lastRenderedPageBreak/>
        <w:t>emergence and spread of infectious disease has assumed global importance for life on this planet.</w:t>
      </w:r>
      <w:r>
        <w:rPr>
          <w:rFonts w:ascii="Arial Mäori" w:hAnsi="Arial Mäori" w:cs="Arial Mäori"/>
          <w:color w:val="000000"/>
          <w:sz w:val="20"/>
          <w:szCs w:val="20"/>
        </w:rPr>
        <w:t>”</w:t>
      </w:r>
      <w:r w:rsidRPr="00983A92">
        <w:rPr>
          <w:rFonts w:ascii="Arial Mäori" w:hAnsi="Arial Mäori" w:cs="Arial Mäori"/>
          <w:color w:val="000000"/>
          <w:sz w:val="20"/>
          <w:szCs w:val="20"/>
        </w:rPr>
        <w:t xml:space="preserve"> </w:t>
      </w:r>
      <w:r>
        <w:rPr>
          <w:rFonts w:ascii="Arial Mäori" w:hAnsi="Arial Mäori" w:cs="Arial Mäori"/>
          <w:i/>
          <w:color w:val="000000"/>
          <w:sz w:val="20"/>
          <w:szCs w:val="20"/>
        </w:rPr>
        <w:t>Source: National Institute of Medicine</w:t>
      </w:r>
    </w:p>
    <w:p w:rsidR="00E1797C" w:rsidRPr="00582AF7" w:rsidRDefault="00E1797C" w:rsidP="00E1797C">
      <w:pPr>
        <w:spacing w:after="0" w:line="240" w:lineRule="auto"/>
        <w:rPr>
          <w:rFonts w:ascii="Arial Mäori" w:hAnsi="Arial Mäori" w:cs="Arial Mäori"/>
          <w:i/>
          <w:color w:val="000000"/>
          <w:sz w:val="20"/>
          <w:szCs w:val="20"/>
        </w:rPr>
      </w:pPr>
      <w:r w:rsidRPr="00582AF7">
        <w:rPr>
          <w:rFonts w:ascii="Arial Mäori" w:hAnsi="Arial Mäori" w:cs="Arial Mäori"/>
          <w:i/>
          <w:color w:val="000000"/>
          <w:sz w:val="20"/>
          <w:szCs w:val="20"/>
        </w:rPr>
        <w:t>*sign up for free account to download</w:t>
      </w:r>
    </w:p>
    <w:p w:rsidR="00A36181" w:rsidRDefault="00A36181" w:rsidP="00A36181">
      <w:pPr>
        <w:spacing w:after="0" w:line="240" w:lineRule="auto"/>
        <w:rPr>
          <w:rFonts w:ascii="Arial Mäori" w:hAnsi="Arial Mäori" w:cs="Arial Mäori"/>
          <w:color w:val="000000"/>
          <w:sz w:val="20"/>
          <w:szCs w:val="20"/>
        </w:rPr>
      </w:pPr>
    </w:p>
    <w:p w:rsidR="00A36181" w:rsidRPr="00A36181" w:rsidRDefault="00035B28" w:rsidP="00A36181">
      <w:pPr>
        <w:spacing w:after="0" w:line="240" w:lineRule="auto"/>
        <w:rPr>
          <w:rFonts w:ascii="Arial Mäori" w:hAnsi="Arial Mäori" w:cs="Arial Mäori"/>
          <w:b/>
          <w:color w:val="000000"/>
          <w:sz w:val="20"/>
          <w:szCs w:val="20"/>
        </w:rPr>
      </w:pPr>
      <w:hyperlink r:id="rId73" w:history="1">
        <w:r w:rsidR="00A36181" w:rsidRPr="004D0451">
          <w:rPr>
            <w:rStyle w:val="Hyperlink"/>
            <w:rFonts w:ascii="Arial Mäori" w:hAnsi="Arial Mäori" w:cs="Arial Mäori"/>
            <w:b/>
            <w:sz w:val="20"/>
            <w:szCs w:val="20"/>
          </w:rPr>
          <w:t>Global Diabetes Scorecard: Tracking Progress for Action</w:t>
        </w:r>
      </w:hyperlink>
    </w:p>
    <w:p w:rsidR="007E017B" w:rsidRDefault="00A36181" w:rsidP="006C748A">
      <w:pPr>
        <w:spacing w:after="0" w:line="240" w:lineRule="auto"/>
        <w:rPr>
          <w:rFonts w:ascii="Arial Mäori" w:hAnsi="Arial Mäori" w:cs="Arial Mäori"/>
          <w:i/>
          <w:color w:val="000000"/>
          <w:sz w:val="20"/>
          <w:szCs w:val="20"/>
        </w:rPr>
      </w:pPr>
      <w:r>
        <w:rPr>
          <w:rFonts w:ascii="Arial Mäori" w:hAnsi="Arial Mäori" w:cs="Arial Mäori"/>
          <w:color w:val="000000"/>
          <w:sz w:val="20"/>
          <w:szCs w:val="20"/>
        </w:rPr>
        <w:t>“</w:t>
      </w:r>
      <w:r w:rsidRPr="00A36181">
        <w:rPr>
          <w:rFonts w:ascii="Arial Mäori" w:hAnsi="Arial Mäori" w:cs="Arial Mäori"/>
          <w:color w:val="000000"/>
          <w:sz w:val="20"/>
          <w:szCs w:val="20"/>
        </w:rPr>
        <w:t>The Scorecard contains the views of IDF’s Member</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Associations on how far their national governments</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have progressed by December 2013 and sets the</w:t>
      </w:r>
      <w:r>
        <w:rPr>
          <w:rFonts w:ascii="Arial Mäori" w:hAnsi="Arial Mäori" w:cs="Arial Mäori"/>
          <w:color w:val="000000"/>
          <w:sz w:val="20"/>
          <w:szCs w:val="20"/>
        </w:rPr>
        <w:t xml:space="preserve"> </w:t>
      </w:r>
      <w:r w:rsidRPr="00A36181">
        <w:rPr>
          <w:rFonts w:ascii="Arial Mäori" w:hAnsi="Arial Mäori" w:cs="Arial Mäori"/>
          <w:color w:val="000000"/>
          <w:sz w:val="20"/>
          <w:szCs w:val="20"/>
        </w:rPr>
        <w:t>baseline for future monitoring.</w:t>
      </w:r>
      <w:r>
        <w:rPr>
          <w:rFonts w:ascii="Arial Mäori" w:hAnsi="Arial Mäori" w:cs="Arial Mäori"/>
          <w:color w:val="000000"/>
          <w:sz w:val="20"/>
          <w:szCs w:val="20"/>
        </w:rPr>
        <w:t xml:space="preserve">” </w:t>
      </w:r>
      <w:r>
        <w:rPr>
          <w:rFonts w:ascii="Arial Mäori" w:hAnsi="Arial Mäori" w:cs="Arial Mäori"/>
          <w:i/>
          <w:color w:val="000000"/>
          <w:sz w:val="20"/>
          <w:szCs w:val="20"/>
        </w:rPr>
        <w:t>Source: International Diabetes Federation</w:t>
      </w:r>
    </w:p>
    <w:p w:rsidR="006C748A" w:rsidRDefault="00D87434" w:rsidP="006C748A">
      <w:pPr>
        <w:spacing w:after="0" w:line="240" w:lineRule="auto"/>
        <w:rPr>
          <w:rFonts w:ascii="Arial Mäori" w:hAnsi="Arial Mäori" w:cs="Arial Mäori"/>
          <w:color w:val="000000"/>
          <w:sz w:val="20"/>
          <w:szCs w:val="20"/>
        </w:rPr>
      </w:pPr>
      <w:hyperlink w:anchor="_top" w:history="1">
        <w:r w:rsidRPr="00866424">
          <w:rPr>
            <w:rStyle w:val="Hyperlink"/>
            <w:rFonts w:ascii="Arial Mäori" w:hAnsi="Arial Mäori" w:cs="Arial Mäori"/>
            <w:i/>
            <w:sz w:val="20"/>
            <w:szCs w:val="20"/>
          </w:rPr>
          <w:t>back to top</w:t>
        </w:r>
      </w:hyperlink>
    </w:p>
    <w:p w:rsidR="001A11F9" w:rsidRDefault="001A11F9" w:rsidP="001A11F9">
      <w:pPr>
        <w:spacing w:after="0" w:line="240" w:lineRule="auto"/>
        <w:rPr>
          <w:rFonts w:ascii="Arial Mäori" w:hAnsi="Arial Mäori" w:cs="Arial Mäori"/>
          <w:color w:val="000000"/>
          <w:sz w:val="20"/>
          <w:szCs w:val="20"/>
        </w:rPr>
      </w:pPr>
    </w:p>
    <w:p w:rsidR="00942C81" w:rsidRPr="006C0728" w:rsidRDefault="00942C81" w:rsidP="00716F8A">
      <w:pPr>
        <w:spacing w:after="0" w:line="240" w:lineRule="auto"/>
        <w:rPr>
          <w:rFonts w:cs="Arial"/>
          <w:b/>
          <w:i/>
          <w:sz w:val="22"/>
        </w:rPr>
      </w:pPr>
      <w:r w:rsidRPr="006C0728">
        <w:rPr>
          <w:rFonts w:ascii="Arial Mäori" w:hAnsi="Arial Mäori" w:cs="Arial Mäori"/>
          <w:b/>
          <w:i/>
          <w:color w:val="000000"/>
          <w:sz w:val="20"/>
          <w:szCs w:val="20"/>
        </w:rPr>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p w:rsidR="00942C81" w:rsidRDefault="00942C81" w:rsidP="00716F8A">
      <w:pPr>
        <w:spacing w:after="0" w:line="240" w:lineRule="auto"/>
        <w:rPr>
          <w:rFonts w:cs="Arial"/>
          <w:sz w:val="22"/>
        </w:rPr>
      </w:pPr>
    </w:p>
    <w:sectPr w:rsidR="00942C81" w:rsidSect="000F05DA">
      <w:headerReference w:type="default" r:id="rId74"/>
      <w:footerReference w:type="default" r:id="rId75"/>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451" w:rsidRDefault="004D0451" w:rsidP="000F05DA">
      <w:pPr>
        <w:spacing w:after="0" w:line="240" w:lineRule="auto"/>
      </w:pPr>
      <w:r>
        <w:separator/>
      </w:r>
    </w:p>
  </w:endnote>
  <w:endnote w:type="continuationSeparator" w:id="0">
    <w:p w:rsidR="004D0451" w:rsidRDefault="004D0451"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751679"/>
      <w:docPartObj>
        <w:docPartGallery w:val="Page Numbers (Bottom of Page)"/>
        <w:docPartUnique/>
      </w:docPartObj>
    </w:sdtPr>
    <w:sdtEndPr>
      <w:rPr>
        <w:noProof/>
      </w:rPr>
    </w:sdtEndPr>
    <w:sdtContent>
      <w:p w:rsidR="004D0451" w:rsidRDefault="004D0451">
        <w:pPr>
          <w:pStyle w:val="Footer"/>
        </w:pPr>
        <w:r>
          <w:fldChar w:fldCharType="begin"/>
        </w:r>
        <w:r>
          <w:instrText xml:space="preserve"> PAGE   \* MERGEFORMAT </w:instrText>
        </w:r>
        <w:r>
          <w:fldChar w:fldCharType="separate"/>
        </w:r>
        <w:r w:rsidR="00035B28">
          <w:rPr>
            <w:noProof/>
          </w:rPr>
          <w:t>11</w:t>
        </w:r>
        <w:r>
          <w:rPr>
            <w:noProof/>
          </w:rPr>
          <w:fldChar w:fldCharType="end"/>
        </w:r>
      </w:p>
    </w:sdtContent>
  </w:sdt>
  <w:p w:rsidR="004D0451" w:rsidRDefault="004D0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451" w:rsidRDefault="004D0451" w:rsidP="000F05DA">
      <w:pPr>
        <w:spacing w:after="0" w:line="240" w:lineRule="auto"/>
      </w:pPr>
      <w:r>
        <w:separator/>
      </w:r>
    </w:p>
  </w:footnote>
  <w:footnote w:type="continuationSeparator" w:id="0">
    <w:p w:rsidR="004D0451" w:rsidRDefault="004D0451" w:rsidP="000F0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937642"/>
      <w:docPartObj>
        <w:docPartGallery w:val="Page Numbers (Top of Page)"/>
        <w:docPartUnique/>
      </w:docPartObj>
    </w:sdtPr>
    <w:sdtEndPr>
      <w:rPr>
        <w:noProof/>
      </w:rPr>
    </w:sdtEndPr>
    <w:sdtContent>
      <w:p w:rsidR="004D0451" w:rsidRDefault="004D0451">
        <w:pPr>
          <w:pStyle w:val="Header"/>
        </w:pPr>
        <w:r>
          <w:rPr>
            <w:noProof/>
          </w:rPr>
          <w:tab/>
        </w:r>
        <w:r>
          <w:rPr>
            <w:noProof/>
          </w:rPr>
          <w:tab/>
        </w:r>
      </w:p>
    </w:sdtContent>
  </w:sdt>
  <w:p w:rsidR="004D0451" w:rsidRDefault="004D0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5DA"/>
    <w:rsid w:val="000021A7"/>
    <w:rsid w:val="00005E65"/>
    <w:rsid w:val="00005F44"/>
    <w:rsid w:val="00007882"/>
    <w:rsid w:val="00007EEB"/>
    <w:rsid w:val="00010E78"/>
    <w:rsid w:val="000127F4"/>
    <w:rsid w:val="00013AE5"/>
    <w:rsid w:val="00014E34"/>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6B0E"/>
    <w:rsid w:val="00067065"/>
    <w:rsid w:val="00070501"/>
    <w:rsid w:val="00070E72"/>
    <w:rsid w:val="0007360B"/>
    <w:rsid w:val="0007674C"/>
    <w:rsid w:val="000769E9"/>
    <w:rsid w:val="000777D3"/>
    <w:rsid w:val="00077A57"/>
    <w:rsid w:val="000807C9"/>
    <w:rsid w:val="0008335B"/>
    <w:rsid w:val="0008380F"/>
    <w:rsid w:val="000918BA"/>
    <w:rsid w:val="0009259F"/>
    <w:rsid w:val="000946E9"/>
    <w:rsid w:val="000947EF"/>
    <w:rsid w:val="00097D64"/>
    <w:rsid w:val="000A23CD"/>
    <w:rsid w:val="000A2B00"/>
    <w:rsid w:val="000A381D"/>
    <w:rsid w:val="000A63A0"/>
    <w:rsid w:val="000B6EB9"/>
    <w:rsid w:val="000B7159"/>
    <w:rsid w:val="000C0C5E"/>
    <w:rsid w:val="000C3102"/>
    <w:rsid w:val="000C6B83"/>
    <w:rsid w:val="000C6C5D"/>
    <w:rsid w:val="000C79F9"/>
    <w:rsid w:val="000D2191"/>
    <w:rsid w:val="000D230C"/>
    <w:rsid w:val="000D2732"/>
    <w:rsid w:val="000D33E0"/>
    <w:rsid w:val="000D4039"/>
    <w:rsid w:val="000D6E9D"/>
    <w:rsid w:val="000D783F"/>
    <w:rsid w:val="000E0ECA"/>
    <w:rsid w:val="000E185F"/>
    <w:rsid w:val="000E28A8"/>
    <w:rsid w:val="000E384E"/>
    <w:rsid w:val="000E3F86"/>
    <w:rsid w:val="000E3F96"/>
    <w:rsid w:val="000F0133"/>
    <w:rsid w:val="000F05DA"/>
    <w:rsid w:val="000F2AB6"/>
    <w:rsid w:val="000F3B47"/>
    <w:rsid w:val="000F43D0"/>
    <w:rsid w:val="000F44C0"/>
    <w:rsid w:val="000F635D"/>
    <w:rsid w:val="00100F0C"/>
    <w:rsid w:val="00102F03"/>
    <w:rsid w:val="00104169"/>
    <w:rsid w:val="00106611"/>
    <w:rsid w:val="00110D5F"/>
    <w:rsid w:val="00114796"/>
    <w:rsid w:val="00114D6D"/>
    <w:rsid w:val="00115D6E"/>
    <w:rsid w:val="00117F9D"/>
    <w:rsid w:val="0012119C"/>
    <w:rsid w:val="00121A2C"/>
    <w:rsid w:val="00123481"/>
    <w:rsid w:val="0012371D"/>
    <w:rsid w:val="0012717C"/>
    <w:rsid w:val="00130A4A"/>
    <w:rsid w:val="00134697"/>
    <w:rsid w:val="0013783C"/>
    <w:rsid w:val="00137AA4"/>
    <w:rsid w:val="001417E6"/>
    <w:rsid w:val="00143A80"/>
    <w:rsid w:val="00143BEB"/>
    <w:rsid w:val="00144D10"/>
    <w:rsid w:val="00144E2E"/>
    <w:rsid w:val="00144F89"/>
    <w:rsid w:val="001468FC"/>
    <w:rsid w:val="00153F35"/>
    <w:rsid w:val="001545BC"/>
    <w:rsid w:val="0015474E"/>
    <w:rsid w:val="0015582A"/>
    <w:rsid w:val="00157BDD"/>
    <w:rsid w:val="001601DF"/>
    <w:rsid w:val="001605C2"/>
    <w:rsid w:val="001606CC"/>
    <w:rsid w:val="00162F7F"/>
    <w:rsid w:val="00163208"/>
    <w:rsid w:val="00164D47"/>
    <w:rsid w:val="00165714"/>
    <w:rsid w:val="001660F8"/>
    <w:rsid w:val="00171434"/>
    <w:rsid w:val="001731CF"/>
    <w:rsid w:val="00173665"/>
    <w:rsid w:val="00173B2A"/>
    <w:rsid w:val="001775F3"/>
    <w:rsid w:val="001863D4"/>
    <w:rsid w:val="00190B7B"/>
    <w:rsid w:val="00191101"/>
    <w:rsid w:val="0019649F"/>
    <w:rsid w:val="00197702"/>
    <w:rsid w:val="001A02DA"/>
    <w:rsid w:val="001A049F"/>
    <w:rsid w:val="001A0F4E"/>
    <w:rsid w:val="001A11BB"/>
    <w:rsid w:val="001A11F9"/>
    <w:rsid w:val="001A4454"/>
    <w:rsid w:val="001A6689"/>
    <w:rsid w:val="001A7CE0"/>
    <w:rsid w:val="001B2148"/>
    <w:rsid w:val="001C1CA4"/>
    <w:rsid w:val="001C5865"/>
    <w:rsid w:val="001C64A8"/>
    <w:rsid w:val="001C7502"/>
    <w:rsid w:val="001D2091"/>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3428"/>
    <w:rsid w:val="001F3E1F"/>
    <w:rsid w:val="001F4141"/>
    <w:rsid w:val="001F7F9B"/>
    <w:rsid w:val="002007FB"/>
    <w:rsid w:val="00201A2B"/>
    <w:rsid w:val="00206028"/>
    <w:rsid w:val="0020628A"/>
    <w:rsid w:val="002131CB"/>
    <w:rsid w:val="0021464A"/>
    <w:rsid w:val="00214BEC"/>
    <w:rsid w:val="002173B3"/>
    <w:rsid w:val="00222991"/>
    <w:rsid w:val="002252E5"/>
    <w:rsid w:val="00227334"/>
    <w:rsid w:val="00231AD4"/>
    <w:rsid w:val="002338D8"/>
    <w:rsid w:val="00234E77"/>
    <w:rsid w:val="00234E7F"/>
    <w:rsid w:val="002359AE"/>
    <w:rsid w:val="002403F4"/>
    <w:rsid w:val="00240BE9"/>
    <w:rsid w:val="002445C4"/>
    <w:rsid w:val="0024709E"/>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4456"/>
    <w:rsid w:val="00275E3D"/>
    <w:rsid w:val="00276178"/>
    <w:rsid w:val="00276D50"/>
    <w:rsid w:val="00280A5D"/>
    <w:rsid w:val="00280AD5"/>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18E5"/>
    <w:rsid w:val="002D17DA"/>
    <w:rsid w:val="002D37C3"/>
    <w:rsid w:val="002D4C19"/>
    <w:rsid w:val="002D6585"/>
    <w:rsid w:val="002D6F0B"/>
    <w:rsid w:val="002D70D6"/>
    <w:rsid w:val="002E13F7"/>
    <w:rsid w:val="002E152D"/>
    <w:rsid w:val="002E1F88"/>
    <w:rsid w:val="002E3626"/>
    <w:rsid w:val="002E49CA"/>
    <w:rsid w:val="002E6E33"/>
    <w:rsid w:val="002F0C00"/>
    <w:rsid w:val="002F1255"/>
    <w:rsid w:val="002F2554"/>
    <w:rsid w:val="002F2EF9"/>
    <w:rsid w:val="002F3266"/>
    <w:rsid w:val="002F4AB3"/>
    <w:rsid w:val="002F5498"/>
    <w:rsid w:val="002F6C9D"/>
    <w:rsid w:val="002F7BA8"/>
    <w:rsid w:val="00300E8C"/>
    <w:rsid w:val="00304200"/>
    <w:rsid w:val="00307318"/>
    <w:rsid w:val="00310022"/>
    <w:rsid w:val="00310891"/>
    <w:rsid w:val="00310E77"/>
    <w:rsid w:val="00310F58"/>
    <w:rsid w:val="00311AFC"/>
    <w:rsid w:val="00312283"/>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5372B"/>
    <w:rsid w:val="00355D23"/>
    <w:rsid w:val="003579B6"/>
    <w:rsid w:val="00357ED9"/>
    <w:rsid w:val="00361B55"/>
    <w:rsid w:val="00362673"/>
    <w:rsid w:val="00363655"/>
    <w:rsid w:val="0036737E"/>
    <w:rsid w:val="00371751"/>
    <w:rsid w:val="00382308"/>
    <w:rsid w:val="00383867"/>
    <w:rsid w:val="00385935"/>
    <w:rsid w:val="00386ABB"/>
    <w:rsid w:val="00386DAE"/>
    <w:rsid w:val="00386E34"/>
    <w:rsid w:val="0038782E"/>
    <w:rsid w:val="00390201"/>
    <w:rsid w:val="003906C5"/>
    <w:rsid w:val="003920B4"/>
    <w:rsid w:val="0039476F"/>
    <w:rsid w:val="003A1534"/>
    <w:rsid w:val="003A3AF7"/>
    <w:rsid w:val="003A5C7F"/>
    <w:rsid w:val="003B2D16"/>
    <w:rsid w:val="003B3389"/>
    <w:rsid w:val="003B3810"/>
    <w:rsid w:val="003B4EDF"/>
    <w:rsid w:val="003B66C0"/>
    <w:rsid w:val="003C2C38"/>
    <w:rsid w:val="003C4B9E"/>
    <w:rsid w:val="003D0F53"/>
    <w:rsid w:val="003D127B"/>
    <w:rsid w:val="003D414F"/>
    <w:rsid w:val="003D53D4"/>
    <w:rsid w:val="003D6ECB"/>
    <w:rsid w:val="003E1B08"/>
    <w:rsid w:val="003E24B2"/>
    <w:rsid w:val="003E32A9"/>
    <w:rsid w:val="003E36D2"/>
    <w:rsid w:val="003E4872"/>
    <w:rsid w:val="003E4EFA"/>
    <w:rsid w:val="003E77B2"/>
    <w:rsid w:val="003F1002"/>
    <w:rsid w:val="003F1154"/>
    <w:rsid w:val="003F1582"/>
    <w:rsid w:val="003F7C50"/>
    <w:rsid w:val="00400783"/>
    <w:rsid w:val="004009E2"/>
    <w:rsid w:val="00400F39"/>
    <w:rsid w:val="0040232F"/>
    <w:rsid w:val="00402416"/>
    <w:rsid w:val="00402678"/>
    <w:rsid w:val="00404910"/>
    <w:rsid w:val="00407D8B"/>
    <w:rsid w:val="00410B0A"/>
    <w:rsid w:val="00411C4D"/>
    <w:rsid w:val="00415649"/>
    <w:rsid w:val="004159AB"/>
    <w:rsid w:val="004163F3"/>
    <w:rsid w:val="0041737F"/>
    <w:rsid w:val="00417B6E"/>
    <w:rsid w:val="004206F3"/>
    <w:rsid w:val="00422724"/>
    <w:rsid w:val="00425062"/>
    <w:rsid w:val="00425254"/>
    <w:rsid w:val="00425C87"/>
    <w:rsid w:val="0042747B"/>
    <w:rsid w:val="00432FC8"/>
    <w:rsid w:val="00436DDC"/>
    <w:rsid w:val="00440C11"/>
    <w:rsid w:val="00446C6A"/>
    <w:rsid w:val="00450F8A"/>
    <w:rsid w:val="00451005"/>
    <w:rsid w:val="00451277"/>
    <w:rsid w:val="004544FF"/>
    <w:rsid w:val="004545C9"/>
    <w:rsid w:val="00455798"/>
    <w:rsid w:val="00455B96"/>
    <w:rsid w:val="00457E83"/>
    <w:rsid w:val="00460FDC"/>
    <w:rsid w:val="004639FE"/>
    <w:rsid w:val="00464035"/>
    <w:rsid w:val="00464574"/>
    <w:rsid w:val="00464E48"/>
    <w:rsid w:val="0046552F"/>
    <w:rsid w:val="00465B43"/>
    <w:rsid w:val="004662D2"/>
    <w:rsid w:val="004679FC"/>
    <w:rsid w:val="004710CA"/>
    <w:rsid w:val="004719F9"/>
    <w:rsid w:val="004746D9"/>
    <w:rsid w:val="00475348"/>
    <w:rsid w:val="004809CC"/>
    <w:rsid w:val="00486EBA"/>
    <w:rsid w:val="00487F19"/>
    <w:rsid w:val="00491E83"/>
    <w:rsid w:val="004A03E0"/>
    <w:rsid w:val="004A291E"/>
    <w:rsid w:val="004A2F4F"/>
    <w:rsid w:val="004A4A32"/>
    <w:rsid w:val="004A7248"/>
    <w:rsid w:val="004A79AD"/>
    <w:rsid w:val="004B7474"/>
    <w:rsid w:val="004B789B"/>
    <w:rsid w:val="004C163F"/>
    <w:rsid w:val="004C1B89"/>
    <w:rsid w:val="004C205A"/>
    <w:rsid w:val="004C4396"/>
    <w:rsid w:val="004C6283"/>
    <w:rsid w:val="004C6A28"/>
    <w:rsid w:val="004C7E0C"/>
    <w:rsid w:val="004D0451"/>
    <w:rsid w:val="004D06AA"/>
    <w:rsid w:val="004D0AA7"/>
    <w:rsid w:val="004D15DE"/>
    <w:rsid w:val="004D4407"/>
    <w:rsid w:val="004D58D4"/>
    <w:rsid w:val="004D5A19"/>
    <w:rsid w:val="004D65C6"/>
    <w:rsid w:val="004D6C33"/>
    <w:rsid w:val="004E0D23"/>
    <w:rsid w:val="004E2212"/>
    <w:rsid w:val="004E30A7"/>
    <w:rsid w:val="004E3796"/>
    <w:rsid w:val="004E4BAC"/>
    <w:rsid w:val="004E4F1E"/>
    <w:rsid w:val="004E66F7"/>
    <w:rsid w:val="004F239A"/>
    <w:rsid w:val="004F64EC"/>
    <w:rsid w:val="00500B8A"/>
    <w:rsid w:val="00501059"/>
    <w:rsid w:val="00501A93"/>
    <w:rsid w:val="00505315"/>
    <w:rsid w:val="0050657C"/>
    <w:rsid w:val="005074A5"/>
    <w:rsid w:val="005107DF"/>
    <w:rsid w:val="00513729"/>
    <w:rsid w:val="00513C07"/>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518DD"/>
    <w:rsid w:val="0055685D"/>
    <w:rsid w:val="00560E93"/>
    <w:rsid w:val="005615D9"/>
    <w:rsid w:val="00561F39"/>
    <w:rsid w:val="00563B5E"/>
    <w:rsid w:val="00563E13"/>
    <w:rsid w:val="005641F0"/>
    <w:rsid w:val="005647C7"/>
    <w:rsid w:val="00564945"/>
    <w:rsid w:val="0056583B"/>
    <w:rsid w:val="00566B80"/>
    <w:rsid w:val="00567695"/>
    <w:rsid w:val="005679BA"/>
    <w:rsid w:val="00567E95"/>
    <w:rsid w:val="00570CCC"/>
    <w:rsid w:val="005724BF"/>
    <w:rsid w:val="005727FF"/>
    <w:rsid w:val="00572ABF"/>
    <w:rsid w:val="00573040"/>
    <w:rsid w:val="0057394A"/>
    <w:rsid w:val="00576C2C"/>
    <w:rsid w:val="00580342"/>
    <w:rsid w:val="00581020"/>
    <w:rsid w:val="00582AF7"/>
    <w:rsid w:val="00584CAB"/>
    <w:rsid w:val="0059122E"/>
    <w:rsid w:val="005924FD"/>
    <w:rsid w:val="00594F03"/>
    <w:rsid w:val="0059702C"/>
    <w:rsid w:val="005A1EDA"/>
    <w:rsid w:val="005A20BA"/>
    <w:rsid w:val="005A2963"/>
    <w:rsid w:val="005A3ACA"/>
    <w:rsid w:val="005A4997"/>
    <w:rsid w:val="005A5D04"/>
    <w:rsid w:val="005A6923"/>
    <w:rsid w:val="005A7164"/>
    <w:rsid w:val="005B2F08"/>
    <w:rsid w:val="005B6891"/>
    <w:rsid w:val="005B754E"/>
    <w:rsid w:val="005C07DB"/>
    <w:rsid w:val="005C1786"/>
    <w:rsid w:val="005C301E"/>
    <w:rsid w:val="005C3618"/>
    <w:rsid w:val="005C4F1F"/>
    <w:rsid w:val="005C5538"/>
    <w:rsid w:val="005C772C"/>
    <w:rsid w:val="005D2589"/>
    <w:rsid w:val="005D309A"/>
    <w:rsid w:val="005E4543"/>
    <w:rsid w:val="005F0CC6"/>
    <w:rsid w:val="005F52F7"/>
    <w:rsid w:val="005F6777"/>
    <w:rsid w:val="0060066B"/>
    <w:rsid w:val="006006B6"/>
    <w:rsid w:val="00600F0A"/>
    <w:rsid w:val="00604099"/>
    <w:rsid w:val="00606DFA"/>
    <w:rsid w:val="00611645"/>
    <w:rsid w:val="006129D6"/>
    <w:rsid w:val="00615682"/>
    <w:rsid w:val="00616435"/>
    <w:rsid w:val="00620692"/>
    <w:rsid w:val="006220B0"/>
    <w:rsid w:val="00624E2D"/>
    <w:rsid w:val="00625779"/>
    <w:rsid w:val="00626A8E"/>
    <w:rsid w:val="00630276"/>
    <w:rsid w:val="00630B66"/>
    <w:rsid w:val="00630EFE"/>
    <w:rsid w:val="0063254E"/>
    <w:rsid w:val="00637F45"/>
    <w:rsid w:val="00640C35"/>
    <w:rsid w:val="00641439"/>
    <w:rsid w:val="00641450"/>
    <w:rsid w:val="00641CE4"/>
    <w:rsid w:val="0064246C"/>
    <w:rsid w:val="006424C4"/>
    <w:rsid w:val="00642A8A"/>
    <w:rsid w:val="00643265"/>
    <w:rsid w:val="006441B9"/>
    <w:rsid w:val="006447D3"/>
    <w:rsid w:val="006515AC"/>
    <w:rsid w:val="00651C75"/>
    <w:rsid w:val="00651F9D"/>
    <w:rsid w:val="00653699"/>
    <w:rsid w:val="00656275"/>
    <w:rsid w:val="006565A4"/>
    <w:rsid w:val="00657DE3"/>
    <w:rsid w:val="00660AD0"/>
    <w:rsid w:val="00664524"/>
    <w:rsid w:val="00670609"/>
    <w:rsid w:val="00671B18"/>
    <w:rsid w:val="0067221A"/>
    <w:rsid w:val="00672BA3"/>
    <w:rsid w:val="00672F2E"/>
    <w:rsid w:val="00673200"/>
    <w:rsid w:val="0067392D"/>
    <w:rsid w:val="00675E40"/>
    <w:rsid w:val="006776D2"/>
    <w:rsid w:val="00684A42"/>
    <w:rsid w:val="00684BC3"/>
    <w:rsid w:val="00687197"/>
    <w:rsid w:val="00687B4B"/>
    <w:rsid w:val="00687CFB"/>
    <w:rsid w:val="00692D9B"/>
    <w:rsid w:val="00693AC5"/>
    <w:rsid w:val="00696875"/>
    <w:rsid w:val="00696D4E"/>
    <w:rsid w:val="006A02E3"/>
    <w:rsid w:val="006A04BE"/>
    <w:rsid w:val="006A04F5"/>
    <w:rsid w:val="006A2F2F"/>
    <w:rsid w:val="006A373B"/>
    <w:rsid w:val="006A680F"/>
    <w:rsid w:val="006A77EC"/>
    <w:rsid w:val="006B15BC"/>
    <w:rsid w:val="006B1B3A"/>
    <w:rsid w:val="006B4CD9"/>
    <w:rsid w:val="006B5294"/>
    <w:rsid w:val="006C0728"/>
    <w:rsid w:val="006C175E"/>
    <w:rsid w:val="006C2949"/>
    <w:rsid w:val="006C2A30"/>
    <w:rsid w:val="006C30A7"/>
    <w:rsid w:val="006C330E"/>
    <w:rsid w:val="006C5306"/>
    <w:rsid w:val="006C5C33"/>
    <w:rsid w:val="006C629E"/>
    <w:rsid w:val="006C748A"/>
    <w:rsid w:val="006C7E06"/>
    <w:rsid w:val="006D13C6"/>
    <w:rsid w:val="006D1FDD"/>
    <w:rsid w:val="006D3774"/>
    <w:rsid w:val="006D3A55"/>
    <w:rsid w:val="006D4CE0"/>
    <w:rsid w:val="006D6AE5"/>
    <w:rsid w:val="006D7949"/>
    <w:rsid w:val="006E1EA0"/>
    <w:rsid w:val="006F0378"/>
    <w:rsid w:val="006F2753"/>
    <w:rsid w:val="006F640F"/>
    <w:rsid w:val="006F7CBD"/>
    <w:rsid w:val="007033E5"/>
    <w:rsid w:val="00703C4B"/>
    <w:rsid w:val="007041AF"/>
    <w:rsid w:val="0070507E"/>
    <w:rsid w:val="00706D5F"/>
    <w:rsid w:val="007118C4"/>
    <w:rsid w:val="00712F49"/>
    <w:rsid w:val="00714E7C"/>
    <w:rsid w:val="007150E9"/>
    <w:rsid w:val="00716F8A"/>
    <w:rsid w:val="007170A1"/>
    <w:rsid w:val="007200CB"/>
    <w:rsid w:val="00720B9C"/>
    <w:rsid w:val="0072112C"/>
    <w:rsid w:val="00722786"/>
    <w:rsid w:val="00725199"/>
    <w:rsid w:val="007302A6"/>
    <w:rsid w:val="00730BAF"/>
    <w:rsid w:val="007317BB"/>
    <w:rsid w:val="00732328"/>
    <w:rsid w:val="00732CA5"/>
    <w:rsid w:val="00732F5D"/>
    <w:rsid w:val="007336F3"/>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317B"/>
    <w:rsid w:val="007634BE"/>
    <w:rsid w:val="0076478C"/>
    <w:rsid w:val="007664DD"/>
    <w:rsid w:val="00767EA3"/>
    <w:rsid w:val="0077154D"/>
    <w:rsid w:val="0077324E"/>
    <w:rsid w:val="007739C9"/>
    <w:rsid w:val="00773AC9"/>
    <w:rsid w:val="007744EE"/>
    <w:rsid w:val="0077495B"/>
    <w:rsid w:val="00774B2D"/>
    <w:rsid w:val="0077633B"/>
    <w:rsid w:val="00781FE9"/>
    <w:rsid w:val="0078209C"/>
    <w:rsid w:val="00785F26"/>
    <w:rsid w:val="00787BDA"/>
    <w:rsid w:val="00790C57"/>
    <w:rsid w:val="00792076"/>
    <w:rsid w:val="00793493"/>
    <w:rsid w:val="007955AF"/>
    <w:rsid w:val="00796071"/>
    <w:rsid w:val="007962BD"/>
    <w:rsid w:val="007978B6"/>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3B4"/>
    <w:rsid w:val="007B61C7"/>
    <w:rsid w:val="007B6ECC"/>
    <w:rsid w:val="007C3154"/>
    <w:rsid w:val="007C4F8F"/>
    <w:rsid w:val="007C5E8F"/>
    <w:rsid w:val="007D0117"/>
    <w:rsid w:val="007D0B72"/>
    <w:rsid w:val="007D3C80"/>
    <w:rsid w:val="007D5320"/>
    <w:rsid w:val="007D61F6"/>
    <w:rsid w:val="007D6B22"/>
    <w:rsid w:val="007E017B"/>
    <w:rsid w:val="007E0C5F"/>
    <w:rsid w:val="007E0D92"/>
    <w:rsid w:val="007E3E4F"/>
    <w:rsid w:val="007E5737"/>
    <w:rsid w:val="007E679D"/>
    <w:rsid w:val="007E7084"/>
    <w:rsid w:val="007F10C6"/>
    <w:rsid w:val="007F24C9"/>
    <w:rsid w:val="007F3420"/>
    <w:rsid w:val="007F4B8F"/>
    <w:rsid w:val="007F59FF"/>
    <w:rsid w:val="007F6082"/>
    <w:rsid w:val="007F72A9"/>
    <w:rsid w:val="00800F80"/>
    <w:rsid w:val="00802235"/>
    <w:rsid w:val="00802CBD"/>
    <w:rsid w:val="0080308E"/>
    <w:rsid w:val="00804472"/>
    <w:rsid w:val="00805A60"/>
    <w:rsid w:val="00805F34"/>
    <w:rsid w:val="00810079"/>
    <w:rsid w:val="008100B2"/>
    <w:rsid w:val="008102C2"/>
    <w:rsid w:val="00811385"/>
    <w:rsid w:val="00811606"/>
    <w:rsid w:val="00811AC5"/>
    <w:rsid w:val="00811C30"/>
    <w:rsid w:val="008135D7"/>
    <w:rsid w:val="00813CF7"/>
    <w:rsid w:val="008153F1"/>
    <w:rsid w:val="00817148"/>
    <w:rsid w:val="00821D8F"/>
    <w:rsid w:val="008246D7"/>
    <w:rsid w:val="008264D2"/>
    <w:rsid w:val="00826889"/>
    <w:rsid w:val="00826A34"/>
    <w:rsid w:val="00830144"/>
    <w:rsid w:val="008312EE"/>
    <w:rsid w:val="00840B93"/>
    <w:rsid w:val="00840C0D"/>
    <w:rsid w:val="00841300"/>
    <w:rsid w:val="0084267C"/>
    <w:rsid w:val="0084325F"/>
    <w:rsid w:val="008449C3"/>
    <w:rsid w:val="0084603A"/>
    <w:rsid w:val="0084638C"/>
    <w:rsid w:val="00846436"/>
    <w:rsid w:val="00847DE6"/>
    <w:rsid w:val="008547EA"/>
    <w:rsid w:val="0086324F"/>
    <w:rsid w:val="0086400A"/>
    <w:rsid w:val="00866424"/>
    <w:rsid w:val="00866C0D"/>
    <w:rsid w:val="00871A05"/>
    <w:rsid w:val="0087278C"/>
    <w:rsid w:val="00877114"/>
    <w:rsid w:val="00880266"/>
    <w:rsid w:val="008823A8"/>
    <w:rsid w:val="0088437F"/>
    <w:rsid w:val="0088449F"/>
    <w:rsid w:val="00886360"/>
    <w:rsid w:val="00886566"/>
    <w:rsid w:val="00891A40"/>
    <w:rsid w:val="00893E95"/>
    <w:rsid w:val="008942B3"/>
    <w:rsid w:val="008956E2"/>
    <w:rsid w:val="00895A5E"/>
    <w:rsid w:val="00896492"/>
    <w:rsid w:val="008973C5"/>
    <w:rsid w:val="008A05A5"/>
    <w:rsid w:val="008A60FA"/>
    <w:rsid w:val="008A6482"/>
    <w:rsid w:val="008B04D1"/>
    <w:rsid w:val="008B0C2C"/>
    <w:rsid w:val="008B1229"/>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E0732"/>
    <w:rsid w:val="008E30A9"/>
    <w:rsid w:val="008E3E6B"/>
    <w:rsid w:val="008E4852"/>
    <w:rsid w:val="008E6927"/>
    <w:rsid w:val="008E6AD3"/>
    <w:rsid w:val="008E6E2E"/>
    <w:rsid w:val="008E75F7"/>
    <w:rsid w:val="008E76BC"/>
    <w:rsid w:val="008F0522"/>
    <w:rsid w:val="008F0F7E"/>
    <w:rsid w:val="008F14E3"/>
    <w:rsid w:val="008F2490"/>
    <w:rsid w:val="008F72C2"/>
    <w:rsid w:val="00900A58"/>
    <w:rsid w:val="00901FC9"/>
    <w:rsid w:val="00903686"/>
    <w:rsid w:val="009061F8"/>
    <w:rsid w:val="00910D4A"/>
    <w:rsid w:val="009138C8"/>
    <w:rsid w:val="009145D6"/>
    <w:rsid w:val="00915C8F"/>
    <w:rsid w:val="009163AC"/>
    <w:rsid w:val="00920CD0"/>
    <w:rsid w:val="00920F8B"/>
    <w:rsid w:val="00922682"/>
    <w:rsid w:val="009228EF"/>
    <w:rsid w:val="00922A9A"/>
    <w:rsid w:val="00922EA4"/>
    <w:rsid w:val="009236F4"/>
    <w:rsid w:val="00926B91"/>
    <w:rsid w:val="009306A4"/>
    <w:rsid w:val="00931E1D"/>
    <w:rsid w:val="00931F8A"/>
    <w:rsid w:val="0093289B"/>
    <w:rsid w:val="0093328D"/>
    <w:rsid w:val="00933A93"/>
    <w:rsid w:val="00937741"/>
    <w:rsid w:val="009379D9"/>
    <w:rsid w:val="00942C81"/>
    <w:rsid w:val="009450D3"/>
    <w:rsid w:val="009453F1"/>
    <w:rsid w:val="00947F35"/>
    <w:rsid w:val="00950637"/>
    <w:rsid w:val="0095148A"/>
    <w:rsid w:val="00954F75"/>
    <w:rsid w:val="00960554"/>
    <w:rsid w:val="009606A0"/>
    <w:rsid w:val="009647B3"/>
    <w:rsid w:val="00965604"/>
    <w:rsid w:val="009743E1"/>
    <w:rsid w:val="0097554E"/>
    <w:rsid w:val="0097683E"/>
    <w:rsid w:val="00976DDD"/>
    <w:rsid w:val="00977FF8"/>
    <w:rsid w:val="009834C6"/>
    <w:rsid w:val="00983A92"/>
    <w:rsid w:val="00984909"/>
    <w:rsid w:val="0098503F"/>
    <w:rsid w:val="009866FE"/>
    <w:rsid w:val="009878D7"/>
    <w:rsid w:val="0099190B"/>
    <w:rsid w:val="0099396F"/>
    <w:rsid w:val="009A11D4"/>
    <w:rsid w:val="009A1299"/>
    <w:rsid w:val="009A1E73"/>
    <w:rsid w:val="009A25C1"/>
    <w:rsid w:val="009A2991"/>
    <w:rsid w:val="009A2C67"/>
    <w:rsid w:val="009A39C9"/>
    <w:rsid w:val="009A50A6"/>
    <w:rsid w:val="009A5D8A"/>
    <w:rsid w:val="009A6E80"/>
    <w:rsid w:val="009B280B"/>
    <w:rsid w:val="009B4502"/>
    <w:rsid w:val="009B6149"/>
    <w:rsid w:val="009B66B9"/>
    <w:rsid w:val="009C056F"/>
    <w:rsid w:val="009C0E80"/>
    <w:rsid w:val="009C40CA"/>
    <w:rsid w:val="009C6660"/>
    <w:rsid w:val="009C752A"/>
    <w:rsid w:val="009C7A19"/>
    <w:rsid w:val="009C7A9A"/>
    <w:rsid w:val="009D1302"/>
    <w:rsid w:val="009D4D04"/>
    <w:rsid w:val="009D4D24"/>
    <w:rsid w:val="009D6296"/>
    <w:rsid w:val="009D78D3"/>
    <w:rsid w:val="009E3235"/>
    <w:rsid w:val="009E368D"/>
    <w:rsid w:val="009E6CCC"/>
    <w:rsid w:val="009E71DC"/>
    <w:rsid w:val="009F046B"/>
    <w:rsid w:val="009F0655"/>
    <w:rsid w:val="009F193B"/>
    <w:rsid w:val="009F3245"/>
    <w:rsid w:val="009F497C"/>
    <w:rsid w:val="00A01A01"/>
    <w:rsid w:val="00A03AD1"/>
    <w:rsid w:val="00A0460C"/>
    <w:rsid w:val="00A05D72"/>
    <w:rsid w:val="00A0714D"/>
    <w:rsid w:val="00A112E5"/>
    <w:rsid w:val="00A13072"/>
    <w:rsid w:val="00A1392A"/>
    <w:rsid w:val="00A14A9A"/>
    <w:rsid w:val="00A15CCE"/>
    <w:rsid w:val="00A16C6F"/>
    <w:rsid w:val="00A1752E"/>
    <w:rsid w:val="00A22EB3"/>
    <w:rsid w:val="00A268C6"/>
    <w:rsid w:val="00A3092D"/>
    <w:rsid w:val="00A339CB"/>
    <w:rsid w:val="00A36181"/>
    <w:rsid w:val="00A37683"/>
    <w:rsid w:val="00A411AB"/>
    <w:rsid w:val="00A41A8D"/>
    <w:rsid w:val="00A42C5F"/>
    <w:rsid w:val="00A43E0C"/>
    <w:rsid w:val="00A44C2F"/>
    <w:rsid w:val="00A46746"/>
    <w:rsid w:val="00A50A7E"/>
    <w:rsid w:val="00A5210D"/>
    <w:rsid w:val="00A5689B"/>
    <w:rsid w:val="00A60BA9"/>
    <w:rsid w:val="00A645ED"/>
    <w:rsid w:val="00A65F61"/>
    <w:rsid w:val="00A6692A"/>
    <w:rsid w:val="00A66F08"/>
    <w:rsid w:val="00A674A2"/>
    <w:rsid w:val="00A67C9C"/>
    <w:rsid w:val="00A707F6"/>
    <w:rsid w:val="00A711E4"/>
    <w:rsid w:val="00A71F27"/>
    <w:rsid w:val="00A72208"/>
    <w:rsid w:val="00A72F12"/>
    <w:rsid w:val="00A7336C"/>
    <w:rsid w:val="00A73971"/>
    <w:rsid w:val="00A74461"/>
    <w:rsid w:val="00A749F6"/>
    <w:rsid w:val="00A7625C"/>
    <w:rsid w:val="00A77E3B"/>
    <w:rsid w:val="00A80477"/>
    <w:rsid w:val="00A80B07"/>
    <w:rsid w:val="00A823D2"/>
    <w:rsid w:val="00A82A76"/>
    <w:rsid w:val="00A832EE"/>
    <w:rsid w:val="00A8453B"/>
    <w:rsid w:val="00A8609F"/>
    <w:rsid w:val="00A904FA"/>
    <w:rsid w:val="00A918CF"/>
    <w:rsid w:val="00A92208"/>
    <w:rsid w:val="00A97849"/>
    <w:rsid w:val="00AA1D2A"/>
    <w:rsid w:val="00AA2588"/>
    <w:rsid w:val="00AA4114"/>
    <w:rsid w:val="00AA44AB"/>
    <w:rsid w:val="00AA5B73"/>
    <w:rsid w:val="00AA727A"/>
    <w:rsid w:val="00AA7E28"/>
    <w:rsid w:val="00AA7F0E"/>
    <w:rsid w:val="00AB0580"/>
    <w:rsid w:val="00AB1696"/>
    <w:rsid w:val="00AB2A3A"/>
    <w:rsid w:val="00AB2AC9"/>
    <w:rsid w:val="00AB3E2E"/>
    <w:rsid w:val="00AB413A"/>
    <w:rsid w:val="00AB716E"/>
    <w:rsid w:val="00AB7706"/>
    <w:rsid w:val="00AC1379"/>
    <w:rsid w:val="00AC1DBF"/>
    <w:rsid w:val="00AC26FE"/>
    <w:rsid w:val="00AC2C42"/>
    <w:rsid w:val="00AC436E"/>
    <w:rsid w:val="00AC4BCB"/>
    <w:rsid w:val="00AC5FC9"/>
    <w:rsid w:val="00AC7EAA"/>
    <w:rsid w:val="00AD076C"/>
    <w:rsid w:val="00AD0F81"/>
    <w:rsid w:val="00AD2306"/>
    <w:rsid w:val="00AD2A28"/>
    <w:rsid w:val="00AD5379"/>
    <w:rsid w:val="00AD5A11"/>
    <w:rsid w:val="00AD5A23"/>
    <w:rsid w:val="00AD7F8A"/>
    <w:rsid w:val="00AE21AD"/>
    <w:rsid w:val="00AE5026"/>
    <w:rsid w:val="00AE5289"/>
    <w:rsid w:val="00AE5523"/>
    <w:rsid w:val="00AE5FFC"/>
    <w:rsid w:val="00AE6336"/>
    <w:rsid w:val="00AF3065"/>
    <w:rsid w:val="00AF375B"/>
    <w:rsid w:val="00AF7FCB"/>
    <w:rsid w:val="00B0184C"/>
    <w:rsid w:val="00B0438D"/>
    <w:rsid w:val="00B04D7A"/>
    <w:rsid w:val="00B053D2"/>
    <w:rsid w:val="00B06A46"/>
    <w:rsid w:val="00B12E1D"/>
    <w:rsid w:val="00B131EB"/>
    <w:rsid w:val="00B13D2F"/>
    <w:rsid w:val="00B14799"/>
    <w:rsid w:val="00B15281"/>
    <w:rsid w:val="00B22B4E"/>
    <w:rsid w:val="00B243A1"/>
    <w:rsid w:val="00B25DEA"/>
    <w:rsid w:val="00B2665F"/>
    <w:rsid w:val="00B3049D"/>
    <w:rsid w:val="00B3360C"/>
    <w:rsid w:val="00B33BF4"/>
    <w:rsid w:val="00B370CA"/>
    <w:rsid w:val="00B40C75"/>
    <w:rsid w:val="00B46039"/>
    <w:rsid w:val="00B46814"/>
    <w:rsid w:val="00B51151"/>
    <w:rsid w:val="00B5328C"/>
    <w:rsid w:val="00B566BA"/>
    <w:rsid w:val="00B5743B"/>
    <w:rsid w:val="00B63A2F"/>
    <w:rsid w:val="00B63C56"/>
    <w:rsid w:val="00B65B64"/>
    <w:rsid w:val="00B66BCE"/>
    <w:rsid w:val="00B679BD"/>
    <w:rsid w:val="00B72D66"/>
    <w:rsid w:val="00B76B51"/>
    <w:rsid w:val="00B8120E"/>
    <w:rsid w:val="00B82ED6"/>
    <w:rsid w:val="00B84032"/>
    <w:rsid w:val="00B84AE4"/>
    <w:rsid w:val="00B852D6"/>
    <w:rsid w:val="00B855CE"/>
    <w:rsid w:val="00B90720"/>
    <w:rsid w:val="00B910F9"/>
    <w:rsid w:val="00B91BC8"/>
    <w:rsid w:val="00B95D58"/>
    <w:rsid w:val="00BA023F"/>
    <w:rsid w:val="00BA213C"/>
    <w:rsid w:val="00BA2EB9"/>
    <w:rsid w:val="00BA5DE0"/>
    <w:rsid w:val="00BB03C4"/>
    <w:rsid w:val="00BB0B33"/>
    <w:rsid w:val="00BB244A"/>
    <w:rsid w:val="00BB2863"/>
    <w:rsid w:val="00BB2F0D"/>
    <w:rsid w:val="00BB37AC"/>
    <w:rsid w:val="00BB475B"/>
    <w:rsid w:val="00BB4F49"/>
    <w:rsid w:val="00BB6B7B"/>
    <w:rsid w:val="00BB7314"/>
    <w:rsid w:val="00BB7BC4"/>
    <w:rsid w:val="00BC0BB2"/>
    <w:rsid w:val="00BC55CC"/>
    <w:rsid w:val="00BD3223"/>
    <w:rsid w:val="00BD3E5E"/>
    <w:rsid w:val="00BD683F"/>
    <w:rsid w:val="00BD7D24"/>
    <w:rsid w:val="00BD7F6D"/>
    <w:rsid w:val="00BE18B8"/>
    <w:rsid w:val="00BE1E82"/>
    <w:rsid w:val="00BE1F1F"/>
    <w:rsid w:val="00BE439D"/>
    <w:rsid w:val="00BE6022"/>
    <w:rsid w:val="00BE609B"/>
    <w:rsid w:val="00BF037B"/>
    <w:rsid w:val="00BF10CB"/>
    <w:rsid w:val="00BF28D1"/>
    <w:rsid w:val="00BF503E"/>
    <w:rsid w:val="00BF590E"/>
    <w:rsid w:val="00BF6EAA"/>
    <w:rsid w:val="00BF749F"/>
    <w:rsid w:val="00C000AA"/>
    <w:rsid w:val="00C00B69"/>
    <w:rsid w:val="00C01813"/>
    <w:rsid w:val="00C10438"/>
    <w:rsid w:val="00C1070A"/>
    <w:rsid w:val="00C11974"/>
    <w:rsid w:val="00C12A40"/>
    <w:rsid w:val="00C155EA"/>
    <w:rsid w:val="00C176C7"/>
    <w:rsid w:val="00C20FA9"/>
    <w:rsid w:val="00C25FA1"/>
    <w:rsid w:val="00C270F6"/>
    <w:rsid w:val="00C273E7"/>
    <w:rsid w:val="00C33D96"/>
    <w:rsid w:val="00C33E06"/>
    <w:rsid w:val="00C35559"/>
    <w:rsid w:val="00C3693E"/>
    <w:rsid w:val="00C37333"/>
    <w:rsid w:val="00C417C5"/>
    <w:rsid w:val="00C45ED8"/>
    <w:rsid w:val="00C462E8"/>
    <w:rsid w:val="00C47068"/>
    <w:rsid w:val="00C53914"/>
    <w:rsid w:val="00C556F7"/>
    <w:rsid w:val="00C56046"/>
    <w:rsid w:val="00C603B2"/>
    <w:rsid w:val="00C6197B"/>
    <w:rsid w:val="00C63D7F"/>
    <w:rsid w:val="00C7219E"/>
    <w:rsid w:val="00C72F62"/>
    <w:rsid w:val="00C733CC"/>
    <w:rsid w:val="00C748A2"/>
    <w:rsid w:val="00C74C14"/>
    <w:rsid w:val="00C80803"/>
    <w:rsid w:val="00C83993"/>
    <w:rsid w:val="00C86E22"/>
    <w:rsid w:val="00C90A5D"/>
    <w:rsid w:val="00C92D2F"/>
    <w:rsid w:val="00C95406"/>
    <w:rsid w:val="00C9543F"/>
    <w:rsid w:val="00C95AE0"/>
    <w:rsid w:val="00C95F4E"/>
    <w:rsid w:val="00C96254"/>
    <w:rsid w:val="00C96CD2"/>
    <w:rsid w:val="00CA1203"/>
    <w:rsid w:val="00CA592F"/>
    <w:rsid w:val="00CA794F"/>
    <w:rsid w:val="00CB2280"/>
    <w:rsid w:val="00CB506B"/>
    <w:rsid w:val="00CB7545"/>
    <w:rsid w:val="00CC080C"/>
    <w:rsid w:val="00CC1C6D"/>
    <w:rsid w:val="00CC1CF2"/>
    <w:rsid w:val="00CC1F7D"/>
    <w:rsid w:val="00CC2B6C"/>
    <w:rsid w:val="00CC32EA"/>
    <w:rsid w:val="00CC3794"/>
    <w:rsid w:val="00CC3AC9"/>
    <w:rsid w:val="00CC3EC7"/>
    <w:rsid w:val="00CC677A"/>
    <w:rsid w:val="00CC6D97"/>
    <w:rsid w:val="00CC75CC"/>
    <w:rsid w:val="00CC75E0"/>
    <w:rsid w:val="00CC79E3"/>
    <w:rsid w:val="00CD02AF"/>
    <w:rsid w:val="00CD0729"/>
    <w:rsid w:val="00CD1625"/>
    <w:rsid w:val="00CD32CA"/>
    <w:rsid w:val="00CD386B"/>
    <w:rsid w:val="00CD38EC"/>
    <w:rsid w:val="00CD3CC0"/>
    <w:rsid w:val="00CD757F"/>
    <w:rsid w:val="00CD7FBF"/>
    <w:rsid w:val="00CE0886"/>
    <w:rsid w:val="00CE43EA"/>
    <w:rsid w:val="00CE6E12"/>
    <w:rsid w:val="00CE6EC2"/>
    <w:rsid w:val="00CE72B2"/>
    <w:rsid w:val="00CE7AB2"/>
    <w:rsid w:val="00CF088B"/>
    <w:rsid w:val="00CF21F3"/>
    <w:rsid w:val="00CF43E5"/>
    <w:rsid w:val="00CF4C62"/>
    <w:rsid w:val="00D00E71"/>
    <w:rsid w:val="00D02E67"/>
    <w:rsid w:val="00D044D1"/>
    <w:rsid w:val="00D05384"/>
    <w:rsid w:val="00D0728D"/>
    <w:rsid w:val="00D10B05"/>
    <w:rsid w:val="00D10C64"/>
    <w:rsid w:val="00D10ED4"/>
    <w:rsid w:val="00D12331"/>
    <w:rsid w:val="00D13840"/>
    <w:rsid w:val="00D14DAB"/>
    <w:rsid w:val="00D16127"/>
    <w:rsid w:val="00D16CA3"/>
    <w:rsid w:val="00D217ED"/>
    <w:rsid w:val="00D218A5"/>
    <w:rsid w:val="00D2397F"/>
    <w:rsid w:val="00D24AC2"/>
    <w:rsid w:val="00D255F2"/>
    <w:rsid w:val="00D26DDF"/>
    <w:rsid w:val="00D312BE"/>
    <w:rsid w:val="00D3193B"/>
    <w:rsid w:val="00D31F49"/>
    <w:rsid w:val="00D3205F"/>
    <w:rsid w:val="00D33973"/>
    <w:rsid w:val="00D40906"/>
    <w:rsid w:val="00D40A4F"/>
    <w:rsid w:val="00D4207A"/>
    <w:rsid w:val="00D43149"/>
    <w:rsid w:val="00D43A9A"/>
    <w:rsid w:val="00D43AE2"/>
    <w:rsid w:val="00D51EF3"/>
    <w:rsid w:val="00D51FAC"/>
    <w:rsid w:val="00D53106"/>
    <w:rsid w:val="00D53698"/>
    <w:rsid w:val="00D55CF8"/>
    <w:rsid w:val="00D56BB0"/>
    <w:rsid w:val="00D5720F"/>
    <w:rsid w:val="00D60047"/>
    <w:rsid w:val="00D61981"/>
    <w:rsid w:val="00D63491"/>
    <w:rsid w:val="00D64300"/>
    <w:rsid w:val="00D657FE"/>
    <w:rsid w:val="00D65E6C"/>
    <w:rsid w:val="00D661CD"/>
    <w:rsid w:val="00D6624F"/>
    <w:rsid w:val="00D66253"/>
    <w:rsid w:val="00D664B2"/>
    <w:rsid w:val="00D665C9"/>
    <w:rsid w:val="00D66EB1"/>
    <w:rsid w:val="00D70564"/>
    <w:rsid w:val="00D707DF"/>
    <w:rsid w:val="00D72929"/>
    <w:rsid w:val="00D75EB7"/>
    <w:rsid w:val="00D76EC7"/>
    <w:rsid w:val="00D87434"/>
    <w:rsid w:val="00D906A2"/>
    <w:rsid w:val="00D9361F"/>
    <w:rsid w:val="00D94EFC"/>
    <w:rsid w:val="00DA2C32"/>
    <w:rsid w:val="00DA314D"/>
    <w:rsid w:val="00DA5439"/>
    <w:rsid w:val="00DB33CD"/>
    <w:rsid w:val="00DB36EC"/>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5542"/>
    <w:rsid w:val="00DD62ED"/>
    <w:rsid w:val="00DD69A8"/>
    <w:rsid w:val="00DE1993"/>
    <w:rsid w:val="00DE2611"/>
    <w:rsid w:val="00DE4276"/>
    <w:rsid w:val="00DE58C4"/>
    <w:rsid w:val="00DE671D"/>
    <w:rsid w:val="00DF02DC"/>
    <w:rsid w:val="00DF151F"/>
    <w:rsid w:val="00DF38FD"/>
    <w:rsid w:val="00DF78E5"/>
    <w:rsid w:val="00DF7A01"/>
    <w:rsid w:val="00E0044C"/>
    <w:rsid w:val="00E04D6F"/>
    <w:rsid w:val="00E05F68"/>
    <w:rsid w:val="00E0627D"/>
    <w:rsid w:val="00E065A0"/>
    <w:rsid w:val="00E0732A"/>
    <w:rsid w:val="00E10A39"/>
    <w:rsid w:val="00E10DBF"/>
    <w:rsid w:val="00E1156D"/>
    <w:rsid w:val="00E11891"/>
    <w:rsid w:val="00E14559"/>
    <w:rsid w:val="00E14ACD"/>
    <w:rsid w:val="00E1632E"/>
    <w:rsid w:val="00E1684F"/>
    <w:rsid w:val="00E1792B"/>
    <w:rsid w:val="00E1797C"/>
    <w:rsid w:val="00E17B8F"/>
    <w:rsid w:val="00E17C2D"/>
    <w:rsid w:val="00E20424"/>
    <w:rsid w:val="00E23A8B"/>
    <w:rsid w:val="00E25973"/>
    <w:rsid w:val="00E25BAE"/>
    <w:rsid w:val="00E31805"/>
    <w:rsid w:val="00E346E7"/>
    <w:rsid w:val="00E37BA8"/>
    <w:rsid w:val="00E37FEA"/>
    <w:rsid w:val="00E46C05"/>
    <w:rsid w:val="00E50E44"/>
    <w:rsid w:val="00E52015"/>
    <w:rsid w:val="00E53B0A"/>
    <w:rsid w:val="00E54908"/>
    <w:rsid w:val="00E5696E"/>
    <w:rsid w:val="00E5790A"/>
    <w:rsid w:val="00E6015F"/>
    <w:rsid w:val="00E60830"/>
    <w:rsid w:val="00E61C9F"/>
    <w:rsid w:val="00E64A04"/>
    <w:rsid w:val="00E67EFE"/>
    <w:rsid w:val="00E72094"/>
    <w:rsid w:val="00E73764"/>
    <w:rsid w:val="00E73B51"/>
    <w:rsid w:val="00E7411C"/>
    <w:rsid w:val="00E757A6"/>
    <w:rsid w:val="00E76560"/>
    <w:rsid w:val="00E77367"/>
    <w:rsid w:val="00E81E3C"/>
    <w:rsid w:val="00E87B3F"/>
    <w:rsid w:val="00E87D58"/>
    <w:rsid w:val="00E90D59"/>
    <w:rsid w:val="00E924F0"/>
    <w:rsid w:val="00E943A9"/>
    <w:rsid w:val="00E94D0C"/>
    <w:rsid w:val="00EA2356"/>
    <w:rsid w:val="00EA2AAC"/>
    <w:rsid w:val="00EA384D"/>
    <w:rsid w:val="00EA5257"/>
    <w:rsid w:val="00EA73B5"/>
    <w:rsid w:val="00EB2E65"/>
    <w:rsid w:val="00EB7C77"/>
    <w:rsid w:val="00EC0322"/>
    <w:rsid w:val="00EC0B2B"/>
    <w:rsid w:val="00EC21D7"/>
    <w:rsid w:val="00EC2886"/>
    <w:rsid w:val="00EC70C3"/>
    <w:rsid w:val="00EC74B2"/>
    <w:rsid w:val="00ED6E0A"/>
    <w:rsid w:val="00ED79B5"/>
    <w:rsid w:val="00EE0679"/>
    <w:rsid w:val="00EE10AD"/>
    <w:rsid w:val="00EE29E1"/>
    <w:rsid w:val="00EE3206"/>
    <w:rsid w:val="00EE3351"/>
    <w:rsid w:val="00EE439D"/>
    <w:rsid w:val="00EE4873"/>
    <w:rsid w:val="00EF068B"/>
    <w:rsid w:val="00EF1020"/>
    <w:rsid w:val="00EF2304"/>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5E09"/>
    <w:rsid w:val="00F16175"/>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40ED4"/>
    <w:rsid w:val="00F41CFD"/>
    <w:rsid w:val="00F43BF6"/>
    <w:rsid w:val="00F4492D"/>
    <w:rsid w:val="00F46B75"/>
    <w:rsid w:val="00F46C2C"/>
    <w:rsid w:val="00F5081F"/>
    <w:rsid w:val="00F52E04"/>
    <w:rsid w:val="00F54C88"/>
    <w:rsid w:val="00F54F93"/>
    <w:rsid w:val="00F609A9"/>
    <w:rsid w:val="00F614E0"/>
    <w:rsid w:val="00F647D9"/>
    <w:rsid w:val="00F648EE"/>
    <w:rsid w:val="00F6552B"/>
    <w:rsid w:val="00F6711A"/>
    <w:rsid w:val="00F71D99"/>
    <w:rsid w:val="00F72CBA"/>
    <w:rsid w:val="00F73BC3"/>
    <w:rsid w:val="00F7480A"/>
    <w:rsid w:val="00F759C3"/>
    <w:rsid w:val="00F8192C"/>
    <w:rsid w:val="00F84C18"/>
    <w:rsid w:val="00F87A1F"/>
    <w:rsid w:val="00F94B48"/>
    <w:rsid w:val="00F9549B"/>
    <w:rsid w:val="00FA0364"/>
    <w:rsid w:val="00FA14C3"/>
    <w:rsid w:val="00FA15B1"/>
    <w:rsid w:val="00FA1D2E"/>
    <w:rsid w:val="00FA2D53"/>
    <w:rsid w:val="00FA7DCC"/>
    <w:rsid w:val="00FB0ED0"/>
    <w:rsid w:val="00FB2AAD"/>
    <w:rsid w:val="00FB2AEF"/>
    <w:rsid w:val="00FB2B1F"/>
    <w:rsid w:val="00FB2C32"/>
    <w:rsid w:val="00FB428E"/>
    <w:rsid w:val="00FB4FFB"/>
    <w:rsid w:val="00FB5E82"/>
    <w:rsid w:val="00FB690E"/>
    <w:rsid w:val="00FC3D12"/>
    <w:rsid w:val="00FC3FFB"/>
    <w:rsid w:val="00FC4430"/>
    <w:rsid w:val="00FC4AA4"/>
    <w:rsid w:val="00FC525E"/>
    <w:rsid w:val="00FC554E"/>
    <w:rsid w:val="00FC5DBA"/>
    <w:rsid w:val="00FD0B41"/>
    <w:rsid w:val="00FD1CF2"/>
    <w:rsid w:val="00FD1E8A"/>
    <w:rsid w:val="00FD2F13"/>
    <w:rsid w:val="00FD4156"/>
    <w:rsid w:val="00FE06D9"/>
    <w:rsid w:val="00FE21B3"/>
    <w:rsid w:val="00FE2BE2"/>
    <w:rsid w:val="00FE2F95"/>
    <w:rsid w:val="00FE7935"/>
    <w:rsid w:val="00FF229A"/>
    <w:rsid w:val="00FF3908"/>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DBF"/>
  </w:style>
  <w:style w:type="paragraph" w:styleId="Heading1">
    <w:name w:val="heading 1"/>
    <w:basedOn w:val="Normal"/>
    <w:link w:val="Heading1Char"/>
    <w:uiPriority w:val="9"/>
    <w:qFormat/>
    <w:rsid w:val="000F05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link w:val="Heading2Char"/>
    <w:uiPriority w:val="9"/>
    <w:qFormat/>
    <w:rsid w:val="000F05DA"/>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0F05D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5DA"/>
    <w:rPr>
      <w:rFonts w:ascii="Times New Roman" w:eastAsia="Times New Roman" w:hAnsi="Times New Roman" w:cs="Times New Roman"/>
      <w:b/>
      <w:bCs/>
      <w:kern w:val="36"/>
      <w:sz w:val="48"/>
      <w:szCs w:val="48"/>
      <w:lang w:eastAsia="en-NZ"/>
    </w:rPr>
  </w:style>
  <w:style w:type="character" w:customStyle="1" w:styleId="Heading2Char">
    <w:name w:val="Heading 2 Char"/>
    <w:basedOn w:val="DefaultParagraphFont"/>
    <w:link w:val="Heading2"/>
    <w:uiPriority w:val="9"/>
    <w:rsid w:val="000F05DA"/>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0F05DA"/>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sz w:val="22"/>
      <w:lang w:val="en-US" w:eastAsia="ja-JP"/>
    </w:rPr>
  </w:style>
  <w:style w:type="paragraph" w:styleId="TOC1">
    <w:name w:val="toc 1"/>
    <w:basedOn w:val="Normal"/>
    <w:next w:val="Normal"/>
    <w:autoRedefine/>
    <w:uiPriority w:val="39"/>
    <w:unhideWhenUsed/>
    <w:qFormat/>
    <w:rsid w:val="007D3C80"/>
    <w:pPr>
      <w:spacing w:after="100"/>
    </w:pPr>
    <w:rPr>
      <w:rFonts w:asciiTheme="minorHAnsi" w:eastAsiaTheme="minorEastAsia" w:hAnsiTheme="minorHAnsi"/>
      <w:sz w:val="22"/>
      <w:lang w:val="en-US" w:eastAsia="ja-JP"/>
    </w:rPr>
  </w:style>
  <w:style w:type="paragraph" w:styleId="TOC3">
    <w:name w:val="toc 3"/>
    <w:basedOn w:val="Normal"/>
    <w:next w:val="Normal"/>
    <w:autoRedefine/>
    <w:uiPriority w:val="39"/>
    <w:unhideWhenUsed/>
    <w:qFormat/>
    <w:rsid w:val="007D3C80"/>
    <w:pPr>
      <w:spacing w:after="100"/>
      <w:ind w:left="440"/>
    </w:pPr>
    <w:rPr>
      <w:rFonts w:asciiTheme="minorHAnsi" w:eastAsiaTheme="minorEastAsia" w:hAnsiTheme="minorHAnsi"/>
      <w:sz w:val="22"/>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2001422614">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6114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153341980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130701000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8333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 w:id="2824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223764126">
              <w:marLeft w:val="0"/>
              <w:marRight w:val="0"/>
              <w:marTop w:val="0"/>
              <w:marBottom w:val="0"/>
              <w:divBdr>
                <w:top w:val="none" w:sz="0" w:space="0" w:color="auto"/>
                <w:left w:val="none" w:sz="0" w:space="0" w:color="auto"/>
                <w:bottom w:val="none" w:sz="0" w:space="0" w:color="auto"/>
                <w:right w:val="none" w:sz="0" w:space="0" w:color="auto"/>
              </w:divBdr>
            </w:div>
            <w:div w:id="1097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351629/Annual_report_2013_1.pdf" TargetMode="External"/><Relationship Id="rId18" Type="http://schemas.openxmlformats.org/officeDocument/2006/relationships/hyperlink" Target="http://www.health.org.uk/public/cms/75/76/313/4981/More%20than%20money%20-%20closing%20the%20NHS%20quality%20gap.pdf?realName=CCJLmJ.pdf" TargetMode="External"/><Relationship Id="rId26" Type="http://schemas.openxmlformats.org/officeDocument/2006/relationships/hyperlink" Target="http://www.kingsfund.org.uk/sites/files/kf/field/field_publication_file/transforming-mental-health-london-kingsfund-sep2014.pdf" TargetMode="External"/><Relationship Id="rId39" Type="http://schemas.openxmlformats.org/officeDocument/2006/relationships/hyperlink" Target="http://www.demos.co.uk/files/Demos_CORC_report.pdf?1409673172" TargetMode="External"/><Relationship Id="rId21" Type="http://schemas.openxmlformats.org/officeDocument/2006/relationships/hyperlink" Target="http://www.productivity.govt.nz/sites/default/files/regulatory-institutions-and-practices-final-report.pdf" TargetMode="External"/><Relationship Id="rId34" Type="http://schemas.openxmlformats.org/officeDocument/2006/relationships/hyperlink" Target="http://www.euro.who.int/__data/assets/pdf_file/0004/256783/Tackling-health-inequities-from-concepts-to-practice-The-experience-of-Vastra-Gotaland.pdf?ua=1" TargetMode="External"/><Relationship Id="rId42" Type="http://schemas.openxmlformats.org/officeDocument/2006/relationships/hyperlink" Target="http://www.percapita.org.au/_dbase_upl/BlueprintForAnAgeingAustralia.pdf" TargetMode="External"/><Relationship Id="rId47" Type="http://schemas.openxmlformats.org/officeDocument/2006/relationships/hyperlink" Target="http://www.laingbuisson.co.uk/Portals/1/Media_Packs/Fact_Sheets/LaingBuisson_White_Paper_LongTermCare.pdf" TargetMode="External"/><Relationship Id="rId50" Type="http://schemas.openxmlformats.org/officeDocument/2006/relationships/hyperlink" Target="http://www.nuffieldtrust.org.uk/sites/files/nuffield/publication/end_of_life_care.pdf" TargetMode="External"/><Relationship Id="rId55" Type="http://schemas.openxmlformats.org/officeDocument/2006/relationships/hyperlink" Target="http://www.whitehouse.gov/sites/default/files/docs/carb_national_strategy.pdf" TargetMode="External"/><Relationship Id="rId63" Type="http://schemas.openxmlformats.org/officeDocument/2006/relationships/hyperlink" Target="http://www.effectivehealthcare.ahrq.gov/ehc/products/537/1953/vitamin-d-calcium-report-140902.pdf" TargetMode="External"/><Relationship Id="rId68" Type="http://schemas.openxmlformats.org/officeDocument/2006/relationships/hyperlink" Target="http://www.rcseng.ac.uk/surgeons/surgical-standards/professionalism-surgery/gsp/documents/good-surgical-practice-pdf"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iom.edu/Reports/2014/Investing-in-Global-Health-Systems-Sustaining-Gains-Transforming-Lives.aspx" TargetMode="External"/><Relationship Id="rId2" Type="http://schemas.openxmlformats.org/officeDocument/2006/relationships/numbering" Target="numbering.xml"/><Relationship Id="rId16" Type="http://schemas.openxmlformats.org/officeDocument/2006/relationships/hyperlink" Target="http://www.pointresearch.co.nz/Working_together_prevent_family_&amp;_sexual_violence.pdf" TargetMode="External"/><Relationship Id="rId29" Type="http://schemas.openxmlformats.org/officeDocument/2006/relationships/hyperlink" Target="http://healthaffairs.org/healthpolicybriefs/brief_pdfs/healthpolicybrief_123.pdf" TargetMode="External"/><Relationship Id="rId11" Type="http://schemas.openxmlformats.org/officeDocument/2006/relationships/hyperlink" Target="mailto:library@moh.govt.nz?subject=I%20would%20like%20to%20subscribe%20to%20Grey%20Matter." TargetMode="External"/><Relationship Id="rId24" Type="http://schemas.openxmlformats.org/officeDocument/2006/relationships/hyperlink" Target="http://www.euro.who.int/__data/assets/pdf_file/0005/257513/Smart-governance-for-health-and-well-being-the-evidence.pdf?ua=1" TargetMode="External"/><Relationship Id="rId32" Type="http://schemas.openxmlformats.org/officeDocument/2006/relationships/hyperlink" Target="http://www.cles.org.uk/wp-content/uploads/2014/09/Due-North-Report-of-the-Inquiry-on-Health-Equity-in-the-North-final1.pdf" TargetMode="External"/><Relationship Id="rId37" Type="http://schemas.openxmlformats.org/officeDocument/2006/relationships/hyperlink" Target="http://www.cfwi.org.uk/publications/scenario-generation-enhancing-scenario-generation-and-quantification-3/attachment.pdf" TargetMode="External"/><Relationship Id="rId40" Type="http://schemas.openxmlformats.org/officeDocument/2006/relationships/hyperlink" Target="http://www.kingsfund.org.uk/sites/files/kf/field/field_publication_file/Commission%20Final%20%20interactive.pdf" TargetMode="External"/><Relationship Id="rId45" Type="http://schemas.openxmlformats.org/officeDocument/2006/relationships/hyperlink" Target="http://www.alz.co.uk/research/WorldAlzheimerReport2014.pdf" TargetMode="External"/><Relationship Id="rId53" Type="http://schemas.openxmlformats.org/officeDocument/2006/relationships/hyperlink" Target="http://drugpolicy.ca/wp-content/uploads/2014/09/global_commission_EN.pdf" TargetMode="External"/><Relationship Id="rId58" Type="http://schemas.openxmlformats.org/officeDocument/2006/relationships/hyperlink" Target="http://www.nesta.org.uk/sites/default/files/people_helping_people_the_future_of_public_services_wv.pdf" TargetMode="External"/><Relationship Id="rId66" Type="http://schemas.openxmlformats.org/officeDocument/2006/relationships/hyperlink" Target="http://www.evaluationsupportscotland.org.uk/media/uploads/resources/ess-evidenceforsuccess-weblinked.pdf" TargetMode="External"/><Relationship Id="rId7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apps.who.int/gb/fctc/PDF/cop6/FCTC_COP6_10-en.pdf" TargetMode="External"/><Relationship Id="rId23" Type="http://schemas.openxmlformats.org/officeDocument/2006/relationships/hyperlink" Target="http://www.iom.edu/~/media/Files/Perspectives-Files/2014/Discussion-Papers/closingtheloop.pdf" TargetMode="External"/><Relationship Id="rId28" Type="http://schemas.openxmlformats.org/officeDocument/2006/relationships/hyperlink" Target="http://apo.org.au/files/Resource/cpf-vuw_indicators-of-inequality_2014.pdf" TargetMode="External"/><Relationship Id="rId36" Type="http://schemas.openxmlformats.org/officeDocument/2006/relationships/hyperlink" Target="http://files.unicef.org/publications/files/APR_2014_web_15Sept14.pdf" TargetMode="External"/><Relationship Id="rId49" Type="http://schemas.openxmlformats.org/officeDocument/2006/relationships/hyperlink" Target="http://grattan.edu.au/wp-content/uploads/2014/09/815-dying-well.pdf" TargetMode="External"/><Relationship Id="rId57" Type="http://schemas.openxmlformats.org/officeDocument/2006/relationships/hyperlink" Target="http://www.ippr.org/assets/media/publications/pdf/patients-in-control_Sept2014.pdf" TargetMode="External"/><Relationship Id="rId61" Type="http://schemas.openxmlformats.org/officeDocument/2006/relationships/hyperlink" Target="http://www.publichealthadvocacy.org/_PDFs/healthhalo/HealthHalo_FullStudy.pdf" TargetMode="External"/><Relationship Id="rId10" Type="http://schemas.openxmlformats.org/officeDocument/2006/relationships/image" Target="media/image1.png"/><Relationship Id="rId19" Type="http://schemas.openxmlformats.org/officeDocument/2006/relationships/hyperlink" Target="http://www.ihe.ca/documents/Economic%20Evaluation%20of%20Complex%20Health%20System%20Interventions.pdf" TargetMode="External"/><Relationship Id="rId31" Type="http://schemas.openxmlformats.org/officeDocument/2006/relationships/hyperlink" Target="http://www.aihw.gov.au/uploadedFiles/ClosingTheGap/Content/Our_publications/2014/ctgc-ip11.pdf" TargetMode="External"/><Relationship Id="rId44" Type="http://schemas.openxmlformats.org/officeDocument/2006/relationships/hyperlink" Target="http://www.alzheimers.org.uk/site/scripts/download.php?fileID=2317" TargetMode="External"/><Relationship Id="rId52" Type="http://schemas.openxmlformats.org/officeDocument/2006/relationships/hyperlink" Target="http://healthaffairs.org/healthpolicybriefs/brief_pdfs/healthpolicybrief_124.pdf" TargetMode="External"/><Relationship Id="rId60" Type="http://schemas.openxmlformats.org/officeDocument/2006/relationships/hyperlink" Target="http://www.iom.edu/~/media/Files/Perspectives-Files/2014/Discussion-Papers/SDMforBestCare.pdf" TargetMode="External"/><Relationship Id="rId65" Type="http://schemas.openxmlformats.org/officeDocument/2006/relationships/hyperlink" Target="http://www.safetyandquality.gov.au/wp-content/uploads/2014/09/Framework-for-Australian-Clinical-Quality-Registries.pdf" TargetMode="External"/><Relationship Id="rId73" Type="http://schemas.openxmlformats.org/officeDocument/2006/relationships/hyperlink" Target="http://www.idf.org/global-diabetes-scorecard/assets/downloads/Scorecard-29-07-14.pdf" TargetMode="External"/><Relationship Id="rId4" Type="http://schemas.microsoft.com/office/2007/relationships/stylesWithEffects" Target="stylesWithEffects.xml"/><Relationship Id="rId9" Type="http://schemas.openxmlformats.org/officeDocument/2006/relationships/hyperlink" Target="http://www.health.govt.nz/about-ministry/ministry-health-library" TargetMode="External"/><Relationship Id="rId14" Type="http://schemas.openxmlformats.org/officeDocument/2006/relationships/hyperlink" Target="http://apps.who.int/iris/bitstream/10665/131056/1/9789241564779_eng.pdf?ua=1&amp;ua=1" TargetMode="External"/><Relationship Id="rId22" Type="http://schemas.openxmlformats.org/officeDocument/2006/relationships/hyperlink" Target="http://ec.europa.eu/health/healthcare/docs/com2014_215_final_en.pdf" TargetMode="External"/><Relationship Id="rId27" Type="http://schemas.openxmlformats.org/officeDocument/2006/relationships/hyperlink" Target="http://www.oecd-ilibrary.org/social-issues-migration-health/geographic-variations-in-health-care_9789264216594-en" TargetMode="External"/><Relationship Id="rId30" Type="http://schemas.openxmlformats.org/officeDocument/2006/relationships/hyperlink" Target="http://ahha.asn.au/system/files/docs/publications/20140916_deeble_institute_evidence_brief_relative_effectiveness_of_acchs.pdf" TargetMode="External"/><Relationship Id="rId35" Type="http://schemas.openxmlformats.org/officeDocument/2006/relationships/hyperlink" Target="http://www.euro.who.int/__data/assets/pdf_file/0010/253729/64wd12e_InvestCAHstrategy_140440.pdf?ua=1" TargetMode="External"/><Relationship Id="rId43" Type="http://schemas.openxmlformats.org/officeDocument/2006/relationships/hyperlink" Target="http://www.2020health.org/dms/2020health/downloads/reports/2020healthHIVdocMASTERONLINE.pdf" TargetMode="External"/><Relationship Id="rId48" Type="http://schemas.openxmlformats.org/officeDocument/2006/relationships/hyperlink" Target="http://www.cancerresearchuk.org/sites/default/files/measuring_up_health_of_nhs_cancer_services_sept2014.pdf" TargetMode="External"/><Relationship Id="rId56" Type="http://schemas.openxmlformats.org/officeDocument/2006/relationships/hyperlink" Target="http://www.whitehouse.gov/sites/default/files/microsites/ostp/PCAST/pcast_carb_report_sept2014.pdf" TargetMode="External"/><Relationship Id="rId64" Type="http://schemas.openxmlformats.org/officeDocument/2006/relationships/hyperlink" Target="https://www.gov.uk/government/uploads/system/uploads/attachment_data/file/320506/PHE_Knowledge_Strategy.pdf" TargetMode="External"/><Relationship Id="rId69" Type="http://schemas.openxmlformats.org/officeDocument/2006/relationships/hyperlink" Target="http://www.rcseng.ac.uk/policy/documents/RCS%20Emergency%20surgery%20policy%20briefing.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iom.edu/Reports/2014/Dying-In-America-Improving-Quality-and-Honoring-Individual-Preferences-Near-the-End-of-Life.aspx" TargetMode="External"/><Relationship Id="rId72" Type="http://schemas.openxmlformats.org/officeDocument/2006/relationships/hyperlink" Target="http://www.nap.edu/catalog.php?version=b&amp;utm_expid=4418042-5.krRTDpXJQISoXLpdo-1Ynw.1&amp;record_id=18800&amp;utm_medium=etmail&amp;utm_source=The%20National%20Academies%20Press&amp;utm_campaign=NAP+mail+new+2014.09.09&amp;utm_content=web%20updates&amp;utm_term" TargetMode="External"/><Relationship Id="rId3" Type="http://schemas.openxmlformats.org/officeDocument/2006/relationships/styles" Target="styles.xml"/><Relationship Id="rId12" Type="http://schemas.openxmlformats.org/officeDocument/2006/relationships/hyperlink" Target="http://www.nap.edu/catalog.php?version=b&amp;utm_expid=4418042-5.krRTDpXJQISoXLpdo-1Ynw.1&amp;record_id=18756&amp;utm_medium=etmail&amp;utm_source=The%20National%20Academies%20Press&amp;utm_campaign=NAP+mail+new+2014.09.16&amp;utm_content=web%20updates&amp;utm_term" TargetMode="External"/><Relationship Id="rId17" Type="http://schemas.openxmlformats.org/officeDocument/2006/relationships/hyperlink" Target="http://snow.vawnet.org/Assoc_Files_VAWnet/NRCDV_TAG-AnimalAbuse-IPV-Sept2014.pdf" TargetMode="External"/><Relationship Id="rId25" Type="http://schemas.openxmlformats.org/officeDocument/2006/relationships/hyperlink" Target="http://www.kingsfund.org.uk/sites/files/kf/field/field_publication_file/commissioning-and-funding-general-practice-kingsfund-feb14.pdf" TargetMode="External"/><Relationship Id="rId33" Type="http://schemas.openxmlformats.org/officeDocument/2006/relationships/hyperlink" Target="https://www.gov.uk/government/uploads/system/uploads/attachment_data/file/356229/PUBLISH_42715_2902809_Progress_Report_Accessible_v04.pdf" TargetMode="External"/><Relationship Id="rId38" Type="http://schemas.openxmlformats.org/officeDocument/2006/relationships/hyperlink" Target="http://www.tepou.co.nz/download/asset/942" TargetMode="External"/><Relationship Id="rId46" Type="http://schemas.openxmlformats.org/officeDocument/2006/relationships/hyperlink" Target="http://www.independentage.org/media/816052/r4aa-maifesto-report-22-08-2014.pdf" TargetMode="External"/><Relationship Id="rId59" Type="http://schemas.openxmlformats.org/officeDocument/2006/relationships/hyperlink" Target="http://www.nap.edu/catalog.php?version=b&amp;utm_expid=4418042-5.krRTDpXJQISoXLpdo-1Ynw.1&amp;record_id=18946&amp;utm_medium=etmail&amp;utm_source=The%20National%20Academies%20Press&amp;utm_campaign=NAP+mail+new+2014.09.09&amp;utm_content=web%20updates&amp;utm_term" TargetMode="External"/><Relationship Id="rId67" Type="http://schemas.openxmlformats.org/officeDocument/2006/relationships/hyperlink" Target="http://www.journalslibrary.nihr.ac.uk/__data/assets/pdf_file/0020/125075/FullReport-hsdr02290.pdf" TargetMode="External"/><Relationship Id="rId20" Type="http://schemas.openxmlformats.org/officeDocument/2006/relationships/hyperlink" Target="http://www.oecd-ilibrary.org/social-issues-migration-health/health-austerity-and-economic-crisis_5jxx71lt1zg6-en;jsessionid=wtyedutqq5ko.x-oecd-live-01" TargetMode="External"/><Relationship Id="rId41" Type="http://schemas.openxmlformats.org/officeDocument/2006/relationships/hyperlink" Target="http://socialwelfare.bl.uk/subject-areas/services-activity/social-work-care-services/carersuk/166981carers-at-breaking-point.pdf" TargetMode="External"/><Relationship Id="rId54" Type="http://schemas.openxmlformats.org/officeDocument/2006/relationships/hyperlink" Target="http://www.scotland.gov.uk/Resource/0045/00457682.pdf" TargetMode="External"/><Relationship Id="rId62" Type="http://schemas.openxmlformats.org/officeDocument/2006/relationships/hyperlink" Target="https://ahha.asn.au/system/files/docs/publications/deeble_issue_brief_no_3_overweight_and_obesity_among_indigenous_children.pdf" TargetMode="External"/><Relationship Id="rId70" Type="http://schemas.openxmlformats.org/officeDocument/2006/relationships/hyperlink" Target="https://www.gov.uk/government/uploads/system/uploads/attachment_data/file/354156/Global_Health_Strategy_final_version_for_publication_12_09_14.pdf"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D32B-B6C6-49E4-B061-674C28DD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11</Pages>
  <Words>7115</Words>
  <Characters>40559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47579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Ministry of Health</dc:creator>
  <cp:lastModifiedBy>Ministry of Health</cp:lastModifiedBy>
  <cp:revision>70</cp:revision>
  <cp:lastPrinted>2014-10-05T20:39:00Z</cp:lastPrinted>
  <dcterms:created xsi:type="dcterms:W3CDTF">2014-09-18T19:47:00Z</dcterms:created>
  <dcterms:modified xsi:type="dcterms:W3CDTF">2014-10-05T21:14:00Z</dcterms:modified>
</cp:coreProperties>
</file>