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1E" w:rsidRPr="00C37333" w:rsidRDefault="0074411E" w:rsidP="00716F8A">
      <w:pPr>
        <w:pStyle w:val="Title"/>
        <w:spacing w:after="0"/>
        <w:rPr>
          <w:rFonts w:ascii="Arial" w:eastAsia="Times New Roman" w:hAnsi="Arial" w:cs="Arial"/>
          <w:sz w:val="22"/>
          <w:szCs w:val="22"/>
          <w:lang w:eastAsia="en-NZ"/>
        </w:rPr>
      </w:pPr>
      <w:bookmarkStart w:id="0" w:name="_top"/>
      <w:bookmarkStart w:id="1" w:name="_GoBack"/>
      <w:bookmarkEnd w:id="0"/>
      <w:bookmarkEnd w:id="1"/>
      <w:r w:rsidRPr="00C37333">
        <w:rPr>
          <w:rFonts w:ascii="Arial" w:hAnsi="Arial" w:cs="Arial"/>
          <w:noProof/>
          <w:sz w:val="22"/>
          <w:szCs w:val="22"/>
          <w:lang w:eastAsia="en-NZ"/>
        </w:rPr>
        <w:drawing>
          <wp:inline distT="0" distB="0" distL="0" distR="0">
            <wp:extent cx="4293704" cy="1670011"/>
            <wp:effectExtent l="0" t="0" r="0" b="6985"/>
            <wp:docPr id="1" name="Picture 1" descr="The logo shows a picture of books held by the Ministry of Health librar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p>
    <w:p w:rsidR="0074411E" w:rsidRPr="00C37333" w:rsidRDefault="0074411E" w:rsidP="00716F8A">
      <w:pPr>
        <w:pStyle w:val="Title"/>
        <w:spacing w:after="0"/>
        <w:rPr>
          <w:rFonts w:ascii="Arial" w:eastAsia="Times New Roman" w:hAnsi="Arial" w:cs="Arial"/>
          <w:sz w:val="22"/>
          <w:szCs w:val="22"/>
          <w:lang w:eastAsia="en-NZ"/>
        </w:rPr>
      </w:pPr>
    </w:p>
    <w:p w:rsidR="000F05DA" w:rsidRPr="00AB0580" w:rsidRDefault="000F05DA" w:rsidP="00716F8A">
      <w:pPr>
        <w:pStyle w:val="Title"/>
        <w:spacing w:after="0"/>
        <w:rPr>
          <w:rFonts w:ascii="Arial" w:eastAsia="Times New Roman" w:hAnsi="Arial" w:cs="Arial"/>
          <w:b/>
          <w:color w:val="C0504D" w:themeColor="accent2"/>
          <w:sz w:val="48"/>
          <w:szCs w:val="48"/>
          <w:lang w:eastAsia="en-NZ"/>
        </w:rPr>
      </w:pPr>
      <w:r w:rsidRPr="00AB0580">
        <w:rPr>
          <w:rFonts w:ascii="Arial" w:eastAsia="Times New Roman" w:hAnsi="Arial" w:cs="Arial"/>
          <w:b/>
          <w:color w:val="C0504D" w:themeColor="accent2"/>
          <w:sz w:val="48"/>
          <w:szCs w:val="48"/>
          <w:lang w:eastAsia="en-NZ"/>
        </w:rPr>
        <w:t xml:space="preserve">Grey </w:t>
      </w:r>
      <w:r w:rsidR="00BF590E" w:rsidRPr="00AB0580">
        <w:rPr>
          <w:rFonts w:ascii="Arial" w:eastAsia="Times New Roman" w:hAnsi="Arial" w:cs="Arial"/>
          <w:b/>
          <w:color w:val="C0504D" w:themeColor="accent2"/>
          <w:sz w:val="48"/>
          <w:szCs w:val="48"/>
          <w:lang w:eastAsia="en-NZ"/>
        </w:rPr>
        <w:t>Matter</w:t>
      </w:r>
      <w:r w:rsidRPr="00AB0580">
        <w:rPr>
          <w:rFonts w:ascii="Arial" w:eastAsia="Times New Roman" w:hAnsi="Arial" w:cs="Arial"/>
          <w:b/>
          <w:color w:val="C0504D" w:themeColor="accent2"/>
          <w:sz w:val="48"/>
          <w:szCs w:val="48"/>
          <w:lang w:eastAsia="en-NZ"/>
        </w:rPr>
        <w:t xml:space="preserve">: A Collection of Recent </w:t>
      </w:r>
      <w:r w:rsidR="0074411E" w:rsidRPr="00AB0580">
        <w:rPr>
          <w:rFonts w:ascii="Arial" w:eastAsia="Times New Roman" w:hAnsi="Arial" w:cs="Arial"/>
          <w:b/>
          <w:color w:val="C0504D" w:themeColor="accent2"/>
          <w:sz w:val="48"/>
          <w:szCs w:val="48"/>
          <w:lang w:eastAsia="en-NZ"/>
        </w:rPr>
        <w:t xml:space="preserve">NGO, </w:t>
      </w:r>
      <w:r w:rsidRPr="00AB0580">
        <w:rPr>
          <w:rFonts w:ascii="Arial" w:eastAsia="Times New Roman" w:hAnsi="Arial" w:cs="Arial"/>
          <w:b/>
          <w:color w:val="C0504D" w:themeColor="accent2"/>
          <w:sz w:val="48"/>
          <w:szCs w:val="48"/>
          <w:lang w:eastAsia="en-NZ"/>
        </w:rPr>
        <w:t>Think Tank</w:t>
      </w:r>
      <w:r w:rsidR="0074411E" w:rsidRPr="00AB0580">
        <w:rPr>
          <w:rFonts w:ascii="Arial" w:eastAsia="Times New Roman" w:hAnsi="Arial" w:cs="Arial"/>
          <w:b/>
          <w:color w:val="C0504D" w:themeColor="accent2"/>
          <w:sz w:val="48"/>
          <w:szCs w:val="48"/>
          <w:lang w:eastAsia="en-NZ"/>
        </w:rPr>
        <w:t>, and International Government</w:t>
      </w:r>
      <w:r w:rsidRPr="00AB0580">
        <w:rPr>
          <w:rFonts w:ascii="Arial" w:eastAsia="Times New Roman" w:hAnsi="Arial" w:cs="Arial"/>
          <w:b/>
          <w:color w:val="C0504D" w:themeColor="accent2"/>
          <w:sz w:val="48"/>
          <w:szCs w:val="48"/>
          <w:lang w:eastAsia="en-NZ"/>
        </w:rPr>
        <w:t xml:space="preserve"> Reports</w:t>
      </w:r>
    </w:p>
    <w:p w:rsidR="00E0627D" w:rsidRPr="001417E6" w:rsidRDefault="00E0627D" w:rsidP="00716F8A">
      <w:pPr>
        <w:spacing w:after="0" w:line="240" w:lineRule="auto"/>
        <w:rPr>
          <w:rFonts w:eastAsia="Times New Roman" w:cs="Arial"/>
          <w:sz w:val="22"/>
          <w:lang w:eastAsia="en-NZ"/>
        </w:rPr>
      </w:pPr>
      <w:r w:rsidRPr="001417E6">
        <w:rPr>
          <w:rFonts w:eastAsia="Times New Roman" w:cs="Arial"/>
          <w:sz w:val="22"/>
          <w:lang w:eastAsia="en-NZ"/>
        </w:rPr>
        <w:t xml:space="preserve">Issue </w:t>
      </w:r>
      <w:r w:rsidR="009D4D04" w:rsidRPr="001417E6">
        <w:rPr>
          <w:rFonts w:eastAsia="Times New Roman" w:cs="Arial"/>
          <w:sz w:val="22"/>
          <w:lang w:eastAsia="en-NZ"/>
        </w:rPr>
        <w:t>1</w:t>
      </w:r>
      <w:r w:rsidR="00C1070A">
        <w:rPr>
          <w:rFonts w:eastAsia="Times New Roman" w:cs="Arial"/>
          <w:sz w:val="22"/>
          <w:lang w:eastAsia="en-NZ"/>
        </w:rPr>
        <w:t>5</w:t>
      </w:r>
      <w:r w:rsidR="00EE3206" w:rsidRPr="001417E6">
        <w:rPr>
          <w:rFonts w:eastAsia="Times New Roman" w:cs="Arial"/>
          <w:sz w:val="22"/>
          <w:lang w:eastAsia="en-NZ"/>
        </w:rPr>
        <w:t xml:space="preserve">, </w:t>
      </w:r>
      <w:r w:rsidR="001E1DD6" w:rsidRPr="001417E6">
        <w:rPr>
          <w:rFonts w:eastAsia="Times New Roman" w:cs="Arial"/>
          <w:sz w:val="22"/>
          <w:lang w:eastAsia="en-NZ"/>
        </w:rPr>
        <w:t>2014</w:t>
      </w:r>
      <w:r w:rsidR="00BF590E" w:rsidRPr="001417E6">
        <w:rPr>
          <w:rFonts w:eastAsia="Times New Roman" w:cs="Arial"/>
          <w:sz w:val="22"/>
          <w:lang w:eastAsia="en-NZ"/>
        </w:rPr>
        <w:t xml:space="preserve"> </w:t>
      </w:r>
      <w:r w:rsidR="00C1070A">
        <w:rPr>
          <w:rFonts w:eastAsia="Times New Roman" w:cs="Arial"/>
          <w:sz w:val="22"/>
          <w:lang w:eastAsia="en-NZ"/>
        </w:rPr>
        <w:t>October</w:t>
      </w:r>
    </w:p>
    <w:p w:rsidR="00E0627D" w:rsidRPr="001417E6" w:rsidRDefault="00E0627D" w:rsidP="00716F8A">
      <w:pPr>
        <w:spacing w:after="0" w:line="240" w:lineRule="auto"/>
        <w:rPr>
          <w:rFonts w:eastAsia="Times New Roman" w:cs="Arial"/>
          <w:sz w:val="22"/>
          <w:lang w:eastAsia="en-NZ"/>
        </w:rPr>
      </w:pPr>
    </w:p>
    <w:p w:rsidR="00BF590E" w:rsidRPr="001417E6" w:rsidRDefault="008F72C2" w:rsidP="00716F8A">
      <w:pPr>
        <w:spacing w:after="0" w:line="240" w:lineRule="auto"/>
        <w:rPr>
          <w:rFonts w:eastAsia="Times New Roman" w:cs="Arial"/>
          <w:sz w:val="22"/>
          <w:lang w:eastAsia="en-NZ"/>
        </w:rPr>
      </w:pPr>
      <w:r w:rsidRPr="001417E6">
        <w:rPr>
          <w:rFonts w:eastAsia="Times New Roman" w:cs="Arial"/>
          <w:sz w:val="22"/>
          <w:lang w:eastAsia="en-NZ"/>
        </w:rPr>
        <w:t xml:space="preserve">Welcome to </w:t>
      </w:r>
      <w:r w:rsidR="0074411E" w:rsidRPr="001417E6">
        <w:rPr>
          <w:rFonts w:eastAsia="Times New Roman" w:cs="Arial"/>
          <w:sz w:val="22"/>
          <w:lang w:eastAsia="en-NZ"/>
        </w:rPr>
        <w:t xml:space="preserve">Grey Matter, </w:t>
      </w:r>
      <w:r w:rsidRPr="001417E6">
        <w:rPr>
          <w:rFonts w:eastAsia="Times New Roman" w:cs="Arial"/>
          <w:sz w:val="22"/>
          <w:lang w:eastAsia="en-NZ"/>
        </w:rPr>
        <w:t xml:space="preserve">the Ministry of Health Library’s Grey Literature Bulletin. </w:t>
      </w:r>
      <w:r w:rsidR="00877114" w:rsidRPr="001417E6">
        <w:rPr>
          <w:rFonts w:eastAsia="Times New Roman" w:cs="Arial"/>
          <w:sz w:val="22"/>
          <w:lang w:eastAsia="en-NZ"/>
        </w:rPr>
        <w:t xml:space="preserve"> </w:t>
      </w:r>
      <w:r w:rsidRPr="001417E6">
        <w:rPr>
          <w:rFonts w:eastAsia="Times New Roman" w:cs="Arial"/>
          <w:sz w:val="22"/>
          <w:lang w:eastAsia="en-NZ"/>
        </w:rPr>
        <w:t>In each issue, we provide</w:t>
      </w:r>
      <w:r w:rsidR="007D3C80" w:rsidRPr="001417E6">
        <w:rPr>
          <w:rFonts w:eastAsia="Times New Roman" w:cs="Arial"/>
          <w:sz w:val="22"/>
          <w:lang w:eastAsia="en-NZ"/>
        </w:rPr>
        <w:t xml:space="preserve"> access to </w:t>
      </w:r>
      <w:r w:rsidR="00AC26FE" w:rsidRPr="001417E6">
        <w:rPr>
          <w:rFonts w:eastAsia="Times New Roman" w:cs="Arial"/>
          <w:sz w:val="22"/>
          <w:lang w:eastAsia="en-NZ"/>
        </w:rPr>
        <w:t xml:space="preserve">a selection of </w:t>
      </w:r>
      <w:r w:rsidR="007D3C80" w:rsidRPr="001417E6">
        <w:rPr>
          <w:rFonts w:eastAsia="Times New Roman" w:cs="Arial"/>
          <w:sz w:val="22"/>
          <w:lang w:eastAsia="en-NZ"/>
        </w:rPr>
        <w:t xml:space="preserve">the most recent </w:t>
      </w:r>
      <w:r w:rsidR="00EA2356" w:rsidRPr="001417E6">
        <w:rPr>
          <w:rFonts w:eastAsia="Times New Roman" w:cs="Arial"/>
          <w:sz w:val="22"/>
          <w:lang w:eastAsia="en-NZ"/>
        </w:rPr>
        <w:t>NGO,</w:t>
      </w:r>
      <w:r w:rsidR="007D3C80" w:rsidRPr="001417E6">
        <w:rPr>
          <w:rFonts w:eastAsia="Times New Roman" w:cs="Arial"/>
          <w:sz w:val="22"/>
          <w:lang w:eastAsia="en-NZ"/>
        </w:rPr>
        <w:t xml:space="preserve"> Think Tank</w:t>
      </w:r>
      <w:r w:rsidR="00EA2356" w:rsidRPr="001417E6">
        <w:rPr>
          <w:rFonts w:eastAsia="Times New Roman" w:cs="Arial"/>
          <w:sz w:val="22"/>
          <w:lang w:eastAsia="en-NZ"/>
        </w:rPr>
        <w:t xml:space="preserve">, and </w:t>
      </w:r>
      <w:r w:rsidR="00261E43" w:rsidRPr="001417E6">
        <w:rPr>
          <w:rFonts w:eastAsia="Times New Roman" w:cs="Arial"/>
          <w:sz w:val="22"/>
          <w:lang w:eastAsia="en-NZ"/>
        </w:rPr>
        <w:t>I</w:t>
      </w:r>
      <w:r w:rsidR="00EA2356" w:rsidRPr="001417E6">
        <w:rPr>
          <w:rFonts w:eastAsia="Times New Roman" w:cs="Arial"/>
          <w:sz w:val="22"/>
          <w:lang w:eastAsia="en-NZ"/>
        </w:rPr>
        <w:t>nternational Government</w:t>
      </w:r>
      <w:r w:rsidR="007D3C80" w:rsidRPr="001417E6">
        <w:rPr>
          <w:rFonts w:eastAsia="Times New Roman" w:cs="Arial"/>
          <w:sz w:val="22"/>
          <w:lang w:eastAsia="en-NZ"/>
        </w:rPr>
        <w:t xml:space="preserve"> reports</w:t>
      </w:r>
      <w:r w:rsidR="00EE3206" w:rsidRPr="001417E6">
        <w:rPr>
          <w:rFonts w:eastAsia="Times New Roman" w:cs="Arial"/>
          <w:sz w:val="22"/>
          <w:lang w:eastAsia="en-NZ"/>
        </w:rPr>
        <w:t xml:space="preserve"> </w:t>
      </w:r>
      <w:r w:rsidRPr="001417E6">
        <w:rPr>
          <w:rFonts w:eastAsia="Times New Roman" w:cs="Arial"/>
          <w:sz w:val="22"/>
          <w:lang w:eastAsia="en-NZ"/>
        </w:rPr>
        <w:t xml:space="preserve">that are relevant to </w:t>
      </w:r>
      <w:r w:rsidR="00F15E09" w:rsidRPr="001417E6">
        <w:rPr>
          <w:rFonts w:eastAsia="Times New Roman" w:cs="Arial"/>
          <w:sz w:val="22"/>
          <w:lang w:eastAsia="en-NZ"/>
        </w:rPr>
        <w:t>the health context</w:t>
      </w:r>
      <w:r w:rsidR="00286D3F" w:rsidRPr="001417E6">
        <w:rPr>
          <w:rFonts w:eastAsia="Times New Roman" w:cs="Arial"/>
          <w:sz w:val="22"/>
          <w:lang w:eastAsia="en-NZ"/>
        </w:rPr>
        <w:t>.  The goal of this</w:t>
      </w:r>
      <w:r w:rsidR="007D3C80" w:rsidRPr="001417E6">
        <w:rPr>
          <w:rFonts w:eastAsia="Times New Roman" w:cs="Arial"/>
          <w:sz w:val="22"/>
          <w:lang w:eastAsia="en-NZ"/>
        </w:rPr>
        <w:t xml:space="preserve"> newsletter </w:t>
      </w:r>
      <w:r w:rsidR="00286D3F" w:rsidRPr="001417E6">
        <w:rPr>
          <w:rFonts w:eastAsia="Times New Roman" w:cs="Arial"/>
          <w:sz w:val="22"/>
          <w:lang w:eastAsia="en-NZ"/>
        </w:rPr>
        <w:t>is to facilitate</w:t>
      </w:r>
      <w:r w:rsidR="007D3C80" w:rsidRPr="001417E6">
        <w:rPr>
          <w:rFonts w:eastAsia="Times New Roman" w:cs="Arial"/>
          <w:sz w:val="22"/>
          <w:lang w:eastAsia="en-NZ"/>
        </w:rPr>
        <w:t xml:space="preserve"> access to material that may be more difficult to loca</w:t>
      </w:r>
      <w:r w:rsidR="00BF590E" w:rsidRPr="001417E6">
        <w:rPr>
          <w:rFonts w:eastAsia="Times New Roman" w:cs="Arial"/>
          <w:sz w:val="22"/>
          <w:lang w:eastAsia="en-NZ"/>
        </w:rPr>
        <w:t>te</w:t>
      </w:r>
      <w:r w:rsidR="00262930" w:rsidRPr="001417E6">
        <w:rPr>
          <w:rFonts w:eastAsia="Times New Roman" w:cs="Arial"/>
          <w:sz w:val="22"/>
          <w:lang w:eastAsia="en-NZ"/>
        </w:rPr>
        <w:t xml:space="preserve"> (in contrast to journal articles and the news media)</w:t>
      </w:r>
      <w:r w:rsidR="00BF590E" w:rsidRPr="001417E6">
        <w:rPr>
          <w:rFonts w:eastAsia="Times New Roman" w:cs="Arial"/>
          <w:sz w:val="22"/>
          <w:lang w:eastAsia="en-NZ"/>
        </w:rPr>
        <w:t xml:space="preserve">.  </w:t>
      </w:r>
      <w:r w:rsidR="00F15E09" w:rsidRPr="001417E6">
        <w:rPr>
          <w:rFonts w:eastAsia="Times New Roman" w:cs="Arial"/>
          <w:sz w:val="22"/>
          <w:lang w:eastAsia="en-NZ"/>
        </w:rPr>
        <w:t>Inform</w:t>
      </w:r>
      <w:r w:rsidR="00261E43" w:rsidRPr="001417E6">
        <w:rPr>
          <w:rFonts w:eastAsia="Times New Roman" w:cs="Arial"/>
          <w:sz w:val="22"/>
          <w:lang w:eastAsia="en-NZ"/>
        </w:rPr>
        <w:t xml:space="preserve">ation </w:t>
      </w:r>
      <w:r w:rsidR="00792076" w:rsidRPr="001417E6">
        <w:rPr>
          <w:rFonts w:eastAsia="Times New Roman" w:cs="Arial"/>
          <w:sz w:val="22"/>
          <w:lang w:eastAsia="en-NZ"/>
        </w:rPr>
        <w:t>is</w:t>
      </w:r>
      <w:r w:rsidR="00261E43" w:rsidRPr="001417E6">
        <w:rPr>
          <w:rFonts w:eastAsia="Times New Roman" w:cs="Arial"/>
          <w:sz w:val="22"/>
          <w:lang w:eastAsia="en-NZ"/>
        </w:rPr>
        <w:t xml:space="preserve"> arranged by topic, allowing </w:t>
      </w:r>
      <w:r w:rsidR="00F15E09" w:rsidRPr="001417E6">
        <w:rPr>
          <w:rFonts w:eastAsia="Times New Roman" w:cs="Arial"/>
          <w:sz w:val="22"/>
          <w:lang w:eastAsia="en-NZ"/>
        </w:rPr>
        <w:t>readers to quickly hone in on their key areas of interest.</w:t>
      </w:r>
      <w:r w:rsidR="007378DF" w:rsidRPr="001417E6">
        <w:rPr>
          <w:rFonts w:eastAsia="Times New Roman" w:cs="Arial"/>
          <w:sz w:val="22"/>
          <w:lang w:eastAsia="en-NZ"/>
        </w:rPr>
        <w:t xml:space="preserve"> Email </w:t>
      </w:r>
      <w:hyperlink r:id="rId11" w:history="1">
        <w:r w:rsidR="007378DF" w:rsidRPr="001417E6">
          <w:rPr>
            <w:rStyle w:val="Hyperlink"/>
            <w:rFonts w:eastAsia="Times New Roman" w:cs="Arial"/>
            <w:sz w:val="22"/>
            <w:lang w:eastAsia="en-NZ"/>
          </w:rPr>
          <w:t>library@moh.govt.nz</w:t>
        </w:r>
      </w:hyperlink>
      <w:r w:rsidR="007378DF" w:rsidRPr="001417E6">
        <w:rPr>
          <w:rFonts w:eastAsia="Times New Roman" w:cs="Arial"/>
          <w:sz w:val="22"/>
          <w:lang w:eastAsia="en-NZ"/>
        </w:rPr>
        <w:t xml:space="preserve"> to subscribe.</w:t>
      </w:r>
    </w:p>
    <w:p w:rsidR="00026B74" w:rsidRPr="001417E6" w:rsidRDefault="00026B74" w:rsidP="00716F8A">
      <w:pPr>
        <w:spacing w:after="0" w:line="240" w:lineRule="auto"/>
        <w:rPr>
          <w:rFonts w:eastAsia="Times New Roman" w:cs="Arial"/>
          <w:sz w:val="22"/>
          <w:lang w:eastAsia="en-NZ"/>
        </w:rPr>
      </w:pPr>
    </w:p>
    <w:p w:rsidR="002131CB" w:rsidRPr="001417E6" w:rsidRDefault="002131CB" w:rsidP="00716F8A">
      <w:pPr>
        <w:spacing w:after="0" w:line="240" w:lineRule="auto"/>
        <w:rPr>
          <w:rFonts w:eastAsia="Times New Roman" w:cs="Arial"/>
          <w:sz w:val="22"/>
          <w:lang w:eastAsia="en-NZ"/>
        </w:rPr>
      </w:pPr>
      <w:r w:rsidRPr="001417E6">
        <w:rPr>
          <w:rFonts w:eastAsia="Times New Roman" w:cs="Arial"/>
          <w:sz w:val="22"/>
          <w:lang w:eastAsia="en-NZ"/>
        </w:rPr>
        <w:t>Click on any of the bulleted points below to go to a section of interest.</w:t>
      </w:r>
    </w:p>
    <w:p w:rsidR="00AC26FE" w:rsidRPr="001417E6" w:rsidRDefault="00AC26FE" w:rsidP="00716F8A">
      <w:pPr>
        <w:spacing w:after="0" w:line="240" w:lineRule="auto"/>
        <w:rPr>
          <w:rFonts w:eastAsia="Times New Roman" w:cs="Arial"/>
          <w:sz w:val="22"/>
          <w:lang w:eastAsia="en-NZ"/>
        </w:rPr>
      </w:pPr>
    </w:p>
    <w:p w:rsidR="000F05DA" w:rsidRPr="001417E6" w:rsidRDefault="007D3C80" w:rsidP="00716F8A">
      <w:pPr>
        <w:spacing w:after="0" w:line="240" w:lineRule="auto"/>
        <w:rPr>
          <w:rFonts w:eastAsia="Times New Roman" w:cs="Arial"/>
          <w:sz w:val="22"/>
          <w:lang w:eastAsia="en-NZ"/>
        </w:rPr>
      </w:pPr>
      <w:r w:rsidRPr="001417E6">
        <w:rPr>
          <w:rFonts w:eastAsia="Times New Roman" w:cs="Arial"/>
          <w:sz w:val="22"/>
          <w:lang w:eastAsia="en-NZ"/>
        </w:rPr>
        <w:t>Key areas</w:t>
      </w:r>
      <w:r w:rsidR="00E0627D" w:rsidRPr="001417E6">
        <w:rPr>
          <w:rFonts w:eastAsia="Times New Roman" w:cs="Arial"/>
          <w:sz w:val="22"/>
          <w:lang w:eastAsia="en-NZ"/>
        </w:rPr>
        <w:t xml:space="preserve"> of interest in </w:t>
      </w:r>
      <w:r w:rsidR="00BF590E" w:rsidRPr="001417E6">
        <w:rPr>
          <w:rFonts w:eastAsia="Times New Roman" w:cs="Arial"/>
          <w:sz w:val="22"/>
          <w:lang w:eastAsia="en-NZ"/>
        </w:rPr>
        <w:t>our current issue</w:t>
      </w:r>
      <w:r w:rsidRPr="001417E6">
        <w:rPr>
          <w:rFonts w:eastAsia="Times New Roman" w:cs="Arial"/>
          <w:sz w:val="22"/>
          <w:lang w:eastAsia="en-NZ"/>
        </w:rPr>
        <w:t xml:space="preserve"> include:</w:t>
      </w:r>
    </w:p>
    <w:p w:rsidR="007D3C80" w:rsidRPr="001417E6" w:rsidRDefault="007D3C80" w:rsidP="00716F8A">
      <w:pPr>
        <w:spacing w:after="0" w:line="240" w:lineRule="auto"/>
        <w:rPr>
          <w:rFonts w:eastAsia="Times New Roman" w:cs="Arial"/>
          <w:sz w:val="22"/>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of contents for newsletter"/>
      </w:tblPr>
      <w:tblGrid>
        <w:gridCol w:w="4644"/>
        <w:gridCol w:w="4599"/>
      </w:tblGrid>
      <w:tr w:rsidR="007D3C80" w:rsidRPr="001417E6" w:rsidTr="007F7D20">
        <w:tc>
          <w:tcPr>
            <w:tcW w:w="4644" w:type="dxa"/>
          </w:tcPr>
          <w:p w:rsidR="007D3C80" w:rsidRPr="001417E6" w:rsidRDefault="006837C7" w:rsidP="00FC525E">
            <w:pPr>
              <w:pStyle w:val="ListParagraph"/>
              <w:numPr>
                <w:ilvl w:val="0"/>
                <w:numId w:val="1"/>
              </w:numPr>
              <w:rPr>
                <w:rFonts w:eastAsia="Times New Roman" w:cs="Arial"/>
                <w:sz w:val="22"/>
                <w:lang w:eastAsia="en-NZ"/>
              </w:rPr>
            </w:pPr>
            <w:hyperlink w:anchor="_Quality_&amp;_Safety_1" w:history="1">
              <w:r w:rsidR="007F7D20" w:rsidRPr="0000407D">
                <w:rPr>
                  <w:rStyle w:val="Hyperlink"/>
                  <w:rFonts w:eastAsia="Times New Roman" w:cs="Arial"/>
                  <w:sz w:val="22"/>
                  <w:lang w:eastAsia="en-NZ"/>
                </w:rPr>
                <w:t>Quality &amp; Safety</w:t>
              </w:r>
            </w:hyperlink>
          </w:p>
        </w:tc>
        <w:tc>
          <w:tcPr>
            <w:tcW w:w="4599" w:type="dxa"/>
          </w:tcPr>
          <w:p w:rsidR="007D3C80" w:rsidRPr="001417E6" w:rsidRDefault="006837C7" w:rsidP="002A221C">
            <w:pPr>
              <w:pStyle w:val="ListParagraph"/>
              <w:numPr>
                <w:ilvl w:val="0"/>
                <w:numId w:val="1"/>
              </w:numPr>
              <w:rPr>
                <w:rFonts w:eastAsia="Times New Roman" w:cs="Arial"/>
                <w:sz w:val="22"/>
                <w:lang w:eastAsia="en-NZ"/>
              </w:rPr>
            </w:pPr>
            <w:hyperlink w:anchor="_Systems,_Costs,_&amp;" w:history="1">
              <w:r w:rsidR="007F7D20" w:rsidRPr="0000407D">
                <w:rPr>
                  <w:rStyle w:val="Hyperlink"/>
                  <w:rFonts w:eastAsia="Times New Roman" w:cs="Arial"/>
                  <w:sz w:val="22"/>
                  <w:lang w:eastAsia="en-NZ"/>
                </w:rPr>
                <w:t>Systems, Costs, &amp; Reforms</w:t>
              </w:r>
            </w:hyperlink>
          </w:p>
        </w:tc>
      </w:tr>
      <w:tr w:rsidR="007D3C80" w:rsidRPr="001417E6" w:rsidTr="007F7D20">
        <w:tc>
          <w:tcPr>
            <w:tcW w:w="4644" w:type="dxa"/>
          </w:tcPr>
          <w:p w:rsidR="007D3C80" w:rsidRPr="001417E6" w:rsidRDefault="006837C7" w:rsidP="00FC525E">
            <w:pPr>
              <w:pStyle w:val="ListParagraph"/>
              <w:numPr>
                <w:ilvl w:val="0"/>
                <w:numId w:val="1"/>
              </w:numPr>
              <w:rPr>
                <w:rFonts w:eastAsia="Times New Roman" w:cs="Arial"/>
                <w:sz w:val="22"/>
                <w:lang w:eastAsia="en-NZ"/>
              </w:rPr>
            </w:pPr>
            <w:hyperlink w:anchor="_Child_&amp;_Youth" w:history="1">
              <w:r w:rsidR="007F7D20" w:rsidRPr="0000407D">
                <w:rPr>
                  <w:rStyle w:val="Hyperlink"/>
                  <w:rFonts w:eastAsia="Times New Roman" w:cs="Arial"/>
                  <w:sz w:val="22"/>
                  <w:lang w:eastAsia="en-NZ"/>
                </w:rPr>
                <w:t>Child &amp; Youth Health</w:t>
              </w:r>
            </w:hyperlink>
          </w:p>
        </w:tc>
        <w:tc>
          <w:tcPr>
            <w:tcW w:w="4599" w:type="dxa"/>
          </w:tcPr>
          <w:p w:rsidR="007D3C80" w:rsidRPr="001417E6" w:rsidRDefault="006837C7" w:rsidP="002A221C">
            <w:pPr>
              <w:pStyle w:val="ListParagraph"/>
              <w:numPr>
                <w:ilvl w:val="0"/>
                <w:numId w:val="1"/>
              </w:numPr>
              <w:rPr>
                <w:rFonts w:eastAsia="Times New Roman" w:cs="Arial"/>
                <w:sz w:val="22"/>
                <w:lang w:eastAsia="en-NZ"/>
              </w:rPr>
            </w:pPr>
            <w:hyperlink w:anchor="_Pharmaceutical_Policy" w:history="1">
              <w:r w:rsidR="007F7D20" w:rsidRPr="0000407D">
                <w:rPr>
                  <w:rStyle w:val="Hyperlink"/>
                  <w:rFonts w:eastAsia="Times New Roman" w:cs="Arial"/>
                  <w:sz w:val="22"/>
                  <w:lang w:eastAsia="en-NZ"/>
                </w:rPr>
                <w:t>Pharmaceutical Policy</w:t>
              </w:r>
            </w:hyperlink>
          </w:p>
        </w:tc>
      </w:tr>
      <w:tr w:rsidR="008F72C2" w:rsidRPr="001417E6" w:rsidTr="007F7D20">
        <w:tc>
          <w:tcPr>
            <w:tcW w:w="4644" w:type="dxa"/>
          </w:tcPr>
          <w:p w:rsidR="008F72C2" w:rsidRPr="001417E6" w:rsidRDefault="006837C7" w:rsidP="002A221C">
            <w:pPr>
              <w:pStyle w:val="ListParagraph"/>
              <w:numPr>
                <w:ilvl w:val="0"/>
                <w:numId w:val="1"/>
              </w:numPr>
              <w:rPr>
                <w:rFonts w:eastAsia="Times New Roman" w:cs="Arial"/>
                <w:sz w:val="22"/>
                <w:lang w:eastAsia="en-NZ"/>
              </w:rPr>
            </w:pPr>
            <w:hyperlink w:anchor="_Public_&amp;_Patient" w:history="1">
              <w:r w:rsidR="007F7D20" w:rsidRPr="0000407D">
                <w:rPr>
                  <w:rStyle w:val="Hyperlink"/>
                  <w:rFonts w:eastAsia="Times New Roman" w:cs="Arial"/>
                  <w:sz w:val="22"/>
                  <w:lang w:eastAsia="en-NZ"/>
                </w:rPr>
                <w:t>Public &amp; Patient Engagement</w:t>
              </w:r>
            </w:hyperlink>
          </w:p>
        </w:tc>
        <w:tc>
          <w:tcPr>
            <w:tcW w:w="4599" w:type="dxa"/>
          </w:tcPr>
          <w:p w:rsidR="008F72C2" w:rsidRPr="001417E6" w:rsidRDefault="006837C7" w:rsidP="00716F8A">
            <w:pPr>
              <w:pStyle w:val="ListParagraph"/>
              <w:numPr>
                <w:ilvl w:val="0"/>
                <w:numId w:val="1"/>
              </w:numPr>
              <w:rPr>
                <w:rFonts w:eastAsia="Times New Roman" w:cs="Arial"/>
                <w:sz w:val="22"/>
                <w:lang w:eastAsia="en-NZ"/>
              </w:rPr>
            </w:pPr>
            <w:hyperlink w:anchor="_Long-Term_Conditions" w:history="1">
              <w:r w:rsidR="007F7D20" w:rsidRPr="0000407D">
                <w:rPr>
                  <w:rStyle w:val="Hyperlink"/>
                  <w:rFonts w:eastAsia="Times New Roman" w:cs="Arial"/>
                  <w:sz w:val="22"/>
                  <w:lang w:eastAsia="en-NZ"/>
                </w:rPr>
                <w:t>Long-Term Conditions</w:t>
              </w:r>
            </w:hyperlink>
          </w:p>
        </w:tc>
      </w:tr>
      <w:tr w:rsidR="00714E7C" w:rsidRPr="001417E6" w:rsidTr="007F7D20">
        <w:tc>
          <w:tcPr>
            <w:tcW w:w="4644" w:type="dxa"/>
          </w:tcPr>
          <w:p w:rsidR="00714E7C" w:rsidRPr="001417E6" w:rsidRDefault="006837C7" w:rsidP="00007EEB">
            <w:pPr>
              <w:pStyle w:val="ListParagraph"/>
              <w:numPr>
                <w:ilvl w:val="0"/>
                <w:numId w:val="1"/>
              </w:numPr>
              <w:rPr>
                <w:rFonts w:eastAsia="Times New Roman" w:cs="Arial"/>
                <w:sz w:val="22"/>
                <w:lang w:eastAsia="en-NZ"/>
              </w:rPr>
            </w:pPr>
            <w:hyperlink w:anchor="_Inequalities" w:history="1">
              <w:r w:rsidR="007F7D20" w:rsidRPr="0000407D">
                <w:rPr>
                  <w:rStyle w:val="Hyperlink"/>
                  <w:rFonts w:eastAsia="Times New Roman" w:cs="Arial"/>
                  <w:sz w:val="22"/>
                  <w:lang w:eastAsia="en-NZ"/>
                </w:rPr>
                <w:t>Inequalities</w:t>
              </w:r>
            </w:hyperlink>
          </w:p>
        </w:tc>
        <w:tc>
          <w:tcPr>
            <w:tcW w:w="4599" w:type="dxa"/>
          </w:tcPr>
          <w:p w:rsidR="00714E7C" w:rsidRPr="001417E6" w:rsidRDefault="006837C7" w:rsidP="00716F8A">
            <w:pPr>
              <w:pStyle w:val="ListParagraph"/>
              <w:numPr>
                <w:ilvl w:val="0"/>
                <w:numId w:val="1"/>
              </w:numPr>
              <w:rPr>
                <w:rFonts w:eastAsia="Times New Roman" w:cs="Arial"/>
                <w:sz w:val="22"/>
                <w:lang w:eastAsia="en-NZ"/>
              </w:rPr>
            </w:pPr>
            <w:hyperlink w:anchor="_Public_Health" w:history="1">
              <w:r w:rsidR="007F7D20" w:rsidRPr="0000407D">
                <w:rPr>
                  <w:rStyle w:val="Hyperlink"/>
                  <w:rFonts w:eastAsia="Times New Roman" w:cs="Arial"/>
                  <w:sz w:val="22"/>
                  <w:lang w:eastAsia="en-NZ"/>
                </w:rPr>
                <w:t>Public Health</w:t>
              </w:r>
            </w:hyperlink>
          </w:p>
        </w:tc>
      </w:tr>
      <w:tr w:rsidR="00714E7C" w:rsidRPr="001417E6" w:rsidTr="007F7D20">
        <w:tc>
          <w:tcPr>
            <w:tcW w:w="4644" w:type="dxa"/>
          </w:tcPr>
          <w:p w:rsidR="00714E7C" w:rsidRPr="001417E6" w:rsidRDefault="006837C7" w:rsidP="001A4454">
            <w:pPr>
              <w:pStyle w:val="ListParagraph"/>
              <w:numPr>
                <w:ilvl w:val="0"/>
                <w:numId w:val="1"/>
              </w:numPr>
              <w:rPr>
                <w:rFonts w:eastAsia="Times New Roman" w:cs="Arial"/>
                <w:sz w:val="22"/>
                <w:lang w:eastAsia="en-NZ"/>
              </w:rPr>
            </w:pPr>
            <w:hyperlink w:anchor="_Mental_Health" w:history="1">
              <w:r w:rsidR="007F7D20" w:rsidRPr="0000407D">
                <w:rPr>
                  <w:rStyle w:val="Hyperlink"/>
                  <w:rFonts w:eastAsia="Times New Roman" w:cs="Arial"/>
                  <w:sz w:val="22"/>
                  <w:lang w:eastAsia="en-NZ"/>
                </w:rPr>
                <w:t>Mental Health</w:t>
              </w:r>
            </w:hyperlink>
          </w:p>
        </w:tc>
        <w:tc>
          <w:tcPr>
            <w:tcW w:w="4599" w:type="dxa"/>
          </w:tcPr>
          <w:p w:rsidR="00714E7C" w:rsidRPr="001417E6" w:rsidRDefault="006837C7" w:rsidP="00190B7B">
            <w:pPr>
              <w:pStyle w:val="ListParagraph"/>
              <w:numPr>
                <w:ilvl w:val="0"/>
                <w:numId w:val="1"/>
              </w:numPr>
              <w:rPr>
                <w:rFonts w:eastAsia="Times New Roman" w:cs="Arial"/>
                <w:sz w:val="22"/>
                <w:lang w:eastAsia="en-NZ"/>
              </w:rPr>
            </w:pPr>
            <w:hyperlink w:anchor="_Cancer_&amp;_Palliative" w:history="1">
              <w:r w:rsidR="007F7D20" w:rsidRPr="0000407D">
                <w:rPr>
                  <w:rStyle w:val="Hyperlink"/>
                  <w:rFonts w:eastAsia="Times New Roman" w:cs="Arial"/>
                  <w:sz w:val="22"/>
                  <w:lang w:eastAsia="en-NZ"/>
                </w:rPr>
                <w:t>Cancer &amp; Palliative Care</w:t>
              </w:r>
            </w:hyperlink>
          </w:p>
        </w:tc>
      </w:tr>
      <w:tr w:rsidR="00714E7C" w:rsidRPr="001417E6" w:rsidTr="007F7D20">
        <w:trPr>
          <w:trHeight w:val="217"/>
        </w:trPr>
        <w:tc>
          <w:tcPr>
            <w:tcW w:w="4644" w:type="dxa"/>
          </w:tcPr>
          <w:p w:rsidR="00714E7C" w:rsidRPr="001417E6" w:rsidRDefault="006837C7" w:rsidP="00716F8A">
            <w:pPr>
              <w:pStyle w:val="ListParagraph"/>
              <w:numPr>
                <w:ilvl w:val="0"/>
                <w:numId w:val="1"/>
              </w:numPr>
              <w:rPr>
                <w:rFonts w:eastAsia="Times New Roman" w:cs="Arial"/>
                <w:sz w:val="22"/>
                <w:lang w:eastAsia="en-NZ"/>
              </w:rPr>
            </w:pPr>
            <w:hyperlink w:anchor="_Nutrition,_Physical_Activity," w:history="1">
              <w:r w:rsidR="007F7D20" w:rsidRPr="0000407D">
                <w:rPr>
                  <w:rStyle w:val="Hyperlink"/>
                  <w:rFonts w:eastAsia="Times New Roman" w:cs="Arial"/>
                  <w:sz w:val="22"/>
                  <w:lang w:eastAsia="en-NZ"/>
                </w:rPr>
                <w:t>Nutrition, Physical Activity, &amp; Obesity</w:t>
              </w:r>
            </w:hyperlink>
          </w:p>
        </w:tc>
        <w:tc>
          <w:tcPr>
            <w:tcW w:w="4599" w:type="dxa"/>
          </w:tcPr>
          <w:p w:rsidR="00714E7C" w:rsidRPr="001417E6" w:rsidRDefault="006837C7" w:rsidP="00611645">
            <w:pPr>
              <w:pStyle w:val="ListParagraph"/>
              <w:numPr>
                <w:ilvl w:val="0"/>
                <w:numId w:val="1"/>
              </w:numPr>
              <w:rPr>
                <w:rFonts w:eastAsia="Times New Roman" w:cs="Arial"/>
                <w:sz w:val="22"/>
                <w:lang w:eastAsia="en-NZ"/>
              </w:rPr>
            </w:pPr>
            <w:hyperlink w:anchor="_Integration_&amp;_Collaboration" w:history="1">
              <w:r w:rsidR="007F7D20" w:rsidRPr="00160249">
                <w:rPr>
                  <w:rStyle w:val="Hyperlink"/>
                  <w:rFonts w:eastAsia="Times New Roman" w:cs="Arial"/>
                  <w:sz w:val="22"/>
                  <w:lang w:eastAsia="en-NZ"/>
                </w:rPr>
                <w:t>Integration &amp; Collaboration</w:t>
              </w:r>
            </w:hyperlink>
          </w:p>
        </w:tc>
      </w:tr>
      <w:tr w:rsidR="007F7D20" w:rsidRPr="001417E6" w:rsidTr="007F7D20">
        <w:trPr>
          <w:trHeight w:val="217"/>
        </w:trPr>
        <w:tc>
          <w:tcPr>
            <w:tcW w:w="4644" w:type="dxa"/>
          </w:tcPr>
          <w:p w:rsidR="007F7D20" w:rsidRDefault="006837C7" w:rsidP="00716F8A">
            <w:pPr>
              <w:pStyle w:val="ListParagraph"/>
              <w:numPr>
                <w:ilvl w:val="0"/>
                <w:numId w:val="1"/>
              </w:numPr>
              <w:rPr>
                <w:rFonts w:eastAsia="Times New Roman" w:cs="Arial"/>
                <w:sz w:val="22"/>
                <w:lang w:eastAsia="en-NZ"/>
              </w:rPr>
            </w:pPr>
            <w:hyperlink w:anchor="_Health_of_Older_1" w:history="1">
              <w:r w:rsidR="007F7D20" w:rsidRPr="00160249">
                <w:rPr>
                  <w:rStyle w:val="Hyperlink"/>
                  <w:rFonts w:eastAsia="Times New Roman" w:cs="Arial"/>
                  <w:sz w:val="22"/>
                  <w:lang w:eastAsia="en-NZ"/>
                </w:rPr>
                <w:t>Health of Older People</w:t>
              </w:r>
            </w:hyperlink>
          </w:p>
        </w:tc>
        <w:tc>
          <w:tcPr>
            <w:tcW w:w="4599" w:type="dxa"/>
          </w:tcPr>
          <w:p w:rsidR="007F7D20" w:rsidRDefault="006837C7" w:rsidP="00611645">
            <w:pPr>
              <w:pStyle w:val="ListParagraph"/>
              <w:numPr>
                <w:ilvl w:val="0"/>
                <w:numId w:val="1"/>
              </w:numPr>
              <w:rPr>
                <w:rFonts w:eastAsia="Times New Roman" w:cs="Arial"/>
                <w:sz w:val="22"/>
                <w:lang w:eastAsia="en-NZ"/>
              </w:rPr>
            </w:pPr>
            <w:hyperlink w:anchor="_Health_Promotion" w:history="1">
              <w:r w:rsidR="007F7D20" w:rsidRPr="00160249">
                <w:rPr>
                  <w:rStyle w:val="Hyperlink"/>
                  <w:rFonts w:eastAsia="Times New Roman" w:cs="Arial"/>
                  <w:sz w:val="22"/>
                  <w:lang w:eastAsia="en-NZ"/>
                </w:rPr>
                <w:t>Health Promotion</w:t>
              </w:r>
            </w:hyperlink>
          </w:p>
        </w:tc>
      </w:tr>
      <w:tr w:rsidR="007F7D20" w:rsidRPr="001417E6" w:rsidTr="007F7D20">
        <w:trPr>
          <w:trHeight w:val="217"/>
        </w:trPr>
        <w:tc>
          <w:tcPr>
            <w:tcW w:w="4644" w:type="dxa"/>
          </w:tcPr>
          <w:p w:rsidR="007F7D20" w:rsidRDefault="006837C7" w:rsidP="00716F8A">
            <w:pPr>
              <w:pStyle w:val="ListParagraph"/>
              <w:numPr>
                <w:ilvl w:val="0"/>
                <w:numId w:val="1"/>
              </w:numPr>
              <w:rPr>
                <w:rFonts w:eastAsia="Times New Roman" w:cs="Arial"/>
                <w:sz w:val="22"/>
                <w:lang w:eastAsia="en-NZ"/>
              </w:rPr>
            </w:pPr>
            <w:hyperlink w:anchor="_Health_Information_&amp;" w:history="1">
              <w:r w:rsidR="007F7D20" w:rsidRPr="00160249">
                <w:rPr>
                  <w:rStyle w:val="Hyperlink"/>
                  <w:rFonts w:eastAsia="Times New Roman" w:cs="Arial"/>
                  <w:sz w:val="22"/>
                  <w:lang w:eastAsia="en-NZ"/>
                </w:rPr>
                <w:t>Health Information &amp; Technology</w:t>
              </w:r>
            </w:hyperlink>
          </w:p>
        </w:tc>
        <w:tc>
          <w:tcPr>
            <w:tcW w:w="4599" w:type="dxa"/>
          </w:tcPr>
          <w:p w:rsidR="007F7D20" w:rsidRDefault="006837C7" w:rsidP="00611645">
            <w:pPr>
              <w:pStyle w:val="ListParagraph"/>
              <w:numPr>
                <w:ilvl w:val="0"/>
                <w:numId w:val="1"/>
              </w:numPr>
              <w:rPr>
                <w:rFonts w:eastAsia="Times New Roman" w:cs="Arial"/>
                <w:sz w:val="22"/>
                <w:lang w:eastAsia="en-NZ"/>
              </w:rPr>
            </w:pPr>
            <w:hyperlink w:anchor="_Primary_Care" w:history="1">
              <w:r w:rsidR="007F7D20" w:rsidRPr="00160249">
                <w:rPr>
                  <w:rStyle w:val="Hyperlink"/>
                  <w:rFonts w:eastAsia="Times New Roman" w:cs="Arial"/>
                  <w:sz w:val="22"/>
                  <w:lang w:eastAsia="en-NZ"/>
                </w:rPr>
                <w:t>Primary Care</w:t>
              </w:r>
            </w:hyperlink>
          </w:p>
        </w:tc>
      </w:tr>
    </w:tbl>
    <w:p w:rsidR="001A11F9" w:rsidRDefault="001A11F9" w:rsidP="001A11F9">
      <w:pPr>
        <w:spacing w:after="0" w:line="240" w:lineRule="auto"/>
        <w:rPr>
          <w:rFonts w:ascii="Arial Mäori" w:hAnsi="Arial Mäori" w:cs="Arial Mäori"/>
          <w:color w:val="000000"/>
          <w:sz w:val="20"/>
          <w:szCs w:val="20"/>
        </w:rPr>
      </w:pPr>
      <w:bookmarkStart w:id="2" w:name="_Nutrition_&amp;_Physical"/>
      <w:bookmarkStart w:id="3" w:name="_Quality,_Safety,_and"/>
      <w:bookmarkStart w:id="4" w:name="_Long-Term_Conditions_&amp;"/>
      <w:bookmarkStart w:id="5" w:name="_Health_Systems,_Reform,"/>
      <w:bookmarkStart w:id="6" w:name="_Service_Delivery"/>
      <w:bookmarkStart w:id="7" w:name="_Health_of_Older"/>
      <w:bookmarkStart w:id="8" w:name="_Mental_Health_&amp;"/>
      <w:bookmarkStart w:id="9" w:name="_Global_Health"/>
      <w:bookmarkStart w:id="10" w:name="_Health_Systems,_Reforms,"/>
      <w:bookmarkStart w:id="11" w:name="_Health_Systems,_Reforms,_1"/>
      <w:bookmarkStart w:id="12" w:name="_Workforce"/>
      <w:bookmarkStart w:id="13" w:name="_Quality_&amp;_Safety"/>
      <w:bookmarkStart w:id="14" w:name="_Public_Health_Issues"/>
      <w:bookmarkEnd w:id="2"/>
      <w:bookmarkEnd w:id="3"/>
      <w:bookmarkEnd w:id="4"/>
      <w:bookmarkEnd w:id="5"/>
      <w:bookmarkEnd w:id="6"/>
      <w:bookmarkEnd w:id="7"/>
      <w:bookmarkEnd w:id="8"/>
      <w:bookmarkEnd w:id="9"/>
      <w:bookmarkEnd w:id="10"/>
      <w:bookmarkEnd w:id="11"/>
      <w:bookmarkEnd w:id="12"/>
      <w:bookmarkEnd w:id="13"/>
      <w:bookmarkEnd w:id="14"/>
    </w:p>
    <w:p w:rsidR="007F7D20" w:rsidRDefault="007F7D20" w:rsidP="007F7D20">
      <w:pPr>
        <w:pStyle w:val="Heading3"/>
        <w:rPr>
          <w:color w:val="548DD4" w:themeColor="text2" w:themeTint="99"/>
        </w:rPr>
      </w:pPr>
      <w:bookmarkStart w:id="15" w:name="_Quality_&amp;_Safety_1"/>
      <w:bookmarkEnd w:id="15"/>
      <w:r w:rsidRPr="007F7D20">
        <w:rPr>
          <w:color w:val="548DD4" w:themeColor="text2" w:themeTint="99"/>
        </w:rPr>
        <w:t>Quality &amp; Safety</w:t>
      </w:r>
    </w:p>
    <w:p w:rsidR="00E74DA4" w:rsidRDefault="006837C7" w:rsidP="00E74DA4">
      <w:pPr>
        <w:spacing w:after="0" w:line="240" w:lineRule="auto"/>
        <w:rPr>
          <w:rFonts w:ascii="Arial Mäori" w:hAnsi="Arial Mäori" w:cs="Arial Mäori"/>
          <w:b/>
          <w:color w:val="000000"/>
          <w:sz w:val="20"/>
          <w:szCs w:val="20"/>
        </w:rPr>
      </w:pPr>
      <w:hyperlink r:id="rId12" w:history="1">
        <w:r w:rsidR="00E74DA4" w:rsidRPr="00D1422F">
          <w:rPr>
            <w:rStyle w:val="Hyperlink"/>
            <w:rFonts w:ascii="Arial Mäori" w:hAnsi="Arial Mäori" w:cs="Arial Mäori"/>
            <w:b/>
            <w:sz w:val="20"/>
            <w:szCs w:val="20"/>
          </w:rPr>
          <w:t>Transforming the safety and quality of health care</w:t>
        </w:r>
      </w:hyperlink>
    </w:p>
    <w:p w:rsidR="00E74DA4" w:rsidRPr="00A62FDF" w:rsidRDefault="00E74DA4" w:rsidP="00E74DA4">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A62FDF">
        <w:rPr>
          <w:rFonts w:ascii="Arial Mäori" w:hAnsi="Arial Mäori" w:cs="Arial Mäori"/>
          <w:color w:val="000000"/>
          <w:sz w:val="20"/>
          <w:szCs w:val="20"/>
        </w:rPr>
        <w:t>The implementation of the National Safety and Quality Health</w:t>
      </w:r>
      <w:r>
        <w:rPr>
          <w:rFonts w:ascii="Arial Mäori" w:hAnsi="Arial Mäori" w:cs="Arial Mäori"/>
          <w:color w:val="000000"/>
          <w:sz w:val="20"/>
          <w:szCs w:val="20"/>
        </w:rPr>
        <w:t xml:space="preserve"> </w:t>
      </w:r>
      <w:r w:rsidRPr="00A62FDF">
        <w:rPr>
          <w:rFonts w:ascii="Arial Mäori" w:hAnsi="Arial Mäori" w:cs="Arial Mäori"/>
          <w:color w:val="000000"/>
          <w:sz w:val="20"/>
          <w:szCs w:val="20"/>
        </w:rPr>
        <w:t>Service (NSQHS) Standards, together with the introduction of the Australian Health Service</w:t>
      </w:r>
      <w:r>
        <w:rPr>
          <w:rFonts w:ascii="Arial Mäori" w:hAnsi="Arial Mäori" w:cs="Arial Mäori"/>
          <w:color w:val="000000"/>
          <w:sz w:val="20"/>
          <w:szCs w:val="20"/>
        </w:rPr>
        <w:t xml:space="preserve"> </w:t>
      </w:r>
      <w:r w:rsidRPr="00A62FDF">
        <w:rPr>
          <w:rFonts w:ascii="Arial Mäori" w:hAnsi="Arial Mäori" w:cs="Arial Mäori"/>
          <w:color w:val="000000"/>
          <w:sz w:val="20"/>
          <w:szCs w:val="20"/>
        </w:rPr>
        <w:t>Safety and Quality Accreditation Scheme, is an unprecedented, transformational effort to</w:t>
      </w:r>
      <w:r>
        <w:rPr>
          <w:rFonts w:ascii="Arial Mäori" w:hAnsi="Arial Mäori" w:cs="Arial Mäori"/>
          <w:color w:val="000000"/>
          <w:sz w:val="20"/>
          <w:szCs w:val="20"/>
        </w:rPr>
        <w:t xml:space="preserve"> </w:t>
      </w:r>
      <w:r w:rsidRPr="00A62FDF">
        <w:rPr>
          <w:rFonts w:ascii="Arial Mäori" w:hAnsi="Arial Mäori" w:cs="Arial Mäori"/>
          <w:color w:val="000000"/>
          <w:sz w:val="20"/>
          <w:szCs w:val="20"/>
        </w:rPr>
        <w:t>improve health care across the country.</w:t>
      </w:r>
      <w:r>
        <w:rPr>
          <w:rFonts w:ascii="Arial Mäori" w:hAnsi="Arial Mäori" w:cs="Arial Mäori"/>
          <w:color w:val="000000"/>
          <w:sz w:val="20"/>
          <w:szCs w:val="20"/>
        </w:rPr>
        <w:t xml:space="preserve">” </w:t>
      </w:r>
      <w:r>
        <w:rPr>
          <w:rFonts w:ascii="Arial Mäori" w:hAnsi="Arial Mäori" w:cs="Arial Mäori"/>
          <w:i/>
          <w:color w:val="000000"/>
          <w:sz w:val="20"/>
          <w:szCs w:val="20"/>
        </w:rPr>
        <w:t xml:space="preserve">Source: </w:t>
      </w:r>
      <w:r w:rsidRPr="00A62FDF">
        <w:rPr>
          <w:rFonts w:ascii="Arial Mäori" w:hAnsi="Arial Mäori" w:cs="Arial Mäori"/>
          <w:i/>
          <w:color w:val="000000"/>
          <w:sz w:val="20"/>
          <w:szCs w:val="20"/>
        </w:rPr>
        <w:t>National Safety and Quality Health Service</w:t>
      </w:r>
    </w:p>
    <w:p w:rsidR="00E74DA4" w:rsidRDefault="00E74DA4" w:rsidP="00270ECE">
      <w:pPr>
        <w:spacing w:after="0" w:line="240" w:lineRule="auto"/>
      </w:pPr>
    </w:p>
    <w:p w:rsidR="00270ECE" w:rsidRPr="00C55BD5" w:rsidRDefault="006837C7" w:rsidP="00270ECE">
      <w:pPr>
        <w:spacing w:after="0" w:line="240" w:lineRule="auto"/>
        <w:rPr>
          <w:rFonts w:ascii="Arial Mäori" w:hAnsi="Arial Mäori" w:cs="Arial Mäori"/>
          <w:b/>
          <w:color w:val="000000"/>
          <w:sz w:val="20"/>
          <w:szCs w:val="20"/>
        </w:rPr>
      </w:pPr>
      <w:hyperlink r:id="rId13" w:history="1">
        <w:r w:rsidR="00270ECE" w:rsidRPr="00276B16">
          <w:rPr>
            <w:rStyle w:val="Hyperlink"/>
            <w:rFonts w:ascii="Arial Mäori" w:hAnsi="Arial Mäori" w:cs="Arial Mäori"/>
            <w:b/>
            <w:sz w:val="20"/>
            <w:szCs w:val="20"/>
          </w:rPr>
          <w:t>Focus on: Allied health professionals Can we measure quality of care?</w:t>
        </w:r>
      </w:hyperlink>
    </w:p>
    <w:p w:rsidR="00270ECE" w:rsidRDefault="00270ECE" w:rsidP="00270EC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C55BD5">
        <w:rPr>
          <w:rFonts w:ascii="Arial Mäori" w:hAnsi="Arial Mäori" w:cs="Arial Mäori"/>
          <w:color w:val="000000"/>
          <w:sz w:val="20"/>
          <w:szCs w:val="20"/>
        </w:rPr>
        <w:t xml:space="preserve">In this report, </w:t>
      </w:r>
      <w:r>
        <w:rPr>
          <w:rFonts w:ascii="Arial Mäori" w:hAnsi="Arial Mäori" w:cs="Arial Mäori"/>
          <w:color w:val="000000"/>
          <w:sz w:val="20"/>
          <w:szCs w:val="20"/>
        </w:rPr>
        <w:t>[the authors]</w:t>
      </w:r>
      <w:r w:rsidRPr="00C55BD5">
        <w:rPr>
          <w:rFonts w:ascii="Arial Mäori" w:hAnsi="Arial Mäori" w:cs="Arial Mäori"/>
          <w:color w:val="000000"/>
          <w:sz w:val="20"/>
          <w:szCs w:val="20"/>
        </w:rPr>
        <w:t xml:space="preserve"> explore the quality of care and services delivered by allied</w:t>
      </w:r>
      <w:r>
        <w:rPr>
          <w:rFonts w:ascii="Arial Mäori" w:hAnsi="Arial Mäori" w:cs="Arial Mäori"/>
          <w:color w:val="000000"/>
          <w:sz w:val="20"/>
          <w:szCs w:val="20"/>
        </w:rPr>
        <w:t xml:space="preserve"> </w:t>
      </w:r>
      <w:r w:rsidRPr="00C55BD5">
        <w:rPr>
          <w:rFonts w:ascii="Arial Mäori" w:hAnsi="Arial Mäori" w:cs="Arial Mäori"/>
          <w:color w:val="000000"/>
          <w:sz w:val="20"/>
          <w:szCs w:val="20"/>
        </w:rPr>
        <w:t>health professionals (AHPs).</w:t>
      </w:r>
      <w:r>
        <w:rPr>
          <w:rFonts w:ascii="Arial Mäori" w:hAnsi="Arial Mäori" w:cs="Arial Mäori"/>
          <w:color w:val="000000"/>
          <w:sz w:val="20"/>
          <w:szCs w:val="20"/>
        </w:rPr>
        <w:t xml:space="preserve">” </w:t>
      </w:r>
      <w:r>
        <w:rPr>
          <w:rFonts w:ascii="Arial Mäori" w:hAnsi="Arial Mäori" w:cs="Arial Mäori"/>
          <w:i/>
          <w:color w:val="000000"/>
          <w:sz w:val="20"/>
          <w:szCs w:val="20"/>
        </w:rPr>
        <w:t>Source: Quality Watch</w:t>
      </w:r>
    </w:p>
    <w:p w:rsidR="001730CB" w:rsidRDefault="001730CB" w:rsidP="00270ECE">
      <w:pPr>
        <w:spacing w:after="0" w:line="240" w:lineRule="auto"/>
        <w:rPr>
          <w:rFonts w:ascii="Arial Mäori" w:hAnsi="Arial Mäori" w:cs="Arial Mäori"/>
          <w:i/>
          <w:color w:val="000000"/>
          <w:sz w:val="20"/>
          <w:szCs w:val="20"/>
        </w:rPr>
      </w:pPr>
    </w:p>
    <w:p w:rsidR="004A28EE" w:rsidRDefault="004A28EE">
      <w:r>
        <w:br w:type="page"/>
      </w:r>
    </w:p>
    <w:p w:rsidR="001730CB" w:rsidRDefault="006837C7" w:rsidP="001730CB">
      <w:pPr>
        <w:spacing w:after="0" w:line="240" w:lineRule="auto"/>
        <w:rPr>
          <w:b/>
          <w:sz w:val="20"/>
          <w:szCs w:val="20"/>
        </w:rPr>
      </w:pPr>
      <w:hyperlink r:id="rId14" w:history="1">
        <w:r w:rsidR="001730CB" w:rsidRPr="002E23C8">
          <w:rPr>
            <w:rStyle w:val="Hyperlink"/>
            <w:b/>
            <w:sz w:val="20"/>
            <w:szCs w:val="20"/>
          </w:rPr>
          <w:t>Who Watches the Watchmen? The Role of the Self-Regulator</w:t>
        </w:r>
      </w:hyperlink>
    </w:p>
    <w:p w:rsidR="001730CB" w:rsidRDefault="001730CB" w:rsidP="001730CB">
      <w:pPr>
        <w:spacing w:after="0" w:line="240" w:lineRule="auto"/>
        <w:rPr>
          <w:i/>
          <w:sz w:val="20"/>
          <w:szCs w:val="20"/>
        </w:rPr>
      </w:pPr>
      <w:r>
        <w:rPr>
          <w:sz w:val="20"/>
          <w:szCs w:val="20"/>
        </w:rPr>
        <w:t>“</w:t>
      </w:r>
      <w:r w:rsidRPr="000A6630">
        <w:rPr>
          <w:sz w:val="20"/>
          <w:szCs w:val="20"/>
        </w:rPr>
        <w:t>Provincial governments should take steps to improve consumer protection in the rules and powers of self-regulating organizations (SRO), according to a new C.D. Howe Institute report. In “Who Watches the Watchmen? The Role of the Self-Regulator,” author Robert Mysicka finds that, for certain self-governing professions, the public interest is not being adequately protected.</w:t>
      </w:r>
      <w:r>
        <w:rPr>
          <w:sz w:val="20"/>
          <w:szCs w:val="20"/>
        </w:rPr>
        <w:t xml:space="preserve">” </w:t>
      </w:r>
      <w:r>
        <w:rPr>
          <w:i/>
          <w:sz w:val="20"/>
          <w:szCs w:val="20"/>
        </w:rPr>
        <w:t>Source: C.D. Howe Institute</w:t>
      </w:r>
    </w:p>
    <w:p w:rsidR="001730CB" w:rsidRDefault="001730CB" w:rsidP="00270ECE">
      <w:pPr>
        <w:spacing w:after="0" w:line="240" w:lineRule="auto"/>
        <w:rPr>
          <w:rFonts w:ascii="Arial Mäori" w:hAnsi="Arial Mäori" w:cs="Arial Mäori"/>
          <w:color w:val="000000"/>
          <w:sz w:val="20"/>
          <w:szCs w:val="20"/>
        </w:rPr>
      </w:pPr>
    </w:p>
    <w:p w:rsidR="00077A5E" w:rsidRPr="00C55400" w:rsidRDefault="006837C7" w:rsidP="00077A5E">
      <w:pPr>
        <w:spacing w:after="0" w:line="240" w:lineRule="auto"/>
        <w:rPr>
          <w:rFonts w:ascii="Arial Mäori" w:hAnsi="Arial Mäori" w:cs="Arial Mäori"/>
          <w:b/>
          <w:color w:val="000000"/>
          <w:sz w:val="20"/>
          <w:szCs w:val="20"/>
        </w:rPr>
      </w:pPr>
      <w:hyperlink r:id="rId15" w:history="1">
        <w:r w:rsidR="00077A5E" w:rsidRPr="00D550F1">
          <w:rPr>
            <w:rStyle w:val="Hyperlink"/>
            <w:rFonts w:ascii="Arial Mäori" w:hAnsi="Arial Mäori" w:cs="Arial Mäori"/>
            <w:b/>
            <w:sz w:val="20"/>
            <w:szCs w:val="20"/>
          </w:rPr>
          <w:t>An Exploration of the Implementation of Open Disclosure of Adverse Events in the UK: A scoping review and qualitative exploration</w:t>
        </w:r>
      </w:hyperlink>
    </w:p>
    <w:p w:rsidR="00077A5E" w:rsidRDefault="00077A5E" w:rsidP="00077A5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C55400">
        <w:rPr>
          <w:rFonts w:ascii="Arial Mäori" w:hAnsi="Arial Mäori" w:cs="Arial Mäori"/>
          <w:color w:val="000000"/>
          <w:sz w:val="20"/>
          <w:szCs w:val="20"/>
        </w:rPr>
        <w:t>There are several clear strategies that the NHS could learn from to implement and sustain a policy of openness. Literature reviews and stakeholder accounts both identified the potential benefits of a culture that was generally more open (not just retrospectively open about serious harm).</w:t>
      </w:r>
      <w:r>
        <w:rPr>
          <w:rFonts w:ascii="Arial Mäori" w:hAnsi="Arial Mäori" w:cs="Arial Mäori"/>
          <w:color w:val="000000"/>
          <w:sz w:val="20"/>
          <w:szCs w:val="20"/>
        </w:rPr>
        <w:t xml:space="preserve">” </w:t>
      </w:r>
      <w:r>
        <w:rPr>
          <w:rFonts w:ascii="Arial Mäori" w:hAnsi="Arial Mäori" w:cs="Arial Mäori"/>
          <w:i/>
          <w:color w:val="000000"/>
          <w:sz w:val="20"/>
          <w:szCs w:val="20"/>
        </w:rPr>
        <w:t xml:space="preserve">Source: </w:t>
      </w:r>
      <w:r w:rsidRPr="00C55400">
        <w:rPr>
          <w:rFonts w:ascii="Arial Mäori" w:hAnsi="Arial Mäori" w:cs="Arial Mäori"/>
          <w:i/>
          <w:color w:val="000000"/>
          <w:sz w:val="20"/>
          <w:szCs w:val="20"/>
        </w:rPr>
        <w:t>National Institute for Health Research</w:t>
      </w:r>
    </w:p>
    <w:p w:rsidR="007155D7" w:rsidRDefault="006837C7" w:rsidP="00077A5E">
      <w:pPr>
        <w:spacing w:after="0" w:line="240" w:lineRule="auto"/>
        <w:rPr>
          <w:rFonts w:ascii="Arial Mäori" w:hAnsi="Arial Mäori" w:cs="Arial Mäori"/>
          <w:i/>
          <w:color w:val="000000"/>
          <w:sz w:val="20"/>
          <w:szCs w:val="20"/>
        </w:rPr>
      </w:pPr>
      <w:hyperlink w:anchor="_top" w:history="1">
        <w:r w:rsidR="007155D7" w:rsidRPr="007155D7">
          <w:rPr>
            <w:rStyle w:val="Hyperlink"/>
            <w:rFonts w:ascii="Arial Mäori" w:hAnsi="Arial Mäori" w:cs="Arial Mäori"/>
            <w:i/>
            <w:sz w:val="20"/>
            <w:szCs w:val="20"/>
          </w:rPr>
          <w:t>Back to top</w:t>
        </w:r>
      </w:hyperlink>
    </w:p>
    <w:p w:rsidR="007F7D20" w:rsidRDefault="007F7D20" w:rsidP="008A07BC">
      <w:pPr>
        <w:pStyle w:val="Heading3"/>
        <w:rPr>
          <w:color w:val="548DD4" w:themeColor="text2" w:themeTint="99"/>
        </w:rPr>
      </w:pPr>
      <w:bookmarkStart w:id="16" w:name="_Systems,_Costs,_&amp;"/>
      <w:bookmarkEnd w:id="16"/>
      <w:r w:rsidRPr="008A07BC">
        <w:rPr>
          <w:color w:val="548DD4" w:themeColor="text2" w:themeTint="99"/>
        </w:rPr>
        <w:t>Systems, Costs, &amp; Reforms</w:t>
      </w:r>
    </w:p>
    <w:p w:rsidR="00E74DA4" w:rsidRDefault="006837C7" w:rsidP="00E74DA4">
      <w:pPr>
        <w:spacing w:after="0" w:line="240" w:lineRule="auto"/>
        <w:rPr>
          <w:rFonts w:ascii="Arial Mäori" w:hAnsi="Arial Mäori" w:cs="Arial Mäori"/>
          <w:b/>
          <w:color w:val="000000"/>
          <w:sz w:val="20"/>
          <w:szCs w:val="20"/>
        </w:rPr>
      </w:pPr>
      <w:hyperlink r:id="rId16" w:history="1">
        <w:r w:rsidR="00E74DA4" w:rsidRPr="00D1422F">
          <w:rPr>
            <w:rStyle w:val="Hyperlink"/>
            <w:rFonts w:ascii="Arial Mäori" w:hAnsi="Arial Mäori" w:cs="Arial Mäori"/>
            <w:b/>
            <w:sz w:val="20"/>
            <w:szCs w:val="20"/>
          </w:rPr>
          <w:t>Staying Power – Success stories in global healthcare</w:t>
        </w:r>
      </w:hyperlink>
    </w:p>
    <w:p w:rsidR="00E74DA4" w:rsidRDefault="00E74DA4" w:rsidP="00E74DA4">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692AE2">
        <w:rPr>
          <w:rFonts w:ascii="Arial Mäori" w:hAnsi="Arial Mäori" w:cs="Arial Mäori"/>
          <w:color w:val="000000"/>
          <w:sz w:val="20"/>
          <w:szCs w:val="20"/>
        </w:rPr>
        <w:t>The report "Staying Power, success stories in global healthcare" presents the key insights from KPMG’s global healthcare conference of 65 healthcare leaders from 30 countries engaged in peer-to-peer discussions on effective strategies for successful healthcare transformation.</w:t>
      </w:r>
      <w:r>
        <w:rPr>
          <w:rFonts w:ascii="Arial Mäori" w:hAnsi="Arial Mäori" w:cs="Arial Mäori"/>
          <w:color w:val="000000"/>
          <w:sz w:val="20"/>
          <w:szCs w:val="20"/>
        </w:rPr>
        <w:t xml:space="preserve">” </w:t>
      </w:r>
      <w:r>
        <w:rPr>
          <w:rFonts w:ascii="Arial Mäori" w:hAnsi="Arial Mäori" w:cs="Arial Mäori"/>
          <w:i/>
          <w:color w:val="000000"/>
          <w:sz w:val="20"/>
          <w:szCs w:val="20"/>
        </w:rPr>
        <w:t>Source: KPMG</w:t>
      </w:r>
    </w:p>
    <w:p w:rsidR="00E74DA4" w:rsidRDefault="00E74DA4" w:rsidP="001730CB">
      <w:pPr>
        <w:spacing w:after="0" w:line="240" w:lineRule="auto"/>
      </w:pPr>
    </w:p>
    <w:p w:rsidR="001730CB" w:rsidRDefault="006837C7" w:rsidP="001730CB">
      <w:pPr>
        <w:spacing w:after="0" w:line="240" w:lineRule="auto"/>
        <w:rPr>
          <w:rFonts w:ascii="Arial Mäori" w:hAnsi="Arial Mäori" w:cs="Arial Mäori"/>
          <w:b/>
          <w:color w:val="000000"/>
          <w:sz w:val="20"/>
          <w:szCs w:val="20"/>
        </w:rPr>
      </w:pPr>
      <w:hyperlink r:id="rId17" w:history="1">
        <w:r w:rsidR="001730CB" w:rsidRPr="002E23C8">
          <w:rPr>
            <w:rStyle w:val="Hyperlink"/>
            <w:rFonts w:ascii="Arial Mäori" w:hAnsi="Arial Mäori" w:cs="Arial Mäori"/>
            <w:b/>
            <w:sz w:val="20"/>
            <w:szCs w:val="20"/>
          </w:rPr>
          <w:t>Specialists in out-of-hospital settings: Findings from six case studies</w:t>
        </w:r>
      </w:hyperlink>
    </w:p>
    <w:p w:rsidR="001730CB" w:rsidRDefault="001730CB" w:rsidP="001730CB">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6140D1">
        <w:rPr>
          <w:rFonts w:ascii="Arial Mäori" w:hAnsi="Arial Mäori" w:cs="Arial Mäori"/>
          <w:color w:val="000000"/>
          <w:sz w:val="20"/>
          <w:szCs w:val="20"/>
        </w:rPr>
        <w:t>To investigate the different ways in which consultants are working beyond their</w:t>
      </w:r>
      <w:r>
        <w:rPr>
          <w:rFonts w:ascii="Arial Mäori" w:hAnsi="Arial Mäori" w:cs="Arial Mäori"/>
          <w:color w:val="000000"/>
          <w:sz w:val="20"/>
          <w:szCs w:val="20"/>
        </w:rPr>
        <w:t xml:space="preserve"> </w:t>
      </w:r>
      <w:r w:rsidRPr="006140D1">
        <w:rPr>
          <w:rFonts w:ascii="Arial Mäori" w:hAnsi="Arial Mäori" w:cs="Arial Mäori"/>
          <w:color w:val="000000"/>
          <w:sz w:val="20"/>
          <w:szCs w:val="20"/>
        </w:rPr>
        <w:t>traditional boundaries, The King’s Fund visited six different services in which</w:t>
      </w:r>
      <w:r>
        <w:rPr>
          <w:rFonts w:ascii="Arial Mäori" w:hAnsi="Arial Mäori" w:cs="Arial Mäori"/>
          <w:color w:val="000000"/>
          <w:sz w:val="20"/>
          <w:szCs w:val="20"/>
        </w:rPr>
        <w:t xml:space="preserve"> </w:t>
      </w:r>
      <w:r w:rsidRPr="006140D1">
        <w:rPr>
          <w:rFonts w:ascii="Arial Mäori" w:hAnsi="Arial Mäori" w:cs="Arial Mäori"/>
          <w:color w:val="000000"/>
          <w:sz w:val="20"/>
          <w:szCs w:val="20"/>
        </w:rPr>
        <w:t>consultants were delivering or facilitating the delivery of care outside hospital.</w:t>
      </w:r>
      <w:r>
        <w:rPr>
          <w:rFonts w:ascii="Arial Mäori" w:hAnsi="Arial Mäori" w:cs="Arial Mäori"/>
          <w:color w:val="000000"/>
          <w:sz w:val="20"/>
          <w:szCs w:val="20"/>
        </w:rPr>
        <w:t xml:space="preserve"> </w:t>
      </w:r>
      <w:r w:rsidRPr="006140D1">
        <w:rPr>
          <w:rFonts w:ascii="Arial Mäori" w:hAnsi="Arial Mäori" w:cs="Arial Mäori"/>
          <w:color w:val="000000"/>
          <w:sz w:val="20"/>
          <w:szCs w:val="20"/>
        </w:rPr>
        <w:t>Through document review and interviews with staff involved in the design and</w:t>
      </w:r>
      <w:r>
        <w:rPr>
          <w:rFonts w:ascii="Arial Mäori" w:hAnsi="Arial Mäori" w:cs="Arial Mäori"/>
          <w:color w:val="000000"/>
          <w:sz w:val="20"/>
          <w:szCs w:val="20"/>
        </w:rPr>
        <w:t xml:space="preserve"> </w:t>
      </w:r>
      <w:r w:rsidRPr="006140D1">
        <w:rPr>
          <w:rFonts w:ascii="Arial Mäori" w:hAnsi="Arial Mäori" w:cs="Arial Mäori"/>
          <w:color w:val="000000"/>
          <w:sz w:val="20"/>
          <w:szCs w:val="20"/>
        </w:rPr>
        <w:t>delivery of the services, we sought to identify the key characteristics of this new</w:t>
      </w:r>
      <w:r>
        <w:rPr>
          <w:rFonts w:ascii="Arial Mäori" w:hAnsi="Arial Mäori" w:cs="Arial Mäori"/>
          <w:color w:val="000000"/>
          <w:sz w:val="20"/>
          <w:szCs w:val="20"/>
        </w:rPr>
        <w:t xml:space="preserve"> </w:t>
      </w:r>
      <w:r w:rsidRPr="006140D1">
        <w:rPr>
          <w:rFonts w:ascii="Arial Mäori" w:hAnsi="Arial Mäori" w:cs="Arial Mäori"/>
          <w:color w:val="000000"/>
          <w:sz w:val="20"/>
          <w:szCs w:val="20"/>
        </w:rPr>
        <w:t>way of working, explore the challenges in establishing services of this type and</w:t>
      </w:r>
      <w:r>
        <w:rPr>
          <w:rFonts w:ascii="Arial Mäori" w:hAnsi="Arial Mäori" w:cs="Arial Mäori"/>
          <w:color w:val="000000"/>
          <w:sz w:val="20"/>
          <w:szCs w:val="20"/>
        </w:rPr>
        <w:t xml:space="preserve"> </w:t>
      </w:r>
      <w:r w:rsidRPr="006140D1">
        <w:rPr>
          <w:rFonts w:ascii="Arial Mäori" w:hAnsi="Arial Mäori" w:cs="Arial Mäori"/>
          <w:color w:val="000000"/>
          <w:sz w:val="20"/>
          <w:szCs w:val="20"/>
        </w:rPr>
        <w:t>understand what benefit they could bring for patients and the NHS.</w:t>
      </w:r>
      <w:r>
        <w:rPr>
          <w:rFonts w:ascii="Arial Mäori" w:hAnsi="Arial Mäori" w:cs="Arial Mäori"/>
          <w:color w:val="000000"/>
          <w:sz w:val="20"/>
          <w:szCs w:val="20"/>
        </w:rPr>
        <w:t xml:space="preserve">” </w:t>
      </w:r>
      <w:r>
        <w:rPr>
          <w:rFonts w:ascii="Arial Mäori" w:hAnsi="Arial Mäori" w:cs="Arial Mäori"/>
          <w:i/>
          <w:color w:val="000000"/>
          <w:sz w:val="20"/>
          <w:szCs w:val="20"/>
        </w:rPr>
        <w:t>Source: King’s Fund</w:t>
      </w:r>
    </w:p>
    <w:p w:rsidR="001730CB" w:rsidRDefault="001730CB" w:rsidP="0044319C">
      <w:pPr>
        <w:spacing w:after="0" w:line="240" w:lineRule="auto"/>
      </w:pPr>
    </w:p>
    <w:p w:rsidR="00CB39B1" w:rsidRPr="003F306B" w:rsidRDefault="003F306B" w:rsidP="00CB39B1">
      <w:pPr>
        <w:spacing w:after="0" w:line="240" w:lineRule="auto"/>
        <w:rPr>
          <w:rStyle w:val="Hyperlink"/>
          <w:rFonts w:ascii="Arial Mäori" w:hAnsi="Arial Mäori" w:cs="Arial Mäori"/>
          <w:b/>
          <w:sz w:val="20"/>
          <w:szCs w:val="20"/>
        </w:rPr>
      </w:pPr>
      <w:r>
        <w:rPr>
          <w:rFonts w:ascii="Arial Mäori" w:hAnsi="Arial Mäori" w:cs="Arial Mäori"/>
          <w:b/>
          <w:sz w:val="20"/>
          <w:szCs w:val="20"/>
        </w:rPr>
        <w:fldChar w:fldCharType="begin"/>
      </w:r>
      <w:r>
        <w:rPr>
          <w:rFonts w:ascii="Arial Mäori" w:hAnsi="Arial Mäori" w:cs="Arial Mäori"/>
          <w:b/>
          <w:sz w:val="20"/>
          <w:szCs w:val="20"/>
        </w:rPr>
        <w:instrText xml:space="preserve"> HYPERLINK "http://www.euro.who.int/__data/assets/pdf_file/0004/235966/e96956.pdf" </w:instrText>
      </w:r>
      <w:r>
        <w:rPr>
          <w:rFonts w:ascii="Arial Mäori" w:hAnsi="Arial Mäori" w:cs="Arial Mäori"/>
          <w:b/>
          <w:sz w:val="20"/>
          <w:szCs w:val="20"/>
        </w:rPr>
        <w:fldChar w:fldCharType="separate"/>
      </w:r>
      <w:r w:rsidR="00CB39B1" w:rsidRPr="003F306B">
        <w:rPr>
          <w:rStyle w:val="Hyperlink"/>
          <w:rFonts w:ascii="Arial Mäori" w:hAnsi="Arial Mäori" w:cs="Arial Mäori"/>
          <w:b/>
          <w:sz w:val="20"/>
          <w:szCs w:val="20"/>
        </w:rPr>
        <w:t>Promoting health, preventing disease: is there an economic case?</w:t>
      </w:r>
    </w:p>
    <w:p w:rsidR="00CB39B1" w:rsidRDefault="003F306B" w:rsidP="00CB39B1">
      <w:pPr>
        <w:spacing w:after="0" w:line="240" w:lineRule="auto"/>
        <w:rPr>
          <w:rFonts w:ascii="Arial Mäori" w:hAnsi="Arial Mäori" w:cs="Arial Mäori"/>
          <w:i/>
          <w:color w:val="000000"/>
          <w:sz w:val="20"/>
          <w:szCs w:val="20"/>
        </w:rPr>
      </w:pPr>
      <w:r>
        <w:rPr>
          <w:rFonts w:ascii="Arial Mäori" w:hAnsi="Arial Mäori" w:cs="Arial Mäori"/>
          <w:b/>
          <w:sz w:val="20"/>
          <w:szCs w:val="20"/>
        </w:rPr>
        <w:fldChar w:fldCharType="end"/>
      </w:r>
      <w:r w:rsidR="00CB39B1">
        <w:rPr>
          <w:rFonts w:ascii="Arial Mäori" w:hAnsi="Arial Mäori" w:cs="Arial Mäori"/>
          <w:color w:val="000000"/>
          <w:sz w:val="20"/>
          <w:szCs w:val="20"/>
        </w:rPr>
        <w:t>“</w:t>
      </w:r>
      <w:r w:rsidR="00CB39B1" w:rsidRPr="00F47322">
        <w:rPr>
          <w:rFonts w:ascii="Arial Mäori" w:hAnsi="Arial Mäori" w:cs="Arial Mäori"/>
          <w:color w:val="000000"/>
          <w:sz w:val="20"/>
          <w:szCs w:val="20"/>
        </w:rPr>
        <w:t>There is an evidence base from controlled trials and well-designed observational studies on the effectiveness of a wide range of health promotion and disease prevention interventions that address risk factors to health. These include measures to reduce the risk of smoking and alcohol consumption, increase physical activity and promote more healthy diets, protect psychological and emotional well-being, reduce environmental harms and make road environments safer.</w:t>
      </w:r>
      <w:r w:rsidR="00CB39B1">
        <w:rPr>
          <w:rFonts w:ascii="Arial Mäori" w:hAnsi="Arial Mäori" w:cs="Arial Mäori"/>
          <w:color w:val="000000"/>
          <w:sz w:val="20"/>
          <w:szCs w:val="20"/>
        </w:rPr>
        <w:t xml:space="preserve">” </w:t>
      </w:r>
      <w:r w:rsidR="00CB39B1">
        <w:rPr>
          <w:rFonts w:ascii="Arial Mäori" w:hAnsi="Arial Mäori" w:cs="Arial Mäori"/>
          <w:i/>
          <w:color w:val="000000"/>
          <w:sz w:val="20"/>
          <w:szCs w:val="20"/>
        </w:rPr>
        <w:t>Source: European Observatory on Health System and Policies</w:t>
      </w:r>
    </w:p>
    <w:p w:rsidR="00077A5E" w:rsidRDefault="00077A5E" w:rsidP="00CB39B1">
      <w:pPr>
        <w:spacing w:after="0" w:line="240" w:lineRule="auto"/>
        <w:rPr>
          <w:rFonts w:ascii="Arial Mäori" w:hAnsi="Arial Mäori" w:cs="Arial Mäori"/>
          <w:i/>
          <w:color w:val="000000"/>
          <w:sz w:val="20"/>
          <w:szCs w:val="20"/>
        </w:rPr>
      </w:pPr>
    </w:p>
    <w:p w:rsidR="00077A5E" w:rsidRDefault="006837C7" w:rsidP="00077A5E">
      <w:pPr>
        <w:spacing w:after="0" w:line="240" w:lineRule="auto"/>
        <w:rPr>
          <w:rFonts w:ascii="Arial Mäori" w:hAnsi="Arial Mäori" w:cs="Arial Mäori"/>
          <w:b/>
          <w:color w:val="000000"/>
          <w:sz w:val="20"/>
          <w:szCs w:val="20"/>
        </w:rPr>
      </w:pPr>
      <w:hyperlink r:id="rId18" w:history="1">
        <w:r w:rsidR="00077A5E" w:rsidRPr="003475A4">
          <w:rPr>
            <w:rStyle w:val="Hyperlink"/>
            <w:rFonts w:ascii="Arial Mäori" w:hAnsi="Arial Mäori" w:cs="Arial Mäori"/>
            <w:b/>
            <w:sz w:val="20"/>
            <w:szCs w:val="20"/>
          </w:rPr>
          <w:t>Measuring the Level and Determinants of Health System Efficiency in Canada</w:t>
        </w:r>
      </w:hyperlink>
    </w:p>
    <w:p w:rsidR="00077A5E" w:rsidRDefault="00077A5E" w:rsidP="00077A5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FB6288">
        <w:rPr>
          <w:rFonts w:ascii="Arial Mäori" w:hAnsi="Arial Mäori" w:cs="Arial Mäori"/>
          <w:color w:val="000000"/>
          <w:sz w:val="20"/>
          <w:szCs w:val="20"/>
        </w:rPr>
        <w:t>In recent years, public discourse on the performance of the Canadian health system has shifted</w:t>
      </w:r>
      <w:r>
        <w:rPr>
          <w:rFonts w:ascii="Arial Mäori" w:hAnsi="Arial Mäori" w:cs="Arial Mäori"/>
          <w:color w:val="000000"/>
          <w:sz w:val="20"/>
          <w:szCs w:val="20"/>
        </w:rPr>
        <w:t xml:space="preserve"> </w:t>
      </w:r>
      <w:r w:rsidRPr="00FB6288">
        <w:rPr>
          <w:rFonts w:ascii="Arial Mäori" w:hAnsi="Arial Mäori" w:cs="Arial Mäori"/>
          <w:color w:val="000000"/>
          <w:sz w:val="20"/>
          <w:szCs w:val="20"/>
        </w:rPr>
        <w:t>from increasing the available resources to making better use of those resources. The goal of this</w:t>
      </w:r>
      <w:r>
        <w:rPr>
          <w:rFonts w:ascii="Arial Mäori" w:hAnsi="Arial Mäori" w:cs="Arial Mäori"/>
          <w:color w:val="000000"/>
          <w:sz w:val="20"/>
          <w:szCs w:val="20"/>
        </w:rPr>
        <w:t xml:space="preserve"> </w:t>
      </w:r>
      <w:r w:rsidRPr="00FB6288">
        <w:rPr>
          <w:rFonts w:ascii="Arial Mäori" w:hAnsi="Arial Mäori" w:cs="Arial Mäori"/>
          <w:color w:val="000000"/>
          <w:sz w:val="20"/>
          <w:szCs w:val="20"/>
        </w:rPr>
        <w:t>study is to measure health system efficiency in Canada and to examine the factors that help</w:t>
      </w:r>
      <w:r>
        <w:rPr>
          <w:rFonts w:ascii="Arial Mäori" w:hAnsi="Arial Mäori" w:cs="Arial Mäori"/>
          <w:color w:val="000000"/>
          <w:sz w:val="20"/>
          <w:szCs w:val="20"/>
        </w:rPr>
        <w:t xml:space="preserve"> </w:t>
      </w:r>
      <w:r w:rsidRPr="00FB6288">
        <w:rPr>
          <w:rFonts w:ascii="Arial Mäori" w:hAnsi="Arial Mäori" w:cs="Arial Mäori"/>
          <w:color w:val="000000"/>
          <w:sz w:val="20"/>
          <w:szCs w:val="20"/>
        </w:rPr>
        <w:t>explain variations in estimates of efficiency across the health regions.</w:t>
      </w:r>
      <w:r>
        <w:rPr>
          <w:rFonts w:ascii="Arial Mäori" w:hAnsi="Arial Mäori" w:cs="Arial Mäori"/>
          <w:color w:val="000000"/>
          <w:sz w:val="20"/>
          <w:szCs w:val="20"/>
        </w:rPr>
        <w:t xml:space="preserve">” </w:t>
      </w:r>
      <w:r>
        <w:rPr>
          <w:rFonts w:ascii="Arial Mäori" w:hAnsi="Arial Mäori" w:cs="Arial Mäori"/>
          <w:i/>
          <w:color w:val="000000"/>
          <w:sz w:val="20"/>
          <w:szCs w:val="20"/>
        </w:rPr>
        <w:t>Source: Canadian Institute for Health Information</w:t>
      </w:r>
    </w:p>
    <w:p w:rsidR="00DF53E3" w:rsidRDefault="00DF53E3" w:rsidP="00077A5E">
      <w:pPr>
        <w:spacing w:after="0" w:line="240" w:lineRule="auto"/>
        <w:rPr>
          <w:rFonts w:ascii="Arial Mäori" w:hAnsi="Arial Mäori" w:cs="Arial Mäori"/>
          <w:i/>
          <w:color w:val="000000"/>
          <w:sz w:val="20"/>
          <w:szCs w:val="20"/>
        </w:rPr>
      </w:pPr>
    </w:p>
    <w:p w:rsidR="00DF53E3" w:rsidRDefault="006837C7" w:rsidP="00DF53E3">
      <w:pPr>
        <w:spacing w:after="0" w:line="240" w:lineRule="auto"/>
        <w:rPr>
          <w:rFonts w:ascii="Arial Mäori" w:hAnsi="Arial Mäori" w:cs="Arial Mäori"/>
          <w:b/>
          <w:color w:val="000000"/>
          <w:sz w:val="20"/>
          <w:szCs w:val="20"/>
        </w:rPr>
      </w:pPr>
      <w:hyperlink r:id="rId19" w:history="1">
        <w:r w:rsidR="00DF53E3" w:rsidRPr="00D1422F">
          <w:rPr>
            <w:rStyle w:val="Hyperlink"/>
            <w:rFonts w:ascii="Arial Mäori" w:hAnsi="Arial Mäori" w:cs="Arial Mäori"/>
            <w:b/>
            <w:sz w:val="20"/>
            <w:szCs w:val="20"/>
          </w:rPr>
          <w:t>Bending Canada’s Healthcare Cost Curve: Watch Not What Governments Say, But What They Do</w:t>
        </w:r>
      </w:hyperlink>
    </w:p>
    <w:p w:rsidR="00DF53E3" w:rsidRDefault="00DF53E3" w:rsidP="00DF53E3">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“A</w:t>
      </w:r>
      <w:r w:rsidRPr="008F4821">
        <w:rPr>
          <w:rFonts w:ascii="Arial Mäori" w:hAnsi="Arial Mäori" w:cs="Arial Mäori"/>
          <w:color w:val="000000"/>
          <w:sz w:val="20"/>
          <w:szCs w:val="20"/>
        </w:rPr>
        <w:t>uthor William B.P. Robson finds that reports of slower growth in healthcare spending have been repeatedly wrong-footed by chronic budget overshoots. So recent estimates that healthcare spending is no longer growing faster than the economy may also prove optimistic.</w:t>
      </w:r>
      <w:r>
        <w:rPr>
          <w:rFonts w:ascii="Arial Mäori" w:hAnsi="Arial Mäori" w:cs="Arial Mäori"/>
          <w:color w:val="000000"/>
          <w:sz w:val="20"/>
          <w:szCs w:val="20"/>
        </w:rPr>
        <w:t xml:space="preserve">” </w:t>
      </w:r>
      <w:r>
        <w:rPr>
          <w:rFonts w:ascii="Arial Mäori" w:hAnsi="Arial Mäori" w:cs="Arial Mäori"/>
          <w:i/>
          <w:color w:val="000000"/>
          <w:sz w:val="20"/>
          <w:szCs w:val="20"/>
        </w:rPr>
        <w:t>Source: C.D. Howe Institute</w:t>
      </w:r>
    </w:p>
    <w:p w:rsidR="002F28CE" w:rsidRDefault="002F28CE" w:rsidP="00DF53E3">
      <w:pPr>
        <w:spacing w:after="0" w:line="240" w:lineRule="auto"/>
        <w:rPr>
          <w:rFonts w:ascii="Arial Mäori" w:hAnsi="Arial Mäori" w:cs="Arial Mäori"/>
          <w:i/>
          <w:color w:val="000000"/>
          <w:sz w:val="20"/>
          <w:szCs w:val="20"/>
        </w:rPr>
      </w:pPr>
    </w:p>
    <w:p w:rsidR="002F28CE" w:rsidRDefault="006837C7" w:rsidP="002F28CE">
      <w:pPr>
        <w:spacing w:after="0" w:line="240" w:lineRule="auto"/>
        <w:rPr>
          <w:rFonts w:ascii="Arial Mäori" w:hAnsi="Arial Mäori" w:cs="Arial Mäori"/>
          <w:b/>
          <w:color w:val="000000"/>
          <w:sz w:val="20"/>
          <w:szCs w:val="20"/>
        </w:rPr>
      </w:pPr>
      <w:hyperlink r:id="rId20" w:history="1">
        <w:r w:rsidR="002F28CE" w:rsidRPr="00D1422F">
          <w:rPr>
            <w:rStyle w:val="Hyperlink"/>
            <w:rFonts w:ascii="Arial Mäori" w:hAnsi="Arial Mäori" w:cs="Arial Mäori"/>
            <w:b/>
            <w:sz w:val="20"/>
            <w:szCs w:val="20"/>
          </w:rPr>
          <w:t>Economic crisis, health systems and health in Europe: impact and implications for policy</w:t>
        </w:r>
      </w:hyperlink>
    </w:p>
    <w:p w:rsidR="002F28CE" w:rsidRDefault="002F28CE" w:rsidP="002F28C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FA7A22">
        <w:rPr>
          <w:rFonts w:ascii="Arial Mäori" w:hAnsi="Arial Mäori" w:cs="Arial Mäori"/>
          <w:color w:val="000000"/>
          <w:sz w:val="20"/>
          <w:szCs w:val="20"/>
        </w:rPr>
        <w:t>This report summarises the findings of a joint study by WHO Europe and the European Observatory on Health Systems and Policies analysing the impact of health policy responses to the cris</w:t>
      </w:r>
      <w:r>
        <w:rPr>
          <w:rFonts w:ascii="Arial Mäori" w:hAnsi="Arial Mäori" w:cs="Arial Mäori"/>
          <w:color w:val="000000"/>
          <w:sz w:val="20"/>
          <w:szCs w:val="20"/>
        </w:rPr>
        <w:t xml:space="preserve">is in Europe from 2008 to 2013.” </w:t>
      </w:r>
      <w:r>
        <w:rPr>
          <w:rFonts w:ascii="Arial Mäori" w:hAnsi="Arial Mäori" w:cs="Arial Mäori"/>
          <w:i/>
          <w:color w:val="000000"/>
          <w:sz w:val="20"/>
          <w:szCs w:val="20"/>
        </w:rPr>
        <w:t>Source: WHO</w:t>
      </w:r>
    </w:p>
    <w:p w:rsidR="00CB39B1" w:rsidRDefault="00CB39B1" w:rsidP="0044319C">
      <w:pPr>
        <w:spacing w:after="0" w:line="240" w:lineRule="auto"/>
      </w:pPr>
    </w:p>
    <w:p w:rsidR="0044319C" w:rsidRPr="004D3E4F" w:rsidRDefault="006837C7" w:rsidP="0044319C">
      <w:pPr>
        <w:spacing w:after="0" w:line="240" w:lineRule="auto"/>
        <w:rPr>
          <w:rFonts w:ascii="Arial Mäori" w:hAnsi="Arial Mäori" w:cs="Arial Mäori"/>
          <w:b/>
          <w:color w:val="000000"/>
          <w:sz w:val="20"/>
          <w:szCs w:val="20"/>
        </w:rPr>
      </w:pPr>
      <w:hyperlink r:id="rId21" w:history="1">
        <w:r w:rsidR="0044319C" w:rsidRPr="002E23C8">
          <w:rPr>
            <w:rStyle w:val="Hyperlink"/>
            <w:rFonts w:ascii="Arial Mäori" w:hAnsi="Arial Mäori" w:cs="Arial Mäori"/>
            <w:b/>
            <w:sz w:val="20"/>
            <w:szCs w:val="20"/>
          </w:rPr>
          <w:t>NHS hospitals under pressure: trends in acute activity up to 2022</w:t>
        </w:r>
      </w:hyperlink>
    </w:p>
    <w:p w:rsidR="0044319C" w:rsidRDefault="0044319C" w:rsidP="0044319C">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4D3E4F">
        <w:rPr>
          <w:rFonts w:ascii="Arial Mäori" w:hAnsi="Arial Mäori" w:cs="Arial Mäori"/>
          <w:color w:val="000000"/>
          <w:sz w:val="20"/>
          <w:szCs w:val="20"/>
        </w:rPr>
        <w:t>In this analysis we look at trends in admissions and bed use over the last few years, and use population projections to explore the likely pressures on hospitals in the future.</w:t>
      </w:r>
      <w:r>
        <w:rPr>
          <w:rFonts w:ascii="Arial Mäori" w:hAnsi="Arial Mäori" w:cs="Arial Mäori"/>
          <w:color w:val="000000"/>
          <w:sz w:val="20"/>
          <w:szCs w:val="20"/>
        </w:rPr>
        <w:t xml:space="preserve">” </w:t>
      </w:r>
      <w:r>
        <w:rPr>
          <w:rFonts w:ascii="Arial Mäori" w:hAnsi="Arial Mäori" w:cs="Arial Mäori"/>
          <w:i/>
          <w:color w:val="000000"/>
          <w:sz w:val="20"/>
          <w:szCs w:val="20"/>
        </w:rPr>
        <w:t>Source: Nuffield Trust</w:t>
      </w:r>
    </w:p>
    <w:p w:rsidR="001730CB" w:rsidRDefault="001730CB" w:rsidP="0044319C">
      <w:pPr>
        <w:spacing w:after="0" w:line="240" w:lineRule="auto"/>
        <w:rPr>
          <w:rFonts w:ascii="Arial Mäori" w:hAnsi="Arial Mäori" w:cs="Arial Mäori"/>
          <w:i/>
          <w:color w:val="000000"/>
          <w:sz w:val="20"/>
          <w:szCs w:val="20"/>
        </w:rPr>
      </w:pPr>
    </w:p>
    <w:p w:rsidR="001730CB" w:rsidRPr="00C844AB" w:rsidRDefault="006837C7" w:rsidP="001730CB">
      <w:pPr>
        <w:spacing w:after="0" w:line="240" w:lineRule="auto"/>
        <w:rPr>
          <w:b/>
          <w:sz w:val="20"/>
          <w:szCs w:val="20"/>
        </w:rPr>
      </w:pPr>
      <w:hyperlink r:id="rId22" w:history="1">
        <w:r w:rsidR="001730CB" w:rsidRPr="002E23C8">
          <w:rPr>
            <w:rStyle w:val="Hyperlink"/>
            <w:b/>
            <w:sz w:val="20"/>
            <w:szCs w:val="20"/>
          </w:rPr>
          <w:t>Financial failure in the NHS: What causes it and how best to manage it</w:t>
        </w:r>
      </w:hyperlink>
    </w:p>
    <w:p w:rsidR="001730CB" w:rsidRDefault="001730CB" w:rsidP="001730CB">
      <w:pPr>
        <w:spacing w:after="0" w:line="240" w:lineRule="auto"/>
        <w:rPr>
          <w:sz w:val="20"/>
          <w:szCs w:val="20"/>
        </w:rPr>
      </w:pPr>
      <w:r>
        <w:rPr>
          <w:sz w:val="20"/>
          <w:szCs w:val="20"/>
        </w:rPr>
        <w:t>“</w:t>
      </w:r>
      <w:r w:rsidRPr="00C844AB">
        <w:rPr>
          <w:sz w:val="20"/>
          <w:szCs w:val="20"/>
        </w:rPr>
        <w:t>This report describes the current financial state of the NHS and the reasons for the deterioration in financial performance and ultimately financial failure. These include weak leadership, legacy costs, PbR, and the impact of the wider health economy.</w:t>
      </w:r>
      <w:r>
        <w:rPr>
          <w:sz w:val="20"/>
          <w:szCs w:val="20"/>
        </w:rPr>
        <w:t xml:space="preserve">” </w:t>
      </w:r>
      <w:r>
        <w:rPr>
          <w:i/>
          <w:sz w:val="20"/>
          <w:szCs w:val="20"/>
        </w:rPr>
        <w:t>Source: King’s Fund</w:t>
      </w:r>
    </w:p>
    <w:p w:rsidR="0044319C" w:rsidRDefault="0044319C" w:rsidP="0044319C">
      <w:pPr>
        <w:spacing w:after="0" w:line="240" w:lineRule="auto"/>
      </w:pPr>
    </w:p>
    <w:p w:rsidR="0044319C" w:rsidRDefault="006837C7" w:rsidP="0044319C">
      <w:pPr>
        <w:spacing w:after="0" w:line="240" w:lineRule="auto"/>
        <w:rPr>
          <w:rFonts w:ascii="Arial Mäori" w:hAnsi="Arial Mäori" w:cs="Arial Mäori"/>
          <w:b/>
          <w:color w:val="000000"/>
          <w:sz w:val="20"/>
          <w:szCs w:val="20"/>
        </w:rPr>
      </w:pPr>
      <w:hyperlink r:id="rId23" w:history="1">
        <w:r w:rsidR="0044319C" w:rsidRPr="002E23C8">
          <w:rPr>
            <w:rStyle w:val="Hyperlink"/>
            <w:rFonts w:ascii="Arial Mäori" w:hAnsi="Arial Mäori" w:cs="Arial Mäori"/>
            <w:b/>
            <w:sz w:val="20"/>
            <w:szCs w:val="20"/>
          </w:rPr>
          <w:t>BC’s Clinical Care Management Initiative: A Case Study for Health System Transformation</w:t>
        </w:r>
      </w:hyperlink>
    </w:p>
    <w:p w:rsidR="0044319C" w:rsidRDefault="0044319C" w:rsidP="0044319C">
      <w:pPr>
        <w:spacing w:after="0" w:line="240" w:lineRule="auto"/>
        <w:rPr>
          <w:rFonts w:ascii="Arial Mäori" w:hAnsi="Arial Mäori" w:cs="Arial Mäori"/>
          <w:color w:val="000000"/>
          <w:sz w:val="20"/>
          <w:szCs w:val="20"/>
        </w:rPr>
      </w:pPr>
      <w:r>
        <w:rPr>
          <w:rFonts w:ascii="Arial Mäori" w:hAnsi="Arial Mäori" w:cs="Arial Mäori"/>
          <w:color w:val="000000"/>
          <w:sz w:val="20"/>
          <w:szCs w:val="20"/>
        </w:rPr>
        <w:t>“</w:t>
      </w:r>
      <w:r w:rsidRPr="00D57369">
        <w:rPr>
          <w:rFonts w:ascii="Arial Mäori" w:hAnsi="Arial Mäori" w:cs="Arial Mäori"/>
          <w:color w:val="000000"/>
          <w:sz w:val="20"/>
          <w:szCs w:val="20"/>
        </w:rPr>
        <w:t>The BC Ministry of Health’s Clinical Care Management (CCM) initiative provides a case study for how to</w:t>
      </w:r>
      <w:r>
        <w:rPr>
          <w:rFonts w:ascii="Arial Mäori" w:hAnsi="Arial Mäori" w:cs="Arial Mäori"/>
          <w:color w:val="000000"/>
          <w:sz w:val="20"/>
          <w:szCs w:val="20"/>
        </w:rPr>
        <w:t xml:space="preserve"> </w:t>
      </w:r>
      <w:r w:rsidRPr="00D57369">
        <w:rPr>
          <w:rFonts w:ascii="Arial Mäori" w:hAnsi="Arial Mäori" w:cs="Arial Mäori"/>
          <w:color w:val="000000"/>
          <w:sz w:val="20"/>
          <w:szCs w:val="20"/>
        </w:rPr>
        <w:t>achieve large-scale change within the complexity of BC’s health system. A study by the InSource Research</w:t>
      </w:r>
      <w:r>
        <w:rPr>
          <w:rFonts w:ascii="Arial Mäori" w:hAnsi="Arial Mäori" w:cs="Arial Mäori"/>
          <w:color w:val="000000"/>
          <w:sz w:val="20"/>
          <w:szCs w:val="20"/>
        </w:rPr>
        <w:t xml:space="preserve"> </w:t>
      </w:r>
      <w:r w:rsidRPr="00D57369">
        <w:rPr>
          <w:rFonts w:ascii="Arial Mäori" w:hAnsi="Arial Mäori" w:cs="Arial Mäori"/>
          <w:color w:val="000000"/>
          <w:sz w:val="20"/>
          <w:szCs w:val="20"/>
        </w:rPr>
        <w:t>Group used a systems perspective to look at factors that help or hinder province-wide implementation of</w:t>
      </w:r>
      <w:r>
        <w:rPr>
          <w:rFonts w:ascii="Arial Mäori" w:hAnsi="Arial Mäori" w:cs="Arial Mäori"/>
          <w:color w:val="000000"/>
          <w:sz w:val="20"/>
          <w:szCs w:val="20"/>
        </w:rPr>
        <w:t xml:space="preserve"> </w:t>
      </w:r>
      <w:r w:rsidRPr="00D57369">
        <w:rPr>
          <w:rFonts w:ascii="Arial Mäori" w:hAnsi="Arial Mäori" w:cs="Arial Mäori"/>
          <w:color w:val="000000"/>
          <w:sz w:val="20"/>
          <w:szCs w:val="20"/>
        </w:rPr>
        <w:t>clinical guidelines in varying contexts, with a broader goal of understanding how to better manage large</w:t>
      </w:r>
      <w:r>
        <w:rPr>
          <w:rFonts w:ascii="Arial Mäori" w:hAnsi="Arial Mäori" w:cs="Arial Mäori"/>
          <w:color w:val="000000"/>
          <w:sz w:val="20"/>
          <w:szCs w:val="20"/>
        </w:rPr>
        <w:t xml:space="preserve"> </w:t>
      </w:r>
      <w:r w:rsidRPr="00D57369">
        <w:rPr>
          <w:rFonts w:ascii="Arial Mäori" w:hAnsi="Arial Mäori" w:cs="Arial Mäori"/>
          <w:color w:val="000000"/>
          <w:sz w:val="20"/>
          <w:szCs w:val="20"/>
        </w:rPr>
        <w:t>system change.</w:t>
      </w:r>
      <w:r>
        <w:rPr>
          <w:rFonts w:ascii="Arial Mäori" w:hAnsi="Arial Mäori" w:cs="Arial Mäori"/>
          <w:color w:val="000000"/>
          <w:sz w:val="20"/>
          <w:szCs w:val="20"/>
        </w:rPr>
        <w:t xml:space="preserve">” </w:t>
      </w:r>
      <w:r>
        <w:rPr>
          <w:rFonts w:ascii="Arial Mäori" w:hAnsi="Arial Mäori" w:cs="Arial Mäori"/>
          <w:i/>
          <w:color w:val="000000"/>
          <w:sz w:val="20"/>
          <w:szCs w:val="20"/>
        </w:rPr>
        <w:t>Source: BC Patient Safety &amp; Quality Council</w:t>
      </w:r>
    </w:p>
    <w:p w:rsidR="0044319C" w:rsidRDefault="0044319C" w:rsidP="00270ECE">
      <w:pPr>
        <w:spacing w:after="0" w:line="240" w:lineRule="auto"/>
      </w:pPr>
    </w:p>
    <w:p w:rsidR="00270ECE" w:rsidRPr="00C55BD5" w:rsidRDefault="006837C7" w:rsidP="00270ECE">
      <w:pPr>
        <w:spacing w:after="0" w:line="240" w:lineRule="auto"/>
        <w:rPr>
          <w:rFonts w:ascii="Arial Mäori" w:hAnsi="Arial Mäori" w:cs="Arial Mäori"/>
          <w:b/>
          <w:color w:val="000000"/>
          <w:sz w:val="20"/>
          <w:szCs w:val="20"/>
        </w:rPr>
      </w:pPr>
      <w:hyperlink r:id="rId24" w:history="1">
        <w:r w:rsidR="00270ECE" w:rsidRPr="00276B16">
          <w:rPr>
            <w:rStyle w:val="Hyperlink"/>
            <w:rFonts w:ascii="Arial Mäori" w:hAnsi="Arial Mäori" w:cs="Arial Mäori"/>
            <w:b/>
            <w:sz w:val="20"/>
            <w:szCs w:val="20"/>
          </w:rPr>
          <w:t>Integrating Research and Practice: Health System Leaders Working Toward High-Value Care</w:t>
        </w:r>
      </w:hyperlink>
    </w:p>
    <w:p w:rsidR="00270ECE" w:rsidRDefault="00270ECE" w:rsidP="00270EC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C55BD5">
        <w:rPr>
          <w:rFonts w:ascii="Arial Mäori" w:hAnsi="Arial Mäori" w:cs="Arial Mäori"/>
          <w:color w:val="000000"/>
          <w:sz w:val="20"/>
          <w:szCs w:val="20"/>
        </w:rPr>
        <w:t>Health care has been called one of the most complex sectors of the U.S. economy. Driven largely by robust innovation in treatments and interventions, this complexity has created an increased need for evidence about what works best for whom in order to inform decisions that lead to safe, efficient, effective, and affordable care. As health care becomes more digital, clinical datasets are becoming larger and more numerous. By realizing the potential of knowledge generation that is more closely integrated with the practice of care, it should be possible not only to produce more usable evidence to inform decisions, but also to increase the efficiency and decrease the costs of doing clinical research.</w:t>
      </w:r>
      <w:r>
        <w:rPr>
          <w:rFonts w:ascii="Arial Mäori" w:hAnsi="Arial Mäori" w:cs="Arial Mäori"/>
          <w:color w:val="000000"/>
          <w:sz w:val="20"/>
          <w:szCs w:val="20"/>
        </w:rPr>
        <w:t xml:space="preserve">” </w:t>
      </w:r>
      <w:r>
        <w:rPr>
          <w:rFonts w:ascii="Arial Mäori" w:hAnsi="Arial Mäori" w:cs="Arial Mäori"/>
          <w:i/>
          <w:color w:val="000000"/>
          <w:sz w:val="20"/>
          <w:szCs w:val="20"/>
        </w:rPr>
        <w:t>Source: Institute of Medicine</w:t>
      </w:r>
    </w:p>
    <w:p w:rsidR="00270ECE" w:rsidRDefault="00270ECE" w:rsidP="00270ECE">
      <w:pPr>
        <w:spacing w:after="0" w:line="240" w:lineRule="auto"/>
        <w:rPr>
          <w:rFonts w:ascii="Arial Mäori" w:hAnsi="Arial Mäori" w:cs="Arial Mäori"/>
          <w:i/>
          <w:color w:val="000000"/>
          <w:sz w:val="20"/>
          <w:szCs w:val="20"/>
        </w:rPr>
      </w:pPr>
      <w:r>
        <w:rPr>
          <w:rFonts w:ascii="Arial Mäori" w:hAnsi="Arial Mäori" w:cs="Arial Mäori"/>
          <w:i/>
          <w:color w:val="000000"/>
          <w:sz w:val="20"/>
          <w:szCs w:val="20"/>
        </w:rPr>
        <w:t>*sign up for free account to download</w:t>
      </w:r>
    </w:p>
    <w:p w:rsidR="00C67289" w:rsidRDefault="00C67289" w:rsidP="00270ECE">
      <w:pPr>
        <w:spacing w:after="0" w:line="240" w:lineRule="auto"/>
        <w:rPr>
          <w:rFonts w:ascii="Arial Mäori" w:hAnsi="Arial Mäori" w:cs="Arial Mäori"/>
          <w:i/>
          <w:color w:val="000000"/>
          <w:sz w:val="20"/>
          <w:szCs w:val="20"/>
        </w:rPr>
      </w:pPr>
    </w:p>
    <w:p w:rsidR="00C67289" w:rsidRPr="00137F3B" w:rsidRDefault="006837C7" w:rsidP="00C67289">
      <w:pPr>
        <w:spacing w:after="0" w:line="240" w:lineRule="auto"/>
        <w:rPr>
          <w:rFonts w:ascii="Arial Mäori" w:hAnsi="Arial Mäori" w:cs="Arial Mäori"/>
          <w:b/>
          <w:color w:val="000000"/>
          <w:sz w:val="20"/>
          <w:szCs w:val="20"/>
        </w:rPr>
      </w:pPr>
      <w:hyperlink r:id="rId25" w:history="1">
        <w:r w:rsidR="00C67289" w:rsidRPr="002E23C8">
          <w:rPr>
            <w:rStyle w:val="Hyperlink"/>
            <w:rFonts w:ascii="Arial Mäori" w:hAnsi="Arial Mäori" w:cs="Arial Mäori"/>
            <w:b/>
            <w:sz w:val="20"/>
            <w:szCs w:val="20"/>
          </w:rPr>
          <w:t>Paying for Performance in Health Care: Implications for Health System Performance and Accountability</w:t>
        </w:r>
      </w:hyperlink>
    </w:p>
    <w:p w:rsidR="00C67289" w:rsidRDefault="00C67289" w:rsidP="00C67289">
      <w:pPr>
        <w:spacing w:after="0" w:line="240" w:lineRule="auto"/>
        <w:rPr>
          <w:rFonts w:ascii="Arial Mäori" w:hAnsi="Arial Mäori" w:cs="Arial Mäori"/>
          <w:i/>
          <w:color w:val="000000"/>
          <w:sz w:val="20"/>
          <w:szCs w:val="20"/>
        </w:rPr>
      </w:pPr>
      <w:r w:rsidRPr="00137F3B">
        <w:rPr>
          <w:rFonts w:ascii="Arial Mäori" w:hAnsi="Arial Mäori" w:cs="Arial Mäori"/>
          <w:color w:val="000000"/>
          <w:sz w:val="20"/>
          <w:szCs w:val="20"/>
        </w:rPr>
        <w:t>"The detailed analysis of these 10 case studies together with the rest of the analytical text highlights the realities of P4P programs and their potential impact on the performance of health systems in a diversity of settings. This book provides critical insights into the experience to date with P4P and how this tool may be better leveraged to improve health system performance and accountability."</w:t>
      </w:r>
      <w:r>
        <w:rPr>
          <w:rFonts w:ascii="Arial Mäori" w:hAnsi="Arial Mäori" w:cs="Arial Mäori"/>
          <w:color w:val="000000"/>
          <w:sz w:val="20"/>
          <w:szCs w:val="20"/>
        </w:rPr>
        <w:t xml:space="preserve"> </w:t>
      </w:r>
      <w:r>
        <w:rPr>
          <w:rFonts w:ascii="Arial Mäori" w:hAnsi="Arial Mäori" w:cs="Arial Mäori"/>
          <w:i/>
          <w:color w:val="000000"/>
          <w:sz w:val="20"/>
          <w:szCs w:val="20"/>
        </w:rPr>
        <w:t>Source: OECD</w:t>
      </w:r>
    </w:p>
    <w:p w:rsidR="003F306B" w:rsidRDefault="003F306B" w:rsidP="00C67289">
      <w:pPr>
        <w:spacing w:after="0" w:line="240" w:lineRule="auto"/>
        <w:rPr>
          <w:rFonts w:ascii="Arial Mäori" w:hAnsi="Arial Mäori" w:cs="Arial Mäori"/>
          <w:i/>
          <w:color w:val="000000"/>
          <w:sz w:val="20"/>
          <w:szCs w:val="20"/>
        </w:rPr>
      </w:pPr>
      <w:r>
        <w:rPr>
          <w:rFonts w:ascii="Arial Mäori" w:hAnsi="Arial Mäori" w:cs="Arial Mäori"/>
          <w:i/>
          <w:color w:val="000000"/>
          <w:sz w:val="20"/>
          <w:szCs w:val="20"/>
        </w:rPr>
        <w:t>*You may need to secure a loan through your local library</w:t>
      </w:r>
    </w:p>
    <w:p w:rsidR="00E23D92" w:rsidRDefault="00E23D92" w:rsidP="00C67289">
      <w:pPr>
        <w:spacing w:after="0" w:line="240" w:lineRule="auto"/>
        <w:rPr>
          <w:rFonts w:ascii="Arial Mäori" w:hAnsi="Arial Mäori" w:cs="Arial Mäori"/>
          <w:i/>
          <w:color w:val="000000"/>
          <w:sz w:val="20"/>
          <w:szCs w:val="20"/>
        </w:rPr>
      </w:pPr>
    </w:p>
    <w:p w:rsidR="00E23D92" w:rsidRDefault="006837C7" w:rsidP="00E23D92">
      <w:pPr>
        <w:spacing w:after="0" w:line="240" w:lineRule="auto"/>
        <w:rPr>
          <w:rFonts w:ascii="Arial Mäori" w:hAnsi="Arial Mäori" w:cs="Arial Mäori"/>
          <w:b/>
          <w:color w:val="000000"/>
          <w:sz w:val="20"/>
          <w:szCs w:val="20"/>
        </w:rPr>
      </w:pPr>
      <w:hyperlink r:id="rId26" w:history="1">
        <w:r w:rsidR="00E23D92" w:rsidRPr="00D550F1">
          <w:rPr>
            <w:rStyle w:val="Hyperlink"/>
            <w:rFonts w:ascii="Arial Mäori" w:hAnsi="Arial Mäori" w:cs="Arial Mäori"/>
            <w:b/>
            <w:sz w:val="20"/>
            <w:szCs w:val="20"/>
          </w:rPr>
          <w:t>Initiatives to Optimize the Utilization of Laboratory Tests</w:t>
        </w:r>
      </w:hyperlink>
    </w:p>
    <w:p w:rsidR="00E23D92" w:rsidRDefault="00E23D92" w:rsidP="00E23D92">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54603F">
        <w:rPr>
          <w:rFonts w:ascii="Arial Mäori" w:hAnsi="Arial Mäori" w:cs="Arial Mäori"/>
          <w:color w:val="000000"/>
          <w:sz w:val="20"/>
          <w:szCs w:val="20"/>
        </w:rPr>
        <w:t>There is a desire across many jurisdictions to ensure laboratory tests are utilized optimally for patient health and to promote more efficient use of increasingly limited health care resources. There are examples of initiatives and strategies aimed at optimizing laboratory utilization across Canada and around the world; however, few mechanisms are in place to promote awareness of such initiatives. This report will help inform health care decision-makers who operate within hospitals, health regions, and/or ministries of health on initiatives underway in Canada and internationally.</w:t>
      </w:r>
      <w:r>
        <w:rPr>
          <w:rFonts w:ascii="Arial Mäori" w:hAnsi="Arial Mäori" w:cs="Arial Mäori"/>
          <w:color w:val="000000"/>
          <w:sz w:val="20"/>
          <w:szCs w:val="20"/>
        </w:rPr>
        <w:t xml:space="preserve">” </w:t>
      </w:r>
      <w:r>
        <w:rPr>
          <w:rFonts w:ascii="Arial Mäori" w:hAnsi="Arial Mäori" w:cs="Arial Mäori"/>
          <w:i/>
          <w:color w:val="000000"/>
          <w:sz w:val="20"/>
          <w:szCs w:val="20"/>
        </w:rPr>
        <w:t>Source: CADTH</w:t>
      </w:r>
    </w:p>
    <w:p w:rsidR="00077A5E" w:rsidRDefault="00077A5E" w:rsidP="00E23D92">
      <w:pPr>
        <w:spacing w:after="0" w:line="240" w:lineRule="auto"/>
        <w:rPr>
          <w:rFonts w:ascii="Arial Mäori" w:hAnsi="Arial Mäori" w:cs="Arial Mäori"/>
          <w:i/>
          <w:color w:val="000000"/>
          <w:sz w:val="20"/>
          <w:szCs w:val="20"/>
        </w:rPr>
      </w:pPr>
    </w:p>
    <w:p w:rsidR="00077A5E" w:rsidRDefault="006837C7" w:rsidP="00077A5E">
      <w:pPr>
        <w:spacing w:after="0" w:line="240" w:lineRule="auto"/>
        <w:rPr>
          <w:rFonts w:ascii="Arial Mäori" w:hAnsi="Arial Mäori" w:cs="Arial Mäori"/>
          <w:b/>
          <w:color w:val="000000"/>
          <w:sz w:val="20"/>
          <w:szCs w:val="20"/>
        </w:rPr>
      </w:pPr>
      <w:hyperlink r:id="rId27" w:history="1">
        <w:r w:rsidR="00077A5E" w:rsidRPr="00D550F1">
          <w:rPr>
            <w:rStyle w:val="Hyperlink"/>
            <w:rFonts w:ascii="Arial Mäori" w:hAnsi="Arial Mäori" w:cs="Arial Mäori"/>
            <w:b/>
            <w:sz w:val="20"/>
            <w:szCs w:val="20"/>
          </w:rPr>
          <w:t>Exploring the costs of unsafe care in the NHS</w:t>
        </w:r>
      </w:hyperlink>
    </w:p>
    <w:p w:rsidR="00077A5E" w:rsidRDefault="00077A5E" w:rsidP="00077A5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54603F">
        <w:rPr>
          <w:rFonts w:ascii="Arial Mäori" w:hAnsi="Arial Mäori" w:cs="Arial Mäori"/>
          <w:color w:val="000000"/>
          <w:sz w:val="20"/>
          <w:szCs w:val="20"/>
        </w:rPr>
        <w:t>Frontier Economics has been asked by the Department of Health to provide a rapid review of evidence about the financial benefits of safer care.</w:t>
      </w:r>
      <w:r>
        <w:rPr>
          <w:rFonts w:ascii="Arial Mäori" w:hAnsi="Arial Mäori" w:cs="Arial Mäori"/>
          <w:color w:val="000000"/>
          <w:sz w:val="20"/>
          <w:szCs w:val="20"/>
        </w:rPr>
        <w:t xml:space="preserve">” </w:t>
      </w:r>
      <w:r>
        <w:rPr>
          <w:rFonts w:ascii="Arial Mäori" w:hAnsi="Arial Mäori" w:cs="Arial Mäori"/>
          <w:i/>
          <w:color w:val="000000"/>
          <w:sz w:val="20"/>
          <w:szCs w:val="20"/>
        </w:rPr>
        <w:t>Source: Frontier Economics</w:t>
      </w:r>
    </w:p>
    <w:p w:rsidR="00077A5E" w:rsidRDefault="00077A5E" w:rsidP="00077A5E">
      <w:pPr>
        <w:spacing w:after="0" w:line="240" w:lineRule="auto"/>
        <w:rPr>
          <w:rFonts w:ascii="Arial Mäori" w:hAnsi="Arial Mäori" w:cs="Arial Mäori"/>
          <w:i/>
          <w:color w:val="000000"/>
          <w:sz w:val="20"/>
          <w:szCs w:val="20"/>
        </w:rPr>
      </w:pPr>
    </w:p>
    <w:p w:rsidR="00077A5E" w:rsidRDefault="006837C7" w:rsidP="00077A5E">
      <w:pPr>
        <w:spacing w:after="0" w:line="240" w:lineRule="auto"/>
        <w:rPr>
          <w:rFonts w:ascii="Arial Mäori" w:hAnsi="Arial Mäori" w:cs="Arial Mäori"/>
          <w:b/>
          <w:color w:val="000000"/>
          <w:sz w:val="20"/>
          <w:szCs w:val="20"/>
        </w:rPr>
      </w:pPr>
      <w:hyperlink r:id="rId28" w:history="1">
        <w:r w:rsidR="00077A5E" w:rsidRPr="003475A4">
          <w:rPr>
            <w:rStyle w:val="Hyperlink"/>
            <w:rFonts w:ascii="Arial Mäori" w:hAnsi="Arial Mäori" w:cs="Arial Mäori"/>
            <w:b/>
            <w:sz w:val="20"/>
            <w:szCs w:val="20"/>
          </w:rPr>
          <w:t>The NHS Five Year Forward View</w:t>
        </w:r>
      </w:hyperlink>
    </w:p>
    <w:p w:rsidR="00077A5E" w:rsidRDefault="00077A5E" w:rsidP="00077A5E">
      <w:pPr>
        <w:spacing w:after="0" w:line="240" w:lineRule="auto"/>
        <w:rPr>
          <w:rFonts w:ascii="Arial Mäori" w:hAnsi="Arial Mäori" w:cs="Arial Mäori"/>
          <w:i/>
          <w:color w:val="000000"/>
          <w:sz w:val="20"/>
          <w:szCs w:val="20"/>
        </w:rPr>
      </w:pPr>
      <w:r w:rsidRPr="000E205F">
        <w:rPr>
          <w:rFonts w:ascii="Arial Mäori" w:hAnsi="Arial Mäori" w:cs="Arial Mäori"/>
          <w:color w:val="000000"/>
          <w:sz w:val="20"/>
          <w:szCs w:val="20"/>
        </w:rPr>
        <w:t>“The purpose of the Five Year Forward View is to articulate why change is needed, what that change might look like and how we can achieve it. It describes various models of care which could be provided in the future, defining the actions required at local and national level to support delivery.”</w:t>
      </w:r>
      <w:r>
        <w:rPr>
          <w:rFonts w:ascii="Arial Mäori" w:hAnsi="Arial Mäori" w:cs="Arial Mäori"/>
          <w:color w:val="000000"/>
          <w:sz w:val="20"/>
          <w:szCs w:val="20"/>
        </w:rPr>
        <w:t xml:space="preserve"> </w:t>
      </w:r>
      <w:r>
        <w:rPr>
          <w:rFonts w:ascii="Arial Mäori" w:hAnsi="Arial Mäori" w:cs="Arial Mäori"/>
          <w:i/>
          <w:color w:val="000000"/>
          <w:sz w:val="20"/>
          <w:szCs w:val="20"/>
        </w:rPr>
        <w:t>Source: NHS England</w:t>
      </w:r>
    </w:p>
    <w:p w:rsidR="002F28CE" w:rsidRDefault="002F28CE" w:rsidP="00077A5E">
      <w:pPr>
        <w:spacing w:after="0" w:line="240" w:lineRule="auto"/>
        <w:rPr>
          <w:rFonts w:ascii="Arial Mäori" w:hAnsi="Arial Mäori" w:cs="Arial Mäori"/>
          <w:i/>
          <w:color w:val="000000"/>
          <w:sz w:val="20"/>
          <w:szCs w:val="20"/>
        </w:rPr>
      </w:pPr>
    </w:p>
    <w:p w:rsidR="002F28CE" w:rsidRDefault="006837C7" w:rsidP="002F28CE">
      <w:pPr>
        <w:spacing w:after="0" w:line="240" w:lineRule="auto"/>
        <w:rPr>
          <w:rFonts w:ascii="Arial Mäori" w:hAnsi="Arial Mäori" w:cs="Arial Mäori"/>
          <w:b/>
          <w:color w:val="000000"/>
          <w:sz w:val="20"/>
          <w:szCs w:val="20"/>
        </w:rPr>
      </w:pPr>
      <w:hyperlink r:id="rId29" w:history="1">
        <w:r w:rsidR="002F28CE" w:rsidRPr="002E23C8">
          <w:rPr>
            <w:rStyle w:val="Hyperlink"/>
            <w:rFonts w:ascii="Arial Mäori" w:hAnsi="Arial Mäori" w:cs="Arial Mäori"/>
            <w:b/>
            <w:sz w:val="20"/>
            <w:szCs w:val="20"/>
          </w:rPr>
          <w:t>Successful implementation of policy initiatives: better practice guide</w:t>
        </w:r>
      </w:hyperlink>
    </w:p>
    <w:p w:rsidR="002F28CE" w:rsidRDefault="002F28CE" w:rsidP="002F28C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F47322">
        <w:rPr>
          <w:rFonts w:ascii="Arial Mäori" w:hAnsi="Arial Mäori" w:cs="Arial Mäori"/>
          <w:color w:val="000000"/>
          <w:sz w:val="20"/>
          <w:szCs w:val="20"/>
        </w:rPr>
        <w:t>This guide offers advice to public sector senior leaders on the successful implementation of policies so that unintended consequences, which deny the community the full benefits of a new policy or waste public resources, can be avoided.</w:t>
      </w:r>
      <w:r>
        <w:rPr>
          <w:rFonts w:ascii="Arial Mäori" w:hAnsi="Arial Mäori" w:cs="Arial Mäori"/>
          <w:color w:val="000000"/>
          <w:sz w:val="20"/>
          <w:szCs w:val="20"/>
        </w:rPr>
        <w:t xml:space="preserve">” </w:t>
      </w:r>
      <w:r>
        <w:rPr>
          <w:rFonts w:ascii="Arial Mäori" w:hAnsi="Arial Mäori" w:cs="Arial Mäori"/>
          <w:i/>
          <w:color w:val="000000"/>
          <w:sz w:val="20"/>
          <w:szCs w:val="20"/>
        </w:rPr>
        <w:t xml:space="preserve">Source: </w:t>
      </w:r>
      <w:r w:rsidRPr="00F47322">
        <w:rPr>
          <w:rFonts w:ascii="Arial Mäori" w:hAnsi="Arial Mäori" w:cs="Arial Mäori"/>
          <w:i/>
          <w:color w:val="000000"/>
          <w:sz w:val="20"/>
          <w:szCs w:val="20"/>
        </w:rPr>
        <w:t>Australian National Audit Office</w:t>
      </w:r>
    </w:p>
    <w:p w:rsidR="007155D7" w:rsidRDefault="006837C7" w:rsidP="007155D7">
      <w:pPr>
        <w:spacing w:after="0" w:line="240" w:lineRule="auto"/>
        <w:rPr>
          <w:rFonts w:ascii="Arial Mäori" w:hAnsi="Arial Mäori" w:cs="Arial Mäori"/>
          <w:i/>
          <w:color w:val="000000"/>
          <w:sz w:val="20"/>
          <w:szCs w:val="20"/>
        </w:rPr>
      </w:pPr>
      <w:hyperlink w:anchor="_top" w:history="1">
        <w:r w:rsidR="007155D7" w:rsidRPr="007155D7">
          <w:rPr>
            <w:rStyle w:val="Hyperlink"/>
            <w:rFonts w:ascii="Arial Mäori" w:hAnsi="Arial Mäori" w:cs="Arial Mäori"/>
            <w:i/>
            <w:sz w:val="20"/>
            <w:szCs w:val="20"/>
          </w:rPr>
          <w:t>Back to top</w:t>
        </w:r>
      </w:hyperlink>
    </w:p>
    <w:p w:rsidR="004A28EE" w:rsidRDefault="004A28EE">
      <w:pPr>
        <w:rPr>
          <w:rFonts w:ascii="Times New Roman" w:eastAsia="Times New Roman" w:hAnsi="Times New Roman" w:cs="Times New Roman"/>
          <w:b/>
          <w:bCs/>
          <w:color w:val="548DD4" w:themeColor="text2" w:themeTint="99"/>
          <w:sz w:val="27"/>
          <w:szCs w:val="27"/>
          <w:lang w:eastAsia="en-NZ"/>
        </w:rPr>
      </w:pPr>
      <w:bookmarkStart w:id="17" w:name="_Child_&amp;_Youth"/>
      <w:bookmarkEnd w:id="17"/>
      <w:r>
        <w:rPr>
          <w:color w:val="548DD4" w:themeColor="text2" w:themeTint="99"/>
        </w:rPr>
        <w:br w:type="page"/>
      </w:r>
    </w:p>
    <w:p w:rsidR="008A07BC" w:rsidRDefault="008A07BC" w:rsidP="008A07BC">
      <w:pPr>
        <w:pStyle w:val="Heading3"/>
        <w:rPr>
          <w:color w:val="548DD4" w:themeColor="text2" w:themeTint="99"/>
        </w:rPr>
      </w:pPr>
      <w:r w:rsidRPr="008A07BC">
        <w:rPr>
          <w:color w:val="548DD4" w:themeColor="text2" w:themeTint="99"/>
        </w:rPr>
        <w:lastRenderedPageBreak/>
        <w:t>Child &amp; Youth Health</w:t>
      </w:r>
    </w:p>
    <w:p w:rsidR="00270ECE" w:rsidRDefault="006837C7" w:rsidP="00270ECE">
      <w:pPr>
        <w:spacing w:after="0" w:line="240" w:lineRule="auto"/>
        <w:rPr>
          <w:rFonts w:ascii="Arial Mäori" w:hAnsi="Arial Mäori" w:cs="Arial Mäori"/>
          <w:b/>
          <w:color w:val="000000"/>
          <w:sz w:val="20"/>
          <w:szCs w:val="20"/>
        </w:rPr>
      </w:pPr>
      <w:hyperlink r:id="rId30" w:history="1">
        <w:r w:rsidR="00270ECE" w:rsidRPr="00276B16">
          <w:rPr>
            <w:rStyle w:val="Hyperlink"/>
            <w:rFonts w:ascii="Arial Mäori" w:hAnsi="Arial Mäori" w:cs="Arial Mäori"/>
            <w:b/>
            <w:sz w:val="20"/>
            <w:szCs w:val="20"/>
          </w:rPr>
          <w:t>Therapies for Children With Autism Spectrum Disorder: Behavioral Interventions Update</w:t>
        </w:r>
      </w:hyperlink>
    </w:p>
    <w:p w:rsidR="00270ECE" w:rsidRDefault="00270ECE" w:rsidP="00270EC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The authors “</w:t>
      </w:r>
      <w:r w:rsidRPr="00C55BD5">
        <w:rPr>
          <w:rFonts w:ascii="Arial Mäori" w:hAnsi="Arial Mäori" w:cs="Arial Mäori"/>
          <w:color w:val="000000"/>
          <w:sz w:val="20"/>
          <w:szCs w:val="20"/>
        </w:rPr>
        <w:t>updated a prior systematic review of interventions for children (0–12 years) with autism spectrum disorder (ASD), focusing on recent studies of behavioral interventions.</w:t>
      </w:r>
      <w:r>
        <w:rPr>
          <w:rFonts w:ascii="Arial Mäori" w:hAnsi="Arial Mäori" w:cs="Arial Mäori"/>
          <w:color w:val="000000"/>
          <w:sz w:val="20"/>
          <w:szCs w:val="20"/>
        </w:rPr>
        <w:t xml:space="preserve">” </w:t>
      </w:r>
      <w:r>
        <w:rPr>
          <w:rFonts w:ascii="Arial Mäori" w:hAnsi="Arial Mäori" w:cs="Arial Mäori"/>
          <w:i/>
          <w:color w:val="000000"/>
          <w:sz w:val="20"/>
          <w:szCs w:val="20"/>
        </w:rPr>
        <w:t>Source: Agency for Healthcare Research and Quality</w:t>
      </w:r>
    </w:p>
    <w:p w:rsidR="0044319C" w:rsidRDefault="0044319C" w:rsidP="00270ECE">
      <w:pPr>
        <w:spacing w:after="0" w:line="240" w:lineRule="auto"/>
        <w:rPr>
          <w:rFonts w:ascii="Arial Mäori" w:hAnsi="Arial Mäori" w:cs="Arial Mäori"/>
          <w:i/>
          <w:color w:val="000000"/>
          <w:sz w:val="20"/>
          <w:szCs w:val="20"/>
        </w:rPr>
      </w:pPr>
    </w:p>
    <w:p w:rsidR="0044319C" w:rsidRDefault="006837C7" w:rsidP="0044319C">
      <w:pPr>
        <w:spacing w:after="0" w:line="240" w:lineRule="auto"/>
        <w:rPr>
          <w:rFonts w:ascii="Arial Mäori" w:hAnsi="Arial Mäori" w:cs="Arial Mäori"/>
          <w:b/>
          <w:color w:val="000000"/>
          <w:sz w:val="20"/>
          <w:szCs w:val="20"/>
        </w:rPr>
      </w:pPr>
      <w:hyperlink r:id="rId31" w:history="1">
        <w:r w:rsidR="0044319C" w:rsidRPr="002E23C8">
          <w:rPr>
            <w:rStyle w:val="Hyperlink"/>
            <w:rFonts w:ascii="Arial Mäori" w:hAnsi="Arial Mäori" w:cs="Arial Mäori"/>
            <w:b/>
            <w:sz w:val="20"/>
            <w:szCs w:val="20"/>
          </w:rPr>
          <w:t>Children Vulnerable in Areas of Early Development: A Determinant of Child Health</w:t>
        </w:r>
      </w:hyperlink>
    </w:p>
    <w:p w:rsidR="0044319C" w:rsidRPr="008450A0" w:rsidRDefault="0044319C" w:rsidP="0044319C">
      <w:pPr>
        <w:spacing w:after="0" w:line="240" w:lineRule="auto"/>
        <w:rPr>
          <w:rFonts w:ascii="Arial Mäori" w:hAnsi="Arial Mäori" w:cs="Arial Mäori"/>
          <w:color w:val="000000"/>
          <w:sz w:val="20"/>
          <w:szCs w:val="20"/>
        </w:rPr>
      </w:pPr>
      <w:r>
        <w:rPr>
          <w:rFonts w:ascii="Arial Mäori" w:hAnsi="Arial Mäori" w:cs="Arial Mäori"/>
          <w:color w:val="000000"/>
          <w:sz w:val="20"/>
          <w:szCs w:val="20"/>
        </w:rPr>
        <w:t>“</w:t>
      </w:r>
      <w:r w:rsidRPr="008450A0">
        <w:rPr>
          <w:rFonts w:ascii="Arial Mäori" w:hAnsi="Arial Mäori" w:cs="Arial Mäori"/>
          <w:color w:val="000000"/>
          <w:sz w:val="20"/>
          <w:szCs w:val="20"/>
        </w:rPr>
        <w:t>Children who are exposed to optimal environments early in life have the best opportunities to grow up healthy and happy. Understanding how children are developing allows policy-makers to make informed decisions about investments in programs and policies that support children and families.</w:t>
      </w:r>
      <w:r>
        <w:rPr>
          <w:rFonts w:ascii="Arial Mäori" w:hAnsi="Arial Mäori" w:cs="Arial Mäori"/>
          <w:color w:val="000000"/>
          <w:sz w:val="20"/>
          <w:szCs w:val="20"/>
        </w:rPr>
        <w:t xml:space="preserve"> </w:t>
      </w:r>
    </w:p>
    <w:p w:rsidR="0044319C" w:rsidRDefault="0044319C" w:rsidP="0044319C">
      <w:pPr>
        <w:spacing w:after="0" w:line="240" w:lineRule="auto"/>
        <w:rPr>
          <w:rFonts w:ascii="Arial Mäori" w:hAnsi="Arial Mäori" w:cs="Arial Mäori"/>
          <w:i/>
          <w:color w:val="000000"/>
          <w:sz w:val="20"/>
          <w:szCs w:val="20"/>
        </w:rPr>
      </w:pPr>
      <w:r w:rsidRPr="008450A0">
        <w:rPr>
          <w:rFonts w:ascii="Arial Mäori" w:hAnsi="Arial Mäori" w:cs="Arial Mäori"/>
          <w:color w:val="000000"/>
          <w:sz w:val="20"/>
          <w:szCs w:val="20"/>
        </w:rPr>
        <w:t>Children Vulnerable in Areas of Early Development: A Determinant of Child Health looks at how Canada measures the health and well-being of 5-year-olds. An overview of provincial and territorial initiatives to improve early child development is also included.</w:t>
      </w:r>
      <w:r>
        <w:rPr>
          <w:rFonts w:ascii="Arial Mäori" w:hAnsi="Arial Mäori" w:cs="Arial Mäori"/>
          <w:color w:val="000000"/>
          <w:sz w:val="20"/>
          <w:szCs w:val="20"/>
        </w:rPr>
        <w:t xml:space="preserve">” </w:t>
      </w:r>
      <w:r>
        <w:rPr>
          <w:rFonts w:ascii="Arial Mäori" w:hAnsi="Arial Mäori" w:cs="Arial Mäori"/>
          <w:i/>
          <w:color w:val="000000"/>
          <w:sz w:val="20"/>
          <w:szCs w:val="20"/>
        </w:rPr>
        <w:t>Source: Canadian Institute for Health Information</w:t>
      </w:r>
    </w:p>
    <w:p w:rsidR="00077A5E" w:rsidRDefault="00077A5E" w:rsidP="0044319C">
      <w:pPr>
        <w:spacing w:after="0" w:line="240" w:lineRule="auto"/>
        <w:rPr>
          <w:rFonts w:ascii="Arial Mäori" w:hAnsi="Arial Mäori" w:cs="Arial Mäori"/>
          <w:i/>
          <w:color w:val="000000"/>
          <w:sz w:val="20"/>
          <w:szCs w:val="20"/>
        </w:rPr>
      </w:pPr>
    </w:p>
    <w:p w:rsidR="00077A5E" w:rsidRDefault="006837C7" w:rsidP="00077A5E">
      <w:pPr>
        <w:spacing w:after="0" w:line="240" w:lineRule="auto"/>
        <w:rPr>
          <w:rFonts w:ascii="Arial Mäori" w:hAnsi="Arial Mäori" w:cs="Arial Mäori"/>
          <w:b/>
          <w:color w:val="000000"/>
          <w:sz w:val="20"/>
          <w:szCs w:val="20"/>
        </w:rPr>
      </w:pPr>
      <w:hyperlink r:id="rId32" w:history="1">
        <w:r w:rsidR="00077A5E" w:rsidRPr="003475A4">
          <w:rPr>
            <w:rStyle w:val="Hyperlink"/>
            <w:rFonts w:ascii="Arial Mäori" w:hAnsi="Arial Mäori" w:cs="Arial Mäori"/>
            <w:b/>
            <w:sz w:val="20"/>
            <w:szCs w:val="20"/>
          </w:rPr>
          <w:t>Children of the Recession: The impact of the economic crisis on child well-being in rich countries</w:t>
        </w:r>
      </w:hyperlink>
    </w:p>
    <w:p w:rsidR="00077A5E" w:rsidRDefault="00077A5E" w:rsidP="00077A5E">
      <w:pPr>
        <w:spacing w:after="0" w:line="240" w:lineRule="auto"/>
        <w:rPr>
          <w:rFonts w:ascii="Arial Mäori" w:hAnsi="Arial Mäori" w:cs="Arial Mäori"/>
          <w:i/>
          <w:color w:val="000000"/>
          <w:sz w:val="20"/>
          <w:szCs w:val="20"/>
        </w:rPr>
      </w:pPr>
      <w:r w:rsidRPr="008B2483">
        <w:rPr>
          <w:rFonts w:ascii="Arial Mäori" w:hAnsi="Arial Mäori" w:cs="Arial Mäori"/>
          <w:color w:val="000000"/>
          <w:sz w:val="20"/>
          <w:szCs w:val="20"/>
        </w:rPr>
        <w:t xml:space="preserve">“As the data in this new edition of the Innocenti Report Card series show, in the past five years, rising numbers of children and their families have experienced difficulty in satisfying their most basic material and educational needs.” </w:t>
      </w:r>
      <w:r w:rsidRPr="008B2483">
        <w:rPr>
          <w:rFonts w:ascii="Arial Mäori" w:hAnsi="Arial Mäori" w:cs="Arial Mäori"/>
          <w:i/>
          <w:color w:val="000000"/>
          <w:sz w:val="20"/>
          <w:szCs w:val="20"/>
        </w:rPr>
        <w:t>Source: Unicef</w:t>
      </w:r>
    </w:p>
    <w:p w:rsidR="00E74DA4" w:rsidRDefault="00E74DA4" w:rsidP="00077A5E">
      <w:pPr>
        <w:spacing w:after="0" w:line="240" w:lineRule="auto"/>
        <w:rPr>
          <w:rFonts w:ascii="Arial Mäori" w:hAnsi="Arial Mäori" w:cs="Arial Mäori"/>
          <w:i/>
          <w:color w:val="000000"/>
          <w:sz w:val="20"/>
          <w:szCs w:val="20"/>
        </w:rPr>
      </w:pPr>
    </w:p>
    <w:p w:rsidR="00E74DA4" w:rsidRDefault="006837C7" w:rsidP="00E74DA4">
      <w:pPr>
        <w:spacing w:after="0" w:line="240" w:lineRule="auto"/>
        <w:rPr>
          <w:rFonts w:ascii="Arial Mäori" w:hAnsi="Arial Mäori" w:cs="Arial Mäori"/>
          <w:b/>
          <w:color w:val="000000"/>
          <w:sz w:val="20"/>
          <w:szCs w:val="20"/>
        </w:rPr>
      </w:pPr>
      <w:hyperlink r:id="rId33" w:history="1">
        <w:r w:rsidR="00E74DA4" w:rsidRPr="00D1422F">
          <w:rPr>
            <w:rStyle w:val="Hyperlink"/>
            <w:rFonts w:ascii="Arial Mäori" w:hAnsi="Arial Mäori" w:cs="Arial Mäori"/>
            <w:b/>
            <w:sz w:val="20"/>
            <w:szCs w:val="20"/>
          </w:rPr>
          <w:t>Can Early Intervention Policies Improve Well-being? Evidence from a randomized controlled trial</w:t>
        </w:r>
      </w:hyperlink>
    </w:p>
    <w:p w:rsidR="00E74DA4" w:rsidRDefault="00E74DA4" w:rsidP="00E74DA4">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“T</w:t>
      </w:r>
      <w:r w:rsidRPr="00181EE1">
        <w:rPr>
          <w:rFonts w:ascii="Arial Mäori" w:hAnsi="Arial Mäori" w:cs="Arial Mäori"/>
          <w:color w:val="000000"/>
          <w:sz w:val="20"/>
          <w:szCs w:val="20"/>
        </w:rPr>
        <w:t>he impact of early intervention on the life-long development of children is an</w:t>
      </w:r>
      <w:r>
        <w:rPr>
          <w:rFonts w:ascii="Arial Mäori" w:hAnsi="Arial Mäori" w:cs="Arial Mäori"/>
          <w:color w:val="000000"/>
          <w:sz w:val="20"/>
          <w:szCs w:val="20"/>
        </w:rPr>
        <w:t xml:space="preserve"> </w:t>
      </w:r>
      <w:r w:rsidRPr="00181EE1">
        <w:rPr>
          <w:rFonts w:ascii="Arial Mäori" w:hAnsi="Arial Mäori" w:cs="Arial Mäori"/>
          <w:color w:val="000000"/>
          <w:sz w:val="20"/>
          <w:szCs w:val="20"/>
        </w:rPr>
        <w:t>increasingly important focus of modern policymakers. One potential externality of such</w:t>
      </w:r>
      <w:r>
        <w:rPr>
          <w:rFonts w:ascii="Arial Mäori" w:hAnsi="Arial Mäori" w:cs="Arial Mäori"/>
          <w:color w:val="000000"/>
          <w:sz w:val="20"/>
          <w:szCs w:val="20"/>
        </w:rPr>
        <w:t xml:space="preserve"> </w:t>
      </w:r>
      <w:r w:rsidRPr="00181EE1">
        <w:rPr>
          <w:rFonts w:ascii="Arial Mäori" w:hAnsi="Arial Mäori" w:cs="Arial Mäori"/>
          <w:color w:val="000000"/>
          <w:sz w:val="20"/>
          <w:szCs w:val="20"/>
        </w:rPr>
        <w:t>intervention is welfare improvements for parents, particularly for policies that target</w:t>
      </w:r>
      <w:r>
        <w:rPr>
          <w:rFonts w:ascii="Arial Mäori" w:hAnsi="Arial Mäori" w:cs="Arial Mäori"/>
          <w:color w:val="000000"/>
          <w:sz w:val="20"/>
          <w:szCs w:val="20"/>
        </w:rPr>
        <w:t xml:space="preserve"> </w:t>
      </w:r>
      <w:r w:rsidRPr="00181EE1">
        <w:rPr>
          <w:rFonts w:ascii="Arial Mäori" w:hAnsi="Arial Mäori" w:cs="Arial Mäori"/>
          <w:color w:val="000000"/>
          <w:sz w:val="20"/>
          <w:szCs w:val="20"/>
        </w:rPr>
        <w:t>parenting and coping skills.</w:t>
      </w:r>
      <w:r>
        <w:rPr>
          <w:rFonts w:ascii="Arial Mäori" w:hAnsi="Arial Mäori" w:cs="Arial Mäori"/>
          <w:color w:val="000000"/>
          <w:sz w:val="20"/>
          <w:szCs w:val="20"/>
        </w:rPr>
        <w:t xml:space="preserve">” </w:t>
      </w:r>
      <w:r>
        <w:rPr>
          <w:rFonts w:ascii="Arial Mäori" w:hAnsi="Arial Mäori" w:cs="Arial Mäori"/>
          <w:i/>
          <w:color w:val="000000"/>
          <w:sz w:val="20"/>
          <w:szCs w:val="20"/>
        </w:rPr>
        <w:t>Source: UCD Centre for Economic Research</w:t>
      </w:r>
    </w:p>
    <w:p w:rsidR="007155D7" w:rsidRDefault="006837C7" w:rsidP="007155D7">
      <w:pPr>
        <w:spacing w:after="0" w:line="240" w:lineRule="auto"/>
        <w:rPr>
          <w:rFonts w:ascii="Arial Mäori" w:hAnsi="Arial Mäori" w:cs="Arial Mäori"/>
          <w:i/>
          <w:color w:val="000000"/>
          <w:sz w:val="20"/>
          <w:szCs w:val="20"/>
        </w:rPr>
      </w:pPr>
      <w:hyperlink w:anchor="_top" w:history="1">
        <w:r w:rsidR="007155D7" w:rsidRPr="007155D7">
          <w:rPr>
            <w:rStyle w:val="Hyperlink"/>
            <w:rFonts w:ascii="Arial Mäori" w:hAnsi="Arial Mäori" w:cs="Arial Mäori"/>
            <w:i/>
            <w:sz w:val="20"/>
            <w:szCs w:val="20"/>
          </w:rPr>
          <w:t>Back to top</w:t>
        </w:r>
      </w:hyperlink>
    </w:p>
    <w:p w:rsidR="008A07BC" w:rsidRDefault="008A07BC" w:rsidP="008A07BC">
      <w:pPr>
        <w:pStyle w:val="Heading3"/>
        <w:rPr>
          <w:color w:val="548DD4" w:themeColor="text2" w:themeTint="99"/>
        </w:rPr>
      </w:pPr>
      <w:bookmarkStart w:id="18" w:name="_Pharmaceutical_Policy"/>
      <w:bookmarkEnd w:id="18"/>
      <w:r w:rsidRPr="008A07BC">
        <w:rPr>
          <w:color w:val="548DD4" w:themeColor="text2" w:themeTint="99"/>
        </w:rPr>
        <w:t>Pharmaceutical Policy</w:t>
      </w:r>
    </w:p>
    <w:p w:rsidR="00270ECE" w:rsidRDefault="006837C7" w:rsidP="00270ECE">
      <w:pPr>
        <w:spacing w:after="0" w:line="240" w:lineRule="auto"/>
        <w:rPr>
          <w:rFonts w:ascii="Arial Mäori" w:hAnsi="Arial Mäori" w:cs="Arial Mäori"/>
          <w:b/>
          <w:color w:val="000000"/>
          <w:sz w:val="20"/>
          <w:szCs w:val="20"/>
        </w:rPr>
      </w:pPr>
      <w:hyperlink r:id="rId34" w:history="1">
        <w:r w:rsidR="00270ECE" w:rsidRPr="002E23C8">
          <w:rPr>
            <w:rStyle w:val="Hyperlink"/>
            <w:rFonts w:ascii="Arial Mäori" w:hAnsi="Arial Mäori" w:cs="Arial Mäori"/>
            <w:b/>
            <w:sz w:val="20"/>
            <w:szCs w:val="20"/>
          </w:rPr>
          <w:t>Characterizing and Communicating Uncertainty in the Assessment of Benefits and Risks of Pharmaceutical Products</w:t>
        </w:r>
      </w:hyperlink>
    </w:p>
    <w:p w:rsidR="00270ECE" w:rsidRDefault="00270ECE" w:rsidP="00270EC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C55BD5">
        <w:rPr>
          <w:rFonts w:ascii="Arial Mäori" w:hAnsi="Arial Mäori" w:cs="Arial Mäori"/>
          <w:color w:val="000000"/>
          <w:sz w:val="20"/>
          <w:szCs w:val="20"/>
        </w:rPr>
        <w:t>Despite the extensive body of evidence that informs regulatory decisions on pharmaceutical products, significant uncertainties persist, including the underlying variability in human biology, factors associated with the chemistry of a drug, and limitations in the research and clinical trial process itself that might limit the generalizability of results. As a result, regulatory reviewers are consistently required to draw conclusions about a drug's safety and efficacy from imperfect data. Efforts are underway within the drug development community to enhance the evaluation and communication of the benefits and risks associated with pharmaceutical products, aimed at increasing the predictability, transparency, and efficiency of pharmaceutical regulatory decision making. Effectively communicating regulatory decisions necessarily includes explanation of the impact of uncertainty on decision making.</w:t>
      </w:r>
      <w:r>
        <w:rPr>
          <w:rFonts w:ascii="Arial Mäori" w:hAnsi="Arial Mäori" w:cs="Arial Mäori"/>
          <w:color w:val="000000"/>
          <w:sz w:val="20"/>
          <w:szCs w:val="20"/>
        </w:rPr>
        <w:t xml:space="preserve">” </w:t>
      </w:r>
      <w:r>
        <w:rPr>
          <w:rFonts w:ascii="Arial Mäori" w:hAnsi="Arial Mäori" w:cs="Arial Mäori"/>
          <w:i/>
          <w:color w:val="000000"/>
          <w:sz w:val="20"/>
          <w:szCs w:val="20"/>
        </w:rPr>
        <w:t>Source: Institute of Medicine</w:t>
      </w:r>
    </w:p>
    <w:p w:rsidR="00270ECE" w:rsidRDefault="00270ECE" w:rsidP="00270ECE">
      <w:pPr>
        <w:spacing w:after="0" w:line="240" w:lineRule="auto"/>
        <w:rPr>
          <w:rFonts w:ascii="Arial Mäori" w:hAnsi="Arial Mäori" w:cs="Arial Mäori"/>
          <w:i/>
          <w:color w:val="000000"/>
          <w:sz w:val="20"/>
          <w:szCs w:val="20"/>
        </w:rPr>
      </w:pPr>
      <w:r>
        <w:rPr>
          <w:rFonts w:ascii="Arial Mäori" w:hAnsi="Arial Mäori" w:cs="Arial Mäori"/>
          <w:i/>
          <w:color w:val="000000"/>
          <w:sz w:val="20"/>
          <w:szCs w:val="20"/>
        </w:rPr>
        <w:t>*sign up for free account to download</w:t>
      </w:r>
    </w:p>
    <w:p w:rsidR="001730CB" w:rsidRDefault="001730CB" w:rsidP="00270ECE">
      <w:pPr>
        <w:spacing w:after="0" w:line="240" w:lineRule="auto"/>
        <w:rPr>
          <w:rFonts w:ascii="Arial Mäori" w:hAnsi="Arial Mäori" w:cs="Arial Mäori"/>
          <w:i/>
          <w:color w:val="000000"/>
          <w:sz w:val="20"/>
          <w:szCs w:val="20"/>
        </w:rPr>
      </w:pPr>
    </w:p>
    <w:p w:rsidR="001730CB" w:rsidRDefault="006837C7" w:rsidP="001730CB">
      <w:pPr>
        <w:spacing w:after="0" w:line="240" w:lineRule="auto"/>
        <w:rPr>
          <w:rFonts w:ascii="Arial Mäori" w:hAnsi="Arial Mäori" w:cs="Arial Mäori"/>
          <w:b/>
          <w:color w:val="000000"/>
          <w:sz w:val="20"/>
          <w:szCs w:val="20"/>
        </w:rPr>
      </w:pPr>
      <w:hyperlink r:id="rId35" w:history="1">
        <w:r w:rsidR="001730CB" w:rsidRPr="002E23C8">
          <w:rPr>
            <w:rStyle w:val="Hyperlink"/>
            <w:rFonts w:ascii="Arial Mäori" w:hAnsi="Arial Mäori" w:cs="Arial Mäori"/>
            <w:b/>
            <w:sz w:val="20"/>
            <w:szCs w:val="20"/>
          </w:rPr>
          <w:t>English surveillance programme antimicrobial utilisation and resistance (ESPAUR) report</w:t>
        </w:r>
      </w:hyperlink>
    </w:p>
    <w:p w:rsidR="001730CB" w:rsidRDefault="001730CB" w:rsidP="001730CB">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AA288D">
        <w:rPr>
          <w:rFonts w:ascii="Arial Mäori" w:hAnsi="Arial Mäori" w:cs="Arial Mäori"/>
          <w:color w:val="000000"/>
          <w:sz w:val="20"/>
          <w:szCs w:val="20"/>
        </w:rPr>
        <w:t>The English surveillance programme for antimicrobial utilisation and resistance (ESPAUR) report presents antimicrobial use and antimicrobial resistance trends in primary and secondary care (2010 to 2013) to NHS Area Team level in one place for the first time, and allows organisations to benchmark themselves against regional and national results.</w:t>
      </w:r>
      <w:r>
        <w:rPr>
          <w:rFonts w:ascii="Arial Mäori" w:hAnsi="Arial Mäori" w:cs="Arial Mäori"/>
          <w:color w:val="000000"/>
          <w:sz w:val="20"/>
          <w:szCs w:val="20"/>
        </w:rPr>
        <w:t xml:space="preserve">” </w:t>
      </w:r>
      <w:r>
        <w:rPr>
          <w:rFonts w:ascii="Arial Mäori" w:hAnsi="Arial Mäori" w:cs="Arial Mäori"/>
          <w:i/>
          <w:color w:val="000000"/>
          <w:sz w:val="20"/>
          <w:szCs w:val="20"/>
        </w:rPr>
        <w:t>Source: Public Health England</w:t>
      </w:r>
    </w:p>
    <w:p w:rsidR="00077A5E" w:rsidRDefault="00077A5E" w:rsidP="001730CB">
      <w:pPr>
        <w:spacing w:after="0" w:line="240" w:lineRule="auto"/>
        <w:rPr>
          <w:rFonts w:ascii="Arial Mäori" w:hAnsi="Arial Mäori" w:cs="Arial Mäori"/>
          <w:i/>
          <w:color w:val="000000"/>
          <w:sz w:val="20"/>
          <w:szCs w:val="20"/>
        </w:rPr>
      </w:pPr>
    </w:p>
    <w:p w:rsidR="00077A5E" w:rsidRDefault="006837C7" w:rsidP="00077A5E">
      <w:pPr>
        <w:spacing w:after="0" w:line="240" w:lineRule="auto"/>
        <w:rPr>
          <w:rFonts w:ascii="Arial Mäori" w:hAnsi="Arial Mäori" w:cs="Arial Mäori"/>
          <w:b/>
          <w:color w:val="000000"/>
          <w:sz w:val="20"/>
          <w:szCs w:val="20"/>
        </w:rPr>
      </w:pPr>
      <w:hyperlink r:id="rId36" w:history="1">
        <w:r w:rsidR="00077A5E" w:rsidRPr="00D550F1">
          <w:rPr>
            <w:rStyle w:val="Hyperlink"/>
            <w:rFonts w:ascii="Arial Mäori" w:hAnsi="Arial Mäori" w:cs="Arial Mäori"/>
            <w:b/>
            <w:sz w:val="20"/>
            <w:szCs w:val="20"/>
          </w:rPr>
          <w:t>Antimicrobial Resistance: A Problem Without Borders</w:t>
        </w:r>
      </w:hyperlink>
    </w:p>
    <w:p w:rsidR="00077A5E" w:rsidRDefault="00077A5E" w:rsidP="00077A5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C55400">
        <w:rPr>
          <w:rFonts w:ascii="Arial Mäori" w:hAnsi="Arial Mäori" w:cs="Arial Mäori"/>
          <w:color w:val="000000"/>
          <w:sz w:val="20"/>
          <w:szCs w:val="20"/>
        </w:rPr>
        <w:t>This volume summarizes remarks by and an engaging discussion with Dr. Rima Khabbaz, Dr. Stuart Levy, Dr. Margaret (Peg) Ri</w:t>
      </w:r>
      <w:r>
        <w:rPr>
          <w:rFonts w:ascii="Arial Mäori" w:hAnsi="Arial Mäori" w:cs="Arial Mäori"/>
          <w:color w:val="000000"/>
          <w:sz w:val="20"/>
          <w:szCs w:val="20"/>
        </w:rPr>
        <w:t xml:space="preserve">ley, and Dr. Brad Spellberg on </w:t>
      </w:r>
      <w:r w:rsidRPr="00C55400">
        <w:rPr>
          <w:rFonts w:ascii="Arial Mäori" w:hAnsi="Arial Mäori" w:cs="Arial Mäori"/>
          <w:color w:val="000000"/>
          <w:sz w:val="20"/>
          <w:szCs w:val="20"/>
        </w:rPr>
        <w:t>Antimicrobial Resistance: A Problem Without Borders."</w:t>
      </w:r>
      <w:r>
        <w:rPr>
          <w:rFonts w:ascii="Arial Mäori" w:hAnsi="Arial Mäori" w:cs="Arial Mäori"/>
          <w:color w:val="000000"/>
          <w:sz w:val="20"/>
          <w:szCs w:val="20"/>
        </w:rPr>
        <w:t xml:space="preserve"> </w:t>
      </w:r>
      <w:r>
        <w:rPr>
          <w:rFonts w:ascii="Arial Mäori" w:hAnsi="Arial Mäori" w:cs="Arial Mäori"/>
          <w:i/>
          <w:color w:val="000000"/>
          <w:sz w:val="20"/>
          <w:szCs w:val="20"/>
        </w:rPr>
        <w:t>Source: Institute of Medicine</w:t>
      </w:r>
    </w:p>
    <w:p w:rsidR="00077A5E" w:rsidRDefault="00077A5E" w:rsidP="00077A5E">
      <w:pPr>
        <w:spacing w:after="0" w:line="240" w:lineRule="auto"/>
        <w:rPr>
          <w:rFonts w:ascii="Arial Mäori" w:hAnsi="Arial Mäori" w:cs="Arial Mäori"/>
          <w:i/>
          <w:color w:val="000000"/>
          <w:sz w:val="20"/>
          <w:szCs w:val="20"/>
        </w:rPr>
      </w:pPr>
      <w:r>
        <w:rPr>
          <w:rFonts w:ascii="Arial Mäori" w:hAnsi="Arial Mäori" w:cs="Arial Mäori"/>
          <w:i/>
          <w:color w:val="000000"/>
          <w:sz w:val="20"/>
          <w:szCs w:val="20"/>
        </w:rPr>
        <w:t>*sign up for free account to download</w:t>
      </w:r>
    </w:p>
    <w:p w:rsidR="00077A5E" w:rsidRDefault="00077A5E" w:rsidP="00077A5E">
      <w:pPr>
        <w:spacing w:after="0" w:line="240" w:lineRule="auto"/>
        <w:rPr>
          <w:rFonts w:ascii="Arial Mäori" w:hAnsi="Arial Mäori" w:cs="Arial Mäori"/>
          <w:i/>
          <w:color w:val="000000"/>
          <w:sz w:val="20"/>
          <w:szCs w:val="20"/>
        </w:rPr>
      </w:pPr>
    </w:p>
    <w:p w:rsidR="004A28EE" w:rsidRDefault="004A28EE">
      <w:r>
        <w:br w:type="page"/>
      </w:r>
    </w:p>
    <w:p w:rsidR="00077A5E" w:rsidRPr="00571048" w:rsidRDefault="006837C7" w:rsidP="00077A5E">
      <w:pPr>
        <w:spacing w:after="0" w:line="240" w:lineRule="auto"/>
        <w:rPr>
          <w:rFonts w:ascii="Arial Mäori" w:hAnsi="Arial Mäori" w:cs="Arial Mäori"/>
          <w:b/>
          <w:color w:val="000000"/>
          <w:sz w:val="20"/>
          <w:szCs w:val="20"/>
        </w:rPr>
      </w:pPr>
      <w:hyperlink r:id="rId37" w:history="1">
        <w:r w:rsidR="00077A5E" w:rsidRPr="003475A4">
          <w:rPr>
            <w:rStyle w:val="Hyperlink"/>
            <w:rFonts w:ascii="Arial Mäori" w:hAnsi="Arial Mäori" w:cs="Arial Mäori"/>
            <w:b/>
            <w:sz w:val="20"/>
            <w:szCs w:val="20"/>
          </w:rPr>
          <w:t>Antimicrobial Resistance and Use in Canada: A Federal Framework for Action</w:t>
        </w:r>
      </w:hyperlink>
    </w:p>
    <w:p w:rsidR="00077A5E" w:rsidRDefault="00077A5E" w:rsidP="00077A5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571048">
        <w:rPr>
          <w:rFonts w:ascii="Arial Mäori" w:hAnsi="Arial Mäori" w:cs="Arial Mäori"/>
          <w:color w:val="000000"/>
          <w:sz w:val="20"/>
          <w:szCs w:val="20"/>
        </w:rPr>
        <w:t>This Framework maps out a coordinated, collaborative federal approach to responding to the threat of antimicrobial resistance. It also lays a foundation for action from all sectors, underscoring the need to work together more than ever before, on a local, national and global scale. And it outlines the Government's key focus areas and plans for action.</w:t>
      </w:r>
      <w:r>
        <w:rPr>
          <w:rFonts w:ascii="Arial Mäori" w:hAnsi="Arial Mäori" w:cs="Arial Mäori"/>
          <w:color w:val="000000"/>
          <w:sz w:val="20"/>
          <w:szCs w:val="20"/>
        </w:rPr>
        <w:t xml:space="preserve">” </w:t>
      </w:r>
      <w:r>
        <w:rPr>
          <w:rFonts w:ascii="Arial Mäori" w:hAnsi="Arial Mäori" w:cs="Arial Mäori"/>
          <w:i/>
          <w:color w:val="000000"/>
          <w:sz w:val="20"/>
          <w:szCs w:val="20"/>
        </w:rPr>
        <w:t>Source: Government of Canada</w:t>
      </w:r>
    </w:p>
    <w:p w:rsidR="007155D7" w:rsidRDefault="006837C7" w:rsidP="007155D7">
      <w:pPr>
        <w:spacing w:after="0" w:line="240" w:lineRule="auto"/>
        <w:rPr>
          <w:rFonts w:ascii="Arial Mäori" w:hAnsi="Arial Mäori" w:cs="Arial Mäori"/>
          <w:i/>
          <w:color w:val="000000"/>
          <w:sz w:val="20"/>
          <w:szCs w:val="20"/>
        </w:rPr>
      </w:pPr>
      <w:hyperlink w:anchor="_top" w:history="1">
        <w:r w:rsidR="007155D7" w:rsidRPr="007155D7">
          <w:rPr>
            <w:rStyle w:val="Hyperlink"/>
            <w:rFonts w:ascii="Arial Mäori" w:hAnsi="Arial Mäori" w:cs="Arial Mäori"/>
            <w:i/>
            <w:sz w:val="20"/>
            <w:szCs w:val="20"/>
          </w:rPr>
          <w:t>Back to top</w:t>
        </w:r>
      </w:hyperlink>
    </w:p>
    <w:p w:rsidR="008A07BC" w:rsidRDefault="008A07BC" w:rsidP="008A07BC">
      <w:pPr>
        <w:pStyle w:val="Heading3"/>
        <w:rPr>
          <w:color w:val="548DD4" w:themeColor="text2" w:themeTint="99"/>
        </w:rPr>
      </w:pPr>
      <w:bookmarkStart w:id="19" w:name="_Public_&amp;_Patient"/>
      <w:bookmarkEnd w:id="19"/>
      <w:r w:rsidRPr="008A07BC">
        <w:rPr>
          <w:color w:val="548DD4" w:themeColor="text2" w:themeTint="99"/>
        </w:rPr>
        <w:t>Public &amp; Patient Engagement</w:t>
      </w:r>
    </w:p>
    <w:p w:rsidR="004F7C92" w:rsidRPr="003F306B" w:rsidRDefault="003F306B" w:rsidP="004F7C92">
      <w:pPr>
        <w:spacing w:after="0" w:line="240" w:lineRule="auto"/>
        <w:rPr>
          <w:rStyle w:val="Hyperlink"/>
          <w:rFonts w:ascii="Arial Mäori" w:hAnsi="Arial Mäori" w:cs="Arial Mäori"/>
          <w:b/>
          <w:sz w:val="20"/>
          <w:szCs w:val="20"/>
        </w:rPr>
      </w:pPr>
      <w:r>
        <w:rPr>
          <w:rFonts w:ascii="Arial Mäori" w:hAnsi="Arial Mäori" w:cs="Arial Mäori"/>
          <w:b/>
          <w:sz w:val="20"/>
          <w:szCs w:val="20"/>
        </w:rPr>
        <w:fldChar w:fldCharType="begin"/>
      </w:r>
      <w:r>
        <w:rPr>
          <w:rFonts w:ascii="Arial Mäori" w:hAnsi="Arial Mäori" w:cs="Arial Mäori"/>
          <w:b/>
          <w:sz w:val="20"/>
          <w:szCs w:val="20"/>
        </w:rPr>
        <w:instrText xml:space="preserve"> HYPERLINK "http://www.iom.edu/~/media/Files/Perspectives-Files/2014/Discussion-Papers/SDMforBestCare.pdf" </w:instrText>
      </w:r>
      <w:r>
        <w:rPr>
          <w:rFonts w:ascii="Arial Mäori" w:hAnsi="Arial Mäori" w:cs="Arial Mäori"/>
          <w:b/>
          <w:sz w:val="20"/>
          <w:szCs w:val="20"/>
        </w:rPr>
        <w:fldChar w:fldCharType="separate"/>
      </w:r>
      <w:r w:rsidR="004F7C92" w:rsidRPr="003F306B">
        <w:rPr>
          <w:rStyle w:val="Hyperlink"/>
          <w:rFonts w:ascii="Arial Mäori" w:hAnsi="Arial Mäori" w:cs="Arial Mäori"/>
          <w:b/>
          <w:sz w:val="20"/>
          <w:szCs w:val="20"/>
        </w:rPr>
        <w:t>Shared Decision-Making Strategies for Best Care</w:t>
      </w:r>
    </w:p>
    <w:p w:rsidR="004F7C92" w:rsidRDefault="003F306B" w:rsidP="004F7C92">
      <w:pPr>
        <w:spacing w:after="0" w:line="240" w:lineRule="auto"/>
        <w:rPr>
          <w:rFonts w:ascii="Arial Mäori" w:hAnsi="Arial Mäori" w:cs="Arial Mäori"/>
          <w:i/>
          <w:color w:val="000000"/>
          <w:sz w:val="20"/>
          <w:szCs w:val="20"/>
        </w:rPr>
      </w:pPr>
      <w:r>
        <w:rPr>
          <w:rFonts w:ascii="Arial Mäori" w:hAnsi="Arial Mäori" w:cs="Arial Mäori"/>
          <w:b/>
          <w:sz w:val="20"/>
          <w:szCs w:val="20"/>
        </w:rPr>
        <w:fldChar w:fldCharType="end"/>
      </w:r>
      <w:r w:rsidR="004F7C92">
        <w:rPr>
          <w:rFonts w:ascii="Arial Mäori" w:hAnsi="Arial Mäori" w:cs="Arial Mäori"/>
          <w:color w:val="000000"/>
          <w:sz w:val="20"/>
          <w:szCs w:val="20"/>
        </w:rPr>
        <w:t>“</w:t>
      </w:r>
      <w:r w:rsidR="004F7C92" w:rsidRPr="00F87CA2">
        <w:rPr>
          <w:rFonts w:ascii="Arial Mäori" w:hAnsi="Arial Mäori" w:cs="Arial Mäori"/>
          <w:color w:val="000000"/>
          <w:sz w:val="20"/>
          <w:szCs w:val="20"/>
        </w:rPr>
        <w:t>This discussion paper seeks to stimulate action toward embedding</w:t>
      </w:r>
      <w:r w:rsidR="004F7C92">
        <w:rPr>
          <w:rFonts w:ascii="Arial Mäori" w:hAnsi="Arial Mäori" w:cs="Arial Mäori"/>
          <w:color w:val="000000"/>
          <w:sz w:val="20"/>
          <w:szCs w:val="20"/>
        </w:rPr>
        <w:t xml:space="preserve"> </w:t>
      </w:r>
      <w:r w:rsidR="004F7C92" w:rsidRPr="00F87CA2">
        <w:rPr>
          <w:rFonts w:ascii="Arial Mäori" w:hAnsi="Arial Mäori" w:cs="Arial Mäori"/>
          <w:color w:val="000000"/>
          <w:sz w:val="20"/>
          <w:szCs w:val="20"/>
        </w:rPr>
        <w:t>SDM</w:t>
      </w:r>
      <w:r w:rsidR="004F7C92">
        <w:rPr>
          <w:rFonts w:ascii="Arial Mäori" w:hAnsi="Arial Mäori" w:cs="Arial Mäori"/>
          <w:color w:val="000000"/>
          <w:sz w:val="20"/>
          <w:szCs w:val="20"/>
        </w:rPr>
        <w:t xml:space="preserve"> [Shared </w:t>
      </w:r>
      <w:r w:rsidR="00C52A58">
        <w:rPr>
          <w:rFonts w:ascii="Arial Mäori" w:hAnsi="Arial Mäori" w:cs="Arial Mäori"/>
          <w:color w:val="000000"/>
          <w:sz w:val="20"/>
          <w:szCs w:val="20"/>
        </w:rPr>
        <w:t>Decision</w:t>
      </w:r>
      <w:r w:rsidR="004F7C92">
        <w:rPr>
          <w:rFonts w:ascii="Arial Mäori" w:hAnsi="Arial Mäori" w:cs="Arial Mäori"/>
          <w:color w:val="000000"/>
          <w:sz w:val="20"/>
          <w:szCs w:val="20"/>
        </w:rPr>
        <w:t xml:space="preserve"> Making]</w:t>
      </w:r>
      <w:r w:rsidR="004F7C92" w:rsidRPr="00F87CA2">
        <w:rPr>
          <w:rFonts w:ascii="Arial Mäori" w:hAnsi="Arial Mäori" w:cs="Arial Mäori"/>
          <w:color w:val="000000"/>
          <w:sz w:val="20"/>
          <w:szCs w:val="20"/>
        </w:rPr>
        <w:t xml:space="preserve"> —which has been called the “pinnacle” of patient-centered care—into clinical practice. As such, the authors focus particular attention on the need to ensure the quality, integrity, and availability of patient decision aids, though we recognize that SDM requires not just the use of a tool—it will also require the deployment of skill sets, attitudes, infrastructure, policies, and systems that fully support the meaningful patient-clinician conversations necessary to arrive at truly shared decisions.</w:t>
      </w:r>
      <w:r w:rsidR="004F7C92">
        <w:rPr>
          <w:rFonts w:ascii="Arial Mäori" w:hAnsi="Arial Mäori" w:cs="Arial Mäori"/>
          <w:color w:val="000000"/>
          <w:sz w:val="20"/>
          <w:szCs w:val="20"/>
        </w:rPr>
        <w:t xml:space="preserve">” </w:t>
      </w:r>
      <w:r w:rsidR="004F7C92">
        <w:rPr>
          <w:rFonts w:ascii="Arial Mäori" w:hAnsi="Arial Mäori" w:cs="Arial Mäori"/>
          <w:i/>
          <w:color w:val="000000"/>
          <w:sz w:val="20"/>
          <w:szCs w:val="20"/>
        </w:rPr>
        <w:t xml:space="preserve">Source: </w:t>
      </w:r>
      <w:r>
        <w:rPr>
          <w:rFonts w:ascii="Arial Mäori" w:hAnsi="Arial Mäori" w:cs="Arial Mäori"/>
          <w:i/>
          <w:color w:val="000000"/>
          <w:sz w:val="20"/>
          <w:szCs w:val="20"/>
        </w:rPr>
        <w:t>Institute of Medicine</w:t>
      </w:r>
    </w:p>
    <w:p w:rsidR="0044319C" w:rsidRDefault="0044319C" w:rsidP="004F7C92">
      <w:pPr>
        <w:spacing w:after="0" w:line="240" w:lineRule="auto"/>
        <w:rPr>
          <w:rFonts w:ascii="Arial Mäori" w:hAnsi="Arial Mäori" w:cs="Arial Mäori"/>
          <w:i/>
          <w:color w:val="000000"/>
          <w:sz w:val="20"/>
          <w:szCs w:val="20"/>
        </w:rPr>
      </w:pPr>
    </w:p>
    <w:p w:rsidR="0044319C" w:rsidRDefault="006837C7" w:rsidP="0044319C">
      <w:pPr>
        <w:spacing w:after="0" w:line="240" w:lineRule="auto"/>
        <w:rPr>
          <w:rFonts w:ascii="Arial Mäori" w:hAnsi="Arial Mäori" w:cs="Arial Mäori"/>
          <w:b/>
          <w:color w:val="000000"/>
          <w:sz w:val="20"/>
          <w:szCs w:val="20"/>
        </w:rPr>
      </w:pPr>
      <w:hyperlink r:id="rId38" w:history="1">
        <w:r w:rsidR="0044319C" w:rsidRPr="002E23C8">
          <w:rPr>
            <w:rStyle w:val="Hyperlink"/>
            <w:rFonts w:ascii="Arial Mäori" w:hAnsi="Arial Mäori" w:cs="Arial Mäori"/>
            <w:b/>
            <w:sz w:val="20"/>
            <w:szCs w:val="20"/>
          </w:rPr>
          <w:t>Assessing and Promoting Adoption of the Community-Centered Health Home Model</w:t>
        </w:r>
      </w:hyperlink>
    </w:p>
    <w:p w:rsidR="0044319C" w:rsidRDefault="0044319C" w:rsidP="0044319C">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2E20A8">
        <w:rPr>
          <w:rFonts w:ascii="Arial Mäori" w:hAnsi="Arial Mäori" w:cs="Arial Mäori"/>
          <w:color w:val="000000"/>
          <w:sz w:val="20"/>
          <w:szCs w:val="20"/>
        </w:rPr>
        <w:t>Community-Centered Health Homes</w:t>
      </w:r>
      <w:r>
        <w:rPr>
          <w:rFonts w:ascii="Arial Mäori" w:hAnsi="Arial Mäori" w:cs="Arial Mäori"/>
          <w:color w:val="000000"/>
          <w:sz w:val="20"/>
          <w:szCs w:val="20"/>
        </w:rPr>
        <w:t xml:space="preserve"> [are] </w:t>
      </w:r>
      <w:r w:rsidRPr="002E20A8">
        <w:rPr>
          <w:rFonts w:ascii="Arial Mäori" w:hAnsi="Arial Mäori" w:cs="Arial Mäori"/>
          <w:color w:val="000000"/>
          <w:sz w:val="20"/>
          <w:szCs w:val="20"/>
        </w:rPr>
        <w:t>a new paradigm in which healthcare providers collaborate closely with community members, advocates and organizations in an effort to change local conditions and improve health. Today, the best exemplars of this approach are community clinics and health centers around the country that are embedded in their communities.</w:t>
      </w:r>
      <w:r>
        <w:rPr>
          <w:rFonts w:ascii="Arial Mäori" w:hAnsi="Arial Mäori" w:cs="Arial Mäori"/>
          <w:color w:val="000000"/>
          <w:sz w:val="20"/>
          <w:szCs w:val="20"/>
        </w:rPr>
        <w:t xml:space="preserve">” </w:t>
      </w:r>
      <w:r>
        <w:rPr>
          <w:rFonts w:ascii="Arial Mäori" w:hAnsi="Arial Mäori" w:cs="Arial Mäori"/>
          <w:i/>
          <w:color w:val="000000"/>
          <w:sz w:val="20"/>
          <w:szCs w:val="20"/>
        </w:rPr>
        <w:t>Source: Prevention Institute</w:t>
      </w:r>
    </w:p>
    <w:p w:rsidR="00C67289" w:rsidRDefault="00C67289" w:rsidP="0044319C">
      <w:pPr>
        <w:spacing w:after="0" w:line="240" w:lineRule="auto"/>
        <w:rPr>
          <w:rFonts w:ascii="Arial Mäori" w:hAnsi="Arial Mäori" w:cs="Arial Mäori"/>
          <w:i/>
          <w:color w:val="000000"/>
          <w:sz w:val="20"/>
          <w:szCs w:val="20"/>
        </w:rPr>
      </w:pPr>
    </w:p>
    <w:p w:rsidR="00C67289" w:rsidRPr="002834F2" w:rsidRDefault="006837C7" w:rsidP="00C67289">
      <w:pPr>
        <w:spacing w:after="0" w:line="240" w:lineRule="auto"/>
        <w:rPr>
          <w:rFonts w:ascii="Arial Mäori" w:hAnsi="Arial Mäori" w:cs="Arial Mäori"/>
          <w:b/>
          <w:color w:val="000000"/>
          <w:sz w:val="20"/>
          <w:szCs w:val="20"/>
        </w:rPr>
      </w:pPr>
      <w:hyperlink r:id="rId39" w:history="1">
        <w:r w:rsidR="00C67289" w:rsidRPr="002E23C8">
          <w:rPr>
            <w:rStyle w:val="Hyperlink"/>
            <w:rFonts w:ascii="Arial Mäori" w:hAnsi="Arial Mäori" w:cs="Arial Mäori"/>
            <w:b/>
            <w:sz w:val="20"/>
            <w:szCs w:val="20"/>
          </w:rPr>
          <w:t>Civic Engagement and Social Cohesion: Measuring Dimensions of Social Capital to Inform Policy</w:t>
        </w:r>
      </w:hyperlink>
    </w:p>
    <w:p w:rsidR="00C67289" w:rsidRDefault="00C67289" w:rsidP="00C67289">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2834F2">
        <w:rPr>
          <w:rFonts w:ascii="Arial Mäori" w:hAnsi="Arial Mäori" w:cs="Arial Mäori"/>
          <w:color w:val="000000"/>
          <w:sz w:val="20"/>
          <w:szCs w:val="20"/>
        </w:rPr>
        <w:t>People's bonds, associations and networks - as well as the civil, political, and institutional characteristics of the society in which they live - can be powerful drivers affecting the quality of life among a community's, a city's, or a nation's inhabitants and their ability to achieve both individual and societal goals. Civic engagement, social cohesion, and other dimensions of social capital affect social, economic and health outcomes for individuals and communities. Can these be measured, and can federal surveys contribute toward this end? Can this information be collected elsewhere, and if so, how should it be collected?</w:t>
      </w:r>
      <w:r>
        <w:rPr>
          <w:rFonts w:ascii="Arial Mäori" w:hAnsi="Arial Mäori" w:cs="Arial Mäori"/>
          <w:color w:val="000000"/>
          <w:sz w:val="20"/>
          <w:szCs w:val="20"/>
        </w:rPr>
        <w:t xml:space="preserve">” </w:t>
      </w:r>
      <w:r>
        <w:rPr>
          <w:rFonts w:ascii="Arial Mäori" w:hAnsi="Arial Mäori" w:cs="Arial Mäori"/>
          <w:i/>
          <w:color w:val="000000"/>
          <w:sz w:val="20"/>
          <w:szCs w:val="20"/>
        </w:rPr>
        <w:t>Source: National Research Council</w:t>
      </w:r>
    </w:p>
    <w:p w:rsidR="00C67289" w:rsidRDefault="00C67289" w:rsidP="00C67289">
      <w:pPr>
        <w:spacing w:after="0" w:line="240" w:lineRule="auto"/>
        <w:rPr>
          <w:rFonts w:ascii="Arial Mäori" w:hAnsi="Arial Mäori" w:cs="Arial Mäori"/>
          <w:i/>
          <w:color w:val="000000"/>
          <w:sz w:val="20"/>
          <w:szCs w:val="20"/>
        </w:rPr>
      </w:pPr>
      <w:r>
        <w:rPr>
          <w:rFonts w:ascii="Arial Mäori" w:hAnsi="Arial Mäori" w:cs="Arial Mäori"/>
          <w:i/>
          <w:color w:val="000000"/>
          <w:sz w:val="20"/>
          <w:szCs w:val="20"/>
        </w:rPr>
        <w:t>*sign up for free account to download</w:t>
      </w:r>
    </w:p>
    <w:p w:rsidR="00E23D92" w:rsidRDefault="00E23D92" w:rsidP="00C67289">
      <w:pPr>
        <w:spacing w:after="0" w:line="240" w:lineRule="auto"/>
        <w:rPr>
          <w:rFonts w:ascii="Arial Mäori" w:hAnsi="Arial Mäori" w:cs="Arial Mäori"/>
          <w:i/>
          <w:color w:val="000000"/>
          <w:sz w:val="20"/>
          <w:szCs w:val="20"/>
        </w:rPr>
      </w:pPr>
    </w:p>
    <w:p w:rsidR="00E23D92" w:rsidRDefault="006837C7" w:rsidP="00E23D92">
      <w:pPr>
        <w:spacing w:after="0" w:line="240" w:lineRule="auto"/>
        <w:rPr>
          <w:rFonts w:ascii="Arial Mäori" w:hAnsi="Arial Mäori" w:cs="Arial Mäori"/>
          <w:b/>
          <w:color w:val="000000"/>
          <w:sz w:val="20"/>
          <w:szCs w:val="20"/>
        </w:rPr>
      </w:pPr>
      <w:hyperlink r:id="rId40" w:history="1">
        <w:r w:rsidR="00E23D92" w:rsidRPr="00D550F1">
          <w:rPr>
            <w:rStyle w:val="Hyperlink"/>
            <w:rFonts w:ascii="Arial Mäori" w:hAnsi="Arial Mäori" w:cs="Arial Mäori"/>
            <w:b/>
            <w:sz w:val="20"/>
            <w:szCs w:val="20"/>
          </w:rPr>
          <w:t>Ideas into action: person-centred care in practice</w:t>
        </w:r>
      </w:hyperlink>
    </w:p>
    <w:p w:rsidR="00E23D92" w:rsidRDefault="00E23D92" w:rsidP="00E23D92">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A93F5C">
        <w:rPr>
          <w:rFonts w:ascii="Arial Mäori" w:hAnsi="Arial Mäori" w:cs="Arial Mäori"/>
          <w:color w:val="000000"/>
          <w:sz w:val="20"/>
          <w:szCs w:val="20"/>
        </w:rPr>
        <w:t>This report aims to inform health care professionals, commissioners and providers about what to consider when implementing shared decision making and self-management support as part of their drive to make person-centred care a reality.</w:t>
      </w:r>
      <w:r>
        <w:rPr>
          <w:rFonts w:ascii="Arial Mäori" w:hAnsi="Arial Mäori" w:cs="Arial Mäori"/>
          <w:color w:val="000000"/>
          <w:sz w:val="20"/>
          <w:szCs w:val="20"/>
        </w:rPr>
        <w:t xml:space="preserve">” </w:t>
      </w:r>
      <w:r>
        <w:rPr>
          <w:rFonts w:ascii="Arial Mäori" w:hAnsi="Arial Mäori" w:cs="Arial Mäori"/>
          <w:i/>
          <w:color w:val="000000"/>
          <w:sz w:val="20"/>
          <w:szCs w:val="20"/>
        </w:rPr>
        <w:t>Source: Health Foundation</w:t>
      </w:r>
    </w:p>
    <w:p w:rsidR="00E23D92" w:rsidRDefault="00E23D92" w:rsidP="00E23D92">
      <w:pPr>
        <w:tabs>
          <w:tab w:val="left" w:pos="1467"/>
        </w:tabs>
        <w:spacing w:after="0" w:line="240" w:lineRule="auto"/>
        <w:rPr>
          <w:rFonts w:ascii="Arial Mäori" w:hAnsi="Arial Mäori" w:cs="Arial Mäori"/>
          <w:color w:val="000000"/>
          <w:sz w:val="20"/>
          <w:szCs w:val="20"/>
        </w:rPr>
      </w:pPr>
      <w:r>
        <w:rPr>
          <w:rFonts w:ascii="Arial Mäori" w:hAnsi="Arial Mäori" w:cs="Arial Mäori"/>
          <w:color w:val="000000"/>
          <w:sz w:val="20"/>
          <w:szCs w:val="20"/>
        </w:rPr>
        <w:tab/>
      </w:r>
    </w:p>
    <w:p w:rsidR="00E23D92" w:rsidRDefault="006837C7" w:rsidP="00E23D92">
      <w:pPr>
        <w:spacing w:after="0" w:line="240" w:lineRule="auto"/>
        <w:rPr>
          <w:rFonts w:ascii="Arial Mäori" w:hAnsi="Arial Mäori" w:cs="Arial Mäori"/>
          <w:b/>
          <w:color w:val="000000"/>
          <w:sz w:val="20"/>
          <w:szCs w:val="20"/>
        </w:rPr>
      </w:pPr>
      <w:hyperlink r:id="rId41" w:history="1">
        <w:r w:rsidR="00E23D92" w:rsidRPr="00D550F1">
          <w:rPr>
            <w:rStyle w:val="Hyperlink"/>
            <w:rFonts w:ascii="Arial Mäori" w:hAnsi="Arial Mäori" w:cs="Arial Mäori"/>
            <w:b/>
            <w:sz w:val="20"/>
            <w:szCs w:val="20"/>
          </w:rPr>
          <w:t>Person-centred care: from ideas to action</w:t>
        </w:r>
      </w:hyperlink>
    </w:p>
    <w:p w:rsidR="00E23D92" w:rsidRDefault="00E23D92" w:rsidP="00E23D92">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54603F">
        <w:rPr>
          <w:rFonts w:ascii="Arial Mäori" w:hAnsi="Arial Mäori" w:cs="Arial Mäori"/>
          <w:color w:val="000000"/>
          <w:sz w:val="20"/>
          <w:szCs w:val="20"/>
        </w:rPr>
        <w:t>This report seeks to bring together the evidence on shared decision making and self-management support, with the aim of providing greater coherence and clarity in debates about person-centred care.</w:t>
      </w:r>
      <w:r>
        <w:rPr>
          <w:rFonts w:ascii="Arial Mäori" w:hAnsi="Arial Mäori" w:cs="Arial Mäori"/>
          <w:color w:val="000000"/>
          <w:sz w:val="20"/>
          <w:szCs w:val="20"/>
        </w:rPr>
        <w:t xml:space="preserve">” </w:t>
      </w:r>
      <w:r>
        <w:rPr>
          <w:rFonts w:ascii="Arial Mäori" w:hAnsi="Arial Mäori" w:cs="Arial Mäori"/>
          <w:i/>
          <w:color w:val="000000"/>
          <w:sz w:val="20"/>
          <w:szCs w:val="20"/>
        </w:rPr>
        <w:t>Source: Health Foundation</w:t>
      </w:r>
    </w:p>
    <w:p w:rsidR="00DF53E3" w:rsidRDefault="00DF53E3" w:rsidP="00E23D92">
      <w:pPr>
        <w:spacing w:after="0" w:line="240" w:lineRule="auto"/>
        <w:rPr>
          <w:rFonts w:ascii="Arial Mäori" w:hAnsi="Arial Mäori" w:cs="Arial Mäori"/>
          <w:i/>
          <w:color w:val="000000"/>
          <w:sz w:val="20"/>
          <w:szCs w:val="20"/>
        </w:rPr>
      </w:pPr>
    </w:p>
    <w:p w:rsidR="00DF53E3" w:rsidRDefault="006837C7" w:rsidP="00DF53E3">
      <w:pPr>
        <w:spacing w:after="0" w:line="240" w:lineRule="auto"/>
        <w:rPr>
          <w:rFonts w:ascii="Arial Mäori" w:hAnsi="Arial Mäori" w:cs="Arial Mäori"/>
          <w:b/>
          <w:color w:val="000000"/>
          <w:sz w:val="20"/>
          <w:szCs w:val="20"/>
        </w:rPr>
      </w:pPr>
      <w:hyperlink r:id="rId42" w:history="1">
        <w:r w:rsidR="00DF53E3" w:rsidRPr="00D1422F">
          <w:rPr>
            <w:rStyle w:val="Hyperlink"/>
            <w:rFonts w:ascii="Arial Mäori" w:hAnsi="Arial Mäori" w:cs="Arial Mäori"/>
            <w:b/>
            <w:sz w:val="20"/>
            <w:szCs w:val="20"/>
          </w:rPr>
          <w:t>Public engagement, not just about the public</w:t>
        </w:r>
      </w:hyperlink>
    </w:p>
    <w:p w:rsidR="00DF53E3" w:rsidRDefault="00DF53E3" w:rsidP="00DF53E3">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BD3A2A">
        <w:rPr>
          <w:rFonts w:ascii="Arial Mäori" w:hAnsi="Arial Mäori" w:cs="Arial Mäori"/>
          <w:color w:val="000000"/>
          <w:sz w:val="20"/>
          <w:szCs w:val="20"/>
        </w:rPr>
        <w:t>The design and implementation of public involvement</w:t>
      </w:r>
      <w:r>
        <w:rPr>
          <w:rFonts w:ascii="Arial Mäori" w:hAnsi="Arial Mäori" w:cs="Arial Mäori"/>
          <w:color w:val="000000"/>
          <w:sz w:val="20"/>
          <w:szCs w:val="20"/>
        </w:rPr>
        <w:t xml:space="preserve"> </w:t>
      </w:r>
      <w:r w:rsidRPr="00BD3A2A">
        <w:rPr>
          <w:rFonts w:ascii="Arial Mäori" w:hAnsi="Arial Mäori" w:cs="Arial Mäori"/>
          <w:color w:val="000000"/>
          <w:sz w:val="20"/>
          <w:szCs w:val="20"/>
        </w:rPr>
        <w:t>process can help support or undermine broad support</w:t>
      </w:r>
      <w:r>
        <w:rPr>
          <w:rFonts w:ascii="Arial Mäori" w:hAnsi="Arial Mäori" w:cs="Arial Mäori"/>
          <w:color w:val="000000"/>
          <w:sz w:val="20"/>
          <w:szCs w:val="20"/>
        </w:rPr>
        <w:t xml:space="preserve"> </w:t>
      </w:r>
      <w:r w:rsidRPr="00BD3A2A">
        <w:rPr>
          <w:rFonts w:ascii="Arial Mäori" w:hAnsi="Arial Mäori" w:cs="Arial Mäori"/>
          <w:color w:val="000000"/>
          <w:sz w:val="20"/>
          <w:szCs w:val="20"/>
        </w:rPr>
        <w:t>for public engagement. This briefing paper synthesises</w:t>
      </w:r>
      <w:r>
        <w:rPr>
          <w:rFonts w:ascii="Arial Mäori" w:hAnsi="Arial Mäori" w:cs="Arial Mäori"/>
          <w:color w:val="000000"/>
          <w:sz w:val="20"/>
          <w:szCs w:val="20"/>
        </w:rPr>
        <w:t xml:space="preserve"> </w:t>
      </w:r>
      <w:r w:rsidRPr="00BD3A2A">
        <w:rPr>
          <w:rFonts w:ascii="Arial Mäori" w:hAnsi="Arial Mäori" w:cs="Arial Mäori"/>
          <w:color w:val="000000"/>
          <w:sz w:val="20"/>
          <w:szCs w:val="20"/>
        </w:rPr>
        <w:t>existing research on what motivates each group to</w:t>
      </w:r>
      <w:r>
        <w:rPr>
          <w:rFonts w:ascii="Arial Mäori" w:hAnsi="Arial Mäori" w:cs="Arial Mäori"/>
          <w:color w:val="000000"/>
          <w:sz w:val="20"/>
          <w:szCs w:val="20"/>
        </w:rPr>
        <w:t xml:space="preserve"> </w:t>
      </w:r>
      <w:r w:rsidRPr="00BD3A2A">
        <w:rPr>
          <w:rFonts w:ascii="Arial Mäori" w:hAnsi="Arial Mäori" w:cs="Arial Mäori"/>
          <w:color w:val="000000"/>
          <w:sz w:val="20"/>
          <w:szCs w:val="20"/>
        </w:rPr>
        <w:t>engage and provides an overview of the specific elements</w:t>
      </w:r>
      <w:r>
        <w:rPr>
          <w:rFonts w:ascii="Arial Mäori" w:hAnsi="Arial Mäori" w:cs="Arial Mäori"/>
          <w:color w:val="000000"/>
          <w:sz w:val="20"/>
          <w:szCs w:val="20"/>
        </w:rPr>
        <w:t xml:space="preserve"> </w:t>
      </w:r>
      <w:r w:rsidRPr="00BD3A2A">
        <w:rPr>
          <w:rFonts w:ascii="Arial Mäori" w:hAnsi="Arial Mäori" w:cs="Arial Mäori"/>
          <w:color w:val="000000"/>
          <w:sz w:val="20"/>
          <w:szCs w:val="20"/>
        </w:rPr>
        <w:t>of the design and implementation of engagement</w:t>
      </w:r>
      <w:r>
        <w:rPr>
          <w:rFonts w:ascii="Arial Mäori" w:hAnsi="Arial Mäori" w:cs="Arial Mäori"/>
          <w:color w:val="000000"/>
          <w:sz w:val="20"/>
          <w:szCs w:val="20"/>
        </w:rPr>
        <w:t xml:space="preserve"> </w:t>
      </w:r>
      <w:r w:rsidRPr="00BD3A2A">
        <w:rPr>
          <w:rFonts w:ascii="Arial Mäori" w:hAnsi="Arial Mäori" w:cs="Arial Mäori"/>
          <w:color w:val="000000"/>
          <w:sz w:val="20"/>
          <w:szCs w:val="20"/>
        </w:rPr>
        <w:t>that can shape these motivations in the long term.</w:t>
      </w:r>
      <w:r>
        <w:rPr>
          <w:rFonts w:ascii="Arial Mäori" w:hAnsi="Arial Mäori" w:cs="Arial Mäori"/>
          <w:color w:val="000000"/>
          <w:sz w:val="20"/>
          <w:szCs w:val="20"/>
        </w:rPr>
        <w:t xml:space="preserve">” </w:t>
      </w:r>
      <w:r>
        <w:rPr>
          <w:rFonts w:ascii="Arial Mäori" w:hAnsi="Arial Mäori" w:cs="Arial Mäori"/>
          <w:i/>
          <w:color w:val="000000"/>
          <w:sz w:val="20"/>
          <w:szCs w:val="20"/>
        </w:rPr>
        <w:t>Source: Involve</w:t>
      </w:r>
    </w:p>
    <w:p w:rsidR="002F28CE" w:rsidRDefault="002F28CE" w:rsidP="00DF53E3">
      <w:pPr>
        <w:spacing w:after="0" w:line="240" w:lineRule="auto"/>
        <w:rPr>
          <w:rFonts w:ascii="Arial Mäori" w:hAnsi="Arial Mäori" w:cs="Arial Mäori"/>
          <w:i/>
          <w:color w:val="000000"/>
          <w:sz w:val="20"/>
          <w:szCs w:val="20"/>
        </w:rPr>
      </w:pPr>
    </w:p>
    <w:p w:rsidR="004A28EE" w:rsidRDefault="004A28EE">
      <w:r>
        <w:br w:type="page"/>
      </w:r>
    </w:p>
    <w:p w:rsidR="002F28CE" w:rsidRDefault="006837C7" w:rsidP="002F28CE">
      <w:pPr>
        <w:spacing w:after="0" w:line="240" w:lineRule="auto"/>
        <w:rPr>
          <w:rFonts w:ascii="Arial Mäori" w:hAnsi="Arial Mäori" w:cs="Arial Mäori"/>
          <w:b/>
          <w:color w:val="000000"/>
          <w:sz w:val="20"/>
          <w:szCs w:val="20"/>
        </w:rPr>
      </w:pPr>
      <w:hyperlink r:id="rId43" w:history="1">
        <w:r w:rsidR="002F28CE" w:rsidRPr="00D1422F">
          <w:rPr>
            <w:rStyle w:val="Hyperlink"/>
            <w:rFonts w:ascii="Arial Mäori" w:hAnsi="Arial Mäori" w:cs="Arial Mäori"/>
            <w:b/>
            <w:sz w:val="20"/>
            <w:szCs w:val="20"/>
          </w:rPr>
          <w:t>Suffering in silence: Listening to consumer experiences of the health and social care complaints system</w:t>
        </w:r>
      </w:hyperlink>
    </w:p>
    <w:p w:rsidR="002F28CE" w:rsidRDefault="002F28CE" w:rsidP="002F28C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FA7A22">
        <w:rPr>
          <w:rFonts w:ascii="Arial Mäori" w:hAnsi="Arial Mäori" w:cs="Arial Mäori"/>
          <w:color w:val="000000"/>
          <w:sz w:val="20"/>
          <w:szCs w:val="20"/>
        </w:rPr>
        <w:t>Using the views of the public we identify where and</w:t>
      </w:r>
      <w:r>
        <w:rPr>
          <w:rFonts w:ascii="Arial Mäori" w:hAnsi="Arial Mäori" w:cs="Arial Mäori"/>
          <w:color w:val="000000"/>
          <w:sz w:val="20"/>
          <w:szCs w:val="20"/>
        </w:rPr>
        <w:t xml:space="preserve"> </w:t>
      </w:r>
      <w:r w:rsidRPr="00FA7A22">
        <w:rPr>
          <w:rFonts w:ascii="Arial Mäori" w:hAnsi="Arial Mäori" w:cs="Arial Mäori"/>
          <w:color w:val="000000"/>
          <w:sz w:val="20"/>
          <w:szCs w:val="20"/>
        </w:rPr>
        <w:t>why things are not working and, most importantly,</w:t>
      </w:r>
      <w:r>
        <w:rPr>
          <w:rFonts w:ascii="Arial Mäori" w:hAnsi="Arial Mäori" w:cs="Arial Mäori"/>
          <w:color w:val="000000"/>
          <w:sz w:val="20"/>
          <w:szCs w:val="20"/>
        </w:rPr>
        <w:t xml:space="preserve"> </w:t>
      </w:r>
      <w:r w:rsidRPr="00FA7A22">
        <w:rPr>
          <w:rFonts w:ascii="Arial Mäori" w:hAnsi="Arial Mäori" w:cs="Arial Mäori"/>
          <w:color w:val="000000"/>
          <w:sz w:val="20"/>
          <w:szCs w:val="20"/>
        </w:rPr>
        <w:t>how people want things done differently. It is through</w:t>
      </w:r>
      <w:r>
        <w:rPr>
          <w:rFonts w:ascii="Arial Mäori" w:hAnsi="Arial Mäori" w:cs="Arial Mäori"/>
          <w:color w:val="000000"/>
          <w:sz w:val="20"/>
          <w:szCs w:val="20"/>
        </w:rPr>
        <w:t xml:space="preserve"> </w:t>
      </w:r>
      <w:r w:rsidRPr="00FA7A22">
        <w:rPr>
          <w:rFonts w:ascii="Arial Mäori" w:hAnsi="Arial Mäori" w:cs="Arial Mäori"/>
          <w:color w:val="000000"/>
          <w:sz w:val="20"/>
          <w:szCs w:val="20"/>
        </w:rPr>
        <w:t>this lens that we have examined the current failings</w:t>
      </w:r>
      <w:r>
        <w:rPr>
          <w:rFonts w:ascii="Arial Mäori" w:hAnsi="Arial Mäori" w:cs="Arial Mäori"/>
          <w:color w:val="000000"/>
          <w:sz w:val="20"/>
          <w:szCs w:val="20"/>
        </w:rPr>
        <w:t xml:space="preserve"> </w:t>
      </w:r>
      <w:r w:rsidRPr="00FA7A22">
        <w:rPr>
          <w:rFonts w:ascii="Arial Mäori" w:hAnsi="Arial Mäori" w:cs="Arial Mäori"/>
          <w:color w:val="000000"/>
          <w:sz w:val="20"/>
          <w:szCs w:val="20"/>
        </w:rPr>
        <w:t>of what the public tells us are an overly complex,</w:t>
      </w:r>
      <w:r>
        <w:rPr>
          <w:rFonts w:ascii="Arial Mäori" w:hAnsi="Arial Mäori" w:cs="Arial Mäori"/>
          <w:color w:val="000000"/>
          <w:sz w:val="20"/>
          <w:szCs w:val="20"/>
        </w:rPr>
        <w:t xml:space="preserve"> </w:t>
      </w:r>
      <w:r w:rsidRPr="00FA7A22">
        <w:rPr>
          <w:rFonts w:ascii="Arial Mäori" w:hAnsi="Arial Mäori" w:cs="Arial Mäori"/>
          <w:color w:val="000000"/>
          <w:sz w:val="20"/>
          <w:szCs w:val="20"/>
        </w:rPr>
        <w:t>incredibly frustrating and largely ineffective</w:t>
      </w:r>
      <w:r>
        <w:rPr>
          <w:rFonts w:ascii="Arial Mäori" w:hAnsi="Arial Mäori" w:cs="Arial Mäori"/>
          <w:color w:val="000000"/>
          <w:sz w:val="20"/>
          <w:szCs w:val="20"/>
        </w:rPr>
        <w:t xml:space="preserve"> </w:t>
      </w:r>
      <w:r w:rsidRPr="00FA7A22">
        <w:rPr>
          <w:rFonts w:ascii="Arial Mäori" w:hAnsi="Arial Mäori" w:cs="Arial Mäori"/>
          <w:color w:val="000000"/>
          <w:sz w:val="20"/>
          <w:szCs w:val="20"/>
        </w:rPr>
        <w:t>complaints system in health and social care.</w:t>
      </w:r>
      <w:r>
        <w:rPr>
          <w:rFonts w:ascii="Arial Mäori" w:hAnsi="Arial Mäori" w:cs="Arial Mäori"/>
          <w:color w:val="000000"/>
          <w:sz w:val="20"/>
          <w:szCs w:val="20"/>
        </w:rPr>
        <w:t xml:space="preserve">” </w:t>
      </w:r>
      <w:r>
        <w:rPr>
          <w:rFonts w:ascii="Arial Mäori" w:hAnsi="Arial Mäori" w:cs="Arial Mäori"/>
          <w:i/>
          <w:color w:val="000000"/>
          <w:sz w:val="20"/>
          <w:szCs w:val="20"/>
        </w:rPr>
        <w:t>Source: Healthwatch</w:t>
      </w:r>
    </w:p>
    <w:p w:rsidR="007155D7" w:rsidRDefault="006837C7" w:rsidP="007155D7">
      <w:pPr>
        <w:spacing w:after="0" w:line="240" w:lineRule="auto"/>
        <w:rPr>
          <w:rFonts w:ascii="Arial Mäori" w:hAnsi="Arial Mäori" w:cs="Arial Mäori"/>
          <w:i/>
          <w:color w:val="000000"/>
          <w:sz w:val="20"/>
          <w:szCs w:val="20"/>
        </w:rPr>
      </w:pPr>
      <w:hyperlink w:anchor="_top" w:history="1">
        <w:r w:rsidR="007155D7" w:rsidRPr="007155D7">
          <w:rPr>
            <w:rStyle w:val="Hyperlink"/>
            <w:rFonts w:ascii="Arial Mäori" w:hAnsi="Arial Mäori" w:cs="Arial Mäori"/>
            <w:i/>
            <w:sz w:val="20"/>
            <w:szCs w:val="20"/>
          </w:rPr>
          <w:t>Back to top</w:t>
        </w:r>
      </w:hyperlink>
    </w:p>
    <w:p w:rsidR="008A07BC" w:rsidRDefault="008A07BC" w:rsidP="008A07BC">
      <w:pPr>
        <w:pStyle w:val="Heading3"/>
        <w:rPr>
          <w:color w:val="548DD4" w:themeColor="text2" w:themeTint="99"/>
        </w:rPr>
      </w:pPr>
      <w:bookmarkStart w:id="20" w:name="_Long-Term_Conditions"/>
      <w:bookmarkEnd w:id="20"/>
      <w:r w:rsidRPr="008A07BC">
        <w:rPr>
          <w:color w:val="548DD4" w:themeColor="text2" w:themeTint="99"/>
        </w:rPr>
        <w:t>Long-Term Conditions</w:t>
      </w:r>
    </w:p>
    <w:p w:rsidR="0044319C" w:rsidRPr="00773151" w:rsidRDefault="00773151" w:rsidP="0044319C">
      <w:pPr>
        <w:spacing w:after="0" w:line="240" w:lineRule="auto"/>
        <w:rPr>
          <w:rStyle w:val="Hyperlink"/>
          <w:rFonts w:ascii="Arial Mäori" w:hAnsi="Arial Mäori" w:cs="Arial Mäori"/>
          <w:b/>
          <w:sz w:val="20"/>
          <w:szCs w:val="20"/>
        </w:rPr>
      </w:pPr>
      <w:r>
        <w:rPr>
          <w:rFonts w:ascii="Arial Mäori" w:hAnsi="Arial Mäori" w:cs="Arial Mäori"/>
          <w:b/>
          <w:sz w:val="20"/>
          <w:szCs w:val="20"/>
        </w:rPr>
        <w:fldChar w:fldCharType="begin"/>
      </w:r>
      <w:r>
        <w:rPr>
          <w:rFonts w:ascii="Arial Mäori" w:hAnsi="Arial Mäori" w:cs="Arial Mäori"/>
          <w:b/>
          <w:sz w:val="20"/>
          <w:szCs w:val="20"/>
        </w:rPr>
        <w:instrText xml:space="preserve"> HYPERLINK "http://www.adea.com.au/wp-content/uploads/2014/07/Access-Economics-Report.pdf" </w:instrText>
      </w:r>
      <w:r>
        <w:rPr>
          <w:rFonts w:ascii="Arial Mäori" w:hAnsi="Arial Mäori" w:cs="Arial Mäori"/>
          <w:b/>
          <w:sz w:val="20"/>
          <w:szCs w:val="20"/>
        </w:rPr>
        <w:fldChar w:fldCharType="separate"/>
      </w:r>
      <w:r w:rsidR="0044319C" w:rsidRPr="00773151">
        <w:rPr>
          <w:rStyle w:val="Hyperlink"/>
          <w:rFonts w:ascii="Arial Mäori" w:hAnsi="Arial Mäori" w:cs="Arial Mäori"/>
          <w:b/>
          <w:sz w:val="20"/>
          <w:szCs w:val="20"/>
        </w:rPr>
        <w:t>Benefits of Credentialled Diabetes Educators to people with diabetes and Australia</w:t>
      </w:r>
    </w:p>
    <w:p w:rsidR="0044319C" w:rsidRDefault="00773151" w:rsidP="0044319C">
      <w:pPr>
        <w:spacing w:after="0" w:line="240" w:lineRule="auto"/>
        <w:rPr>
          <w:rFonts w:ascii="Arial Mäori" w:hAnsi="Arial Mäori" w:cs="Arial Mäori"/>
          <w:i/>
          <w:color w:val="000000"/>
          <w:sz w:val="20"/>
          <w:szCs w:val="20"/>
        </w:rPr>
      </w:pPr>
      <w:r>
        <w:rPr>
          <w:rFonts w:ascii="Arial Mäori" w:hAnsi="Arial Mäori" w:cs="Arial Mäori"/>
          <w:b/>
          <w:sz w:val="20"/>
          <w:szCs w:val="20"/>
        </w:rPr>
        <w:fldChar w:fldCharType="end"/>
      </w:r>
      <w:r w:rsidR="0044319C">
        <w:rPr>
          <w:rFonts w:ascii="Arial Mäori" w:hAnsi="Arial Mäori" w:cs="Arial Mäori"/>
          <w:color w:val="000000"/>
          <w:sz w:val="20"/>
          <w:szCs w:val="20"/>
        </w:rPr>
        <w:t>“</w:t>
      </w:r>
      <w:r w:rsidR="0044319C" w:rsidRPr="00902633">
        <w:rPr>
          <w:rFonts w:ascii="Arial Mäori" w:hAnsi="Arial Mäori" w:cs="Arial Mäori"/>
          <w:color w:val="000000"/>
          <w:sz w:val="20"/>
          <w:szCs w:val="20"/>
        </w:rPr>
        <w:t>Deloitte Access Economics was commissioned by the Australian Diabetes Educators Association (ADEA) to assess the benefits of Credentialled Diabetes Educators (CDEs) to people with diabetes, the Austra</w:t>
      </w:r>
      <w:r w:rsidR="0044319C">
        <w:rPr>
          <w:rFonts w:ascii="Arial Mäori" w:hAnsi="Arial Mäori" w:cs="Arial Mäori"/>
          <w:color w:val="000000"/>
          <w:sz w:val="20"/>
          <w:szCs w:val="20"/>
        </w:rPr>
        <w:t xml:space="preserve">lian health system and society… </w:t>
      </w:r>
      <w:r w:rsidR="0044319C" w:rsidRPr="00902633">
        <w:rPr>
          <w:rFonts w:ascii="Arial Mäori" w:hAnsi="Arial Mäori" w:cs="Arial Mäori"/>
          <w:color w:val="000000"/>
          <w:sz w:val="20"/>
          <w:szCs w:val="20"/>
        </w:rPr>
        <w:t>The team conducted a literature review to inform the cost effectiveness analysis (CEA) which was used to assess the costs and benefits of CDEs.</w:t>
      </w:r>
      <w:r w:rsidR="0044319C">
        <w:rPr>
          <w:rFonts w:ascii="Arial Mäori" w:hAnsi="Arial Mäori" w:cs="Arial Mäori"/>
          <w:color w:val="000000"/>
          <w:sz w:val="20"/>
          <w:szCs w:val="20"/>
        </w:rPr>
        <w:t xml:space="preserve">” </w:t>
      </w:r>
      <w:r w:rsidR="0044319C">
        <w:rPr>
          <w:rFonts w:ascii="Arial Mäori" w:hAnsi="Arial Mäori" w:cs="Arial Mäori"/>
          <w:i/>
          <w:color w:val="000000"/>
          <w:sz w:val="20"/>
          <w:szCs w:val="20"/>
        </w:rPr>
        <w:t>Source: Deloitte</w:t>
      </w:r>
    </w:p>
    <w:p w:rsidR="00077A5E" w:rsidRDefault="00077A5E" w:rsidP="0044319C">
      <w:pPr>
        <w:spacing w:after="0" w:line="240" w:lineRule="auto"/>
        <w:rPr>
          <w:rFonts w:ascii="Arial Mäori" w:hAnsi="Arial Mäori" w:cs="Arial Mäori"/>
          <w:i/>
          <w:color w:val="000000"/>
          <w:sz w:val="20"/>
          <w:szCs w:val="20"/>
        </w:rPr>
      </w:pPr>
    </w:p>
    <w:p w:rsidR="00077A5E" w:rsidRPr="000E205F" w:rsidRDefault="006837C7" w:rsidP="00077A5E">
      <w:pPr>
        <w:spacing w:after="0" w:line="240" w:lineRule="auto"/>
        <w:rPr>
          <w:rFonts w:ascii="Arial Mäori" w:hAnsi="Arial Mäori" w:cs="Arial Mäori"/>
          <w:b/>
          <w:color w:val="000000"/>
          <w:sz w:val="20"/>
          <w:szCs w:val="20"/>
        </w:rPr>
      </w:pPr>
      <w:hyperlink r:id="rId44" w:history="1">
        <w:r w:rsidR="00077A5E" w:rsidRPr="00D550F1">
          <w:rPr>
            <w:rStyle w:val="Hyperlink"/>
            <w:rFonts w:ascii="Arial Mäori" w:hAnsi="Arial Mäori" w:cs="Arial Mäori"/>
            <w:b/>
            <w:sz w:val="20"/>
            <w:szCs w:val="20"/>
          </w:rPr>
          <w:t>Improving the delivery of adult diabetes care through integration</w:t>
        </w:r>
      </w:hyperlink>
    </w:p>
    <w:p w:rsidR="00077A5E" w:rsidRDefault="00077A5E" w:rsidP="00077A5E">
      <w:pPr>
        <w:spacing w:after="0" w:line="240" w:lineRule="auto"/>
        <w:rPr>
          <w:rFonts w:ascii="Arial Mäori" w:hAnsi="Arial Mäori" w:cs="Arial Mäori"/>
          <w:i/>
          <w:color w:val="000000"/>
          <w:sz w:val="20"/>
          <w:szCs w:val="20"/>
        </w:rPr>
      </w:pPr>
      <w:r w:rsidRPr="000E205F">
        <w:rPr>
          <w:rFonts w:ascii="Arial Mäori" w:hAnsi="Arial Mäori" w:cs="Arial Mäori"/>
          <w:color w:val="000000"/>
          <w:sz w:val="20"/>
          <w:szCs w:val="20"/>
        </w:rPr>
        <w:t>“This report is for commissioners and providers to support the delivery of best practice and to help by sharing lessons learnt from people trying to improve diabetes care through integration.”</w:t>
      </w:r>
      <w:r>
        <w:rPr>
          <w:rFonts w:ascii="Arial Mäori" w:hAnsi="Arial Mäori" w:cs="Arial Mäori"/>
          <w:color w:val="000000"/>
          <w:sz w:val="20"/>
          <w:szCs w:val="20"/>
        </w:rPr>
        <w:t xml:space="preserve"> </w:t>
      </w:r>
      <w:r>
        <w:rPr>
          <w:rFonts w:ascii="Arial Mäori" w:hAnsi="Arial Mäori" w:cs="Arial Mäori"/>
          <w:i/>
          <w:color w:val="000000"/>
          <w:sz w:val="20"/>
          <w:szCs w:val="20"/>
        </w:rPr>
        <w:t>Source: Diabetes UK</w:t>
      </w:r>
    </w:p>
    <w:p w:rsidR="00077A5E" w:rsidRDefault="00077A5E" w:rsidP="00077A5E">
      <w:pPr>
        <w:spacing w:after="0" w:line="240" w:lineRule="auto"/>
        <w:rPr>
          <w:rFonts w:ascii="Arial Mäori" w:hAnsi="Arial Mäori" w:cs="Arial Mäori"/>
          <w:i/>
          <w:color w:val="000000"/>
          <w:sz w:val="20"/>
          <w:szCs w:val="20"/>
        </w:rPr>
      </w:pPr>
    </w:p>
    <w:p w:rsidR="00077A5E" w:rsidRPr="00773151" w:rsidRDefault="00773151" w:rsidP="00077A5E">
      <w:pPr>
        <w:spacing w:after="0" w:line="240" w:lineRule="auto"/>
        <w:rPr>
          <w:rStyle w:val="Hyperlink"/>
          <w:rFonts w:ascii="Arial Mäori" w:hAnsi="Arial Mäori" w:cs="Arial Mäori"/>
          <w:b/>
          <w:sz w:val="20"/>
          <w:szCs w:val="20"/>
        </w:rPr>
      </w:pPr>
      <w:r>
        <w:rPr>
          <w:rFonts w:ascii="Arial Mäori" w:hAnsi="Arial Mäori" w:cs="Arial Mäori"/>
          <w:b/>
          <w:sz w:val="20"/>
          <w:szCs w:val="20"/>
        </w:rPr>
        <w:fldChar w:fldCharType="begin"/>
      </w:r>
      <w:r>
        <w:rPr>
          <w:rFonts w:ascii="Arial Mäori" w:hAnsi="Arial Mäori" w:cs="Arial Mäori"/>
          <w:b/>
          <w:sz w:val="20"/>
          <w:szCs w:val="20"/>
        </w:rPr>
        <w:instrText xml:space="preserve"> HYPERLINK "https://www.sprc.unsw.edu.au/media/SPRCFile/Arthritis_and_Disability_2014.pdf" </w:instrText>
      </w:r>
      <w:r>
        <w:rPr>
          <w:rFonts w:ascii="Arial Mäori" w:hAnsi="Arial Mäori" w:cs="Arial Mäori"/>
          <w:b/>
          <w:sz w:val="20"/>
          <w:szCs w:val="20"/>
        </w:rPr>
        <w:fldChar w:fldCharType="separate"/>
      </w:r>
      <w:r w:rsidR="00077A5E" w:rsidRPr="00773151">
        <w:rPr>
          <w:rStyle w:val="Hyperlink"/>
          <w:rFonts w:ascii="Arial Mäori" w:hAnsi="Arial Mäori" w:cs="Arial Mäori"/>
          <w:b/>
          <w:sz w:val="20"/>
          <w:szCs w:val="20"/>
        </w:rPr>
        <w:t>Arthritis and disability</w:t>
      </w:r>
    </w:p>
    <w:p w:rsidR="00077A5E" w:rsidRDefault="00773151" w:rsidP="00077A5E">
      <w:pPr>
        <w:spacing w:after="0" w:line="240" w:lineRule="auto"/>
        <w:rPr>
          <w:rFonts w:ascii="Arial Mäori" w:hAnsi="Arial Mäori" w:cs="Arial Mäori"/>
          <w:i/>
          <w:color w:val="000000"/>
          <w:sz w:val="20"/>
          <w:szCs w:val="20"/>
        </w:rPr>
      </w:pPr>
      <w:r>
        <w:rPr>
          <w:rFonts w:ascii="Arial Mäori" w:hAnsi="Arial Mäori" w:cs="Arial Mäori"/>
          <w:b/>
          <w:sz w:val="20"/>
          <w:szCs w:val="20"/>
        </w:rPr>
        <w:fldChar w:fldCharType="end"/>
      </w:r>
      <w:r w:rsidR="00077A5E">
        <w:rPr>
          <w:rFonts w:ascii="Arial Mäori" w:hAnsi="Arial Mäori" w:cs="Arial Mäori"/>
          <w:color w:val="000000"/>
          <w:sz w:val="20"/>
          <w:szCs w:val="20"/>
        </w:rPr>
        <w:t>“</w:t>
      </w:r>
      <w:r w:rsidR="00077A5E" w:rsidRPr="008B2483">
        <w:rPr>
          <w:rFonts w:ascii="Arial Mäori" w:hAnsi="Arial Mäori" w:cs="Arial Mäori"/>
          <w:color w:val="000000"/>
          <w:sz w:val="20"/>
          <w:szCs w:val="20"/>
        </w:rPr>
        <w:t>Arthritis Australia commissioned the Social Policy Research Centre (SPRC) at UNSW Australia to carry out research on the lived experience of people with arthritis related conditions. This report outlines the methods, findings and implications of the research.</w:t>
      </w:r>
      <w:r w:rsidR="00077A5E">
        <w:rPr>
          <w:rFonts w:ascii="Arial Mäori" w:hAnsi="Arial Mäori" w:cs="Arial Mäori"/>
          <w:color w:val="000000"/>
          <w:sz w:val="20"/>
          <w:szCs w:val="20"/>
        </w:rPr>
        <w:t xml:space="preserve">” </w:t>
      </w:r>
      <w:r w:rsidR="00077A5E">
        <w:rPr>
          <w:rFonts w:ascii="Arial Mäori" w:hAnsi="Arial Mäori" w:cs="Arial Mäori"/>
          <w:i/>
          <w:color w:val="000000"/>
          <w:sz w:val="20"/>
          <w:szCs w:val="20"/>
        </w:rPr>
        <w:t>Source: University of New South Wales</w:t>
      </w:r>
    </w:p>
    <w:p w:rsidR="00E74DA4" w:rsidRDefault="00E74DA4" w:rsidP="00077A5E">
      <w:pPr>
        <w:spacing w:after="0" w:line="240" w:lineRule="auto"/>
        <w:rPr>
          <w:rFonts w:ascii="Arial Mäori" w:hAnsi="Arial Mäori" w:cs="Arial Mäori"/>
          <w:i/>
          <w:color w:val="000000"/>
          <w:sz w:val="20"/>
          <w:szCs w:val="20"/>
        </w:rPr>
      </w:pPr>
    </w:p>
    <w:p w:rsidR="00E74DA4" w:rsidRPr="008B2483" w:rsidRDefault="006837C7" w:rsidP="00E74DA4">
      <w:pPr>
        <w:spacing w:after="0" w:line="240" w:lineRule="auto"/>
        <w:rPr>
          <w:rFonts w:ascii="Arial Mäori" w:hAnsi="Arial Mäori" w:cs="Arial Mäori"/>
          <w:b/>
          <w:color w:val="000000"/>
          <w:sz w:val="20"/>
          <w:szCs w:val="20"/>
        </w:rPr>
      </w:pPr>
      <w:hyperlink r:id="rId45" w:history="1">
        <w:r w:rsidR="00E74DA4" w:rsidRPr="00D1422F">
          <w:rPr>
            <w:rStyle w:val="Hyperlink"/>
            <w:rFonts w:ascii="Arial Mäori" w:hAnsi="Arial Mäori" w:cs="Arial Mäori"/>
            <w:b/>
            <w:sz w:val="20"/>
            <w:szCs w:val="20"/>
          </w:rPr>
          <w:t>Western Pacific Regional Action Plan for the Prevention and Control of Noncommunicable Diseases (2014–2020)</w:t>
        </w:r>
      </w:hyperlink>
    </w:p>
    <w:p w:rsidR="00E74DA4" w:rsidRDefault="00E74DA4" w:rsidP="00E74DA4">
      <w:pPr>
        <w:spacing w:after="0" w:line="240" w:lineRule="auto"/>
        <w:rPr>
          <w:rFonts w:ascii="Arial Mäori" w:hAnsi="Arial Mäori" w:cs="Arial Mäori"/>
          <w:i/>
          <w:color w:val="000000"/>
          <w:sz w:val="20"/>
          <w:szCs w:val="20"/>
        </w:rPr>
      </w:pPr>
      <w:r w:rsidRPr="008B2483">
        <w:rPr>
          <w:rFonts w:ascii="Arial Mäori" w:hAnsi="Arial Mäori" w:cs="Arial Mäori"/>
          <w:color w:val="000000"/>
          <w:sz w:val="20"/>
          <w:szCs w:val="20"/>
        </w:rPr>
        <w:t xml:space="preserve">"The Western Pacific Regional Action Plan for the Prevention and Control of Noncommunicable Diseases (2014–2020) was developed in response to a resolution adopted at the sixty-second session of the WHO Regional Committee for the Western Pacific. The regional plan is fully harmonized with the Global Action Plan for the Prevention and Control of Noncommunicable Diseases (2013–2020) while adding the value of actions that build on regional achievements, contexts, opportunities and perspective." </w:t>
      </w:r>
      <w:r>
        <w:rPr>
          <w:rFonts w:ascii="Arial Mäori" w:hAnsi="Arial Mäori" w:cs="Arial Mäori"/>
          <w:color w:val="000000"/>
          <w:sz w:val="20"/>
          <w:szCs w:val="20"/>
        </w:rPr>
        <w:t xml:space="preserve"> </w:t>
      </w:r>
      <w:r>
        <w:rPr>
          <w:rFonts w:ascii="Arial Mäori" w:hAnsi="Arial Mäori" w:cs="Arial Mäori"/>
          <w:i/>
          <w:color w:val="000000"/>
          <w:sz w:val="20"/>
          <w:szCs w:val="20"/>
        </w:rPr>
        <w:t>Source: WHO</w:t>
      </w:r>
    </w:p>
    <w:p w:rsidR="007155D7" w:rsidRDefault="006837C7" w:rsidP="007155D7">
      <w:pPr>
        <w:spacing w:after="0" w:line="240" w:lineRule="auto"/>
        <w:rPr>
          <w:rFonts w:ascii="Arial Mäori" w:hAnsi="Arial Mäori" w:cs="Arial Mäori"/>
          <w:i/>
          <w:color w:val="000000"/>
          <w:sz w:val="20"/>
          <w:szCs w:val="20"/>
        </w:rPr>
      </w:pPr>
      <w:hyperlink w:anchor="_top" w:history="1">
        <w:r w:rsidR="007155D7" w:rsidRPr="007155D7">
          <w:rPr>
            <w:rStyle w:val="Hyperlink"/>
            <w:rFonts w:ascii="Arial Mäori" w:hAnsi="Arial Mäori" w:cs="Arial Mäori"/>
            <w:i/>
            <w:sz w:val="20"/>
            <w:szCs w:val="20"/>
          </w:rPr>
          <w:t>Back to top</w:t>
        </w:r>
      </w:hyperlink>
    </w:p>
    <w:p w:rsidR="008A07BC" w:rsidRDefault="008A07BC" w:rsidP="008A07BC">
      <w:pPr>
        <w:pStyle w:val="Heading3"/>
        <w:rPr>
          <w:color w:val="548DD4" w:themeColor="text2" w:themeTint="99"/>
        </w:rPr>
      </w:pPr>
      <w:bookmarkStart w:id="21" w:name="_Inequalities"/>
      <w:bookmarkEnd w:id="21"/>
      <w:r w:rsidRPr="008A07BC">
        <w:rPr>
          <w:color w:val="548DD4" w:themeColor="text2" w:themeTint="99"/>
        </w:rPr>
        <w:t>Inequalities</w:t>
      </w:r>
    </w:p>
    <w:p w:rsidR="0044319C" w:rsidRDefault="006837C7" w:rsidP="0044319C">
      <w:pPr>
        <w:spacing w:after="0" w:line="240" w:lineRule="auto"/>
        <w:rPr>
          <w:rFonts w:ascii="Arial Mäori" w:hAnsi="Arial Mäori" w:cs="Arial Mäori"/>
          <w:b/>
          <w:color w:val="000000"/>
          <w:sz w:val="20"/>
          <w:szCs w:val="20"/>
        </w:rPr>
      </w:pPr>
      <w:hyperlink r:id="rId46" w:history="1">
        <w:r w:rsidR="0044319C" w:rsidRPr="002E23C8">
          <w:rPr>
            <w:rStyle w:val="Hyperlink"/>
            <w:rFonts w:ascii="Arial Mäori" w:hAnsi="Arial Mäori" w:cs="Arial Mäori"/>
            <w:b/>
            <w:sz w:val="20"/>
            <w:szCs w:val="20"/>
          </w:rPr>
          <w:t>Migrant and ethnic minority health and health care in the context of the current systemic crisis in Europe</w:t>
        </w:r>
      </w:hyperlink>
    </w:p>
    <w:p w:rsidR="0044319C" w:rsidRDefault="0044319C" w:rsidP="0044319C">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4D3E4F">
        <w:rPr>
          <w:rFonts w:ascii="Arial Mäori" w:hAnsi="Arial Mäori" w:cs="Arial Mäori"/>
          <w:color w:val="000000"/>
          <w:sz w:val="20"/>
          <w:szCs w:val="20"/>
        </w:rPr>
        <w:t>The main objective of the Conference was</w:t>
      </w:r>
      <w:r>
        <w:rPr>
          <w:rFonts w:ascii="Arial Mäori" w:hAnsi="Arial Mäori" w:cs="Arial Mäori"/>
          <w:color w:val="000000"/>
          <w:sz w:val="20"/>
          <w:szCs w:val="20"/>
        </w:rPr>
        <w:t>…</w:t>
      </w:r>
      <w:r w:rsidRPr="004D3E4F">
        <w:rPr>
          <w:rFonts w:ascii="Arial Mäori" w:hAnsi="Arial Mäori" w:cs="Arial Mäori"/>
          <w:color w:val="000000"/>
          <w:sz w:val="20"/>
          <w:szCs w:val="20"/>
        </w:rPr>
        <w:t xml:space="preserve"> to provide a forum for</w:t>
      </w:r>
      <w:r>
        <w:rPr>
          <w:rFonts w:ascii="Arial Mäori" w:hAnsi="Arial Mäori" w:cs="Arial Mäori"/>
          <w:color w:val="000000"/>
          <w:sz w:val="20"/>
          <w:szCs w:val="20"/>
        </w:rPr>
        <w:t xml:space="preserve"> </w:t>
      </w:r>
      <w:r w:rsidRPr="004D3E4F">
        <w:rPr>
          <w:rFonts w:ascii="Arial Mäori" w:hAnsi="Arial Mäori" w:cs="Arial Mäori"/>
          <w:color w:val="000000"/>
          <w:sz w:val="20"/>
          <w:szCs w:val="20"/>
        </w:rPr>
        <w:t>sharing and disseminating current knowledge and practice in migrant and ethnic</w:t>
      </w:r>
      <w:r>
        <w:rPr>
          <w:rFonts w:ascii="Arial Mäori" w:hAnsi="Arial Mäori" w:cs="Arial Mäori"/>
          <w:color w:val="000000"/>
          <w:sz w:val="20"/>
          <w:szCs w:val="20"/>
        </w:rPr>
        <w:t xml:space="preserve"> </w:t>
      </w:r>
      <w:r w:rsidRPr="004D3E4F">
        <w:rPr>
          <w:rFonts w:ascii="Arial Mäori" w:hAnsi="Arial Mäori" w:cs="Arial Mäori"/>
          <w:color w:val="000000"/>
          <w:sz w:val="20"/>
          <w:szCs w:val="20"/>
        </w:rPr>
        <w:t>minority healthcare among policy makers, public health experts and practitioners,</w:t>
      </w:r>
      <w:r>
        <w:rPr>
          <w:rFonts w:ascii="Arial Mäori" w:hAnsi="Arial Mäori" w:cs="Arial Mäori"/>
          <w:color w:val="000000"/>
          <w:sz w:val="20"/>
          <w:szCs w:val="20"/>
        </w:rPr>
        <w:t xml:space="preserve"> </w:t>
      </w:r>
      <w:r w:rsidRPr="004D3E4F">
        <w:rPr>
          <w:rFonts w:ascii="Arial Mäori" w:hAnsi="Arial Mäori" w:cs="Arial Mäori"/>
          <w:color w:val="000000"/>
          <w:sz w:val="20"/>
          <w:szCs w:val="20"/>
        </w:rPr>
        <w:t>researchers, health and social care professionals and civil society representatives,</w:t>
      </w:r>
      <w:r>
        <w:rPr>
          <w:rFonts w:ascii="Arial Mäori" w:hAnsi="Arial Mäori" w:cs="Arial Mäori"/>
          <w:color w:val="000000"/>
          <w:sz w:val="20"/>
          <w:szCs w:val="20"/>
        </w:rPr>
        <w:t xml:space="preserve"> </w:t>
      </w:r>
      <w:r w:rsidRPr="004D3E4F">
        <w:rPr>
          <w:rFonts w:ascii="Arial Mäori" w:hAnsi="Arial Mäori" w:cs="Arial Mäori"/>
          <w:color w:val="000000"/>
          <w:sz w:val="20"/>
          <w:szCs w:val="20"/>
        </w:rPr>
        <w:t>in order to analyse the impact of the economic crisis in the social and health</w:t>
      </w:r>
      <w:r>
        <w:rPr>
          <w:rFonts w:ascii="Arial Mäori" w:hAnsi="Arial Mäori" w:cs="Arial Mäori"/>
          <w:color w:val="000000"/>
          <w:sz w:val="20"/>
          <w:szCs w:val="20"/>
        </w:rPr>
        <w:t xml:space="preserve"> </w:t>
      </w:r>
      <w:r w:rsidRPr="004D3E4F">
        <w:rPr>
          <w:rFonts w:ascii="Arial Mäori" w:hAnsi="Arial Mäori" w:cs="Arial Mäori"/>
          <w:color w:val="000000"/>
          <w:sz w:val="20"/>
          <w:szCs w:val="20"/>
        </w:rPr>
        <w:t>status of these vulnerable population groups, and to develop strategies to ensure</w:t>
      </w:r>
      <w:r>
        <w:rPr>
          <w:rFonts w:ascii="Arial Mäori" w:hAnsi="Arial Mäori" w:cs="Arial Mäori"/>
          <w:color w:val="000000"/>
          <w:sz w:val="20"/>
          <w:szCs w:val="20"/>
        </w:rPr>
        <w:t xml:space="preserve"> </w:t>
      </w:r>
      <w:r w:rsidRPr="004D3E4F">
        <w:rPr>
          <w:rFonts w:ascii="Arial Mäori" w:hAnsi="Arial Mäori" w:cs="Arial Mäori"/>
          <w:color w:val="000000"/>
          <w:sz w:val="20"/>
          <w:szCs w:val="20"/>
        </w:rPr>
        <w:t>their access to quality health care services.</w:t>
      </w:r>
      <w:r>
        <w:rPr>
          <w:rFonts w:ascii="Arial Mäori" w:hAnsi="Arial Mäori" w:cs="Arial Mäori"/>
          <w:color w:val="000000"/>
          <w:sz w:val="20"/>
          <w:szCs w:val="20"/>
        </w:rPr>
        <w:t xml:space="preserve">” </w:t>
      </w:r>
      <w:r>
        <w:rPr>
          <w:rFonts w:ascii="Arial Mäori" w:hAnsi="Arial Mäori" w:cs="Arial Mäori"/>
          <w:i/>
          <w:color w:val="000000"/>
          <w:sz w:val="20"/>
          <w:szCs w:val="20"/>
        </w:rPr>
        <w:t xml:space="preserve">Source: </w:t>
      </w:r>
      <w:r w:rsidRPr="004D3E4F">
        <w:rPr>
          <w:rFonts w:ascii="Arial Mäori" w:hAnsi="Arial Mäori" w:cs="Arial Mäori"/>
          <w:i/>
          <w:color w:val="000000"/>
          <w:sz w:val="20"/>
          <w:szCs w:val="20"/>
        </w:rPr>
        <w:t>European Public Health Association</w:t>
      </w:r>
    </w:p>
    <w:p w:rsidR="0044319C" w:rsidRDefault="0044319C" w:rsidP="0044319C">
      <w:pPr>
        <w:spacing w:after="0" w:line="240" w:lineRule="auto"/>
        <w:rPr>
          <w:rFonts w:ascii="Arial Mäori" w:hAnsi="Arial Mäori" w:cs="Arial Mäori"/>
          <w:i/>
          <w:color w:val="000000"/>
          <w:sz w:val="20"/>
          <w:szCs w:val="20"/>
        </w:rPr>
      </w:pPr>
    </w:p>
    <w:p w:rsidR="0044319C" w:rsidRDefault="006837C7" w:rsidP="0044319C">
      <w:pPr>
        <w:spacing w:after="0" w:line="240" w:lineRule="auto"/>
        <w:rPr>
          <w:b/>
          <w:sz w:val="20"/>
          <w:szCs w:val="20"/>
        </w:rPr>
      </w:pPr>
      <w:hyperlink r:id="rId47" w:history="1">
        <w:r w:rsidR="0044319C" w:rsidRPr="002E23C8">
          <w:rPr>
            <w:rStyle w:val="Hyperlink"/>
            <w:b/>
            <w:sz w:val="20"/>
            <w:szCs w:val="20"/>
          </w:rPr>
          <w:t>Natural Solutions to Tackling Health Inequalities</w:t>
        </w:r>
      </w:hyperlink>
    </w:p>
    <w:p w:rsidR="0044319C" w:rsidRDefault="0044319C" w:rsidP="0044319C">
      <w:pPr>
        <w:spacing w:after="0" w:line="240" w:lineRule="auto"/>
        <w:rPr>
          <w:i/>
          <w:sz w:val="20"/>
          <w:szCs w:val="20"/>
        </w:rPr>
      </w:pPr>
      <w:r>
        <w:rPr>
          <w:sz w:val="20"/>
          <w:szCs w:val="20"/>
        </w:rPr>
        <w:t>“</w:t>
      </w:r>
      <w:r w:rsidRPr="002E20A8">
        <w:rPr>
          <w:sz w:val="20"/>
          <w:szCs w:val="20"/>
        </w:rPr>
        <w:t>‘Natural Solutions to Tackling Health Inequalities’ report highlights the evidence of the benefits of green spaces to health and wellbeing outcomes, and the inequalities in use of, and access to, natural environments across England.</w:t>
      </w:r>
      <w:r>
        <w:rPr>
          <w:sz w:val="20"/>
          <w:szCs w:val="20"/>
        </w:rPr>
        <w:t xml:space="preserve">” </w:t>
      </w:r>
      <w:r>
        <w:rPr>
          <w:i/>
          <w:sz w:val="20"/>
          <w:szCs w:val="20"/>
        </w:rPr>
        <w:t>Source: UCL Institute of Health Equity</w:t>
      </w:r>
    </w:p>
    <w:p w:rsidR="00077A5E" w:rsidRDefault="00077A5E" w:rsidP="0044319C">
      <w:pPr>
        <w:spacing w:after="0" w:line="240" w:lineRule="auto"/>
        <w:rPr>
          <w:i/>
          <w:sz w:val="20"/>
          <w:szCs w:val="20"/>
        </w:rPr>
      </w:pPr>
    </w:p>
    <w:p w:rsidR="00077A5E" w:rsidRDefault="006837C7" w:rsidP="00077A5E">
      <w:pPr>
        <w:spacing w:after="0" w:line="240" w:lineRule="auto"/>
        <w:rPr>
          <w:rFonts w:ascii="Arial Mäori" w:hAnsi="Arial Mäori" w:cs="Arial Mäori"/>
          <w:b/>
          <w:color w:val="000000"/>
          <w:sz w:val="20"/>
          <w:szCs w:val="20"/>
        </w:rPr>
      </w:pPr>
      <w:hyperlink r:id="rId48" w:history="1">
        <w:r w:rsidR="00077A5E" w:rsidRPr="003475A4">
          <w:rPr>
            <w:rStyle w:val="Hyperlink"/>
            <w:rFonts w:ascii="Arial Mäori" w:hAnsi="Arial Mäori" w:cs="Arial Mäori"/>
            <w:b/>
            <w:sz w:val="20"/>
            <w:szCs w:val="20"/>
          </w:rPr>
          <w:t>Indicators of Inequality for Māori and Pacific People</w:t>
        </w:r>
      </w:hyperlink>
    </w:p>
    <w:p w:rsidR="00077A5E" w:rsidRDefault="00077A5E" w:rsidP="00077A5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8B2483">
        <w:rPr>
          <w:rFonts w:ascii="Arial Mäori" w:hAnsi="Arial Mäori" w:cs="Arial Mäori"/>
          <w:color w:val="000000"/>
          <w:sz w:val="20"/>
          <w:szCs w:val="20"/>
        </w:rPr>
        <w:t>This study investigates a number of inequality indicators in New</w:t>
      </w:r>
      <w:r>
        <w:rPr>
          <w:rFonts w:ascii="Arial Mäori" w:hAnsi="Arial Mäori" w:cs="Arial Mäori"/>
          <w:color w:val="000000"/>
          <w:sz w:val="20"/>
          <w:szCs w:val="20"/>
        </w:rPr>
        <w:t xml:space="preserve"> </w:t>
      </w:r>
      <w:r w:rsidRPr="008B2483">
        <w:rPr>
          <w:rFonts w:ascii="Arial Mäori" w:hAnsi="Arial Mäori" w:cs="Arial Mäori"/>
          <w:color w:val="000000"/>
          <w:sz w:val="20"/>
          <w:szCs w:val="20"/>
        </w:rPr>
        <w:t>Zealand. The research examines the current gaps in the indicators between the</w:t>
      </w:r>
      <w:r>
        <w:rPr>
          <w:rFonts w:ascii="Arial Mäori" w:hAnsi="Arial Mäori" w:cs="Arial Mäori"/>
          <w:color w:val="000000"/>
          <w:sz w:val="20"/>
          <w:szCs w:val="20"/>
        </w:rPr>
        <w:t xml:space="preserve"> </w:t>
      </w:r>
      <w:r w:rsidRPr="008B2483">
        <w:rPr>
          <w:rFonts w:ascii="Arial Mäori" w:hAnsi="Arial Mäori" w:cs="Arial Mäori"/>
          <w:color w:val="000000"/>
          <w:sz w:val="20"/>
          <w:szCs w:val="20"/>
        </w:rPr>
        <w:t>European population, and Māori and Pacific people. The study also undertakes a</w:t>
      </w:r>
      <w:r>
        <w:rPr>
          <w:rFonts w:ascii="Arial Mäori" w:hAnsi="Arial Mäori" w:cs="Arial Mäori"/>
          <w:color w:val="000000"/>
          <w:sz w:val="20"/>
          <w:szCs w:val="20"/>
        </w:rPr>
        <w:t xml:space="preserve"> </w:t>
      </w:r>
      <w:r w:rsidRPr="008B2483">
        <w:rPr>
          <w:rFonts w:ascii="Arial Mäori" w:hAnsi="Arial Mäori" w:cs="Arial Mäori"/>
          <w:color w:val="000000"/>
          <w:sz w:val="20"/>
          <w:szCs w:val="20"/>
        </w:rPr>
        <w:t>comparison of the changes in the gaps over a period approximating 10 years for</w:t>
      </w:r>
      <w:r>
        <w:rPr>
          <w:rFonts w:ascii="Arial Mäori" w:hAnsi="Arial Mäori" w:cs="Arial Mäori"/>
          <w:color w:val="000000"/>
          <w:sz w:val="20"/>
          <w:szCs w:val="20"/>
        </w:rPr>
        <w:t xml:space="preserve"> </w:t>
      </w:r>
      <w:r w:rsidRPr="008B2483">
        <w:rPr>
          <w:rFonts w:ascii="Arial Mäori" w:hAnsi="Arial Mäori" w:cs="Arial Mäori"/>
          <w:color w:val="000000"/>
          <w:sz w:val="20"/>
          <w:szCs w:val="20"/>
        </w:rPr>
        <w:t>each of the indicators.</w:t>
      </w:r>
      <w:r>
        <w:rPr>
          <w:rFonts w:ascii="Arial Mäori" w:hAnsi="Arial Mäori" w:cs="Arial Mäori"/>
          <w:color w:val="000000"/>
          <w:sz w:val="20"/>
          <w:szCs w:val="20"/>
        </w:rPr>
        <w:t xml:space="preserve">” </w:t>
      </w:r>
      <w:r>
        <w:rPr>
          <w:rFonts w:ascii="Arial Mäori" w:hAnsi="Arial Mäori" w:cs="Arial Mäori"/>
          <w:i/>
          <w:color w:val="000000"/>
          <w:sz w:val="20"/>
          <w:szCs w:val="20"/>
        </w:rPr>
        <w:t>Source: Victoria Business School</w:t>
      </w:r>
    </w:p>
    <w:p w:rsidR="00E74DA4" w:rsidRDefault="00E74DA4" w:rsidP="00077A5E">
      <w:pPr>
        <w:spacing w:after="0" w:line="240" w:lineRule="auto"/>
        <w:rPr>
          <w:rFonts w:ascii="Arial Mäori" w:hAnsi="Arial Mäori" w:cs="Arial Mäori"/>
          <w:i/>
          <w:color w:val="000000"/>
          <w:sz w:val="20"/>
          <w:szCs w:val="20"/>
        </w:rPr>
      </w:pPr>
    </w:p>
    <w:p w:rsidR="00E74DA4" w:rsidRDefault="006837C7" w:rsidP="00E74DA4">
      <w:pPr>
        <w:spacing w:after="0" w:line="240" w:lineRule="auto"/>
        <w:rPr>
          <w:rFonts w:ascii="Arial Mäori" w:hAnsi="Arial Mäori" w:cs="Arial Mäori"/>
          <w:b/>
          <w:color w:val="000000"/>
          <w:sz w:val="20"/>
          <w:szCs w:val="20"/>
        </w:rPr>
      </w:pPr>
      <w:hyperlink r:id="rId49" w:history="1">
        <w:r w:rsidR="00E74DA4" w:rsidRPr="00D1422F">
          <w:rPr>
            <w:rStyle w:val="Hyperlink"/>
            <w:rFonts w:ascii="Arial Mäori" w:hAnsi="Arial Mäori" w:cs="Arial Mäori"/>
            <w:b/>
            <w:sz w:val="20"/>
            <w:szCs w:val="20"/>
          </w:rPr>
          <w:t>Indigenous Australians and the National Disability Insurance Scheme</w:t>
        </w:r>
      </w:hyperlink>
    </w:p>
    <w:p w:rsidR="00E74DA4" w:rsidRDefault="00E74DA4" w:rsidP="00E74DA4">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8F4821">
        <w:rPr>
          <w:rFonts w:ascii="Arial Mäori" w:hAnsi="Arial Mäori" w:cs="Arial Mäori"/>
          <w:color w:val="000000"/>
          <w:sz w:val="20"/>
          <w:szCs w:val="20"/>
        </w:rPr>
        <w:t>The terms of reference for the project upon which this monograph is based</w:t>
      </w:r>
      <w:r>
        <w:rPr>
          <w:rFonts w:ascii="Arial Mäori" w:hAnsi="Arial Mäori" w:cs="Arial Mäori"/>
          <w:color w:val="000000"/>
          <w:sz w:val="20"/>
          <w:szCs w:val="20"/>
        </w:rPr>
        <w:t xml:space="preserve"> </w:t>
      </w:r>
      <w:r w:rsidRPr="008F4821">
        <w:rPr>
          <w:rFonts w:ascii="Arial Mäori" w:hAnsi="Arial Mäori" w:cs="Arial Mäori"/>
          <w:color w:val="000000"/>
          <w:sz w:val="20"/>
          <w:szCs w:val="20"/>
        </w:rPr>
        <w:t>outline two distinct but related pieces of work. Accordingly, the first part</w:t>
      </w:r>
      <w:r>
        <w:rPr>
          <w:rFonts w:ascii="Arial Mäori" w:hAnsi="Arial Mäori" w:cs="Arial Mäori"/>
          <w:color w:val="000000"/>
          <w:sz w:val="20"/>
          <w:szCs w:val="20"/>
        </w:rPr>
        <w:t xml:space="preserve"> </w:t>
      </w:r>
      <w:r w:rsidRPr="008F4821">
        <w:rPr>
          <w:rFonts w:ascii="Arial Mäori" w:hAnsi="Arial Mäori" w:cs="Arial Mäori"/>
          <w:color w:val="000000"/>
          <w:sz w:val="20"/>
          <w:szCs w:val="20"/>
        </w:rPr>
        <w:t>of this monograph aims to identify and assess the range of disability service</w:t>
      </w:r>
      <w:r>
        <w:rPr>
          <w:rFonts w:ascii="Arial Mäori" w:hAnsi="Arial Mäori" w:cs="Arial Mäori"/>
          <w:color w:val="000000"/>
          <w:sz w:val="20"/>
          <w:szCs w:val="20"/>
        </w:rPr>
        <w:t xml:space="preserve"> </w:t>
      </w:r>
      <w:r w:rsidRPr="008F4821">
        <w:rPr>
          <w:rFonts w:ascii="Arial Mäori" w:hAnsi="Arial Mäori" w:cs="Arial Mäori"/>
          <w:color w:val="000000"/>
          <w:sz w:val="20"/>
          <w:szCs w:val="20"/>
        </w:rPr>
        <w:t>delivery models available in order to overcome the barriers to accessing</w:t>
      </w:r>
      <w:r>
        <w:rPr>
          <w:rFonts w:ascii="Arial Mäori" w:hAnsi="Arial Mäori" w:cs="Arial Mäori"/>
          <w:color w:val="000000"/>
          <w:sz w:val="20"/>
          <w:szCs w:val="20"/>
        </w:rPr>
        <w:t xml:space="preserve"> </w:t>
      </w:r>
      <w:r w:rsidRPr="008F4821">
        <w:rPr>
          <w:rFonts w:ascii="Arial Mäori" w:hAnsi="Arial Mäori" w:cs="Arial Mäori"/>
          <w:color w:val="000000"/>
          <w:sz w:val="20"/>
          <w:szCs w:val="20"/>
        </w:rPr>
        <w:t>disability support services experienced by Indigenous Australians. The second</w:t>
      </w:r>
      <w:r>
        <w:rPr>
          <w:rFonts w:ascii="Arial Mäori" w:hAnsi="Arial Mäori" w:cs="Arial Mäori"/>
          <w:color w:val="000000"/>
          <w:sz w:val="20"/>
          <w:szCs w:val="20"/>
        </w:rPr>
        <w:t xml:space="preserve"> </w:t>
      </w:r>
      <w:r w:rsidRPr="008F4821">
        <w:rPr>
          <w:rFonts w:ascii="Arial Mäori" w:hAnsi="Arial Mäori" w:cs="Arial Mäori"/>
          <w:color w:val="000000"/>
          <w:sz w:val="20"/>
          <w:szCs w:val="20"/>
        </w:rPr>
        <w:t>part analyses existing quantitative data sets to ascertain the extent and nature</w:t>
      </w:r>
      <w:r>
        <w:rPr>
          <w:rFonts w:ascii="Arial Mäori" w:hAnsi="Arial Mäori" w:cs="Arial Mäori"/>
          <w:color w:val="000000"/>
          <w:sz w:val="20"/>
          <w:szCs w:val="20"/>
        </w:rPr>
        <w:t xml:space="preserve"> </w:t>
      </w:r>
      <w:r w:rsidRPr="008F4821">
        <w:rPr>
          <w:rFonts w:ascii="Arial Mäori" w:hAnsi="Arial Mäori" w:cs="Arial Mäori"/>
          <w:color w:val="000000"/>
          <w:sz w:val="20"/>
          <w:szCs w:val="20"/>
        </w:rPr>
        <w:t>of disability in the Indigenous population, and how this varies according to</w:t>
      </w:r>
      <w:r>
        <w:rPr>
          <w:rFonts w:ascii="Arial Mäori" w:hAnsi="Arial Mäori" w:cs="Arial Mäori"/>
          <w:color w:val="000000"/>
          <w:sz w:val="20"/>
          <w:szCs w:val="20"/>
        </w:rPr>
        <w:t xml:space="preserve"> </w:t>
      </w:r>
      <w:r w:rsidRPr="008F4821">
        <w:rPr>
          <w:rFonts w:ascii="Arial Mäori" w:hAnsi="Arial Mäori" w:cs="Arial Mäori"/>
          <w:color w:val="000000"/>
          <w:sz w:val="20"/>
          <w:szCs w:val="20"/>
        </w:rPr>
        <w:t>geographic remoteness and key population groups.</w:t>
      </w:r>
      <w:r>
        <w:rPr>
          <w:rFonts w:ascii="Arial Mäori" w:hAnsi="Arial Mäori" w:cs="Arial Mäori"/>
          <w:color w:val="000000"/>
          <w:sz w:val="20"/>
          <w:szCs w:val="20"/>
        </w:rPr>
        <w:t xml:space="preserve">” </w:t>
      </w:r>
      <w:r>
        <w:rPr>
          <w:rFonts w:ascii="Arial Mäori" w:hAnsi="Arial Mäori" w:cs="Arial Mäori"/>
          <w:i/>
          <w:color w:val="000000"/>
          <w:sz w:val="20"/>
          <w:szCs w:val="20"/>
        </w:rPr>
        <w:t>Source: Australian National University Press</w:t>
      </w:r>
    </w:p>
    <w:p w:rsidR="002F28CE" w:rsidRDefault="002F28CE" w:rsidP="00E74DA4">
      <w:pPr>
        <w:spacing w:after="0" w:line="240" w:lineRule="auto"/>
        <w:rPr>
          <w:rFonts w:ascii="Arial Mäori" w:hAnsi="Arial Mäori" w:cs="Arial Mäori"/>
          <w:i/>
          <w:color w:val="000000"/>
          <w:sz w:val="20"/>
          <w:szCs w:val="20"/>
        </w:rPr>
      </w:pPr>
    </w:p>
    <w:p w:rsidR="002F28CE" w:rsidRDefault="006837C7" w:rsidP="002F28CE">
      <w:pPr>
        <w:spacing w:after="0" w:line="240" w:lineRule="auto"/>
        <w:rPr>
          <w:rFonts w:ascii="Arial Mäori" w:hAnsi="Arial Mäori" w:cs="Arial Mäori"/>
          <w:b/>
          <w:color w:val="000000"/>
          <w:sz w:val="20"/>
          <w:szCs w:val="20"/>
        </w:rPr>
      </w:pPr>
      <w:hyperlink r:id="rId50" w:history="1">
        <w:r w:rsidR="002F28CE" w:rsidRPr="00D1422F">
          <w:rPr>
            <w:rStyle w:val="Hyperlink"/>
            <w:rFonts w:ascii="Arial Mäori" w:hAnsi="Arial Mäori" w:cs="Arial Mäori"/>
            <w:b/>
            <w:sz w:val="20"/>
            <w:szCs w:val="20"/>
          </w:rPr>
          <w:t>Loneliness, social isolation and sight loss</w:t>
        </w:r>
      </w:hyperlink>
    </w:p>
    <w:p w:rsidR="002F28CE" w:rsidRDefault="002F28CE" w:rsidP="002F28C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B977C5">
        <w:rPr>
          <w:rFonts w:ascii="Arial Mäori" w:hAnsi="Arial Mäori" w:cs="Arial Mäori"/>
          <w:color w:val="000000"/>
          <w:sz w:val="20"/>
          <w:szCs w:val="20"/>
        </w:rPr>
        <w:t>The aim of this literature review was to develop a better</w:t>
      </w:r>
      <w:r>
        <w:rPr>
          <w:rFonts w:ascii="Arial Mäori" w:hAnsi="Arial Mäori" w:cs="Arial Mäori"/>
          <w:color w:val="000000"/>
          <w:sz w:val="20"/>
          <w:szCs w:val="20"/>
        </w:rPr>
        <w:t xml:space="preserve"> </w:t>
      </w:r>
      <w:r w:rsidRPr="00B977C5">
        <w:rPr>
          <w:rFonts w:ascii="Arial Mäori" w:hAnsi="Arial Mäori" w:cs="Arial Mäori"/>
          <w:color w:val="000000"/>
          <w:sz w:val="20"/>
          <w:szCs w:val="20"/>
        </w:rPr>
        <w:t>understanding of links between loneliness, social isolation and</w:t>
      </w:r>
      <w:r>
        <w:rPr>
          <w:rFonts w:ascii="Arial Mäori" w:hAnsi="Arial Mäori" w:cs="Arial Mäori"/>
          <w:color w:val="000000"/>
          <w:sz w:val="20"/>
          <w:szCs w:val="20"/>
        </w:rPr>
        <w:t xml:space="preserve"> </w:t>
      </w:r>
      <w:r w:rsidRPr="00B977C5">
        <w:rPr>
          <w:rFonts w:ascii="Arial Mäori" w:hAnsi="Arial Mäori" w:cs="Arial Mäori"/>
          <w:color w:val="000000"/>
          <w:sz w:val="20"/>
          <w:szCs w:val="20"/>
        </w:rPr>
        <w:t>sight loss, with a view to indicating possible improvements to</w:t>
      </w:r>
      <w:r>
        <w:rPr>
          <w:rFonts w:ascii="Arial Mäori" w:hAnsi="Arial Mäori" w:cs="Arial Mäori"/>
          <w:color w:val="000000"/>
          <w:sz w:val="20"/>
          <w:szCs w:val="20"/>
        </w:rPr>
        <w:t xml:space="preserve"> </w:t>
      </w:r>
      <w:r w:rsidRPr="00B977C5">
        <w:rPr>
          <w:rFonts w:ascii="Arial Mäori" w:hAnsi="Arial Mäori" w:cs="Arial Mäori"/>
          <w:color w:val="000000"/>
          <w:sz w:val="20"/>
          <w:szCs w:val="20"/>
        </w:rPr>
        <w:t>policy and practice and areas for further research.</w:t>
      </w:r>
      <w:r>
        <w:rPr>
          <w:rFonts w:ascii="Arial Mäori" w:hAnsi="Arial Mäori" w:cs="Arial Mäori"/>
          <w:color w:val="000000"/>
          <w:sz w:val="20"/>
          <w:szCs w:val="20"/>
        </w:rPr>
        <w:t xml:space="preserve">” </w:t>
      </w:r>
      <w:r>
        <w:rPr>
          <w:rFonts w:ascii="Arial Mäori" w:hAnsi="Arial Mäori" w:cs="Arial Mäori"/>
          <w:i/>
          <w:color w:val="000000"/>
          <w:sz w:val="20"/>
          <w:szCs w:val="20"/>
        </w:rPr>
        <w:t>Source: Thomas Pocklington Trust</w:t>
      </w:r>
    </w:p>
    <w:p w:rsidR="007155D7" w:rsidRDefault="006837C7" w:rsidP="007155D7">
      <w:pPr>
        <w:spacing w:after="0" w:line="240" w:lineRule="auto"/>
        <w:rPr>
          <w:rFonts w:ascii="Arial Mäori" w:hAnsi="Arial Mäori" w:cs="Arial Mäori"/>
          <w:i/>
          <w:color w:val="000000"/>
          <w:sz w:val="20"/>
          <w:szCs w:val="20"/>
        </w:rPr>
      </w:pPr>
      <w:hyperlink w:anchor="_top" w:history="1">
        <w:r w:rsidR="007155D7" w:rsidRPr="007155D7">
          <w:rPr>
            <w:rStyle w:val="Hyperlink"/>
            <w:rFonts w:ascii="Arial Mäori" w:hAnsi="Arial Mäori" w:cs="Arial Mäori"/>
            <w:i/>
            <w:sz w:val="20"/>
            <w:szCs w:val="20"/>
          </w:rPr>
          <w:t>Back to top</w:t>
        </w:r>
      </w:hyperlink>
    </w:p>
    <w:p w:rsidR="008A07BC" w:rsidRDefault="008A07BC" w:rsidP="008A07BC">
      <w:pPr>
        <w:pStyle w:val="Heading3"/>
        <w:rPr>
          <w:color w:val="548DD4" w:themeColor="text2" w:themeTint="99"/>
        </w:rPr>
      </w:pPr>
      <w:bookmarkStart w:id="22" w:name="_Public_Health"/>
      <w:bookmarkEnd w:id="22"/>
      <w:r w:rsidRPr="008A07BC">
        <w:rPr>
          <w:color w:val="548DD4" w:themeColor="text2" w:themeTint="99"/>
        </w:rPr>
        <w:t>Public Health</w:t>
      </w:r>
    </w:p>
    <w:p w:rsidR="00077A5E" w:rsidRDefault="006837C7" w:rsidP="00077A5E">
      <w:pPr>
        <w:spacing w:after="0" w:line="240" w:lineRule="auto"/>
        <w:rPr>
          <w:rFonts w:ascii="Arial Mäori" w:hAnsi="Arial Mäori" w:cs="Arial Mäori"/>
          <w:b/>
          <w:color w:val="000000"/>
          <w:sz w:val="20"/>
          <w:szCs w:val="20"/>
        </w:rPr>
      </w:pPr>
      <w:hyperlink r:id="rId51" w:history="1">
        <w:r w:rsidR="00077A5E" w:rsidRPr="003475A4">
          <w:rPr>
            <w:rStyle w:val="Hyperlink"/>
            <w:rFonts w:ascii="Arial Mäori" w:hAnsi="Arial Mäori" w:cs="Arial Mäori"/>
            <w:b/>
            <w:sz w:val="20"/>
            <w:szCs w:val="20"/>
          </w:rPr>
          <w:t>From Evidence Into Action: opportunities to protect and improve the nation’s health</w:t>
        </w:r>
      </w:hyperlink>
    </w:p>
    <w:p w:rsidR="00077A5E" w:rsidRPr="00FB6288" w:rsidRDefault="00077A5E" w:rsidP="00077A5E">
      <w:pPr>
        <w:spacing w:after="0" w:line="240" w:lineRule="auto"/>
        <w:rPr>
          <w:rFonts w:ascii="Arial Mäori" w:hAnsi="Arial Mäori" w:cs="Arial Mäori"/>
          <w:i/>
          <w:color w:val="000000"/>
          <w:sz w:val="20"/>
          <w:szCs w:val="20"/>
        </w:rPr>
      </w:pPr>
      <w:r w:rsidRPr="00FB6288">
        <w:rPr>
          <w:rFonts w:ascii="Arial Mäori" w:hAnsi="Arial Mäori" w:cs="Arial Mäori"/>
          <w:color w:val="000000"/>
          <w:sz w:val="20"/>
          <w:szCs w:val="20"/>
        </w:rPr>
        <w:t xml:space="preserve">“In this document Public Health England publishes 7 priorities for the next 5 years, having looked closely at the evidence to determine where it can most effectively focus its efforts.” </w:t>
      </w:r>
      <w:r w:rsidRPr="00FB6288">
        <w:rPr>
          <w:rFonts w:ascii="Arial Mäori" w:hAnsi="Arial Mäori" w:cs="Arial Mäori"/>
          <w:i/>
          <w:color w:val="000000"/>
          <w:sz w:val="20"/>
          <w:szCs w:val="20"/>
        </w:rPr>
        <w:t>Source: Public Health England</w:t>
      </w:r>
    </w:p>
    <w:p w:rsidR="00077A5E" w:rsidRDefault="00077A5E" w:rsidP="0044319C">
      <w:pPr>
        <w:spacing w:after="0" w:line="240" w:lineRule="auto"/>
      </w:pPr>
    </w:p>
    <w:p w:rsidR="0044319C" w:rsidRDefault="006837C7" w:rsidP="0044319C">
      <w:pPr>
        <w:spacing w:after="0" w:line="240" w:lineRule="auto"/>
        <w:rPr>
          <w:rFonts w:ascii="Arial Mäori" w:hAnsi="Arial Mäori" w:cs="Arial Mäori"/>
          <w:b/>
          <w:color w:val="000000"/>
          <w:sz w:val="20"/>
          <w:szCs w:val="20"/>
        </w:rPr>
      </w:pPr>
      <w:hyperlink r:id="rId52" w:history="1">
        <w:r w:rsidR="0044319C" w:rsidRPr="002E23C8">
          <w:rPr>
            <w:rStyle w:val="Hyperlink"/>
            <w:rFonts w:ascii="Arial Mäori" w:hAnsi="Arial Mäori" w:cs="Arial Mäori"/>
            <w:b/>
            <w:sz w:val="20"/>
            <w:szCs w:val="20"/>
          </w:rPr>
          <w:t>Identifying and Reducing Environmental Health Risks of Chemicals in Our Society</w:t>
        </w:r>
      </w:hyperlink>
    </w:p>
    <w:p w:rsidR="0044319C" w:rsidRDefault="0044319C" w:rsidP="0044319C">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305E92">
        <w:rPr>
          <w:rFonts w:ascii="Arial Mäori" w:hAnsi="Arial Mäori" w:cs="Arial Mäori"/>
          <w:color w:val="000000"/>
          <w:sz w:val="20"/>
          <w:szCs w:val="20"/>
        </w:rPr>
        <w:t>On November 7-8, 2013, the Institute of Medicine's Roundtable on Environmental Health Sciences, Research, and Medicine held a workshop to discuss approaches related to identifying and reducing potential environmental public health risks to new and existing industrial chemicals present in society. Industrial chemicals include chemicals used in industrial processes or commercial products, not including those found in food, pesticides, or pharmaceuticals.</w:t>
      </w:r>
      <w:r>
        <w:rPr>
          <w:rFonts w:ascii="Arial Mäori" w:hAnsi="Arial Mäori" w:cs="Arial Mäori"/>
          <w:color w:val="000000"/>
          <w:sz w:val="20"/>
          <w:szCs w:val="20"/>
        </w:rPr>
        <w:t xml:space="preserve">” </w:t>
      </w:r>
      <w:r>
        <w:rPr>
          <w:rFonts w:ascii="Arial Mäori" w:hAnsi="Arial Mäori" w:cs="Arial Mäori"/>
          <w:i/>
          <w:color w:val="000000"/>
          <w:sz w:val="20"/>
          <w:szCs w:val="20"/>
        </w:rPr>
        <w:t>Source: Institute of Medicine</w:t>
      </w:r>
    </w:p>
    <w:p w:rsidR="0044319C" w:rsidRDefault="0044319C" w:rsidP="0044319C">
      <w:pPr>
        <w:spacing w:after="0" w:line="240" w:lineRule="auto"/>
        <w:rPr>
          <w:rFonts w:ascii="Arial Mäori" w:hAnsi="Arial Mäori" w:cs="Arial Mäori"/>
          <w:i/>
          <w:color w:val="000000"/>
          <w:sz w:val="20"/>
          <w:szCs w:val="20"/>
        </w:rPr>
      </w:pPr>
      <w:r>
        <w:rPr>
          <w:rFonts w:ascii="Arial Mäori" w:hAnsi="Arial Mäori" w:cs="Arial Mäori"/>
          <w:i/>
          <w:color w:val="000000"/>
          <w:sz w:val="20"/>
          <w:szCs w:val="20"/>
        </w:rPr>
        <w:t>*sign up for free account to download</w:t>
      </w:r>
    </w:p>
    <w:p w:rsidR="001730CB" w:rsidRDefault="001730CB" w:rsidP="0044319C">
      <w:pPr>
        <w:spacing w:after="0" w:line="240" w:lineRule="auto"/>
        <w:rPr>
          <w:rFonts w:ascii="Arial Mäori" w:hAnsi="Arial Mäori" w:cs="Arial Mäori"/>
          <w:i/>
          <w:color w:val="000000"/>
          <w:sz w:val="20"/>
          <w:szCs w:val="20"/>
        </w:rPr>
      </w:pPr>
    </w:p>
    <w:p w:rsidR="001730CB" w:rsidRDefault="006837C7" w:rsidP="001730CB">
      <w:pPr>
        <w:spacing w:after="0" w:line="240" w:lineRule="auto"/>
        <w:rPr>
          <w:rFonts w:ascii="Arial Mäori" w:hAnsi="Arial Mäori" w:cs="Arial Mäori"/>
          <w:b/>
          <w:color w:val="000000"/>
          <w:sz w:val="20"/>
          <w:szCs w:val="20"/>
        </w:rPr>
      </w:pPr>
      <w:hyperlink r:id="rId53" w:history="1">
        <w:r w:rsidR="001730CB" w:rsidRPr="002E23C8">
          <w:rPr>
            <w:rStyle w:val="Hyperlink"/>
            <w:rFonts w:ascii="Arial Mäori" w:hAnsi="Arial Mäori" w:cs="Arial Mäori"/>
            <w:b/>
            <w:sz w:val="20"/>
            <w:szCs w:val="20"/>
          </w:rPr>
          <w:t>New rules for the marketing of e-cigarettes</w:t>
        </w:r>
      </w:hyperlink>
    </w:p>
    <w:p w:rsidR="001730CB" w:rsidRDefault="001730CB" w:rsidP="001730CB">
      <w:pPr>
        <w:spacing w:after="0" w:line="240" w:lineRule="auto"/>
        <w:rPr>
          <w:rFonts w:ascii="Arial Mäori" w:hAnsi="Arial Mäori" w:cs="Arial Mäori"/>
          <w:i/>
          <w:color w:val="000000"/>
          <w:sz w:val="20"/>
          <w:szCs w:val="20"/>
        </w:rPr>
      </w:pPr>
      <w:r w:rsidRPr="00AA288D">
        <w:rPr>
          <w:rFonts w:ascii="Arial Mäori" w:hAnsi="Arial Mäori" w:cs="Arial Mäori"/>
          <w:color w:val="000000"/>
          <w:sz w:val="20"/>
          <w:szCs w:val="20"/>
        </w:rPr>
        <w:t xml:space="preserve">“The recent increase in the popularity and availability of e-cigarettes has seen a significant growth in advertising for them.  While e-cigarettes have always been allowed to be advertised and have been subject to general rules covering misleading claims, harm, offence and social responsibility, they have not, until now, been subject to product specific rules.”  </w:t>
      </w:r>
      <w:r>
        <w:rPr>
          <w:rFonts w:ascii="Arial Mäori" w:hAnsi="Arial Mäori" w:cs="Arial Mäori"/>
          <w:i/>
          <w:color w:val="000000"/>
          <w:sz w:val="20"/>
          <w:szCs w:val="20"/>
        </w:rPr>
        <w:t xml:space="preserve">Source: </w:t>
      </w:r>
      <w:r w:rsidRPr="00AA288D">
        <w:rPr>
          <w:rFonts w:ascii="Arial Mäori" w:hAnsi="Arial Mäori" w:cs="Arial Mäori"/>
          <w:i/>
          <w:color w:val="000000"/>
          <w:sz w:val="20"/>
          <w:szCs w:val="20"/>
        </w:rPr>
        <w:t>Committees of Advertising Practice</w:t>
      </w:r>
    </w:p>
    <w:p w:rsidR="00770907" w:rsidRDefault="00770907" w:rsidP="001730CB">
      <w:pPr>
        <w:spacing w:after="0" w:line="240" w:lineRule="auto"/>
        <w:rPr>
          <w:rFonts w:ascii="Arial Mäori" w:hAnsi="Arial Mäori" w:cs="Arial Mäori"/>
          <w:i/>
          <w:color w:val="000000"/>
          <w:sz w:val="20"/>
          <w:szCs w:val="20"/>
        </w:rPr>
      </w:pPr>
    </w:p>
    <w:p w:rsidR="00770907" w:rsidRPr="00BB3695" w:rsidRDefault="006837C7" w:rsidP="00770907">
      <w:pPr>
        <w:spacing w:after="0" w:line="240" w:lineRule="auto"/>
        <w:rPr>
          <w:rFonts w:ascii="Arial Mäori" w:hAnsi="Arial Mäori" w:cs="Arial Mäori"/>
          <w:b/>
          <w:color w:val="000000"/>
          <w:sz w:val="20"/>
          <w:szCs w:val="20"/>
        </w:rPr>
      </w:pPr>
      <w:hyperlink r:id="rId54" w:history="1">
        <w:r w:rsidR="00770907" w:rsidRPr="002E23C8">
          <w:rPr>
            <w:rStyle w:val="Hyperlink"/>
            <w:rFonts w:ascii="Arial Mäori" w:hAnsi="Arial Mäori" w:cs="Arial Mäori"/>
            <w:b/>
            <w:sz w:val="20"/>
            <w:szCs w:val="20"/>
          </w:rPr>
          <w:t>Infection prevention and control measures for Ebola virus disease: Entry and exit screening measures</w:t>
        </w:r>
      </w:hyperlink>
    </w:p>
    <w:p w:rsidR="00770907" w:rsidRDefault="00770907" w:rsidP="00770907">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BB3695">
        <w:rPr>
          <w:rFonts w:ascii="Arial Mäori" w:hAnsi="Arial Mäori" w:cs="Arial Mäori"/>
          <w:color w:val="000000"/>
          <w:sz w:val="20"/>
          <w:szCs w:val="20"/>
        </w:rPr>
        <w:t>This document reviews the existing evidence on entry and exit screening in order to support decision making by EU public health authorities.</w:t>
      </w:r>
      <w:r>
        <w:rPr>
          <w:rFonts w:ascii="Arial Mäori" w:hAnsi="Arial Mäori" w:cs="Arial Mäori"/>
          <w:color w:val="000000"/>
          <w:sz w:val="20"/>
          <w:szCs w:val="20"/>
        </w:rPr>
        <w:t xml:space="preserve">” </w:t>
      </w:r>
      <w:r>
        <w:rPr>
          <w:rFonts w:ascii="Arial Mäori" w:hAnsi="Arial Mäori" w:cs="Arial Mäori"/>
          <w:i/>
          <w:color w:val="000000"/>
          <w:sz w:val="20"/>
          <w:szCs w:val="20"/>
        </w:rPr>
        <w:t>Source: European Centre for Disease Prevention and Control</w:t>
      </w:r>
    </w:p>
    <w:p w:rsidR="00077A5E" w:rsidRDefault="00077A5E" w:rsidP="00770907">
      <w:pPr>
        <w:spacing w:after="0" w:line="240" w:lineRule="auto"/>
        <w:rPr>
          <w:rFonts w:ascii="Arial Mäori" w:hAnsi="Arial Mäori" w:cs="Arial Mäori"/>
          <w:i/>
          <w:color w:val="000000"/>
          <w:sz w:val="20"/>
          <w:szCs w:val="20"/>
        </w:rPr>
      </w:pPr>
    </w:p>
    <w:p w:rsidR="00077A5E" w:rsidRPr="00C55400" w:rsidRDefault="006837C7" w:rsidP="00077A5E">
      <w:pPr>
        <w:spacing w:after="0" w:line="240" w:lineRule="auto"/>
        <w:rPr>
          <w:rFonts w:ascii="Arial Mäori" w:hAnsi="Arial Mäori" w:cs="Arial Mäori"/>
          <w:b/>
          <w:color w:val="000000"/>
          <w:sz w:val="20"/>
          <w:szCs w:val="20"/>
        </w:rPr>
      </w:pPr>
      <w:hyperlink r:id="rId55" w:history="1">
        <w:r w:rsidR="00077A5E" w:rsidRPr="00D550F1">
          <w:rPr>
            <w:rStyle w:val="Hyperlink"/>
            <w:rFonts w:ascii="Arial Mäori" w:hAnsi="Arial Mäori" w:cs="Arial Mäori"/>
            <w:b/>
            <w:sz w:val="20"/>
            <w:szCs w:val="20"/>
          </w:rPr>
          <w:t>Cold weather plan for England 2014</w:t>
        </w:r>
      </w:hyperlink>
    </w:p>
    <w:p w:rsidR="00077A5E" w:rsidRDefault="00077A5E" w:rsidP="00077A5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C55400">
        <w:rPr>
          <w:rFonts w:ascii="Arial Mäori" w:hAnsi="Arial Mäori" w:cs="Arial Mäori"/>
          <w:color w:val="000000"/>
          <w:sz w:val="20"/>
          <w:szCs w:val="20"/>
        </w:rPr>
        <w:t>The cold weather plan gives advice on preparing for the effects of winter weather on people’s health.</w:t>
      </w:r>
      <w:r>
        <w:rPr>
          <w:rFonts w:ascii="Arial Mäori" w:hAnsi="Arial Mäori" w:cs="Arial Mäori"/>
          <w:color w:val="000000"/>
          <w:sz w:val="20"/>
          <w:szCs w:val="20"/>
        </w:rPr>
        <w:t xml:space="preserve">” </w:t>
      </w:r>
      <w:r>
        <w:rPr>
          <w:rFonts w:ascii="Arial Mäori" w:hAnsi="Arial Mäori" w:cs="Arial Mäori"/>
          <w:i/>
          <w:color w:val="000000"/>
          <w:sz w:val="20"/>
          <w:szCs w:val="20"/>
        </w:rPr>
        <w:t>Source: Public Health England</w:t>
      </w:r>
    </w:p>
    <w:p w:rsidR="007155D7" w:rsidRDefault="006837C7" w:rsidP="007155D7">
      <w:pPr>
        <w:spacing w:after="0" w:line="240" w:lineRule="auto"/>
        <w:rPr>
          <w:rFonts w:ascii="Arial Mäori" w:hAnsi="Arial Mäori" w:cs="Arial Mäori"/>
          <w:i/>
          <w:color w:val="000000"/>
          <w:sz w:val="20"/>
          <w:szCs w:val="20"/>
        </w:rPr>
      </w:pPr>
      <w:hyperlink w:anchor="_top" w:history="1">
        <w:r w:rsidR="007155D7" w:rsidRPr="007155D7">
          <w:rPr>
            <w:rStyle w:val="Hyperlink"/>
            <w:rFonts w:ascii="Arial Mäori" w:hAnsi="Arial Mäori" w:cs="Arial Mäori"/>
            <w:i/>
            <w:sz w:val="20"/>
            <w:szCs w:val="20"/>
          </w:rPr>
          <w:t>Back to top</w:t>
        </w:r>
      </w:hyperlink>
    </w:p>
    <w:p w:rsidR="008A07BC" w:rsidRDefault="008A07BC" w:rsidP="008A07BC">
      <w:pPr>
        <w:pStyle w:val="Heading3"/>
        <w:rPr>
          <w:color w:val="548DD4" w:themeColor="text2" w:themeTint="99"/>
        </w:rPr>
      </w:pPr>
      <w:bookmarkStart w:id="23" w:name="_Mental_Health"/>
      <w:bookmarkEnd w:id="23"/>
      <w:r w:rsidRPr="008A07BC">
        <w:rPr>
          <w:color w:val="548DD4" w:themeColor="text2" w:themeTint="99"/>
        </w:rPr>
        <w:t>Mental Health</w:t>
      </w:r>
    </w:p>
    <w:p w:rsidR="0044319C" w:rsidRPr="00773151" w:rsidRDefault="00773151" w:rsidP="0044319C">
      <w:pPr>
        <w:spacing w:after="0" w:line="240" w:lineRule="auto"/>
        <w:rPr>
          <w:rStyle w:val="Hyperlink"/>
          <w:b/>
          <w:sz w:val="20"/>
          <w:szCs w:val="20"/>
        </w:rPr>
      </w:pPr>
      <w:r>
        <w:rPr>
          <w:b/>
          <w:sz w:val="20"/>
          <w:szCs w:val="20"/>
        </w:rPr>
        <w:fldChar w:fldCharType="begin"/>
      </w:r>
      <w:r>
        <w:rPr>
          <w:b/>
          <w:sz w:val="20"/>
          <w:szCs w:val="20"/>
        </w:rPr>
        <w:instrText xml:space="preserve"> HYPERLINK "https://www.gov.uk/government/uploads/system/uploads/attachment_data/file/361648/mental-health-access.pdf" </w:instrText>
      </w:r>
      <w:r>
        <w:rPr>
          <w:b/>
          <w:sz w:val="20"/>
          <w:szCs w:val="20"/>
        </w:rPr>
        <w:fldChar w:fldCharType="separate"/>
      </w:r>
      <w:r w:rsidR="0044319C" w:rsidRPr="00773151">
        <w:rPr>
          <w:rStyle w:val="Hyperlink"/>
          <w:b/>
          <w:sz w:val="20"/>
          <w:szCs w:val="20"/>
        </w:rPr>
        <w:t>Mental health services: achieving better access by 2020</w:t>
      </w:r>
    </w:p>
    <w:p w:rsidR="0044319C" w:rsidRDefault="00773151" w:rsidP="0044319C">
      <w:pPr>
        <w:spacing w:after="0" w:line="240" w:lineRule="auto"/>
        <w:rPr>
          <w:i/>
          <w:sz w:val="20"/>
          <w:szCs w:val="20"/>
        </w:rPr>
      </w:pPr>
      <w:r>
        <w:rPr>
          <w:b/>
          <w:sz w:val="20"/>
          <w:szCs w:val="20"/>
        </w:rPr>
        <w:fldChar w:fldCharType="end"/>
      </w:r>
      <w:r w:rsidR="0044319C">
        <w:rPr>
          <w:sz w:val="20"/>
          <w:szCs w:val="20"/>
        </w:rPr>
        <w:t>“</w:t>
      </w:r>
      <w:r w:rsidR="0044319C" w:rsidRPr="00205B80">
        <w:rPr>
          <w:sz w:val="20"/>
          <w:szCs w:val="20"/>
        </w:rPr>
        <w:t>Sets out national waiting time standards from April 2015 and plans to provide better access to mental health services over the next 5 years.</w:t>
      </w:r>
      <w:r w:rsidR="0044319C">
        <w:rPr>
          <w:sz w:val="20"/>
          <w:szCs w:val="20"/>
        </w:rPr>
        <w:t xml:space="preserve">” </w:t>
      </w:r>
      <w:r w:rsidR="0044319C">
        <w:rPr>
          <w:i/>
          <w:sz w:val="20"/>
          <w:szCs w:val="20"/>
        </w:rPr>
        <w:t>Source: UK Department of Health</w:t>
      </w:r>
    </w:p>
    <w:p w:rsidR="001730CB" w:rsidRDefault="001730CB" w:rsidP="0044319C">
      <w:pPr>
        <w:spacing w:after="0" w:line="240" w:lineRule="auto"/>
        <w:rPr>
          <w:i/>
          <w:sz w:val="20"/>
          <w:szCs w:val="20"/>
        </w:rPr>
      </w:pPr>
    </w:p>
    <w:p w:rsidR="001730CB" w:rsidRPr="00AA288D" w:rsidRDefault="006837C7" w:rsidP="001730CB">
      <w:pPr>
        <w:spacing w:after="0" w:line="240" w:lineRule="auto"/>
        <w:rPr>
          <w:rFonts w:ascii="Arial Mäori" w:hAnsi="Arial Mäori" w:cs="Arial Mäori"/>
          <w:b/>
          <w:color w:val="000000"/>
          <w:sz w:val="20"/>
          <w:szCs w:val="20"/>
        </w:rPr>
      </w:pPr>
      <w:hyperlink r:id="rId56" w:history="1">
        <w:r w:rsidR="001730CB" w:rsidRPr="002E23C8">
          <w:rPr>
            <w:rStyle w:val="Hyperlink"/>
            <w:rFonts w:ascii="Arial Mäori" w:hAnsi="Arial Mäori" w:cs="Arial Mäori"/>
            <w:b/>
            <w:sz w:val="20"/>
            <w:szCs w:val="20"/>
          </w:rPr>
          <w:t>SAMHSA's Concept of Trauma and Guidance for a Trauma-Informed Approach</w:t>
        </w:r>
      </w:hyperlink>
    </w:p>
    <w:p w:rsidR="001730CB" w:rsidRDefault="001730CB" w:rsidP="001730CB">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AA288D">
        <w:rPr>
          <w:rFonts w:ascii="Arial Mäori" w:hAnsi="Arial Mäori" w:cs="Arial Mäori"/>
          <w:color w:val="000000"/>
          <w:sz w:val="20"/>
          <w:szCs w:val="20"/>
        </w:rPr>
        <w:t>Introduces a concept of trauma and offers a framework for how an organization, system, service sector can become trauma-informed. Includes a definition of trauma (the three "E's"), a definition of a trauma-informed approach (the four "R's"), 6 key principles, and 10 implementation domains.</w:t>
      </w:r>
      <w:r>
        <w:rPr>
          <w:rFonts w:ascii="Arial Mäori" w:hAnsi="Arial Mäori" w:cs="Arial Mäori"/>
          <w:color w:val="000000"/>
          <w:sz w:val="20"/>
          <w:szCs w:val="20"/>
        </w:rPr>
        <w:t xml:space="preserve">” </w:t>
      </w:r>
      <w:r>
        <w:rPr>
          <w:rFonts w:ascii="Arial Mäori" w:hAnsi="Arial Mäori" w:cs="Arial Mäori"/>
          <w:i/>
          <w:color w:val="000000"/>
          <w:sz w:val="20"/>
          <w:szCs w:val="20"/>
        </w:rPr>
        <w:t xml:space="preserve">Source: Substance Abuse and Mental Health Services Administration </w:t>
      </w:r>
    </w:p>
    <w:p w:rsidR="00CB39B1" w:rsidRDefault="00CB39B1" w:rsidP="001730CB">
      <w:pPr>
        <w:spacing w:after="0" w:line="240" w:lineRule="auto"/>
        <w:rPr>
          <w:rFonts w:ascii="Arial Mäori" w:hAnsi="Arial Mäori" w:cs="Arial Mäori"/>
          <w:i/>
          <w:color w:val="000000"/>
          <w:sz w:val="20"/>
          <w:szCs w:val="20"/>
        </w:rPr>
      </w:pPr>
    </w:p>
    <w:p w:rsidR="00CB39B1" w:rsidRDefault="006837C7" w:rsidP="00CB39B1">
      <w:pPr>
        <w:spacing w:after="0" w:line="240" w:lineRule="auto"/>
        <w:rPr>
          <w:rFonts w:ascii="Arial Mäori" w:hAnsi="Arial Mäori" w:cs="Arial Mäori"/>
          <w:b/>
          <w:color w:val="000000"/>
          <w:sz w:val="20"/>
          <w:szCs w:val="20"/>
        </w:rPr>
      </w:pPr>
      <w:hyperlink r:id="rId57" w:history="1">
        <w:r w:rsidR="00CB39B1" w:rsidRPr="002E23C8">
          <w:rPr>
            <w:rStyle w:val="Hyperlink"/>
            <w:rFonts w:ascii="Arial Mäori" w:hAnsi="Arial Mäori" w:cs="Arial Mäori"/>
            <w:b/>
            <w:sz w:val="20"/>
            <w:szCs w:val="20"/>
          </w:rPr>
          <w:t>Mental health strategies for the justice system</w:t>
        </w:r>
      </w:hyperlink>
    </w:p>
    <w:p w:rsidR="00CB39B1" w:rsidRDefault="00CB39B1" w:rsidP="00CB39B1">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F47322">
        <w:rPr>
          <w:rFonts w:ascii="Arial Mäori" w:hAnsi="Arial Mäori" w:cs="Arial Mäori"/>
          <w:color w:val="000000"/>
          <w:sz w:val="20"/>
          <w:szCs w:val="20"/>
        </w:rPr>
        <w:t>This audit finds that there is currently no overarching strategy or leadership in Victoria for mental health and the justice system that focuses on improving outcomes for people with a mental illness.</w:t>
      </w:r>
      <w:r>
        <w:rPr>
          <w:rFonts w:ascii="Arial Mäori" w:hAnsi="Arial Mäori" w:cs="Arial Mäori"/>
          <w:color w:val="000000"/>
          <w:sz w:val="20"/>
          <w:szCs w:val="20"/>
        </w:rPr>
        <w:t xml:space="preserve">” </w:t>
      </w:r>
      <w:r>
        <w:rPr>
          <w:rFonts w:ascii="Arial Mäori" w:hAnsi="Arial Mäori" w:cs="Arial Mäori"/>
          <w:i/>
          <w:color w:val="000000"/>
          <w:sz w:val="20"/>
          <w:szCs w:val="20"/>
        </w:rPr>
        <w:t xml:space="preserve">Source: </w:t>
      </w:r>
      <w:r w:rsidRPr="00F47322">
        <w:rPr>
          <w:rFonts w:ascii="Arial Mäori" w:hAnsi="Arial Mäori" w:cs="Arial Mäori"/>
          <w:i/>
          <w:color w:val="000000"/>
          <w:sz w:val="20"/>
          <w:szCs w:val="20"/>
        </w:rPr>
        <w:t>Victorian Auditor-General's Office</w:t>
      </w:r>
    </w:p>
    <w:p w:rsidR="00E74DA4" w:rsidRDefault="00E74DA4" w:rsidP="00CB39B1">
      <w:pPr>
        <w:spacing w:after="0" w:line="240" w:lineRule="auto"/>
        <w:rPr>
          <w:rFonts w:ascii="Arial Mäori" w:hAnsi="Arial Mäori" w:cs="Arial Mäori"/>
          <w:i/>
          <w:color w:val="000000"/>
          <w:sz w:val="20"/>
          <w:szCs w:val="20"/>
        </w:rPr>
      </w:pPr>
    </w:p>
    <w:p w:rsidR="00E74DA4" w:rsidRDefault="006837C7" w:rsidP="00E74DA4">
      <w:pPr>
        <w:spacing w:after="0" w:line="240" w:lineRule="auto"/>
        <w:rPr>
          <w:rFonts w:ascii="Arial Mäori" w:hAnsi="Arial Mäori" w:cs="Arial Mäori"/>
          <w:b/>
          <w:color w:val="000000"/>
          <w:sz w:val="20"/>
          <w:szCs w:val="20"/>
        </w:rPr>
      </w:pPr>
      <w:hyperlink r:id="rId58" w:history="1">
        <w:r w:rsidR="00E74DA4" w:rsidRPr="00D1422F">
          <w:rPr>
            <w:rStyle w:val="Hyperlink"/>
            <w:rFonts w:ascii="Arial Mäori" w:hAnsi="Arial Mäori" w:cs="Arial Mäori"/>
            <w:b/>
            <w:sz w:val="20"/>
            <w:szCs w:val="20"/>
          </w:rPr>
          <w:t>Support in tough times: encouraging young people to seek help for their friends</w:t>
        </w:r>
      </w:hyperlink>
    </w:p>
    <w:p w:rsidR="00E74DA4" w:rsidRDefault="00E74DA4" w:rsidP="00E74DA4">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A62FDF">
        <w:rPr>
          <w:rFonts w:ascii="Arial Mäori" w:hAnsi="Arial Mäori" w:cs="Arial Mäori"/>
          <w:color w:val="000000"/>
          <w:sz w:val="20"/>
          <w:szCs w:val="20"/>
        </w:rPr>
        <w:t>This research looked at the barriers and supports to young people seeking adult help for a friend experiencing mental health problems. It focused specifically on the influence that schools might have on young people’s propensity to seek adult help for a friend.</w:t>
      </w:r>
      <w:r>
        <w:rPr>
          <w:rFonts w:ascii="Arial Mäori" w:hAnsi="Arial Mäori" w:cs="Arial Mäori"/>
          <w:color w:val="000000"/>
          <w:sz w:val="20"/>
          <w:szCs w:val="20"/>
        </w:rPr>
        <w:t xml:space="preserve"> </w:t>
      </w:r>
      <w:r w:rsidRPr="00A62FDF">
        <w:rPr>
          <w:rFonts w:ascii="Arial Mäori" w:hAnsi="Arial Mäori" w:cs="Arial Mäori"/>
          <w:color w:val="000000"/>
          <w:sz w:val="20"/>
          <w:szCs w:val="20"/>
        </w:rPr>
        <w:t>The focus on schools makes sense because almost all young people in NSW attend school and are influenced by their school environment and by school practices. Schools also provide a near-universal platform on which to build improvements in the health and wellbeing of young people. For young people without supportive families, schools can sometimes be the first or only place where they can seek and receive the help they need.</w:t>
      </w:r>
      <w:r>
        <w:rPr>
          <w:rFonts w:ascii="Arial Mäori" w:hAnsi="Arial Mäori" w:cs="Arial Mäori"/>
          <w:color w:val="000000"/>
          <w:sz w:val="20"/>
          <w:szCs w:val="20"/>
        </w:rPr>
        <w:t xml:space="preserve">” </w:t>
      </w:r>
      <w:r>
        <w:rPr>
          <w:rFonts w:ascii="Arial Mäori" w:hAnsi="Arial Mäori" w:cs="Arial Mäori"/>
          <w:i/>
          <w:color w:val="000000"/>
          <w:sz w:val="20"/>
          <w:szCs w:val="20"/>
        </w:rPr>
        <w:t xml:space="preserve">Source: </w:t>
      </w:r>
      <w:r w:rsidRPr="00A62FDF">
        <w:rPr>
          <w:rFonts w:ascii="Arial Mäori" w:hAnsi="Arial Mäori" w:cs="Arial Mäori"/>
          <w:i/>
          <w:color w:val="000000"/>
          <w:sz w:val="20"/>
          <w:szCs w:val="20"/>
        </w:rPr>
        <w:t>NSW Commission for Children and Young People</w:t>
      </w:r>
    </w:p>
    <w:p w:rsidR="007155D7" w:rsidRDefault="006837C7" w:rsidP="007155D7">
      <w:pPr>
        <w:spacing w:after="0" w:line="240" w:lineRule="auto"/>
        <w:rPr>
          <w:rFonts w:ascii="Arial Mäori" w:hAnsi="Arial Mäori" w:cs="Arial Mäori"/>
          <w:i/>
          <w:color w:val="000000"/>
          <w:sz w:val="20"/>
          <w:szCs w:val="20"/>
        </w:rPr>
      </w:pPr>
      <w:hyperlink w:anchor="_top" w:history="1">
        <w:r w:rsidR="007155D7" w:rsidRPr="007155D7">
          <w:rPr>
            <w:rStyle w:val="Hyperlink"/>
            <w:rFonts w:ascii="Arial Mäori" w:hAnsi="Arial Mäori" w:cs="Arial Mäori"/>
            <w:i/>
            <w:sz w:val="20"/>
            <w:szCs w:val="20"/>
          </w:rPr>
          <w:t>Back to top</w:t>
        </w:r>
      </w:hyperlink>
    </w:p>
    <w:p w:rsidR="008A07BC" w:rsidRDefault="008A07BC" w:rsidP="008A07BC">
      <w:pPr>
        <w:pStyle w:val="Heading3"/>
        <w:rPr>
          <w:color w:val="548DD4" w:themeColor="text2" w:themeTint="99"/>
        </w:rPr>
      </w:pPr>
      <w:bookmarkStart w:id="24" w:name="_Cancer_&amp;_Palliative"/>
      <w:bookmarkEnd w:id="24"/>
      <w:r w:rsidRPr="008A07BC">
        <w:rPr>
          <w:color w:val="548DD4" w:themeColor="text2" w:themeTint="99"/>
        </w:rPr>
        <w:t>Cancer &amp; Palliative Care</w:t>
      </w:r>
    </w:p>
    <w:p w:rsidR="0044319C" w:rsidRDefault="006837C7" w:rsidP="0044319C">
      <w:pPr>
        <w:spacing w:after="0" w:line="240" w:lineRule="auto"/>
        <w:rPr>
          <w:b/>
          <w:sz w:val="20"/>
          <w:szCs w:val="20"/>
        </w:rPr>
      </w:pPr>
      <w:hyperlink r:id="rId59" w:history="1">
        <w:r w:rsidR="0044319C" w:rsidRPr="002E23C8">
          <w:rPr>
            <w:rStyle w:val="Hyperlink"/>
            <w:b/>
            <w:sz w:val="20"/>
            <w:szCs w:val="20"/>
          </w:rPr>
          <w:t>Key performance indicators for the National Bowel Cancer Screening Program: technical report</w:t>
        </w:r>
      </w:hyperlink>
    </w:p>
    <w:p w:rsidR="0044319C" w:rsidRDefault="0044319C" w:rsidP="0044319C">
      <w:pPr>
        <w:spacing w:after="0" w:line="240" w:lineRule="auto"/>
        <w:rPr>
          <w:i/>
          <w:sz w:val="20"/>
          <w:szCs w:val="20"/>
        </w:rPr>
      </w:pPr>
      <w:r>
        <w:rPr>
          <w:sz w:val="20"/>
          <w:szCs w:val="20"/>
        </w:rPr>
        <w:t>“</w:t>
      </w:r>
      <w:r w:rsidRPr="00205B80">
        <w:rPr>
          <w:sz w:val="20"/>
          <w:szCs w:val="20"/>
        </w:rPr>
        <w:t>This report provides provide a summary of the development process and the technical specification for the 11 agreed performance indicators that are part of the National Bowel Cancer Screening Program Performance Indicator Set. This report is a reference tool for anyone who wishes to understand, measure and report the progress of bowel cancer screening in Australia.</w:t>
      </w:r>
      <w:r>
        <w:rPr>
          <w:sz w:val="20"/>
          <w:szCs w:val="20"/>
        </w:rPr>
        <w:t xml:space="preserve">” </w:t>
      </w:r>
      <w:r>
        <w:rPr>
          <w:i/>
          <w:sz w:val="20"/>
          <w:szCs w:val="20"/>
        </w:rPr>
        <w:t>Source: Australian Institute of Health and Welfare</w:t>
      </w:r>
    </w:p>
    <w:p w:rsidR="002F28CE" w:rsidRDefault="002F28CE" w:rsidP="0044319C">
      <w:pPr>
        <w:spacing w:after="0" w:line="240" w:lineRule="auto"/>
        <w:rPr>
          <w:i/>
          <w:sz w:val="20"/>
          <w:szCs w:val="20"/>
        </w:rPr>
      </w:pPr>
    </w:p>
    <w:p w:rsidR="002F28CE" w:rsidRDefault="006837C7" w:rsidP="002F28CE">
      <w:pPr>
        <w:spacing w:after="0" w:line="240" w:lineRule="auto"/>
        <w:rPr>
          <w:rFonts w:ascii="Arial Mäori" w:hAnsi="Arial Mäori" w:cs="Arial Mäori"/>
          <w:b/>
          <w:color w:val="000000"/>
          <w:sz w:val="20"/>
          <w:szCs w:val="20"/>
        </w:rPr>
      </w:pPr>
      <w:hyperlink r:id="rId60" w:history="1">
        <w:r w:rsidR="002F28CE" w:rsidRPr="00D1422F">
          <w:rPr>
            <w:rStyle w:val="Hyperlink"/>
            <w:rFonts w:ascii="Arial Mäori" w:hAnsi="Arial Mäori" w:cs="Arial Mäori"/>
            <w:b/>
            <w:sz w:val="20"/>
            <w:szCs w:val="20"/>
          </w:rPr>
          <w:t>Cancer: Shifting Gears</w:t>
        </w:r>
      </w:hyperlink>
    </w:p>
    <w:p w:rsidR="002F28CE" w:rsidRDefault="002F28CE" w:rsidP="002F28CE">
      <w:pPr>
        <w:spacing w:after="0" w:line="240" w:lineRule="auto"/>
        <w:rPr>
          <w:rFonts w:ascii="Arial Mäori" w:hAnsi="Arial Mäori" w:cs="Arial Mäori"/>
          <w:color w:val="000000"/>
          <w:sz w:val="20"/>
          <w:szCs w:val="20"/>
        </w:rPr>
      </w:pPr>
      <w:r>
        <w:rPr>
          <w:rFonts w:ascii="Arial Mäori" w:hAnsi="Arial Mäori" w:cs="Arial Mäori"/>
          <w:color w:val="000000"/>
          <w:sz w:val="20"/>
          <w:szCs w:val="20"/>
        </w:rPr>
        <w:t>“</w:t>
      </w:r>
      <w:r w:rsidRPr="00A14658">
        <w:rPr>
          <w:rFonts w:ascii="Arial Mäori" w:hAnsi="Arial Mäori" w:cs="Arial Mäori"/>
          <w:color w:val="000000"/>
          <w:sz w:val="20"/>
          <w:szCs w:val="20"/>
        </w:rPr>
        <w:t>The 60 members of the Cancer Campaigning Group have an ambition for the Government,</w:t>
      </w:r>
      <w:r>
        <w:rPr>
          <w:rFonts w:ascii="Arial Mäori" w:hAnsi="Arial Mäori" w:cs="Arial Mäori"/>
          <w:color w:val="000000"/>
          <w:sz w:val="20"/>
          <w:szCs w:val="20"/>
        </w:rPr>
        <w:t xml:space="preserve"> </w:t>
      </w:r>
      <w:r w:rsidRPr="00A14658">
        <w:rPr>
          <w:rFonts w:ascii="Arial Mäori" w:hAnsi="Arial Mäori" w:cs="Arial Mäori"/>
          <w:color w:val="000000"/>
          <w:sz w:val="20"/>
          <w:szCs w:val="20"/>
        </w:rPr>
        <w:t>the charity and voluntary sector, industry, the NHS, public health and social care systems,</w:t>
      </w:r>
      <w:r>
        <w:rPr>
          <w:rFonts w:ascii="Arial Mäori" w:hAnsi="Arial Mäori" w:cs="Arial Mäori"/>
          <w:color w:val="000000"/>
          <w:sz w:val="20"/>
          <w:szCs w:val="20"/>
        </w:rPr>
        <w:t xml:space="preserve"> </w:t>
      </w:r>
      <w:r w:rsidRPr="00A14658">
        <w:rPr>
          <w:rFonts w:ascii="Arial Mäori" w:hAnsi="Arial Mäori" w:cs="Arial Mäori"/>
          <w:color w:val="000000"/>
          <w:sz w:val="20"/>
          <w:szCs w:val="20"/>
        </w:rPr>
        <w:t>and the research and academic community to deliver truly world-class cancer outcomes.</w:t>
      </w:r>
      <w:r>
        <w:rPr>
          <w:rFonts w:ascii="Arial Mäori" w:hAnsi="Arial Mäori" w:cs="Arial Mäori"/>
          <w:color w:val="000000"/>
          <w:sz w:val="20"/>
          <w:szCs w:val="20"/>
        </w:rPr>
        <w:t xml:space="preserve">” </w:t>
      </w:r>
      <w:r>
        <w:rPr>
          <w:rFonts w:ascii="Arial Mäori" w:hAnsi="Arial Mäori" w:cs="Arial Mäori"/>
          <w:i/>
          <w:color w:val="000000"/>
          <w:sz w:val="20"/>
          <w:szCs w:val="20"/>
        </w:rPr>
        <w:t>Source: Cancer Campaigning Group</w:t>
      </w:r>
    </w:p>
    <w:p w:rsidR="00DF53E3" w:rsidRDefault="00DF53E3" w:rsidP="0044319C">
      <w:pPr>
        <w:spacing w:after="0" w:line="240" w:lineRule="auto"/>
        <w:rPr>
          <w:i/>
          <w:sz w:val="20"/>
          <w:szCs w:val="20"/>
        </w:rPr>
      </w:pPr>
    </w:p>
    <w:p w:rsidR="00DF53E3" w:rsidRDefault="006837C7" w:rsidP="00DF53E3">
      <w:pPr>
        <w:spacing w:after="0" w:line="240" w:lineRule="auto"/>
        <w:rPr>
          <w:rFonts w:ascii="Arial Mäori" w:hAnsi="Arial Mäori" w:cs="Arial Mäori"/>
          <w:b/>
          <w:color w:val="000000"/>
          <w:sz w:val="20"/>
          <w:szCs w:val="20"/>
        </w:rPr>
      </w:pPr>
      <w:hyperlink r:id="rId61" w:history="1">
        <w:r w:rsidR="00DF53E3" w:rsidRPr="00D1422F">
          <w:rPr>
            <w:rStyle w:val="Hyperlink"/>
            <w:rFonts w:ascii="Arial Mäori" w:hAnsi="Arial Mäori" w:cs="Arial Mäori"/>
            <w:b/>
            <w:sz w:val="20"/>
            <w:szCs w:val="20"/>
          </w:rPr>
          <w:t>Transforming Care at the End of Life: Dying Well Matters</w:t>
        </w:r>
      </w:hyperlink>
    </w:p>
    <w:p w:rsidR="00DF53E3" w:rsidRDefault="00DF53E3" w:rsidP="00DF53E3">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BD3A2A">
        <w:rPr>
          <w:rFonts w:ascii="Arial Mäori" w:hAnsi="Arial Mäori" w:cs="Arial Mäori"/>
          <w:color w:val="000000"/>
          <w:sz w:val="20"/>
          <w:szCs w:val="20"/>
        </w:rPr>
        <w:t>This report finds that at least £4.5 billion is spent each year in England caring for those at the end of their lives. Analysis of national reviews and audits over the past 18 months highlights shortcomings and concerns about the large degree of variation in services across the country.</w:t>
      </w:r>
      <w:r>
        <w:rPr>
          <w:rFonts w:ascii="Arial Mäori" w:hAnsi="Arial Mäori" w:cs="Arial Mäori"/>
          <w:color w:val="000000"/>
          <w:sz w:val="20"/>
          <w:szCs w:val="20"/>
        </w:rPr>
        <w:t xml:space="preserve">” </w:t>
      </w:r>
      <w:r>
        <w:rPr>
          <w:rFonts w:ascii="Arial Mäori" w:hAnsi="Arial Mäori" w:cs="Arial Mäori"/>
          <w:i/>
          <w:color w:val="000000"/>
          <w:sz w:val="20"/>
          <w:szCs w:val="20"/>
        </w:rPr>
        <w:t>Source: Deloitte</w:t>
      </w:r>
    </w:p>
    <w:p w:rsidR="002F28CE" w:rsidRDefault="002F28CE" w:rsidP="00DF53E3">
      <w:pPr>
        <w:spacing w:after="0" w:line="240" w:lineRule="auto"/>
        <w:rPr>
          <w:rFonts w:ascii="Arial Mäori" w:hAnsi="Arial Mäori" w:cs="Arial Mäori"/>
          <w:i/>
          <w:color w:val="000000"/>
          <w:sz w:val="20"/>
          <w:szCs w:val="20"/>
        </w:rPr>
      </w:pPr>
    </w:p>
    <w:p w:rsidR="002F28CE" w:rsidRDefault="006837C7" w:rsidP="002F28CE">
      <w:pPr>
        <w:spacing w:after="0" w:line="240" w:lineRule="auto"/>
        <w:rPr>
          <w:rFonts w:ascii="Arial Mäori" w:hAnsi="Arial Mäori" w:cs="Arial Mäori"/>
          <w:b/>
          <w:color w:val="000000"/>
          <w:sz w:val="20"/>
          <w:szCs w:val="20"/>
        </w:rPr>
      </w:pPr>
      <w:hyperlink r:id="rId62" w:history="1">
        <w:r w:rsidR="002F28CE" w:rsidRPr="00D1422F">
          <w:rPr>
            <w:rStyle w:val="Hyperlink"/>
            <w:rFonts w:ascii="Arial Mäori" w:hAnsi="Arial Mäori" w:cs="Arial Mäori"/>
            <w:b/>
            <w:sz w:val="20"/>
            <w:szCs w:val="20"/>
          </w:rPr>
          <w:t>Developing a new approach to palliative care funding: A first draft for discussion</w:t>
        </w:r>
      </w:hyperlink>
    </w:p>
    <w:p w:rsidR="002F28CE" w:rsidRDefault="002F28CE" w:rsidP="002F28C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A14658">
        <w:rPr>
          <w:rFonts w:ascii="Arial Mäori" w:hAnsi="Arial Mäori" w:cs="Arial Mäori"/>
          <w:color w:val="000000"/>
          <w:sz w:val="20"/>
          <w:szCs w:val="20"/>
        </w:rPr>
        <w:t>This document sets out the draft palliative care development currency and provides</w:t>
      </w:r>
      <w:r>
        <w:rPr>
          <w:rFonts w:ascii="Arial Mäori" w:hAnsi="Arial Mäori" w:cs="Arial Mäori"/>
          <w:color w:val="000000"/>
          <w:sz w:val="20"/>
          <w:szCs w:val="20"/>
        </w:rPr>
        <w:t xml:space="preserve"> </w:t>
      </w:r>
      <w:r w:rsidRPr="00A14658">
        <w:rPr>
          <w:rFonts w:ascii="Arial Mäori" w:hAnsi="Arial Mäori" w:cs="Arial Mäori"/>
          <w:color w:val="000000"/>
          <w:sz w:val="20"/>
          <w:szCs w:val="20"/>
        </w:rPr>
        <w:t>supporting guidance. It has been published to support NHS England’s engagement</w:t>
      </w:r>
      <w:r>
        <w:rPr>
          <w:rFonts w:ascii="Arial Mäori" w:hAnsi="Arial Mäori" w:cs="Arial Mäori"/>
          <w:color w:val="000000"/>
          <w:sz w:val="20"/>
          <w:szCs w:val="20"/>
        </w:rPr>
        <w:t xml:space="preserve"> </w:t>
      </w:r>
      <w:r w:rsidRPr="00A14658">
        <w:rPr>
          <w:rFonts w:ascii="Arial Mäori" w:hAnsi="Arial Mäori" w:cs="Arial Mäori"/>
          <w:color w:val="000000"/>
          <w:sz w:val="20"/>
          <w:szCs w:val="20"/>
        </w:rPr>
        <w:t>with the palliative care sector, including clinicians, commissioners and providers.</w:t>
      </w:r>
      <w:r>
        <w:rPr>
          <w:rFonts w:ascii="Arial Mäori" w:hAnsi="Arial Mäori" w:cs="Arial Mäori"/>
          <w:color w:val="000000"/>
          <w:sz w:val="20"/>
          <w:szCs w:val="20"/>
        </w:rPr>
        <w:t xml:space="preserve">” </w:t>
      </w:r>
      <w:r>
        <w:rPr>
          <w:rFonts w:ascii="Arial Mäori" w:hAnsi="Arial Mäori" w:cs="Arial Mäori"/>
          <w:i/>
          <w:color w:val="000000"/>
          <w:sz w:val="20"/>
          <w:szCs w:val="20"/>
        </w:rPr>
        <w:t>Source: NHS England</w:t>
      </w:r>
    </w:p>
    <w:p w:rsidR="007155D7" w:rsidRDefault="006837C7" w:rsidP="007155D7">
      <w:pPr>
        <w:spacing w:after="0" w:line="240" w:lineRule="auto"/>
        <w:rPr>
          <w:rFonts w:ascii="Arial Mäori" w:hAnsi="Arial Mäori" w:cs="Arial Mäori"/>
          <w:i/>
          <w:color w:val="000000"/>
          <w:sz w:val="20"/>
          <w:szCs w:val="20"/>
        </w:rPr>
      </w:pPr>
      <w:hyperlink w:anchor="_top" w:history="1">
        <w:r w:rsidR="007155D7" w:rsidRPr="007155D7">
          <w:rPr>
            <w:rStyle w:val="Hyperlink"/>
            <w:rFonts w:ascii="Arial Mäori" w:hAnsi="Arial Mäori" w:cs="Arial Mäori"/>
            <w:i/>
            <w:sz w:val="20"/>
            <w:szCs w:val="20"/>
          </w:rPr>
          <w:t>Back to top</w:t>
        </w:r>
      </w:hyperlink>
    </w:p>
    <w:p w:rsidR="008A07BC" w:rsidRDefault="008A07BC" w:rsidP="00270ECE">
      <w:pPr>
        <w:pStyle w:val="Heading3"/>
        <w:rPr>
          <w:color w:val="548DD4" w:themeColor="text2" w:themeTint="99"/>
        </w:rPr>
      </w:pPr>
      <w:bookmarkStart w:id="25" w:name="_Nutrition,_Physical_Activity,"/>
      <w:bookmarkEnd w:id="25"/>
      <w:r w:rsidRPr="00270ECE">
        <w:rPr>
          <w:color w:val="548DD4" w:themeColor="text2" w:themeTint="99"/>
        </w:rPr>
        <w:t>Nutrition, Physical Activity, &amp; Obesity</w:t>
      </w:r>
    </w:p>
    <w:p w:rsidR="00B87985" w:rsidRDefault="006837C7" w:rsidP="00B87985">
      <w:pPr>
        <w:spacing w:after="0" w:line="240" w:lineRule="auto"/>
        <w:rPr>
          <w:b/>
          <w:sz w:val="20"/>
          <w:szCs w:val="20"/>
        </w:rPr>
      </w:pPr>
      <w:hyperlink r:id="rId63" w:history="1">
        <w:r w:rsidR="00B87985" w:rsidRPr="002E23C8">
          <w:rPr>
            <w:rStyle w:val="Hyperlink"/>
            <w:b/>
            <w:sz w:val="20"/>
            <w:szCs w:val="20"/>
          </w:rPr>
          <w:t>Exercise Referral Schemes to Promote Physical Activity</w:t>
        </w:r>
      </w:hyperlink>
    </w:p>
    <w:p w:rsidR="00B87985" w:rsidRDefault="00B87985" w:rsidP="00B87985">
      <w:pPr>
        <w:spacing w:after="0" w:line="240" w:lineRule="auto"/>
        <w:rPr>
          <w:i/>
          <w:sz w:val="20"/>
          <w:szCs w:val="20"/>
        </w:rPr>
      </w:pPr>
      <w:r>
        <w:rPr>
          <w:sz w:val="20"/>
          <w:szCs w:val="20"/>
        </w:rPr>
        <w:t>“</w:t>
      </w:r>
      <w:r w:rsidRPr="00205B80">
        <w:rPr>
          <w:sz w:val="20"/>
          <w:szCs w:val="20"/>
        </w:rPr>
        <w:t>This guideline makes recommendations on exercise referral schemes to promote physical activity for people aged 19 and older</w:t>
      </w:r>
      <w:r>
        <w:rPr>
          <w:sz w:val="20"/>
          <w:szCs w:val="20"/>
        </w:rPr>
        <w:t>…</w:t>
      </w:r>
      <w:r w:rsidRPr="00205B80">
        <w:rPr>
          <w:sz w:val="20"/>
          <w:szCs w:val="20"/>
        </w:rPr>
        <w:t>It focuses on exercise referral schemes that try to increase physical activity among people who are inactive or sedentary and are otherwise healthy or who have an existing health condition or other risk factors for disease.</w:t>
      </w:r>
      <w:r>
        <w:rPr>
          <w:sz w:val="20"/>
          <w:szCs w:val="20"/>
        </w:rPr>
        <w:t xml:space="preserve">” </w:t>
      </w:r>
      <w:r>
        <w:rPr>
          <w:i/>
          <w:sz w:val="20"/>
          <w:szCs w:val="20"/>
        </w:rPr>
        <w:t>Source: NICE</w:t>
      </w:r>
    </w:p>
    <w:p w:rsidR="00077A5E" w:rsidRDefault="00077A5E" w:rsidP="00B87985">
      <w:pPr>
        <w:spacing w:after="0" w:line="240" w:lineRule="auto"/>
        <w:rPr>
          <w:i/>
          <w:sz w:val="20"/>
          <w:szCs w:val="20"/>
        </w:rPr>
      </w:pPr>
    </w:p>
    <w:p w:rsidR="002F28CE" w:rsidRDefault="006837C7" w:rsidP="002F28CE">
      <w:pPr>
        <w:spacing w:after="0" w:line="240" w:lineRule="auto"/>
        <w:rPr>
          <w:rFonts w:ascii="Arial Mäori" w:hAnsi="Arial Mäori" w:cs="Arial Mäori"/>
          <w:b/>
          <w:color w:val="000000"/>
          <w:sz w:val="20"/>
          <w:szCs w:val="20"/>
        </w:rPr>
      </w:pPr>
      <w:hyperlink r:id="rId64" w:history="1">
        <w:r w:rsidR="002F28CE" w:rsidRPr="00D1422F">
          <w:rPr>
            <w:rStyle w:val="Hyperlink"/>
            <w:rFonts w:ascii="Arial Mäori" w:hAnsi="Arial Mäori" w:cs="Arial Mäori"/>
            <w:b/>
            <w:sz w:val="20"/>
            <w:szCs w:val="20"/>
          </w:rPr>
          <w:t>Everybody active, every day: What works – the evidence</w:t>
        </w:r>
      </w:hyperlink>
      <w:r w:rsidR="002F28CE" w:rsidRPr="00A14658">
        <w:rPr>
          <w:rFonts w:ascii="Arial Mäori" w:hAnsi="Arial Mäori" w:cs="Arial Mäori"/>
          <w:b/>
          <w:color w:val="000000"/>
          <w:sz w:val="20"/>
          <w:szCs w:val="20"/>
        </w:rPr>
        <w:t xml:space="preserve"> </w:t>
      </w:r>
    </w:p>
    <w:p w:rsidR="002F28CE" w:rsidRPr="00A14658" w:rsidRDefault="002F28CE" w:rsidP="002F28CE">
      <w:pPr>
        <w:spacing w:after="0" w:line="240" w:lineRule="auto"/>
        <w:rPr>
          <w:rFonts w:ascii="Arial Mäori" w:hAnsi="Arial Mäori" w:cs="Arial Mäori"/>
          <w:color w:val="000000"/>
          <w:sz w:val="20"/>
          <w:szCs w:val="20"/>
        </w:rPr>
      </w:pPr>
      <w:r>
        <w:rPr>
          <w:rFonts w:ascii="Arial Mäori" w:hAnsi="Arial Mäori" w:cs="Arial Mäori"/>
          <w:color w:val="000000"/>
          <w:sz w:val="20"/>
          <w:szCs w:val="20"/>
        </w:rPr>
        <w:t>“</w:t>
      </w:r>
      <w:r w:rsidRPr="00A14658">
        <w:rPr>
          <w:rFonts w:ascii="Arial Mäori" w:hAnsi="Arial Mäori" w:cs="Arial Mäori"/>
          <w:color w:val="000000"/>
          <w:sz w:val="20"/>
          <w:szCs w:val="20"/>
        </w:rPr>
        <w:t>We know from the experience of countries like Finland and the Netherlands</w:t>
      </w:r>
      <w:r>
        <w:rPr>
          <w:rFonts w:ascii="Arial Mäori" w:hAnsi="Arial Mäori" w:cs="Arial Mäori"/>
          <w:color w:val="000000"/>
          <w:sz w:val="20"/>
          <w:szCs w:val="20"/>
        </w:rPr>
        <w:t xml:space="preserve"> </w:t>
      </w:r>
      <w:r w:rsidRPr="00A14658">
        <w:rPr>
          <w:rFonts w:ascii="Arial Mäori" w:hAnsi="Arial Mäori" w:cs="Arial Mäori"/>
          <w:color w:val="000000"/>
          <w:sz w:val="20"/>
          <w:szCs w:val="20"/>
        </w:rPr>
        <w:t>that if change is to be real and lasting we need to embed physical activity</w:t>
      </w:r>
      <w:r>
        <w:rPr>
          <w:rFonts w:ascii="Arial Mäori" w:hAnsi="Arial Mäori" w:cs="Arial Mäori"/>
          <w:color w:val="000000"/>
          <w:sz w:val="20"/>
          <w:szCs w:val="20"/>
        </w:rPr>
        <w:t xml:space="preserve"> </w:t>
      </w:r>
      <w:r w:rsidRPr="00A14658">
        <w:rPr>
          <w:rFonts w:ascii="Arial Mäori" w:hAnsi="Arial Mäori" w:cs="Arial Mäori"/>
          <w:color w:val="000000"/>
          <w:sz w:val="20"/>
          <w:szCs w:val="20"/>
        </w:rPr>
        <w:t>into the fabric of daily life, and to think long-term. We also need to involve all</w:t>
      </w:r>
      <w:r>
        <w:rPr>
          <w:rFonts w:ascii="Arial Mäori" w:hAnsi="Arial Mäori" w:cs="Arial Mäori"/>
          <w:color w:val="000000"/>
          <w:sz w:val="20"/>
          <w:szCs w:val="20"/>
        </w:rPr>
        <w:t xml:space="preserve"> </w:t>
      </w:r>
      <w:r w:rsidRPr="00A14658">
        <w:rPr>
          <w:rFonts w:ascii="Arial Mäori" w:hAnsi="Arial Mäori" w:cs="Arial Mäori"/>
          <w:color w:val="000000"/>
          <w:sz w:val="20"/>
          <w:szCs w:val="20"/>
        </w:rPr>
        <w:t>sectors in driving that change. Building upon what we know works, we can</w:t>
      </w:r>
    </w:p>
    <w:p w:rsidR="002F28CE" w:rsidRDefault="002F28CE" w:rsidP="002F28CE">
      <w:pPr>
        <w:spacing w:after="0" w:line="240" w:lineRule="auto"/>
        <w:rPr>
          <w:rFonts w:ascii="Arial Mäori" w:hAnsi="Arial Mäori" w:cs="Arial Mäori"/>
          <w:i/>
          <w:color w:val="000000"/>
          <w:sz w:val="20"/>
          <w:szCs w:val="20"/>
        </w:rPr>
      </w:pPr>
      <w:r w:rsidRPr="00A14658">
        <w:rPr>
          <w:rFonts w:ascii="Arial Mäori" w:hAnsi="Arial Mäori" w:cs="Arial Mäori"/>
          <w:color w:val="000000"/>
          <w:sz w:val="20"/>
          <w:szCs w:val="20"/>
        </w:rPr>
        <w:t>make being active every day the easy, cost-effective and ‘normal’ choice for</w:t>
      </w:r>
      <w:r>
        <w:rPr>
          <w:rFonts w:ascii="Arial Mäori" w:hAnsi="Arial Mäori" w:cs="Arial Mäori"/>
          <w:color w:val="000000"/>
          <w:sz w:val="20"/>
          <w:szCs w:val="20"/>
        </w:rPr>
        <w:t xml:space="preserve"> </w:t>
      </w:r>
      <w:r w:rsidRPr="00A14658">
        <w:rPr>
          <w:rFonts w:ascii="Arial Mäori" w:hAnsi="Arial Mäori" w:cs="Arial Mäori"/>
          <w:color w:val="000000"/>
          <w:sz w:val="20"/>
          <w:szCs w:val="20"/>
        </w:rPr>
        <w:t>every community in England.</w:t>
      </w:r>
      <w:r>
        <w:rPr>
          <w:rFonts w:ascii="Arial Mäori" w:hAnsi="Arial Mäori" w:cs="Arial Mäori"/>
          <w:color w:val="000000"/>
          <w:sz w:val="20"/>
          <w:szCs w:val="20"/>
        </w:rPr>
        <w:t xml:space="preserve">” </w:t>
      </w:r>
      <w:r>
        <w:rPr>
          <w:rFonts w:ascii="Arial Mäori" w:hAnsi="Arial Mäori" w:cs="Arial Mäori"/>
          <w:i/>
          <w:color w:val="000000"/>
          <w:sz w:val="20"/>
          <w:szCs w:val="20"/>
        </w:rPr>
        <w:t>Source: Public Health England</w:t>
      </w:r>
    </w:p>
    <w:p w:rsidR="002F28CE" w:rsidRDefault="002F28CE" w:rsidP="00077A5E">
      <w:pPr>
        <w:spacing w:after="0" w:line="240" w:lineRule="auto"/>
      </w:pPr>
    </w:p>
    <w:p w:rsidR="00077A5E" w:rsidRPr="00FB6288" w:rsidRDefault="006837C7" w:rsidP="00077A5E">
      <w:pPr>
        <w:spacing w:after="0" w:line="240" w:lineRule="auto"/>
        <w:rPr>
          <w:rFonts w:ascii="Arial Mäori" w:hAnsi="Arial Mäori" w:cs="Arial Mäori"/>
          <w:b/>
          <w:color w:val="000000"/>
          <w:sz w:val="20"/>
          <w:szCs w:val="20"/>
        </w:rPr>
      </w:pPr>
      <w:hyperlink r:id="rId65" w:history="1">
        <w:r w:rsidR="00077A5E" w:rsidRPr="003475A4">
          <w:rPr>
            <w:rStyle w:val="Hyperlink"/>
            <w:rFonts w:ascii="Arial Mäori" w:hAnsi="Arial Mäori" w:cs="Arial Mäori"/>
            <w:b/>
            <w:sz w:val="20"/>
            <w:szCs w:val="20"/>
          </w:rPr>
          <w:t>Moving Ahead: The Economic Impact of Reducing Physical Inactivity and Sedentary Behaviour</w:t>
        </w:r>
      </w:hyperlink>
    </w:p>
    <w:p w:rsidR="00077A5E" w:rsidRDefault="00077A5E" w:rsidP="00077A5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FB6288">
        <w:rPr>
          <w:rFonts w:ascii="Arial Mäori" w:hAnsi="Arial Mäori" w:cs="Arial Mäori"/>
          <w:color w:val="000000"/>
          <w:sz w:val="20"/>
          <w:szCs w:val="20"/>
        </w:rPr>
        <w:t>It’s not enough to be physically active. Limiting the number of waking hours spent in a sedentary state is also important. This briefing—the first in the research series “Moving Ahead: Healthy Active Living in Canada”—finds that even a modest improvement can yield tangible benefits to individuals, employers, and government.</w:t>
      </w:r>
      <w:r>
        <w:rPr>
          <w:rFonts w:ascii="Arial Mäori" w:hAnsi="Arial Mäori" w:cs="Arial Mäori"/>
          <w:color w:val="000000"/>
          <w:sz w:val="20"/>
          <w:szCs w:val="20"/>
        </w:rPr>
        <w:t xml:space="preserve">” </w:t>
      </w:r>
      <w:r>
        <w:rPr>
          <w:rFonts w:ascii="Arial Mäori" w:hAnsi="Arial Mäori" w:cs="Arial Mäori"/>
          <w:i/>
          <w:color w:val="000000"/>
          <w:sz w:val="20"/>
          <w:szCs w:val="20"/>
        </w:rPr>
        <w:t>Conference Board of Canada</w:t>
      </w:r>
    </w:p>
    <w:p w:rsidR="00077A5E" w:rsidRDefault="00077A5E" w:rsidP="00077A5E">
      <w:pPr>
        <w:spacing w:after="0" w:line="240" w:lineRule="auto"/>
        <w:rPr>
          <w:rFonts w:ascii="Arial Mäori" w:hAnsi="Arial Mäori" w:cs="Arial Mäori"/>
          <w:i/>
          <w:color w:val="000000"/>
          <w:sz w:val="20"/>
          <w:szCs w:val="20"/>
        </w:rPr>
      </w:pPr>
      <w:r>
        <w:rPr>
          <w:rFonts w:ascii="Arial Mäori" w:hAnsi="Arial Mäori" w:cs="Arial Mäori"/>
          <w:i/>
          <w:color w:val="000000"/>
          <w:sz w:val="20"/>
          <w:szCs w:val="20"/>
        </w:rPr>
        <w:t>*sign up for free account to download</w:t>
      </w:r>
    </w:p>
    <w:p w:rsidR="002F28CE" w:rsidRDefault="002F28CE" w:rsidP="00077A5E">
      <w:pPr>
        <w:spacing w:after="0" w:line="240" w:lineRule="auto"/>
        <w:rPr>
          <w:rFonts w:ascii="Arial Mäori" w:hAnsi="Arial Mäori" w:cs="Arial Mäori"/>
          <w:i/>
          <w:color w:val="000000"/>
          <w:sz w:val="20"/>
          <w:szCs w:val="20"/>
        </w:rPr>
      </w:pPr>
    </w:p>
    <w:p w:rsidR="00E74DA4" w:rsidRPr="00450DD1" w:rsidRDefault="00450DD1" w:rsidP="00E74DA4">
      <w:pPr>
        <w:spacing w:after="0" w:line="240" w:lineRule="auto"/>
        <w:rPr>
          <w:rStyle w:val="Hyperlink"/>
          <w:rFonts w:ascii="Arial Mäori" w:hAnsi="Arial Mäori" w:cs="Arial Mäori"/>
          <w:b/>
          <w:sz w:val="20"/>
          <w:szCs w:val="20"/>
        </w:rPr>
      </w:pPr>
      <w:r>
        <w:rPr>
          <w:rFonts w:ascii="Arial Mäori" w:hAnsi="Arial Mäori" w:cs="Arial Mäori"/>
          <w:b/>
          <w:sz w:val="20"/>
          <w:szCs w:val="20"/>
        </w:rPr>
        <w:fldChar w:fldCharType="begin"/>
      </w:r>
      <w:r>
        <w:rPr>
          <w:rFonts w:ascii="Arial Mäori" w:hAnsi="Arial Mäori" w:cs="Arial Mäori"/>
          <w:b/>
          <w:sz w:val="20"/>
          <w:szCs w:val="20"/>
        </w:rPr>
        <w:instrText xml:space="preserve"> HYPERLINK "http://healthyamericans.org/assets/files/TFAH-2014-ObesityReport%20FINAL.pdf" </w:instrText>
      </w:r>
      <w:r>
        <w:rPr>
          <w:rFonts w:ascii="Arial Mäori" w:hAnsi="Arial Mäori" w:cs="Arial Mäori"/>
          <w:b/>
          <w:sz w:val="20"/>
          <w:szCs w:val="20"/>
        </w:rPr>
        <w:fldChar w:fldCharType="separate"/>
      </w:r>
      <w:r w:rsidR="00E74DA4" w:rsidRPr="00450DD1">
        <w:rPr>
          <w:rStyle w:val="Hyperlink"/>
          <w:rFonts w:ascii="Arial Mäori" w:hAnsi="Arial Mäori" w:cs="Arial Mäori"/>
          <w:b/>
          <w:sz w:val="20"/>
          <w:szCs w:val="20"/>
        </w:rPr>
        <w:t>The State of Obesity: Better Policies for a Healthier America</w:t>
      </w:r>
    </w:p>
    <w:p w:rsidR="00E74DA4" w:rsidRDefault="00450DD1" w:rsidP="00E74DA4">
      <w:pPr>
        <w:spacing w:after="0" w:line="240" w:lineRule="auto"/>
        <w:rPr>
          <w:rFonts w:ascii="Arial Mäori" w:hAnsi="Arial Mäori" w:cs="Arial Mäori"/>
          <w:i/>
          <w:color w:val="000000"/>
          <w:sz w:val="20"/>
          <w:szCs w:val="20"/>
        </w:rPr>
      </w:pPr>
      <w:r>
        <w:rPr>
          <w:rFonts w:ascii="Arial Mäori" w:hAnsi="Arial Mäori" w:cs="Arial Mäori"/>
          <w:b/>
          <w:sz w:val="20"/>
          <w:szCs w:val="20"/>
        </w:rPr>
        <w:fldChar w:fldCharType="end"/>
      </w:r>
      <w:r w:rsidR="00E74DA4">
        <w:rPr>
          <w:rFonts w:ascii="Arial Mäori" w:hAnsi="Arial Mäori" w:cs="Arial Mäori"/>
          <w:color w:val="000000"/>
          <w:sz w:val="20"/>
          <w:szCs w:val="20"/>
        </w:rPr>
        <w:t>“</w:t>
      </w:r>
      <w:r w:rsidR="00E74DA4" w:rsidRPr="00A62FDF">
        <w:rPr>
          <w:rFonts w:ascii="Arial Mäori" w:hAnsi="Arial Mäori" w:cs="Arial Mäori"/>
          <w:color w:val="000000"/>
          <w:sz w:val="20"/>
          <w:szCs w:val="20"/>
        </w:rPr>
        <w:t>Adult obesity rates remain far too high overall, and racial, ethnic, and socioeconomic disparities persist. Rates among children and teens have stabilized in the past decade, and are beginning to decline in some places and among some age groups. But this progress is still early and fragile, so this report serves as an urgent call to action for our nation to build a strong, vibrant Culture of Health that provides everyone in America with the opportunity to maintain a healthy weight and live a healthy life.</w:t>
      </w:r>
      <w:r w:rsidR="00E74DA4">
        <w:rPr>
          <w:rFonts w:ascii="Arial Mäori" w:hAnsi="Arial Mäori" w:cs="Arial Mäori"/>
          <w:color w:val="000000"/>
          <w:sz w:val="20"/>
          <w:szCs w:val="20"/>
        </w:rPr>
        <w:t xml:space="preserve">” </w:t>
      </w:r>
      <w:r w:rsidR="00E74DA4">
        <w:rPr>
          <w:rFonts w:ascii="Arial Mäori" w:hAnsi="Arial Mäori" w:cs="Arial Mäori"/>
          <w:i/>
          <w:color w:val="000000"/>
          <w:sz w:val="20"/>
          <w:szCs w:val="20"/>
        </w:rPr>
        <w:t>Source: Robert Wood Johnson Foundation</w:t>
      </w:r>
    </w:p>
    <w:p w:rsidR="007155D7" w:rsidRDefault="006837C7" w:rsidP="007155D7">
      <w:pPr>
        <w:spacing w:after="0" w:line="240" w:lineRule="auto"/>
        <w:rPr>
          <w:rFonts w:ascii="Arial Mäori" w:hAnsi="Arial Mäori" w:cs="Arial Mäori"/>
          <w:i/>
          <w:color w:val="000000"/>
          <w:sz w:val="20"/>
          <w:szCs w:val="20"/>
        </w:rPr>
      </w:pPr>
      <w:hyperlink w:anchor="_top" w:history="1">
        <w:r w:rsidR="007155D7" w:rsidRPr="007155D7">
          <w:rPr>
            <w:rStyle w:val="Hyperlink"/>
            <w:rFonts w:ascii="Arial Mäori" w:hAnsi="Arial Mäori" w:cs="Arial Mäori"/>
            <w:i/>
            <w:sz w:val="20"/>
            <w:szCs w:val="20"/>
          </w:rPr>
          <w:t>Back to top</w:t>
        </w:r>
      </w:hyperlink>
    </w:p>
    <w:p w:rsidR="00270ECE" w:rsidRDefault="00270ECE" w:rsidP="00270ECE">
      <w:pPr>
        <w:pStyle w:val="Heading3"/>
        <w:rPr>
          <w:color w:val="548DD4" w:themeColor="text2" w:themeTint="99"/>
        </w:rPr>
      </w:pPr>
      <w:bookmarkStart w:id="26" w:name="_Integration_&amp;_Collaboration"/>
      <w:bookmarkEnd w:id="26"/>
      <w:r w:rsidRPr="00270ECE">
        <w:rPr>
          <w:color w:val="548DD4" w:themeColor="text2" w:themeTint="99"/>
        </w:rPr>
        <w:t>Integration &amp; Collaboration</w:t>
      </w:r>
    </w:p>
    <w:p w:rsidR="00B87985" w:rsidRDefault="006837C7" w:rsidP="00B87985">
      <w:pPr>
        <w:spacing w:after="0" w:line="240" w:lineRule="auto"/>
        <w:rPr>
          <w:b/>
          <w:sz w:val="20"/>
          <w:szCs w:val="20"/>
        </w:rPr>
      </w:pPr>
      <w:hyperlink r:id="rId66" w:history="1">
        <w:r w:rsidR="00B87985" w:rsidRPr="002E23C8">
          <w:rPr>
            <w:rStyle w:val="Hyperlink"/>
            <w:b/>
            <w:sz w:val="20"/>
            <w:szCs w:val="20"/>
          </w:rPr>
          <w:t>Inter-organizational networks: A review of the literature to inform practice</w:t>
        </w:r>
      </w:hyperlink>
    </w:p>
    <w:p w:rsidR="00B87985" w:rsidRDefault="00B87985" w:rsidP="00B87985">
      <w:pPr>
        <w:spacing w:after="0" w:line="240" w:lineRule="auto"/>
        <w:rPr>
          <w:i/>
          <w:sz w:val="20"/>
          <w:szCs w:val="20"/>
        </w:rPr>
      </w:pPr>
      <w:r w:rsidRPr="00205B80">
        <w:rPr>
          <w:sz w:val="20"/>
          <w:szCs w:val="20"/>
        </w:rPr>
        <w:t>“This report examines the literature on interorganizational networks that has evolved over the past decade, which has been written from the perspective of a wide range of academic disciplines, such as sociology, business management, public administration, and political science.”</w:t>
      </w:r>
      <w:r>
        <w:rPr>
          <w:sz w:val="20"/>
          <w:szCs w:val="20"/>
        </w:rPr>
        <w:t xml:space="preserve"> </w:t>
      </w:r>
      <w:r>
        <w:rPr>
          <w:i/>
          <w:sz w:val="20"/>
          <w:szCs w:val="20"/>
        </w:rPr>
        <w:t>Source: IBM Center for the Business of Government</w:t>
      </w:r>
    </w:p>
    <w:p w:rsidR="00C67289" w:rsidRDefault="00C67289" w:rsidP="00B87985">
      <w:pPr>
        <w:spacing w:after="0" w:line="240" w:lineRule="auto"/>
        <w:rPr>
          <w:i/>
          <w:sz w:val="20"/>
          <w:szCs w:val="20"/>
        </w:rPr>
      </w:pPr>
    </w:p>
    <w:p w:rsidR="00C67289" w:rsidRPr="00BB3695" w:rsidRDefault="006837C7" w:rsidP="00C67289">
      <w:pPr>
        <w:spacing w:after="0" w:line="240" w:lineRule="auto"/>
        <w:rPr>
          <w:rFonts w:ascii="Arial Mäori" w:hAnsi="Arial Mäori" w:cs="Arial Mäori"/>
          <w:b/>
          <w:color w:val="000000"/>
          <w:sz w:val="20"/>
          <w:szCs w:val="20"/>
        </w:rPr>
      </w:pPr>
      <w:hyperlink r:id="rId67" w:history="1">
        <w:r w:rsidR="00C67289" w:rsidRPr="002E23C8">
          <w:rPr>
            <w:rStyle w:val="Hyperlink"/>
            <w:rFonts w:ascii="Arial Mäori" w:hAnsi="Arial Mäori" w:cs="Arial Mäori"/>
            <w:b/>
            <w:sz w:val="20"/>
            <w:szCs w:val="20"/>
          </w:rPr>
          <w:t>System leadership: Lessons and learning from AQuA's Integrated Care Discovery Communities</w:t>
        </w:r>
      </w:hyperlink>
    </w:p>
    <w:p w:rsidR="00C67289" w:rsidRDefault="00C67289" w:rsidP="00C67289">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BB3695">
        <w:rPr>
          <w:rFonts w:ascii="Arial Mäori" w:hAnsi="Arial Mäori" w:cs="Arial Mäori"/>
          <w:color w:val="000000"/>
          <w:sz w:val="20"/>
          <w:szCs w:val="20"/>
        </w:rPr>
        <w:t>A consensus is emerging in England around the concept of ‘integrated care’ as the best hope for a sustainable NHS. For leaders in the health care system, this represents an immense challenge. Leading across complex interdependent systems of care is a new and different role, undertaken alongside the already difficult task of leading successful institutions.</w:t>
      </w:r>
      <w:r>
        <w:rPr>
          <w:rFonts w:ascii="Arial Mäori" w:hAnsi="Arial Mäori" w:cs="Arial Mäori"/>
          <w:color w:val="000000"/>
          <w:sz w:val="20"/>
          <w:szCs w:val="20"/>
        </w:rPr>
        <w:t xml:space="preserve">” </w:t>
      </w:r>
      <w:r>
        <w:rPr>
          <w:rFonts w:ascii="Arial Mäori" w:hAnsi="Arial Mäori" w:cs="Arial Mäori"/>
          <w:i/>
          <w:color w:val="000000"/>
          <w:sz w:val="20"/>
          <w:szCs w:val="20"/>
        </w:rPr>
        <w:t>Source: King’s Fund</w:t>
      </w:r>
    </w:p>
    <w:p w:rsidR="00E74DA4" w:rsidRDefault="00E74DA4" w:rsidP="00C67289">
      <w:pPr>
        <w:spacing w:after="0" w:line="240" w:lineRule="auto"/>
        <w:rPr>
          <w:rFonts w:ascii="Arial Mäori" w:hAnsi="Arial Mäori" w:cs="Arial Mäori"/>
          <w:i/>
          <w:color w:val="000000"/>
          <w:sz w:val="20"/>
          <w:szCs w:val="20"/>
        </w:rPr>
      </w:pPr>
    </w:p>
    <w:p w:rsidR="00E74DA4" w:rsidRDefault="006837C7" w:rsidP="00E74DA4">
      <w:pPr>
        <w:spacing w:after="0" w:line="240" w:lineRule="auto"/>
        <w:rPr>
          <w:rFonts w:ascii="Arial Mäori" w:hAnsi="Arial Mäori" w:cs="Arial Mäori"/>
          <w:b/>
          <w:color w:val="000000"/>
          <w:sz w:val="20"/>
          <w:szCs w:val="20"/>
        </w:rPr>
      </w:pPr>
      <w:hyperlink r:id="rId68" w:history="1">
        <w:r w:rsidR="00E74DA4" w:rsidRPr="00D1422F">
          <w:rPr>
            <w:rStyle w:val="Hyperlink"/>
            <w:rFonts w:ascii="Arial Mäori" w:hAnsi="Arial Mäori" w:cs="Arial Mäori"/>
            <w:b/>
            <w:sz w:val="20"/>
            <w:szCs w:val="20"/>
          </w:rPr>
          <w:t>Connectedness and Canterbury: How did government agencies connect in response to the Canterbury earthquakes of 2010 and 2011?</w:t>
        </w:r>
      </w:hyperlink>
    </w:p>
    <w:p w:rsidR="00E74DA4" w:rsidRDefault="00E74DA4" w:rsidP="00E74DA4">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8B2483">
        <w:rPr>
          <w:rFonts w:ascii="Arial Mäori" w:hAnsi="Arial Mäori" w:cs="Arial Mäori"/>
          <w:color w:val="000000"/>
          <w:sz w:val="20"/>
          <w:szCs w:val="20"/>
        </w:rPr>
        <w:t>The Canterbury earthquake sequence of 2010 and 2011 presented the Government with unprecedented challenges, not least of which was to ensure consistency and connectedness across each of its agencies who had a role in the response.</w:t>
      </w:r>
      <w:r>
        <w:rPr>
          <w:rFonts w:ascii="Arial Mäori" w:hAnsi="Arial Mäori" w:cs="Arial Mäori"/>
          <w:color w:val="000000"/>
          <w:sz w:val="20"/>
          <w:szCs w:val="20"/>
        </w:rPr>
        <w:t xml:space="preserve">” </w:t>
      </w:r>
      <w:r>
        <w:rPr>
          <w:rFonts w:ascii="Arial Mäori" w:hAnsi="Arial Mäori" w:cs="Arial Mäori"/>
          <w:i/>
          <w:color w:val="000000"/>
          <w:sz w:val="20"/>
          <w:szCs w:val="20"/>
        </w:rPr>
        <w:t>Source: Victoria Business School</w:t>
      </w:r>
    </w:p>
    <w:p w:rsidR="002F28CE" w:rsidRDefault="002F28CE" w:rsidP="00E74DA4">
      <w:pPr>
        <w:spacing w:after="0" w:line="240" w:lineRule="auto"/>
        <w:rPr>
          <w:rFonts w:ascii="Arial Mäori" w:hAnsi="Arial Mäori" w:cs="Arial Mäori"/>
          <w:i/>
          <w:color w:val="000000"/>
          <w:sz w:val="20"/>
          <w:szCs w:val="20"/>
        </w:rPr>
      </w:pPr>
    </w:p>
    <w:p w:rsidR="002F28CE" w:rsidRDefault="006837C7" w:rsidP="002F28CE">
      <w:pPr>
        <w:spacing w:after="0" w:line="240" w:lineRule="auto"/>
        <w:rPr>
          <w:rFonts w:ascii="Arial Mäori" w:hAnsi="Arial Mäori" w:cs="Arial Mäori"/>
          <w:b/>
          <w:color w:val="000000"/>
          <w:sz w:val="20"/>
          <w:szCs w:val="20"/>
        </w:rPr>
      </w:pPr>
      <w:hyperlink r:id="rId69" w:history="1">
        <w:r w:rsidR="002F28CE" w:rsidRPr="00D1422F">
          <w:rPr>
            <w:rStyle w:val="Hyperlink"/>
            <w:rFonts w:ascii="Arial Mäori" w:hAnsi="Arial Mäori" w:cs="Arial Mäori"/>
            <w:b/>
            <w:sz w:val="20"/>
            <w:szCs w:val="20"/>
          </w:rPr>
          <w:t>Leading local partnerships: How CCGs are driving integration for their patients and local populations</w:t>
        </w:r>
      </w:hyperlink>
      <w:r w:rsidR="002F28CE" w:rsidRPr="00F65980">
        <w:rPr>
          <w:rFonts w:ascii="Arial Mäori" w:hAnsi="Arial Mäori" w:cs="Arial Mäori"/>
          <w:b/>
          <w:color w:val="000000"/>
          <w:sz w:val="20"/>
          <w:szCs w:val="20"/>
        </w:rPr>
        <w:t xml:space="preserve"> </w:t>
      </w:r>
    </w:p>
    <w:p w:rsidR="002F28CE" w:rsidRPr="00F65980" w:rsidRDefault="002F28CE" w:rsidP="002F28CE">
      <w:pPr>
        <w:spacing w:after="0" w:line="240" w:lineRule="auto"/>
        <w:rPr>
          <w:rFonts w:ascii="Arial Mäori" w:hAnsi="Arial Mäori" w:cs="Arial Mäori"/>
          <w:color w:val="000000"/>
          <w:sz w:val="20"/>
          <w:szCs w:val="20"/>
        </w:rPr>
      </w:pPr>
      <w:r>
        <w:rPr>
          <w:rFonts w:ascii="Arial Mäori" w:hAnsi="Arial Mäori" w:cs="Arial Mäori"/>
          <w:color w:val="000000"/>
          <w:sz w:val="20"/>
          <w:szCs w:val="20"/>
        </w:rPr>
        <w:t>“A</w:t>
      </w:r>
      <w:r w:rsidRPr="00F65980">
        <w:rPr>
          <w:rFonts w:ascii="Arial Mäori" w:hAnsi="Arial Mäori" w:cs="Arial Mäori"/>
          <w:color w:val="000000"/>
          <w:sz w:val="20"/>
          <w:szCs w:val="20"/>
        </w:rPr>
        <w:t xml:space="preserve"> year and a half after</w:t>
      </w:r>
      <w:r>
        <w:rPr>
          <w:rFonts w:ascii="Arial Mäori" w:hAnsi="Arial Mäori" w:cs="Arial Mäori"/>
          <w:color w:val="000000"/>
          <w:sz w:val="20"/>
          <w:szCs w:val="20"/>
        </w:rPr>
        <w:t xml:space="preserve"> </w:t>
      </w:r>
      <w:r w:rsidRPr="00F65980">
        <w:rPr>
          <w:rFonts w:ascii="Arial Mäori" w:hAnsi="Arial Mäori" w:cs="Arial Mäori"/>
          <w:color w:val="000000"/>
          <w:sz w:val="20"/>
          <w:szCs w:val="20"/>
        </w:rPr>
        <w:t>their establishment, CCGs are starting to drive complex</w:t>
      </w:r>
      <w:r>
        <w:rPr>
          <w:rFonts w:ascii="Arial Mäori" w:hAnsi="Arial Mäori" w:cs="Arial Mäori"/>
          <w:color w:val="000000"/>
          <w:sz w:val="20"/>
          <w:szCs w:val="20"/>
        </w:rPr>
        <w:t xml:space="preserve"> </w:t>
      </w:r>
      <w:r w:rsidRPr="00F65980">
        <w:rPr>
          <w:rFonts w:ascii="Arial Mäori" w:hAnsi="Arial Mäori" w:cs="Arial Mäori"/>
          <w:color w:val="000000"/>
          <w:sz w:val="20"/>
          <w:szCs w:val="20"/>
        </w:rPr>
        <w:t>change. They are leading a coming together of healthcare</w:t>
      </w:r>
      <w:r>
        <w:rPr>
          <w:rFonts w:ascii="Arial Mäori" w:hAnsi="Arial Mäori" w:cs="Arial Mäori"/>
          <w:color w:val="000000"/>
          <w:sz w:val="20"/>
          <w:szCs w:val="20"/>
        </w:rPr>
        <w:t xml:space="preserve"> </w:t>
      </w:r>
      <w:r w:rsidRPr="00F65980">
        <w:rPr>
          <w:rFonts w:ascii="Arial Mäori" w:hAnsi="Arial Mäori" w:cs="Arial Mäori"/>
          <w:color w:val="000000"/>
          <w:sz w:val="20"/>
          <w:szCs w:val="20"/>
        </w:rPr>
        <w:t>professionals of all disciplines including social care, and</w:t>
      </w:r>
    </w:p>
    <w:p w:rsidR="002F28CE" w:rsidRDefault="002F28CE" w:rsidP="002F28CE">
      <w:pPr>
        <w:spacing w:after="0" w:line="240" w:lineRule="auto"/>
        <w:rPr>
          <w:rFonts w:ascii="Arial Mäori" w:hAnsi="Arial Mäori" w:cs="Arial Mäori"/>
          <w:i/>
          <w:color w:val="000000"/>
          <w:sz w:val="20"/>
          <w:szCs w:val="20"/>
        </w:rPr>
      </w:pPr>
      <w:r w:rsidRPr="00F65980">
        <w:rPr>
          <w:rFonts w:ascii="Arial Mäori" w:hAnsi="Arial Mäori" w:cs="Arial Mäori"/>
          <w:color w:val="000000"/>
          <w:sz w:val="20"/>
          <w:szCs w:val="20"/>
        </w:rPr>
        <w:t>of voluntary organisations. The outcome is that the needs</w:t>
      </w:r>
      <w:r>
        <w:rPr>
          <w:rFonts w:ascii="Arial Mäori" w:hAnsi="Arial Mäori" w:cs="Arial Mäori"/>
          <w:color w:val="000000"/>
          <w:sz w:val="20"/>
          <w:szCs w:val="20"/>
        </w:rPr>
        <w:t xml:space="preserve"> </w:t>
      </w:r>
      <w:r w:rsidRPr="00F65980">
        <w:rPr>
          <w:rFonts w:ascii="Arial Mäori" w:hAnsi="Arial Mäori" w:cs="Arial Mäori"/>
          <w:color w:val="000000"/>
          <w:sz w:val="20"/>
          <w:szCs w:val="20"/>
        </w:rPr>
        <w:t>and desires of patients are being placed at the very centre of</w:t>
      </w:r>
      <w:r>
        <w:rPr>
          <w:rFonts w:ascii="Arial Mäori" w:hAnsi="Arial Mäori" w:cs="Arial Mäori"/>
          <w:color w:val="000000"/>
          <w:sz w:val="20"/>
          <w:szCs w:val="20"/>
        </w:rPr>
        <w:t xml:space="preserve"> </w:t>
      </w:r>
      <w:r w:rsidRPr="00F65980">
        <w:rPr>
          <w:rFonts w:ascii="Arial Mäori" w:hAnsi="Arial Mäori" w:cs="Arial Mäori"/>
          <w:color w:val="000000"/>
          <w:sz w:val="20"/>
          <w:szCs w:val="20"/>
        </w:rPr>
        <w:t>the system.</w:t>
      </w:r>
      <w:r>
        <w:rPr>
          <w:rFonts w:ascii="Arial Mäori" w:hAnsi="Arial Mäori" w:cs="Arial Mäori"/>
          <w:color w:val="000000"/>
          <w:sz w:val="20"/>
          <w:szCs w:val="20"/>
        </w:rPr>
        <w:t xml:space="preserve">” </w:t>
      </w:r>
      <w:r>
        <w:rPr>
          <w:rFonts w:ascii="Arial Mäori" w:hAnsi="Arial Mäori" w:cs="Arial Mäori"/>
          <w:i/>
          <w:color w:val="000000"/>
          <w:sz w:val="20"/>
          <w:szCs w:val="20"/>
        </w:rPr>
        <w:t>Source: NHS Clinical Commissioners</w:t>
      </w:r>
    </w:p>
    <w:p w:rsidR="007155D7" w:rsidRDefault="006837C7" w:rsidP="007155D7">
      <w:pPr>
        <w:spacing w:after="0" w:line="240" w:lineRule="auto"/>
        <w:rPr>
          <w:rFonts w:ascii="Arial Mäori" w:hAnsi="Arial Mäori" w:cs="Arial Mäori"/>
          <w:i/>
          <w:color w:val="000000"/>
          <w:sz w:val="20"/>
          <w:szCs w:val="20"/>
        </w:rPr>
      </w:pPr>
      <w:hyperlink w:anchor="_top" w:history="1">
        <w:r w:rsidR="007155D7" w:rsidRPr="007155D7">
          <w:rPr>
            <w:rStyle w:val="Hyperlink"/>
            <w:rFonts w:ascii="Arial Mäori" w:hAnsi="Arial Mäori" w:cs="Arial Mäori"/>
            <w:i/>
            <w:sz w:val="20"/>
            <w:szCs w:val="20"/>
          </w:rPr>
          <w:t>Back to top</w:t>
        </w:r>
      </w:hyperlink>
    </w:p>
    <w:p w:rsidR="00270ECE" w:rsidRDefault="00270ECE" w:rsidP="00270ECE">
      <w:pPr>
        <w:pStyle w:val="Heading3"/>
        <w:rPr>
          <w:color w:val="548DD4" w:themeColor="text2" w:themeTint="99"/>
        </w:rPr>
      </w:pPr>
      <w:bookmarkStart w:id="27" w:name="_Health_of_Older_1"/>
      <w:bookmarkEnd w:id="27"/>
      <w:r w:rsidRPr="00270ECE">
        <w:rPr>
          <w:color w:val="548DD4" w:themeColor="text2" w:themeTint="99"/>
        </w:rPr>
        <w:t>Health of Older People</w:t>
      </w:r>
    </w:p>
    <w:p w:rsidR="00077A5E" w:rsidRDefault="006837C7" w:rsidP="00077A5E">
      <w:pPr>
        <w:spacing w:after="0" w:line="240" w:lineRule="auto"/>
        <w:rPr>
          <w:rFonts w:ascii="Arial Mäori" w:hAnsi="Arial Mäori" w:cs="Arial Mäori"/>
          <w:b/>
          <w:color w:val="000000"/>
          <w:sz w:val="20"/>
          <w:szCs w:val="20"/>
        </w:rPr>
      </w:pPr>
      <w:hyperlink r:id="rId70" w:history="1">
        <w:r w:rsidR="00077A5E" w:rsidRPr="003475A4">
          <w:rPr>
            <w:rStyle w:val="Hyperlink"/>
            <w:rFonts w:ascii="Arial Mäori" w:hAnsi="Arial Mäori" w:cs="Arial Mäori"/>
            <w:b/>
            <w:sz w:val="20"/>
            <w:szCs w:val="20"/>
          </w:rPr>
          <w:t>New perspectives and approaches to understanding dementia and stigma</w:t>
        </w:r>
      </w:hyperlink>
    </w:p>
    <w:p w:rsidR="00077A5E" w:rsidRDefault="00077A5E" w:rsidP="00077A5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8B2483">
        <w:rPr>
          <w:rFonts w:ascii="Arial Mäori" w:hAnsi="Arial Mäori" w:cs="Arial Mäori"/>
          <w:color w:val="000000"/>
          <w:sz w:val="20"/>
          <w:szCs w:val="20"/>
        </w:rPr>
        <w:t>The range of articles included help to identify the priority areas for future research and some of the main challenges faced. However further ways of raising awareness and tackling dementia must be sought and we need to continue to work to help deliver a brighter future for people living with dementia, and their families.</w:t>
      </w:r>
      <w:r>
        <w:rPr>
          <w:rFonts w:ascii="Arial Mäori" w:hAnsi="Arial Mäori" w:cs="Arial Mäori"/>
          <w:color w:val="000000"/>
          <w:sz w:val="20"/>
          <w:szCs w:val="20"/>
        </w:rPr>
        <w:t xml:space="preserve">” </w:t>
      </w:r>
      <w:r>
        <w:rPr>
          <w:rFonts w:ascii="Arial Mäori" w:hAnsi="Arial Mäori" w:cs="Arial Mäori"/>
          <w:i/>
          <w:color w:val="000000"/>
          <w:sz w:val="20"/>
          <w:szCs w:val="20"/>
        </w:rPr>
        <w:t xml:space="preserve">Source: </w:t>
      </w:r>
      <w:r w:rsidRPr="008B2483">
        <w:rPr>
          <w:rFonts w:ascii="Arial Mäori" w:hAnsi="Arial Mäori" w:cs="Arial Mäori"/>
          <w:i/>
          <w:color w:val="000000"/>
          <w:sz w:val="20"/>
          <w:szCs w:val="20"/>
        </w:rPr>
        <w:t>International Longevity Centre</w:t>
      </w:r>
    </w:p>
    <w:p w:rsidR="00E74DA4" w:rsidRDefault="00E74DA4">
      <w:pPr>
        <w:rPr>
          <w:rFonts w:ascii="Arial Mäori" w:hAnsi="Arial Mäori" w:cs="Arial Mäori"/>
          <w:i/>
          <w:color w:val="000000"/>
          <w:sz w:val="20"/>
          <w:szCs w:val="20"/>
        </w:rPr>
      </w:pPr>
    </w:p>
    <w:p w:rsidR="004A28EE" w:rsidRDefault="004A28EE">
      <w:r>
        <w:br w:type="page"/>
      </w:r>
    </w:p>
    <w:p w:rsidR="002F28CE" w:rsidRPr="00F65980" w:rsidRDefault="006837C7" w:rsidP="002F28CE">
      <w:pPr>
        <w:spacing w:after="0" w:line="240" w:lineRule="auto"/>
        <w:rPr>
          <w:rFonts w:ascii="Arial Mäori" w:hAnsi="Arial Mäori" w:cs="Arial Mäori"/>
          <w:b/>
          <w:color w:val="000000"/>
          <w:sz w:val="20"/>
          <w:szCs w:val="20"/>
        </w:rPr>
      </w:pPr>
      <w:hyperlink r:id="rId71" w:history="1">
        <w:r w:rsidR="002F28CE" w:rsidRPr="00D1422F">
          <w:rPr>
            <w:rStyle w:val="Hyperlink"/>
            <w:rFonts w:ascii="Arial Mäori" w:hAnsi="Arial Mäori" w:cs="Arial Mäori"/>
            <w:b/>
            <w:sz w:val="20"/>
            <w:szCs w:val="20"/>
          </w:rPr>
          <w:t>Cracks in the Pathway: People’s experiences of dementia care as they move between care homes and hospitals</w:t>
        </w:r>
      </w:hyperlink>
    </w:p>
    <w:p w:rsidR="002F28CE" w:rsidRDefault="002F28CE" w:rsidP="002F28C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F65980">
        <w:rPr>
          <w:rFonts w:ascii="Arial Mäori" w:hAnsi="Arial Mäori" w:cs="Arial Mäori"/>
          <w:color w:val="000000"/>
          <w:sz w:val="20"/>
          <w:szCs w:val="20"/>
        </w:rPr>
        <w:t>As the report makes clear, there are some</w:t>
      </w:r>
      <w:r>
        <w:rPr>
          <w:rFonts w:ascii="Arial Mäori" w:hAnsi="Arial Mäori" w:cs="Arial Mäori"/>
          <w:color w:val="000000"/>
          <w:sz w:val="20"/>
          <w:szCs w:val="20"/>
        </w:rPr>
        <w:t xml:space="preserve"> </w:t>
      </w:r>
      <w:r w:rsidRPr="00F65980">
        <w:rPr>
          <w:rFonts w:ascii="Arial Mäori" w:hAnsi="Arial Mäori" w:cs="Arial Mäori"/>
          <w:color w:val="000000"/>
          <w:sz w:val="20"/>
          <w:szCs w:val="20"/>
        </w:rPr>
        <w:t>examples of excellent care across hospitals</w:t>
      </w:r>
      <w:r>
        <w:rPr>
          <w:rFonts w:ascii="Arial Mäori" w:hAnsi="Arial Mäori" w:cs="Arial Mäori"/>
          <w:color w:val="000000"/>
          <w:sz w:val="20"/>
          <w:szCs w:val="20"/>
        </w:rPr>
        <w:t xml:space="preserve"> </w:t>
      </w:r>
      <w:r w:rsidRPr="00F65980">
        <w:rPr>
          <w:rFonts w:ascii="Arial Mäori" w:hAnsi="Arial Mäori" w:cs="Arial Mäori"/>
          <w:color w:val="000000"/>
          <w:sz w:val="20"/>
          <w:szCs w:val="20"/>
        </w:rPr>
        <w:t>and care homes in England. These are services</w:t>
      </w:r>
      <w:r>
        <w:rPr>
          <w:rFonts w:ascii="Arial Mäori" w:hAnsi="Arial Mäori" w:cs="Arial Mäori"/>
          <w:color w:val="000000"/>
          <w:sz w:val="20"/>
          <w:szCs w:val="20"/>
        </w:rPr>
        <w:t xml:space="preserve"> </w:t>
      </w:r>
      <w:r w:rsidRPr="00F65980">
        <w:rPr>
          <w:rFonts w:ascii="Arial Mäori" w:hAnsi="Arial Mäori" w:cs="Arial Mäori"/>
          <w:color w:val="000000"/>
          <w:sz w:val="20"/>
          <w:szCs w:val="20"/>
        </w:rPr>
        <w:t>that recognise that a personalised approach is</w:t>
      </w:r>
      <w:r>
        <w:rPr>
          <w:rFonts w:ascii="Arial Mäori" w:hAnsi="Arial Mäori" w:cs="Arial Mäori"/>
          <w:color w:val="000000"/>
          <w:sz w:val="20"/>
          <w:szCs w:val="20"/>
        </w:rPr>
        <w:t xml:space="preserve"> </w:t>
      </w:r>
      <w:r w:rsidRPr="00F65980">
        <w:rPr>
          <w:rFonts w:ascii="Arial Mäori" w:hAnsi="Arial Mäori" w:cs="Arial Mäori"/>
          <w:color w:val="000000"/>
          <w:sz w:val="20"/>
          <w:szCs w:val="20"/>
        </w:rPr>
        <w:t>the key to high-quality care for people living</w:t>
      </w:r>
      <w:r>
        <w:rPr>
          <w:rFonts w:ascii="Arial Mäori" w:hAnsi="Arial Mäori" w:cs="Arial Mäori"/>
          <w:color w:val="000000"/>
          <w:sz w:val="20"/>
          <w:szCs w:val="20"/>
        </w:rPr>
        <w:t xml:space="preserve"> </w:t>
      </w:r>
      <w:r w:rsidRPr="00F65980">
        <w:rPr>
          <w:rFonts w:ascii="Arial Mäori" w:hAnsi="Arial Mäori" w:cs="Arial Mäori"/>
          <w:color w:val="000000"/>
          <w:sz w:val="20"/>
          <w:szCs w:val="20"/>
        </w:rPr>
        <w:t>with dementia.</w:t>
      </w:r>
      <w:r>
        <w:rPr>
          <w:rFonts w:ascii="Arial Mäori" w:hAnsi="Arial Mäori" w:cs="Arial Mäori"/>
          <w:color w:val="000000"/>
          <w:sz w:val="20"/>
          <w:szCs w:val="20"/>
        </w:rPr>
        <w:t xml:space="preserve">” </w:t>
      </w:r>
      <w:r>
        <w:rPr>
          <w:rFonts w:ascii="Arial Mäori" w:hAnsi="Arial Mäori" w:cs="Arial Mäori"/>
          <w:i/>
          <w:color w:val="000000"/>
          <w:sz w:val="20"/>
          <w:szCs w:val="20"/>
        </w:rPr>
        <w:t>Source: Care Quality Commission</w:t>
      </w:r>
    </w:p>
    <w:p w:rsidR="002F28CE" w:rsidRPr="00BD3A2A" w:rsidRDefault="002F28CE" w:rsidP="002F28CE">
      <w:pPr>
        <w:spacing w:after="0" w:line="240" w:lineRule="auto"/>
        <w:rPr>
          <w:rFonts w:ascii="Arial Mäori" w:hAnsi="Arial Mäori" w:cs="Arial Mäori"/>
          <w:color w:val="000000"/>
          <w:sz w:val="20"/>
          <w:szCs w:val="20"/>
        </w:rPr>
      </w:pPr>
      <w:r>
        <w:rPr>
          <w:rFonts w:ascii="Arial Mäori" w:hAnsi="Arial Mäori" w:cs="Arial Mäori"/>
          <w:color w:val="000000"/>
          <w:sz w:val="20"/>
          <w:szCs w:val="20"/>
        </w:rPr>
        <w:t xml:space="preserve"> </w:t>
      </w:r>
    </w:p>
    <w:p w:rsidR="00E74DA4" w:rsidRPr="00A62FDF" w:rsidRDefault="006837C7" w:rsidP="00E74DA4">
      <w:pPr>
        <w:spacing w:after="0" w:line="240" w:lineRule="auto"/>
        <w:rPr>
          <w:rFonts w:ascii="Arial Mäori" w:hAnsi="Arial Mäori" w:cs="Arial Mäori"/>
          <w:b/>
          <w:color w:val="000000"/>
          <w:sz w:val="20"/>
          <w:szCs w:val="20"/>
        </w:rPr>
      </w:pPr>
      <w:hyperlink r:id="rId72" w:history="1">
        <w:r w:rsidR="00E74DA4" w:rsidRPr="00D1422F">
          <w:rPr>
            <w:rStyle w:val="Hyperlink"/>
            <w:rFonts w:ascii="Arial Mäori" w:hAnsi="Arial Mäori" w:cs="Arial Mäori"/>
            <w:b/>
            <w:sz w:val="20"/>
            <w:szCs w:val="20"/>
          </w:rPr>
          <w:t>Supporting people with dementia and their families and carers: Victorian dementia action plan 2014–18</w:t>
        </w:r>
      </w:hyperlink>
    </w:p>
    <w:p w:rsidR="00E74DA4" w:rsidRDefault="00E74DA4" w:rsidP="00E74DA4">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8B2483">
        <w:rPr>
          <w:rFonts w:ascii="Arial Mäori" w:hAnsi="Arial Mäori" w:cs="Arial Mäori"/>
          <w:color w:val="000000"/>
          <w:sz w:val="20"/>
          <w:szCs w:val="20"/>
        </w:rPr>
        <w:t>The main focus of the Victorian dementia action plan is people with dementia, and their families and</w:t>
      </w:r>
      <w:r>
        <w:rPr>
          <w:rFonts w:ascii="Arial Mäori" w:hAnsi="Arial Mäori" w:cs="Arial Mäori"/>
          <w:color w:val="000000"/>
          <w:sz w:val="20"/>
          <w:szCs w:val="20"/>
        </w:rPr>
        <w:t xml:space="preserve"> </w:t>
      </w:r>
      <w:r w:rsidRPr="008B2483">
        <w:rPr>
          <w:rFonts w:ascii="Arial Mäori" w:hAnsi="Arial Mäori" w:cs="Arial Mäori"/>
          <w:color w:val="000000"/>
          <w:sz w:val="20"/>
          <w:szCs w:val="20"/>
        </w:rPr>
        <w:t>carers. Improving their quality of life requires better awareness, knowledge and responses from all</w:t>
      </w:r>
      <w:r>
        <w:rPr>
          <w:rFonts w:ascii="Arial Mäori" w:hAnsi="Arial Mäori" w:cs="Arial Mäori"/>
          <w:color w:val="000000"/>
          <w:sz w:val="20"/>
          <w:szCs w:val="20"/>
        </w:rPr>
        <w:t xml:space="preserve"> </w:t>
      </w:r>
      <w:r w:rsidRPr="008B2483">
        <w:rPr>
          <w:rFonts w:ascii="Arial Mäori" w:hAnsi="Arial Mäori" w:cs="Arial Mäori"/>
          <w:color w:val="000000"/>
          <w:sz w:val="20"/>
          <w:szCs w:val="20"/>
        </w:rPr>
        <w:t>service, community and business sectors and the population as a whole.</w:t>
      </w:r>
      <w:r>
        <w:rPr>
          <w:rFonts w:ascii="Arial Mäori" w:hAnsi="Arial Mäori" w:cs="Arial Mäori"/>
          <w:color w:val="000000"/>
          <w:sz w:val="20"/>
          <w:szCs w:val="20"/>
        </w:rPr>
        <w:t xml:space="preserve">” </w:t>
      </w:r>
      <w:r>
        <w:rPr>
          <w:rFonts w:ascii="Arial Mäori" w:hAnsi="Arial Mäori" w:cs="Arial Mäori"/>
          <w:i/>
          <w:color w:val="000000"/>
          <w:sz w:val="20"/>
          <w:szCs w:val="20"/>
        </w:rPr>
        <w:t xml:space="preserve">Source: Victoria Department of Health </w:t>
      </w:r>
    </w:p>
    <w:p w:rsidR="00077A5E" w:rsidRDefault="00077A5E" w:rsidP="00077A5E">
      <w:pPr>
        <w:spacing w:after="0" w:line="240" w:lineRule="auto"/>
        <w:rPr>
          <w:rFonts w:ascii="Arial Mäori" w:hAnsi="Arial Mäori" w:cs="Arial Mäori"/>
          <w:i/>
          <w:color w:val="000000"/>
          <w:sz w:val="20"/>
          <w:szCs w:val="20"/>
        </w:rPr>
      </w:pPr>
    </w:p>
    <w:p w:rsidR="001730CB" w:rsidRDefault="006837C7" w:rsidP="001730CB">
      <w:pPr>
        <w:spacing w:after="0" w:line="240" w:lineRule="auto"/>
        <w:rPr>
          <w:rFonts w:ascii="Arial Mäori" w:hAnsi="Arial Mäori" w:cs="Arial Mäori"/>
          <w:b/>
          <w:color w:val="000000"/>
          <w:sz w:val="20"/>
          <w:szCs w:val="20"/>
        </w:rPr>
      </w:pPr>
      <w:hyperlink r:id="rId73" w:history="1">
        <w:r w:rsidR="001730CB" w:rsidRPr="002E23C8">
          <w:rPr>
            <w:rStyle w:val="Hyperlink"/>
            <w:rFonts w:ascii="Arial Mäori" w:hAnsi="Arial Mäori" w:cs="Arial Mäori"/>
            <w:b/>
            <w:sz w:val="20"/>
            <w:szCs w:val="20"/>
          </w:rPr>
          <w:t>Isolation: the emerging crisis for older men</w:t>
        </w:r>
      </w:hyperlink>
    </w:p>
    <w:p w:rsidR="001730CB" w:rsidRDefault="001730CB" w:rsidP="001730CB">
      <w:pPr>
        <w:spacing w:after="0" w:line="240" w:lineRule="auto"/>
        <w:rPr>
          <w:rFonts w:ascii="Arial Mäori" w:hAnsi="Arial Mäori" w:cs="Arial Mäori"/>
          <w:color w:val="000000"/>
          <w:sz w:val="20"/>
          <w:szCs w:val="20"/>
        </w:rPr>
      </w:pPr>
      <w:r>
        <w:rPr>
          <w:rFonts w:ascii="Arial Mäori" w:hAnsi="Arial Mäori" w:cs="Arial Mäori"/>
          <w:color w:val="000000"/>
          <w:sz w:val="20"/>
          <w:szCs w:val="20"/>
        </w:rPr>
        <w:t>“</w:t>
      </w:r>
      <w:r w:rsidRPr="00BB3695">
        <w:rPr>
          <w:rFonts w:ascii="Arial Mäori" w:hAnsi="Arial Mäori" w:cs="Arial Mäori"/>
          <w:color w:val="000000"/>
          <w:sz w:val="20"/>
          <w:szCs w:val="20"/>
        </w:rPr>
        <w:t>This Executive Summary</w:t>
      </w:r>
      <w:r>
        <w:rPr>
          <w:rFonts w:ascii="Arial Mäori" w:hAnsi="Arial Mäori" w:cs="Arial Mäori"/>
          <w:color w:val="000000"/>
          <w:sz w:val="20"/>
          <w:szCs w:val="20"/>
        </w:rPr>
        <w:t xml:space="preserve"> </w:t>
      </w:r>
      <w:r w:rsidRPr="00BB3695">
        <w:rPr>
          <w:rFonts w:ascii="Arial Mäori" w:hAnsi="Arial Mäori" w:cs="Arial Mäori"/>
          <w:color w:val="000000"/>
          <w:sz w:val="20"/>
          <w:szCs w:val="20"/>
        </w:rPr>
        <w:t>reports on new research from</w:t>
      </w:r>
      <w:r>
        <w:rPr>
          <w:rFonts w:ascii="Arial Mäori" w:hAnsi="Arial Mäori" w:cs="Arial Mäori"/>
          <w:color w:val="000000"/>
          <w:sz w:val="20"/>
          <w:szCs w:val="20"/>
        </w:rPr>
        <w:t xml:space="preserve"> </w:t>
      </w:r>
      <w:r w:rsidRPr="00BB3695">
        <w:rPr>
          <w:rFonts w:ascii="Arial Mäori" w:hAnsi="Arial Mäori" w:cs="Arial Mäori"/>
          <w:color w:val="000000"/>
          <w:sz w:val="20"/>
          <w:szCs w:val="20"/>
        </w:rPr>
        <w:t>Independent Age and the</w:t>
      </w:r>
      <w:r>
        <w:rPr>
          <w:rFonts w:ascii="Arial Mäori" w:hAnsi="Arial Mäori" w:cs="Arial Mäori"/>
          <w:color w:val="000000"/>
          <w:sz w:val="20"/>
          <w:szCs w:val="20"/>
        </w:rPr>
        <w:t xml:space="preserve"> </w:t>
      </w:r>
      <w:r w:rsidRPr="00BB3695">
        <w:rPr>
          <w:rFonts w:ascii="Arial Mäori" w:hAnsi="Arial Mäori" w:cs="Arial Mäori"/>
          <w:color w:val="000000"/>
          <w:sz w:val="20"/>
          <w:szCs w:val="20"/>
        </w:rPr>
        <w:t>International Longevity Centre</w:t>
      </w:r>
      <w:r>
        <w:rPr>
          <w:rFonts w:ascii="Arial Mäori" w:hAnsi="Arial Mäori" w:cs="Arial Mäori"/>
          <w:color w:val="000000"/>
          <w:sz w:val="20"/>
          <w:szCs w:val="20"/>
        </w:rPr>
        <w:t xml:space="preserve"> </w:t>
      </w:r>
      <w:r w:rsidRPr="00BB3695">
        <w:rPr>
          <w:rFonts w:ascii="Arial Mäori" w:hAnsi="Arial Mäori" w:cs="Arial Mäori"/>
          <w:color w:val="000000"/>
          <w:sz w:val="20"/>
          <w:szCs w:val="20"/>
        </w:rPr>
        <w:t>UK (ILC-UK), which explores the</w:t>
      </w:r>
      <w:r>
        <w:rPr>
          <w:rFonts w:ascii="Arial Mäori" w:hAnsi="Arial Mäori" w:cs="Arial Mäori"/>
          <w:color w:val="000000"/>
          <w:sz w:val="20"/>
          <w:szCs w:val="20"/>
        </w:rPr>
        <w:t xml:space="preserve"> </w:t>
      </w:r>
      <w:r w:rsidRPr="00BB3695">
        <w:rPr>
          <w:rFonts w:ascii="Arial Mäori" w:hAnsi="Arial Mäori" w:cs="Arial Mäori"/>
          <w:color w:val="000000"/>
          <w:sz w:val="20"/>
          <w:szCs w:val="20"/>
        </w:rPr>
        <w:t>experiences of older men who</w:t>
      </w:r>
      <w:r>
        <w:rPr>
          <w:rFonts w:ascii="Arial Mäori" w:hAnsi="Arial Mäori" w:cs="Arial Mäori"/>
          <w:color w:val="000000"/>
          <w:sz w:val="20"/>
          <w:szCs w:val="20"/>
        </w:rPr>
        <w:t xml:space="preserve"> </w:t>
      </w:r>
      <w:r w:rsidRPr="00BB3695">
        <w:rPr>
          <w:rFonts w:ascii="Arial Mäori" w:hAnsi="Arial Mäori" w:cs="Arial Mäori"/>
          <w:color w:val="000000"/>
          <w:sz w:val="20"/>
          <w:szCs w:val="20"/>
        </w:rPr>
        <w:t>are socially isolated or lonely.</w:t>
      </w:r>
      <w:r>
        <w:rPr>
          <w:rFonts w:ascii="Arial Mäori" w:hAnsi="Arial Mäori" w:cs="Arial Mäori"/>
          <w:color w:val="000000"/>
          <w:sz w:val="20"/>
          <w:szCs w:val="20"/>
        </w:rPr>
        <w:t xml:space="preserve"> </w:t>
      </w:r>
      <w:r w:rsidRPr="00BB3695">
        <w:rPr>
          <w:rFonts w:ascii="Arial Mäori" w:hAnsi="Arial Mäori" w:cs="Arial Mäori"/>
          <w:color w:val="000000"/>
          <w:sz w:val="20"/>
          <w:szCs w:val="20"/>
        </w:rPr>
        <w:t>The research has used newly</w:t>
      </w:r>
      <w:r>
        <w:rPr>
          <w:rFonts w:ascii="Arial Mäori" w:hAnsi="Arial Mäori" w:cs="Arial Mäori"/>
          <w:color w:val="000000"/>
          <w:sz w:val="20"/>
          <w:szCs w:val="20"/>
        </w:rPr>
        <w:t xml:space="preserve"> </w:t>
      </w:r>
      <w:r w:rsidRPr="00BB3695">
        <w:rPr>
          <w:rFonts w:ascii="Arial Mäori" w:hAnsi="Arial Mäori" w:cs="Arial Mäori"/>
          <w:color w:val="000000"/>
          <w:sz w:val="20"/>
          <w:szCs w:val="20"/>
        </w:rPr>
        <w:t>released data from the English</w:t>
      </w:r>
      <w:r>
        <w:rPr>
          <w:rFonts w:ascii="Arial Mäori" w:hAnsi="Arial Mäori" w:cs="Arial Mäori"/>
          <w:color w:val="000000"/>
          <w:sz w:val="20"/>
          <w:szCs w:val="20"/>
        </w:rPr>
        <w:t xml:space="preserve"> </w:t>
      </w:r>
      <w:r w:rsidRPr="00BB3695">
        <w:rPr>
          <w:rFonts w:ascii="Arial Mäori" w:hAnsi="Arial Mäori" w:cs="Arial Mäori"/>
          <w:color w:val="000000"/>
          <w:sz w:val="20"/>
          <w:szCs w:val="20"/>
        </w:rPr>
        <w:t>Longitudinal Study of Ageing (ELSA),</w:t>
      </w:r>
      <w:r>
        <w:rPr>
          <w:rFonts w:ascii="Arial Mäori" w:hAnsi="Arial Mäori" w:cs="Arial Mäori"/>
          <w:color w:val="000000"/>
          <w:sz w:val="20"/>
          <w:szCs w:val="20"/>
        </w:rPr>
        <w:t xml:space="preserve"> </w:t>
      </w:r>
      <w:r w:rsidRPr="00BB3695">
        <w:rPr>
          <w:rFonts w:ascii="Arial Mäori" w:hAnsi="Arial Mäori" w:cs="Arial Mäori"/>
          <w:color w:val="000000"/>
          <w:sz w:val="20"/>
          <w:szCs w:val="20"/>
        </w:rPr>
        <w:t>as well as interviews, focus groups</w:t>
      </w:r>
      <w:r>
        <w:rPr>
          <w:rFonts w:ascii="Arial Mäori" w:hAnsi="Arial Mäori" w:cs="Arial Mäori"/>
          <w:color w:val="000000"/>
          <w:sz w:val="20"/>
          <w:szCs w:val="20"/>
        </w:rPr>
        <w:t xml:space="preserve"> </w:t>
      </w:r>
      <w:r w:rsidRPr="00BB3695">
        <w:rPr>
          <w:rFonts w:ascii="Arial Mäori" w:hAnsi="Arial Mäori" w:cs="Arial Mäori"/>
          <w:color w:val="000000"/>
          <w:sz w:val="20"/>
          <w:szCs w:val="20"/>
        </w:rPr>
        <w:t>and existing evidence.</w:t>
      </w:r>
      <w:r>
        <w:rPr>
          <w:rFonts w:ascii="Arial Mäori" w:hAnsi="Arial Mäori" w:cs="Arial Mäori"/>
          <w:color w:val="000000"/>
          <w:sz w:val="20"/>
          <w:szCs w:val="20"/>
        </w:rPr>
        <w:t xml:space="preserve">” </w:t>
      </w:r>
      <w:r>
        <w:rPr>
          <w:rFonts w:ascii="Arial Mäori" w:hAnsi="Arial Mäori" w:cs="Arial Mäori"/>
          <w:i/>
          <w:color w:val="000000"/>
          <w:sz w:val="20"/>
          <w:szCs w:val="20"/>
        </w:rPr>
        <w:t>Source: International Longevity Centre UK</w:t>
      </w:r>
      <w:r>
        <w:rPr>
          <w:rFonts w:ascii="Arial Mäori" w:hAnsi="Arial Mäori" w:cs="Arial Mäori"/>
          <w:color w:val="000000"/>
          <w:sz w:val="20"/>
          <w:szCs w:val="20"/>
        </w:rPr>
        <w:t xml:space="preserve"> </w:t>
      </w:r>
    </w:p>
    <w:p w:rsidR="00077A5E" w:rsidRDefault="00077A5E" w:rsidP="001730CB">
      <w:pPr>
        <w:spacing w:after="0" w:line="240" w:lineRule="auto"/>
        <w:rPr>
          <w:rFonts w:ascii="Arial Mäori" w:hAnsi="Arial Mäori" w:cs="Arial Mäori"/>
          <w:color w:val="000000"/>
          <w:sz w:val="20"/>
          <w:szCs w:val="20"/>
        </w:rPr>
      </w:pPr>
    </w:p>
    <w:p w:rsidR="00077A5E" w:rsidRDefault="006837C7" w:rsidP="00077A5E">
      <w:pPr>
        <w:spacing w:after="0" w:line="240" w:lineRule="auto"/>
        <w:rPr>
          <w:rFonts w:ascii="Arial Mäori" w:hAnsi="Arial Mäori" w:cs="Arial Mäori"/>
          <w:b/>
          <w:color w:val="000000"/>
          <w:sz w:val="20"/>
          <w:szCs w:val="20"/>
        </w:rPr>
      </w:pPr>
      <w:hyperlink r:id="rId74" w:history="1">
        <w:r w:rsidR="00077A5E" w:rsidRPr="003475A4">
          <w:rPr>
            <w:rStyle w:val="Hyperlink"/>
            <w:rFonts w:ascii="Arial Mäori" w:hAnsi="Arial Mäori" w:cs="Arial Mäori"/>
            <w:b/>
            <w:sz w:val="20"/>
            <w:szCs w:val="20"/>
          </w:rPr>
          <w:t>John Kennedy's care home inquiry</w:t>
        </w:r>
      </w:hyperlink>
    </w:p>
    <w:p w:rsidR="00077A5E" w:rsidRDefault="00077A5E" w:rsidP="00077A5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571048">
        <w:rPr>
          <w:rFonts w:ascii="Arial Mäori" w:hAnsi="Arial Mäori" w:cs="Arial Mäori"/>
          <w:color w:val="000000"/>
          <w:sz w:val="20"/>
          <w:szCs w:val="20"/>
        </w:rPr>
        <w:t>The final report of a personal inquiry into the crisis in UK care homes for older people.</w:t>
      </w:r>
      <w:r>
        <w:rPr>
          <w:rFonts w:ascii="Arial Mäori" w:hAnsi="Arial Mäori" w:cs="Arial Mäori"/>
          <w:color w:val="000000"/>
          <w:sz w:val="20"/>
          <w:szCs w:val="20"/>
        </w:rPr>
        <w:t xml:space="preserve">” </w:t>
      </w:r>
      <w:r>
        <w:rPr>
          <w:rFonts w:ascii="Arial Mäori" w:hAnsi="Arial Mäori" w:cs="Arial Mäori"/>
          <w:i/>
          <w:color w:val="000000"/>
          <w:sz w:val="20"/>
          <w:szCs w:val="20"/>
        </w:rPr>
        <w:t>Source: Joseph Rowntree Foundation</w:t>
      </w:r>
    </w:p>
    <w:p w:rsidR="00077A5E" w:rsidRDefault="00077A5E" w:rsidP="00077A5E">
      <w:pPr>
        <w:spacing w:after="0" w:line="240" w:lineRule="auto"/>
        <w:rPr>
          <w:rFonts w:ascii="Arial Mäori" w:hAnsi="Arial Mäori" w:cs="Arial Mäori"/>
          <w:color w:val="000000"/>
          <w:sz w:val="20"/>
          <w:szCs w:val="20"/>
        </w:rPr>
      </w:pPr>
    </w:p>
    <w:p w:rsidR="00077A5E" w:rsidRDefault="006837C7" w:rsidP="00077A5E">
      <w:pPr>
        <w:spacing w:after="0" w:line="240" w:lineRule="auto"/>
        <w:rPr>
          <w:rFonts w:ascii="Arial Mäori" w:hAnsi="Arial Mäori" w:cs="Arial Mäori"/>
          <w:b/>
          <w:color w:val="000000"/>
          <w:sz w:val="20"/>
          <w:szCs w:val="20"/>
        </w:rPr>
      </w:pPr>
      <w:hyperlink r:id="rId75" w:history="1">
        <w:r w:rsidR="00077A5E" w:rsidRPr="002E23C8">
          <w:rPr>
            <w:rStyle w:val="Hyperlink"/>
            <w:rFonts w:ascii="Arial Mäori" w:hAnsi="Arial Mäori" w:cs="Arial Mäori"/>
            <w:b/>
            <w:sz w:val="20"/>
            <w:szCs w:val="20"/>
          </w:rPr>
          <w:t>Home Medicine Reviews: Recent changes and potential implications</w:t>
        </w:r>
      </w:hyperlink>
    </w:p>
    <w:p w:rsidR="00077A5E" w:rsidRDefault="00077A5E" w:rsidP="00077A5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6140D1">
        <w:rPr>
          <w:rFonts w:ascii="Arial Mäori" w:hAnsi="Arial Mäori" w:cs="Arial Mäori"/>
          <w:color w:val="000000"/>
          <w:sz w:val="20"/>
          <w:szCs w:val="20"/>
        </w:rPr>
        <w:t>This RESEARCH ROUNDup provides a brief overview of the current evidence of the benefits and limitations of</w:t>
      </w:r>
      <w:r>
        <w:rPr>
          <w:rFonts w:ascii="Arial Mäori" w:hAnsi="Arial Mäori" w:cs="Arial Mäori"/>
          <w:color w:val="000000"/>
          <w:sz w:val="20"/>
          <w:szCs w:val="20"/>
        </w:rPr>
        <w:t xml:space="preserve"> </w:t>
      </w:r>
      <w:r w:rsidRPr="006140D1">
        <w:rPr>
          <w:rFonts w:ascii="Arial Mäori" w:hAnsi="Arial Mäori" w:cs="Arial Mäori"/>
          <w:color w:val="000000"/>
          <w:sz w:val="20"/>
          <w:szCs w:val="20"/>
        </w:rPr>
        <w:t xml:space="preserve">HMRs </w:t>
      </w:r>
      <w:r>
        <w:rPr>
          <w:rFonts w:ascii="Arial Mäori" w:hAnsi="Arial Mäori" w:cs="Arial Mäori"/>
          <w:color w:val="000000"/>
          <w:sz w:val="20"/>
          <w:szCs w:val="20"/>
        </w:rPr>
        <w:t xml:space="preserve"> [Home Medicine Reviews]</w:t>
      </w:r>
      <w:r w:rsidRPr="006140D1">
        <w:rPr>
          <w:rFonts w:ascii="Arial Mäori" w:hAnsi="Arial Mäori" w:cs="Arial Mäori"/>
          <w:color w:val="000000"/>
          <w:sz w:val="20"/>
          <w:szCs w:val="20"/>
        </w:rPr>
        <w:t xml:space="preserve"> and discusses cohorts of patients who might be targeted to maximise HMR benefits.</w:t>
      </w:r>
      <w:r>
        <w:rPr>
          <w:rFonts w:ascii="Arial Mäori" w:hAnsi="Arial Mäori" w:cs="Arial Mäori"/>
          <w:color w:val="000000"/>
          <w:sz w:val="20"/>
          <w:szCs w:val="20"/>
        </w:rPr>
        <w:t xml:space="preserve">” </w:t>
      </w:r>
      <w:r>
        <w:rPr>
          <w:rFonts w:ascii="Arial Mäori" w:hAnsi="Arial Mäori" w:cs="Arial Mäori"/>
          <w:i/>
          <w:color w:val="000000"/>
          <w:sz w:val="20"/>
          <w:szCs w:val="20"/>
        </w:rPr>
        <w:t>Source: Primary Health Care Research &amp; Information Service</w:t>
      </w:r>
    </w:p>
    <w:p w:rsidR="007155D7" w:rsidRDefault="006837C7" w:rsidP="007155D7">
      <w:pPr>
        <w:spacing w:after="0" w:line="240" w:lineRule="auto"/>
        <w:rPr>
          <w:rFonts w:ascii="Arial Mäori" w:hAnsi="Arial Mäori" w:cs="Arial Mäori"/>
          <w:i/>
          <w:color w:val="000000"/>
          <w:sz w:val="20"/>
          <w:szCs w:val="20"/>
        </w:rPr>
      </w:pPr>
      <w:hyperlink w:anchor="_top" w:history="1">
        <w:r w:rsidR="007155D7" w:rsidRPr="007155D7">
          <w:rPr>
            <w:rStyle w:val="Hyperlink"/>
            <w:rFonts w:ascii="Arial Mäori" w:hAnsi="Arial Mäori" w:cs="Arial Mäori"/>
            <w:i/>
            <w:sz w:val="20"/>
            <w:szCs w:val="20"/>
          </w:rPr>
          <w:t>Back to top</w:t>
        </w:r>
      </w:hyperlink>
    </w:p>
    <w:p w:rsidR="00270ECE" w:rsidRDefault="00270ECE" w:rsidP="00270ECE">
      <w:pPr>
        <w:pStyle w:val="Heading3"/>
        <w:rPr>
          <w:color w:val="548DD4" w:themeColor="text2" w:themeTint="99"/>
        </w:rPr>
      </w:pPr>
      <w:bookmarkStart w:id="28" w:name="_Health_Promotion"/>
      <w:bookmarkEnd w:id="28"/>
      <w:r w:rsidRPr="00270ECE">
        <w:rPr>
          <w:color w:val="548DD4" w:themeColor="text2" w:themeTint="99"/>
        </w:rPr>
        <w:t>Health Promotion</w:t>
      </w:r>
    </w:p>
    <w:p w:rsidR="00CB39B1" w:rsidRDefault="006837C7" w:rsidP="00CB39B1">
      <w:pPr>
        <w:spacing w:after="0" w:line="240" w:lineRule="auto"/>
        <w:rPr>
          <w:rFonts w:ascii="Arial Mäori" w:hAnsi="Arial Mäori" w:cs="Arial Mäori"/>
          <w:b/>
          <w:color w:val="000000"/>
          <w:sz w:val="20"/>
          <w:szCs w:val="20"/>
        </w:rPr>
      </w:pPr>
      <w:hyperlink r:id="rId76" w:history="1">
        <w:r w:rsidR="00CB39B1" w:rsidRPr="002E23C8">
          <w:rPr>
            <w:rStyle w:val="Hyperlink"/>
            <w:rFonts w:ascii="Arial Mäori" w:hAnsi="Arial Mäori" w:cs="Arial Mäori"/>
            <w:b/>
            <w:sz w:val="20"/>
            <w:szCs w:val="20"/>
          </w:rPr>
          <w:t>Evidence for a healthy city: informing healthy municipal policy</w:t>
        </w:r>
      </w:hyperlink>
    </w:p>
    <w:p w:rsidR="00CB39B1" w:rsidRDefault="00CB39B1" w:rsidP="00CB39B1">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The authors “</w:t>
      </w:r>
      <w:r w:rsidRPr="00F47322">
        <w:rPr>
          <w:rFonts w:ascii="Arial Mäori" w:hAnsi="Arial Mäori" w:cs="Arial Mäori"/>
          <w:color w:val="000000"/>
          <w:sz w:val="20"/>
          <w:szCs w:val="20"/>
        </w:rPr>
        <w:t>share evidence with relevance to policy and programs intended</w:t>
      </w:r>
      <w:r>
        <w:rPr>
          <w:rFonts w:ascii="Arial Mäori" w:hAnsi="Arial Mäori" w:cs="Arial Mäori"/>
          <w:color w:val="000000"/>
          <w:sz w:val="20"/>
          <w:szCs w:val="20"/>
        </w:rPr>
        <w:t xml:space="preserve"> </w:t>
      </w:r>
      <w:r w:rsidRPr="00F47322">
        <w:rPr>
          <w:rFonts w:ascii="Arial Mäori" w:hAnsi="Arial Mäori" w:cs="Arial Mäori"/>
          <w:color w:val="000000"/>
          <w:sz w:val="20"/>
          <w:szCs w:val="20"/>
        </w:rPr>
        <w:t>to improve health and wellbeing in Toronto.</w:t>
      </w:r>
      <w:r>
        <w:rPr>
          <w:rFonts w:ascii="Arial Mäori" w:hAnsi="Arial Mäori" w:cs="Arial Mäori"/>
          <w:color w:val="000000"/>
          <w:sz w:val="20"/>
          <w:szCs w:val="20"/>
        </w:rPr>
        <w:t xml:space="preserve">” </w:t>
      </w:r>
      <w:r>
        <w:rPr>
          <w:rFonts w:ascii="Arial Mäori" w:hAnsi="Arial Mäori" w:cs="Arial Mäori"/>
          <w:i/>
          <w:color w:val="000000"/>
          <w:sz w:val="20"/>
          <w:szCs w:val="20"/>
        </w:rPr>
        <w:t xml:space="preserve">Source: </w:t>
      </w:r>
      <w:r w:rsidRPr="00F47322">
        <w:rPr>
          <w:rFonts w:ascii="Arial Mäori" w:hAnsi="Arial Mäori" w:cs="Arial Mäori"/>
          <w:i/>
          <w:color w:val="000000"/>
          <w:sz w:val="20"/>
          <w:szCs w:val="20"/>
        </w:rPr>
        <w:t>Centre for Research on Inner City Health</w:t>
      </w:r>
    </w:p>
    <w:p w:rsidR="00DF53E3" w:rsidRDefault="00DF53E3" w:rsidP="00CB39B1">
      <w:pPr>
        <w:spacing w:after="0" w:line="240" w:lineRule="auto"/>
        <w:rPr>
          <w:rFonts w:ascii="Arial Mäori" w:hAnsi="Arial Mäori" w:cs="Arial Mäori"/>
          <w:i/>
          <w:color w:val="000000"/>
          <w:sz w:val="20"/>
          <w:szCs w:val="20"/>
        </w:rPr>
      </w:pPr>
    </w:p>
    <w:p w:rsidR="00DF53E3" w:rsidRDefault="006837C7" w:rsidP="00DF53E3">
      <w:pPr>
        <w:spacing w:after="0" w:line="240" w:lineRule="auto"/>
        <w:rPr>
          <w:rFonts w:ascii="Arial Mäori" w:hAnsi="Arial Mäori" w:cs="Arial Mäori"/>
          <w:b/>
          <w:color w:val="000000"/>
          <w:sz w:val="20"/>
          <w:szCs w:val="20"/>
        </w:rPr>
      </w:pPr>
      <w:hyperlink r:id="rId77" w:history="1">
        <w:r w:rsidR="00DF53E3" w:rsidRPr="00D1422F">
          <w:rPr>
            <w:rStyle w:val="Hyperlink"/>
            <w:rFonts w:ascii="Arial Mäori" w:hAnsi="Arial Mäori" w:cs="Arial Mäori"/>
            <w:b/>
            <w:sz w:val="20"/>
            <w:szCs w:val="20"/>
          </w:rPr>
          <w:t>Making every contact count – taking every opportunity to improve health and wellbeing</w:t>
        </w:r>
      </w:hyperlink>
    </w:p>
    <w:p w:rsidR="00DF53E3" w:rsidRDefault="00DF53E3" w:rsidP="00DF53E3">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A74701">
        <w:rPr>
          <w:rFonts w:ascii="Arial Mäori" w:hAnsi="Arial Mäori" w:cs="Arial Mäori"/>
          <w:color w:val="000000"/>
          <w:sz w:val="20"/>
          <w:szCs w:val="20"/>
        </w:rPr>
        <w:t>How do we make the most of each and every opportunity to help people improve their health and wellbeing? Making every contact count (MECC) is an approach to improving health and reducing health inequalities developed by the NHS and local government.</w:t>
      </w:r>
      <w:r>
        <w:rPr>
          <w:rFonts w:ascii="Arial Mäori" w:hAnsi="Arial Mäori" w:cs="Arial Mäori"/>
          <w:color w:val="000000"/>
          <w:sz w:val="20"/>
          <w:szCs w:val="20"/>
        </w:rPr>
        <w:t xml:space="preserve">” </w:t>
      </w:r>
      <w:r>
        <w:rPr>
          <w:rFonts w:ascii="Arial Mäori" w:hAnsi="Arial Mäori" w:cs="Arial Mäori"/>
          <w:i/>
          <w:color w:val="000000"/>
          <w:sz w:val="20"/>
          <w:szCs w:val="20"/>
        </w:rPr>
        <w:t>Source: Local Government Association</w:t>
      </w:r>
    </w:p>
    <w:p w:rsidR="007155D7" w:rsidRDefault="006837C7" w:rsidP="007155D7">
      <w:pPr>
        <w:spacing w:after="0" w:line="240" w:lineRule="auto"/>
        <w:rPr>
          <w:rFonts w:ascii="Arial Mäori" w:hAnsi="Arial Mäori" w:cs="Arial Mäori"/>
          <w:i/>
          <w:color w:val="000000"/>
          <w:sz w:val="20"/>
          <w:szCs w:val="20"/>
        </w:rPr>
      </w:pPr>
      <w:hyperlink w:anchor="_top" w:history="1">
        <w:r w:rsidR="007155D7" w:rsidRPr="007155D7">
          <w:rPr>
            <w:rStyle w:val="Hyperlink"/>
            <w:rFonts w:ascii="Arial Mäori" w:hAnsi="Arial Mäori" w:cs="Arial Mäori"/>
            <w:i/>
            <w:sz w:val="20"/>
            <w:szCs w:val="20"/>
          </w:rPr>
          <w:t>Back to top</w:t>
        </w:r>
      </w:hyperlink>
    </w:p>
    <w:p w:rsidR="00270ECE" w:rsidRDefault="00270ECE" w:rsidP="00270ECE">
      <w:pPr>
        <w:pStyle w:val="Heading3"/>
        <w:rPr>
          <w:color w:val="548DD4" w:themeColor="text2" w:themeTint="99"/>
        </w:rPr>
      </w:pPr>
      <w:bookmarkStart w:id="29" w:name="_Health_Information_&amp;"/>
      <w:bookmarkEnd w:id="29"/>
      <w:r w:rsidRPr="00270ECE">
        <w:rPr>
          <w:color w:val="548DD4" w:themeColor="text2" w:themeTint="99"/>
        </w:rPr>
        <w:t>Health Information &amp; Technology</w:t>
      </w:r>
    </w:p>
    <w:p w:rsidR="00077A5E" w:rsidRDefault="006837C7" w:rsidP="00077A5E">
      <w:pPr>
        <w:spacing w:after="0" w:line="240" w:lineRule="auto"/>
        <w:rPr>
          <w:rFonts w:ascii="Arial Mäori" w:hAnsi="Arial Mäori" w:cs="Arial Mäori"/>
          <w:b/>
          <w:color w:val="000000"/>
          <w:sz w:val="20"/>
          <w:szCs w:val="20"/>
        </w:rPr>
      </w:pPr>
      <w:hyperlink r:id="rId78" w:history="1">
        <w:r w:rsidR="00077A5E" w:rsidRPr="00D550F1">
          <w:rPr>
            <w:rStyle w:val="Hyperlink"/>
            <w:rFonts w:ascii="Arial Mäori" w:hAnsi="Arial Mäori" w:cs="Arial Mäori"/>
            <w:b/>
            <w:sz w:val="20"/>
            <w:szCs w:val="20"/>
          </w:rPr>
          <w:t>An AIHW framework for assessing data sources for population health monitoring: working paper</w:t>
        </w:r>
      </w:hyperlink>
    </w:p>
    <w:p w:rsidR="00077A5E" w:rsidRDefault="00077A5E" w:rsidP="00077A5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54603F">
        <w:rPr>
          <w:rFonts w:ascii="Arial Mäori" w:hAnsi="Arial Mäori" w:cs="Arial Mäori"/>
          <w:color w:val="000000"/>
          <w:sz w:val="20"/>
          <w:szCs w:val="20"/>
        </w:rPr>
        <w:t>This paper outlines the Australian Institute of Health and Welfare’s (AIHW) assessment</w:t>
      </w:r>
      <w:r>
        <w:rPr>
          <w:rFonts w:ascii="Arial Mäori" w:hAnsi="Arial Mäori" w:cs="Arial Mäori"/>
          <w:color w:val="000000"/>
          <w:sz w:val="20"/>
          <w:szCs w:val="20"/>
        </w:rPr>
        <w:t xml:space="preserve"> </w:t>
      </w:r>
      <w:r w:rsidRPr="0054603F">
        <w:rPr>
          <w:rFonts w:ascii="Arial Mäori" w:hAnsi="Arial Mäori" w:cs="Arial Mäori"/>
          <w:color w:val="000000"/>
          <w:sz w:val="20"/>
          <w:szCs w:val="20"/>
        </w:rPr>
        <w:t>framework for determining the suitability of specific data sources for population health</w:t>
      </w:r>
      <w:r>
        <w:rPr>
          <w:rFonts w:ascii="Arial Mäori" w:hAnsi="Arial Mäori" w:cs="Arial Mäori"/>
          <w:color w:val="000000"/>
          <w:sz w:val="20"/>
          <w:szCs w:val="20"/>
        </w:rPr>
        <w:t xml:space="preserve"> </w:t>
      </w:r>
      <w:r w:rsidRPr="0054603F">
        <w:rPr>
          <w:rFonts w:ascii="Arial Mäori" w:hAnsi="Arial Mäori" w:cs="Arial Mäori"/>
          <w:color w:val="000000"/>
          <w:sz w:val="20"/>
          <w:szCs w:val="20"/>
        </w:rPr>
        <w:t>monitoring.</w:t>
      </w:r>
      <w:r>
        <w:rPr>
          <w:rFonts w:ascii="Arial Mäori" w:hAnsi="Arial Mäori" w:cs="Arial Mäori"/>
          <w:color w:val="000000"/>
          <w:sz w:val="20"/>
          <w:szCs w:val="20"/>
        </w:rPr>
        <w:t xml:space="preserve">” </w:t>
      </w:r>
      <w:r>
        <w:rPr>
          <w:rFonts w:ascii="Arial Mäori" w:hAnsi="Arial Mäori" w:cs="Arial Mäori"/>
          <w:i/>
          <w:color w:val="000000"/>
          <w:sz w:val="20"/>
          <w:szCs w:val="20"/>
        </w:rPr>
        <w:t>Source: Australian Institute of Health and Welfare</w:t>
      </w:r>
    </w:p>
    <w:p w:rsidR="00DF53E3" w:rsidRDefault="00DF53E3" w:rsidP="00077A5E">
      <w:pPr>
        <w:spacing w:after="0" w:line="240" w:lineRule="auto"/>
        <w:rPr>
          <w:rFonts w:ascii="Arial Mäori" w:hAnsi="Arial Mäori" w:cs="Arial Mäori"/>
          <w:i/>
          <w:color w:val="000000"/>
          <w:sz w:val="20"/>
          <w:szCs w:val="20"/>
        </w:rPr>
      </w:pPr>
    </w:p>
    <w:p w:rsidR="00DF53E3" w:rsidRDefault="006837C7" w:rsidP="00DF53E3">
      <w:pPr>
        <w:spacing w:after="0" w:line="240" w:lineRule="auto"/>
        <w:rPr>
          <w:rFonts w:ascii="Arial Mäori" w:hAnsi="Arial Mäori" w:cs="Arial Mäori"/>
          <w:b/>
          <w:color w:val="000000"/>
          <w:sz w:val="20"/>
          <w:szCs w:val="20"/>
        </w:rPr>
      </w:pPr>
      <w:hyperlink r:id="rId79" w:history="1">
        <w:r w:rsidR="00DF53E3" w:rsidRPr="00D1422F">
          <w:rPr>
            <w:rStyle w:val="Hyperlink"/>
            <w:rFonts w:ascii="Arial Mäori" w:hAnsi="Arial Mäori" w:cs="Arial Mäori"/>
            <w:b/>
            <w:sz w:val="20"/>
            <w:szCs w:val="20"/>
          </w:rPr>
          <w:t>Taking digital health to the next level: promoting technologies that empower consumers and drive health system transformation</w:t>
        </w:r>
      </w:hyperlink>
    </w:p>
    <w:p w:rsidR="00DF53E3" w:rsidRDefault="00DF53E3" w:rsidP="00DF53E3">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A74701">
        <w:rPr>
          <w:rFonts w:ascii="Arial Mäori" w:hAnsi="Arial Mäori" w:cs="Arial Mäori"/>
          <w:color w:val="000000"/>
          <w:sz w:val="20"/>
          <w:szCs w:val="20"/>
        </w:rPr>
        <w:t xml:space="preserve">There has been an influx of venture capital to support the development of tools, such as data-mining applications, that can be used by accountable care organizations and others working to improve the efficiency and effectiveness of their operations. Still, there are significant barriers to the development and adoption of effective digital health technologies. This report outlines these challenges and makes recommendations for overcoming them, with the explicit goal of encouraging clinicians, developers, </w:t>
      </w:r>
      <w:r w:rsidRPr="00A74701">
        <w:rPr>
          <w:rFonts w:ascii="Arial Mäori" w:hAnsi="Arial Mäori" w:cs="Arial Mäori"/>
          <w:color w:val="000000"/>
          <w:sz w:val="20"/>
          <w:szCs w:val="20"/>
        </w:rPr>
        <w:lastRenderedPageBreak/>
        <w:t>and entrepreneurs to focus on the needs of patients with complex and costly medical and behavioral health conditions.</w:t>
      </w:r>
      <w:r>
        <w:rPr>
          <w:rFonts w:ascii="Arial Mäori" w:hAnsi="Arial Mäori" w:cs="Arial Mäori"/>
          <w:color w:val="000000"/>
          <w:sz w:val="20"/>
          <w:szCs w:val="20"/>
        </w:rPr>
        <w:t xml:space="preserve">” </w:t>
      </w:r>
      <w:r>
        <w:rPr>
          <w:rFonts w:ascii="Arial Mäori" w:hAnsi="Arial Mäori" w:cs="Arial Mäori"/>
          <w:i/>
          <w:color w:val="000000"/>
          <w:sz w:val="20"/>
          <w:szCs w:val="20"/>
        </w:rPr>
        <w:t>Source: Commonwealth Fund</w:t>
      </w:r>
    </w:p>
    <w:p w:rsidR="00DF53E3" w:rsidRDefault="00DF53E3" w:rsidP="00DF53E3">
      <w:pPr>
        <w:spacing w:after="0" w:line="240" w:lineRule="auto"/>
        <w:rPr>
          <w:rFonts w:ascii="Arial Mäori" w:hAnsi="Arial Mäori" w:cs="Arial Mäori"/>
          <w:color w:val="000000"/>
          <w:sz w:val="20"/>
          <w:szCs w:val="20"/>
        </w:rPr>
      </w:pPr>
    </w:p>
    <w:p w:rsidR="00DF53E3" w:rsidRPr="00A74701" w:rsidRDefault="006837C7" w:rsidP="00DF53E3">
      <w:pPr>
        <w:spacing w:after="0" w:line="240" w:lineRule="auto"/>
        <w:rPr>
          <w:rFonts w:ascii="Arial Mäori" w:hAnsi="Arial Mäori" w:cs="Arial Mäori"/>
          <w:b/>
          <w:color w:val="000000"/>
          <w:sz w:val="20"/>
          <w:szCs w:val="20"/>
        </w:rPr>
      </w:pPr>
      <w:hyperlink r:id="rId80" w:history="1">
        <w:r w:rsidR="00DF53E3" w:rsidRPr="00D1422F">
          <w:rPr>
            <w:rStyle w:val="Hyperlink"/>
            <w:rFonts w:ascii="Arial Mäori" w:hAnsi="Arial Mäori" w:cs="Arial Mäori"/>
            <w:b/>
            <w:sz w:val="20"/>
            <w:szCs w:val="20"/>
          </w:rPr>
          <w:t>A Vision for Using Digital Health Technologies to Empower Consumers and Transform the U.S. Health Care System</w:t>
        </w:r>
      </w:hyperlink>
    </w:p>
    <w:p w:rsidR="00DF53E3" w:rsidRDefault="00DF53E3" w:rsidP="00DF53E3">
      <w:pPr>
        <w:spacing w:after="0" w:line="240" w:lineRule="auto"/>
        <w:rPr>
          <w:rFonts w:ascii="Arial Mäori" w:hAnsi="Arial Mäori" w:cs="Arial Mäori"/>
          <w:i/>
          <w:color w:val="000000"/>
          <w:sz w:val="20"/>
          <w:szCs w:val="20"/>
        </w:rPr>
      </w:pPr>
      <w:r w:rsidRPr="001D2E9E">
        <w:rPr>
          <w:rFonts w:ascii="Arial Mäori" w:hAnsi="Arial Mäori" w:cs="Arial Mäori"/>
          <w:color w:val="000000"/>
          <w:sz w:val="20"/>
          <w:szCs w:val="20"/>
        </w:rPr>
        <w:t>“This report describes early efforts to use digital technologies—ranging from remote monitoring devices and teleconferencing devices for virtual office visits to data mining tools—to redesign care models around the common needs of discrete patient populations.”</w:t>
      </w:r>
      <w:r>
        <w:rPr>
          <w:rFonts w:ascii="Arial Mäori" w:hAnsi="Arial Mäori" w:cs="Arial Mäori"/>
          <w:color w:val="000000"/>
          <w:sz w:val="20"/>
          <w:szCs w:val="20"/>
        </w:rPr>
        <w:t xml:space="preserve"> </w:t>
      </w:r>
      <w:r>
        <w:rPr>
          <w:rFonts w:ascii="Arial Mäori" w:hAnsi="Arial Mäori" w:cs="Arial Mäori"/>
          <w:i/>
          <w:color w:val="000000"/>
          <w:sz w:val="20"/>
          <w:szCs w:val="20"/>
        </w:rPr>
        <w:t xml:space="preserve">Source: Commonwealth Fund </w:t>
      </w:r>
    </w:p>
    <w:p w:rsidR="007155D7" w:rsidRDefault="006837C7" w:rsidP="007155D7">
      <w:pPr>
        <w:spacing w:after="0" w:line="240" w:lineRule="auto"/>
        <w:rPr>
          <w:rFonts w:ascii="Arial Mäori" w:hAnsi="Arial Mäori" w:cs="Arial Mäori"/>
          <w:i/>
          <w:color w:val="000000"/>
          <w:sz w:val="20"/>
          <w:szCs w:val="20"/>
        </w:rPr>
      </w:pPr>
      <w:hyperlink w:anchor="_top" w:history="1">
        <w:r w:rsidR="007155D7" w:rsidRPr="007155D7">
          <w:rPr>
            <w:rStyle w:val="Hyperlink"/>
            <w:rFonts w:ascii="Arial Mäori" w:hAnsi="Arial Mäori" w:cs="Arial Mäori"/>
            <w:i/>
            <w:sz w:val="20"/>
            <w:szCs w:val="20"/>
          </w:rPr>
          <w:t>Back to top</w:t>
        </w:r>
      </w:hyperlink>
    </w:p>
    <w:p w:rsidR="008A07BC" w:rsidRPr="008A07BC" w:rsidRDefault="00270ECE" w:rsidP="008A07BC">
      <w:pPr>
        <w:pStyle w:val="Heading3"/>
        <w:rPr>
          <w:color w:val="548DD4" w:themeColor="text2" w:themeTint="99"/>
        </w:rPr>
      </w:pPr>
      <w:bookmarkStart w:id="30" w:name="_Primary_Care"/>
      <w:bookmarkEnd w:id="30"/>
      <w:r w:rsidRPr="00270ECE">
        <w:rPr>
          <w:color w:val="548DD4" w:themeColor="text2" w:themeTint="99"/>
        </w:rPr>
        <w:t>Primary Care</w:t>
      </w:r>
    </w:p>
    <w:p w:rsidR="00DF53E3" w:rsidRDefault="006837C7" w:rsidP="00DF53E3">
      <w:pPr>
        <w:spacing w:after="0" w:line="240" w:lineRule="auto"/>
        <w:rPr>
          <w:rFonts w:ascii="Arial Mäori" w:hAnsi="Arial Mäori" w:cs="Arial Mäori"/>
          <w:b/>
          <w:color w:val="000000"/>
          <w:sz w:val="20"/>
          <w:szCs w:val="20"/>
        </w:rPr>
      </w:pPr>
      <w:hyperlink r:id="rId81" w:history="1">
        <w:r w:rsidR="00DF53E3" w:rsidRPr="00D1422F">
          <w:rPr>
            <w:rStyle w:val="Hyperlink"/>
            <w:rFonts w:ascii="Arial Mäori" w:hAnsi="Arial Mäori" w:cs="Arial Mäori"/>
            <w:b/>
            <w:sz w:val="20"/>
            <w:szCs w:val="20"/>
          </w:rPr>
          <w:t>Telehealth in primary health care settings within Australia and internationally</w:t>
        </w:r>
      </w:hyperlink>
    </w:p>
    <w:p w:rsidR="00DF53E3" w:rsidRDefault="00DF53E3" w:rsidP="00DF53E3">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8F4821">
        <w:rPr>
          <w:rFonts w:ascii="Arial Mäori" w:hAnsi="Arial Mäori" w:cs="Arial Mäori"/>
          <w:color w:val="000000"/>
          <w:sz w:val="20"/>
          <w:szCs w:val="20"/>
        </w:rPr>
        <w:t>This review examined the evidence on telehealth models in Australia and elsewhere, with a specific focus on synchronous, real-time video consultations, where patients and health care providers were present simultaneously.</w:t>
      </w:r>
      <w:r>
        <w:rPr>
          <w:rFonts w:ascii="Arial Mäori" w:hAnsi="Arial Mäori" w:cs="Arial Mäori"/>
          <w:color w:val="000000"/>
          <w:sz w:val="20"/>
          <w:szCs w:val="20"/>
        </w:rPr>
        <w:t xml:space="preserve">” </w:t>
      </w:r>
      <w:r>
        <w:rPr>
          <w:rFonts w:ascii="Arial Mäori" w:hAnsi="Arial Mäori" w:cs="Arial Mäori"/>
          <w:i/>
          <w:color w:val="000000"/>
          <w:sz w:val="20"/>
          <w:szCs w:val="20"/>
        </w:rPr>
        <w:t>Source: Primary Health Care Research and Information Service</w:t>
      </w:r>
    </w:p>
    <w:p w:rsidR="00C55BD5" w:rsidRDefault="00C55BD5" w:rsidP="00C55BD5">
      <w:pPr>
        <w:spacing w:after="0" w:line="240" w:lineRule="auto"/>
        <w:rPr>
          <w:rFonts w:ascii="Arial Mäori" w:hAnsi="Arial Mäori" w:cs="Arial Mäori"/>
          <w:color w:val="000000"/>
          <w:sz w:val="20"/>
          <w:szCs w:val="20"/>
        </w:rPr>
      </w:pPr>
    </w:p>
    <w:p w:rsidR="002F28CE" w:rsidRDefault="006837C7" w:rsidP="002F28CE">
      <w:pPr>
        <w:spacing w:after="0" w:line="240" w:lineRule="auto"/>
        <w:rPr>
          <w:rFonts w:ascii="Arial Mäori" w:hAnsi="Arial Mäori" w:cs="Arial Mäori"/>
          <w:color w:val="000000"/>
          <w:sz w:val="20"/>
          <w:szCs w:val="20"/>
        </w:rPr>
      </w:pPr>
      <w:hyperlink r:id="rId82" w:history="1">
        <w:r w:rsidR="002F28CE" w:rsidRPr="00D1422F">
          <w:rPr>
            <w:rStyle w:val="Hyperlink"/>
            <w:rFonts w:ascii="Arial Mäori" w:hAnsi="Arial Mäori" w:cs="Arial Mäori"/>
            <w:b/>
            <w:sz w:val="20"/>
            <w:szCs w:val="20"/>
          </w:rPr>
          <w:t>Think Big, Act Now: Creating a Community of Care</w:t>
        </w:r>
      </w:hyperlink>
    </w:p>
    <w:p w:rsidR="002F28CE" w:rsidRPr="00FA7A22" w:rsidRDefault="002F28CE" w:rsidP="002F28C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FA7A22">
        <w:rPr>
          <w:rFonts w:ascii="Arial Mäori" w:hAnsi="Arial Mäori" w:cs="Arial Mäori"/>
          <w:color w:val="000000"/>
          <w:sz w:val="20"/>
          <w:szCs w:val="20"/>
        </w:rPr>
        <w:t>Think Big, Act Now: Creating A Community Of Care sets out NHS Alliance’s</w:t>
      </w:r>
      <w:r>
        <w:rPr>
          <w:rFonts w:ascii="Arial Mäori" w:hAnsi="Arial Mäori" w:cs="Arial Mäori"/>
          <w:color w:val="000000"/>
          <w:sz w:val="20"/>
          <w:szCs w:val="20"/>
        </w:rPr>
        <w:t xml:space="preserve"> </w:t>
      </w:r>
      <w:r w:rsidRPr="00FA7A22">
        <w:rPr>
          <w:rFonts w:ascii="Arial Mäori" w:hAnsi="Arial Mäori" w:cs="Arial Mäori"/>
          <w:color w:val="000000"/>
          <w:sz w:val="20"/>
          <w:szCs w:val="20"/>
        </w:rPr>
        <w:t>position with regard to the future of general practice and primary care. It aims</w:t>
      </w:r>
      <w:r>
        <w:rPr>
          <w:rFonts w:ascii="Arial Mäori" w:hAnsi="Arial Mäori" w:cs="Arial Mäori"/>
          <w:color w:val="000000"/>
          <w:sz w:val="20"/>
          <w:szCs w:val="20"/>
        </w:rPr>
        <w:t xml:space="preserve"> </w:t>
      </w:r>
      <w:r w:rsidRPr="00FA7A22">
        <w:rPr>
          <w:rFonts w:ascii="Arial Mäori" w:hAnsi="Arial Mäori" w:cs="Arial Mäori"/>
          <w:color w:val="000000"/>
          <w:sz w:val="20"/>
          <w:szCs w:val="20"/>
        </w:rPr>
        <w:t>to provide a starting point for a practical guidance system and orchestrated</w:t>
      </w:r>
      <w:r>
        <w:rPr>
          <w:rFonts w:ascii="Arial Mäori" w:hAnsi="Arial Mäori" w:cs="Arial Mäori"/>
          <w:color w:val="000000"/>
          <w:sz w:val="20"/>
          <w:szCs w:val="20"/>
        </w:rPr>
        <w:t xml:space="preserve"> </w:t>
      </w:r>
      <w:r w:rsidRPr="00FA7A22">
        <w:rPr>
          <w:rFonts w:ascii="Arial Mäori" w:hAnsi="Arial Mäori" w:cs="Arial Mäori"/>
          <w:color w:val="000000"/>
          <w:sz w:val="20"/>
          <w:szCs w:val="20"/>
        </w:rPr>
        <w:t>campaign to champion and re-energise a tired and demoralised primary care</w:t>
      </w:r>
      <w:r>
        <w:rPr>
          <w:rFonts w:ascii="Arial Mäori" w:hAnsi="Arial Mäori" w:cs="Arial Mäori"/>
          <w:color w:val="000000"/>
          <w:sz w:val="20"/>
          <w:szCs w:val="20"/>
        </w:rPr>
        <w:t xml:space="preserve"> </w:t>
      </w:r>
      <w:r w:rsidRPr="00FA7A22">
        <w:rPr>
          <w:rFonts w:ascii="Arial Mäori" w:hAnsi="Arial Mäori" w:cs="Arial Mäori"/>
          <w:color w:val="000000"/>
          <w:sz w:val="20"/>
          <w:szCs w:val="20"/>
        </w:rPr>
        <w:t>workforce, especially within general practice; to help make general practice</w:t>
      </w:r>
      <w:r>
        <w:rPr>
          <w:rFonts w:ascii="Arial Mäori" w:hAnsi="Arial Mäori" w:cs="Arial Mäori"/>
          <w:color w:val="000000"/>
          <w:sz w:val="20"/>
          <w:szCs w:val="20"/>
        </w:rPr>
        <w:t xml:space="preserve"> </w:t>
      </w:r>
      <w:r w:rsidRPr="00FA7A22">
        <w:rPr>
          <w:rFonts w:ascii="Arial Mäori" w:hAnsi="Arial Mäori" w:cs="Arial Mäori"/>
          <w:color w:val="000000"/>
          <w:sz w:val="20"/>
          <w:szCs w:val="20"/>
        </w:rPr>
        <w:t>‘special’ again; and to encourage the general public to see it as such; and to</w:t>
      </w:r>
      <w:r>
        <w:rPr>
          <w:rFonts w:ascii="Arial Mäori" w:hAnsi="Arial Mäori" w:cs="Arial Mäori"/>
          <w:color w:val="000000"/>
          <w:sz w:val="20"/>
          <w:szCs w:val="20"/>
        </w:rPr>
        <w:t xml:space="preserve"> </w:t>
      </w:r>
      <w:r w:rsidRPr="00FA7A22">
        <w:rPr>
          <w:rFonts w:ascii="Arial Mäori" w:hAnsi="Arial Mäori" w:cs="Arial Mäori"/>
          <w:color w:val="000000"/>
          <w:sz w:val="20"/>
          <w:szCs w:val="20"/>
        </w:rPr>
        <w:t>inspire a new generation of doctors, nurses and other health professionals to be</w:t>
      </w:r>
      <w:r>
        <w:rPr>
          <w:rFonts w:ascii="Arial Mäori" w:hAnsi="Arial Mäori" w:cs="Arial Mäori"/>
          <w:color w:val="000000"/>
          <w:sz w:val="20"/>
          <w:szCs w:val="20"/>
        </w:rPr>
        <w:t xml:space="preserve"> </w:t>
      </w:r>
      <w:r w:rsidRPr="00FA7A22">
        <w:rPr>
          <w:rFonts w:ascii="Arial Mäori" w:hAnsi="Arial Mäori" w:cs="Arial Mäori"/>
          <w:color w:val="000000"/>
          <w:sz w:val="20"/>
          <w:szCs w:val="20"/>
        </w:rPr>
        <w:t>part of a primary care that is a shining beacon for health in our communities.</w:t>
      </w:r>
      <w:r>
        <w:rPr>
          <w:rFonts w:ascii="Arial Mäori" w:hAnsi="Arial Mäori" w:cs="Arial Mäori"/>
          <w:color w:val="000000"/>
          <w:sz w:val="20"/>
          <w:szCs w:val="20"/>
        </w:rPr>
        <w:t xml:space="preserve">” </w:t>
      </w:r>
      <w:r>
        <w:rPr>
          <w:rFonts w:ascii="Arial Mäori" w:hAnsi="Arial Mäori" w:cs="Arial Mäori"/>
          <w:i/>
          <w:color w:val="000000"/>
          <w:sz w:val="20"/>
          <w:szCs w:val="20"/>
        </w:rPr>
        <w:t>Source: NHS Alliance</w:t>
      </w:r>
    </w:p>
    <w:p w:rsidR="00C844AB" w:rsidRDefault="00C844AB" w:rsidP="00C844AB">
      <w:pPr>
        <w:spacing w:after="0" w:line="240" w:lineRule="auto"/>
        <w:rPr>
          <w:sz w:val="20"/>
          <w:szCs w:val="20"/>
        </w:rPr>
      </w:pPr>
    </w:p>
    <w:p w:rsidR="002F28CE" w:rsidRDefault="006837C7" w:rsidP="002F28CE">
      <w:pPr>
        <w:spacing w:after="0" w:line="240" w:lineRule="auto"/>
        <w:rPr>
          <w:rFonts w:ascii="Arial Mäori" w:hAnsi="Arial Mäori" w:cs="Arial Mäori"/>
          <w:b/>
          <w:color w:val="000000"/>
          <w:sz w:val="20"/>
          <w:szCs w:val="20"/>
        </w:rPr>
      </w:pPr>
      <w:hyperlink r:id="rId83" w:history="1">
        <w:r w:rsidR="002F28CE" w:rsidRPr="00D1422F">
          <w:rPr>
            <w:rStyle w:val="Hyperlink"/>
            <w:rFonts w:ascii="Arial Mäori" w:hAnsi="Arial Mäori" w:cs="Arial Mäori"/>
            <w:b/>
            <w:sz w:val="20"/>
            <w:szCs w:val="20"/>
          </w:rPr>
          <w:t>Community pharmacy management of minor illness</w:t>
        </w:r>
      </w:hyperlink>
    </w:p>
    <w:p w:rsidR="002F28CE" w:rsidRDefault="002F28CE" w:rsidP="002F28C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FA7A22">
        <w:rPr>
          <w:rFonts w:ascii="Arial Mäori" w:hAnsi="Arial Mäori" w:cs="Arial Mäori"/>
          <w:color w:val="000000"/>
          <w:sz w:val="20"/>
          <w:szCs w:val="20"/>
        </w:rPr>
        <w:t>The overall purpose of this programme was to derive evidence to inform recommendations regarding the future delivery of community pharmacy-based minor ailments schemes (PMAS) in the UK.</w:t>
      </w:r>
      <w:r>
        <w:rPr>
          <w:rFonts w:ascii="Arial Mäori" w:hAnsi="Arial Mäori" w:cs="Arial Mäori"/>
          <w:color w:val="000000"/>
          <w:sz w:val="20"/>
          <w:szCs w:val="20"/>
        </w:rPr>
        <w:t xml:space="preserve">”  </w:t>
      </w:r>
      <w:r>
        <w:rPr>
          <w:rFonts w:ascii="Arial Mäori" w:hAnsi="Arial Mäori" w:cs="Arial Mäori"/>
          <w:i/>
          <w:color w:val="000000"/>
          <w:sz w:val="20"/>
          <w:szCs w:val="20"/>
        </w:rPr>
        <w:t>Source: Royal Pharmaceutical Society</w:t>
      </w:r>
    </w:p>
    <w:p w:rsidR="007155D7" w:rsidRDefault="006837C7" w:rsidP="007155D7">
      <w:pPr>
        <w:spacing w:after="0" w:line="240" w:lineRule="auto"/>
        <w:rPr>
          <w:rFonts w:ascii="Arial Mäori" w:hAnsi="Arial Mäori" w:cs="Arial Mäori"/>
          <w:i/>
          <w:color w:val="000000"/>
          <w:sz w:val="20"/>
          <w:szCs w:val="20"/>
        </w:rPr>
      </w:pPr>
      <w:hyperlink w:anchor="_top" w:history="1">
        <w:r w:rsidR="007155D7" w:rsidRPr="007155D7">
          <w:rPr>
            <w:rStyle w:val="Hyperlink"/>
            <w:rFonts w:ascii="Arial Mäori" w:hAnsi="Arial Mäori" w:cs="Arial Mäori"/>
            <w:i/>
            <w:sz w:val="20"/>
            <w:szCs w:val="20"/>
          </w:rPr>
          <w:t>Back to top</w:t>
        </w:r>
      </w:hyperlink>
    </w:p>
    <w:p w:rsidR="00BB3695" w:rsidRDefault="00BB3695" w:rsidP="00BB3695">
      <w:pPr>
        <w:spacing w:after="0" w:line="240" w:lineRule="auto"/>
        <w:rPr>
          <w:rFonts w:ascii="Arial Mäori" w:hAnsi="Arial Mäori" w:cs="Arial Mäori"/>
          <w:color w:val="000000"/>
          <w:sz w:val="20"/>
          <w:szCs w:val="20"/>
        </w:rPr>
      </w:pPr>
    </w:p>
    <w:p w:rsidR="00C55BD5" w:rsidRPr="00C55BD5" w:rsidRDefault="00C55BD5" w:rsidP="001A11F9">
      <w:pPr>
        <w:spacing w:after="0" w:line="240" w:lineRule="auto"/>
        <w:rPr>
          <w:rFonts w:ascii="Arial Mäori" w:hAnsi="Arial Mäori" w:cs="Arial Mäori"/>
          <w:b/>
          <w:color w:val="000000"/>
          <w:sz w:val="20"/>
          <w:szCs w:val="20"/>
        </w:rPr>
      </w:pPr>
    </w:p>
    <w:p w:rsidR="00942C81" w:rsidRPr="006C0728" w:rsidRDefault="00942C81" w:rsidP="00716F8A">
      <w:pPr>
        <w:spacing w:after="0" w:line="240" w:lineRule="auto"/>
        <w:rPr>
          <w:rFonts w:cs="Arial"/>
          <w:b/>
          <w:i/>
          <w:sz w:val="22"/>
        </w:rPr>
      </w:pPr>
      <w:r w:rsidRPr="006C0728">
        <w:rPr>
          <w:rFonts w:ascii="Arial Mäori" w:hAnsi="Arial Mäori" w:cs="Arial Mäori"/>
          <w:b/>
          <w:i/>
          <w:color w:val="000000"/>
          <w:sz w:val="20"/>
          <w:szCs w:val="20"/>
        </w:rPr>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p w:rsidR="00942C81" w:rsidRDefault="00942C81" w:rsidP="00716F8A">
      <w:pPr>
        <w:spacing w:after="0" w:line="240" w:lineRule="auto"/>
        <w:rPr>
          <w:rFonts w:cs="Arial"/>
          <w:sz w:val="22"/>
        </w:rPr>
      </w:pPr>
    </w:p>
    <w:sectPr w:rsidR="00942C81" w:rsidSect="000F05DA">
      <w:headerReference w:type="default" r:id="rId84"/>
      <w:footerReference w:type="default" r:id="rId85"/>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C8" w:rsidRDefault="002E23C8" w:rsidP="000F05DA">
      <w:pPr>
        <w:spacing w:after="0" w:line="240" w:lineRule="auto"/>
      </w:pPr>
      <w:r>
        <w:separator/>
      </w:r>
    </w:p>
  </w:endnote>
  <w:endnote w:type="continuationSeparator" w:id="0">
    <w:p w:rsidR="002E23C8" w:rsidRDefault="002E23C8"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51679"/>
      <w:docPartObj>
        <w:docPartGallery w:val="Page Numbers (Bottom of Page)"/>
        <w:docPartUnique/>
      </w:docPartObj>
    </w:sdtPr>
    <w:sdtEndPr>
      <w:rPr>
        <w:noProof/>
      </w:rPr>
    </w:sdtEndPr>
    <w:sdtContent>
      <w:p w:rsidR="002E23C8" w:rsidRDefault="002E23C8">
        <w:pPr>
          <w:pStyle w:val="Footer"/>
        </w:pPr>
        <w:r>
          <w:fldChar w:fldCharType="begin"/>
        </w:r>
        <w:r>
          <w:instrText xml:space="preserve"> PAGE   \* MERGEFORMAT </w:instrText>
        </w:r>
        <w:r>
          <w:fldChar w:fldCharType="separate"/>
        </w:r>
        <w:r w:rsidR="006837C7">
          <w:rPr>
            <w:noProof/>
          </w:rPr>
          <w:t>1</w:t>
        </w:r>
        <w:r>
          <w:rPr>
            <w:noProof/>
          </w:rPr>
          <w:fldChar w:fldCharType="end"/>
        </w:r>
      </w:p>
    </w:sdtContent>
  </w:sdt>
  <w:p w:rsidR="002E23C8" w:rsidRDefault="002E2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C8" w:rsidRDefault="002E23C8" w:rsidP="000F05DA">
      <w:pPr>
        <w:spacing w:after="0" w:line="240" w:lineRule="auto"/>
      </w:pPr>
      <w:r>
        <w:separator/>
      </w:r>
    </w:p>
  </w:footnote>
  <w:footnote w:type="continuationSeparator" w:id="0">
    <w:p w:rsidR="002E23C8" w:rsidRDefault="002E23C8" w:rsidP="000F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37642"/>
      <w:docPartObj>
        <w:docPartGallery w:val="Page Numbers (Top of Page)"/>
        <w:docPartUnique/>
      </w:docPartObj>
    </w:sdtPr>
    <w:sdtEndPr>
      <w:rPr>
        <w:noProof/>
      </w:rPr>
    </w:sdtEndPr>
    <w:sdtContent>
      <w:p w:rsidR="002E23C8" w:rsidRDefault="002E23C8">
        <w:pPr>
          <w:pStyle w:val="Header"/>
        </w:pPr>
        <w:r>
          <w:rPr>
            <w:noProof/>
          </w:rPr>
          <w:tab/>
        </w:r>
        <w:r>
          <w:rPr>
            <w:noProof/>
          </w:rPr>
          <w:tab/>
        </w:r>
      </w:p>
    </w:sdtContent>
  </w:sdt>
  <w:p w:rsidR="002E23C8" w:rsidRDefault="002E2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DA"/>
    <w:rsid w:val="000021A7"/>
    <w:rsid w:val="0000407D"/>
    <w:rsid w:val="00005E65"/>
    <w:rsid w:val="00005F44"/>
    <w:rsid w:val="00007882"/>
    <w:rsid w:val="00007EEB"/>
    <w:rsid w:val="00010E78"/>
    <w:rsid w:val="000127F4"/>
    <w:rsid w:val="00013AE5"/>
    <w:rsid w:val="00014E34"/>
    <w:rsid w:val="000171FA"/>
    <w:rsid w:val="000176D6"/>
    <w:rsid w:val="00021F42"/>
    <w:rsid w:val="0002297D"/>
    <w:rsid w:val="0002338B"/>
    <w:rsid w:val="000237E9"/>
    <w:rsid w:val="0002487B"/>
    <w:rsid w:val="00025129"/>
    <w:rsid w:val="00026343"/>
    <w:rsid w:val="00026B74"/>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6B0E"/>
    <w:rsid w:val="00067065"/>
    <w:rsid w:val="00070501"/>
    <w:rsid w:val="00070E72"/>
    <w:rsid w:val="0007360B"/>
    <w:rsid w:val="0007674C"/>
    <w:rsid w:val="000769E9"/>
    <w:rsid w:val="000777D3"/>
    <w:rsid w:val="00077A57"/>
    <w:rsid w:val="00077A5E"/>
    <w:rsid w:val="000807C9"/>
    <w:rsid w:val="0008335B"/>
    <w:rsid w:val="0008380F"/>
    <w:rsid w:val="000918BA"/>
    <w:rsid w:val="0009259F"/>
    <w:rsid w:val="000946E9"/>
    <w:rsid w:val="000947EF"/>
    <w:rsid w:val="00097D64"/>
    <w:rsid w:val="000A23CD"/>
    <w:rsid w:val="000A2B00"/>
    <w:rsid w:val="000A381D"/>
    <w:rsid w:val="000A63A0"/>
    <w:rsid w:val="000A6630"/>
    <w:rsid w:val="000B6EB9"/>
    <w:rsid w:val="000B7159"/>
    <w:rsid w:val="000C0C5E"/>
    <w:rsid w:val="000C3102"/>
    <w:rsid w:val="000C6B83"/>
    <w:rsid w:val="000C6C5D"/>
    <w:rsid w:val="000C79F9"/>
    <w:rsid w:val="000D1C50"/>
    <w:rsid w:val="000D2191"/>
    <w:rsid w:val="000D230C"/>
    <w:rsid w:val="000D2732"/>
    <w:rsid w:val="000D33E0"/>
    <w:rsid w:val="000D4039"/>
    <w:rsid w:val="000D6E9D"/>
    <w:rsid w:val="000D783F"/>
    <w:rsid w:val="000E0ECA"/>
    <w:rsid w:val="000E185F"/>
    <w:rsid w:val="000E205F"/>
    <w:rsid w:val="000E28A8"/>
    <w:rsid w:val="000E384E"/>
    <w:rsid w:val="000E3F86"/>
    <w:rsid w:val="000E3F96"/>
    <w:rsid w:val="000F0133"/>
    <w:rsid w:val="000F05DA"/>
    <w:rsid w:val="000F2AB6"/>
    <w:rsid w:val="000F3B47"/>
    <w:rsid w:val="000F43D0"/>
    <w:rsid w:val="000F44C0"/>
    <w:rsid w:val="000F635D"/>
    <w:rsid w:val="00100F0C"/>
    <w:rsid w:val="00102F03"/>
    <w:rsid w:val="00104169"/>
    <w:rsid w:val="00106611"/>
    <w:rsid w:val="00110D5F"/>
    <w:rsid w:val="00114796"/>
    <w:rsid w:val="00114D6D"/>
    <w:rsid w:val="00115D6E"/>
    <w:rsid w:val="00117F9D"/>
    <w:rsid w:val="0012119C"/>
    <w:rsid w:val="00121A2C"/>
    <w:rsid w:val="00123481"/>
    <w:rsid w:val="0012371D"/>
    <w:rsid w:val="0012717C"/>
    <w:rsid w:val="00130A4A"/>
    <w:rsid w:val="00134697"/>
    <w:rsid w:val="0013783C"/>
    <w:rsid w:val="00137AA4"/>
    <w:rsid w:val="00137F3B"/>
    <w:rsid w:val="001417E6"/>
    <w:rsid w:val="00143A80"/>
    <w:rsid w:val="00143BEB"/>
    <w:rsid w:val="00144D10"/>
    <w:rsid w:val="00144E2E"/>
    <w:rsid w:val="00144F89"/>
    <w:rsid w:val="001468FC"/>
    <w:rsid w:val="00153F35"/>
    <w:rsid w:val="001545BC"/>
    <w:rsid w:val="0015474E"/>
    <w:rsid w:val="0015582A"/>
    <w:rsid w:val="00157BDD"/>
    <w:rsid w:val="001601DF"/>
    <w:rsid w:val="00160249"/>
    <w:rsid w:val="001605C2"/>
    <w:rsid w:val="001606CC"/>
    <w:rsid w:val="00162F7F"/>
    <w:rsid w:val="00163208"/>
    <w:rsid w:val="00164D47"/>
    <w:rsid w:val="00165714"/>
    <w:rsid w:val="001660F8"/>
    <w:rsid w:val="00171434"/>
    <w:rsid w:val="001730CB"/>
    <w:rsid w:val="001731CF"/>
    <w:rsid w:val="00173665"/>
    <w:rsid w:val="00173B2A"/>
    <w:rsid w:val="001775F3"/>
    <w:rsid w:val="00181EE1"/>
    <w:rsid w:val="001863D4"/>
    <w:rsid w:val="00190B7B"/>
    <w:rsid w:val="00191101"/>
    <w:rsid w:val="0019649F"/>
    <w:rsid w:val="00197702"/>
    <w:rsid w:val="001A02DA"/>
    <w:rsid w:val="001A049F"/>
    <w:rsid w:val="001A0F4E"/>
    <w:rsid w:val="001A11BB"/>
    <w:rsid w:val="001A11F9"/>
    <w:rsid w:val="001A4454"/>
    <w:rsid w:val="001A6689"/>
    <w:rsid w:val="001A7CE0"/>
    <w:rsid w:val="001B2148"/>
    <w:rsid w:val="001C1CA4"/>
    <w:rsid w:val="001C5865"/>
    <w:rsid w:val="001C64A8"/>
    <w:rsid w:val="001C7502"/>
    <w:rsid w:val="001D2091"/>
    <w:rsid w:val="001D2E9E"/>
    <w:rsid w:val="001D443E"/>
    <w:rsid w:val="001D445C"/>
    <w:rsid w:val="001D61B8"/>
    <w:rsid w:val="001D6793"/>
    <w:rsid w:val="001E0787"/>
    <w:rsid w:val="001E0CD9"/>
    <w:rsid w:val="001E1DD6"/>
    <w:rsid w:val="001E3140"/>
    <w:rsid w:val="001E3163"/>
    <w:rsid w:val="001E3B11"/>
    <w:rsid w:val="001E63D3"/>
    <w:rsid w:val="001E6E09"/>
    <w:rsid w:val="001E701F"/>
    <w:rsid w:val="001F16BE"/>
    <w:rsid w:val="001F3428"/>
    <w:rsid w:val="001F3E1F"/>
    <w:rsid w:val="001F4141"/>
    <w:rsid w:val="001F7F9B"/>
    <w:rsid w:val="002007FB"/>
    <w:rsid w:val="00201A2B"/>
    <w:rsid w:val="00205B80"/>
    <w:rsid w:val="00206028"/>
    <w:rsid w:val="0020628A"/>
    <w:rsid w:val="002131CB"/>
    <w:rsid w:val="0021464A"/>
    <w:rsid w:val="00214BEC"/>
    <w:rsid w:val="002173B3"/>
    <w:rsid w:val="00222991"/>
    <w:rsid w:val="002252E5"/>
    <w:rsid w:val="00227334"/>
    <w:rsid w:val="00231AD4"/>
    <w:rsid w:val="002338D8"/>
    <w:rsid w:val="00234E77"/>
    <w:rsid w:val="00234E7F"/>
    <w:rsid w:val="002359AE"/>
    <w:rsid w:val="002403F4"/>
    <w:rsid w:val="00240BE9"/>
    <w:rsid w:val="002445C4"/>
    <w:rsid w:val="0024709E"/>
    <w:rsid w:val="002516E4"/>
    <w:rsid w:val="00252000"/>
    <w:rsid w:val="0025297E"/>
    <w:rsid w:val="002529DB"/>
    <w:rsid w:val="00252F57"/>
    <w:rsid w:val="00253540"/>
    <w:rsid w:val="00255751"/>
    <w:rsid w:val="00256025"/>
    <w:rsid w:val="00256C64"/>
    <w:rsid w:val="002606F6"/>
    <w:rsid w:val="00261463"/>
    <w:rsid w:val="00261E43"/>
    <w:rsid w:val="00262930"/>
    <w:rsid w:val="002650B8"/>
    <w:rsid w:val="00267BCE"/>
    <w:rsid w:val="00267E2C"/>
    <w:rsid w:val="00267F91"/>
    <w:rsid w:val="00270ECE"/>
    <w:rsid w:val="0027405E"/>
    <w:rsid w:val="00274456"/>
    <w:rsid w:val="00275E3D"/>
    <w:rsid w:val="00276178"/>
    <w:rsid w:val="00276B16"/>
    <w:rsid w:val="00276D50"/>
    <w:rsid w:val="00280A5D"/>
    <w:rsid w:val="00280AD5"/>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799A"/>
    <w:rsid w:val="002A0235"/>
    <w:rsid w:val="002A0538"/>
    <w:rsid w:val="002A17C9"/>
    <w:rsid w:val="002A221C"/>
    <w:rsid w:val="002A27B7"/>
    <w:rsid w:val="002A554B"/>
    <w:rsid w:val="002B38A5"/>
    <w:rsid w:val="002B608E"/>
    <w:rsid w:val="002C18E5"/>
    <w:rsid w:val="002D17DA"/>
    <w:rsid w:val="002D37C3"/>
    <w:rsid w:val="002D4C19"/>
    <w:rsid w:val="002D6585"/>
    <w:rsid w:val="002D6F0B"/>
    <w:rsid w:val="002D70D6"/>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4AB3"/>
    <w:rsid w:val="002F5498"/>
    <w:rsid w:val="002F6C9D"/>
    <w:rsid w:val="002F7BA8"/>
    <w:rsid w:val="00300E8C"/>
    <w:rsid w:val="00304200"/>
    <w:rsid w:val="00305E92"/>
    <w:rsid w:val="00307318"/>
    <w:rsid w:val="00310022"/>
    <w:rsid w:val="00310891"/>
    <w:rsid w:val="00310E77"/>
    <w:rsid w:val="00310F58"/>
    <w:rsid w:val="00311AFC"/>
    <w:rsid w:val="00312283"/>
    <w:rsid w:val="00317A40"/>
    <w:rsid w:val="0032035A"/>
    <w:rsid w:val="00323461"/>
    <w:rsid w:val="00323BDD"/>
    <w:rsid w:val="00331A3A"/>
    <w:rsid w:val="00331A63"/>
    <w:rsid w:val="00331FF1"/>
    <w:rsid w:val="003328ED"/>
    <w:rsid w:val="00334432"/>
    <w:rsid w:val="00334F9A"/>
    <w:rsid w:val="0033618D"/>
    <w:rsid w:val="003368B2"/>
    <w:rsid w:val="00345257"/>
    <w:rsid w:val="00345DE0"/>
    <w:rsid w:val="003475A4"/>
    <w:rsid w:val="0035372B"/>
    <w:rsid w:val="00355D23"/>
    <w:rsid w:val="003579B6"/>
    <w:rsid w:val="00357ED9"/>
    <w:rsid w:val="00361B55"/>
    <w:rsid w:val="00362673"/>
    <w:rsid w:val="00363655"/>
    <w:rsid w:val="0036737E"/>
    <w:rsid w:val="00371751"/>
    <w:rsid w:val="00382308"/>
    <w:rsid w:val="00383867"/>
    <w:rsid w:val="00385935"/>
    <w:rsid w:val="00386ABB"/>
    <w:rsid w:val="00386DAE"/>
    <w:rsid w:val="00386E34"/>
    <w:rsid w:val="0038782E"/>
    <w:rsid w:val="00390201"/>
    <w:rsid w:val="003906C5"/>
    <w:rsid w:val="003920B4"/>
    <w:rsid w:val="0039476F"/>
    <w:rsid w:val="003A1534"/>
    <w:rsid w:val="003A3AF7"/>
    <w:rsid w:val="003A5C7F"/>
    <w:rsid w:val="003B2D16"/>
    <w:rsid w:val="003B3389"/>
    <w:rsid w:val="003B3810"/>
    <w:rsid w:val="003B4EDF"/>
    <w:rsid w:val="003B66C0"/>
    <w:rsid w:val="003C2C38"/>
    <w:rsid w:val="003C4B9E"/>
    <w:rsid w:val="003D0F53"/>
    <w:rsid w:val="003D127B"/>
    <w:rsid w:val="003D414F"/>
    <w:rsid w:val="003D53D4"/>
    <w:rsid w:val="003D6ECB"/>
    <w:rsid w:val="003E1B08"/>
    <w:rsid w:val="003E24B2"/>
    <w:rsid w:val="003E32A9"/>
    <w:rsid w:val="003E36D2"/>
    <w:rsid w:val="003E4872"/>
    <w:rsid w:val="003E4EFA"/>
    <w:rsid w:val="003E77B2"/>
    <w:rsid w:val="003F1002"/>
    <w:rsid w:val="003F1154"/>
    <w:rsid w:val="003F1582"/>
    <w:rsid w:val="003F306B"/>
    <w:rsid w:val="003F7C50"/>
    <w:rsid w:val="00400783"/>
    <w:rsid w:val="004009E2"/>
    <w:rsid w:val="00400F39"/>
    <w:rsid w:val="0040232F"/>
    <w:rsid w:val="00402416"/>
    <w:rsid w:val="00402678"/>
    <w:rsid w:val="00404910"/>
    <w:rsid w:val="00407D8B"/>
    <w:rsid w:val="00410B0A"/>
    <w:rsid w:val="00411C4D"/>
    <w:rsid w:val="00415649"/>
    <w:rsid w:val="004159AB"/>
    <w:rsid w:val="004163F3"/>
    <w:rsid w:val="0041737F"/>
    <w:rsid w:val="00417B6E"/>
    <w:rsid w:val="004206F3"/>
    <w:rsid w:val="00422724"/>
    <w:rsid w:val="00425062"/>
    <w:rsid w:val="00425254"/>
    <w:rsid w:val="00425C87"/>
    <w:rsid w:val="0042747B"/>
    <w:rsid w:val="00432FC8"/>
    <w:rsid w:val="00436DDC"/>
    <w:rsid w:val="00440C11"/>
    <w:rsid w:val="0044319C"/>
    <w:rsid w:val="00446C6A"/>
    <w:rsid w:val="00450DD1"/>
    <w:rsid w:val="00450F8A"/>
    <w:rsid w:val="00451005"/>
    <w:rsid w:val="00451277"/>
    <w:rsid w:val="004544FF"/>
    <w:rsid w:val="004545C9"/>
    <w:rsid w:val="00455798"/>
    <w:rsid w:val="00455B96"/>
    <w:rsid w:val="00457E83"/>
    <w:rsid w:val="00460FDC"/>
    <w:rsid w:val="004639FE"/>
    <w:rsid w:val="00464035"/>
    <w:rsid w:val="00464574"/>
    <w:rsid w:val="00464E48"/>
    <w:rsid w:val="0046552F"/>
    <w:rsid w:val="00465B43"/>
    <w:rsid w:val="004662D2"/>
    <w:rsid w:val="004679FC"/>
    <w:rsid w:val="004710CA"/>
    <w:rsid w:val="004719F9"/>
    <w:rsid w:val="004746D9"/>
    <w:rsid w:val="00475348"/>
    <w:rsid w:val="004809CC"/>
    <w:rsid w:val="00486EBA"/>
    <w:rsid w:val="00487F19"/>
    <w:rsid w:val="00491E83"/>
    <w:rsid w:val="004A03E0"/>
    <w:rsid w:val="004A28EE"/>
    <w:rsid w:val="004A291E"/>
    <w:rsid w:val="004A2F4F"/>
    <w:rsid w:val="004A4A32"/>
    <w:rsid w:val="004A7248"/>
    <w:rsid w:val="004A79AD"/>
    <w:rsid w:val="004B7474"/>
    <w:rsid w:val="004B789B"/>
    <w:rsid w:val="004C163F"/>
    <w:rsid w:val="004C1B89"/>
    <w:rsid w:val="004C205A"/>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E0D23"/>
    <w:rsid w:val="004E2212"/>
    <w:rsid w:val="004E30A7"/>
    <w:rsid w:val="004E3796"/>
    <w:rsid w:val="004E4BAC"/>
    <w:rsid w:val="004E4F1E"/>
    <w:rsid w:val="004E66F7"/>
    <w:rsid w:val="004F239A"/>
    <w:rsid w:val="004F64EC"/>
    <w:rsid w:val="004F7C92"/>
    <w:rsid w:val="00500B8A"/>
    <w:rsid w:val="00501059"/>
    <w:rsid w:val="00501A93"/>
    <w:rsid w:val="00505315"/>
    <w:rsid w:val="0050657C"/>
    <w:rsid w:val="005074A5"/>
    <w:rsid w:val="005107DF"/>
    <w:rsid w:val="00513729"/>
    <w:rsid w:val="00513C07"/>
    <w:rsid w:val="00514450"/>
    <w:rsid w:val="005150F7"/>
    <w:rsid w:val="00515D7E"/>
    <w:rsid w:val="00517250"/>
    <w:rsid w:val="00521357"/>
    <w:rsid w:val="00521A09"/>
    <w:rsid w:val="005231BE"/>
    <w:rsid w:val="00526A1F"/>
    <w:rsid w:val="00527B45"/>
    <w:rsid w:val="00530B7A"/>
    <w:rsid w:val="005319C5"/>
    <w:rsid w:val="0053644A"/>
    <w:rsid w:val="005371E2"/>
    <w:rsid w:val="00537BE4"/>
    <w:rsid w:val="00540FAF"/>
    <w:rsid w:val="0054603F"/>
    <w:rsid w:val="005518DD"/>
    <w:rsid w:val="0055685D"/>
    <w:rsid w:val="00560E93"/>
    <w:rsid w:val="005615D9"/>
    <w:rsid w:val="00561F39"/>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6C2C"/>
    <w:rsid w:val="00580342"/>
    <w:rsid w:val="00581020"/>
    <w:rsid w:val="00582AF7"/>
    <w:rsid w:val="00584CAB"/>
    <w:rsid w:val="0059122E"/>
    <w:rsid w:val="005924FD"/>
    <w:rsid w:val="00594F03"/>
    <w:rsid w:val="0059702C"/>
    <w:rsid w:val="005A1EDA"/>
    <w:rsid w:val="005A20BA"/>
    <w:rsid w:val="005A2963"/>
    <w:rsid w:val="005A3ACA"/>
    <w:rsid w:val="005A4997"/>
    <w:rsid w:val="005A5D04"/>
    <w:rsid w:val="005A6923"/>
    <w:rsid w:val="005A7164"/>
    <w:rsid w:val="005B2F08"/>
    <w:rsid w:val="005B6891"/>
    <w:rsid w:val="005B754E"/>
    <w:rsid w:val="005C07DB"/>
    <w:rsid w:val="005C1786"/>
    <w:rsid w:val="005C301E"/>
    <w:rsid w:val="005C3618"/>
    <w:rsid w:val="005C4F1F"/>
    <w:rsid w:val="005C5538"/>
    <w:rsid w:val="005C772C"/>
    <w:rsid w:val="005D2589"/>
    <w:rsid w:val="005D309A"/>
    <w:rsid w:val="005D5287"/>
    <w:rsid w:val="005E4543"/>
    <w:rsid w:val="005E62AB"/>
    <w:rsid w:val="005F0CC6"/>
    <w:rsid w:val="005F52F7"/>
    <w:rsid w:val="005F6777"/>
    <w:rsid w:val="0060066B"/>
    <w:rsid w:val="006006B6"/>
    <w:rsid w:val="00600F0A"/>
    <w:rsid w:val="00604099"/>
    <w:rsid w:val="00606DFA"/>
    <w:rsid w:val="00611645"/>
    <w:rsid w:val="006129D6"/>
    <w:rsid w:val="006140D1"/>
    <w:rsid w:val="00615682"/>
    <w:rsid w:val="00616435"/>
    <w:rsid w:val="00620692"/>
    <w:rsid w:val="006220B0"/>
    <w:rsid w:val="00624E2D"/>
    <w:rsid w:val="00625779"/>
    <w:rsid w:val="00626A8E"/>
    <w:rsid w:val="00630276"/>
    <w:rsid w:val="00630B66"/>
    <w:rsid w:val="00630EFE"/>
    <w:rsid w:val="0063254E"/>
    <w:rsid w:val="00637F45"/>
    <w:rsid w:val="00640C35"/>
    <w:rsid w:val="00641439"/>
    <w:rsid w:val="00641450"/>
    <w:rsid w:val="00641CE4"/>
    <w:rsid w:val="0064246C"/>
    <w:rsid w:val="006424C4"/>
    <w:rsid w:val="00642A8A"/>
    <w:rsid w:val="00643265"/>
    <w:rsid w:val="006441B9"/>
    <w:rsid w:val="006447D3"/>
    <w:rsid w:val="006515AC"/>
    <w:rsid w:val="00651C75"/>
    <w:rsid w:val="00651F9D"/>
    <w:rsid w:val="00653699"/>
    <w:rsid w:val="00656275"/>
    <w:rsid w:val="006565A4"/>
    <w:rsid w:val="00657DE3"/>
    <w:rsid w:val="00660AD0"/>
    <w:rsid w:val="00664524"/>
    <w:rsid w:val="00670609"/>
    <w:rsid w:val="00671B18"/>
    <w:rsid w:val="0067221A"/>
    <w:rsid w:val="00672BA3"/>
    <w:rsid w:val="00672F2E"/>
    <w:rsid w:val="00673200"/>
    <w:rsid w:val="0067392D"/>
    <w:rsid w:val="00675E40"/>
    <w:rsid w:val="006776D2"/>
    <w:rsid w:val="006837C7"/>
    <w:rsid w:val="00684A42"/>
    <w:rsid w:val="00684BC3"/>
    <w:rsid w:val="00687197"/>
    <w:rsid w:val="00687B4B"/>
    <w:rsid w:val="00687CFB"/>
    <w:rsid w:val="00692AE2"/>
    <w:rsid w:val="00692D9B"/>
    <w:rsid w:val="00693AC5"/>
    <w:rsid w:val="00696875"/>
    <w:rsid w:val="00696D4E"/>
    <w:rsid w:val="006A02E3"/>
    <w:rsid w:val="006A04BE"/>
    <w:rsid w:val="006A04F5"/>
    <w:rsid w:val="006A2F2F"/>
    <w:rsid w:val="006A373B"/>
    <w:rsid w:val="006A680F"/>
    <w:rsid w:val="006A77EC"/>
    <w:rsid w:val="006B15BC"/>
    <w:rsid w:val="006B1B3A"/>
    <w:rsid w:val="006B4CD9"/>
    <w:rsid w:val="006B5294"/>
    <w:rsid w:val="006C0728"/>
    <w:rsid w:val="006C175E"/>
    <w:rsid w:val="006C2949"/>
    <w:rsid w:val="006C2A30"/>
    <w:rsid w:val="006C30A7"/>
    <w:rsid w:val="006C330E"/>
    <w:rsid w:val="006C5306"/>
    <w:rsid w:val="006C5C33"/>
    <w:rsid w:val="006C629E"/>
    <w:rsid w:val="006C748A"/>
    <w:rsid w:val="006C7E06"/>
    <w:rsid w:val="006D13C6"/>
    <w:rsid w:val="006D1FDD"/>
    <w:rsid w:val="006D3774"/>
    <w:rsid w:val="006D3A55"/>
    <w:rsid w:val="006D4CE0"/>
    <w:rsid w:val="006D6AE5"/>
    <w:rsid w:val="006D7949"/>
    <w:rsid w:val="006E1EA0"/>
    <w:rsid w:val="006F0378"/>
    <w:rsid w:val="006F2753"/>
    <w:rsid w:val="006F640F"/>
    <w:rsid w:val="006F7CBD"/>
    <w:rsid w:val="007033E5"/>
    <w:rsid w:val="00703C4B"/>
    <w:rsid w:val="007041AF"/>
    <w:rsid w:val="0070507E"/>
    <w:rsid w:val="00706D5F"/>
    <w:rsid w:val="007118C4"/>
    <w:rsid w:val="00712F49"/>
    <w:rsid w:val="00714E7C"/>
    <w:rsid w:val="007150E9"/>
    <w:rsid w:val="007155D7"/>
    <w:rsid w:val="00716F8A"/>
    <w:rsid w:val="007170A1"/>
    <w:rsid w:val="007200CB"/>
    <w:rsid w:val="00720B9C"/>
    <w:rsid w:val="0072112C"/>
    <w:rsid w:val="00722786"/>
    <w:rsid w:val="00725199"/>
    <w:rsid w:val="007302A6"/>
    <w:rsid w:val="00730BAF"/>
    <w:rsid w:val="007317BB"/>
    <w:rsid w:val="00732328"/>
    <w:rsid w:val="00732CA5"/>
    <w:rsid w:val="00732F5D"/>
    <w:rsid w:val="007336F3"/>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78C"/>
    <w:rsid w:val="007664DD"/>
    <w:rsid w:val="00767EA3"/>
    <w:rsid w:val="00770907"/>
    <w:rsid w:val="0077154D"/>
    <w:rsid w:val="00773151"/>
    <w:rsid w:val="0077324E"/>
    <w:rsid w:val="007739C9"/>
    <w:rsid w:val="00773AC9"/>
    <w:rsid w:val="007744EE"/>
    <w:rsid w:val="0077495B"/>
    <w:rsid w:val="00774B2D"/>
    <w:rsid w:val="0077633B"/>
    <w:rsid w:val="00781FE9"/>
    <w:rsid w:val="0078209C"/>
    <w:rsid w:val="00785F26"/>
    <w:rsid w:val="00787BDA"/>
    <w:rsid w:val="00790C57"/>
    <w:rsid w:val="00792076"/>
    <w:rsid w:val="00793493"/>
    <w:rsid w:val="007955AF"/>
    <w:rsid w:val="00796071"/>
    <w:rsid w:val="007962BD"/>
    <w:rsid w:val="007978B6"/>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3B4"/>
    <w:rsid w:val="007B61C7"/>
    <w:rsid w:val="007B6ECC"/>
    <w:rsid w:val="007C3154"/>
    <w:rsid w:val="007C4F8F"/>
    <w:rsid w:val="007C5E8F"/>
    <w:rsid w:val="007D0117"/>
    <w:rsid w:val="007D0B72"/>
    <w:rsid w:val="007D3C80"/>
    <w:rsid w:val="007D5320"/>
    <w:rsid w:val="007D61F6"/>
    <w:rsid w:val="007D6B22"/>
    <w:rsid w:val="007E017B"/>
    <w:rsid w:val="007E0C5F"/>
    <w:rsid w:val="007E0D92"/>
    <w:rsid w:val="007E20AE"/>
    <w:rsid w:val="007E3E4F"/>
    <w:rsid w:val="007E5737"/>
    <w:rsid w:val="007E679D"/>
    <w:rsid w:val="007E7084"/>
    <w:rsid w:val="007F10C6"/>
    <w:rsid w:val="007F24C9"/>
    <w:rsid w:val="007F3420"/>
    <w:rsid w:val="007F4B8F"/>
    <w:rsid w:val="007F59FF"/>
    <w:rsid w:val="007F6082"/>
    <w:rsid w:val="007F72A9"/>
    <w:rsid w:val="007F7D20"/>
    <w:rsid w:val="00800F80"/>
    <w:rsid w:val="00802235"/>
    <w:rsid w:val="00802CBD"/>
    <w:rsid w:val="0080308E"/>
    <w:rsid w:val="00804472"/>
    <w:rsid w:val="00805A60"/>
    <w:rsid w:val="00805F34"/>
    <w:rsid w:val="00810079"/>
    <w:rsid w:val="008100B2"/>
    <w:rsid w:val="008102C2"/>
    <w:rsid w:val="00811385"/>
    <w:rsid w:val="00811606"/>
    <w:rsid w:val="00811AC5"/>
    <w:rsid w:val="00811C30"/>
    <w:rsid w:val="008135D7"/>
    <w:rsid w:val="00813CF7"/>
    <w:rsid w:val="008153F1"/>
    <w:rsid w:val="00817148"/>
    <w:rsid w:val="00821D8F"/>
    <w:rsid w:val="008246D7"/>
    <w:rsid w:val="008264D2"/>
    <w:rsid w:val="00826889"/>
    <w:rsid w:val="00826A34"/>
    <w:rsid w:val="00830144"/>
    <w:rsid w:val="008312EE"/>
    <w:rsid w:val="00840B93"/>
    <w:rsid w:val="00840C0D"/>
    <w:rsid w:val="00841300"/>
    <w:rsid w:val="0084267C"/>
    <w:rsid w:val="0084325F"/>
    <w:rsid w:val="008449C3"/>
    <w:rsid w:val="008450A0"/>
    <w:rsid w:val="0084603A"/>
    <w:rsid w:val="0084638C"/>
    <w:rsid w:val="00846436"/>
    <w:rsid w:val="00847DE6"/>
    <w:rsid w:val="008547EA"/>
    <w:rsid w:val="0086324F"/>
    <w:rsid w:val="0086400A"/>
    <w:rsid w:val="00866424"/>
    <w:rsid w:val="00866C0D"/>
    <w:rsid w:val="00871A05"/>
    <w:rsid w:val="0087278C"/>
    <w:rsid w:val="00877114"/>
    <w:rsid w:val="00880266"/>
    <w:rsid w:val="008823A8"/>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60FA"/>
    <w:rsid w:val="008A6482"/>
    <w:rsid w:val="008B04D1"/>
    <w:rsid w:val="008B0C2C"/>
    <w:rsid w:val="008B1229"/>
    <w:rsid w:val="008B2483"/>
    <w:rsid w:val="008B27DB"/>
    <w:rsid w:val="008B45AA"/>
    <w:rsid w:val="008B5F34"/>
    <w:rsid w:val="008B6000"/>
    <w:rsid w:val="008B69F7"/>
    <w:rsid w:val="008B7BA8"/>
    <w:rsid w:val="008C28C6"/>
    <w:rsid w:val="008C2E14"/>
    <w:rsid w:val="008C3053"/>
    <w:rsid w:val="008C3336"/>
    <w:rsid w:val="008C3ED0"/>
    <w:rsid w:val="008C4239"/>
    <w:rsid w:val="008C477B"/>
    <w:rsid w:val="008C4BB9"/>
    <w:rsid w:val="008C5529"/>
    <w:rsid w:val="008D1DE1"/>
    <w:rsid w:val="008D21B9"/>
    <w:rsid w:val="008D33C4"/>
    <w:rsid w:val="008D3C36"/>
    <w:rsid w:val="008E0732"/>
    <w:rsid w:val="008E30A9"/>
    <w:rsid w:val="008E3E6B"/>
    <w:rsid w:val="008E4852"/>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61F8"/>
    <w:rsid w:val="00910D4A"/>
    <w:rsid w:val="009138C8"/>
    <w:rsid w:val="009145D6"/>
    <w:rsid w:val="00915C8F"/>
    <w:rsid w:val="009163AC"/>
    <w:rsid w:val="00920CD0"/>
    <w:rsid w:val="00920F8B"/>
    <w:rsid w:val="00922682"/>
    <w:rsid w:val="009228EF"/>
    <w:rsid w:val="00922A9A"/>
    <w:rsid w:val="00922EA4"/>
    <w:rsid w:val="009236F4"/>
    <w:rsid w:val="00926B91"/>
    <w:rsid w:val="009306A4"/>
    <w:rsid w:val="00931E1D"/>
    <w:rsid w:val="00931F8A"/>
    <w:rsid w:val="0093289B"/>
    <w:rsid w:val="0093328D"/>
    <w:rsid w:val="00933A93"/>
    <w:rsid w:val="00937741"/>
    <w:rsid w:val="009379D9"/>
    <w:rsid w:val="00942C81"/>
    <w:rsid w:val="009450D3"/>
    <w:rsid w:val="009453F1"/>
    <w:rsid w:val="00947F35"/>
    <w:rsid w:val="00950637"/>
    <w:rsid w:val="0095148A"/>
    <w:rsid w:val="00954F75"/>
    <w:rsid w:val="00960554"/>
    <w:rsid w:val="009606A0"/>
    <w:rsid w:val="009647B3"/>
    <w:rsid w:val="00965604"/>
    <w:rsid w:val="009743E1"/>
    <w:rsid w:val="0097554E"/>
    <w:rsid w:val="0097683E"/>
    <w:rsid w:val="00976DDD"/>
    <w:rsid w:val="00977FF8"/>
    <w:rsid w:val="009834C6"/>
    <w:rsid w:val="00983A92"/>
    <w:rsid w:val="00984909"/>
    <w:rsid w:val="0098503F"/>
    <w:rsid w:val="009866FE"/>
    <w:rsid w:val="009878D7"/>
    <w:rsid w:val="0099190B"/>
    <w:rsid w:val="0099396F"/>
    <w:rsid w:val="009A11D4"/>
    <w:rsid w:val="009A1299"/>
    <w:rsid w:val="009A1E73"/>
    <w:rsid w:val="009A25C1"/>
    <w:rsid w:val="009A2991"/>
    <w:rsid w:val="009A2C67"/>
    <w:rsid w:val="009A39C9"/>
    <w:rsid w:val="009A50A6"/>
    <w:rsid w:val="009A5D8A"/>
    <w:rsid w:val="009A6E80"/>
    <w:rsid w:val="009B280B"/>
    <w:rsid w:val="009B4502"/>
    <w:rsid w:val="009B6149"/>
    <w:rsid w:val="009B66B9"/>
    <w:rsid w:val="009C056F"/>
    <w:rsid w:val="009C0E80"/>
    <w:rsid w:val="009C40CA"/>
    <w:rsid w:val="009C6660"/>
    <w:rsid w:val="009C752A"/>
    <w:rsid w:val="009C7A19"/>
    <w:rsid w:val="009C7A9A"/>
    <w:rsid w:val="009D1302"/>
    <w:rsid w:val="009D4D04"/>
    <w:rsid w:val="009D4D24"/>
    <w:rsid w:val="009D6296"/>
    <w:rsid w:val="009D78D3"/>
    <w:rsid w:val="009E3235"/>
    <w:rsid w:val="009E368D"/>
    <w:rsid w:val="009E6CCC"/>
    <w:rsid w:val="009E71DC"/>
    <w:rsid w:val="009F046B"/>
    <w:rsid w:val="009F0655"/>
    <w:rsid w:val="009F193B"/>
    <w:rsid w:val="009F3245"/>
    <w:rsid w:val="009F497C"/>
    <w:rsid w:val="00A01A01"/>
    <w:rsid w:val="00A03AD1"/>
    <w:rsid w:val="00A0460C"/>
    <w:rsid w:val="00A05D72"/>
    <w:rsid w:val="00A0714D"/>
    <w:rsid w:val="00A10C0F"/>
    <w:rsid w:val="00A112E5"/>
    <w:rsid w:val="00A13072"/>
    <w:rsid w:val="00A1392A"/>
    <w:rsid w:val="00A14658"/>
    <w:rsid w:val="00A14A9A"/>
    <w:rsid w:val="00A15CCE"/>
    <w:rsid w:val="00A16C6F"/>
    <w:rsid w:val="00A1752E"/>
    <w:rsid w:val="00A22EB3"/>
    <w:rsid w:val="00A268C6"/>
    <w:rsid w:val="00A3092D"/>
    <w:rsid w:val="00A339CB"/>
    <w:rsid w:val="00A36181"/>
    <w:rsid w:val="00A37683"/>
    <w:rsid w:val="00A411AB"/>
    <w:rsid w:val="00A41A8D"/>
    <w:rsid w:val="00A42C5F"/>
    <w:rsid w:val="00A43E0C"/>
    <w:rsid w:val="00A44C2F"/>
    <w:rsid w:val="00A46746"/>
    <w:rsid w:val="00A50A7E"/>
    <w:rsid w:val="00A5210D"/>
    <w:rsid w:val="00A5689B"/>
    <w:rsid w:val="00A60BA9"/>
    <w:rsid w:val="00A62FDF"/>
    <w:rsid w:val="00A645ED"/>
    <w:rsid w:val="00A65F61"/>
    <w:rsid w:val="00A6692A"/>
    <w:rsid w:val="00A66F08"/>
    <w:rsid w:val="00A674A2"/>
    <w:rsid w:val="00A67C9C"/>
    <w:rsid w:val="00A707F6"/>
    <w:rsid w:val="00A711E4"/>
    <w:rsid w:val="00A71F27"/>
    <w:rsid w:val="00A72208"/>
    <w:rsid w:val="00A72F12"/>
    <w:rsid w:val="00A7336C"/>
    <w:rsid w:val="00A73971"/>
    <w:rsid w:val="00A74461"/>
    <w:rsid w:val="00A74701"/>
    <w:rsid w:val="00A749F6"/>
    <w:rsid w:val="00A7625C"/>
    <w:rsid w:val="00A77E3B"/>
    <w:rsid w:val="00A80477"/>
    <w:rsid w:val="00A80B07"/>
    <w:rsid w:val="00A823D2"/>
    <w:rsid w:val="00A82A76"/>
    <w:rsid w:val="00A832EE"/>
    <w:rsid w:val="00A8453B"/>
    <w:rsid w:val="00A8609F"/>
    <w:rsid w:val="00A904FA"/>
    <w:rsid w:val="00A918CF"/>
    <w:rsid w:val="00A92208"/>
    <w:rsid w:val="00A93F5C"/>
    <w:rsid w:val="00A97849"/>
    <w:rsid w:val="00AA1D2A"/>
    <w:rsid w:val="00AA2588"/>
    <w:rsid w:val="00AA288D"/>
    <w:rsid w:val="00AA4114"/>
    <w:rsid w:val="00AA44AB"/>
    <w:rsid w:val="00AA5B73"/>
    <w:rsid w:val="00AA727A"/>
    <w:rsid w:val="00AA7E28"/>
    <w:rsid w:val="00AA7F0E"/>
    <w:rsid w:val="00AB0580"/>
    <w:rsid w:val="00AB1696"/>
    <w:rsid w:val="00AB2A3A"/>
    <w:rsid w:val="00AB2AC9"/>
    <w:rsid w:val="00AB3E2E"/>
    <w:rsid w:val="00AB413A"/>
    <w:rsid w:val="00AB716E"/>
    <w:rsid w:val="00AB7706"/>
    <w:rsid w:val="00AC1379"/>
    <w:rsid w:val="00AC1DBF"/>
    <w:rsid w:val="00AC26FE"/>
    <w:rsid w:val="00AC2C42"/>
    <w:rsid w:val="00AC436E"/>
    <w:rsid w:val="00AC4BCB"/>
    <w:rsid w:val="00AC5FC9"/>
    <w:rsid w:val="00AC7EAA"/>
    <w:rsid w:val="00AD076C"/>
    <w:rsid w:val="00AD0F81"/>
    <w:rsid w:val="00AD2306"/>
    <w:rsid w:val="00AD2A28"/>
    <w:rsid w:val="00AD5379"/>
    <w:rsid w:val="00AD5A11"/>
    <w:rsid w:val="00AD5A23"/>
    <w:rsid w:val="00AD7F8A"/>
    <w:rsid w:val="00AE21AD"/>
    <w:rsid w:val="00AE5026"/>
    <w:rsid w:val="00AE5289"/>
    <w:rsid w:val="00AE5523"/>
    <w:rsid w:val="00AE5FFC"/>
    <w:rsid w:val="00AE6336"/>
    <w:rsid w:val="00AF3065"/>
    <w:rsid w:val="00AF375B"/>
    <w:rsid w:val="00AF7FCB"/>
    <w:rsid w:val="00B0184C"/>
    <w:rsid w:val="00B0438D"/>
    <w:rsid w:val="00B04D7A"/>
    <w:rsid w:val="00B053D2"/>
    <w:rsid w:val="00B06A46"/>
    <w:rsid w:val="00B12E1D"/>
    <w:rsid w:val="00B131EB"/>
    <w:rsid w:val="00B13D2F"/>
    <w:rsid w:val="00B14799"/>
    <w:rsid w:val="00B15281"/>
    <w:rsid w:val="00B22B4E"/>
    <w:rsid w:val="00B243A1"/>
    <w:rsid w:val="00B25DEA"/>
    <w:rsid w:val="00B2665F"/>
    <w:rsid w:val="00B3049D"/>
    <w:rsid w:val="00B3360C"/>
    <w:rsid w:val="00B33BF4"/>
    <w:rsid w:val="00B370CA"/>
    <w:rsid w:val="00B40C75"/>
    <w:rsid w:val="00B46039"/>
    <w:rsid w:val="00B46814"/>
    <w:rsid w:val="00B51151"/>
    <w:rsid w:val="00B52713"/>
    <w:rsid w:val="00B5328C"/>
    <w:rsid w:val="00B566BA"/>
    <w:rsid w:val="00B5743B"/>
    <w:rsid w:val="00B63A2F"/>
    <w:rsid w:val="00B63C56"/>
    <w:rsid w:val="00B65B64"/>
    <w:rsid w:val="00B66BCE"/>
    <w:rsid w:val="00B679BD"/>
    <w:rsid w:val="00B72D66"/>
    <w:rsid w:val="00B76B51"/>
    <w:rsid w:val="00B8120E"/>
    <w:rsid w:val="00B82ED6"/>
    <w:rsid w:val="00B84032"/>
    <w:rsid w:val="00B84AE4"/>
    <w:rsid w:val="00B852D6"/>
    <w:rsid w:val="00B855CE"/>
    <w:rsid w:val="00B87985"/>
    <w:rsid w:val="00B90720"/>
    <w:rsid w:val="00B910F9"/>
    <w:rsid w:val="00B91BC8"/>
    <w:rsid w:val="00B95D58"/>
    <w:rsid w:val="00B977C5"/>
    <w:rsid w:val="00BA023F"/>
    <w:rsid w:val="00BA213C"/>
    <w:rsid w:val="00BA2EB9"/>
    <w:rsid w:val="00BA5DE0"/>
    <w:rsid w:val="00BB03C4"/>
    <w:rsid w:val="00BB0B33"/>
    <w:rsid w:val="00BB244A"/>
    <w:rsid w:val="00BB2863"/>
    <w:rsid w:val="00BB2F0D"/>
    <w:rsid w:val="00BB3695"/>
    <w:rsid w:val="00BB37AC"/>
    <w:rsid w:val="00BB475B"/>
    <w:rsid w:val="00BB4F49"/>
    <w:rsid w:val="00BB6B7B"/>
    <w:rsid w:val="00BB7314"/>
    <w:rsid w:val="00BB7BC4"/>
    <w:rsid w:val="00BC0BB2"/>
    <w:rsid w:val="00BC55CC"/>
    <w:rsid w:val="00BD3223"/>
    <w:rsid w:val="00BD3A2A"/>
    <w:rsid w:val="00BD3E5E"/>
    <w:rsid w:val="00BD683F"/>
    <w:rsid w:val="00BD7D24"/>
    <w:rsid w:val="00BD7F6D"/>
    <w:rsid w:val="00BE18B8"/>
    <w:rsid w:val="00BE1E82"/>
    <w:rsid w:val="00BE1F1F"/>
    <w:rsid w:val="00BE439D"/>
    <w:rsid w:val="00BE6022"/>
    <w:rsid w:val="00BE609B"/>
    <w:rsid w:val="00BF037B"/>
    <w:rsid w:val="00BF10CB"/>
    <w:rsid w:val="00BF28D1"/>
    <w:rsid w:val="00BF503E"/>
    <w:rsid w:val="00BF590E"/>
    <w:rsid w:val="00BF6EAA"/>
    <w:rsid w:val="00BF749F"/>
    <w:rsid w:val="00C000AA"/>
    <w:rsid w:val="00C00B69"/>
    <w:rsid w:val="00C01813"/>
    <w:rsid w:val="00C10438"/>
    <w:rsid w:val="00C1070A"/>
    <w:rsid w:val="00C11974"/>
    <w:rsid w:val="00C12A40"/>
    <w:rsid w:val="00C155EA"/>
    <w:rsid w:val="00C176C7"/>
    <w:rsid w:val="00C20FA9"/>
    <w:rsid w:val="00C25FA1"/>
    <w:rsid w:val="00C270F6"/>
    <w:rsid w:val="00C273E7"/>
    <w:rsid w:val="00C33D96"/>
    <w:rsid w:val="00C33E06"/>
    <w:rsid w:val="00C35559"/>
    <w:rsid w:val="00C3693E"/>
    <w:rsid w:val="00C37333"/>
    <w:rsid w:val="00C417C5"/>
    <w:rsid w:val="00C45ED8"/>
    <w:rsid w:val="00C462E8"/>
    <w:rsid w:val="00C47068"/>
    <w:rsid w:val="00C52A58"/>
    <w:rsid w:val="00C53914"/>
    <w:rsid w:val="00C55400"/>
    <w:rsid w:val="00C556F7"/>
    <w:rsid w:val="00C55BD5"/>
    <w:rsid w:val="00C56046"/>
    <w:rsid w:val="00C603B2"/>
    <w:rsid w:val="00C6197B"/>
    <w:rsid w:val="00C63D7F"/>
    <w:rsid w:val="00C67289"/>
    <w:rsid w:val="00C7219E"/>
    <w:rsid w:val="00C72F62"/>
    <w:rsid w:val="00C733CC"/>
    <w:rsid w:val="00C748A2"/>
    <w:rsid w:val="00C74C14"/>
    <w:rsid w:val="00C80803"/>
    <w:rsid w:val="00C83993"/>
    <w:rsid w:val="00C844AB"/>
    <w:rsid w:val="00C86E22"/>
    <w:rsid w:val="00C90A5D"/>
    <w:rsid w:val="00C92D2F"/>
    <w:rsid w:val="00C95406"/>
    <w:rsid w:val="00C9543F"/>
    <w:rsid w:val="00C95AE0"/>
    <w:rsid w:val="00C95F4E"/>
    <w:rsid w:val="00C96254"/>
    <w:rsid w:val="00C96CD2"/>
    <w:rsid w:val="00CA1203"/>
    <w:rsid w:val="00CA592F"/>
    <w:rsid w:val="00CA794F"/>
    <w:rsid w:val="00CB2280"/>
    <w:rsid w:val="00CB39B1"/>
    <w:rsid w:val="00CB506B"/>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86B"/>
    <w:rsid w:val="00CD38EC"/>
    <w:rsid w:val="00CD3CC0"/>
    <w:rsid w:val="00CD757F"/>
    <w:rsid w:val="00CD7FBF"/>
    <w:rsid w:val="00CE0886"/>
    <w:rsid w:val="00CE43EA"/>
    <w:rsid w:val="00CE6E12"/>
    <w:rsid w:val="00CE6EC2"/>
    <w:rsid w:val="00CE72B2"/>
    <w:rsid w:val="00CE7AB2"/>
    <w:rsid w:val="00CF088B"/>
    <w:rsid w:val="00CF21F3"/>
    <w:rsid w:val="00CF43E5"/>
    <w:rsid w:val="00CF4C62"/>
    <w:rsid w:val="00D00E71"/>
    <w:rsid w:val="00D02E67"/>
    <w:rsid w:val="00D044D1"/>
    <w:rsid w:val="00D05384"/>
    <w:rsid w:val="00D0728D"/>
    <w:rsid w:val="00D10B05"/>
    <w:rsid w:val="00D10C64"/>
    <w:rsid w:val="00D10ED4"/>
    <w:rsid w:val="00D12331"/>
    <w:rsid w:val="00D13840"/>
    <w:rsid w:val="00D1422F"/>
    <w:rsid w:val="00D14DAB"/>
    <w:rsid w:val="00D16127"/>
    <w:rsid w:val="00D16CA3"/>
    <w:rsid w:val="00D217ED"/>
    <w:rsid w:val="00D218A5"/>
    <w:rsid w:val="00D2397F"/>
    <w:rsid w:val="00D24AC2"/>
    <w:rsid w:val="00D255F2"/>
    <w:rsid w:val="00D26DDF"/>
    <w:rsid w:val="00D312BE"/>
    <w:rsid w:val="00D3193B"/>
    <w:rsid w:val="00D31F49"/>
    <w:rsid w:val="00D3205F"/>
    <w:rsid w:val="00D33973"/>
    <w:rsid w:val="00D40906"/>
    <w:rsid w:val="00D40A4F"/>
    <w:rsid w:val="00D4207A"/>
    <w:rsid w:val="00D43149"/>
    <w:rsid w:val="00D43A9A"/>
    <w:rsid w:val="00D43AE2"/>
    <w:rsid w:val="00D51EF3"/>
    <w:rsid w:val="00D51FAC"/>
    <w:rsid w:val="00D53106"/>
    <w:rsid w:val="00D53698"/>
    <w:rsid w:val="00D550F1"/>
    <w:rsid w:val="00D55CF8"/>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EB1"/>
    <w:rsid w:val="00D70564"/>
    <w:rsid w:val="00D707DF"/>
    <w:rsid w:val="00D72929"/>
    <w:rsid w:val="00D75EB7"/>
    <w:rsid w:val="00D76EC7"/>
    <w:rsid w:val="00D87434"/>
    <w:rsid w:val="00D906A2"/>
    <w:rsid w:val="00D9361F"/>
    <w:rsid w:val="00D94EFC"/>
    <w:rsid w:val="00DA2C32"/>
    <w:rsid w:val="00DA314D"/>
    <w:rsid w:val="00DA5439"/>
    <w:rsid w:val="00DB33CD"/>
    <w:rsid w:val="00DB36EC"/>
    <w:rsid w:val="00DB55C0"/>
    <w:rsid w:val="00DB5B60"/>
    <w:rsid w:val="00DB6351"/>
    <w:rsid w:val="00DB68D5"/>
    <w:rsid w:val="00DB7609"/>
    <w:rsid w:val="00DC0328"/>
    <w:rsid w:val="00DC1C96"/>
    <w:rsid w:val="00DC398E"/>
    <w:rsid w:val="00DC3C55"/>
    <w:rsid w:val="00DC45FD"/>
    <w:rsid w:val="00DC5549"/>
    <w:rsid w:val="00DC5CCF"/>
    <w:rsid w:val="00DC68E3"/>
    <w:rsid w:val="00DD224A"/>
    <w:rsid w:val="00DD3CAB"/>
    <w:rsid w:val="00DD4114"/>
    <w:rsid w:val="00DD5542"/>
    <w:rsid w:val="00DD62ED"/>
    <w:rsid w:val="00DD69A8"/>
    <w:rsid w:val="00DE1993"/>
    <w:rsid w:val="00DE2611"/>
    <w:rsid w:val="00DE4276"/>
    <w:rsid w:val="00DE58C4"/>
    <w:rsid w:val="00DE671D"/>
    <w:rsid w:val="00DF02DC"/>
    <w:rsid w:val="00DF151F"/>
    <w:rsid w:val="00DF38FD"/>
    <w:rsid w:val="00DF53E3"/>
    <w:rsid w:val="00DF78E5"/>
    <w:rsid w:val="00DF7A01"/>
    <w:rsid w:val="00E0044C"/>
    <w:rsid w:val="00E04D6F"/>
    <w:rsid w:val="00E05F68"/>
    <w:rsid w:val="00E0627D"/>
    <w:rsid w:val="00E065A0"/>
    <w:rsid w:val="00E0732A"/>
    <w:rsid w:val="00E10A39"/>
    <w:rsid w:val="00E10DBF"/>
    <w:rsid w:val="00E1156D"/>
    <w:rsid w:val="00E11891"/>
    <w:rsid w:val="00E14559"/>
    <w:rsid w:val="00E14ACD"/>
    <w:rsid w:val="00E1632E"/>
    <w:rsid w:val="00E1684F"/>
    <w:rsid w:val="00E1792B"/>
    <w:rsid w:val="00E1797C"/>
    <w:rsid w:val="00E17B8F"/>
    <w:rsid w:val="00E17C2D"/>
    <w:rsid w:val="00E20424"/>
    <w:rsid w:val="00E23A8B"/>
    <w:rsid w:val="00E23D92"/>
    <w:rsid w:val="00E25973"/>
    <w:rsid w:val="00E25BAE"/>
    <w:rsid w:val="00E31805"/>
    <w:rsid w:val="00E346E7"/>
    <w:rsid w:val="00E37BA8"/>
    <w:rsid w:val="00E37FEA"/>
    <w:rsid w:val="00E46C05"/>
    <w:rsid w:val="00E50E44"/>
    <w:rsid w:val="00E52015"/>
    <w:rsid w:val="00E53B0A"/>
    <w:rsid w:val="00E54908"/>
    <w:rsid w:val="00E5696E"/>
    <w:rsid w:val="00E5790A"/>
    <w:rsid w:val="00E6015F"/>
    <w:rsid w:val="00E60830"/>
    <w:rsid w:val="00E61C9F"/>
    <w:rsid w:val="00E64A04"/>
    <w:rsid w:val="00E67EFE"/>
    <w:rsid w:val="00E72094"/>
    <w:rsid w:val="00E73764"/>
    <w:rsid w:val="00E73B51"/>
    <w:rsid w:val="00E7411C"/>
    <w:rsid w:val="00E74DA4"/>
    <w:rsid w:val="00E757A6"/>
    <w:rsid w:val="00E76560"/>
    <w:rsid w:val="00E77367"/>
    <w:rsid w:val="00E81E3C"/>
    <w:rsid w:val="00E87B3F"/>
    <w:rsid w:val="00E87D58"/>
    <w:rsid w:val="00E90D59"/>
    <w:rsid w:val="00E924F0"/>
    <w:rsid w:val="00E943A9"/>
    <w:rsid w:val="00E94D0C"/>
    <w:rsid w:val="00EA2356"/>
    <w:rsid w:val="00EA2AAC"/>
    <w:rsid w:val="00EA384D"/>
    <w:rsid w:val="00EA5257"/>
    <w:rsid w:val="00EA73B5"/>
    <w:rsid w:val="00EB2E65"/>
    <w:rsid w:val="00EB7C77"/>
    <w:rsid w:val="00EC0322"/>
    <w:rsid w:val="00EC0B2B"/>
    <w:rsid w:val="00EC21D7"/>
    <w:rsid w:val="00EC2886"/>
    <w:rsid w:val="00EC70C3"/>
    <w:rsid w:val="00EC74B2"/>
    <w:rsid w:val="00ED60B3"/>
    <w:rsid w:val="00ED6E0A"/>
    <w:rsid w:val="00ED79B5"/>
    <w:rsid w:val="00EE0679"/>
    <w:rsid w:val="00EE10AD"/>
    <w:rsid w:val="00EE29E1"/>
    <w:rsid w:val="00EE3206"/>
    <w:rsid w:val="00EE3351"/>
    <w:rsid w:val="00EE439D"/>
    <w:rsid w:val="00EE4873"/>
    <w:rsid w:val="00EF068B"/>
    <w:rsid w:val="00EF1020"/>
    <w:rsid w:val="00EF2304"/>
    <w:rsid w:val="00EF2D17"/>
    <w:rsid w:val="00EF3F7E"/>
    <w:rsid w:val="00EF5675"/>
    <w:rsid w:val="00EF69C7"/>
    <w:rsid w:val="00EF6E55"/>
    <w:rsid w:val="00EF6EF1"/>
    <w:rsid w:val="00EF6F52"/>
    <w:rsid w:val="00EF713E"/>
    <w:rsid w:val="00F0078A"/>
    <w:rsid w:val="00F00B61"/>
    <w:rsid w:val="00F00B8E"/>
    <w:rsid w:val="00F02DCB"/>
    <w:rsid w:val="00F03D35"/>
    <w:rsid w:val="00F12AF4"/>
    <w:rsid w:val="00F15E09"/>
    <w:rsid w:val="00F16175"/>
    <w:rsid w:val="00F22428"/>
    <w:rsid w:val="00F228C3"/>
    <w:rsid w:val="00F248BB"/>
    <w:rsid w:val="00F2549D"/>
    <w:rsid w:val="00F25DBC"/>
    <w:rsid w:val="00F25FED"/>
    <w:rsid w:val="00F266B5"/>
    <w:rsid w:val="00F27A53"/>
    <w:rsid w:val="00F27EC9"/>
    <w:rsid w:val="00F303D0"/>
    <w:rsid w:val="00F31D50"/>
    <w:rsid w:val="00F330C9"/>
    <w:rsid w:val="00F331EF"/>
    <w:rsid w:val="00F33C17"/>
    <w:rsid w:val="00F36554"/>
    <w:rsid w:val="00F40ED4"/>
    <w:rsid w:val="00F41CFD"/>
    <w:rsid w:val="00F43BF6"/>
    <w:rsid w:val="00F4492D"/>
    <w:rsid w:val="00F46B75"/>
    <w:rsid w:val="00F46C2C"/>
    <w:rsid w:val="00F47322"/>
    <w:rsid w:val="00F5081F"/>
    <w:rsid w:val="00F52E04"/>
    <w:rsid w:val="00F54C88"/>
    <w:rsid w:val="00F54F93"/>
    <w:rsid w:val="00F609A9"/>
    <w:rsid w:val="00F614E0"/>
    <w:rsid w:val="00F647D9"/>
    <w:rsid w:val="00F648EE"/>
    <w:rsid w:val="00F6552B"/>
    <w:rsid w:val="00F65980"/>
    <w:rsid w:val="00F6711A"/>
    <w:rsid w:val="00F71D99"/>
    <w:rsid w:val="00F72CBA"/>
    <w:rsid w:val="00F73BC3"/>
    <w:rsid w:val="00F7480A"/>
    <w:rsid w:val="00F759C3"/>
    <w:rsid w:val="00F8192C"/>
    <w:rsid w:val="00F84C18"/>
    <w:rsid w:val="00F87A1F"/>
    <w:rsid w:val="00F87CA2"/>
    <w:rsid w:val="00F94B48"/>
    <w:rsid w:val="00F9549B"/>
    <w:rsid w:val="00FA0364"/>
    <w:rsid w:val="00FA14C3"/>
    <w:rsid w:val="00FA15B1"/>
    <w:rsid w:val="00FA1D2E"/>
    <w:rsid w:val="00FA2D53"/>
    <w:rsid w:val="00FA7A22"/>
    <w:rsid w:val="00FA7DCC"/>
    <w:rsid w:val="00FB0ED0"/>
    <w:rsid w:val="00FB2AAD"/>
    <w:rsid w:val="00FB2AEF"/>
    <w:rsid w:val="00FB2B1F"/>
    <w:rsid w:val="00FB2C32"/>
    <w:rsid w:val="00FB428E"/>
    <w:rsid w:val="00FB4FFB"/>
    <w:rsid w:val="00FB5E82"/>
    <w:rsid w:val="00FB6288"/>
    <w:rsid w:val="00FB690E"/>
    <w:rsid w:val="00FC3D12"/>
    <w:rsid w:val="00FC3FFB"/>
    <w:rsid w:val="00FC4430"/>
    <w:rsid w:val="00FC4AA4"/>
    <w:rsid w:val="00FC525E"/>
    <w:rsid w:val="00FC554E"/>
    <w:rsid w:val="00FC5DBA"/>
    <w:rsid w:val="00FD0B41"/>
    <w:rsid w:val="00FD1CF2"/>
    <w:rsid w:val="00FD1E8A"/>
    <w:rsid w:val="00FD2F13"/>
    <w:rsid w:val="00FD4156"/>
    <w:rsid w:val="00FE06D9"/>
    <w:rsid w:val="00FE21B3"/>
    <w:rsid w:val="00FE2BE2"/>
    <w:rsid w:val="00FE2F95"/>
    <w:rsid w:val="00FE7935"/>
    <w:rsid w:val="00FF229A"/>
    <w:rsid w:val="00FF3908"/>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2001422614">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6114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153341980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130701000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8333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 w:id="2824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223764126">
              <w:marLeft w:val="0"/>
              <w:marRight w:val="0"/>
              <w:marTop w:val="0"/>
              <w:marBottom w:val="0"/>
              <w:divBdr>
                <w:top w:val="none" w:sz="0" w:space="0" w:color="auto"/>
                <w:left w:val="none" w:sz="0" w:space="0" w:color="auto"/>
                <w:bottom w:val="none" w:sz="0" w:space="0" w:color="auto"/>
                <w:right w:val="none" w:sz="0" w:space="0" w:color="auto"/>
              </w:divBdr>
            </w:div>
            <w:div w:id="1097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alitywatch.org.uk/sites/files/qualitywatch/field/field_document/Focus%20On%20Allied%20Health%20Professionals.pdf" TargetMode="External"/><Relationship Id="rId18" Type="http://schemas.openxmlformats.org/officeDocument/2006/relationships/hyperlink" Target="https://secure.cihi.ca/free_products/HSE_TechnicalReport_EN_web.pdf" TargetMode="External"/><Relationship Id="rId26" Type="http://schemas.openxmlformats.org/officeDocument/2006/relationships/hyperlink" Target="http://www.cadth.ca/media/pdf/ES0287_LabOptimizingEfforts_e.pdf" TargetMode="External"/><Relationship Id="rId39" Type="http://schemas.openxmlformats.org/officeDocument/2006/relationships/hyperlink" Target="http://www.nap.edu/catalog.php?record_id=18831&amp;utm_source=NAP+Newsletter&amp;utm_campaign=a7d6565192-NAP_mail_new_2014_10_14&amp;utm_medium=email&amp;utm_term=0_96101de015-a7d6565192-102579513&amp;mc_cid=a7d6565192&amp;mc_eid=887bc22fe0" TargetMode="External"/><Relationship Id="rId21" Type="http://schemas.openxmlformats.org/officeDocument/2006/relationships/hyperlink" Target="http://www.nuffieldtrust.org.uk/sites/files/nuffield/publication/ft_hospitals_analysis.pdf" TargetMode="External"/><Relationship Id="rId34" Type="http://schemas.openxmlformats.org/officeDocument/2006/relationships/hyperlink" Target="http://www.nap.edu/catalog.php?record_id=18870&amp;utm_medium=etmail&amp;utm_source=The%20National%20Academies%20Press&amp;utm_campaign=NAP+mail+new+2014.09.30&amp;utm_content=web%20updates&amp;utm_term=" TargetMode="External"/><Relationship Id="rId42" Type="http://schemas.openxmlformats.org/officeDocument/2006/relationships/hyperlink" Target="http://www.involve.org.uk/wp-content/uploads/2014/10/Public-engagement-not-just-about-the-public.pdf" TargetMode="External"/><Relationship Id="rId47" Type="http://schemas.openxmlformats.org/officeDocument/2006/relationships/hyperlink" Target="http://www.instituteofhealthequity.org/projects/natural-solutions-to-tackling-health-inequalities/natural-solutions-to-tackling-health-inequalities.pdf" TargetMode="External"/><Relationship Id="rId50" Type="http://schemas.openxmlformats.org/officeDocument/2006/relationships/hyperlink" Target="http://www.pocklington-trust.org.uk/Resources/Thomas%20Pocklington/Documents/PDF/Research%20Publications/Research%20Findings/rf-44-social-isolation-3.pdf" TargetMode="External"/><Relationship Id="rId55" Type="http://schemas.openxmlformats.org/officeDocument/2006/relationships/hyperlink" Target="https://www.gov.uk/government/uploads/system/uploads/attachment_data/file/365756/CWP_2014.pdf" TargetMode="External"/><Relationship Id="rId63" Type="http://schemas.openxmlformats.org/officeDocument/2006/relationships/hyperlink" Target="https://www.nice.org.uk/guidance/ph54/resources/guidance-exercise-referral-schemes-to-promote-physical-activity-pdf" TargetMode="External"/><Relationship Id="rId68" Type="http://schemas.openxmlformats.org/officeDocument/2006/relationships/hyperlink" Target="http://igps.victoria.ac.nz/publications/files/b9ec39994c8.pdf" TargetMode="External"/><Relationship Id="rId76" Type="http://schemas.openxmlformats.org/officeDocument/2006/relationships/hyperlink" Target="http://www.stmichaelshospital.com/crich/wp-content/uploads/FINALsept25evidenceforahealthcity.pdf" TargetMode="External"/><Relationship Id="rId8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cqc.org.uk/sites/default/files/20141009_cracks_in_the_pathway_final_0.pdf" TargetMode="External"/><Relationship Id="rId2" Type="http://schemas.openxmlformats.org/officeDocument/2006/relationships/numbering" Target="numbering.xml"/><Relationship Id="rId16" Type="http://schemas.openxmlformats.org/officeDocument/2006/relationships/hyperlink" Target="http://www.kpmg.com/Global/en/IssuesAndInsights/ArticlesPublications/what-works/creating-new-value-with-patients/Documents/staying-power-success-stories.pdf" TargetMode="External"/><Relationship Id="rId29" Type="http://schemas.openxmlformats.org/officeDocument/2006/relationships/hyperlink" Target="http://apo.org.au/files/Resource/anao_successfulimplementationofpolicyinitiativesbetterpracticeguide_oct_2014.pdf" TargetMode="External"/><Relationship Id="rId11" Type="http://schemas.openxmlformats.org/officeDocument/2006/relationships/hyperlink" Target="mailto:library@moh.govt.nz?subject=I%20would%20like%20to%20subscribe%20to%20Grey%20Matter." TargetMode="External"/><Relationship Id="rId24" Type="http://schemas.openxmlformats.org/officeDocument/2006/relationships/hyperlink" Target="http://www.nap.edu/catalog.php?record_id=18945&amp;utm_medium=etmail&amp;utm_source=The%20National%20Academies%20Press&amp;utm_campaign=NAP+mail+new+2014.09.30&amp;utm_content=web%20updates&amp;utm_term=" TargetMode="External"/><Relationship Id="rId32" Type="http://schemas.openxmlformats.org/officeDocument/2006/relationships/hyperlink" Target="http://www.unicef-irc.org/publications/pdf/rc12-eng-web.pdf" TargetMode="External"/><Relationship Id="rId37" Type="http://schemas.openxmlformats.org/officeDocument/2006/relationships/hyperlink" Target="http://healthycanadians.gc.ca/alt/pdf/drugs-products-medicaments-produits/antibiotic-resistance-antibiotique/antimicrobial-framework-cadre-antimicrobiens-eng.pdf" TargetMode="External"/><Relationship Id="rId40" Type="http://schemas.openxmlformats.org/officeDocument/2006/relationships/hyperlink" Target="http://www.health.org.uk/public/cms/75/76/313/5017/Ideas%20into%20action_person-centred%20care%20in%20practice.pdf?realName=RdskJq.pdf" TargetMode="External"/><Relationship Id="rId45" Type="http://schemas.openxmlformats.org/officeDocument/2006/relationships/hyperlink" Target="http://www.wpro.who.int/noncommunicable_diseases/about/NCDRAP_2014-2020_full.pdf?ua=1" TargetMode="External"/><Relationship Id="rId53" Type="http://schemas.openxmlformats.org/officeDocument/2006/relationships/hyperlink" Target="http://www.cap.org.uk/News-reports/Media-Centre/2014/~/media/Files/CAP/Consultations/ecig%20consultation/Regulatory%20Statement.ashx" TargetMode="External"/><Relationship Id="rId58" Type="http://schemas.openxmlformats.org/officeDocument/2006/relationships/hyperlink" Target="http://apo.org.au/sites/all/modules/pubdlcnt/pubdlcnt.php?nid=41967&amp;file=http://www.kids.nsw.gov.au/ArticleDocuments/467/Support%20on%20tough%20times%20website.pdf.aspx" TargetMode="External"/><Relationship Id="rId66" Type="http://schemas.openxmlformats.org/officeDocument/2006/relationships/hyperlink" Target="http://www.businessofgovernment.org/sites/default/files/Inter-Organizational%20Networks_0.pdf" TargetMode="External"/><Relationship Id="rId74" Type="http://schemas.openxmlformats.org/officeDocument/2006/relationships/hyperlink" Target="http://www.jrf.org.uk/sites/files/jrf/Care_home_inquiry_FULL_0.pdf" TargetMode="External"/><Relationship Id="rId79" Type="http://schemas.openxmlformats.org/officeDocument/2006/relationships/hyperlink" Target="http://www.commonwealthfund.org/~/media/files/publications/fund-report/2014/oct/1777_hostetter_taking_digital_hlt_next_level_v2.pdf"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deloitte.com/assets/Dcom-UnitedKingdom/Local%20Assets/Documents/Industries/Life%20Sciences/uk-ls-transforming-care-at-the-end-of-life.pdf" TargetMode="External"/><Relationship Id="rId82" Type="http://schemas.openxmlformats.org/officeDocument/2006/relationships/hyperlink" Target="http://www.nhsalliance.org/wp-content/uploads/2014/10/THINK-BIGACT-NOW-FINAL-1.pdf" TargetMode="External"/><Relationship Id="rId19" Type="http://schemas.openxmlformats.org/officeDocument/2006/relationships/hyperlink" Target="http://www.cdhowe.org/pdf/e-brief_185.pdf" TargetMode="External"/><Relationship Id="rId4" Type="http://schemas.microsoft.com/office/2007/relationships/stylesWithEffects" Target="stylesWithEffects.xml"/><Relationship Id="rId9" Type="http://schemas.openxmlformats.org/officeDocument/2006/relationships/hyperlink" Target="http://www.health.govt.nz/about-ministry/ministry-health-library" TargetMode="External"/><Relationship Id="rId14" Type="http://schemas.openxmlformats.org/officeDocument/2006/relationships/hyperlink" Target="http://www.cdhowe.org/pdf/Commentary_416.pdf" TargetMode="External"/><Relationship Id="rId22" Type="http://schemas.openxmlformats.org/officeDocument/2006/relationships/hyperlink" Target="http://www.kingsfund.org.uk/sites/files/kf/field/field_publication_file/financial-failure-in-the-nhs-kingsfund-oct14.pdf" TargetMode="External"/><Relationship Id="rId27" Type="http://schemas.openxmlformats.org/officeDocument/2006/relationships/hyperlink" Target="http://www.frontier-economics.com/documents/2014/10/exploring-the-costs-of-unsafe-care-in-the-nhs-frontier-report-2-2-2-2.pdf" TargetMode="External"/><Relationship Id="rId30" Type="http://schemas.openxmlformats.org/officeDocument/2006/relationships/hyperlink" Target="http://www.effectivehealthcare.ahrq.gov/ehc/products/544/1945/autism-update-report-140929.pdf" TargetMode="External"/><Relationship Id="rId35" Type="http://schemas.openxmlformats.org/officeDocument/2006/relationships/hyperlink" Target="https://www.gov.uk/government/uploads/system/uploads/attachment_data/file/362374/ESPAUR_Report_2014__3_.pdf" TargetMode="External"/><Relationship Id="rId43" Type="http://schemas.openxmlformats.org/officeDocument/2006/relationships/hyperlink" Target="http://www.healthwatch.co.uk/sites/default/files/hwe-complaints-report.pdf" TargetMode="External"/><Relationship Id="rId48" Type="http://schemas.openxmlformats.org/officeDocument/2006/relationships/hyperlink" Target="http://www.victoria.ac.nz/sacl/centres-and-institutes/cpf/publications/pdfs/2015/WP09_2014_Indicators-of-Inequality.pdf" TargetMode="External"/><Relationship Id="rId56" Type="http://schemas.openxmlformats.org/officeDocument/2006/relationships/hyperlink" Target="http://store.samhsa.gov/shin/content/SMA14-4884/SMA14-4884.pdf" TargetMode="External"/><Relationship Id="rId64" Type="http://schemas.openxmlformats.org/officeDocument/2006/relationships/hyperlink" Target="https://www.gov.uk/government/uploads/system/uploads/attachment_data/file/366113/Evidence_layout_23_Oct.pdf" TargetMode="External"/><Relationship Id="rId69" Type="http://schemas.openxmlformats.org/officeDocument/2006/relationships/hyperlink" Target="http://www.nhscc.org/wp-content/uploads/2014/10/Leading-local-partnerships_WEB1.pdf" TargetMode="External"/><Relationship Id="rId77" Type="http://schemas.openxmlformats.org/officeDocument/2006/relationships/hyperlink" Target="http://www.local.gov.uk/documents/10180/5854661/Making+every+contact+count+-+taking+every+opportunity+to+improve+health+and+wellbeing/c23149f0-e2d9-4967-b45c-fc69c86b5424" TargetMode="External"/><Relationship Id="rId8" Type="http://schemas.openxmlformats.org/officeDocument/2006/relationships/endnotes" Target="endnotes.xml"/><Relationship Id="rId51" Type="http://schemas.openxmlformats.org/officeDocument/2006/relationships/hyperlink" Target="https://www.gov.uk/government/uploads/system/uploads/attachment_data/file/366852/PHE_Priorities.pdf" TargetMode="External"/><Relationship Id="rId72" Type="http://schemas.openxmlformats.org/officeDocument/2006/relationships/hyperlink" Target="http://docs.health.vic.gov.au/docs/doc/FAF0A42650E6A45CCA257D790080B10E/$FILE/dementia_plan.pdf" TargetMode="External"/><Relationship Id="rId80" Type="http://schemas.openxmlformats.org/officeDocument/2006/relationships/hyperlink" Target="http://www.commonwealthfund.org/~/media/files/publications/fund-report/2014/oct/1776_klein_vision_using_digital_hlt_tech_v2.pdf?la=en"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safetyandquality.gov.au/wp-content/uploads/2014/10/NSQHSS-in-2013-Transforming-the-safety-and-quality-of-health-care.pdf" TargetMode="External"/><Relationship Id="rId17" Type="http://schemas.openxmlformats.org/officeDocument/2006/relationships/hyperlink" Target="http://www.kingsfund.org.uk/sites/files/kf/field/field_publication_file/specialists-in-out-of-hospital-settings-kingsfund-oct14.pdf" TargetMode="External"/><Relationship Id="rId25" Type="http://schemas.openxmlformats.org/officeDocument/2006/relationships/hyperlink" Target="http://www.oecd-ilibrary.org/employment/paying-for-performance-in-health-care_9789264224568-en" TargetMode="External"/><Relationship Id="rId33" Type="http://schemas.openxmlformats.org/officeDocument/2006/relationships/hyperlink" Target="http://www.ucd.ie/t4cms/WP14_15.pdf" TargetMode="External"/><Relationship Id="rId38" Type="http://schemas.openxmlformats.org/officeDocument/2006/relationships/hyperlink" Target="http://preventioninstitute.org/component/jlibrary/article/id-357/127.html" TargetMode="External"/><Relationship Id="rId46" Type="http://schemas.openxmlformats.org/officeDocument/2006/relationships/hyperlink" Target="http://www.eupha-migranthealthconference.com/wp-content/uploads/2014/09/D6a.-Technical-Report-Final-Web-Version.pdf" TargetMode="External"/><Relationship Id="rId59" Type="http://schemas.openxmlformats.org/officeDocument/2006/relationships/hyperlink" Target="http://www.aihw.gov.au/WorkArea/DownloadAsset.aspx?id=60129548921" TargetMode="External"/><Relationship Id="rId67" Type="http://schemas.openxmlformats.org/officeDocument/2006/relationships/hyperlink" Target="http://www.kingsfund.org.uk/sites/files/kf/field/field_publication_file/system-leadership-october-2014.pdf" TargetMode="External"/><Relationship Id="rId20" Type="http://schemas.openxmlformats.org/officeDocument/2006/relationships/hyperlink" Target="http://www.euro.who.int/__data/assets/pdf_file/0008/257579/Economic-crisis,-health-systems-and-health-in-Europe-impact-and-implications-for-policy.pdf" TargetMode="External"/><Relationship Id="rId41" Type="http://schemas.openxmlformats.org/officeDocument/2006/relationships/hyperlink" Target="http://www.health.org.uk/public/cms/75/76/313/5018/Person-centred%20care_from%20ideas%20to%20action.pdf?realName=06z1oQ.pdf" TargetMode="External"/><Relationship Id="rId54" Type="http://schemas.openxmlformats.org/officeDocument/2006/relationships/hyperlink" Target="http://ecdc.europa.eu/en/publications/Publications/Ebola-outbreak-technicalreport-exit-entry-screening-13Oct2014.pdf" TargetMode="External"/><Relationship Id="rId62" Type="http://schemas.openxmlformats.org/officeDocument/2006/relationships/hyperlink" Target="http://www.england.nhs.uk/wp-content/uploads/2014/10/pall-care-fund-new-appr-fin.pdf" TargetMode="External"/><Relationship Id="rId70" Type="http://schemas.openxmlformats.org/officeDocument/2006/relationships/hyperlink" Target="http://www.ilcuk.org.uk/images/uploads/publication-pdfs/Compendium_Dementia.pdf" TargetMode="External"/><Relationship Id="rId75" Type="http://schemas.openxmlformats.org/officeDocument/2006/relationships/hyperlink" Target="http://www.phcris.org.au/phplib/filedownload.php?file=/elib/lib/downloaded_files/publications/pdfs/phcris_pub_8437.pdf" TargetMode="External"/><Relationship Id="rId83" Type="http://schemas.openxmlformats.org/officeDocument/2006/relationships/hyperlink" Target="http://www.pharmacyresearchuk.org/waterway/wp-content/uploads/2014/01/MINA-Study-Final-Report.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york.ac.uk/inst/spru/pubs/pdf/openDis.pdf" TargetMode="External"/><Relationship Id="rId23" Type="http://schemas.openxmlformats.org/officeDocument/2006/relationships/hyperlink" Target="http://bcpsqc.ca/documents/2014/09/A-Case-Study-of-BCs-Clinical-Care-Management-Initiative.pdf" TargetMode="External"/><Relationship Id="rId28" Type="http://schemas.openxmlformats.org/officeDocument/2006/relationships/hyperlink" Target="http://www.england.nhs.uk/wp-content/uploads/2014/10/5yfv-web.pdf" TargetMode="External"/><Relationship Id="rId36" Type="http://schemas.openxmlformats.org/officeDocument/2006/relationships/hyperlink" Target="http://www.nap.edu/catalog.php?record_id=18958&amp;utm_source=NAP+Newsletter&amp;utm_campaign=15d23f11ca-NAP_mail_new_2014_10_21&amp;utm_medium=email&amp;utm_term=0_96101de015-15d23f11ca-102579513&amp;mc_cid=15d23f11ca&amp;mc_eid=887bc22fe0" TargetMode="External"/><Relationship Id="rId49" Type="http://schemas.openxmlformats.org/officeDocument/2006/relationships/hyperlink" Target="http://press.anu.edu.au/wp-content/uploads/2014/10/whole5.pdf" TargetMode="External"/><Relationship Id="rId57" Type="http://schemas.openxmlformats.org/officeDocument/2006/relationships/hyperlink" Target="http://www.audit.vic.gov.au/publications/20141015-MH-Strategies-Justice/20141015-MH-Strategies-Justice.pdf" TargetMode="External"/><Relationship Id="rId10" Type="http://schemas.openxmlformats.org/officeDocument/2006/relationships/image" Target="media/image1.png"/><Relationship Id="rId31" Type="http://schemas.openxmlformats.org/officeDocument/2006/relationships/hyperlink" Target="https://secure.cihi.ca/free_products/Children_Vulnerable_in_Areas_of_Early_Development_EN.pdf" TargetMode="External"/><Relationship Id="rId44" Type="http://schemas.openxmlformats.org/officeDocument/2006/relationships/hyperlink" Target="http://www.diabetes.org.uk/Documents/About%20Us/What%20we%20say/Integrated%20diabetes%20care%20(PDF,%20648KB).pdf" TargetMode="External"/><Relationship Id="rId52" Type="http://schemas.openxmlformats.org/officeDocument/2006/relationships/hyperlink" Target="http://www.nap.edu/catalog.php?record_id=18710&amp;utm_source=NAP+Newsletter&amp;utm_campaign=af1b3dc0c3-NAP+mail+new+2014-10-07&amp;utm_medium=email&amp;utm_term=0_96101de015-af1b3dc0c3-102579513&amp;mc_cid=af1b3dc0c3&amp;mc_eid=887bc22fe0" TargetMode="External"/><Relationship Id="rId60" Type="http://schemas.openxmlformats.org/officeDocument/2006/relationships/hyperlink" Target="http://www.mhpc.com/wp-content/uploads/2014/10/CCG-report-Shifting-gears-bringing-Englands-cancer-outcomes-in-line-with-the-best-in-Europe-FINAL.pdf" TargetMode="External"/><Relationship Id="rId65" Type="http://schemas.openxmlformats.org/officeDocument/2006/relationships/hyperlink" Target="http://www.conferenceboard.ca/e-library/abstract.aspx?did=6436" TargetMode="External"/><Relationship Id="rId73" Type="http://schemas.openxmlformats.org/officeDocument/2006/relationships/hyperlink" Target="http://www.independentage.org/media/828364/isolation-the-emerging-crisis-for-older-men-report.pdf" TargetMode="External"/><Relationship Id="rId78" Type="http://schemas.openxmlformats.org/officeDocument/2006/relationships/hyperlink" Target="http://apo.org.au/files/Resource/aihw_anaihwframeworkforassessingdatasourcesforpopulationhealthmonitoringworkingpaper_oct_2014.pdf" TargetMode="External"/><Relationship Id="rId81" Type="http://schemas.openxmlformats.org/officeDocument/2006/relationships/hyperlink" Target="http://www.phcris.org.au/phplib/filedownload.php?file=/elib/lib/downloaded_files/publications/pdfs/phcris_pub_8403.pdf"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FEAE-1ADD-4EA2-8748-EDDF092A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11</Pages>
  <Words>7102</Words>
  <Characters>40486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47494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7, February 2014</dc:title>
  <dc:creator>Ministry of Health</dc:creator>
  <cp:lastModifiedBy>Ministry of Health</cp:lastModifiedBy>
  <cp:revision>42</cp:revision>
  <cp:lastPrinted>2014-11-06T21:14:00Z</cp:lastPrinted>
  <dcterms:created xsi:type="dcterms:W3CDTF">2014-10-28T02:01:00Z</dcterms:created>
  <dcterms:modified xsi:type="dcterms:W3CDTF">2014-11-06T21:23:00Z</dcterms:modified>
</cp:coreProperties>
</file>