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84A" w14:textId="63227BEC" w:rsidR="66226FB1" w:rsidRDefault="66226FB1" w:rsidP="66226FB1">
      <w:pPr>
        <w:pStyle w:val="Title"/>
      </w:pPr>
    </w:p>
    <w:p w14:paraId="71B02B1C" w14:textId="18171A1B" w:rsidR="00B0683F" w:rsidRPr="007E2F7C" w:rsidRDefault="00697F5F" w:rsidP="002B18AB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F59C5" wp14:editId="34EE29E9">
            <wp:simplePos x="0" y="0"/>
            <wp:positionH relativeFrom="column">
              <wp:posOffset>5020945</wp:posOffset>
            </wp:positionH>
            <wp:positionV relativeFrom="paragraph">
              <wp:posOffset>-308610</wp:posOffset>
            </wp:positionV>
            <wp:extent cx="1439545" cy="6477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20985" r="6999" b="16971"/>
                    <a:stretch/>
                  </pic:blipFill>
                  <pic:spPr bwMode="auto">
                    <a:xfrm>
                      <a:off x="0" y="0"/>
                      <a:ext cx="143954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9097CEF" wp14:editId="464EBA3A">
            <wp:simplePos x="0" y="0"/>
            <wp:positionH relativeFrom="column">
              <wp:posOffset>-358140</wp:posOffset>
            </wp:positionH>
            <wp:positionV relativeFrom="paragraph">
              <wp:posOffset>-308610</wp:posOffset>
            </wp:positionV>
            <wp:extent cx="1425575" cy="719455"/>
            <wp:effectExtent l="0" t="0" r="3175" b="4445"/>
            <wp:wrapNone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5B9">
        <w:t>COVID-19 Science Updates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FD0EE7" w14:paraId="26C5BDAE" w14:textId="77777777" w:rsidTr="00CA7361">
        <w:trPr>
          <w:trHeight w:val="567"/>
          <w:jc w:val="center"/>
        </w:trPr>
        <w:tc>
          <w:tcPr>
            <w:tcW w:w="4956" w:type="dxa"/>
            <w:vAlign w:val="center"/>
          </w:tcPr>
          <w:p w14:paraId="61DC0ECB" w14:textId="4EE5795E" w:rsidR="00FB5D8A" w:rsidRPr="00FB5D8A" w:rsidRDefault="00FD0EE7" w:rsidP="00493D42">
            <w:pPr>
              <w:spacing w:after="0"/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</w:pPr>
            <w:bookmarkStart w:id="0" w:name="_6463ebe1_90b3_4035_ae51_893d056832d7"/>
            <w:bookmarkStart w:id="1" w:name="_50f52bda_9f3b_4f1c_9697_a90a8879d53b"/>
            <w:bookmarkStart w:id="2" w:name="_4f90e556_7b7c_4b3c_8b51_d58de33363c9"/>
            <w:bookmarkEnd w:id="0"/>
            <w:bookmarkEnd w:id="1"/>
            <w:r w:rsidRPr="66226FB1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 xml:space="preserve">CSU </w:t>
            </w:r>
            <w:bookmarkStart w:id="3" w:name="_GoBack"/>
            <w:bookmarkEnd w:id="3"/>
          </w:p>
        </w:tc>
        <w:tc>
          <w:tcPr>
            <w:tcW w:w="4967" w:type="dxa"/>
            <w:vAlign w:val="center"/>
          </w:tcPr>
          <w:p w14:paraId="52306CAB" w14:textId="36FD5E47" w:rsidR="00FD0EE7" w:rsidRDefault="007510DE" w:rsidP="00493D42">
            <w:pPr>
              <w:spacing w:after="0"/>
              <w:jc w:val="right"/>
            </w:pPr>
            <w:r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CB71CF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 xml:space="preserve"> August</w:t>
            </w:r>
            <w:r w:rsidR="4047F387" w:rsidRPr="79EF256A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 xml:space="preserve"> 2021</w:t>
            </w:r>
          </w:p>
        </w:tc>
      </w:tr>
      <w:tr w:rsidR="00C16A6F" w:rsidRPr="00C16A6F" w14:paraId="2E6C1CCA" w14:textId="77777777" w:rsidTr="00CA7361">
        <w:trPr>
          <w:trHeight w:val="680"/>
          <w:jc w:val="center"/>
        </w:trPr>
        <w:tc>
          <w:tcPr>
            <w:tcW w:w="9923" w:type="dxa"/>
            <w:gridSpan w:val="2"/>
            <w:shd w:val="clear" w:color="auto" w:fill="1F3864" w:themeFill="accent1" w:themeFillShade="80"/>
            <w:vAlign w:val="center"/>
          </w:tcPr>
          <w:p w14:paraId="217C08D8" w14:textId="78ED39D0" w:rsidR="00FD0EE7" w:rsidRPr="00C16A6F" w:rsidRDefault="4047F387" w:rsidP="00C16A6F">
            <w:pPr>
              <w:spacing w:before="120"/>
              <w:rPr>
                <w:color w:val="FFFFFF" w:themeColor="background1"/>
              </w:rPr>
            </w:pPr>
            <w:r w:rsidRPr="00C16A6F">
              <w:rPr>
                <w:color w:val="FFFFFF" w:themeColor="background1"/>
              </w:rPr>
              <w:t>1.</w:t>
            </w:r>
            <w:r w:rsidR="5ED83ECB" w:rsidRPr="00C16A6F">
              <w:rPr>
                <w:color w:val="FFFFFF" w:themeColor="background1"/>
              </w:rPr>
              <w:t xml:space="preserve"> Summary of key information from </w:t>
            </w:r>
            <w:r w:rsidR="56E9529B" w:rsidRPr="00C16A6F">
              <w:rPr>
                <w:color w:val="FFFFFF" w:themeColor="background1"/>
              </w:rPr>
              <w:t>recent</w:t>
            </w:r>
            <w:r w:rsidR="5ED83ECB" w:rsidRPr="00C16A6F">
              <w:rPr>
                <w:color w:val="FFFFFF" w:themeColor="background1"/>
              </w:rPr>
              <w:t xml:space="preserve"> </w:t>
            </w:r>
            <w:r w:rsidR="48C81FB2" w:rsidRPr="00C16A6F">
              <w:rPr>
                <w:color w:val="FFFFFF" w:themeColor="background1"/>
              </w:rPr>
              <w:t xml:space="preserve">weekly </w:t>
            </w:r>
            <w:r w:rsidR="53F4F362" w:rsidRPr="00C16A6F">
              <w:rPr>
                <w:color w:val="FFFFFF" w:themeColor="background1"/>
              </w:rPr>
              <w:t>Variants of Concern</w:t>
            </w:r>
            <w:r w:rsidR="5ED83ECB" w:rsidRPr="00C16A6F">
              <w:rPr>
                <w:color w:val="FFFFFF" w:themeColor="background1"/>
              </w:rPr>
              <w:t xml:space="preserve"> </w:t>
            </w:r>
            <w:r w:rsidR="53F4F362" w:rsidRPr="00C16A6F">
              <w:rPr>
                <w:color w:val="FFFFFF" w:themeColor="background1"/>
              </w:rPr>
              <w:t>U</w:t>
            </w:r>
            <w:r w:rsidR="5ED83ECB" w:rsidRPr="00C16A6F">
              <w:rPr>
                <w:color w:val="FFFFFF" w:themeColor="background1"/>
              </w:rPr>
              <w:t>pdates</w:t>
            </w:r>
            <w:r w:rsidR="2ABCDB65" w:rsidRPr="00C16A6F">
              <w:rPr>
                <w:color w:val="FFFFFF" w:themeColor="background1"/>
              </w:rPr>
              <w:t xml:space="preserve"> </w:t>
            </w:r>
          </w:p>
        </w:tc>
      </w:tr>
      <w:tr w:rsidR="00FD0EE7" w:rsidRPr="00C16A6F" w14:paraId="0397CD0B" w14:textId="77777777" w:rsidTr="00CA7361">
        <w:trPr>
          <w:trHeight w:val="1417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A6E1C04" w14:textId="223BCE6A" w:rsidR="00FD0EE7" w:rsidRPr="00C16A6F" w:rsidRDefault="6B9D8B23" w:rsidP="00C16A6F">
            <w:pPr>
              <w:spacing w:line="288" w:lineRule="auto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Science and Technical Advisory team within the COVID-19 Directorate of the Ministry produces a weekly review of evidence on Variants of Concern (VOC) and Variants </w:t>
            </w:r>
            <w:r w:rsidR="29D98BD1" w:rsidRPr="00C16A6F">
              <w:rPr>
                <w:rFonts w:ascii="Calibri" w:eastAsia="Calibri" w:hAnsi="Calibri" w:cs="Calibri"/>
                <w:lang w:val="en-US"/>
              </w:rPr>
              <w:t>U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nder Investigation (VUI) in the </w:t>
            </w:r>
            <w:r w:rsidR="03EACE93" w:rsidRPr="00C16A6F">
              <w:rPr>
                <w:rFonts w:ascii="Calibri" w:eastAsia="Calibri" w:hAnsi="Calibri" w:cs="Calibri"/>
                <w:lang w:val="en-US"/>
              </w:rPr>
              <w:t>weekly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Variants </w:t>
            </w:r>
            <w:r w:rsidR="5C410006" w:rsidRPr="00C16A6F">
              <w:rPr>
                <w:rFonts w:ascii="Calibri" w:eastAsia="Calibri" w:hAnsi="Calibri" w:cs="Calibri"/>
                <w:lang w:val="en-US"/>
              </w:rPr>
              <w:t xml:space="preserve">of Concern </w:t>
            </w:r>
            <w:r w:rsidRPr="00C16A6F">
              <w:rPr>
                <w:rFonts w:ascii="Calibri" w:eastAsia="Calibri" w:hAnsi="Calibri" w:cs="Calibri"/>
                <w:lang w:val="en-US"/>
              </w:rPr>
              <w:t>Update.  All updates are</w:t>
            </w:r>
            <w:r w:rsidR="00B41BF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F43FD2">
              <w:rPr>
                <w:rFonts w:ascii="Calibri" w:eastAsia="Calibri" w:hAnsi="Calibri" w:cs="Calibri"/>
                <w:lang w:val="en-US"/>
              </w:rPr>
              <w:t xml:space="preserve">publicly </w:t>
            </w:r>
            <w:r w:rsidRPr="00C16A6F">
              <w:rPr>
                <w:rFonts w:ascii="Calibri" w:eastAsia="Calibri" w:hAnsi="Calibri" w:cs="Calibri"/>
                <w:lang w:val="en-US"/>
              </w:rPr>
              <w:t>available on the COVID-19 Science New</w:t>
            </w:r>
            <w:r w:rsidR="13217EC8" w:rsidRPr="00C16A6F">
              <w:rPr>
                <w:rFonts w:ascii="Calibri" w:eastAsia="Calibri" w:hAnsi="Calibri" w:cs="Calibri"/>
                <w:lang w:val="en-US"/>
              </w:rPr>
              <w:t>s (</w:t>
            </w:r>
            <w:hyperlink r:id="rId13">
              <w:r w:rsidR="13217EC8" w:rsidRPr="00C16A6F">
                <w:rPr>
                  <w:rStyle w:val="Hyperlink"/>
                  <w:rFonts w:ascii="Calibri" w:eastAsia="Calibri" w:hAnsi="Calibri" w:cs="Calibri"/>
                  <w:lang w:val="en-US"/>
                </w:rPr>
                <w:t>link</w:t>
              </w:r>
            </w:hyperlink>
            <w:r w:rsidR="13217EC8" w:rsidRPr="00C16A6F">
              <w:rPr>
                <w:rFonts w:ascii="Calibri" w:eastAsia="Calibri" w:hAnsi="Calibri" w:cs="Calibri"/>
                <w:lang w:val="en-US"/>
              </w:rPr>
              <w:t>) web</w:t>
            </w:r>
            <w:r w:rsidRPr="00C16A6F">
              <w:rPr>
                <w:rFonts w:ascii="Calibri" w:eastAsia="Calibri" w:hAnsi="Calibri" w:cs="Calibri"/>
                <w:lang w:val="en-US"/>
              </w:rPr>
              <w:t>page o</w:t>
            </w:r>
            <w:r w:rsidR="4FFA6273" w:rsidRPr="00C16A6F">
              <w:rPr>
                <w:rFonts w:ascii="Calibri" w:eastAsia="Calibri" w:hAnsi="Calibri" w:cs="Calibri"/>
                <w:lang w:val="en-US"/>
              </w:rPr>
              <w:t>n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the Ministry of Health website.</w:t>
            </w:r>
          </w:p>
          <w:p w14:paraId="23BEAF7A" w14:textId="409F0056" w:rsidR="00FD0EE7" w:rsidRPr="00C16A6F" w:rsidRDefault="002E0AA0" w:rsidP="00C16A6F">
            <w:pPr>
              <w:spacing w:line="288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16A6F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  <w:r w:rsidR="4F2064F3" w:rsidRPr="00C16A6F">
              <w:rPr>
                <w:rFonts w:ascii="Calibri" w:eastAsia="Calibri" w:hAnsi="Calibri" w:cs="Calibri"/>
                <w:b/>
                <w:bCs/>
                <w:lang w:val="en-US"/>
              </w:rPr>
              <w:t xml:space="preserve">ummary of key information </w:t>
            </w:r>
            <w:r w:rsidR="00781F70" w:rsidRPr="00C16A6F">
              <w:rPr>
                <w:rFonts w:ascii="Calibri" w:eastAsia="Calibri" w:hAnsi="Calibri" w:cs="Calibri"/>
                <w:b/>
                <w:bCs/>
                <w:lang w:val="en-US"/>
              </w:rPr>
              <w:t xml:space="preserve">from </w:t>
            </w:r>
            <w:r w:rsidR="00A94757" w:rsidRPr="00C16A6F">
              <w:rPr>
                <w:rFonts w:ascii="Calibri" w:eastAsia="Calibri" w:hAnsi="Calibri" w:cs="Calibri"/>
                <w:b/>
                <w:bCs/>
                <w:lang w:val="en-US"/>
              </w:rPr>
              <w:t xml:space="preserve">the </w:t>
            </w:r>
            <w:r w:rsidR="00781F70" w:rsidRPr="00C16A6F">
              <w:rPr>
                <w:rFonts w:ascii="Calibri" w:eastAsia="Calibri" w:hAnsi="Calibri" w:cs="Calibri"/>
                <w:b/>
                <w:bCs/>
                <w:lang w:val="en-US"/>
              </w:rPr>
              <w:t>recent</w:t>
            </w:r>
            <w:r w:rsidR="4F2064F3" w:rsidRPr="00C16A6F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="00A94757" w:rsidRPr="00C16A6F">
              <w:rPr>
                <w:rFonts w:ascii="Calibri" w:eastAsia="Calibri" w:hAnsi="Calibri" w:cs="Calibri"/>
                <w:b/>
                <w:bCs/>
                <w:lang w:val="en-US"/>
              </w:rPr>
              <w:t>u</w:t>
            </w:r>
            <w:r w:rsidR="4F2064F3" w:rsidRPr="00C16A6F">
              <w:rPr>
                <w:rFonts w:ascii="Calibri" w:eastAsia="Calibri" w:hAnsi="Calibri" w:cs="Calibri"/>
                <w:b/>
                <w:bCs/>
                <w:lang w:val="en-US"/>
              </w:rPr>
              <w:t>pdates</w:t>
            </w:r>
            <w:r w:rsidR="00B330D8" w:rsidRPr="00C16A6F"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</w:p>
          <w:p w14:paraId="55C5CD54" w14:textId="38B10E82" w:rsidR="00FD0EE7" w:rsidRPr="00C16A6F" w:rsidRDefault="6F504F04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rFonts w:eastAsiaTheme="minorEastAsia"/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>T</w:t>
            </w:r>
            <w:r w:rsidR="006B30FD" w:rsidRPr="00C16A6F">
              <w:rPr>
                <w:rFonts w:ascii="Calibri" w:eastAsia="Calibri" w:hAnsi="Calibri" w:cs="Calibri"/>
                <w:lang w:val="en-GB"/>
              </w:rPr>
              <w:t>he</w:t>
            </w:r>
            <w:r w:rsidR="00F32DCB" w:rsidRPr="00C16A6F">
              <w:rPr>
                <w:rFonts w:ascii="Calibri" w:eastAsia="Calibri" w:hAnsi="Calibri" w:cs="Calibri"/>
                <w:lang w:val="en-GB"/>
              </w:rPr>
              <w:t xml:space="preserve"> ongoing</w:t>
            </w:r>
            <w:r w:rsidR="006B30FD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F32DCB" w:rsidRPr="00C16A6F">
              <w:rPr>
                <w:rFonts w:ascii="Calibri" w:eastAsia="Calibri" w:hAnsi="Calibri" w:cs="Calibri"/>
                <w:lang w:val="en-GB"/>
              </w:rPr>
              <w:t>active</w:t>
            </w:r>
            <w:r w:rsidR="006B30FD" w:rsidRPr="00C16A6F">
              <w:rPr>
                <w:rFonts w:ascii="Calibri" w:eastAsia="Calibri" w:hAnsi="Calibri" w:cs="Calibri"/>
                <w:lang w:val="en-GB"/>
              </w:rPr>
              <w:t xml:space="preserve"> global </w:t>
            </w:r>
            <w:r w:rsidR="00F32DCB" w:rsidRPr="00C16A6F">
              <w:rPr>
                <w:rFonts w:ascii="Calibri" w:eastAsia="Calibri" w:hAnsi="Calibri" w:cs="Calibri"/>
                <w:lang w:val="en-GB"/>
              </w:rPr>
              <w:t>pandemic</w:t>
            </w:r>
            <w:r w:rsidR="006B30FD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F35A2F" w:rsidRPr="00C16A6F">
              <w:rPr>
                <w:rFonts w:ascii="Calibri" w:eastAsia="Calibri" w:hAnsi="Calibri" w:cs="Calibri"/>
                <w:lang w:val="en-GB"/>
              </w:rPr>
              <w:t xml:space="preserve">gives the virus </w:t>
            </w:r>
            <w:r w:rsidR="00CE37CA" w:rsidRPr="00C16A6F">
              <w:rPr>
                <w:rFonts w:ascii="Calibri" w:eastAsia="Calibri" w:hAnsi="Calibri" w:cs="Calibri"/>
                <w:lang w:val="en-GB"/>
              </w:rPr>
              <w:t>opportunities to replicate and mutate</w:t>
            </w:r>
            <w:r w:rsidRPr="00C16A6F">
              <w:rPr>
                <w:rFonts w:ascii="Calibri" w:eastAsia="Calibri" w:hAnsi="Calibri" w:cs="Calibri"/>
                <w:lang w:val="en-GB"/>
              </w:rPr>
              <w:t xml:space="preserve">: while there is </w:t>
            </w:r>
            <w:r w:rsidR="00CE37CA" w:rsidRPr="00C16A6F">
              <w:rPr>
                <w:rFonts w:ascii="Calibri" w:eastAsia="Calibri" w:hAnsi="Calibri" w:cs="Calibri"/>
                <w:lang w:val="en-GB"/>
              </w:rPr>
              <w:t>an active pandemic</w:t>
            </w:r>
            <w:r w:rsidRPr="00C16A6F">
              <w:rPr>
                <w:rFonts w:ascii="Calibri" w:eastAsia="Calibri" w:hAnsi="Calibri" w:cs="Calibri"/>
                <w:lang w:val="en-GB"/>
              </w:rPr>
              <w:t xml:space="preserve"> globally, the opportunity for the emergence of new variants exists.</w:t>
            </w:r>
          </w:p>
          <w:p w14:paraId="02A226EA" w14:textId="7148FFB3" w:rsidR="1B88029C" w:rsidRPr="00C16A6F" w:rsidRDefault="53F57AB1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rFonts w:eastAsiaTheme="minorEastAsia"/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 xml:space="preserve">Variants of concern (VOC) are variants that </w:t>
            </w:r>
            <w:r w:rsidR="756A6C22" w:rsidRPr="00C16A6F">
              <w:rPr>
                <w:rFonts w:ascii="Calibri" w:eastAsia="Calibri" w:hAnsi="Calibri" w:cs="Calibri"/>
                <w:lang w:val="en-GB"/>
              </w:rPr>
              <w:t xml:space="preserve">pose a greater threat </w:t>
            </w:r>
            <w:r w:rsidR="686E230A" w:rsidRPr="00C16A6F">
              <w:rPr>
                <w:rFonts w:ascii="Calibri" w:eastAsia="Calibri" w:hAnsi="Calibri" w:cs="Calibri"/>
                <w:lang w:val="en-GB"/>
              </w:rPr>
              <w:t>to peoples</w:t>
            </w:r>
            <w:r w:rsidR="4C62525B" w:rsidRPr="00C16A6F">
              <w:rPr>
                <w:rFonts w:ascii="Calibri" w:eastAsia="Calibri" w:hAnsi="Calibri" w:cs="Calibri"/>
                <w:lang w:val="en-GB"/>
              </w:rPr>
              <w:t>’</w:t>
            </w:r>
            <w:r w:rsidR="686E230A" w:rsidRPr="00C16A6F">
              <w:rPr>
                <w:rFonts w:ascii="Calibri" w:eastAsia="Calibri" w:hAnsi="Calibri" w:cs="Calibri"/>
                <w:lang w:val="en-GB"/>
              </w:rPr>
              <w:t xml:space="preserve"> health and management </w:t>
            </w:r>
            <w:r w:rsidR="278E352D" w:rsidRPr="00C16A6F">
              <w:rPr>
                <w:rFonts w:ascii="Calibri" w:eastAsia="Calibri" w:hAnsi="Calibri" w:cs="Calibri"/>
                <w:lang w:val="en-GB"/>
              </w:rPr>
              <w:t>of the pandemic</w:t>
            </w:r>
            <w:r w:rsidR="669CAABB" w:rsidRPr="00C16A6F">
              <w:rPr>
                <w:rFonts w:ascii="Calibri" w:eastAsia="Calibri" w:hAnsi="Calibri" w:cs="Calibri"/>
                <w:lang w:val="en-GB"/>
              </w:rPr>
              <w:t>,</w:t>
            </w:r>
            <w:r w:rsidR="278E352D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756A6C22" w:rsidRPr="00C16A6F">
              <w:rPr>
                <w:rFonts w:ascii="Calibri" w:eastAsia="Calibri" w:hAnsi="Calibri" w:cs="Calibri"/>
                <w:lang w:val="en-GB"/>
              </w:rPr>
              <w:t>due to increased transmissibility,</w:t>
            </w:r>
            <w:r w:rsidR="1D9EC743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756A6C22" w:rsidRPr="00C16A6F">
              <w:rPr>
                <w:rFonts w:ascii="Calibri" w:eastAsia="Calibri" w:hAnsi="Calibri" w:cs="Calibri"/>
                <w:lang w:val="en-GB"/>
              </w:rPr>
              <w:t>causing more severe disease,</w:t>
            </w:r>
            <w:r w:rsidR="1F461F59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62AC4E1D" w:rsidRPr="00C16A6F">
              <w:rPr>
                <w:rFonts w:ascii="Calibri" w:eastAsia="Calibri" w:hAnsi="Calibri" w:cs="Calibri"/>
                <w:lang w:val="en-GB"/>
              </w:rPr>
              <w:t xml:space="preserve">and/or </w:t>
            </w:r>
            <w:r w:rsidR="1F461F59" w:rsidRPr="00C16A6F">
              <w:rPr>
                <w:rFonts w:ascii="Calibri" w:eastAsia="Calibri" w:hAnsi="Calibri" w:cs="Calibri"/>
                <w:lang w:val="en-GB"/>
              </w:rPr>
              <w:t xml:space="preserve">ability </w:t>
            </w:r>
            <w:r w:rsidR="0EA37B72" w:rsidRPr="00C16A6F">
              <w:rPr>
                <w:rFonts w:ascii="Calibri" w:eastAsia="Calibri" w:hAnsi="Calibri" w:cs="Calibri"/>
                <w:lang w:val="en-GB"/>
              </w:rPr>
              <w:t>to evade immune responses or vaccine</w:t>
            </w:r>
            <w:r w:rsidR="73B3D547" w:rsidRPr="00C16A6F">
              <w:rPr>
                <w:rFonts w:ascii="Calibri" w:eastAsia="Calibri" w:hAnsi="Calibri" w:cs="Calibri"/>
                <w:lang w:val="en-GB"/>
              </w:rPr>
              <w:t>s</w:t>
            </w:r>
            <w:r w:rsidR="1F4A4E8F" w:rsidRPr="00C16A6F">
              <w:rPr>
                <w:rFonts w:ascii="Calibri" w:eastAsia="Calibri" w:hAnsi="Calibri" w:cs="Calibri"/>
                <w:lang w:val="en-GB"/>
              </w:rPr>
              <w:t xml:space="preserve">. </w:t>
            </w:r>
            <w:r w:rsidR="42FCA8D1" w:rsidRPr="00C16A6F">
              <w:rPr>
                <w:rFonts w:ascii="Calibri" w:eastAsia="Calibri" w:hAnsi="Calibri" w:cs="Calibri"/>
                <w:lang w:val="en-GB"/>
              </w:rPr>
              <w:t xml:space="preserve">Variants with preliminary evidence </w:t>
            </w:r>
            <w:r w:rsidR="64A795FB" w:rsidRPr="00C16A6F">
              <w:rPr>
                <w:rFonts w:ascii="Calibri" w:eastAsia="Calibri" w:hAnsi="Calibri" w:cs="Calibri"/>
                <w:lang w:val="en-GB"/>
              </w:rPr>
              <w:t xml:space="preserve">suggesting that they may become a VOC, </w:t>
            </w:r>
            <w:r w:rsidR="0F3DB6AB" w:rsidRPr="00C16A6F">
              <w:rPr>
                <w:rFonts w:ascii="Calibri" w:eastAsia="Calibri" w:hAnsi="Calibri" w:cs="Calibri"/>
                <w:lang w:val="en-GB"/>
              </w:rPr>
              <w:t>are</w:t>
            </w:r>
            <w:r w:rsidR="5168CC0C" w:rsidRPr="00C16A6F">
              <w:rPr>
                <w:rFonts w:ascii="Calibri" w:eastAsia="Calibri" w:hAnsi="Calibri" w:cs="Calibri"/>
                <w:lang w:val="en-GB"/>
              </w:rPr>
              <w:t xml:space="preserve"> initially</w:t>
            </w:r>
            <w:r w:rsidR="7976265A" w:rsidRPr="00C16A6F">
              <w:rPr>
                <w:rFonts w:ascii="Calibri" w:eastAsia="Calibri" w:hAnsi="Calibri" w:cs="Calibri"/>
                <w:lang w:val="en-GB"/>
              </w:rPr>
              <w:t xml:space="preserve"> designated </w:t>
            </w:r>
            <w:r w:rsidR="1952AB5B" w:rsidRPr="00C16A6F">
              <w:rPr>
                <w:rFonts w:ascii="Calibri" w:eastAsia="Calibri" w:hAnsi="Calibri" w:cs="Calibri"/>
                <w:lang w:val="en-GB"/>
              </w:rPr>
              <w:t xml:space="preserve">a </w:t>
            </w:r>
            <w:r w:rsidR="0FB2583E" w:rsidRPr="00C16A6F">
              <w:rPr>
                <w:rFonts w:ascii="Calibri" w:eastAsia="Calibri" w:hAnsi="Calibri" w:cs="Calibri"/>
                <w:lang w:val="en-GB"/>
              </w:rPr>
              <w:t xml:space="preserve">Variant Under Investigation </w:t>
            </w:r>
            <w:r w:rsidR="3353D66A" w:rsidRPr="00C16A6F">
              <w:rPr>
                <w:rFonts w:ascii="Calibri" w:eastAsia="Calibri" w:hAnsi="Calibri" w:cs="Calibri"/>
                <w:lang w:val="en-GB"/>
              </w:rPr>
              <w:t>(VUI</w:t>
            </w:r>
            <w:r w:rsidR="30A11E9F" w:rsidRPr="00C16A6F">
              <w:rPr>
                <w:rFonts w:ascii="Calibri" w:eastAsia="Calibri" w:hAnsi="Calibri" w:cs="Calibri"/>
                <w:lang w:val="en-GB"/>
              </w:rPr>
              <w:t>)</w:t>
            </w:r>
            <w:r w:rsidR="1AB7C58A" w:rsidRPr="00C16A6F">
              <w:rPr>
                <w:rFonts w:ascii="Calibri" w:eastAsia="Calibri" w:hAnsi="Calibri" w:cs="Calibri"/>
                <w:lang w:val="en-GB"/>
              </w:rPr>
              <w:t xml:space="preserve"> while they are being evaluated</w:t>
            </w:r>
            <w:r w:rsidR="42FCA8D1" w:rsidRPr="00C16A6F">
              <w:rPr>
                <w:rFonts w:ascii="Calibri" w:eastAsia="Calibri" w:hAnsi="Calibri" w:cs="Calibri"/>
                <w:lang w:val="en-GB"/>
              </w:rPr>
              <w:t>.</w:t>
            </w:r>
          </w:p>
          <w:p w14:paraId="6ECF2C0C" w14:textId="0E18D4E5" w:rsidR="00FD0EE7" w:rsidRPr="00C16A6F" w:rsidRDefault="03260D7B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 xml:space="preserve">In the previous </w:t>
            </w:r>
            <w:r w:rsidR="4439AE10" w:rsidRPr="00C16A6F">
              <w:rPr>
                <w:rFonts w:ascii="Calibri" w:eastAsia="Calibri" w:hAnsi="Calibri" w:cs="Calibri"/>
                <w:lang w:val="en-GB"/>
              </w:rPr>
              <w:t>six</w:t>
            </w:r>
            <w:r w:rsidRPr="00C16A6F">
              <w:rPr>
                <w:rFonts w:ascii="Calibri" w:eastAsia="Calibri" w:hAnsi="Calibri" w:cs="Calibri"/>
                <w:lang w:val="en-GB"/>
              </w:rPr>
              <w:t xml:space="preserve"> weeks</w:t>
            </w:r>
            <w:r w:rsidR="6F504F04" w:rsidRPr="00C16A6F">
              <w:rPr>
                <w:rFonts w:ascii="Calibri" w:eastAsia="Calibri" w:hAnsi="Calibri" w:cs="Calibri"/>
                <w:lang w:val="en-GB"/>
              </w:rPr>
              <w:t xml:space="preserve"> there has been a continuous increase in the global spread of the Delta</w:t>
            </w:r>
            <w:r w:rsidR="480B44DB" w:rsidRPr="00C16A6F">
              <w:rPr>
                <w:rFonts w:ascii="Calibri" w:eastAsia="Calibri" w:hAnsi="Calibri" w:cs="Calibri"/>
                <w:lang w:val="en-GB"/>
              </w:rPr>
              <w:t xml:space="preserve"> (B.1.617.2)</w:t>
            </w:r>
            <w:r w:rsidR="6F504F04" w:rsidRPr="00C16A6F">
              <w:rPr>
                <w:rFonts w:ascii="Calibri" w:eastAsia="Calibri" w:hAnsi="Calibri" w:cs="Calibri"/>
                <w:lang w:val="en-GB"/>
              </w:rPr>
              <w:t xml:space="preserve"> variant, which has a tra</w:t>
            </w:r>
            <w:r w:rsidR="66C09FB9" w:rsidRPr="00C16A6F">
              <w:rPr>
                <w:rFonts w:ascii="Calibri" w:eastAsia="Calibri" w:hAnsi="Calibri" w:cs="Calibri"/>
                <w:lang w:val="en-GB"/>
              </w:rPr>
              <w:t xml:space="preserve">nsmission advantage over other </w:t>
            </w:r>
            <w:r w:rsidR="4439AE10" w:rsidRPr="00C16A6F">
              <w:rPr>
                <w:rFonts w:ascii="Calibri" w:eastAsia="Calibri" w:hAnsi="Calibri" w:cs="Calibri"/>
                <w:lang w:val="en-GB"/>
              </w:rPr>
              <w:t>variants</w:t>
            </w:r>
            <w:r w:rsidR="66C09FB9" w:rsidRPr="00C16A6F">
              <w:rPr>
                <w:rFonts w:ascii="Calibri" w:eastAsia="Calibri" w:hAnsi="Calibri" w:cs="Calibri"/>
                <w:lang w:val="en-GB"/>
              </w:rPr>
              <w:t>. A notable exception is some South</w:t>
            </w:r>
            <w:r w:rsidR="5806F04C" w:rsidRPr="00C16A6F">
              <w:rPr>
                <w:rFonts w:ascii="Calibri" w:eastAsia="Calibri" w:hAnsi="Calibri" w:cs="Calibri"/>
                <w:lang w:val="en-GB"/>
              </w:rPr>
              <w:t xml:space="preserve"> American countries (Peru, Chile) where the VUI Lambda </w:t>
            </w:r>
            <w:r w:rsidR="52812947" w:rsidRPr="00C16A6F">
              <w:rPr>
                <w:rFonts w:ascii="Calibri" w:eastAsia="Calibri" w:hAnsi="Calibri" w:cs="Calibri"/>
                <w:lang w:val="en-GB"/>
              </w:rPr>
              <w:t xml:space="preserve">(C.37) </w:t>
            </w:r>
            <w:r w:rsidR="5806F04C" w:rsidRPr="00C16A6F">
              <w:rPr>
                <w:rFonts w:ascii="Calibri" w:eastAsia="Calibri" w:hAnsi="Calibri" w:cs="Calibri"/>
                <w:lang w:val="en-GB"/>
              </w:rPr>
              <w:t xml:space="preserve">has overtaken </w:t>
            </w:r>
            <w:r w:rsidR="0C211DB4" w:rsidRPr="00C16A6F">
              <w:rPr>
                <w:rFonts w:ascii="Calibri" w:eastAsia="Calibri" w:hAnsi="Calibri" w:cs="Calibri"/>
                <w:lang w:val="en-GB"/>
              </w:rPr>
              <w:t>other circulating lineages, including</w:t>
            </w:r>
            <w:r w:rsidR="5806F04C" w:rsidRPr="00C16A6F">
              <w:rPr>
                <w:rFonts w:ascii="Calibri" w:eastAsia="Calibri" w:hAnsi="Calibri" w:cs="Calibri"/>
                <w:lang w:val="en-GB"/>
              </w:rPr>
              <w:t xml:space="preserve"> Alpha</w:t>
            </w:r>
            <w:r w:rsidR="3622CCAB" w:rsidRPr="00C16A6F">
              <w:rPr>
                <w:rFonts w:ascii="Calibri" w:eastAsia="Calibri" w:hAnsi="Calibri" w:cs="Calibri"/>
                <w:lang w:val="en-GB"/>
              </w:rPr>
              <w:t xml:space="preserve"> (B.1.1.7)</w:t>
            </w:r>
            <w:r w:rsidR="5806F04C" w:rsidRPr="00C16A6F">
              <w:rPr>
                <w:rFonts w:ascii="Calibri" w:eastAsia="Calibri" w:hAnsi="Calibri" w:cs="Calibri"/>
                <w:lang w:val="en-GB"/>
              </w:rPr>
              <w:t xml:space="preserve"> and Gamma </w:t>
            </w:r>
            <w:r w:rsidR="7EDECDAC" w:rsidRPr="00C16A6F">
              <w:rPr>
                <w:rFonts w:ascii="Calibri" w:eastAsia="Calibri" w:hAnsi="Calibri" w:cs="Calibri"/>
                <w:lang w:val="en-GB"/>
              </w:rPr>
              <w:t xml:space="preserve">(P.1) </w:t>
            </w:r>
            <w:r w:rsidR="6B07CAC6" w:rsidRPr="00C16A6F">
              <w:rPr>
                <w:rFonts w:ascii="Calibri" w:eastAsia="Calibri" w:hAnsi="Calibri" w:cs="Calibri"/>
                <w:lang w:val="en-GB"/>
              </w:rPr>
              <w:t>as the dominant variant.</w:t>
            </w:r>
          </w:p>
          <w:p w14:paraId="782E6D6C" w14:textId="77E5D906" w:rsidR="00FD0EE7" w:rsidRPr="00C16A6F" w:rsidRDefault="6D964E9F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rFonts w:eastAsiaTheme="minorEastAsia"/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 xml:space="preserve">The Delta </w:t>
            </w:r>
            <w:r w:rsidR="00E111A8" w:rsidRPr="00C16A6F">
              <w:rPr>
                <w:rFonts w:ascii="Calibri" w:eastAsia="Calibri" w:hAnsi="Calibri" w:cs="Calibri"/>
                <w:lang w:val="en-GB"/>
              </w:rPr>
              <w:t xml:space="preserve">variant </w:t>
            </w:r>
            <w:r w:rsidRPr="00C16A6F">
              <w:rPr>
                <w:rFonts w:ascii="Calibri" w:eastAsia="Calibri" w:hAnsi="Calibri" w:cs="Calibri"/>
                <w:lang w:val="en-GB"/>
              </w:rPr>
              <w:t>with the added mutation K417N is known informally as “Delta plus”. Mutation K417N is potentially associated with immune escape.</w:t>
            </w:r>
            <w:r w:rsidR="6B1D197B" w:rsidRPr="00C16A6F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2687ECF2" w:rsidRPr="00C16A6F">
              <w:rPr>
                <w:rFonts w:ascii="Calibri" w:eastAsia="Calibri" w:hAnsi="Calibri" w:cs="Calibri"/>
                <w:lang w:val="en-GB"/>
              </w:rPr>
              <w:t xml:space="preserve">Public Health England </w:t>
            </w:r>
            <w:r w:rsidR="39BC012E" w:rsidRPr="00C16A6F">
              <w:rPr>
                <w:rFonts w:ascii="Calibri" w:eastAsia="Calibri" w:hAnsi="Calibri" w:cs="Calibri"/>
                <w:lang w:val="en-GB"/>
              </w:rPr>
              <w:t xml:space="preserve">(PHE) </w:t>
            </w:r>
            <w:r w:rsidR="2687ECF2" w:rsidRPr="00C16A6F">
              <w:rPr>
                <w:rFonts w:ascii="Calibri" w:eastAsia="Calibri" w:hAnsi="Calibri" w:cs="Calibri"/>
                <w:lang w:val="en-GB"/>
              </w:rPr>
              <w:t xml:space="preserve">has reported a very small number of cases with “Delta plus” as of 23 July. </w:t>
            </w:r>
            <w:r w:rsidR="02E31FD0" w:rsidRPr="00C16A6F">
              <w:rPr>
                <w:rFonts w:ascii="Calibri" w:eastAsia="Calibri" w:hAnsi="Calibri" w:cs="Calibri"/>
                <w:lang w:val="en-GB"/>
              </w:rPr>
              <w:t>Of note, d</w:t>
            </w:r>
            <w:r w:rsidR="6B1D197B" w:rsidRPr="00C16A6F">
              <w:rPr>
                <w:rFonts w:ascii="Calibri" w:eastAsia="Calibri" w:hAnsi="Calibri" w:cs="Calibri"/>
                <w:lang w:val="en-GB"/>
              </w:rPr>
              <w:t xml:space="preserve">ata on this variant is generally not collected separately but included </w:t>
            </w:r>
            <w:r w:rsidR="00135A3C" w:rsidRPr="00C16A6F">
              <w:rPr>
                <w:rFonts w:ascii="Calibri" w:eastAsia="Calibri" w:hAnsi="Calibri" w:cs="Calibri"/>
                <w:lang w:val="en-GB"/>
              </w:rPr>
              <w:t>along with</w:t>
            </w:r>
            <w:r w:rsidR="6B1D197B" w:rsidRPr="00C16A6F">
              <w:rPr>
                <w:rFonts w:ascii="Calibri" w:eastAsia="Calibri" w:hAnsi="Calibri" w:cs="Calibri"/>
                <w:lang w:val="en-GB"/>
              </w:rPr>
              <w:t xml:space="preserve"> Delta.</w:t>
            </w:r>
          </w:p>
          <w:p w14:paraId="3EC238FD" w14:textId="5C801196" w:rsidR="00FD0EE7" w:rsidRPr="00C16A6F" w:rsidRDefault="0CEF66E8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rFonts w:eastAsiaTheme="minorEastAsia"/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 xml:space="preserve">WHO expect Delta to </w:t>
            </w:r>
            <w:r w:rsidR="001402EF" w:rsidRPr="00C16A6F">
              <w:rPr>
                <w:rFonts w:ascii="Calibri" w:eastAsia="Calibri" w:hAnsi="Calibri" w:cs="Calibri"/>
                <w:lang w:val="en-GB"/>
              </w:rPr>
              <w:t xml:space="preserve">continue to </w:t>
            </w:r>
            <w:r w:rsidRPr="00C16A6F">
              <w:rPr>
                <w:rFonts w:ascii="Calibri" w:eastAsia="Calibri" w:hAnsi="Calibri" w:cs="Calibri"/>
                <w:lang w:val="en-GB"/>
              </w:rPr>
              <w:t>displace other variants and to become the dominant VOC worldwide in the coming months.</w:t>
            </w:r>
          </w:p>
          <w:p w14:paraId="733C4E24" w14:textId="3B61E4F3" w:rsidR="00FD0EE7" w:rsidRPr="00C16A6F" w:rsidRDefault="35BF383C" w:rsidP="00C16A6F">
            <w:pPr>
              <w:pStyle w:val="ListParagraph"/>
              <w:numPr>
                <w:ilvl w:val="0"/>
                <w:numId w:val="5"/>
              </w:numPr>
              <w:spacing w:line="288" w:lineRule="auto"/>
              <w:contextualSpacing w:val="0"/>
              <w:rPr>
                <w:lang w:val="en-GB"/>
              </w:rPr>
            </w:pPr>
            <w:r w:rsidRPr="00C16A6F">
              <w:rPr>
                <w:rFonts w:ascii="Calibri" w:eastAsia="Calibri" w:hAnsi="Calibri" w:cs="Calibri"/>
                <w:lang w:val="en-GB"/>
              </w:rPr>
              <w:t xml:space="preserve">In </w:t>
            </w:r>
            <w:r w:rsidR="001402EF" w:rsidRPr="00C16A6F">
              <w:rPr>
                <w:rFonts w:ascii="Calibri" w:eastAsia="Calibri" w:hAnsi="Calibri" w:cs="Calibri"/>
                <w:lang w:val="en-GB"/>
              </w:rPr>
              <w:t>Aotearoa New Zealand</w:t>
            </w:r>
            <w:r w:rsidRPr="00C16A6F">
              <w:rPr>
                <w:rFonts w:ascii="Calibri" w:eastAsia="Calibri" w:hAnsi="Calibri" w:cs="Calibri"/>
                <w:lang w:val="en-GB"/>
              </w:rPr>
              <w:t xml:space="preserve">, Delta is the predominant VOC identified </w:t>
            </w:r>
            <w:r w:rsidR="46FECCB6" w:rsidRPr="00C16A6F">
              <w:rPr>
                <w:rFonts w:ascii="Calibri" w:eastAsia="Calibri" w:hAnsi="Calibri" w:cs="Calibri"/>
                <w:lang w:val="en-GB"/>
              </w:rPr>
              <w:t xml:space="preserve">in cases </w:t>
            </w:r>
            <w:r w:rsidRPr="00C16A6F">
              <w:rPr>
                <w:rFonts w:ascii="Calibri" w:eastAsia="Calibri" w:hAnsi="Calibri" w:cs="Calibri"/>
                <w:lang w:val="en-GB"/>
              </w:rPr>
              <w:t>at our border in r</w:t>
            </w:r>
            <w:r w:rsidR="3E5A1454" w:rsidRPr="00C16A6F">
              <w:rPr>
                <w:rFonts w:ascii="Calibri" w:eastAsia="Calibri" w:hAnsi="Calibri" w:cs="Calibri"/>
                <w:lang w:val="en-GB"/>
              </w:rPr>
              <w:t>ecent week</w:t>
            </w:r>
            <w:r w:rsidR="43B3DD7F" w:rsidRPr="00C16A6F">
              <w:rPr>
                <w:rFonts w:ascii="Calibri" w:eastAsia="Calibri" w:hAnsi="Calibri" w:cs="Calibri"/>
                <w:lang w:val="en-GB"/>
              </w:rPr>
              <w:t>s.</w:t>
            </w:r>
          </w:p>
          <w:p w14:paraId="1E36BA20" w14:textId="32F06743" w:rsidR="00FD0EE7" w:rsidRPr="00C16A6F" w:rsidRDefault="6C2D295E" w:rsidP="00C16A6F">
            <w:pPr>
              <w:pStyle w:val="BodyText"/>
              <w:rPr>
                <w:szCs w:val="22"/>
              </w:rPr>
            </w:pPr>
            <w:r w:rsidRPr="00C16A6F">
              <w:rPr>
                <w:szCs w:val="22"/>
              </w:rPr>
              <w:t>What do we know about Delta?</w:t>
            </w:r>
          </w:p>
          <w:p w14:paraId="3F3A627B" w14:textId="039BBD8D" w:rsidR="00FD0EE7" w:rsidRPr="00C16A6F" w:rsidRDefault="593910E6" w:rsidP="00C16A6F">
            <w:pPr>
              <w:pStyle w:val="BodyText"/>
              <w:rPr>
                <w:b w:val="0"/>
                <w:bCs w:val="0"/>
                <w:i/>
                <w:iCs/>
                <w:szCs w:val="22"/>
              </w:rPr>
            </w:pPr>
            <w:r w:rsidRPr="00C16A6F">
              <w:rPr>
                <w:b w:val="0"/>
                <w:bCs w:val="0"/>
                <w:i/>
                <w:iCs/>
                <w:szCs w:val="22"/>
              </w:rPr>
              <w:t>Transmissibility</w:t>
            </w:r>
          </w:p>
          <w:p w14:paraId="17E63DAA" w14:textId="1C29F2E9" w:rsidR="00FD0EE7" w:rsidRPr="00C16A6F" w:rsidRDefault="3504E63B" w:rsidP="00C16A6F">
            <w:pPr>
              <w:pStyle w:val="ListParagraph"/>
              <w:numPr>
                <w:ilvl w:val="0"/>
                <w:numId w:val="4"/>
              </w:numPr>
              <w:spacing w:line="288" w:lineRule="auto"/>
              <w:contextualSpacing w:val="0"/>
              <w:rPr>
                <w:rFonts w:eastAsiaTheme="minorEastAsia"/>
                <w:lang w:val="en-US"/>
              </w:rPr>
            </w:pPr>
            <w:r w:rsidRPr="00C16A6F">
              <w:rPr>
                <w:lang w:val="en-GB"/>
              </w:rPr>
              <w:t xml:space="preserve">Epidemiological evidence from secondary attack rates, household transmission studies, and growth rate modelling all support increased </w:t>
            </w:r>
            <w:r w:rsidR="63E46CA3" w:rsidRPr="00C16A6F">
              <w:rPr>
                <w:lang w:val="en-GB"/>
              </w:rPr>
              <w:t>transmissibility</w:t>
            </w:r>
            <w:r w:rsidRPr="00C16A6F">
              <w:rPr>
                <w:lang w:val="en-GB"/>
              </w:rPr>
              <w:t xml:space="preserve">. </w:t>
            </w:r>
          </w:p>
          <w:p w14:paraId="56388808" w14:textId="5F2FE876" w:rsidR="00FD0EE7" w:rsidRPr="00C16A6F" w:rsidRDefault="6E21D5C9" w:rsidP="00C16A6F">
            <w:pPr>
              <w:pStyle w:val="ListParagraph"/>
              <w:numPr>
                <w:ilvl w:val="0"/>
                <w:numId w:val="4"/>
              </w:numPr>
              <w:spacing w:line="288" w:lineRule="auto"/>
              <w:contextualSpacing w:val="0"/>
              <w:rPr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>T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>he basic reproductive number R</w:t>
            </w:r>
            <w:r w:rsidR="28EB6CCA" w:rsidRPr="00C16A6F">
              <w:rPr>
                <w:rFonts w:ascii="Calibri" w:eastAsia="Calibri" w:hAnsi="Calibri" w:cs="Calibri"/>
                <w:vertAlign w:val="subscript"/>
                <w:lang w:val="en-US"/>
              </w:rPr>
              <w:t>0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4C2E1637" w:rsidRPr="00C16A6F">
              <w:rPr>
                <w:rFonts w:ascii="Calibri" w:eastAsia="Calibri" w:hAnsi="Calibri" w:cs="Calibri"/>
                <w:lang w:val="en-US"/>
              </w:rPr>
              <w:t>for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3758E7BB" w:rsidRPr="00C16A6F">
              <w:rPr>
                <w:rFonts w:ascii="Calibri" w:eastAsia="Calibri" w:hAnsi="Calibri" w:cs="Calibri"/>
                <w:lang w:val="en-US"/>
              </w:rPr>
              <w:t>D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 xml:space="preserve">elta </w:t>
            </w:r>
            <w:r w:rsidR="6B2557D1" w:rsidRPr="00C16A6F">
              <w:rPr>
                <w:rFonts w:ascii="Calibri" w:eastAsia="Calibri" w:hAnsi="Calibri" w:cs="Calibri"/>
                <w:lang w:val="en-US"/>
              </w:rPr>
              <w:t>is estimated to be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904560" w:rsidRPr="00C16A6F">
              <w:rPr>
                <w:rFonts w:ascii="Calibri" w:eastAsia="Calibri" w:hAnsi="Calibri" w:cs="Calibri"/>
                <w:lang w:val="en-US"/>
              </w:rPr>
              <w:t xml:space="preserve">at least </w:t>
            </w:r>
            <w:r w:rsidR="28EB6CCA" w:rsidRPr="00C16A6F">
              <w:rPr>
                <w:rFonts w:ascii="Calibri" w:eastAsia="Calibri" w:hAnsi="Calibri" w:cs="Calibri"/>
                <w:lang w:val="en-US"/>
              </w:rPr>
              <w:t>5.5-6.5</w:t>
            </w:r>
            <w:r w:rsidR="001E31D0" w:rsidRPr="00C16A6F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="6E909E73" w:rsidRPr="00C16A6F">
              <w:rPr>
                <w:rFonts w:ascii="Calibri" w:eastAsia="Calibri" w:hAnsi="Calibri" w:cs="Calibri"/>
                <w:lang w:val="en-US"/>
              </w:rPr>
              <w:t>meaning that on average</w:t>
            </w:r>
            <w:r w:rsidR="332D515F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6E909E73" w:rsidRPr="00C16A6F">
              <w:rPr>
                <w:rFonts w:ascii="Calibri" w:eastAsia="Calibri" w:hAnsi="Calibri" w:cs="Calibri"/>
                <w:lang w:val="en-US"/>
              </w:rPr>
              <w:t>each person transmits Delta to another 5-6 people.</w:t>
            </w:r>
          </w:p>
          <w:p w14:paraId="0BF88758" w14:textId="18BFBC1D" w:rsidR="00FD0EE7" w:rsidRPr="00C16A6F" w:rsidRDefault="737ABEF9" w:rsidP="00C16A6F">
            <w:pPr>
              <w:pStyle w:val="ListParagraph"/>
              <w:numPr>
                <w:ilvl w:val="0"/>
                <w:numId w:val="4"/>
              </w:numPr>
              <w:spacing w:line="288" w:lineRule="auto"/>
              <w:contextualSpacing w:val="0"/>
              <w:rPr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lastRenderedPageBreak/>
              <w:t>A</w:t>
            </w:r>
            <w:r w:rsidR="2E931968" w:rsidRPr="00C16A6F">
              <w:rPr>
                <w:rFonts w:ascii="Calibri" w:eastAsia="Calibri" w:hAnsi="Calibri" w:cs="Calibri"/>
                <w:lang w:val="en-US"/>
              </w:rPr>
              <w:t>n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outbreak study </w:t>
            </w:r>
            <w:r w:rsidR="6D463AF8" w:rsidRPr="00C16A6F">
              <w:rPr>
                <w:rFonts w:ascii="Calibri" w:eastAsia="Calibri" w:hAnsi="Calibri" w:cs="Calibri"/>
                <w:lang w:val="en-US"/>
              </w:rPr>
              <w:t xml:space="preserve">in </w:t>
            </w:r>
            <w:proofErr w:type="spellStart"/>
            <w:r w:rsidR="6D463AF8" w:rsidRPr="00C16A6F">
              <w:rPr>
                <w:rFonts w:ascii="Calibri" w:eastAsia="Calibri" w:hAnsi="Calibri" w:cs="Calibri"/>
                <w:lang w:val="en-US"/>
              </w:rPr>
              <w:t>Guandong</w:t>
            </w:r>
            <w:proofErr w:type="spellEnd"/>
            <w:r w:rsidRPr="00C16A6F">
              <w:rPr>
                <w:rFonts w:ascii="Calibri" w:eastAsia="Calibri" w:hAnsi="Calibri" w:cs="Calibri"/>
                <w:lang w:val="en-US"/>
              </w:rPr>
              <w:t xml:space="preserve"> China indicate</w:t>
            </w:r>
            <w:r w:rsidR="68E68988" w:rsidRPr="00C16A6F">
              <w:rPr>
                <w:rFonts w:ascii="Calibri" w:eastAsia="Calibri" w:hAnsi="Calibri" w:cs="Calibri"/>
                <w:lang w:val="en-US"/>
              </w:rPr>
              <w:t>d that Delta is associated with</w:t>
            </w:r>
            <w:r w:rsidR="6AA5358D" w:rsidRPr="00C16A6F">
              <w:rPr>
                <w:rFonts w:ascii="Calibri" w:eastAsia="Calibri" w:hAnsi="Calibri" w:cs="Calibri"/>
                <w:lang w:val="en-US"/>
              </w:rPr>
              <w:t xml:space="preserve"> very high viral loads</w:t>
            </w:r>
            <w:r w:rsidR="2CB8D0A6" w:rsidRPr="00C16A6F">
              <w:rPr>
                <w:rFonts w:ascii="Calibri" w:eastAsia="Calibri" w:hAnsi="Calibri" w:cs="Calibri"/>
                <w:lang w:val="en-US"/>
              </w:rPr>
              <w:t xml:space="preserve"> –  1000 times higher </w:t>
            </w:r>
            <w:r w:rsidR="34CC45F4" w:rsidRPr="00C16A6F">
              <w:rPr>
                <w:rFonts w:ascii="Calibri" w:eastAsia="Calibri" w:hAnsi="Calibri" w:cs="Calibri"/>
                <w:lang w:val="en-US"/>
              </w:rPr>
              <w:t xml:space="preserve">on the first PCR positive test </w:t>
            </w:r>
            <w:r w:rsidR="3C78ADD3" w:rsidRPr="00C16A6F">
              <w:rPr>
                <w:rFonts w:ascii="Calibri" w:eastAsia="Calibri" w:hAnsi="Calibri" w:cs="Calibri"/>
                <w:lang w:val="en-US"/>
              </w:rPr>
              <w:t>compared with</w:t>
            </w:r>
            <w:r w:rsidR="0C4BC7AE" w:rsidRPr="00C16A6F">
              <w:rPr>
                <w:rFonts w:ascii="Calibri" w:eastAsia="Calibri" w:hAnsi="Calibri" w:cs="Calibri"/>
                <w:lang w:val="en-US"/>
              </w:rPr>
              <w:t xml:space="preserve"> the </w:t>
            </w:r>
            <w:r w:rsidR="2CB8D0A6" w:rsidRPr="00C16A6F">
              <w:rPr>
                <w:rFonts w:ascii="Calibri" w:eastAsia="Calibri" w:hAnsi="Calibri" w:cs="Calibri"/>
                <w:lang w:val="en-US"/>
              </w:rPr>
              <w:t>previously dominant varian</w:t>
            </w:r>
            <w:r w:rsidR="5F81FA77" w:rsidRPr="00C16A6F">
              <w:rPr>
                <w:rFonts w:ascii="Calibri" w:eastAsia="Calibri" w:hAnsi="Calibri" w:cs="Calibri"/>
                <w:lang w:val="en-US"/>
              </w:rPr>
              <w:t>t</w:t>
            </w:r>
            <w:r w:rsidR="2CB8D0A6" w:rsidRPr="00C16A6F">
              <w:rPr>
                <w:rFonts w:ascii="Calibri" w:eastAsia="Calibri" w:hAnsi="Calibri" w:cs="Calibri"/>
                <w:lang w:val="en-US"/>
              </w:rPr>
              <w:t xml:space="preserve"> in that region -- </w:t>
            </w:r>
            <w:r w:rsidR="6AA5358D" w:rsidRPr="00C16A6F">
              <w:rPr>
                <w:rFonts w:ascii="Calibri" w:eastAsia="Calibri" w:hAnsi="Calibri" w:cs="Calibri"/>
                <w:lang w:val="en-US"/>
              </w:rPr>
              <w:t xml:space="preserve">and a shorter </w:t>
            </w:r>
            <w:r w:rsidR="0439B24F" w:rsidRPr="00C16A6F">
              <w:rPr>
                <w:rFonts w:ascii="Calibri" w:eastAsia="Calibri" w:hAnsi="Calibri" w:cs="Calibri"/>
                <w:lang w:val="en-US"/>
              </w:rPr>
              <w:t xml:space="preserve">median </w:t>
            </w:r>
            <w:r w:rsidR="6AA5358D" w:rsidRPr="00C16A6F">
              <w:rPr>
                <w:rFonts w:ascii="Calibri" w:eastAsia="Calibri" w:hAnsi="Calibri" w:cs="Calibri"/>
                <w:lang w:val="en-US"/>
              </w:rPr>
              <w:t xml:space="preserve">incubation time of </w:t>
            </w:r>
            <w:r w:rsidR="0439B24F" w:rsidRPr="00C16A6F">
              <w:rPr>
                <w:rFonts w:ascii="Calibri" w:eastAsia="Calibri" w:hAnsi="Calibri" w:cs="Calibri"/>
                <w:lang w:val="en-US"/>
              </w:rPr>
              <w:t>4</w:t>
            </w:r>
            <w:r w:rsidR="6AA5358D" w:rsidRPr="00C16A6F">
              <w:rPr>
                <w:rFonts w:ascii="Calibri" w:eastAsia="Calibri" w:hAnsi="Calibri" w:cs="Calibri"/>
                <w:lang w:val="en-US"/>
              </w:rPr>
              <w:t xml:space="preserve"> days</w:t>
            </w:r>
            <w:r w:rsidR="4CD37170" w:rsidRPr="00C16A6F">
              <w:rPr>
                <w:rFonts w:ascii="Calibri" w:eastAsia="Calibri" w:hAnsi="Calibri" w:cs="Calibri"/>
                <w:lang w:val="en-US"/>
              </w:rPr>
              <w:t xml:space="preserve">, compared to approximately 6 days for </w:t>
            </w:r>
            <w:r w:rsidR="02AA2548" w:rsidRPr="00C16A6F">
              <w:rPr>
                <w:rFonts w:ascii="Calibri" w:eastAsia="Calibri" w:hAnsi="Calibri" w:cs="Calibri"/>
                <w:lang w:val="en-US"/>
              </w:rPr>
              <w:t>the</w:t>
            </w:r>
            <w:r w:rsidR="26D85751" w:rsidRPr="00C16A6F">
              <w:rPr>
                <w:rFonts w:ascii="Calibri" w:eastAsia="Calibri" w:hAnsi="Calibri" w:cs="Calibri"/>
                <w:lang w:val="en-US"/>
              </w:rPr>
              <w:t xml:space="preserve"> prior variant</w:t>
            </w:r>
            <w:r w:rsidR="6AA5358D" w:rsidRPr="00C16A6F">
              <w:rPr>
                <w:rFonts w:ascii="Calibri" w:eastAsia="Calibri" w:hAnsi="Calibri" w:cs="Calibri"/>
                <w:lang w:val="en-US"/>
              </w:rPr>
              <w:t>.</w:t>
            </w:r>
          </w:p>
          <w:p w14:paraId="3B8B1610" w14:textId="53EC5C05" w:rsidR="00FD0EE7" w:rsidRPr="00C16A6F" w:rsidRDefault="01475FDC" w:rsidP="00C16A6F">
            <w:pPr>
              <w:spacing w:line="288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00C16A6F">
              <w:rPr>
                <w:rFonts w:ascii="Calibri" w:eastAsia="Calibri" w:hAnsi="Calibri" w:cs="Calibri"/>
                <w:i/>
                <w:iCs/>
                <w:lang w:val="en-US"/>
              </w:rPr>
              <w:t>Severity of Disease</w:t>
            </w:r>
          </w:p>
          <w:p w14:paraId="786F2AA9" w14:textId="46126F0E" w:rsidR="00FD0EE7" w:rsidRPr="00C16A6F" w:rsidRDefault="5DBAF534" w:rsidP="00C16A6F">
            <w:pPr>
              <w:pStyle w:val="ListParagraph"/>
              <w:numPr>
                <w:ilvl w:val="0"/>
                <w:numId w:val="3"/>
              </w:numPr>
              <w:spacing w:line="288" w:lineRule="auto"/>
              <w:contextualSpacing w:val="0"/>
              <w:rPr>
                <w:rFonts w:eastAsiaTheme="minorEastAsia"/>
                <w:b/>
                <w:bCs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PHE </w:t>
            </w:r>
            <w:r w:rsidR="246FB8A2" w:rsidRPr="00C16A6F">
              <w:rPr>
                <w:rFonts w:ascii="Calibri" w:eastAsia="Calibri" w:hAnsi="Calibri" w:cs="Calibri"/>
                <w:lang w:val="en-US"/>
              </w:rPr>
              <w:t>data estimate</w:t>
            </w:r>
            <w:r w:rsidR="36964991" w:rsidRPr="00C16A6F">
              <w:rPr>
                <w:rFonts w:ascii="Calibri" w:eastAsia="Calibri" w:hAnsi="Calibri" w:cs="Calibri"/>
                <w:lang w:val="en-US"/>
              </w:rPr>
              <w:t>d that</w:t>
            </w:r>
            <w:r w:rsidR="246FB8A2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204A843E" w:rsidRPr="00C16A6F">
              <w:rPr>
                <w:rFonts w:ascii="Calibri" w:eastAsia="Calibri" w:hAnsi="Calibri" w:cs="Calibri"/>
                <w:lang w:val="en-US"/>
              </w:rPr>
              <w:t>Delta is associated with</w:t>
            </w:r>
            <w:r w:rsidR="246FB8A2" w:rsidRPr="00C16A6F">
              <w:rPr>
                <w:rFonts w:ascii="Calibri" w:eastAsia="Calibri" w:hAnsi="Calibri" w:cs="Calibri"/>
                <w:lang w:val="en-US"/>
              </w:rPr>
              <w:t xml:space="preserve"> 2.3 </w:t>
            </w:r>
            <w:r w:rsidR="2D99308C" w:rsidRPr="00C16A6F">
              <w:rPr>
                <w:rFonts w:ascii="Calibri" w:eastAsia="Calibri" w:hAnsi="Calibri" w:cs="Calibri"/>
                <w:lang w:val="en-US"/>
              </w:rPr>
              <w:t xml:space="preserve">times the risk of </w:t>
            </w:r>
            <w:proofErr w:type="spellStart"/>
            <w:r w:rsidR="2D99308C" w:rsidRPr="00C16A6F">
              <w:rPr>
                <w:rFonts w:ascii="Calibri" w:eastAsia="Calibri" w:hAnsi="Calibri" w:cs="Calibri"/>
                <w:lang w:val="en-US"/>
              </w:rPr>
              <w:t>hospitalisation</w:t>
            </w:r>
            <w:proofErr w:type="spellEnd"/>
            <w:r w:rsidR="2D99308C" w:rsidRPr="00C16A6F">
              <w:rPr>
                <w:rFonts w:ascii="Calibri" w:eastAsia="Calibri" w:hAnsi="Calibri" w:cs="Calibri"/>
                <w:lang w:val="en-US"/>
              </w:rPr>
              <w:t xml:space="preserve"> compared to Alpha</w:t>
            </w:r>
            <w:r w:rsidR="617EF899" w:rsidRPr="00C16A6F">
              <w:rPr>
                <w:rFonts w:ascii="Calibri" w:eastAsia="Calibri" w:hAnsi="Calibri" w:cs="Calibri"/>
                <w:lang w:val="en-US"/>
              </w:rPr>
              <w:t>.</w:t>
            </w:r>
            <w:r w:rsidR="0C0B2C45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73D1A2F9" w:rsidRPr="00C16A6F">
              <w:rPr>
                <w:rFonts w:ascii="Calibri" w:eastAsia="Calibri" w:hAnsi="Calibri" w:cs="Calibri"/>
                <w:lang w:val="en-US"/>
              </w:rPr>
              <w:t>Fortunately,</w:t>
            </w:r>
            <w:r w:rsidR="0C0B2C45" w:rsidRPr="00C16A6F">
              <w:rPr>
                <w:rFonts w:ascii="Calibri" w:eastAsia="Calibri" w:hAnsi="Calibri" w:cs="Calibri"/>
                <w:lang w:val="en-US"/>
              </w:rPr>
              <w:t xml:space="preserve"> PHE data indicate </w:t>
            </w:r>
            <w:r w:rsidR="73D1A2F9" w:rsidRPr="00C16A6F">
              <w:rPr>
                <w:rFonts w:ascii="Calibri" w:eastAsia="Calibri" w:hAnsi="Calibri" w:cs="Calibri"/>
                <w:lang w:val="en-US"/>
              </w:rPr>
              <w:t>that the</w:t>
            </w:r>
            <w:r w:rsidR="0C0B2C45" w:rsidRPr="00C16A6F">
              <w:rPr>
                <w:rFonts w:ascii="Calibri" w:eastAsia="Calibri" w:hAnsi="Calibri" w:cs="Calibri"/>
                <w:lang w:val="en-US"/>
              </w:rPr>
              <w:t xml:space="preserve"> case fatality</w:t>
            </w:r>
            <w:r w:rsidR="73D1A2F9" w:rsidRPr="00C16A6F">
              <w:rPr>
                <w:rFonts w:ascii="Calibri" w:eastAsia="Calibri" w:hAnsi="Calibri" w:cs="Calibri"/>
                <w:lang w:val="en-US"/>
              </w:rPr>
              <w:t xml:space="preserve"> rate </w:t>
            </w:r>
            <w:r w:rsidR="5D9BA569" w:rsidRPr="00C16A6F">
              <w:rPr>
                <w:rFonts w:ascii="Calibri" w:eastAsia="Calibri" w:hAnsi="Calibri" w:cs="Calibri"/>
                <w:lang w:val="en-US"/>
              </w:rPr>
              <w:t xml:space="preserve">for Delta </w:t>
            </w:r>
            <w:r w:rsidR="73D1A2F9" w:rsidRPr="00C16A6F">
              <w:rPr>
                <w:rFonts w:ascii="Calibri" w:eastAsia="Calibri" w:hAnsi="Calibri" w:cs="Calibri"/>
                <w:lang w:val="en-US"/>
              </w:rPr>
              <w:t>remains low</w:t>
            </w:r>
            <w:r w:rsidR="5034C359" w:rsidRPr="00C16A6F">
              <w:rPr>
                <w:rFonts w:ascii="Calibri" w:eastAsia="Calibri" w:hAnsi="Calibri" w:cs="Calibri"/>
                <w:lang w:val="en-US"/>
              </w:rPr>
              <w:t xml:space="preserve"> (</w:t>
            </w:r>
            <w:r w:rsidR="0C0B2C45" w:rsidRPr="00C16A6F">
              <w:rPr>
                <w:rFonts w:ascii="Calibri" w:eastAsia="Calibri" w:hAnsi="Calibri" w:cs="Calibri"/>
                <w:lang w:val="en-US"/>
              </w:rPr>
              <w:t>0.2</w:t>
            </w:r>
            <w:r w:rsidR="5034C359" w:rsidRPr="00C16A6F">
              <w:rPr>
                <w:rFonts w:ascii="Calibri" w:eastAsia="Calibri" w:hAnsi="Calibri" w:cs="Calibri"/>
                <w:lang w:val="en-US"/>
              </w:rPr>
              <w:t>%)</w:t>
            </w:r>
            <w:r w:rsidR="0C0B2C45" w:rsidRPr="00C16A6F">
              <w:rPr>
                <w:rFonts w:ascii="Calibri" w:eastAsia="Calibri" w:hAnsi="Calibri" w:cs="Calibri"/>
                <w:lang w:val="en-US"/>
              </w:rPr>
              <w:t>.</w:t>
            </w:r>
            <w:r w:rsidR="63357D53" w:rsidRPr="00C16A6F">
              <w:rPr>
                <w:rFonts w:ascii="Calibri" w:eastAsia="Calibri" w:hAnsi="Calibri" w:cs="Calibri"/>
                <w:lang w:val="en-US"/>
              </w:rPr>
              <w:t xml:space="preserve"> Data reported for </w:t>
            </w:r>
            <w:r w:rsidR="297DD123" w:rsidRPr="00C16A6F">
              <w:rPr>
                <w:rFonts w:ascii="Calibri" w:eastAsia="Calibri" w:hAnsi="Calibri" w:cs="Calibri"/>
                <w:lang w:val="en-US"/>
              </w:rPr>
              <w:t xml:space="preserve">risk of death with </w:t>
            </w:r>
            <w:r w:rsidR="63357D53" w:rsidRPr="00C16A6F">
              <w:rPr>
                <w:rFonts w:ascii="Calibri" w:eastAsia="Calibri" w:hAnsi="Calibri" w:cs="Calibri"/>
                <w:lang w:val="en-US"/>
              </w:rPr>
              <w:t>Alpha</w:t>
            </w:r>
            <w:r w:rsidR="10F84A91" w:rsidRPr="00C16A6F">
              <w:rPr>
                <w:rFonts w:ascii="Calibri" w:eastAsia="Calibri" w:hAnsi="Calibri" w:cs="Calibri"/>
                <w:lang w:val="en-US"/>
              </w:rPr>
              <w:t xml:space="preserve"> varies</w:t>
            </w:r>
            <w:r w:rsidR="24E1F31E" w:rsidRPr="00C16A6F">
              <w:rPr>
                <w:rFonts w:ascii="Calibri" w:eastAsia="Calibri" w:hAnsi="Calibri" w:cs="Calibri"/>
                <w:lang w:val="en-US"/>
              </w:rPr>
              <w:t xml:space="preserve">: PHE’s most recent case fatality rate for Alpha is approximately 1.8%, noting that </w:t>
            </w:r>
            <w:r w:rsidR="2B488982" w:rsidRPr="00C16A6F">
              <w:rPr>
                <w:rFonts w:ascii="Calibri" w:eastAsia="Calibri" w:hAnsi="Calibri" w:cs="Calibri"/>
                <w:lang w:val="en-US"/>
              </w:rPr>
              <w:t>this data is based on the wave from December 2020.</w:t>
            </w:r>
          </w:p>
          <w:p w14:paraId="38C04D2D" w14:textId="4734CF88" w:rsidR="00FD0EE7" w:rsidRPr="00C16A6F" w:rsidRDefault="597B7FCF" w:rsidP="00C16A6F">
            <w:pPr>
              <w:spacing w:line="288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00C16A6F">
              <w:rPr>
                <w:rFonts w:ascii="Calibri" w:eastAsia="Calibri" w:hAnsi="Calibri" w:cs="Calibri"/>
                <w:i/>
                <w:iCs/>
                <w:lang w:val="en-US"/>
              </w:rPr>
              <w:t>Vaccine effectiveness</w:t>
            </w:r>
            <w:r w:rsidR="7365C1B7" w:rsidRPr="00C16A6F">
              <w:rPr>
                <w:rFonts w:ascii="Calibri" w:eastAsia="Calibri" w:hAnsi="Calibri" w:cs="Calibri"/>
                <w:i/>
                <w:iCs/>
                <w:lang w:val="en-US"/>
              </w:rPr>
              <w:t xml:space="preserve"> </w:t>
            </w:r>
            <w:r w:rsidR="647FA019" w:rsidRPr="00C16A6F">
              <w:rPr>
                <w:rFonts w:ascii="Calibri" w:eastAsia="Calibri" w:hAnsi="Calibri" w:cs="Calibri"/>
                <w:i/>
                <w:iCs/>
                <w:lang w:val="en-US"/>
              </w:rPr>
              <w:t>(VE)</w:t>
            </w:r>
          </w:p>
          <w:p w14:paraId="1CF98D1C" w14:textId="230A8735" w:rsidR="00DA72BE" w:rsidRPr="00C16A6F" w:rsidRDefault="46154569" w:rsidP="00C16A6F">
            <w:pPr>
              <w:pStyle w:val="ListParagraph"/>
              <w:numPr>
                <w:ilvl w:val="0"/>
                <w:numId w:val="1"/>
              </w:numPr>
              <w:spacing w:line="288" w:lineRule="auto"/>
              <w:contextualSpacing w:val="0"/>
              <w:rPr>
                <w:rFonts w:eastAsiaTheme="minorEastAsia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Pfizer </w:t>
            </w:r>
            <w:r w:rsidR="5C5FD478" w:rsidRPr="00C16A6F">
              <w:rPr>
                <w:rFonts w:ascii="Calibri" w:eastAsia="Calibri" w:hAnsi="Calibri" w:cs="Calibri"/>
                <w:lang w:val="en-US"/>
              </w:rPr>
              <w:t xml:space="preserve">vaccine is effective against symptomatic Delta infection when </w:t>
            </w:r>
            <w:r w:rsidR="5870BFC4" w:rsidRPr="00C16A6F">
              <w:rPr>
                <w:rFonts w:ascii="Calibri" w:eastAsia="Calibri" w:hAnsi="Calibri" w:cs="Calibri"/>
                <w:lang w:val="en-US"/>
              </w:rPr>
              <w:t>two</w:t>
            </w:r>
            <w:r w:rsidR="5C5FD478" w:rsidRPr="00C16A6F">
              <w:rPr>
                <w:rFonts w:ascii="Calibri" w:eastAsia="Calibri" w:hAnsi="Calibri" w:cs="Calibri"/>
                <w:lang w:val="en-US"/>
              </w:rPr>
              <w:t xml:space="preserve"> doses are given:</w:t>
            </w:r>
            <w:r w:rsidR="0A74A838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42EE54AB" w:rsidRPr="00C16A6F">
              <w:rPr>
                <w:rFonts w:ascii="Calibri" w:eastAsia="Calibri" w:hAnsi="Calibri" w:cs="Calibri"/>
                <w:lang w:val="en-US"/>
              </w:rPr>
              <w:t>P</w:t>
            </w:r>
            <w:r w:rsidR="3D0B40B1" w:rsidRPr="00C16A6F">
              <w:rPr>
                <w:rFonts w:ascii="Calibri" w:eastAsia="Calibri" w:hAnsi="Calibri" w:cs="Calibri"/>
                <w:lang w:val="en-US"/>
              </w:rPr>
              <w:t>HE</w:t>
            </w:r>
            <w:r w:rsidR="42EE54AB" w:rsidRPr="00C16A6F">
              <w:rPr>
                <w:rFonts w:ascii="Calibri" w:eastAsia="Calibri" w:hAnsi="Calibri" w:cs="Calibri"/>
                <w:lang w:val="en-US"/>
              </w:rPr>
              <w:t xml:space="preserve"> reported </w:t>
            </w:r>
            <w:r w:rsidR="036F268A" w:rsidRPr="00C16A6F">
              <w:rPr>
                <w:rFonts w:ascii="Calibri" w:eastAsia="Calibri" w:hAnsi="Calibri" w:cs="Calibri"/>
                <w:lang w:val="en-US"/>
              </w:rPr>
              <w:t xml:space="preserve">33% protection after one dose, 88% protection after </w:t>
            </w:r>
            <w:r w:rsidR="1CA68C09" w:rsidRPr="00C16A6F">
              <w:rPr>
                <w:rFonts w:ascii="Calibri" w:eastAsia="Calibri" w:hAnsi="Calibri" w:cs="Calibri"/>
                <w:lang w:val="en-US"/>
              </w:rPr>
              <w:t>two</w:t>
            </w:r>
            <w:r w:rsidR="036F268A" w:rsidRPr="00C16A6F">
              <w:rPr>
                <w:rFonts w:ascii="Calibri" w:eastAsia="Calibri" w:hAnsi="Calibri" w:cs="Calibri"/>
                <w:lang w:val="en-US"/>
              </w:rPr>
              <w:t xml:space="preserve"> doses</w:t>
            </w:r>
            <w:r w:rsidR="42EE54AB" w:rsidRPr="00C16A6F">
              <w:rPr>
                <w:rFonts w:ascii="Calibri" w:eastAsia="Calibri" w:hAnsi="Calibri" w:cs="Calibri"/>
                <w:lang w:val="en-US"/>
              </w:rPr>
              <w:t xml:space="preserve"> against symptomatic infection</w:t>
            </w:r>
            <w:r w:rsidR="036F268A" w:rsidRPr="00C16A6F">
              <w:rPr>
                <w:rFonts w:ascii="Calibri" w:eastAsia="Calibri" w:hAnsi="Calibri" w:cs="Calibri"/>
                <w:lang w:val="en-US"/>
              </w:rPr>
              <w:t>.</w:t>
            </w:r>
            <w:r w:rsidR="42EE54AB" w:rsidRPr="00C16A6F">
              <w:rPr>
                <w:rFonts w:ascii="Calibri" w:eastAsia="Calibri" w:hAnsi="Calibri" w:cs="Calibri"/>
                <w:lang w:val="en-US"/>
              </w:rPr>
              <w:t xml:space="preserve"> Similar results have been reported in Denmark and Canada.</w:t>
            </w:r>
            <w:r w:rsidR="3EAF3065" w:rsidRPr="00C16A6F">
              <w:rPr>
                <w:rFonts w:ascii="Calibri" w:eastAsia="Calibri" w:hAnsi="Calibri" w:cs="Calibri"/>
                <w:lang w:val="en-US"/>
              </w:rPr>
              <w:t xml:space="preserve"> In contrast,</w:t>
            </w:r>
            <w:r w:rsidR="393DB527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72445EA7" w:rsidRPr="00C16A6F">
              <w:rPr>
                <w:rFonts w:ascii="Calibri" w:eastAsia="Calibri" w:hAnsi="Calibri" w:cs="Calibri"/>
                <w:lang w:val="en-US"/>
              </w:rPr>
              <w:t xml:space="preserve">Israel’s Ministry of Health reported a </w:t>
            </w:r>
            <w:r w:rsidR="393DB527" w:rsidRPr="00C16A6F">
              <w:rPr>
                <w:rFonts w:ascii="Calibri" w:eastAsia="Calibri" w:hAnsi="Calibri" w:cs="Calibri"/>
                <w:lang w:val="en-US"/>
              </w:rPr>
              <w:t>vaccine effectiveness against symptomatic disease of 64%</w:t>
            </w:r>
            <w:r w:rsidR="2F92173C" w:rsidRPr="00C16A6F">
              <w:rPr>
                <w:rFonts w:ascii="Calibri" w:eastAsia="Calibri" w:hAnsi="Calibri" w:cs="Calibri"/>
                <w:lang w:val="en-US"/>
              </w:rPr>
              <w:t>. T</w:t>
            </w:r>
            <w:r w:rsidR="3EAF3065" w:rsidRPr="00C16A6F">
              <w:rPr>
                <w:rFonts w:ascii="Calibri" w:eastAsia="Calibri" w:hAnsi="Calibri" w:cs="Calibri"/>
                <w:lang w:val="en-US"/>
              </w:rPr>
              <w:t>his</w:t>
            </w:r>
            <w:r w:rsidR="1B9EA4AB" w:rsidRPr="00C16A6F">
              <w:rPr>
                <w:rFonts w:ascii="Calibri" w:eastAsia="Calibri" w:hAnsi="Calibri" w:cs="Calibri"/>
                <w:lang w:val="en-US"/>
              </w:rPr>
              <w:t xml:space="preserve"> result</w:t>
            </w:r>
            <w:r w:rsidR="3EAF3065" w:rsidRPr="00C16A6F">
              <w:rPr>
                <w:rFonts w:ascii="Calibri" w:eastAsia="Calibri" w:hAnsi="Calibri" w:cs="Calibri"/>
                <w:lang w:val="en-US"/>
              </w:rPr>
              <w:t xml:space="preserve"> was reported in a press release, but the difference </w:t>
            </w:r>
            <w:r w:rsidR="225033E3" w:rsidRPr="00C16A6F">
              <w:rPr>
                <w:rFonts w:ascii="Calibri" w:eastAsia="Calibri" w:hAnsi="Calibri" w:cs="Calibri"/>
                <w:lang w:val="en-US"/>
              </w:rPr>
              <w:t xml:space="preserve">may be </w:t>
            </w:r>
            <w:r w:rsidR="3EAF3065" w:rsidRPr="00C16A6F">
              <w:rPr>
                <w:rFonts w:ascii="Calibri" w:eastAsia="Calibri" w:hAnsi="Calibri" w:cs="Calibri"/>
                <w:lang w:val="en-US"/>
              </w:rPr>
              <w:t xml:space="preserve">due to </w:t>
            </w:r>
            <w:r w:rsidR="243474FA" w:rsidRPr="00C16A6F">
              <w:rPr>
                <w:rFonts w:ascii="Calibri" w:eastAsia="Calibri" w:hAnsi="Calibri" w:cs="Calibri"/>
                <w:lang w:val="en-US"/>
              </w:rPr>
              <w:t>a methodological difference</w:t>
            </w:r>
            <w:r w:rsidR="0BF45ECC" w:rsidRPr="00C16A6F">
              <w:rPr>
                <w:rFonts w:ascii="Calibri" w:eastAsia="Calibri" w:hAnsi="Calibri" w:cs="Calibri"/>
                <w:lang w:val="en-US"/>
              </w:rPr>
              <w:t>s</w:t>
            </w:r>
            <w:r w:rsidR="243474FA" w:rsidRPr="00C16A6F">
              <w:rPr>
                <w:rFonts w:ascii="Calibri" w:eastAsia="Calibri" w:hAnsi="Calibri" w:cs="Calibri"/>
                <w:lang w:val="en-US"/>
              </w:rPr>
              <w:t xml:space="preserve"> that do not fully account for the confounding in the observational data.</w:t>
            </w:r>
          </w:p>
          <w:p w14:paraId="05A24A5C" w14:textId="425D43C0" w:rsidR="04570D80" w:rsidRPr="00C16A6F" w:rsidRDefault="04570D80" w:rsidP="00C16A6F">
            <w:pPr>
              <w:pStyle w:val="ListParagraph"/>
              <w:numPr>
                <w:ilvl w:val="0"/>
                <w:numId w:val="1"/>
              </w:numPr>
              <w:spacing w:line="288" w:lineRule="auto"/>
              <w:contextualSpacing w:val="0"/>
              <w:rPr>
                <w:rFonts w:eastAsiaTheme="minorEastAsia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AstraZeneca vaccine </w:t>
            </w:r>
            <w:r w:rsidR="40CD9573" w:rsidRPr="00C16A6F">
              <w:rPr>
                <w:rFonts w:ascii="Calibri" w:eastAsia="Calibri" w:hAnsi="Calibri" w:cs="Calibri"/>
                <w:lang w:val="en-US"/>
              </w:rPr>
              <w:t>is less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effective against symptomatic Delta infection when two doses are given</w:t>
            </w:r>
            <w:r w:rsidR="0E95BA6F" w:rsidRPr="00C16A6F">
              <w:rPr>
                <w:rFonts w:ascii="Calibri" w:eastAsia="Calibri" w:hAnsi="Calibri" w:cs="Calibri"/>
                <w:lang w:val="en-US"/>
              </w:rPr>
              <w:t xml:space="preserve"> compared to Pfizer but still provides protection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: Public Health England reported 30% protection after one dose, </w:t>
            </w:r>
            <w:r w:rsidR="4B1D9DFB" w:rsidRPr="00C16A6F">
              <w:rPr>
                <w:rFonts w:ascii="Calibri" w:eastAsia="Calibri" w:hAnsi="Calibri" w:cs="Calibri"/>
                <w:lang w:val="en-US"/>
              </w:rPr>
              <w:t>67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% protection after two doses against symptomatic </w:t>
            </w:r>
            <w:r w:rsidR="132501A5" w:rsidRPr="00C16A6F">
              <w:rPr>
                <w:rFonts w:ascii="Calibri" w:eastAsia="Calibri" w:hAnsi="Calibri" w:cs="Calibri"/>
                <w:lang w:val="en-US"/>
              </w:rPr>
              <w:t xml:space="preserve">Delta </w:t>
            </w:r>
            <w:r w:rsidRPr="00C16A6F">
              <w:rPr>
                <w:rFonts w:ascii="Calibri" w:eastAsia="Calibri" w:hAnsi="Calibri" w:cs="Calibri"/>
                <w:lang w:val="en-US"/>
              </w:rPr>
              <w:t>infection.</w:t>
            </w:r>
          </w:p>
          <w:p w14:paraId="22A39A6F" w14:textId="4091F88A" w:rsidR="00FD0EE7" w:rsidRPr="00C16A6F" w:rsidRDefault="036F268A" w:rsidP="00C16A6F">
            <w:pPr>
              <w:pStyle w:val="ListParagraph"/>
              <w:numPr>
                <w:ilvl w:val="0"/>
                <w:numId w:val="1"/>
              </w:numPr>
              <w:spacing w:line="288" w:lineRule="auto"/>
              <w:contextualSpacing w:val="0"/>
              <w:rPr>
                <w:rFonts w:eastAsiaTheme="minorEastAsia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>A s</w:t>
            </w:r>
            <w:r w:rsidR="2C898172" w:rsidRPr="00C16A6F">
              <w:rPr>
                <w:rFonts w:ascii="Calibri" w:eastAsia="Calibri" w:hAnsi="Calibri" w:cs="Calibri"/>
                <w:lang w:val="en-US"/>
              </w:rPr>
              <w:t>eparate analysis</w:t>
            </w:r>
            <w:r w:rsidR="0FC4ADC5" w:rsidRPr="00C16A6F">
              <w:rPr>
                <w:rFonts w:ascii="Calibri" w:eastAsia="Calibri" w:hAnsi="Calibri" w:cs="Calibri"/>
                <w:lang w:val="en-US"/>
              </w:rPr>
              <w:t xml:space="preserve"> from P</w:t>
            </w:r>
            <w:r w:rsidR="08AC0A81" w:rsidRPr="00C16A6F">
              <w:rPr>
                <w:rFonts w:ascii="Calibri" w:eastAsia="Calibri" w:hAnsi="Calibri" w:cs="Calibri"/>
                <w:lang w:val="en-US"/>
              </w:rPr>
              <w:t xml:space="preserve">ublic </w:t>
            </w:r>
            <w:r w:rsidR="0FC4ADC5" w:rsidRPr="00C16A6F">
              <w:rPr>
                <w:rFonts w:ascii="Calibri" w:eastAsia="Calibri" w:hAnsi="Calibri" w:cs="Calibri"/>
                <w:lang w:val="en-US"/>
              </w:rPr>
              <w:t>H</w:t>
            </w:r>
            <w:r w:rsidR="31B3FFEF" w:rsidRPr="00C16A6F">
              <w:rPr>
                <w:rFonts w:ascii="Calibri" w:eastAsia="Calibri" w:hAnsi="Calibri" w:cs="Calibri"/>
                <w:lang w:val="en-US"/>
              </w:rPr>
              <w:t xml:space="preserve">ealth </w:t>
            </w:r>
            <w:r w:rsidR="0FC4ADC5" w:rsidRPr="00C16A6F">
              <w:rPr>
                <w:rFonts w:ascii="Calibri" w:eastAsia="Calibri" w:hAnsi="Calibri" w:cs="Calibri"/>
                <w:lang w:val="en-US"/>
              </w:rPr>
              <w:t>E</w:t>
            </w:r>
            <w:r w:rsidR="57DF8F55" w:rsidRPr="00C16A6F">
              <w:rPr>
                <w:rFonts w:ascii="Calibri" w:eastAsia="Calibri" w:hAnsi="Calibri" w:cs="Calibri"/>
                <w:lang w:val="en-US"/>
              </w:rPr>
              <w:t>ngland</w:t>
            </w:r>
            <w:r w:rsidR="0FC4ADC5" w:rsidRPr="00C16A6F">
              <w:rPr>
                <w:rFonts w:ascii="Calibri" w:eastAsia="Calibri" w:hAnsi="Calibri" w:cs="Calibri"/>
                <w:lang w:val="en-US"/>
              </w:rPr>
              <w:t xml:space="preserve"> (but typical of other estimates)</w:t>
            </w:r>
            <w:r w:rsidR="2C898172" w:rsidRPr="00C16A6F">
              <w:rPr>
                <w:rFonts w:ascii="Calibri" w:eastAsia="Calibri" w:hAnsi="Calibri" w:cs="Calibri"/>
                <w:lang w:val="en-US"/>
              </w:rPr>
              <w:t xml:space="preserve"> showed </w:t>
            </w:r>
            <w:r w:rsidR="1CA68C09" w:rsidRPr="00C16A6F">
              <w:rPr>
                <w:rFonts w:ascii="Calibri" w:eastAsia="Calibri" w:hAnsi="Calibri" w:cs="Calibri"/>
                <w:lang w:val="en-US"/>
              </w:rPr>
              <w:t>two</w:t>
            </w:r>
            <w:r w:rsidR="2C898172" w:rsidRPr="00C16A6F">
              <w:rPr>
                <w:rFonts w:ascii="Calibri" w:eastAsia="Calibri" w:hAnsi="Calibri" w:cs="Calibri"/>
                <w:lang w:val="en-US"/>
              </w:rPr>
              <w:t xml:space="preserve"> doses of the Pfizer vaccine offered 96% protection against </w:t>
            </w:r>
            <w:proofErr w:type="spellStart"/>
            <w:r w:rsidR="2C898172" w:rsidRPr="00C16A6F">
              <w:rPr>
                <w:rFonts w:ascii="Calibri" w:eastAsia="Calibri" w:hAnsi="Calibri" w:cs="Calibri"/>
                <w:lang w:val="en-US"/>
              </w:rPr>
              <w:t>hospitalisation</w:t>
            </w:r>
            <w:proofErr w:type="spellEnd"/>
            <w:r w:rsidR="2C898172" w:rsidRPr="00C16A6F">
              <w:rPr>
                <w:rFonts w:ascii="Calibri" w:eastAsia="Calibri" w:hAnsi="Calibri" w:cs="Calibri"/>
                <w:lang w:val="en-US"/>
              </w:rPr>
              <w:t xml:space="preserve"> due to the Delta variant</w:t>
            </w:r>
            <w:r w:rsidR="3E1FA909" w:rsidRPr="00C16A6F">
              <w:rPr>
                <w:rFonts w:ascii="Calibri" w:eastAsia="Calibri" w:hAnsi="Calibri" w:cs="Calibri"/>
                <w:lang w:val="en-US"/>
              </w:rPr>
              <w:t>.</w:t>
            </w:r>
            <w:r w:rsidR="0C5A96DB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2CF9136A" w:rsidRPr="00C16A6F">
              <w:rPr>
                <w:rFonts w:ascii="Calibri" w:eastAsia="Calibri" w:hAnsi="Calibri" w:cs="Calibri"/>
                <w:lang w:val="en-US"/>
              </w:rPr>
              <w:t>T</w:t>
            </w:r>
            <w:r w:rsidR="0C5A96DB" w:rsidRPr="00C16A6F">
              <w:rPr>
                <w:rFonts w:ascii="Calibri" w:eastAsia="Calibri" w:hAnsi="Calibri" w:cs="Calibri"/>
                <w:lang w:val="en-US"/>
              </w:rPr>
              <w:t xml:space="preserve">he AstraZeneca vaccine provided 92% protection against </w:t>
            </w:r>
            <w:proofErr w:type="spellStart"/>
            <w:r w:rsidR="0C5A96DB" w:rsidRPr="00C16A6F">
              <w:rPr>
                <w:rFonts w:ascii="Calibri" w:eastAsia="Calibri" w:hAnsi="Calibri" w:cs="Calibri"/>
                <w:lang w:val="en-US"/>
              </w:rPr>
              <w:t>hospitalisation</w:t>
            </w:r>
            <w:proofErr w:type="spellEnd"/>
            <w:r w:rsidR="0C5A96DB" w:rsidRPr="00C16A6F">
              <w:rPr>
                <w:rFonts w:ascii="Calibri" w:eastAsia="Calibri" w:hAnsi="Calibri" w:cs="Calibri"/>
                <w:lang w:val="en-US"/>
              </w:rPr>
              <w:t xml:space="preserve"> due to the Delta variant in the sa</w:t>
            </w:r>
            <w:r w:rsidR="1BBB3126" w:rsidRPr="00C16A6F">
              <w:rPr>
                <w:rFonts w:ascii="Calibri" w:eastAsia="Calibri" w:hAnsi="Calibri" w:cs="Calibri"/>
                <w:lang w:val="en-US"/>
              </w:rPr>
              <w:t>me Public Health England analysis</w:t>
            </w:r>
            <w:r w:rsidR="2C898172" w:rsidRPr="00C16A6F">
              <w:rPr>
                <w:rFonts w:ascii="Calibri" w:eastAsia="Calibri" w:hAnsi="Calibri" w:cs="Calibri"/>
                <w:lang w:val="en-US"/>
              </w:rPr>
              <w:t>.</w:t>
            </w:r>
          </w:p>
          <w:p w14:paraId="4940CCF0" w14:textId="58AF3BC5" w:rsidR="00FD0EE7" w:rsidRPr="00C16A6F" w:rsidRDefault="6CDDD592" w:rsidP="00C16A6F">
            <w:pPr>
              <w:spacing w:line="288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16A6F">
              <w:rPr>
                <w:rFonts w:ascii="Calibri" w:eastAsia="Calibri" w:hAnsi="Calibri" w:cs="Calibri"/>
                <w:b/>
                <w:bCs/>
                <w:lang w:val="en-US"/>
              </w:rPr>
              <w:t>Horizon scanning</w:t>
            </w:r>
          </w:p>
          <w:p w14:paraId="04992E74" w14:textId="795A6AE0" w:rsidR="00FD0EE7" w:rsidRPr="00C16A6F" w:rsidRDefault="1D0BED2F" w:rsidP="00C16A6F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>R</w:t>
            </w:r>
            <w:r w:rsidR="67F5CAEF" w:rsidRPr="00C16A6F">
              <w:rPr>
                <w:rFonts w:ascii="Calibri" w:eastAsia="Calibri" w:hAnsi="Calibri" w:cs="Calibri"/>
                <w:lang w:val="en-US"/>
              </w:rPr>
              <w:t xml:space="preserve">ecent data from England 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shows infection rates in healthcare workers are increasing. The cause is unclear but </w:t>
            </w:r>
            <w:r w:rsidR="1BB15A17" w:rsidRPr="00C16A6F">
              <w:rPr>
                <w:rFonts w:ascii="Calibri" w:eastAsia="Calibri" w:hAnsi="Calibri" w:cs="Calibri"/>
                <w:lang w:val="en-US"/>
              </w:rPr>
              <w:t xml:space="preserve">contributing 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factors </w:t>
            </w:r>
            <w:r w:rsidR="6758B641" w:rsidRPr="00C16A6F">
              <w:rPr>
                <w:rFonts w:ascii="Calibri" w:eastAsia="Calibri" w:hAnsi="Calibri" w:cs="Calibri"/>
                <w:lang w:val="en-US"/>
              </w:rPr>
              <w:t xml:space="preserve">may </w:t>
            </w:r>
            <w:r w:rsidR="72E83494" w:rsidRPr="00C16A6F">
              <w:rPr>
                <w:rFonts w:ascii="Calibri" w:eastAsia="Calibri" w:hAnsi="Calibri" w:cs="Calibri"/>
                <w:lang w:val="en-US"/>
              </w:rPr>
              <w:t>include one or more of</w:t>
            </w:r>
            <w:r w:rsidR="6758B641" w:rsidRPr="00C16A6F">
              <w:rPr>
                <w:rFonts w:ascii="Calibri" w:eastAsia="Calibri" w:hAnsi="Calibri" w:cs="Calibri"/>
                <w:lang w:val="en-US"/>
              </w:rPr>
              <w:t>: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 waning immunity for AstraZeneca and</w:t>
            </w:r>
            <w:r w:rsidR="497A128E" w:rsidRPr="00C16A6F">
              <w:rPr>
                <w:rFonts w:ascii="Calibri" w:eastAsia="Calibri" w:hAnsi="Calibri" w:cs="Calibri"/>
                <w:lang w:val="en-US"/>
              </w:rPr>
              <w:t>/or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 Pfizer vaccines</w:t>
            </w:r>
            <w:r w:rsidR="15CEF5D5" w:rsidRPr="00C16A6F">
              <w:rPr>
                <w:rFonts w:ascii="Calibri" w:eastAsia="Calibri" w:hAnsi="Calibri" w:cs="Calibri"/>
                <w:lang w:val="en-US"/>
              </w:rPr>
              <w:t>;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 immune escape properties of variants</w:t>
            </w:r>
            <w:r w:rsidR="3CBEFB87" w:rsidRPr="00C16A6F">
              <w:rPr>
                <w:rFonts w:ascii="Calibri" w:eastAsia="Calibri" w:hAnsi="Calibri" w:cs="Calibri"/>
                <w:lang w:val="en-US"/>
              </w:rPr>
              <w:t>;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 xml:space="preserve"> increasing prevalence </w:t>
            </w:r>
            <w:r w:rsidR="4A7870AD" w:rsidRPr="00C16A6F">
              <w:rPr>
                <w:rFonts w:ascii="Calibri" w:eastAsia="Calibri" w:hAnsi="Calibri" w:cs="Calibri"/>
                <w:lang w:val="en-US"/>
              </w:rPr>
              <w:t xml:space="preserve">of COVID-19 </w:t>
            </w:r>
            <w:r w:rsidR="0EAACC6E" w:rsidRPr="00C16A6F">
              <w:rPr>
                <w:rFonts w:ascii="Calibri" w:eastAsia="Calibri" w:hAnsi="Calibri" w:cs="Calibri"/>
                <w:lang w:val="en-US"/>
              </w:rPr>
              <w:t>in England due to Delta.</w:t>
            </w:r>
            <w:r w:rsidR="6F9B3B8D" w:rsidRPr="00C16A6F">
              <w:rPr>
                <w:rFonts w:ascii="Calibri" w:eastAsia="Calibri" w:hAnsi="Calibri" w:cs="Calibri"/>
                <w:lang w:val="en-US"/>
              </w:rPr>
              <w:t xml:space="preserve"> Further</w:t>
            </w:r>
            <w:r w:rsidR="69B8D74B" w:rsidRPr="00C16A6F">
              <w:rPr>
                <w:rFonts w:ascii="Calibri" w:eastAsia="Calibri" w:hAnsi="Calibri" w:cs="Calibri"/>
                <w:lang w:val="en-US"/>
              </w:rPr>
              <w:t xml:space="preserve"> updates will continue to report on this as data emerges.</w:t>
            </w:r>
          </w:p>
        </w:tc>
      </w:tr>
      <w:tr w:rsidR="00FD0EE7" w:rsidRPr="00C16A6F" w14:paraId="6972EDD9" w14:textId="77777777" w:rsidTr="00CA7361">
        <w:trPr>
          <w:trHeight w:val="1417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2DAC8D92" w14:textId="77777777" w:rsidR="00C16A6F" w:rsidRDefault="00FD0EE7" w:rsidP="00C16A6F">
            <w:pPr>
              <w:pStyle w:val="BodyText"/>
              <w:spacing w:before="120"/>
              <w:rPr>
                <w:szCs w:val="22"/>
              </w:rPr>
            </w:pPr>
            <w:r w:rsidRPr="00C16A6F">
              <w:rPr>
                <w:szCs w:val="22"/>
              </w:rPr>
              <w:lastRenderedPageBreak/>
              <w:t>Comment:</w:t>
            </w:r>
          </w:p>
          <w:p w14:paraId="78C6E328" w14:textId="77777777" w:rsidR="00493D42" w:rsidRDefault="728BD36C" w:rsidP="00C16A6F">
            <w:pPr>
              <w:pStyle w:val="BodyText"/>
              <w:spacing w:before="120"/>
              <w:rPr>
                <w:b w:val="0"/>
                <w:bCs w:val="0"/>
                <w:szCs w:val="22"/>
              </w:rPr>
            </w:pPr>
            <w:r w:rsidRPr="00C16A6F">
              <w:rPr>
                <w:b w:val="0"/>
                <w:bCs w:val="0"/>
                <w:szCs w:val="22"/>
              </w:rPr>
              <w:t>The</w:t>
            </w:r>
            <w:r w:rsidR="00B7239B" w:rsidRPr="00C16A6F">
              <w:rPr>
                <w:b w:val="0"/>
                <w:bCs w:val="0"/>
                <w:szCs w:val="22"/>
              </w:rPr>
              <w:t xml:space="preserve"> </w:t>
            </w:r>
            <w:r w:rsidR="6FACD202" w:rsidRPr="00C16A6F">
              <w:rPr>
                <w:b w:val="0"/>
                <w:bCs w:val="0"/>
                <w:szCs w:val="22"/>
              </w:rPr>
              <w:t>predominant</w:t>
            </w:r>
            <w:r w:rsidRPr="00C16A6F">
              <w:rPr>
                <w:b w:val="0"/>
                <w:bCs w:val="0"/>
                <w:szCs w:val="22"/>
              </w:rPr>
              <w:t xml:space="preserve"> variant</w:t>
            </w:r>
            <w:r w:rsidR="6FACD202" w:rsidRPr="00C16A6F">
              <w:rPr>
                <w:b w:val="0"/>
                <w:bCs w:val="0"/>
                <w:szCs w:val="22"/>
              </w:rPr>
              <w:t xml:space="preserve"> of SARS-CoV-2</w:t>
            </w:r>
            <w:r w:rsidRPr="00C16A6F">
              <w:rPr>
                <w:b w:val="0"/>
                <w:bCs w:val="0"/>
                <w:szCs w:val="22"/>
              </w:rPr>
              <w:t xml:space="preserve"> is Delta and</w:t>
            </w:r>
            <w:r w:rsidR="77917294" w:rsidRPr="00C16A6F">
              <w:rPr>
                <w:b w:val="0"/>
                <w:bCs w:val="0"/>
                <w:szCs w:val="22"/>
              </w:rPr>
              <w:t xml:space="preserve"> </w:t>
            </w:r>
            <w:r w:rsidR="00B7239B" w:rsidRPr="00C16A6F">
              <w:rPr>
                <w:b w:val="0"/>
                <w:bCs w:val="0"/>
                <w:szCs w:val="22"/>
              </w:rPr>
              <w:t>looking ahead i</w:t>
            </w:r>
            <w:r w:rsidR="000A5D5E" w:rsidRPr="00C16A6F">
              <w:rPr>
                <w:b w:val="0"/>
                <w:bCs w:val="0"/>
                <w:szCs w:val="22"/>
              </w:rPr>
              <w:t xml:space="preserve">t is </w:t>
            </w:r>
            <w:r w:rsidR="6FACD202" w:rsidRPr="00C16A6F">
              <w:rPr>
                <w:b w:val="0"/>
                <w:bCs w:val="0"/>
                <w:szCs w:val="22"/>
              </w:rPr>
              <w:t xml:space="preserve">prudent </w:t>
            </w:r>
            <w:r w:rsidR="12565FBB" w:rsidRPr="00C16A6F">
              <w:rPr>
                <w:b w:val="0"/>
                <w:bCs w:val="0"/>
                <w:szCs w:val="22"/>
              </w:rPr>
              <w:t xml:space="preserve">to plan for outbreaks </w:t>
            </w:r>
            <w:r w:rsidR="7374B412" w:rsidRPr="00C16A6F">
              <w:rPr>
                <w:b w:val="0"/>
                <w:bCs w:val="0"/>
                <w:szCs w:val="22"/>
              </w:rPr>
              <w:t xml:space="preserve">assuming Delta will be the </w:t>
            </w:r>
            <w:r w:rsidR="5C99FC5D" w:rsidRPr="00C16A6F">
              <w:rPr>
                <w:b w:val="0"/>
                <w:bCs w:val="0"/>
                <w:szCs w:val="22"/>
              </w:rPr>
              <w:t xml:space="preserve">variant responsible. </w:t>
            </w:r>
            <w:r w:rsidR="11B6BCEC" w:rsidRPr="00C16A6F">
              <w:rPr>
                <w:b w:val="0"/>
                <w:bCs w:val="0"/>
                <w:szCs w:val="22"/>
              </w:rPr>
              <w:t xml:space="preserve">Delta has </w:t>
            </w:r>
            <w:r w:rsidR="4EBDA8D0" w:rsidRPr="00C16A6F">
              <w:rPr>
                <w:b w:val="0"/>
                <w:bCs w:val="0"/>
                <w:szCs w:val="22"/>
              </w:rPr>
              <w:t xml:space="preserve">increased transmissibility compared to the </w:t>
            </w:r>
            <w:r w:rsidR="3B294746" w:rsidRPr="00C16A6F">
              <w:rPr>
                <w:b w:val="0"/>
                <w:bCs w:val="0"/>
                <w:szCs w:val="22"/>
              </w:rPr>
              <w:t>previously dominant</w:t>
            </w:r>
            <w:r w:rsidR="66415E31" w:rsidRPr="00C16A6F">
              <w:rPr>
                <w:b w:val="0"/>
                <w:bCs w:val="0"/>
                <w:szCs w:val="22"/>
              </w:rPr>
              <w:t xml:space="preserve"> </w:t>
            </w:r>
            <w:r w:rsidR="3B294746" w:rsidRPr="00C16A6F">
              <w:rPr>
                <w:b w:val="0"/>
                <w:bCs w:val="0"/>
                <w:szCs w:val="22"/>
              </w:rPr>
              <w:t>Alpha variant</w:t>
            </w:r>
            <w:r w:rsidR="3CDB39FA" w:rsidRPr="00C16A6F">
              <w:rPr>
                <w:b w:val="0"/>
                <w:bCs w:val="0"/>
                <w:szCs w:val="22"/>
              </w:rPr>
              <w:t>. It also appears to have</w:t>
            </w:r>
            <w:r w:rsidR="4EBDA8D0" w:rsidRPr="00C16A6F">
              <w:rPr>
                <w:b w:val="0"/>
                <w:bCs w:val="0"/>
                <w:szCs w:val="22"/>
              </w:rPr>
              <w:t xml:space="preserve"> </w:t>
            </w:r>
            <w:r w:rsidR="11B6BCEC" w:rsidRPr="00C16A6F">
              <w:rPr>
                <w:b w:val="0"/>
                <w:bCs w:val="0"/>
                <w:szCs w:val="22"/>
              </w:rPr>
              <w:t>high</w:t>
            </w:r>
            <w:r w:rsidR="4EBDA8D0" w:rsidRPr="00C16A6F">
              <w:rPr>
                <w:b w:val="0"/>
                <w:bCs w:val="0"/>
                <w:szCs w:val="22"/>
              </w:rPr>
              <w:t>er</w:t>
            </w:r>
            <w:r w:rsidR="11B6BCEC" w:rsidRPr="00C16A6F">
              <w:rPr>
                <w:b w:val="0"/>
                <w:bCs w:val="0"/>
                <w:szCs w:val="22"/>
              </w:rPr>
              <w:t xml:space="preserve"> viral load</w:t>
            </w:r>
            <w:r w:rsidR="76FDBC8C" w:rsidRPr="00C16A6F">
              <w:rPr>
                <w:b w:val="0"/>
                <w:bCs w:val="0"/>
                <w:szCs w:val="22"/>
              </w:rPr>
              <w:t>s, a shorter incubation period, and shows some degree of immune escape (even though mRNA vaccines appear to largely maintain their effectiveness against symptomatic disease)</w:t>
            </w:r>
            <w:r w:rsidR="3CDB39FA" w:rsidRPr="00C16A6F">
              <w:rPr>
                <w:b w:val="0"/>
                <w:bCs w:val="0"/>
                <w:szCs w:val="22"/>
              </w:rPr>
              <w:t xml:space="preserve"> compared to previous variants.</w:t>
            </w:r>
            <w:r w:rsidR="22B5FF80" w:rsidRPr="00C16A6F">
              <w:rPr>
                <w:b w:val="0"/>
                <w:bCs w:val="0"/>
                <w:szCs w:val="22"/>
              </w:rPr>
              <w:t xml:space="preserve"> </w:t>
            </w:r>
            <w:r w:rsidR="271DD951" w:rsidRPr="00C16A6F">
              <w:rPr>
                <w:b w:val="0"/>
                <w:bCs w:val="0"/>
                <w:szCs w:val="22"/>
              </w:rPr>
              <w:t>The short</w:t>
            </w:r>
            <w:r w:rsidR="53DB97A7" w:rsidRPr="00C16A6F">
              <w:rPr>
                <w:b w:val="0"/>
                <w:bCs w:val="0"/>
                <w:szCs w:val="22"/>
              </w:rPr>
              <w:t>e</w:t>
            </w:r>
            <w:r w:rsidR="271DD951" w:rsidRPr="00C16A6F">
              <w:rPr>
                <w:b w:val="0"/>
                <w:bCs w:val="0"/>
                <w:szCs w:val="22"/>
              </w:rPr>
              <w:t>r incubation period has implications for</w:t>
            </w:r>
            <w:r w:rsidR="53DB97A7" w:rsidRPr="00C16A6F">
              <w:rPr>
                <w:b w:val="0"/>
                <w:bCs w:val="0"/>
                <w:szCs w:val="22"/>
              </w:rPr>
              <w:t xml:space="preserve"> the </w:t>
            </w:r>
            <w:r w:rsidR="271DD951" w:rsidRPr="00C16A6F">
              <w:rPr>
                <w:b w:val="0"/>
                <w:bCs w:val="0"/>
                <w:szCs w:val="22"/>
              </w:rPr>
              <w:t>contact tracing</w:t>
            </w:r>
            <w:r w:rsidR="53DB97A7" w:rsidRPr="00C16A6F">
              <w:rPr>
                <w:b w:val="0"/>
                <w:bCs w:val="0"/>
                <w:szCs w:val="22"/>
              </w:rPr>
              <w:t xml:space="preserve"> timelines</w:t>
            </w:r>
            <w:r w:rsidR="000A5D5E" w:rsidRPr="00C16A6F">
              <w:rPr>
                <w:b w:val="0"/>
                <w:bCs w:val="0"/>
                <w:szCs w:val="22"/>
              </w:rPr>
              <w:t xml:space="preserve"> </w:t>
            </w:r>
            <w:r w:rsidR="271DD951" w:rsidRPr="00C16A6F">
              <w:rPr>
                <w:b w:val="0"/>
                <w:bCs w:val="0"/>
                <w:szCs w:val="22"/>
              </w:rPr>
              <w:t xml:space="preserve">and the speed with </w:t>
            </w:r>
            <w:r w:rsidR="4935388A" w:rsidRPr="00C16A6F">
              <w:rPr>
                <w:b w:val="0"/>
                <w:bCs w:val="0"/>
                <w:szCs w:val="22"/>
              </w:rPr>
              <w:t>which public health measures</w:t>
            </w:r>
            <w:r w:rsidR="005E1F6F">
              <w:rPr>
                <w:b w:val="0"/>
                <w:bCs w:val="0"/>
                <w:szCs w:val="22"/>
              </w:rPr>
              <w:t>.</w:t>
            </w:r>
          </w:p>
          <w:p w14:paraId="71A1DB9C" w14:textId="122D2A50" w:rsidR="00CA7361" w:rsidRPr="00C16A6F" w:rsidRDefault="00CA7361" w:rsidP="00C16A6F">
            <w:pPr>
              <w:pStyle w:val="BodyText"/>
              <w:spacing w:before="120"/>
              <w:rPr>
                <w:b w:val="0"/>
                <w:bCs w:val="0"/>
                <w:szCs w:val="22"/>
              </w:rPr>
            </w:pPr>
          </w:p>
        </w:tc>
      </w:tr>
      <w:tr w:rsidR="00FD0EE7" w:rsidRPr="00C16A6F" w14:paraId="32DE18B4" w14:textId="77777777" w:rsidTr="00CA7361">
        <w:trPr>
          <w:trHeight w:val="680"/>
          <w:jc w:val="center"/>
        </w:trPr>
        <w:tc>
          <w:tcPr>
            <w:tcW w:w="9923" w:type="dxa"/>
            <w:gridSpan w:val="2"/>
            <w:shd w:val="clear" w:color="auto" w:fill="1F3864" w:themeFill="accent1" w:themeFillShade="80"/>
            <w:vAlign w:val="center"/>
          </w:tcPr>
          <w:p w14:paraId="791B9989" w14:textId="24E520D8" w:rsidR="00FD0EE7" w:rsidRPr="00C16A6F" w:rsidRDefault="4047F387" w:rsidP="002F386B">
            <w:pPr>
              <w:spacing w:before="120"/>
              <w:rPr>
                <w:color w:val="FFFFFF" w:themeColor="background1"/>
              </w:rPr>
            </w:pPr>
            <w:r w:rsidRPr="00C16A6F">
              <w:rPr>
                <w:color w:val="FFFFFF" w:themeColor="background1"/>
              </w:rPr>
              <w:lastRenderedPageBreak/>
              <w:t>2.</w:t>
            </w:r>
            <w:r w:rsidR="39BB1963" w:rsidRPr="00C16A6F">
              <w:rPr>
                <w:color w:val="FFFFFF" w:themeColor="background1"/>
              </w:rPr>
              <w:t xml:space="preserve"> </w:t>
            </w:r>
            <w:proofErr w:type="spellStart"/>
            <w:r w:rsidR="39BB1963" w:rsidRPr="00C16A6F">
              <w:rPr>
                <w:color w:val="FFFFFF" w:themeColor="background1"/>
              </w:rPr>
              <w:t>Guillan</w:t>
            </w:r>
            <w:proofErr w:type="spellEnd"/>
            <w:r w:rsidR="39BB1963" w:rsidRPr="00C16A6F">
              <w:rPr>
                <w:color w:val="FFFFFF" w:themeColor="background1"/>
              </w:rPr>
              <w:t xml:space="preserve"> Barr</w:t>
            </w:r>
            <w:r w:rsidR="538F6B02" w:rsidRPr="00C16A6F">
              <w:rPr>
                <w:rFonts w:ascii="Calibri" w:eastAsia="Calibri" w:hAnsi="Calibri" w:cs="Calibri"/>
                <w:color w:val="FFFFFF" w:themeColor="background1"/>
                <w:lang w:val="en-US"/>
              </w:rPr>
              <w:t>é</w:t>
            </w:r>
            <w:r w:rsidR="39BB1963" w:rsidRPr="00C16A6F">
              <w:rPr>
                <w:color w:val="FFFFFF" w:themeColor="background1"/>
              </w:rPr>
              <w:t xml:space="preserve"> Syndrome after COVID-19 Vaccination</w:t>
            </w:r>
          </w:p>
        </w:tc>
      </w:tr>
      <w:tr w:rsidR="00FD0EE7" w:rsidRPr="00C16A6F" w14:paraId="2EBC4D5A" w14:textId="77777777" w:rsidTr="00CA7361">
        <w:trPr>
          <w:trHeight w:val="1417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527E157" w14:textId="45A3E4ED" w:rsidR="00FF7B38" w:rsidRPr="00C16A6F" w:rsidRDefault="4BE6784B" w:rsidP="00C16A6F">
            <w:pPr>
              <w:spacing w:line="288" w:lineRule="auto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Events of </w:t>
            </w:r>
            <w:r w:rsidR="03C0DACD" w:rsidRPr="00C16A6F">
              <w:rPr>
                <w:rFonts w:ascii="Calibri" w:eastAsia="Calibri" w:hAnsi="Calibri" w:cs="Calibri"/>
                <w:lang w:val="en-US"/>
              </w:rPr>
              <w:t>Guillain-Barré syndrome (</w:t>
            </w:r>
            <w:r w:rsidRPr="00C16A6F">
              <w:rPr>
                <w:rFonts w:ascii="Calibri" w:eastAsia="Calibri" w:hAnsi="Calibri" w:cs="Calibri"/>
                <w:lang w:val="en-US"/>
              </w:rPr>
              <w:t>GBS</w:t>
            </w:r>
            <w:r w:rsidR="1DC3AE8D" w:rsidRPr="00C16A6F">
              <w:rPr>
                <w:rFonts w:ascii="Calibri" w:eastAsia="Calibri" w:hAnsi="Calibri" w:cs="Calibri"/>
                <w:lang w:val="en-US"/>
              </w:rPr>
              <w:t>)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have been observed after vaccination with </w:t>
            </w:r>
            <w:r w:rsidR="53BEBD73" w:rsidRPr="00C16A6F">
              <w:rPr>
                <w:rFonts w:ascii="Calibri" w:eastAsia="Calibri" w:hAnsi="Calibri" w:cs="Calibri"/>
                <w:lang w:val="en-US"/>
              </w:rPr>
              <w:t>AstraZeneca and Johnson and Johnson</w:t>
            </w:r>
            <w:r w:rsidR="6EE9D361" w:rsidRPr="00C16A6F">
              <w:rPr>
                <w:rFonts w:ascii="Calibri" w:eastAsia="Calibri" w:hAnsi="Calibri" w:cs="Calibri"/>
                <w:lang w:val="en-US"/>
              </w:rPr>
              <w:t xml:space="preserve"> (J&amp;J)</w:t>
            </w:r>
            <w:r w:rsidR="67BC7151" w:rsidRPr="00C16A6F">
              <w:rPr>
                <w:rFonts w:ascii="Calibri" w:eastAsia="Calibri" w:hAnsi="Calibri" w:cs="Calibri"/>
                <w:lang w:val="en-US"/>
              </w:rPr>
              <w:t>/Janssen</w:t>
            </w:r>
            <w:r w:rsidR="53BEBD73" w:rsidRPr="00C16A6F">
              <w:rPr>
                <w:rFonts w:ascii="Calibri" w:eastAsia="Calibri" w:hAnsi="Calibri" w:cs="Calibri"/>
                <w:lang w:val="en-US"/>
              </w:rPr>
              <w:t xml:space="preserve"> COVID-19 vaccines</w:t>
            </w:r>
            <w:r w:rsidR="00090337" w:rsidRPr="00C16A6F">
              <w:rPr>
                <w:rFonts w:ascii="Calibri" w:eastAsia="Calibri" w:hAnsi="Calibri" w:cs="Calibri"/>
                <w:lang w:val="en-US"/>
              </w:rPr>
              <w:t xml:space="preserve"> internationally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56041BD1" w:rsidRPr="00C16A6F">
              <w:rPr>
                <w:rFonts w:ascii="Calibri" w:eastAsia="Calibri" w:hAnsi="Calibri" w:cs="Calibri"/>
                <w:lang w:val="en-US"/>
              </w:rPr>
              <w:t xml:space="preserve">On </w:t>
            </w:r>
            <w:r w:rsidR="171275F7" w:rsidRPr="00C16A6F">
              <w:rPr>
                <w:rFonts w:ascii="Calibri" w:eastAsia="Calibri" w:hAnsi="Calibri" w:cs="Calibri"/>
                <w:lang w:val="en-US"/>
              </w:rPr>
              <w:t>1</w:t>
            </w:r>
            <w:r w:rsidR="45135FB9" w:rsidRPr="00C16A6F">
              <w:rPr>
                <w:rFonts w:ascii="Calibri" w:eastAsia="Calibri" w:hAnsi="Calibri" w:cs="Calibri"/>
                <w:lang w:val="en-US"/>
              </w:rPr>
              <w:t>3</w:t>
            </w:r>
            <w:r w:rsidR="171275F7" w:rsidRPr="00C16A6F">
              <w:rPr>
                <w:rFonts w:ascii="Calibri" w:eastAsia="Calibri" w:hAnsi="Calibri" w:cs="Calibri"/>
                <w:lang w:val="en-US"/>
              </w:rPr>
              <w:t xml:space="preserve"> July 2021,</w:t>
            </w:r>
            <w:r w:rsidR="56041BD1" w:rsidRPr="00C16A6F">
              <w:rPr>
                <w:rFonts w:ascii="Calibri" w:eastAsia="Calibri" w:hAnsi="Calibri" w:cs="Calibri"/>
                <w:lang w:val="en-US"/>
              </w:rPr>
              <w:t xml:space="preserve"> the </w:t>
            </w:r>
            <w:r w:rsidR="4A37ED9C" w:rsidRPr="00C16A6F">
              <w:rPr>
                <w:rFonts w:ascii="Calibri" w:eastAsia="Calibri" w:hAnsi="Calibri" w:cs="Calibri"/>
                <w:lang w:val="en-US"/>
              </w:rPr>
              <w:t>US Food and Drug Administration (</w:t>
            </w:r>
            <w:r w:rsidR="56041BD1" w:rsidRPr="00C16A6F">
              <w:rPr>
                <w:rFonts w:ascii="Calibri" w:eastAsia="Calibri" w:hAnsi="Calibri" w:cs="Calibri"/>
                <w:lang w:val="en-US"/>
              </w:rPr>
              <w:t>FDA</w:t>
            </w:r>
            <w:r w:rsidR="698AE7EB" w:rsidRPr="00C16A6F">
              <w:rPr>
                <w:rFonts w:ascii="Calibri" w:eastAsia="Calibri" w:hAnsi="Calibri" w:cs="Calibri"/>
                <w:lang w:val="en-US"/>
              </w:rPr>
              <w:t>)</w:t>
            </w:r>
            <w:r w:rsidR="56041BD1" w:rsidRPr="00C16A6F">
              <w:rPr>
                <w:rFonts w:ascii="Calibri" w:eastAsia="Calibri" w:hAnsi="Calibri" w:cs="Calibri"/>
                <w:lang w:val="en-US"/>
              </w:rPr>
              <w:t xml:space="preserve"> added a warning regarding GBS</w:t>
            </w:r>
            <w:r w:rsidR="2470499E" w:rsidRPr="00C16A6F">
              <w:rPr>
                <w:rFonts w:ascii="Calibri" w:eastAsia="Calibri" w:hAnsi="Calibri" w:cs="Calibri"/>
                <w:lang w:val="en-US"/>
              </w:rPr>
              <w:t xml:space="preserve"> for the J</w:t>
            </w:r>
            <w:r w:rsidR="39C249C1" w:rsidRPr="00C16A6F">
              <w:rPr>
                <w:rFonts w:ascii="Calibri" w:eastAsia="Calibri" w:hAnsi="Calibri" w:cs="Calibri"/>
                <w:lang w:val="en-US"/>
              </w:rPr>
              <w:t>&amp;J</w:t>
            </w:r>
            <w:r w:rsidR="2470499E" w:rsidRPr="00C16A6F">
              <w:rPr>
                <w:rFonts w:ascii="Calibri" w:eastAsia="Calibri" w:hAnsi="Calibri" w:cs="Calibri"/>
                <w:lang w:val="en-US"/>
              </w:rPr>
              <w:t xml:space="preserve"> vaccine. </w:t>
            </w:r>
            <w:r w:rsidR="3485E7DE" w:rsidRPr="00C16A6F"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="7F3E11F1" w:rsidRPr="00C16A6F">
              <w:rPr>
                <w:rFonts w:ascii="Calibri" w:eastAsia="Calibri" w:hAnsi="Calibri" w:cs="Calibri"/>
                <w:lang w:val="en-US"/>
              </w:rPr>
              <w:t>European Medicines Agency (</w:t>
            </w:r>
            <w:r w:rsidR="3485E7DE" w:rsidRPr="00C16A6F">
              <w:rPr>
                <w:rFonts w:ascii="Calibri" w:eastAsia="Calibri" w:hAnsi="Calibri" w:cs="Calibri"/>
                <w:lang w:val="en-US"/>
              </w:rPr>
              <w:t>EMA</w:t>
            </w:r>
            <w:r w:rsidR="68871AEA" w:rsidRPr="00C16A6F">
              <w:rPr>
                <w:rFonts w:ascii="Calibri" w:eastAsia="Calibri" w:hAnsi="Calibri" w:cs="Calibri"/>
                <w:lang w:val="en-US"/>
              </w:rPr>
              <w:t>)</w:t>
            </w:r>
            <w:r w:rsidR="3485E7DE" w:rsidRPr="00C16A6F">
              <w:rPr>
                <w:rFonts w:ascii="Calibri" w:eastAsia="Calibri" w:hAnsi="Calibri" w:cs="Calibri"/>
                <w:lang w:val="en-US"/>
              </w:rPr>
              <w:t xml:space="preserve"> added a similar warning to the AstraZeneca vaccine</w:t>
            </w:r>
            <w:r w:rsidR="1EF1272A" w:rsidRPr="00C16A6F">
              <w:rPr>
                <w:rFonts w:ascii="Calibri" w:eastAsia="Calibri" w:hAnsi="Calibri" w:cs="Calibri"/>
                <w:lang w:val="en-US"/>
              </w:rPr>
              <w:t xml:space="preserve"> and i</w:t>
            </w:r>
            <w:r w:rsidR="45B54603" w:rsidRPr="00C16A6F">
              <w:rPr>
                <w:rFonts w:ascii="Calibri" w:eastAsia="Calibri" w:hAnsi="Calibri" w:cs="Calibri"/>
                <w:lang w:val="en-US"/>
              </w:rPr>
              <w:t>s</w:t>
            </w:r>
            <w:r w:rsidR="1EF1272A" w:rsidRPr="00C16A6F">
              <w:rPr>
                <w:rFonts w:ascii="Calibri" w:eastAsia="Calibri" w:hAnsi="Calibri" w:cs="Calibri"/>
                <w:lang w:val="en-US"/>
              </w:rPr>
              <w:t xml:space="preserve"> continuing to assess GBS </w:t>
            </w:r>
            <w:r w:rsidR="3EF46CB2" w:rsidRPr="00C16A6F">
              <w:rPr>
                <w:rFonts w:ascii="Calibri" w:eastAsia="Calibri" w:hAnsi="Calibri" w:cs="Calibri"/>
                <w:lang w:val="en-US"/>
              </w:rPr>
              <w:t>with</w:t>
            </w:r>
            <w:r w:rsidR="1EF1272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3EF46CB2" w:rsidRPr="00C16A6F">
              <w:rPr>
                <w:rFonts w:ascii="Calibri" w:eastAsia="Calibri" w:hAnsi="Calibri" w:cs="Calibri"/>
                <w:lang w:val="en-US"/>
              </w:rPr>
              <w:t xml:space="preserve">regard to </w:t>
            </w:r>
            <w:r w:rsidR="1EF1272A" w:rsidRPr="00C16A6F">
              <w:rPr>
                <w:rFonts w:ascii="Calibri" w:eastAsia="Calibri" w:hAnsi="Calibri" w:cs="Calibri"/>
                <w:lang w:val="en-US"/>
              </w:rPr>
              <w:t>the J&amp;J vaccine</w:t>
            </w:r>
            <w:r w:rsidR="3C31CB42" w:rsidRPr="00C16A6F">
              <w:rPr>
                <w:rFonts w:ascii="Calibri" w:eastAsia="Calibri" w:hAnsi="Calibri" w:cs="Calibri"/>
                <w:lang w:val="en-US"/>
              </w:rPr>
              <w:t>, as of 14 July 2021</w:t>
            </w:r>
            <w:r w:rsidR="3485E7DE" w:rsidRPr="00C16A6F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2DA5340F" w:rsidRPr="00C16A6F">
              <w:rPr>
                <w:rFonts w:ascii="Calibri" w:eastAsia="Calibri" w:hAnsi="Calibri" w:cs="Calibri"/>
                <w:lang w:val="en-US"/>
              </w:rPr>
              <w:t xml:space="preserve"> GBS</w:t>
            </w:r>
            <w:r w:rsidR="5D93FBEE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2DA5340F" w:rsidRPr="00C16A6F">
              <w:rPr>
                <w:rFonts w:ascii="Calibri" w:eastAsia="Calibri" w:hAnsi="Calibri" w:cs="Calibri"/>
                <w:lang w:val="en-US"/>
              </w:rPr>
              <w:t>is a rare</w:t>
            </w:r>
            <w:r w:rsidR="14D06EB3" w:rsidRPr="00C16A6F">
              <w:rPr>
                <w:rFonts w:ascii="Calibri" w:eastAsia="Calibri" w:hAnsi="Calibri" w:cs="Calibri"/>
                <w:lang w:val="en-US"/>
              </w:rPr>
              <w:t xml:space="preserve"> autoimmune</w:t>
            </w:r>
            <w:r w:rsidR="2DA5340F" w:rsidRPr="00C16A6F">
              <w:rPr>
                <w:rFonts w:ascii="Calibri" w:eastAsia="Calibri" w:hAnsi="Calibri" w:cs="Calibri"/>
                <w:lang w:val="en-US"/>
              </w:rPr>
              <w:t xml:space="preserve"> neurological disorder </w:t>
            </w:r>
            <w:r w:rsidR="1369A5AF" w:rsidRPr="00C16A6F">
              <w:rPr>
                <w:rFonts w:ascii="Calibri" w:eastAsia="Calibri" w:hAnsi="Calibri" w:cs="Calibri"/>
                <w:lang w:val="en-US"/>
              </w:rPr>
              <w:t>affecting</w:t>
            </w:r>
            <w:r w:rsidR="2DA5340F" w:rsidRPr="00C16A6F">
              <w:rPr>
                <w:rFonts w:ascii="Calibri" w:eastAsia="Calibri" w:hAnsi="Calibri" w:cs="Calibri"/>
                <w:lang w:val="en-US"/>
              </w:rPr>
              <w:t xml:space="preserve"> the peripheral nervous system. </w:t>
            </w:r>
          </w:p>
          <w:p w14:paraId="03148FF7" w14:textId="49782975" w:rsidR="00FF7B38" w:rsidRPr="00C16A6F" w:rsidRDefault="0B7F9287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>GBS can range from a very mild case with brief weaknes</w:t>
            </w:r>
            <w:r w:rsidR="001223BB" w:rsidRPr="00C16A6F">
              <w:rPr>
                <w:rFonts w:ascii="Calibri" w:eastAsia="Calibri" w:hAnsi="Calibri" w:cs="Calibri"/>
                <w:lang w:val="en-US"/>
              </w:rPr>
              <w:t>s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to</w:t>
            </w:r>
            <w:r w:rsidR="231053ED" w:rsidRPr="00C16A6F">
              <w:rPr>
                <w:rFonts w:ascii="Calibri" w:eastAsia="Calibri" w:hAnsi="Calibri" w:cs="Calibri"/>
                <w:lang w:val="en-US"/>
              </w:rPr>
              <w:t xml:space="preserve"> complete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paralysis</w:t>
            </w:r>
            <w:r w:rsidR="002992AD" w:rsidRPr="00C16A6F">
              <w:rPr>
                <w:rFonts w:ascii="Calibri" w:eastAsia="Calibri" w:hAnsi="Calibri" w:cs="Calibri"/>
                <w:lang w:val="en-US"/>
              </w:rPr>
              <w:t xml:space="preserve"> and death.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7C198FA7" w:rsidRPr="00C16A6F">
              <w:rPr>
                <w:rFonts w:ascii="Calibri" w:eastAsia="Calibri" w:hAnsi="Calibri" w:cs="Calibri"/>
                <w:lang w:val="en-US"/>
              </w:rPr>
              <w:t>M</w:t>
            </w:r>
            <w:r w:rsidRPr="00C16A6F">
              <w:rPr>
                <w:rFonts w:ascii="Calibri" w:eastAsia="Calibri" w:hAnsi="Calibri" w:cs="Calibri"/>
                <w:lang w:val="en-US"/>
              </w:rPr>
              <w:t>ost people recover from even the most severe cases of GBS</w:t>
            </w:r>
            <w:r w:rsidR="4B8B51EF" w:rsidRPr="00C16A6F">
              <w:rPr>
                <w:rFonts w:ascii="Calibri" w:eastAsia="Calibri" w:hAnsi="Calibri" w:cs="Calibri"/>
                <w:lang w:val="en-US"/>
              </w:rPr>
              <w:t xml:space="preserve"> but some may be left with residual weakness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.  </w:t>
            </w:r>
            <w:r w:rsidR="00D63835" w:rsidRPr="00C16A6F">
              <w:rPr>
                <w:rFonts w:ascii="Calibri" w:eastAsia="Calibri" w:hAnsi="Calibri" w:cs="Calibri"/>
                <w:lang w:val="en-US"/>
              </w:rPr>
              <w:t>The most common precipitating cause is a respiratory or gastrointestinal viral infection</w:t>
            </w:r>
            <w:r w:rsidR="001F4913" w:rsidRPr="00C16A6F">
              <w:rPr>
                <w:rFonts w:ascii="Calibri" w:eastAsia="Calibri" w:hAnsi="Calibri" w:cs="Calibri"/>
                <w:lang w:val="en-US"/>
              </w:rPr>
              <w:t>.</w:t>
            </w:r>
          </w:p>
          <w:p w14:paraId="3C8EF214" w14:textId="54CB241C" w:rsidR="00FF7B38" w:rsidRPr="00C16A6F" w:rsidRDefault="204D8328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="4EB48F69" w:rsidRPr="00C16A6F">
              <w:rPr>
                <w:rFonts w:ascii="Calibri" w:eastAsia="Calibri" w:hAnsi="Calibri" w:cs="Calibri"/>
                <w:lang w:val="en-US"/>
              </w:rPr>
              <w:t xml:space="preserve">background </w:t>
            </w:r>
            <w:r w:rsidRPr="00C16A6F">
              <w:rPr>
                <w:rFonts w:ascii="Calibri" w:eastAsia="Calibri" w:hAnsi="Calibri" w:cs="Calibri"/>
                <w:lang w:val="en-US"/>
              </w:rPr>
              <w:t>risk of GBS increases with age</w:t>
            </w:r>
            <w:r w:rsidR="21FC97AC" w:rsidRPr="00C16A6F">
              <w:rPr>
                <w:rFonts w:ascii="Calibri" w:eastAsia="Calibri" w:hAnsi="Calibri" w:cs="Calibri"/>
                <w:lang w:val="en-US"/>
              </w:rPr>
              <w:t xml:space="preserve"> from a rate of approximately </w:t>
            </w:r>
            <w:r w:rsidR="449D8E53" w:rsidRPr="00C16A6F">
              <w:rPr>
                <w:rFonts w:ascii="Calibri" w:eastAsia="Calibri" w:hAnsi="Calibri" w:cs="Calibri"/>
                <w:lang w:val="en-US"/>
              </w:rPr>
              <w:t xml:space="preserve">0.9 </w:t>
            </w:r>
            <w:r w:rsidR="21FC97AC" w:rsidRPr="00C16A6F">
              <w:rPr>
                <w:rFonts w:ascii="Calibri" w:eastAsia="Calibri" w:hAnsi="Calibri" w:cs="Calibri"/>
                <w:lang w:val="en-US"/>
              </w:rPr>
              <w:t>per</w:t>
            </w:r>
            <w:r w:rsidR="16E069A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304643C1" w:rsidRPr="00C16A6F">
              <w:rPr>
                <w:rFonts w:ascii="Calibri" w:eastAsia="Calibri" w:hAnsi="Calibri" w:cs="Calibri"/>
                <w:lang w:val="en-US"/>
              </w:rPr>
              <w:t xml:space="preserve">100,000 person-years </w:t>
            </w:r>
            <w:r w:rsidR="315C828A" w:rsidRPr="00C16A6F">
              <w:rPr>
                <w:rFonts w:ascii="Calibri" w:eastAsia="Calibri" w:hAnsi="Calibri" w:cs="Calibri"/>
                <w:lang w:val="en-US"/>
              </w:rPr>
              <w:t>for</w:t>
            </w:r>
            <w:r w:rsidR="304643C1" w:rsidRPr="00C16A6F">
              <w:rPr>
                <w:rFonts w:ascii="Calibri" w:eastAsia="Calibri" w:hAnsi="Calibri" w:cs="Calibri"/>
                <w:lang w:val="en-US"/>
              </w:rPr>
              <w:t xml:space="preserve"> 18 – 29</w:t>
            </w:r>
            <w:r w:rsidR="3CE939BA" w:rsidRPr="00C16A6F">
              <w:rPr>
                <w:rFonts w:ascii="Calibri" w:eastAsia="Calibri" w:hAnsi="Calibri" w:cs="Calibri"/>
                <w:lang w:val="en-US"/>
              </w:rPr>
              <w:t xml:space="preserve"> year-olds</w:t>
            </w:r>
            <w:r w:rsidR="304643C1" w:rsidRPr="00C16A6F">
              <w:rPr>
                <w:rFonts w:ascii="Calibri" w:eastAsia="Calibri" w:hAnsi="Calibri" w:cs="Calibri"/>
                <w:lang w:val="en-US"/>
              </w:rPr>
              <w:t>, to</w:t>
            </w:r>
            <w:r w:rsidR="3B38CD0B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6E7ACAF4" w:rsidRPr="00C16A6F">
              <w:rPr>
                <w:rFonts w:ascii="Calibri" w:eastAsia="Calibri" w:hAnsi="Calibri" w:cs="Calibri"/>
                <w:lang w:val="en-US"/>
              </w:rPr>
              <w:t>2.3 per 100,000 person-years</w:t>
            </w:r>
            <w:r w:rsidR="250C05E5" w:rsidRPr="00C16A6F">
              <w:rPr>
                <w:rFonts w:ascii="Calibri" w:eastAsia="Calibri" w:hAnsi="Calibri" w:cs="Calibri"/>
                <w:lang w:val="en-US"/>
              </w:rPr>
              <w:t xml:space="preserve"> for those 65 years and over</w:t>
            </w:r>
            <w:r w:rsidR="16E069AA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5903DDBF" w:rsidRPr="00C16A6F">
              <w:rPr>
                <w:rFonts w:ascii="Calibri" w:eastAsia="Calibri" w:hAnsi="Calibri" w:cs="Calibri"/>
                <w:lang w:val="en-US"/>
              </w:rPr>
              <w:t>(</w:t>
            </w:r>
            <w:hyperlink r:id="rId14">
              <w:r w:rsidR="1727DAB9" w:rsidRPr="00C16A6F">
                <w:rPr>
                  <w:rStyle w:val="Hyperlink"/>
                </w:rPr>
                <w:t>link</w:t>
              </w:r>
            </w:hyperlink>
            <w:r w:rsidR="3682DAD7" w:rsidRPr="00C16A6F">
              <w:rPr>
                <w:rFonts w:ascii="Calibri" w:eastAsia="Calibri" w:hAnsi="Calibri" w:cs="Calibri"/>
                <w:lang w:val="en-US"/>
              </w:rPr>
              <w:t xml:space="preserve"> and Table 1)</w:t>
            </w:r>
          </w:p>
          <w:p w14:paraId="609AA142" w14:textId="134AE919" w:rsidR="00FD0EE7" w:rsidRPr="00C16A6F" w:rsidRDefault="7DBDAC28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rFonts w:eastAsiaTheme="minorEastAsia"/>
                <w:noProof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="41BD7593" w:rsidRPr="00C16A6F">
              <w:rPr>
                <w:rFonts w:ascii="Calibri" w:eastAsia="Calibri" w:hAnsi="Calibri" w:cs="Calibri"/>
                <w:lang w:val="en-US"/>
              </w:rPr>
              <w:t>US CDC</w:t>
            </w:r>
            <w:r w:rsidR="408EFFAC" w:rsidRPr="00C16A6F">
              <w:rPr>
                <w:rFonts w:ascii="Calibri" w:eastAsia="Calibri" w:hAnsi="Calibri" w:cs="Calibri"/>
                <w:lang w:val="en-US"/>
              </w:rPr>
              <w:t xml:space="preserve">’s 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Advisory Committee on Immunization Practice </w:t>
            </w:r>
            <w:r w:rsidR="7A5B2582" w:rsidRPr="00C16A6F">
              <w:rPr>
                <w:rFonts w:ascii="Calibri" w:eastAsia="Calibri" w:hAnsi="Calibri" w:cs="Calibri"/>
                <w:lang w:val="en-US"/>
              </w:rPr>
              <w:t>(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ACIP) </w:t>
            </w:r>
            <w:proofErr w:type="spellStart"/>
            <w:r w:rsidR="00B91478" w:rsidRPr="00C16A6F">
              <w:rPr>
                <w:rFonts w:ascii="Calibri" w:eastAsia="Calibri" w:hAnsi="Calibri" w:cs="Calibri"/>
                <w:lang w:val="en-US"/>
              </w:rPr>
              <w:t>analysed</w:t>
            </w:r>
            <w:proofErr w:type="spellEnd"/>
            <w:r w:rsidR="00B91478" w:rsidRPr="00C16A6F">
              <w:rPr>
                <w:rFonts w:ascii="Calibri" w:eastAsia="Calibri" w:hAnsi="Calibri" w:cs="Calibri"/>
                <w:lang w:val="en-US"/>
              </w:rPr>
              <w:t xml:space="preserve"> 100 preliminary 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>report</w:t>
            </w:r>
            <w:r w:rsidR="00B91478" w:rsidRPr="00C16A6F">
              <w:rPr>
                <w:rFonts w:ascii="Calibri" w:eastAsia="Calibri" w:hAnsi="Calibri" w:cs="Calibri"/>
                <w:lang w:val="en-US"/>
              </w:rPr>
              <w:t xml:space="preserve">s, </w:t>
            </w:r>
            <w:r w:rsidR="008044D4" w:rsidRPr="00C16A6F">
              <w:rPr>
                <w:rFonts w:ascii="Calibri" w:eastAsia="Calibri" w:hAnsi="Calibri" w:cs="Calibri"/>
                <w:lang w:val="en-US"/>
              </w:rPr>
              <w:t>reported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 to</w:t>
            </w:r>
            <w:r w:rsidR="008044D4" w:rsidRPr="00C16A6F">
              <w:rPr>
                <w:rFonts w:ascii="Calibri" w:eastAsia="Calibri" w:hAnsi="Calibri" w:cs="Calibri"/>
                <w:lang w:val="en-US"/>
              </w:rPr>
              <w:t xml:space="preserve"> the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 VAERS (Vaccine </w:t>
            </w:r>
            <w:r w:rsidR="385E97F7" w:rsidRPr="00C16A6F">
              <w:rPr>
                <w:rFonts w:ascii="Calibri" w:eastAsia="Calibri" w:hAnsi="Calibri" w:cs="Calibri"/>
                <w:lang w:val="en-US"/>
              </w:rPr>
              <w:t>A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dverse </w:t>
            </w:r>
            <w:r w:rsidR="385E97F7" w:rsidRPr="00C16A6F">
              <w:rPr>
                <w:rFonts w:ascii="Calibri" w:eastAsia="Calibri" w:hAnsi="Calibri" w:cs="Calibri"/>
                <w:lang w:val="en-US"/>
              </w:rPr>
              <w:t>E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vent </w:t>
            </w:r>
            <w:r w:rsidR="385E97F7" w:rsidRPr="00C16A6F">
              <w:rPr>
                <w:rFonts w:ascii="Calibri" w:eastAsia="Calibri" w:hAnsi="Calibri" w:cs="Calibri"/>
                <w:lang w:val="en-US"/>
              </w:rPr>
              <w:t>R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eporting </w:t>
            </w:r>
            <w:r w:rsidR="385E97F7" w:rsidRPr="00C16A6F">
              <w:rPr>
                <w:rFonts w:ascii="Calibri" w:eastAsia="Calibri" w:hAnsi="Calibri" w:cs="Calibri"/>
                <w:lang w:val="en-US"/>
              </w:rPr>
              <w:t>S</w:t>
            </w:r>
            <w:r w:rsidR="3A385996" w:rsidRPr="00C16A6F">
              <w:rPr>
                <w:rFonts w:ascii="Calibri" w:eastAsia="Calibri" w:hAnsi="Calibri" w:cs="Calibri"/>
                <w:lang w:val="en-US"/>
              </w:rPr>
              <w:t xml:space="preserve">ystem) </w:t>
            </w:r>
            <w:r w:rsidR="296665D1" w:rsidRPr="00C16A6F">
              <w:rPr>
                <w:rFonts w:ascii="Calibri" w:eastAsia="Calibri" w:hAnsi="Calibri" w:cs="Calibri"/>
                <w:lang w:val="en-US"/>
              </w:rPr>
              <w:t>up to</w:t>
            </w:r>
            <w:r w:rsidR="479CE444" w:rsidRPr="00C16A6F">
              <w:rPr>
                <w:rFonts w:ascii="Calibri" w:eastAsia="Calibri" w:hAnsi="Calibri" w:cs="Calibri"/>
                <w:lang w:val="en-US"/>
              </w:rPr>
              <w:t xml:space="preserve"> 30 June 2021</w:t>
            </w:r>
            <w:r w:rsidR="7934636E" w:rsidRPr="00C16A6F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479CE444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7DA22C0B" w:rsidRPr="00C16A6F">
              <w:rPr>
                <w:rFonts w:ascii="Calibri" w:eastAsia="Calibri" w:hAnsi="Calibri" w:cs="Calibri"/>
                <w:lang w:val="en-US"/>
              </w:rPr>
              <w:t>During the data collection period, a</w:t>
            </w:r>
            <w:r w:rsidR="6582E4E6" w:rsidRPr="00C16A6F">
              <w:rPr>
                <w:rFonts w:ascii="Calibri" w:eastAsia="Calibri" w:hAnsi="Calibri" w:cs="Calibri"/>
                <w:lang w:val="en-US"/>
              </w:rPr>
              <w:t>pproximately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12.2 million </w:t>
            </w:r>
            <w:r w:rsidR="2B967A7F" w:rsidRPr="00C16A6F">
              <w:rPr>
                <w:rFonts w:ascii="Calibri" w:eastAsia="Calibri" w:hAnsi="Calibri" w:cs="Calibri"/>
                <w:lang w:val="en-US"/>
              </w:rPr>
              <w:t>doses</w:t>
            </w:r>
            <w:r w:rsidR="60AE87F2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36DB6272" w:rsidRPr="00C16A6F">
              <w:rPr>
                <w:rFonts w:ascii="Calibri" w:eastAsia="Calibri" w:hAnsi="Calibri" w:cs="Calibri"/>
                <w:lang w:val="en-US"/>
              </w:rPr>
              <w:t xml:space="preserve">of the </w:t>
            </w:r>
            <w:r w:rsidR="002E144F" w:rsidRPr="00C16A6F">
              <w:rPr>
                <w:rFonts w:ascii="Calibri" w:eastAsia="Calibri" w:hAnsi="Calibri" w:cs="Calibri"/>
                <w:lang w:val="en-US"/>
              </w:rPr>
              <w:t>J&amp;J</w:t>
            </w:r>
            <w:r w:rsidR="36DB6272" w:rsidRPr="00C16A6F">
              <w:rPr>
                <w:rFonts w:ascii="Calibri" w:eastAsia="Calibri" w:hAnsi="Calibri" w:cs="Calibri"/>
                <w:lang w:val="en-US"/>
              </w:rPr>
              <w:t xml:space="preserve"> vaccine were administered</w:t>
            </w:r>
            <w:r w:rsidR="007270A7" w:rsidRPr="00C16A6F">
              <w:rPr>
                <w:rFonts w:ascii="Calibri" w:eastAsia="Calibri" w:hAnsi="Calibri" w:cs="Calibri"/>
                <w:lang w:val="en-US"/>
              </w:rPr>
              <w:t xml:space="preserve"> in the US</w:t>
            </w:r>
            <w:r w:rsidR="36DB6272" w:rsidRPr="00C16A6F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="60AE87F2" w:rsidRPr="00C16A6F">
              <w:rPr>
                <w:rFonts w:ascii="Calibri" w:eastAsia="Calibri" w:hAnsi="Calibri" w:cs="Calibri"/>
                <w:lang w:val="en-US"/>
              </w:rPr>
              <w:t>for a crude rate of 8.</w:t>
            </w:r>
            <w:r w:rsidR="553DF27A" w:rsidRPr="00C16A6F">
              <w:rPr>
                <w:rFonts w:ascii="Calibri" w:eastAsia="Calibri" w:hAnsi="Calibri" w:cs="Calibri"/>
                <w:lang w:val="en-US"/>
              </w:rPr>
              <w:t>1</w:t>
            </w:r>
            <w:r w:rsidR="60AE87F2" w:rsidRPr="00C16A6F">
              <w:rPr>
                <w:rFonts w:ascii="Calibri" w:eastAsia="Calibri" w:hAnsi="Calibri" w:cs="Calibri"/>
                <w:lang w:val="en-US"/>
              </w:rPr>
              <w:t xml:space="preserve"> per million doses</w:t>
            </w:r>
            <w:r w:rsidR="60E6D69C" w:rsidRPr="00C16A6F">
              <w:rPr>
                <w:rFonts w:ascii="Calibri" w:eastAsia="Calibri" w:hAnsi="Calibri" w:cs="Calibri"/>
                <w:lang w:val="en-US"/>
              </w:rPr>
              <w:t xml:space="preserve"> (</w:t>
            </w:r>
            <w:hyperlink r:id="rId15" w:history="1">
              <w:r w:rsidR="60E6D69C" w:rsidRPr="00C16A6F">
                <w:rPr>
                  <w:rStyle w:val="Hyperlink"/>
                </w:rPr>
                <w:t>link</w:t>
              </w:r>
            </w:hyperlink>
            <w:r w:rsidR="60E6D69C" w:rsidRPr="00C16A6F">
              <w:rPr>
                <w:rFonts w:ascii="Calibri" w:eastAsia="Calibri" w:hAnsi="Calibri" w:cs="Calibri"/>
                <w:lang w:val="en-US"/>
              </w:rPr>
              <w:t>)</w:t>
            </w:r>
            <w:r w:rsidR="67EFEB09" w:rsidRPr="00C16A6F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07677C1A" w:rsidRPr="00C16A6F">
              <w:rPr>
                <w:rFonts w:ascii="Calibri" w:eastAsia="Calibri" w:hAnsi="Calibri" w:cs="Calibri"/>
                <w:lang w:val="en-US"/>
              </w:rPr>
              <w:t>Of these 100 cases,</w:t>
            </w:r>
            <w:r w:rsidR="000B0FFF" w:rsidRPr="00C16A6F">
              <w:rPr>
                <w:rFonts w:ascii="Calibri" w:eastAsia="Calibri" w:hAnsi="Calibri" w:cs="Calibri"/>
                <w:lang w:val="en-US"/>
              </w:rPr>
              <w:t xml:space="preserve"> 95% were serious</w:t>
            </w:r>
            <w:r w:rsidR="07677C1A" w:rsidRPr="00C16A6F">
              <w:rPr>
                <w:rFonts w:ascii="Calibri" w:eastAsia="Calibri" w:hAnsi="Calibri" w:cs="Calibri"/>
                <w:lang w:val="en-US"/>
              </w:rPr>
              <w:t>, 61% occurred in males</w:t>
            </w:r>
            <w:r w:rsidR="0040313A" w:rsidRPr="00C16A6F">
              <w:rPr>
                <w:rFonts w:ascii="Calibri" w:eastAsia="Calibri" w:hAnsi="Calibri" w:cs="Calibri"/>
                <w:lang w:val="en-US"/>
              </w:rPr>
              <w:t>,</w:t>
            </w:r>
            <w:r w:rsidR="07677C1A" w:rsidRPr="00C16A6F">
              <w:rPr>
                <w:rFonts w:ascii="Calibri" w:eastAsia="Calibri" w:hAnsi="Calibri" w:cs="Calibri"/>
                <w:lang w:val="en-US"/>
              </w:rPr>
              <w:t xml:space="preserve"> and there was one death</w:t>
            </w:r>
            <w:r w:rsidR="40058090" w:rsidRPr="00C16A6F">
              <w:rPr>
                <w:rFonts w:ascii="Calibri" w:eastAsia="Calibri" w:hAnsi="Calibri" w:cs="Calibri"/>
                <w:lang w:val="en-US"/>
              </w:rPr>
              <w:t xml:space="preserve"> attributed to GBS</w:t>
            </w:r>
            <w:r w:rsidR="07677C1A" w:rsidRPr="00C16A6F">
              <w:rPr>
                <w:rFonts w:ascii="Calibri" w:eastAsia="Calibri" w:hAnsi="Calibri" w:cs="Calibri"/>
                <w:lang w:val="en-US"/>
              </w:rPr>
              <w:t>.</w:t>
            </w:r>
            <w:r w:rsidR="4B57D5C5" w:rsidRPr="00C16A6F">
              <w:rPr>
                <w:rFonts w:ascii="Calibri" w:eastAsia="Calibri" w:hAnsi="Calibri" w:cs="Calibri"/>
                <w:lang w:val="en-US"/>
              </w:rPr>
              <w:t xml:space="preserve"> When stratified by age, the risk was significantly elevated for those </w:t>
            </w:r>
            <w:r w:rsidR="197D7137" w:rsidRPr="00C16A6F">
              <w:rPr>
                <w:rFonts w:ascii="Calibri" w:eastAsia="Calibri" w:hAnsi="Calibri" w:cs="Calibri"/>
                <w:lang w:val="en-US"/>
              </w:rPr>
              <w:t xml:space="preserve">over </w:t>
            </w:r>
            <w:r w:rsidR="4B57D5C5" w:rsidRPr="00C16A6F">
              <w:rPr>
                <w:rFonts w:ascii="Calibri" w:eastAsia="Calibri" w:hAnsi="Calibri" w:cs="Calibri"/>
                <w:lang w:val="en-US"/>
              </w:rPr>
              <w:t>the age of 3</w:t>
            </w:r>
            <w:r w:rsidR="03F6938D" w:rsidRPr="00C16A6F">
              <w:rPr>
                <w:rFonts w:ascii="Calibri" w:eastAsia="Calibri" w:hAnsi="Calibri" w:cs="Calibri"/>
                <w:lang w:val="en-US"/>
              </w:rPr>
              <w:t>0</w:t>
            </w:r>
            <w:r w:rsidR="00DB6349" w:rsidRPr="00C16A6F">
              <w:rPr>
                <w:rFonts w:ascii="Calibri" w:eastAsia="Calibri" w:hAnsi="Calibri" w:cs="Calibri"/>
                <w:lang w:val="en-US"/>
              </w:rPr>
              <w:t xml:space="preserve">: </w:t>
            </w:r>
            <w:r w:rsidR="007E576D" w:rsidRPr="00C16A6F">
              <w:rPr>
                <w:rFonts w:ascii="Calibri" w:eastAsia="Calibri" w:hAnsi="Calibri" w:cs="Calibri"/>
                <w:lang w:val="en-US"/>
              </w:rPr>
              <w:t>people aged 30-39 had approximately 4 times the risk of GBS post-vaccination</w:t>
            </w:r>
            <w:r w:rsidR="00561563" w:rsidRPr="00C16A6F">
              <w:rPr>
                <w:rFonts w:ascii="Calibri" w:eastAsia="Calibri" w:hAnsi="Calibri" w:cs="Calibri"/>
                <w:lang w:val="en-US"/>
              </w:rPr>
              <w:t xml:space="preserve"> with the J&amp;J vaccine</w:t>
            </w:r>
            <w:r w:rsidR="00D65EE4" w:rsidRPr="00C16A6F">
              <w:rPr>
                <w:rFonts w:ascii="Calibri" w:eastAsia="Calibri" w:hAnsi="Calibri" w:cs="Calibri"/>
                <w:lang w:val="en-US"/>
              </w:rPr>
              <w:t xml:space="preserve">; people aged </w:t>
            </w:r>
            <w:r w:rsidR="00366448" w:rsidRPr="00C16A6F">
              <w:rPr>
                <w:rFonts w:ascii="Calibri" w:eastAsia="Calibri" w:hAnsi="Calibri" w:cs="Calibri"/>
                <w:lang w:val="en-US"/>
              </w:rPr>
              <w:t>4</w:t>
            </w:r>
            <w:r w:rsidR="00D65EE4" w:rsidRPr="00C16A6F">
              <w:rPr>
                <w:rFonts w:ascii="Calibri" w:eastAsia="Calibri" w:hAnsi="Calibri" w:cs="Calibri"/>
                <w:lang w:val="en-US"/>
              </w:rPr>
              <w:t>0-</w:t>
            </w:r>
            <w:r w:rsidR="00366448" w:rsidRPr="00C16A6F">
              <w:rPr>
                <w:rFonts w:ascii="Calibri" w:eastAsia="Calibri" w:hAnsi="Calibri" w:cs="Calibri"/>
                <w:lang w:val="en-US"/>
              </w:rPr>
              <w:t>49 and 50-64</w:t>
            </w:r>
            <w:r w:rsidR="00AD1AB4" w:rsidRPr="00C16A6F">
              <w:rPr>
                <w:rFonts w:ascii="Calibri" w:eastAsia="Calibri" w:hAnsi="Calibri" w:cs="Calibri"/>
                <w:lang w:val="en-US"/>
              </w:rPr>
              <w:t xml:space="preserve"> years</w:t>
            </w:r>
            <w:r w:rsidR="00685667" w:rsidRPr="00C16A6F">
              <w:rPr>
                <w:rFonts w:ascii="Calibri" w:eastAsia="Calibri" w:hAnsi="Calibri" w:cs="Calibri"/>
                <w:lang w:val="en-US"/>
              </w:rPr>
              <w:t xml:space="preserve"> had </w:t>
            </w:r>
            <w:r w:rsidR="007E29C0" w:rsidRPr="00C16A6F">
              <w:rPr>
                <w:rFonts w:ascii="Calibri" w:eastAsia="Calibri" w:hAnsi="Calibri" w:cs="Calibri"/>
                <w:lang w:val="en-US"/>
              </w:rPr>
              <w:t>approximately 7 times the risk of GBS</w:t>
            </w:r>
            <w:r w:rsidR="197D7137" w:rsidRPr="00C16A6F">
              <w:rPr>
                <w:rFonts w:ascii="Calibri" w:eastAsia="Calibri" w:hAnsi="Calibri" w:cs="Calibri"/>
                <w:lang w:val="en-US"/>
              </w:rPr>
              <w:t xml:space="preserve"> (see </w:t>
            </w:r>
            <w:hyperlink r:id="rId16">
              <w:r w:rsidR="4CC8A3C6" w:rsidRPr="00C16A6F">
                <w:rPr>
                  <w:rStyle w:val="Hyperlink"/>
                </w:rPr>
                <w:t>Table 1</w:t>
              </w:r>
            </w:hyperlink>
            <w:r w:rsidR="4CC8A3C6" w:rsidRPr="00C16A6F">
              <w:rPr>
                <w:rFonts w:ascii="Calibri" w:eastAsia="Calibri" w:hAnsi="Calibri" w:cs="Calibri"/>
                <w:lang w:val="en-US"/>
              </w:rPr>
              <w:t>)</w:t>
            </w:r>
          </w:p>
          <w:p w14:paraId="12CA7C45" w14:textId="57D10BFD" w:rsidR="00D47D64" w:rsidRPr="00C16A6F" w:rsidRDefault="00D47D64" w:rsidP="00CA7361">
            <w:pPr>
              <w:pStyle w:val="Caption"/>
              <w:keepNext/>
              <w:spacing w:after="120" w:line="288" w:lineRule="auto"/>
              <w:jc w:val="center"/>
              <w:rPr>
                <w:color w:val="404040" w:themeColor="text1" w:themeTint="BF"/>
                <w:sz w:val="22"/>
                <w:szCs w:val="22"/>
              </w:rPr>
            </w:pPr>
            <w:bookmarkStart w:id="4" w:name="_Ref78398452"/>
            <w:r w:rsidRPr="00CA7361">
              <w:rPr>
                <w:color w:val="404040" w:themeColor="text1" w:themeTint="BF"/>
                <w:sz w:val="20"/>
                <w:szCs w:val="20"/>
              </w:rPr>
              <w:t xml:space="preserve">Table </w: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begin"/>
            </w:r>
            <w:r w:rsidRPr="00CA7361">
              <w:rPr>
                <w:color w:val="404040" w:themeColor="text1" w:themeTint="BF"/>
                <w:sz w:val="20"/>
                <w:szCs w:val="20"/>
              </w:rPr>
              <w:instrText>SEQ Table \* ARABIC</w:instrTex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9229B5">
              <w:rPr>
                <w:noProof/>
                <w:color w:val="404040" w:themeColor="text1" w:themeTint="BF"/>
                <w:sz w:val="20"/>
                <w:szCs w:val="20"/>
              </w:rPr>
              <w:t>1</w: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4"/>
            <w:r w:rsidRPr="00CA7361">
              <w:rPr>
                <w:color w:val="404040" w:themeColor="text1" w:themeTint="BF"/>
                <w:sz w:val="20"/>
                <w:szCs w:val="20"/>
              </w:rPr>
              <w:t xml:space="preserve"> Background rates, expected numbers of cases and observed numbers of cases of GBS by age  (ACI</w:t>
            </w:r>
            <w:r w:rsidR="00E36A9A" w:rsidRPr="00CA7361">
              <w:rPr>
                <w:color w:val="404040" w:themeColor="text1" w:themeTint="BF"/>
                <w:sz w:val="20"/>
                <w:szCs w:val="20"/>
              </w:rPr>
              <w:t>P</w:t>
            </w:r>
            <w:r w:rsidRPr="00CA7361">
              <w:rPr>
                <w:color w:val="404040" w:themeColor="text1" w:themeTint="BF"/>
                <w:sz w:val="20"/>
                <w:szCs w:val="20"/>
              </w:rPr>
              <w:t>)</w:t>
            </w:r>
          </w:p>
          <w:p w14:paraId="7899A498" w14:textId="178EADB3" w:rsidR="00FD0EE7" w:rsidRPr="00C16A6F" w:rsidRDefault="6B8D9F47" w:rsidP="00C16A6F">
            <w:pPr>
              <w:spacing w:line="288" w:lineRule="auto"/>
              <w:jc w:val="center"/>
            </w:pPr>
            <w:r w:rsidRPr="00C16A6F">
              <w:rPr>
                <w:noProof/>
              </w:rPr>
              <w:drawing>
                <wp:inline distT="0" distB="0" distL="0" distR="0" wp14:anchorId="41FED8E4" wp14:editId="34DE753C">
                  <wp:extent cx="4428000" cy="3173400"/>
                  <wp:effectExtent l="0" t="0" r="0" b="8255"/>
                  <wp:docPr id="1880411942" name="Picture 1880411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041194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0" cy="317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1B918" w14:textId="1E83AC13" w:rsidR="00FD0EE7" w:rsidRPr="00C16A6F" w:rsidRDefault="00731754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lang w:val="en-US"/>
              </w:rPr>
            </w:pPr>
            <w:r w:rsidRPr="00C16A6F">
              <w:lastRenderedPageBreak/>
              <w:t>T</w:t>
            </w:r>
            <w:r w:rsidR="3CEA8CA7" w:rsidRPr="00C16A6F">
              <w:t>he rate of GBS</w:t>
            </w:r>
            <w:r w:rsidR="002F7A4C" w:rsidRPr="00C16A6F">
              <w:t xml:space="preserve"> </w:t>
            </w:r>
            <w:r w:rsidR="3CEA8CA7" w:rsidRPr="00C16A6F">
              <w:t xml:space="preserve">in those receiving the </w:t>
            </w:r>
            <w:r w:rsidR="2AFE513E" w:rsidRPr="00C16A6F">
              <w:t xml:space="preserve">Pfizer or Moderna </w:t>
            </w:r>
            <w:r w:rsidR="00C356AA" w:rsidRPr="00C16A6F">
              <w:t xml:space="preserve">mRNA </w:t>
            </w:r>
            <w:r w:rsidR="2AFE513E" w:rsidRPr="00C16A6F">
              <w:t>vaccines</w:t>
            </w:r>
            <w:r w:rsidR="00191E75" w:rsidRPr="00C16A6F">
              <w:t xml:space="preserve"> was</w:t>
            </w:r>
            <w:r w:rsidR="00CD5658" w:rsidRPr="00C16A6F">
              <w:t xml:space="preserve"> approximately 8 times</w:t>
            </w:r>
            <w:r w:rsidR="00191E75" w:rsidRPr="00C16A6F">
              <w:t xml:space="preserve"> lower than the rate for Janssen</w:t>
            </w:r>
            <w:r w:rsidR="003F4290" w:rsidRPr="00C16A6F">
              <w:t xml:space="preserve"> (see</w:t>
            </w:r>
            <w:r w:rsidR="000850E0" w:rsidRPr="00C16A6F">
              <w:t xml:space="preserve"> </w:t>
            </w:r>
            <w:r w:rsidR="003D05BA" w:rsidRPr="00C16A6F">
              <w:fldChar w:fldCharType="begin"/>
            </w:r>
            <w:r w:rsidR="003D05BA" w:rsidRPr="00C16A6F">
              <w:instrText xml:space="preserve"> REF _Ref78405617 \h </w:instrText>
            </w:r>
            <w:r w:rsidR="003D05BA" w:rsidRPr="00C16A6F">
              <w:fldChar w:fldCharType="separate"/>
            </w:r>
            <w:r w:rsidR="009229B5" w:rsidRPr="00CA7361">
              <w:rPr>
                <w:sz w:val="20"/>
                <w:szCs w:val="20"/>
              </w:rPr>
              <w:t xml:space="preserve">Table </w:t>
            </w:r>
            <w:r w:rsidR="009229B5">
              <w:rPr>
                <w:noProof/>
                <w:sz w:val="20"/>
                <w:szCs w:val="20"/>
              </w:rPr>
              <w:t>2</w:t>
            </w:r>
            <w:r w:rsidR="003D05BA" w:rsidRPr="00C16A6F">
              <w:fldChar w:fldCharType="end"/>
            </w:r>
            <w:r w:rsidR="003F4290" w:rsidRPr="00C16A6F">
              <w:t>)</w:t>
            </w:r>
            <w:r w:rsidR="00351FB1" w:rsidRPr="00C16A6F">
              <w:t>.</w:t>
            </w:r>
          </w:p>
          <w:p w14:paraId="275FBBB7" w14:textId="74D54415" w:rsidR="00C356AA" w:rsidRPr="00C16A6F" w:rsidRDefault="00C356AA" w:rsidP="00C16A6F">
            <w:pPr>
              <w:pStyle w:val="Caption"/>
              <w:keepNext/>
              <w:spacing w:after="120" w:line="288" w:lineRule="auto"/>
              <w:jc w:val="center"/>
              <w:rPr>
                <w:color w:val="404040" w:themeColor="text1" w:themeTint="BF"/>
                <w:sz w:val="22"/>
                <w:szCs w:val="22"/>
              </w:rPr>
            </w:pPr>
            <w:bookmarkStart w:id="5" w:name="_Ref78405617"/>
            <w:r w:rsidRPr="00CA7361">
              <w:rPr>
                <w:color w:val="404040" w:themeColor="text1" w:themeTint="BF"/>
                <w:sz w:val="20"/>
                <w:szCs w:val="20"/>
              </w:rPr>
              <w:t xml:space="preserve">Table </w: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begin"/>
            </w:r>
            <w:r w:rsidRPr="00CA7361">
              <w:rPr>
                <w:color w:val="404040" w:themeColor="text1" w:themeTint="BF"/>
                <w:sz w:val="20"/>
                <w:szCs w:val="20"/>
              </w:rPr>
              <w:instrText>SEQ Table \* ARABIC</w:instrTex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9229B5">
              <w:rPr>
                <w:noProof/>
                <w:color w:val="404040" w:themeColor="text1" w:themeTint="BF"/>
                <w:sz w:val="20"/>
                <w:szCs w:val="20"/>
              </w:rPr>
              <w:t>2</w:t>
            </w:r>
            <w:r w:rsidRPr="00CA7361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5"/>
            <w:r w:rsidRPr="00CA7361">
              <w:rPr>
                <w:color w:val="404040" w:themeColor="text1" w:themeTint="BF"/>
                <w:sz w:val="20"/>
                <w:szCs w:val="20"/>
              </w:rPr>
              <w:t xml:space="preserve"> Crude reporting rates of GBS for mRNA vaccines and Janssen vaccine in the US (ACIP)</w:t>
            </w:r>
          </w:p>
          <w:p w14:paraId="61F07C7B" w14:textId="60D94902" w:rsidR="00FD0EE7" w:rsidRPr="00C16A6F" w:rsidRDefault="2AFE513E" w:rsidP="00C16A6F">
            <w:pPr>
              <w:spacing w:line="288" w:lineRule="auto"/>
              <w:jc w:val="center"/>
            </w:pPr>
            <w:r w:rsidRPr="00C16A6F">
              <w:rPr>
                <w:noProof/>
              </w:rPr>
              <w:drawing>
                <wp:inline distT="0" distB="0" distL="0" distR="0" wp14:anchorId="77F5854B" wp14:editId="37F28EF1">
                  <wp:extent cx="4428000" cy="1918800"/>
                  <wp:effectExtent l="0" t="0" r="0" b="5715"/>
                  <wp:docPr id="46349593" name="Picture 46349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0" cy="19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959F4" w14:textId="77777777" w:rsidR="000B0301" w:rsidRPr="00C16A6F" w:rsidRDefault="000B0301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rFonts w:eastAsiaTheme="minorEastAsia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EMA’s Pharmacovigilance Risk Assessment Committee (PRAC) reviewed </w:t>
            </w:r>
            <w:r w:rsidRPr="00C16A6F">
              <w:t>227 reported cases of GBS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through 27 June 2021, after administration of the AstraZeneca vaccine (</w:t>
            </w:r>
            <w:hyperlink r:id="rId19" w:history="1">
              <w:r w:rsidRPr="00C16A6F">
                <w:rPr>
                  <w:rStyle w:val="Hyperlink"/>
                </w:rPr>
                <w:t>link</w:t>
              </w:r>
            </w:hyperlink>
            <w:r w:rsidRPr="00C16A6F">
              <w:rPr>
                <w:rFonts w:ascii="Calibri" w:eastAsia="Calibri" w:hAnsi="Calibri" w:cs="Calibri"/>
                <w:lang w:val="en-US"/>
              </w:rPr>
              <w:t xml:space="preserve">). Approximately  51.4 million doses of AstraZeneca vaccine had been administered through 20 June, for an approximate rate of 4.4 per million doses. </w:t>
            </w:r>
          </w:p>
          <w:p w14:paraId="5DDC7535" w14:textId="0BFAB7D4" w:rsidR="000B0301" w:rsidRPr="00C16A6F" w:rsidRDefault="000B0301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lang w:val="en-US"/>
              </w:rPr>
            </w:pPr>
            <w:r w:rsidRPr="00C16A6F">
              <w:rPr>
                <w:lang w:val="en-US"/>
              </w:rPr>
              <w:t xml:space="preserve">As of 27 June 2021, </w:t>
            </w:r>
            <w:r w:rsidRPr="00C16A6F">
              <w:t xml:space="preserve">15 cases of GBS </w:t>
            </w:r>
            <w:r w:rsidRPr="00C16A6F">
              <w:rPr>
                <w:lang w:val="en-US"/>
              </w:rPr>
              <w:t xml:space="preserve">after vaccination with the J&amp;J COVID-19 vaccine were reported from the EU/EEA to the </w:t>
            </w:r>
            <w:proofErr w:type="spellStart"/>
            <w:r w:rsidRPr="00C16A6F">
              <w:rPr>
                <w:lang w:val="en-US"/>
              </w:rPr>
              <w:t>Eudravigilance</w:t>
            </w:r>
            <w:proofErr w:type="spellEnd"/>
            <w:r w:rsidRPr="00C16A6F">
              <w:rPr>
                <w:lang w:val="en-US"/>
              </w:rPr>
              <w:t xml:space="preserve"> database (</w:t>
            </w:r>
            <w:hyperlink r:id="rId20" w:history="1">
              <w:r w:rsidRPr="00C16A6F">
                <w:rPr>
                  <w:rStyle w:val="Hyperlink"/>
                </w:rPr>
                <w:t>link</w:t>
              </w:r>
            </w:hyperlink>
            <w:r w:rsidRPr="00C16A6F">
              <w:rPr>
                <w:lang w:val="en-US"/>
              </w:rPr>
              <w:t xml:space="preserve">). Approximately 7 million doses were administered in the EU/EEA in a similar period, through 20 June 2021, which corresponds to a crude rate of 2.1 per million doses. </w:t>
            </w:r>
          </w:p>
          <w:p w14:paraId="0D6675A7" w14:textId="1398896A" w:rsidR="00FD0EE7" w:rsidRPr="00C16A6F" w:rsidRDefault="5257E096" w:rsidP="00C16A6F">
            <w:pPr>
              <w:pStyle w:val="ListParagraph"/>
              <w:numPr>
                <w:ilvl w:val="0"/>
                <w:numId w:val="21"/>
              </w:numPr>
              <w:spacing w:line="288" w:lineRule="auto"/>
              <w:contextualSpacing w:val="0"/>
              <w:rPr>
                <w:rFonts w:ascii="Calibri" w:eastAsia="Calibri" w:hAnsi="Calibri" w:cs="Calibri"/>
                <w:lang w:val="en-US"/>
              </w:rPr>
            </w:pPr>
            <w:r w:rsidRPr="00C16A6F">
              <w:rPr>
                <w:rFonts w:ascii="Calibri" w:eastAsia="Calibri" w:hAnsi="Calibri" w:cs="Calibri"/>
                <w:lang w:val="en-US"/>
              </w:rPr>
              <w:t xml:space="preserve">The WHO released a </w:t>
            </w:r>
            <w:r w:rsidR="00184E3E" w:rsidRPr="00C16A6F">
              <w:t xml:space="preserve">statement </w:t>
            </w:r>
            <w:r w:rsidR="00874828" w:rsidRPr="00C16A6F">
              <w:rPr>
                <w:rFonts w:ascii="Calibri" w:eastAsia="Calibri" w:hAnsi="Calibri" w:cs="Calibri"/>
                <w:lang w:val="en-US"/>
              </w:rPr>
              <w:t>(</w:t>
            </w:r>
            <w:hyperlink r:id="rId21" w:history="1">
              <w:r w:rsidR="00874828" w:rsidRPr="00C16A6F">
                <w:rPr>
                  <w:rStyle w:val="Hyperlink"/>
                </w:rPr>
                <w:t>link</w:t>
              </w:r>
            </w:hyperlink>
            <w:r w:rsidR="00874828" w:rsidRPr="00C16A6F">
              <w:rPr>
                <w:rFonts w:ascii="Calibri" w:eastAsia="Calibri" w:hAnsi="Calibri" w:cs="Calibri"/>
                <w:lang w:val="en-US"/>
              </w:rPr>
              <w:t xml:space="preserve">) </w:t>
            </w:r>
            <w:r w:rsidRPr="00C16A6F">
              <w:rPr>
                <w:rFonts w:ascii="Calibri" w:eastAsia="Calibri" w:hAnsi="Calibri" w:cs="Calibri"/>
                <w:lang w:val="en-US"/>
              </w:rPr>
              <w:t>regarding the risk of GB</w:t>
            </w:r>
            <w:r w:rsidR="000B27BB" w:rsidRPr="00C16A6F">
              <w:rPr>
                <w:rFonts w:ascii="Calibri" w:eastAsia="Calibri" w:hAnsi="Calibri" w:cs="Calibri"/>
                <w:lang w:val="en-US"/>
              </w:rPr>
              <w:t>S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after COVID-19 vaccination on 25</w:t>
            </w:r>
            <w:r w:rsidRPr="00C16A6F">
              <w:rPr>
                <w:rFonts w:ascii="Calibri" w:eastAsia="Calibri" w:hAnsi="Calibri" w:cs="Calibri"/>
                <w:vertAlign w:val="superscript"/>
                <w:lang w:val="en-US"/>
              </w:rPr>
              <w:t>th</w:t>
            </w:r>
            <w:r w:rsidRPr="00C16A6F">
              <w:rPr>
                <w:rFonts w:ascii="Calibri" w:eastAsia="Calibri" w:hAnsi="Calibri" w:cs="Calibri"/>
                <w:lang w:val="en-US"/>
              </w:rPr>
              <w:t xml:space="preserve"> July 2021</w:t>
            </w:r>
            <w:r w:rsidR="69298DBB" w:rsidRPr="00C16A6F">
              <w:rPr>
                <w:rFonts w:ascii="Calibri" w:eastAsia="Calibri" w:hAnsi="Calibri" w:cs="Calibri"/>
                <w:lang w:val="en-US"/>
              </w:rPr>
              <w:t>,</w:t>
            </w:r>
            <w:r w:rsidR="19147C9B" w:rsidRPr="00C16A6F">
              <w:rPr>
                <w:rFonts w:ascii="Calibri" w:eastAsia="Calibri" w:hAnsi="Calibri" w:cs="Calibri"/>
                <w:lang w:val="en-US"/>
              </w:rPr>
              <w:t xml:space="preserve"> which is consistent with comments made by the </w:t>
            </w:r>
            <w:r w:rsidR="007479AA" w:rsidRPr="00C16A6F">
              <w:rPr>
                <w:rFonts w:ascii="Calibri" w:eastAsia="Calibri" w:hAnsi="Calibri" w:cs="Calibri"/>
                <w:lang w:val="en-US"/>
              </w:rPr>
              <w:t>US</w:t>
            </w:r>
            <w:r w:rsidR="19147C9B" w:rsidRPr="00C16A6F">
              <w:rPr>
                <w:rFonts w:ascii="Calibri" w:eastAsia="Calibri" w:hAnsi="Calibri" w:cs="Calibri"/>
                <w:lang w:val="en-US"/>
              </w:rPr>
              <w:t xml:space="preserve"> and </w:t>
            </w:r>
            <w:r w:rsidR="007479AA" w:rsidRPr="00C16A6F">
              <w:rPr>
                <w:rFonts w:ascii="Calibri" w:eastAsia="Calibri" w:hAnsi="Calibri" w:cs="Calibri"/>
                <w:lang w:val="en-US"/>
              </w:rPr>
              <w:t>EU</w:t>
            </w:r>
            <w:r w:rsidR="000C420E" w:rsidRPr="00C16A6F">
              <w:rPr>
                <w:rFonts w:ascii="Calibri" w:eastAsia="Calibri" w:hAnsi="Calibri" w:cs="Calibri"/>
                <w:lang w:val="en-US"/>
              </w:rPr>
              <w:t xml:space="preserve"> agencies</w:t>
            </w:r>
            <w:r w:rsidR="19147C9B" w:rsidRPr="00C16A6F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00AC6F82" w:rsidRPr="00C16A6F">
              <w:rPr>
                <w:rFonts w:ascii="Calibri" w:eastAsia="Calibri" w:hAnsi="Calibri" w:cs="Calibri"/>
                <w:lang w:val="en-US"/>
              </w:rPr>
              <w:t>The</w:t>
            </w:r>
            <w:r w:rsidR="69298DBB" w:rsidRPr="00C16A6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7E5EBCED" w:rsidRPr="00C16A6F">
              <w:rPr>
                <w:rFonts w:ascii="Calibri" w:eastAsia="Calibri" w:hAnsi="Calibri" w:cs="Calibri"/>
                <w:lang w:val="en-US"/>
              </w:rPr>
              <w:t xml:space="preserve">WHO </w:t>
            </w:r>
            <w:r w:rsidR="69298DBB" w:rsidRPr="00C16A6F">
              <w:rPr>
                <w:rFonts w:ascii="Calibri" w:eastAsia="Calibri" w:hAnsi="Calibri" w:cs="Calibri"/>
                <w:lang w:val="en-US"/>
              </w:rPr>
              <w:t xml:space="preserve">recommend that </w:t>
            </w:r>
            <w:r w:rsidR="07195F11" w:rsidRPr="00C16A6F">
              <w:rPr>
                <w:rFonts w:ascii="Calibri" w:eastAsia="Calibri" w:hAnsi="Calibri" w:cs="Calibri"/>
                <w:lang w:val="en-US"/>
              </w:rPr>
              <w:t xml:space="preserve">individuals receiving the </w:t>
            </w:r>
            <w:r w:rsidR="00AC6F82" w:rsidRPr="00C16A6F">
              <w:rPr>
                <w:rFonts w:ascii="Calibri" w:eastAsia="Calibri" w:hAnsi="Calibri" w:cs="Calibri"/>
                <w:lang w:val="en-US"/>
              </w:rPr>
              <w:t>Janssen</w:t>
            </w:r>
            <w:r w:rsidR="07195F11" w:rsidRPr="00C16A6F">
              <w:rPr>
                <w:rFonts w:ascii="Calibri" w:eastAsia="Calibri" w:hAnsi="Calibri" w:cs="Calibri"/>
                <w:lang w:val="en-US"/>
              </w:rPr>
              <w:t xml:space="preserve"> or AstraZeneca COVID-19 vaccine are made aware of the possible association with GBS</w:t>
            </w:r>
            <w:r w:rsidR="1BD1E296" w:rsidRPr="00C16A6F">
              <w:rPr>
                <w:rFonts w:ascii="Calibri" w:eastAsia="Calibri" w:hAnsi="Calibri" w:cs="Calibri"/>
                <w:lang w:val="en-US"/>
              </w:rPr>
              <w:t xml:space="preserve">, but that there is no evidence that GBS is associated with mRNA vaccines. </w:t>
            </w:r>
          </w:p>
        </w:tc>
      </w:tr>
      <w:tr w:rsidR="00FD0EE7" w:rsidRPr="00C16A6F" w14:paraId="05BAD15C" w14:textId="77777777" w:rsidTr="00CA7361">
        <w:trPr>
          <w:trHeight w:val="1417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08F04CB1" w14:textId="202FA464" w:rsidR="00FD0EE7" w:rsidRPr="00C16A6F" w:rsidRDefault="00493D42" w:rsidP="00C16A6F">
            <w:pPr>
              <w:pStyle w:val="BodyText"/>
              <w:spacing w:before="120"/>
              <w:rPr>
                <w:b w:val="0"/>
                <w:bCs w:val="0"/>
                <w:szCs w:val="22"/>
              </w:rPr>
            </w:pPr>
            <w:proofErr w:type="spellStart"/>
            <w:r w:rsidRPr="00C16A6F">
              <w:rPr>
                <w:szCs w:val="22"/>
              </w:rPr>
              <w:lastRenderedPageBreak/>
              <w:t>Comment:</w:t>
            </w:r>
            <w:r w:rsidR="004121BC" w:rsidRPr="00C16A6F">
              <w:rPr>
                <w:b w:val="0"/>
                <w:bCs w:val="0"/>
                <w:szCs w:val="22"/>
              </w:rPr>
              <w:t>Th</w:t>
            </w:r>
            <w:r w:rsidR="00B47BED" w:rsidRPr="00C16A6F">
              <w:rPr>
                <w:b w:val="0"/>
                <w:bCs w:val="0"/>
                <w:szCs w:val="22"/>
              </w:rPr>
              <w:t>e</w:t>
            </w:r>
            <w:r w:rsidR="004121BC" w:rsidRPr="00C16A6F">
              <w:rPr>
                <w:b w:val="0"/>
                <w:bCs w:val="0"/>
                <w:szCs w:val="22"/>
              </w:rPr>
              <w:t>re</w:t>
            </w:r>
            <w:proofErr w:type="spellEnd"/>
            <w:r w:rsidR="004121BC" w:rsidRPr="00C16A6F">
              <w:rPr>
                <w:b w:val="0"/>
                <w:bCs w:val="0"/>
                <w:szCs w:val="22"/>
              </w:rPr>
              <w:t xml:space="preserve"> is some </w:t>
            </w:r>
            <w:r w:rsidR="00AC73DE" w:rsidRPr="00C16A6F">
              <w:rPr>
                <w:b w:val="0"/>
                <w:bCs w:val="0"/>
                <w:szCs w:val="22"/>
              </w:rPr>
              <w:t xml:space="preserve">previous </w:t>
            </w:r>
            <w:r w:rsidR="004121BC" w:rsidRPr="00C16A6F">
              <w:rPr>
                <w:b w:val="0"/>
                <w:bCs w:val="0"/>
                <w:szCs w:val="22"/>
              </w:rPr>
              <w:t xml:space="preserve">evidence to suggest </w:t>
            </w:r>
            <w:r w:rsidR="00207635" w:rsidRPr="00C16A6F">
              <w:rPr>
                <w:b w:val="0"/>
                <w:bCs w:val="0"/>
                <w:szCs w:val="22"/>
              </w:rPr>
              <w:t>that</w:t>
            </w:r>
            <w:r w:rsidR="008365C1" w:rsidRPr="00C16A6F">
              <w:rPr>
                <w:b w:val="0"/>
                <w:bCs w:val="0"/>
                <w:szCs w:val="22"/>
              </w:rPr>
              <w:t xml:space="preserve"> </w:t>
            </w:r>
            <w:r w:rsidR="00517BF8" w:rsidRPr="00C16A6F">
              <w:rPr>
                <w:b w:val="0"/>
                <w:bCs w:val="0"/>
                <w:szCs w:val="22"/>
              </w:rPr>
              <w:t xml:space="preserve">influenza vaccination </w:t>
            </w:r>
            <w:r w:rsidR="00AC73DE" w:rsidRPr="00C16A6F">
              <w:rPr>
                <w:b w:val="0"/>
                <w:bCs w:val="0"/>
                <w:szCs w:val="22"/>
              </w:rPr>
              <w:t xml:space="preserve">is </w:t>
            </w:r>
            <w:r w:rsidR="00517BF8" w:rsidRPr="00C16A6F">
              <w:rPr>
                <w:b w:val="0"/>
                <w:bCs w:val="0"/>
                <w:szCs w:val="22"/>
              </w:rPr>
              <w:t xml:space="preserve">linked </w:t>
            </w:r>
            <w:r w:rsidR="00AC73DE" w:rsidRPr="00C16A6F">
              <w:rPr>
                <w:b w:val="0"/>
                <w:bCs w:val="0"/>
                <w:szCs w:val="22"/>
              </w:rPr>
              <w:t>to GBS</w:t>
            </w:r>
            <w:r w:rsidR="009C0A9F" w:rsidRPr="00C16A6F">
              <w:rPr>
                <w:b w:val="0"/>
                <w:bCs w:val="0"/>
                <w:szCs w:val="22"/>
              </w:rPr>
              <w:t>. For example, r</w:t>
            </w:r>
            <w:r w:rsidR="00CE4FBE" w:rsidRPr="00C16A6F">
              <w:rPr>
                <w:b w:val="0"/>
                <w:bCs w:val="0"/>
                <w:szCs w:val="22"/>
              </w:rPr>
              <w:t xml:space="preserve">esearchers </w:t>
            </w:r>
            <w:r w:rsidR="00AE72BF" w:rsidRPr="00C16A6F">
              <w:rPr>
                <w:b w:val="0"/>
                <w:bCs w:val="0"/>
                <w:szCs w:val="22"/>
              </w:rPr>
              <w:t xml:space="preserve">found that </w:t>
            </w:r>
            <w:r w:rsidR="009C0A9F" w:rsidRPr="00C16A6F">
              <w:rPr>
                <w:b w:val="0"/>
                <w:bCs w:val="0"/>
                <w:szCs w:val="22"/>
              </w:rPr>
              <w:t>over the 2010-2011 influenza season in Italy,</w:t>
            </w:r>
            <w:r w:rsidR="00EC600E" w:rsidRPr="00C16A6F">
              <w:rPr>
                <w:b w:val="0"/>
                <w:bCs w:val="0"/>
                <w:szCs w:val="22"/>
              </w:rPr>
              <w:t xml:space="preserve"> </w:t>
            </w:r>
            <w:r w:rsidR="009C0A9F" w:rsidRPr="00C16A6F">
              <w:rPr>
                <w:b w:val="0"/>
                <w:bCs w:val="0"/>
                <w:szCs w:val="22"/>
              </w:rPr>
              <w:t xml:space="preserve"> </w:t>
            </w:r>
            <w:r w:rsidR="000A6E4C" w:rsidRPr="00C16A6F">
              <w:rPr>
                <w:b w:val="0"/>
                <w:bCs w:val="0"/>
                <w:szCs w:val="22"/>
              </w:rPr>
              <w:t xml:space="preserve">there was </w:t>
            </w:r>
            <w:r w:rsidR="00470897" w:rsidRPr="00C16A6F">
              <w:rPr>
                <w:b w:val="0"/>
                <w:bCs w:val="0"/>
                <w:szCs w:val="22"/>
              </w:rPr>
              <w:t>a 2</w:t>
            </w:r>
            <w:r w:rsidR="0077674F" w:rsidRPr="00C16A6F">
              <w:rPr>
                <w:b w:val="0"/>
                <w:bCs w:val="0"/>
                <w:szCs w:val="22"/>
              </w:rPr>
              <w:t>-fold</w:t>
            </w:r>
            <w:r w:rsidR="00CB09FD" w:rsidRPr="00C16A6F">
              <w:rPr>
                <w:b w:val="0"/>
                <w:bCs w:val="0"/>
                <w:szCs w:val="22"/>
              </w:rPr>
              <w:t xml:space="preserve"> relative</w:t>
            </w:r>
            <w:r w:rsidR="0077674F" w:rsidRPr="00C16A6F">
              <w:rPr>
                <w:b w:val="0"/>
                <w:bCs w:val="0"/>
                <w:szCs w:val="22"/>
              </w:rPr>
              <w:t xml:space="preserve"> increase</w:t>
            </w:r>
            <w:r w:rsidR="009225A8" w:rsidRPr="00C16A6F">
              <w:rPr>
                <w:b w:val="0"/>
                <w:bCs w:val="0"/>
                <w:szCs w:val="22"/>
              </w:rPr>
              <w:t xml:space="preserve"> in the</w:t>
            </w:r>
            <w:r w:rsidR="0077674F" w:rsidRPr="00C16A6F">
              <w:rPr>
                <w:b w:val="0"/>
                <w:bCs w:val="0"/>
                <w:szCs w:val="22"/>
              </w:rPr>
              <w:t xml:space="preserve"> risk</w:t>
            </w:r>
            <w:r w:rsidR="57B53140" w:rsidRPr="00C16A6F">
              <w:rPr>
                <w:b w:val="0"/>
                <w:bCs w:val="0"/>
                <w:szCs w:val="22"/>
              </w:rPr>
              <w:t xml:space="preserve"> of </w:t>
            </w:r>
            <w:r w:rsidR="00ED205A" w:rsidRPr="00C16A6F">
              <w:rPr>
                <w:b w:val="0"/>
                <w:bCs w:val="0"/>
                <w:szCs w:val="22"/>
              </w:rPr>
              <w:t>GBS</w:t>
            </w:r>
            <w:r w:rsidR="008365C1" w:rsidRPr="00C16A6F">
              <w:rPr>
                <w:b w:val="0"/>
                <w:bCs w:val="0"/>
                <w:szCs w:val="22"/>
              </w:rPr>
              <w:t xml:space="preserve"> </w:t>
            </w:r>
            <w:r w:rsidR="0042053D" w:rsidRPr="00C16A6F">
              <w:rPr>
                <w:b w:val="0"/>
                <w:bCs w:val="0"/>
                <w:szCs w:val="22"/>
              </w:rPr>
              <w:t xml:space="preserve">for vaccinated compared to unvaccinated individuals </w:t>
            </w:r>
            <w:r w:rsidR="008365C1" w:rsidRPr="00C16A6F">
              <w:rPr>
                <w:b w:val="0"/>
                <w:bCs w:val="0"/>
                <w:szCs w:val="22"/>
              </w:rPr>
              <w:t>(</w:t>
            </w:r>
            <w:hyperlink r:id="rId22">
              <w:r w:rsidR="008365C1" w:rsidRPr="00C16A6F">
                <w:rPr>
                  <w:rStyle w:val="Hyperlink"/>
                  <w:b w:val="0"/>
                  <w:bCs w:val="0"/>
                  <w:color w:val="404040" w:themeColor="text1" w:themeTint="BF"/>
                  <w:szCs w:val="22"/>
                </w:rPr>
                <w:t>link</w:t>
              </w:r>
            </w:hyperlink>
            <w:r w:rsidR="008365C1" w:rsidRPr="00C16A6F">
              <w:rPr>
                <w:b w:val="0"/>
                <w:bCs w:val="0"/>
                <w:szCs w:val="22"/>
              </w:rPr>
              <w:t>)</w:t>
            </w:r>
            <w:r w:rsidR="57B53140" w:rsidRPr="00C16A6F">
              <w:rPr>
                <w:b w:val="0"/>
                <w:bCs w:val="0"/>
                <w:szCs w:val="22"/>
              </w:rPr>
              <w:t xml:space="preserve">. </w:t>
            </w:r>
            <w:r w:rsidR="0AAA7BC9" w:rsidRPr="00C16A6F">
              <w:rPr>
                <w:b w:val="0"/>
                <w:bCs w:val="0"/>
                <w:szCs w:val="22"/>
              </w:rPr>
              <w:t xml:space="preserve">However, </w:t>
            </w:r>
            <w:r w:rsidR="7C9715F3" w:rsidRPr="00C16A6F">
              <w:rPr>
                <w:b w:val="0"/>
                <w:bCs w:val="0"/>
                <w:szCs w:val="22"/>
              </w:rPr>
              <w:t xml:space="preserve">an association has not been reported for other vaccination programs. It is possible that because </w:t>
            </w:r>
            <w:r w:rsidR="3D1BCFCC" w:rsidRPr="00C16A6F">
              <w:rPr>
                <w:b w:val="0"/>
                <w:bCs w:val="0"/>
                <w:szCs w:val="22"/>
              </w:rPr>
              <w:t xml:space="preserve">the enormous size of the COVID-19 vaccination, which has no precedent, </w:t>
            </w:r>
            <w:r w:rsidR="00356C43" w:rsidRPr="00C16A6F">
              <w:rPr>
                <w:b w:val="0"/>
                <w:bCs w:val="0"/>
                <w:szCs w:val="22"/>
              </w:rPr>
              <w:t xml:space="preserve">and the increased </w:t>
            </w:r>
            <w:r w:rsidR="001742E2" w:rsidRPr="00C16A6F">
              <w:rPr>
                <w:b w:val="0"/>
                <w:bCs w:val="0"/>
                <w:szCs w:val="22"/>
              </w:rPr>
              <w:t xml:space="preserve">safety monitoring </w:t>
            </w:r>
            <w:r w:rsidR="00842599" w:rsidRPr="00C16A6F">
              <w:rPr>
                <w:b w:val="0"/>
                <w:bCs w:val="0"/>
                <w:szCs w:val="22"/>
              </w:rPr>
              <w:t xml:space="preserve">associated with </w:t>
            </w:r>
            <w:r w:rsidR="00356C43" w:rsidRPr="00C16A6F">
              <w:rPr>
                <w:b w:val="0"/>
                <w:bCs w:val="0"/>
                <w:szCs w:val="22"/>
              </w:rPr>
              <w:t>COVID-19,</w:t>
            </w:r>
            <w:r w:rsidR="00F12DAD" w:rsidRPr="00C16A6F">
              <w:rPr>
                <w:b w:val="0"/>
                <w:bCs w:val="0"/>
                <w:szCs w:val="22"/>
              </w:rPr>
              <w:t xml:space="preserve"> researchers are able to</w:t>
            </w:r>
            <w:r w:rsidR="3D1BCFCC" w:rsidRPr="00C16A6F">
              <w:rPr>
                <w:b w:val="0"/>
                <w:bCs w:val="0"/>
                <w:szCs w:val="22"/>
              </w:rPr>
              <w:t xml:space="preserve"> identify associations between vaccination and extremely rare events.</w:t>
            </w:r>
            <w:r w:rsidR="10941069" w:rsidRPr="00C16A6F">
              <w:rPr>
                <w:b w:val="0"/>
                <w:bCs w:val="0"/>
                <w:szCs w:val="22"/>
              </w:rPr>
              <w:t xml:space="preserve"> </w:t>
            </w:r>
            <w:r w:rsidR="00E67A11" w:rsidRPr="00C16A6F">
              <w:rPr>
                <w:b w:val="0"/>
                <w:bCs w:val="0"/>
                <w:szCs w:val="22"/>
              </w:rPr>
              <w:t>Interestingly, t</w:t>
            </w:r>
            <w:r w:rsidR="1DD005DB" w:rsidRPr="00C16A6F">
              <w:rPr>
                <w:b w:val="0"/>
                <w:bCs w:val="0"/>
                <w:szCs w:val="22"/>
              </w:rPr>
              <w:t xml:space="preserve">he pathophysiology of </w:t>
            </w:r>
            <w:r w:rsidR="1A959E1C" w:rsidRPr="00C16A6F">
              <w:rPr>
                <w:b w:val="0"/>
                <w:bCs w:val="0"/>
                <w:szCs w:val="22"/>
              </w:rPr>
              <w:t xml:space="preserve">GBS is </w:t>
            </w:r>
            <w:r w:rsidR="007B3FC5" w:rsidRPr="00C16A6F">
              <w:rPr>
                <w:b w:val="0"/>
                <w:bCs w:val="0"/>
                <w:szCs w:val="22"/>
              </w:rPr>
              <w:t>based on</w:t>
            </w:r>
            <w:r w:rsidR="1A959E1C" w:rsidRPr="00C16A6F">
              <w:rPr>
                <w:b w:val="0"/>
                <w:bCs w:val="0"/>
                <w:szCs w:val="22"/>
              </w:rPr>
              <w:t xml:space="preserve"> the development of auto-antibodies </w:t>
            </w:r>
            <w:r w:rsidR="12E8CEAB" w:rsidRPr="00C16A6F">
              <w:rPr>
                <w:b w:val="0"/>
                <w:bCs w:val="0"/>
                <w:szCs w:val="22"/>
              </w:rPr>
              <w:t>(</w:t>
            </w:r>
            <w:r w:rsidR="1A959E1C" w:rsidRPr="00C16A6F">
              <w:rPr>
                <w:b w:val="0"/>
                <w:bCs w:val="0"/>
                <w:szCs w:val="22"/>
              </w:rPr>
              <w:t>against the myelin sheath of the peripheral nervous system</w:t>
            </w:r>
            <w:r w:rsidR="079B42BC" w:rsidRPr="00C16A6F">
              <w:rPr>
                <w:b w:val="0"/>
                <w:bCs w:val="0"/>
                <w:szCs w:val="22"/>
              </w:rPr>
              <w:t>)</w:t>
            </w:r>
            <w:r w:rsidR="0B203E51" w:rsidRPr="00C16A6F">
              <w:rPr>
                <w:b w:val="0"/>
                <w:bCs w:val="0"/>
                <w:szCs w:val="22"/>
              </w:rPr>
              <w:t xml:space="preserve">, which is </w:t>
            </w:r>
            <w:r w:rsidR="00E532C2" w:rsidRPr="00C16A6F">
              <w:rPr>
                <w:b w:val="0"/>
                <w:bCs w:val="0"/>
                <w:szCs w:val="22"/>
              </w:rPr>
              <w:t xml:space="preserve">similar to </w:t>
            </w:r>
            <w:r w:rsidR="00C567F7" w:rsidRPr="00C16A6F">
              <w:rPr>
                <w:b w:val="0"/>
                <w:bCs w:val="0"/>
                <w:szCs w:val="22"/>
              </w:rPr>
              <w:t xml:space="preserve">the </w:t>
            </w:r>
            <w:r w:rsidR="0B203E51" w:rsidRPr="00C16A6F">
              <w:rPr>
                <w:b w:val="0"/>
                <w:bCs w:val="0"/>
                <w:szCs w:val="22"/>
              </w:rPr>
              <w:t>proposed</w:t>
            </w:r>
            <w:r w:rsidR="31ACFC88" w:rsidRPr="00C16A6F">
              <w:rPr>
                <w:b w:val="0"/>
                <w:bCs w:val="0"/>
                <w:szCs w:val="22"/>
              </w:rPr>
              <w:t xml:space="preserve"> mechanism for the vaccine induced </w:t>
            </w:r>
            <w:proofErr w:type="spellStart"/>
            <w:r w:rsidR="7489DE94" w:rsidRPr="00C16A6F">
              <w:rPr>
                <w:b w:val="0"/>
                <w:bCs w:val="0"/>
                <w:szCs w:val="22"/>
              </w:rPr>
              <w:t>thrombocytopaenic</w:t>
            </w:r>
            <w:proofErr w:type="spellEnd"/>
            <w:r w:rsidR="31ACFC88" w:rsidRPr="00C16A6F">
              <w:rPr>
                <w:b w:val="0"/>
                <w:bCs w:val="0"/>
                <w:szCs w:val="22"/>
              </w:rPr>
              <w:t xml:space="preserve"> thrombosis</w:t>
            </w:r>
            <w:r w:rsidR="00D53796" w:rsidRPr="00C16A6F">
              <w:rPr>
                <w:b w:val="0"/>
                <w:bCs w:val="0"/>
                <w:szCs w:val="22"/>
              </w:rPr>
              <w:t xml:space="preserve"> (VITT)</w:t>
            </w:r>
            <w:r w:rsidR="00C3234E" w:rsidRPr="00C16A6F">
              <w:rPr>
                <w:b w:val="0"/>
                <w:bCs w:val="0"/>
                <w:szCs w:val="22"/>
              </w:rPr>
              <w:t>,</w:t>
            </w:r>
            <w:r w:rsidR="31ACFC88" w:rsidRPr="00C16A6F">
              <w:rPr>
                <w:b w:val="0"/>
                <w:bCs w:val="0"/>
                <w:szCs w:val="22"/>
              </w:rPr>
              <w:t xml:space="preserve"> observed after vaccination using adenoviral vector vaccines</w:t>
            </w:r>
            <w:r w:rsidR="005F628B" w:rsidRPr="00C16A6F">
              <w:rPr>
                <w:b w:val="0"/>
                <w:bCs w:val="0"/>
                <w:szCs w:val="22"/>
              </w:rPr>
              <w:t>;</w:t>
            </w:r>
            <w:r w:rsidR="004E2EC9" w:rsidRPr="00C16A6F">
              <w:rPr>
                <w:b w:val="0"/>
                <w:bCs w:val="0"/>
                <w:szCs w:val="22"/>
              </w:rPr>
              <w:t xml:space="preserve"> </w:t>
            </w:r>
            <w:r w:rsidR="00D53796" w:rsidRPr="00C16A6F">
              <w:rPr>
                <w:b w:val="0"/>
                <w:bCs w:val="0"/>
                <w:szCs w:val="22"/>
              </w:rPr>
              <w:t xml:space="preserve">VITT is </w:t>
            </w:r>
            <w:r w:rsidR="004E2EC9" w:rsidRPr="00C16A6F">
              <w:rPr>
                <w:b w:val="0"/>
                <w:bCs w:val="0"/>
                <w:szCs w:val="22"/>
              </w:rPr>
              <w:t>associated with platelet-activating antibodies against platelet factor 4 (PF4)</w:t>
            </w:r>
            <w:r w:rsidR="31ACFC88" w:rsidRPr="00C16A6F">
              <w:rPr>
                <w:b w:val="0"/>
                <w:bCs w:val="0"/>
                <w:szCs w:val="22"/>
              </w:rPr>
              <w:t>.</w:t>
            </w:r>
            <w:r w:rsidR="00C3234E" w:rsidRPr="00C16A6F">
              <w:rPr>
                <w:b w:val="0"/>
                <w:bCs w:val="0"/>
                <w:szCs w:val="22"/>
              </w:rPr>
              <w:t xml:space="preserve"> </w:t>
            </w:r>
            <w:r w:rsidR="00FF67DC" w:rsidRPr="00C16A6F">
              <w:rPr>
                <w:b w:val="0"/>
                <w:bCs w:val="0"/>
                <w:szCs w:val="22"/>
              </w:rPr>
              <w:t>However, it is important to keep in mind that t</w:t>
            </w:r>
            <w:r w:rsidR="65AD9360" w:rsidRPr="00C16A6F">
              <w:rPr>
                <w:b w:val="0"/>
                <w:bCs w:val="0"/>
                <w:szCs w:val="22"/>
              </w:rPr>
              <w:t xml:space="preserve">he risk of these </w:t>
            </w:r>
            <w:r w:rsidR="00901DEA" w:rsidRPr="00C16A6F">
              <w:rPr>
                <w:b w:val="0"/>
                <w:bCs w:val="0"/>
                <w:szCs w:val="22"/>
              </w:rPr>
              <w:t xml:space="preserve">potential </w:t>
            </w:r>
            <w:r w:rsidR="65AD9360" w:rsidRPr="00C16A6F">
              <w:rPr>
                <w:b w:val="0"/>
                <w:bCs w:val="0"/>
                <w:szCs w:val="22"/>
              </w:rPr>
              <w:t xml:space="preserve">complications </w:t>
            </w:r>
            <w:r w:rsidR="00901DEA" w:rsidRPr="00C16A6F">
              <w:rPr>
                <w:b w:val="0"/>
                <w:bCs w:val="0"/>
                <w:szCs w:val="22"/>
              </w:rPr>
              <w:t xml:space="preserve">from the vaccine </w:t>
            </w:r>
            <w:r w:rsidR="65AD9360" w:rsidRPr="00C16A6F">
              <w:rPr>
                <w:b w:val="0"/>
                <w:bCs w:val="0"/>
                <w:szCs w:val="22"/>
              </w:rPr>
              <w:t>is tiny compared to the benefits of vaccination in preventing disease and death from COVID-19</w:t>
            </w:r>
            <w:r w:rsidR="00842599" w:rsidRPr="00C16A6F">
              <w:rPr>
                <w:b w:val="0"/>
                <w:bCs w:val="0"/>
                <w:szCs w:val="22"/>
              </w:rPr>
              <w:t>.</w:t>
            </w:r>
          </w:p>
        </w:tc>
      </w:tr>
      <w:bookmarkEnd w:id="2"/>
    </w:tbl>
    <w:p w14:paraId="64DE7BE8" w14:textId="77777777" w:rsidR="008D45B9" w:rsidRDefault="008D45B9" w:rsidP="00CA7361"/>
    <w:sectPr w:rsidR="008D45B9" w:rsidSect="007F591F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5B42" w14:textId="77777777" w:rsidR="002165D5" w:rsidRDefault="002165D5" w:rsidP="006F3367">
      <w:pPr>
        <w:spacing w:after="0"/>
      </w:pPr>
      <w:r>
        <w:separator/>
      </w:r>
    </w:p>
  </w:endnote>
  <w:endnote w:type="continuationSeparator" w:id="0">
    <w:p w14:paraId="686F97A6" w14:textId="77777777" w:rsidR="002165D5" w:rsidRDefault="002165D5" w:rsidP="006F3367">
      <w:pPr>
        <w:spacing w:after="0"/>
      </w:pPr>
      <w:r>
        <w:continuationSeparator/>
      </w:r>
    </w:p>
  </w:endnote>
  <w:endnote w:type="continuationNotice" w:id="1">
    <w:p w14:paraId="220D3DF8" w14:textId="77777777" w:rsidR="002165D5" w:rsidRDefault="002165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B63F" w14:textId="6651A917" w:rsidR="001154B4" w:rsidRDefault="009229B5">
    <w:pPr>
      <w:pStyle w:val="Footer"/>
      <w:jc w:val="right"/>
    </w:pPr>
    <w:sdt>
      <w:sdtPr>
        <w:id w:val="2112540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54B4">
          <w:rPr>
            <w:b/>
            <w:bCs/>
          </w:rPr>
          <w:fldChar w:fldCharType="begin"/>
        </w:r>
        <w:r w:rsidR="001154B4">
          <w:rPr>
            <w:b/>
            <w:bCs/>
          </w:rPr>
          <w:instrText xml:space="preserve"> PAGE  \* Arabic  \* MERGEFORMAT </w:instrText>
        </w:r>
        <w:r w:rsidR="001154B4">
          <w:rPr>
            <w:b/>
            <w:bCs/>
          </w:rPr>
          <w:fldChar w:fldCharType="separate"/>
        </w:r>
        <w:r w:rsidR="001154B4">
          <w:rPr>
            <w:b/>
            <w:bCs/>
            <w:noProof/>
          </w:rPr>
          <w:t>1</w:t>
        </w:r>
        <w:r w:rsidR="001154B4">
          <w:rPr>
            <w:b/>
            <w:bCs/>
          </w:rPr>
          <w:fldChar w:fldCharType="end"/>
        </w:r>
        <w:r w:rsidR="001154B4">
          <w:t xml:space="preserve"> of </w:t>
        </w:r>
        <w:r w:rsidR="001154B4">
          <w:rPr>
            <w:b/>
            <w:bCs/>
          </w:rPr>
          <w:fldChar w:fldCharType="begin"/>
        </w:r>
        <w:r w:rsidR="001154B4">
          <w:rPr>
            <w:b/>
            <w:bCs/>
          </w:rPr>
          <w:instrText xml:space="preserve"> NUMPAGES  \* Arabic  \* MERGEFORMAT </w:instrText>
        </w:r>
        <w:r w:rsidR="001154B4">
          <w:rPr>
            <w:b/>
            <w:bCs/>
          </w:rPr>
          <w:fldChar w:fldCharType="separate"/>
        </w:r>
        <w:r w:rsidR="001154B4">
          <w:rPr>
            <w:b/>
            <w:bCs/>
            <w:noProof/>
          </w:rPr>
          <w:t>2</w:t>
        </w:r>
        <w:r w:rsidR="001154B4">
          <w:rPr>
            <w:b/>
            <w:bCs/>
          </w:rPr>
          <w:fldChar w:fldCharType="end"/>
        </w:r>
      </w:sdtContent>
    </w:sdt>
  </w:p>
  <w:p w14:paraId="6CB7C59A" w14:textId="7012ACC5" w:rsidR="008A79C9" w:rsidRDefault="008D45B9">
    <w:pPr>
      <w:pStyle w:val="Footer"/>
    </w:pPr>
    <w:r w:rsidRPr="004A7D06">
      <w:rPr>
        <w:rFonts w:cstheme="minorHAnsi"/>
        <w:b/>
        <w:bCs/>
        <w:i/>
        <w:iCs/>
        <w:sz w:val="15"/>
        <w:szCs w:val="15"/>
      </w:rPr>
      <w:t xml:space="preserve">Context and disclaimer. </w:t>
    </w:r>
    <w:r w:rsidRPr="004A7D06">
      <w:rPr>
        <w:rFonts w:cstheme="minorHAnsi"/>
        <w:i/>
        <w:iCs/>
        <w:sz w:val="15"/>
        <w:szCs w:val="15"/>
      </w:rPr>
      <w:t xml:space="preserve">This </w:t>
    </w:r>
    <w:r>
      <w:rPr>
        <w:rFonts w:cstheme="minorHAnsi"/>
        <w:i/>
        <w:iCs/>
        <w:sz w:val="15"/>
        <w:szCs w:val="15"/>
      </w:rPr>
      <w:t>update</w:t>
    </w:r>
    <w:r w:rsidRPr="004A7D06">
      <w:rPr>
        <w:rFonts w:cstheme="minorHAnsi"/>
        <w:i/>
        <w:iCs/>
        <w:sz w:val="15"/>
        <w:szCs w:val="15"/>
      </w:rPr>
      <w:t xml:space="preserve"> contains</w:t>
    </w:r>
    <w:r w:rsidRPr="004A7D06">
      <w:rPr>
        <w:rFonts w:cstheme="minorHAnsi"/>
        <w:b/>
        <w:bCs/>
        <w:i/>
        <w:iCs/>
        <w:sz w:val="15"/>
        <w:szCs w:val="15"/>
      </w:rPr>
      <w:t xml:space="preserve"> </w:t>
    </w:r>
    <w:r w:rsidRPr="004A7D06">
      <w:rPr>
        <w:rFonts w:cstheme="minorHAnsi"/>
        <w:i/>
        <w:iCs/>
        <w:sz w:val="15"/>
        <w:szCs w:val="15"/>
      </w:rPr>
      <w:t>topical talking points, science advice and research – it is intended as a high-level overview. The topics herein are assembled ‘at pace’ often under urgency and may be based on reports that are not peer-reviewed. Both the content and ‘</w:t>
    </w:r>
    <w:r>
      <w:rPr>
        <w:rFonts w:cstheme="minorHAnsi"/>
        <w:i/>
        <w:iCs/>
        <w:sz w:val="15"/>
        <w:szCs w:val="15"/>
      </w:rPr>
      <w:t>comment</w:t>
    </w:r>
    <w:r w:rsidRPr="004A7D06">
      <w:rPr>
        <w:rFonts w:cstheme="minorHAnsi"/>
        <w:i/>
        <w:iCs/>
        <w:sz w:val="15"/>
        <w:szCs w:val="15"/>
      </w:rPr>
      <w:t>’ components of this briefing represent science commentary at a single point in time – information herein may or may not align with Ministry of Health positions or priorities.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DE9D" w14:textId="50DEA086" w:rsidR="009A25F8" w:rsidRDefault="008D45B9" w:rsidP="009A25F8">
    <w:pPr>
      <w:pStyle w:val="Footer"/>
    </w:pPr>
    <w:r w:rsidRPr="004A7D06">
      <w:rPr>
        <w:rFonts w:cstheme="minorHAnsi"/>
        <w:b/>
        <w:bCs/>
        <w:i/>
        <w:iCs/>
        <w:sz w:val="15"/>
        <w:szCs w:val="15"/>
      </w:rPr>
      <w:t xml:space="preserve">Context and disclaimer. </w:t>
    </w:r>
    <w:r w:rsidRPr="004A7D06">
      <w:rPr>
        <w:rFonts w:cstheme="minorHAnsi"/>
        <w:i/>
        <w:iCs/>
        <w:sz w:val="15"/>
        <w:szCs w:val="15"/>
      </w:rPr>
      <w:t xml:space="preserve">This </w:t>
    </w:r>
    <w:r>
      <w:rPr>
        <w:rFonts w:cstheme="minorHAnsi"/>
        <w:i/>
        <w:iCs/>
        <w:sz w:val="15"/>
        <w:szCs w:val="15"/>
      </w:rPr>
      <w:t>update</w:t>
    </w:r>
    <w:r w:rsidRPr="004A7D06">
      <w:rPr>
        <w:rFonts w:cstheme="minorHAnsi"/>
        <w:i/>
        <w:iCs/>
        <w:sz w:val="15"/>
        <w:szCs w:val="15"/>
      </w:rPr>
      <w:t xml:space="preserve"> contains</w:t>
    </w:r>
    <w:r w:rsidRPr="004A7D06">
      <w:rPr>
        <w:rFonts w:cstheme="minorHAnsi"/>
        <w:b/>
        <w:bCs/>
        <w:i/>
        <w:iCs/>
        <w:sz w:val="15"/>
        <w:szCs w:val="15"/>
      </w:rPr>
      <w:t xml:space="preserve"> </w:t>
    </w:r>
    <w:r w:rsidRPr="004A7D06">
      <w:rPr>
        <w:rFonts w:cstheme="minorHAnsi"/>
        <w:i/>
        <w:iCs/>
        <w:sz w:val="15"/>
        <w:szCs w:val="15"/>
      </w:rPr>
      <w:t>topical talking points, science advice and research – it is intended as a high-level overview. The topics herein are assembled ‘at pace’ often under urgency and may be based on reports that are not peer-reviewed. Both the content and ‘</w:t>
    </w:r>
    <w:r>
      <w:rPr>
        <w:rFonts w:cstheme="minorHAnsi"/>
        <w:i/>
        <w:iCs/>
        <w:sz w:val="15"/>
        <w:szCs w:val="15"/>
      </w:rPr>
      <w:t>comment</w:t>
    </w:r>
    <w:r w:rsidRPr="004A7D06">
      <w:rPr>
        <w:rFonts w:cstheme="minorHAnsi"/>
        <w:i/>
        <w:iCs/>
        <w:sz w:val="15"/>
        <w:szCs w:val="15"/>
      </w:rPr>
      <w:t>’ components of this briefing represent science commentary at a single point in time – information herein may or may not align with Ministry of Health positions or priorities.</w:t>
    </w:r>
  </w:p>
  <w:p w14:paraId="69C10647" w14:textId="77777777" w:rsidR="009A25F8" w:rsidRDefault="009A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D9FF" w14:textId="77777777" w:rsidR="002165D5" w:rsidRDefault="002165D5" w:rsidP="006F3367">
      <w:pPr>
        <w:spacing w:after="0"/>
      </w:pPr>
      <w:r>
        <w:separator/>
      </w:r>
    </w:p>
  </w:footnote>
  <w:footnote w:type="continuationSeparator" w:id="0">
    <w:p w14:paraId="4A9F24B6" w14:textId="77777777" w:rsidR="002165D5" w:rsidRDefault="002165D5" w:rsidP="006F3367">
      <w:pPr>
        <w:spacing w:after="0"/>
      </w:pPr>
      <w:r>
        <w:continuationSeparator/>
      </w:r>
    </w:p>
  </w:footnote>
  <w:footnote w:type="continuationNotice" w:id="1">
    <w:p w14:paraId="5EFFC300" w14:textId="77777777" w:rsidR="002165D5" w:rsidRDefault="002165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0DE2" w14:textId="351444AE" w:rsidR="00B0683F" w:rsidRDefault="00936F5D" w:rsidP="00B0683F">
    <w:pPr>
      <w:spacing w:before="240" w:after="240"/>
      <w:jc w:val="center"/>
      <w:rPr>
        <w:rFonts w:ascii="Tahoma" w:eastAsiaTheme="majorEastAsia" w:hAnsi="Tahoma" w:cs="Tahoma"/>
        <w:b/>
        <w:color w:val="003366"/>
        <w:sz w:val="44"/>
        <w:szCs w:val="48"/>
        <w:lang w:val="en-US" w:eastAsia="ja-JP"/>
      </w:rPr>
    </w:pPr>
    <w:r>
      <w:rPr>
        <w:rFonts w:ascii="Tahoma" w:eastAsiaTheme="majorEastAsia" w:hAnsi="Tahoma" w:cs="Tahoma"/>
        <w:b/>
        <w:noProof/>
        <w:color w:val="003366"/>
        <w:sz w:val="40"/>
        <w:szCs w:val="44"/>
        <w:lang w:val="en-US" w:eastAsia="ja-JP"/>
      </w:rPr>
      <w:drawing>
        <wp:anchor distT="0" distB="0" distL="114300" distR="114300" simplePos="0" relativeHeight="251658240" behindDoc="1" locked="0" layoutInCell="1" allowOverlap="1" wp14:anchorId="2A5246F6" wp14:editId="212BCCF5">
          <wp:simplePos x="0" y="0"/>
          <wp:positionH relativeFrom="column">
            <wp:posOffset>5030470</wp:posOffset>
          </wp:positionH>
          <wp:positionV relativeFrom="paragraph">
            <wp:posOffset>32385</wp:posOffset>
          </wp:positionV>
          <wp:extent cx="1439545" cy="6477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20985" r="6999" b="16971"/>
                  <a:stretch/>
                </pic:blipFill>
                <pic:spPr bwMode="auto">
                  <a:xfrm>
                    <a:off x="0" y="0"/>
                    <a:ext cx="143954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eastAsiaTheme="majorEastAsia" w:hAnsi="Tahoma" w:cs="Tahoma"/>
        <w:b/>
        <w:noProof/>
        <w:color w:val="003366"/>
        <w:sz w:val="40"/>
        <w:szCs w:val="44"/>
        <w:lang w:val="en-US" w:eastAsia="ja-JP"/>
      </w:rPr>
      <w:drawing>
        <wp:anchor distT="0" distB="0" distL="114300" distR="114300" simplePos="0" relativeHeight="251658241" behindDoc="1" locked="0" layoutInCell="1" allowOverlap="1" wp14:anchorId="5AD301DE" wp14:editId="6109E284">
          <wp:simplePos x="0" y="0"/>
          <wp:positionH relativeFrom="column">
            <wp:posOffset>-358140</wp:posOffset>
          </wp:positionH>
          <wp:positionV relativeFrom="paragraph">
            <wp:posOffset>32385</wp:posOffset>
          </wp:positionV>
          <wp:extent cx="1425575" cy="719455"/>
          <wp:effectExtent l="0" t="0" r="3175" b="4445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5B9">
      <w:rPr>
        <w:rFonts w:ascii="Tahoma" w:eastAsiaTheme="majorEastAsia" w:hAnsi="Tahoma" w:cs="Tahoma"/>
        <w:b/>
        <w:color w:val="003366"/>
        <w:sz w:val="40"/>
        <w:szCs w:val="44"/>
        <w:lang w:val="en-US" w:eastAsia="ja-JP"/>
      </w:rPr>
      <w:t>COVID-19 Science Updates</w:t>
    </w:r>
  </w:p>
  <w:p w14:paraId="44054587" w14:textId="77777777" w:rsidR="00B0683F" w:rsidRDefault="00B06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6443" w14:textId="4B031D07" w:rsidR="00524D9D" w:rsidRDefault="00524D9D">
    <w:pPr>
      <w:pStyle w:val="Header"/>
      <w:rPr>
        <w:noProof/>
      </w:rPr>
    </w:pPr>
  </w:p>
  <w:p w14:paraId="34803538" w14:textId="026CD692" w:rsidR="00933056" w:rsidRDefault="0093305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l6GOCnE4EqR1EG" id="tVgUaBbn"/>
    <int:WordHash hashCode="QKinqWkCrMAR3+" id="FRqaGQpJ"/>
  </int:Manifest>
  <int:Observations>
    <int:Content id="tVgUaBbn">
      <int:Rejection type="LegacyProofing"/>
    </int:Content>
    <int:Content id="FRqaGQp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4DA"/>
    <w:multiLevelType w:val="hybridMultilevel"/>
    <w:tmpl w:val="044C4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689"/>
    <w:multiLevelType w:val="hybridMultilevel"/>
    <w:tmpl w:val="B5041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6CCE"/>
    <w:multiLevelType w:val="hybridMultilevel"/>
    <w:tmpl w:val="D45EA5CE"/>
    <w:lvl w:ilvl="0" w:tplc="743E0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3AC42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058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5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7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1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5D3B"/>
    <w:multiLevelType w:val="hybridMultilevel"/>
    <w:tmpl w:val="C0DA21DC"/>
    <w:lvl w:ilvl="0" w:tplc="7670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9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6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8A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0C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44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2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46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6D6D"/>
    <w:multiLevelType w:val="hybridMultilevel"/>
    <w:tmpl w:val="337EC6A0"/>
    <w:lvl w:ilvl="0" w:tplc="23A833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DDC28EB"/>
    <w:multiLevelType w:val="hybridMultilevel"/>
    <w:tmpl w:val="0FFEF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746"/>
    <w:multiLevelType w:val="hybridMultilevel"/>
    <w:tmpl w:val="0A70E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70D"/>
    <w:multiLevelType w:val="hybridMultilevel"/>
    <w:tmpl w:val="1218661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339BE"/>
    <w:multiLevelType w:val="hybridMultilevel"/>
    <w:tmpl w:val="4BF8D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292"/>
    <w:multiLevelType w:val="hybridMultilevel"/>
    <w:tmpl w:val="8F60E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990"/>
    <w:multiLevelType w:val="hybridMultilevel"/>
    <w:tmpl w:val="08A8867A"/>
    <w:lvl w:ilvl="0" w:tplc="96AA9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6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4E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0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5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8B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2D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1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AF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68E"/>
    <w:multiLevelType w:val="hybridMultilevel"/>
    <w:tmpl w:val="03EAA868"/>
    <w:lvl w:ilvl="0" w:tplc="0F4EA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C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E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28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8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EE2"/>
    <w:multiLevelType w:val="hybridMultilevel"/>
    <w:tmpl w:val="8C82C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7603"/>
    <w:multiLevelType w:val="hybridMultilevel"/>
    <w:tmpl w:val="6B1C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046F"/>
    <w:multiLevelType w:val="hybridMultilevel"/>
    <w:tmpl w:val="AFD65506"/>
    <w:lvl w:ilvl="0" w:tplc="5AC2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E0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C9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8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00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7EB8"/>
    <w:multiLevelType w:val="hybridMultilevel"/>
    <w:tmpl w:val="6E948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02E17"/>
    <w:multiLevelType w:val="hybridMultilevel"/>
    <w:tmpl w:val="E098E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17B65"/>
    <w:multiLevelType w:val="hybridMultilevel"/>
    <w:tmpl w:val="491ABE9E"/>
    <w:lvl w:ilvl="0" w:tplc="E3B06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112C"/>
    <w:multiLevelType w:val="hybridMultilevel"/>
    <w:tmpl w:val="E6E43CBA"/>
    <w:lvl w:ilvl="0" w:tplc="D7A210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66706"/>
    <w:multiLevelType w:val="hybridMultilevel"/>
    <w:tmpl w:val="3A5E8DB2"/>
    <w:lvl w:ilvl="0" w:tplc="71DA4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E49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8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0D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40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60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5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D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0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94A0C"/>
    <w:multiLevelType w:val="multilevel"/>
    <w:tmpl w:val="C6288F34"/>
    <w:styleLink w:val="MSIHeadingsList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15"/>
  </w:num>
  <w:num w:numId="7">
    <w:abstractNumId w:val="18"/>
  </w:num>
  <w:num w:numId="8">
    <w:abstractNumId w:val="0"/>
  </w:num>
  <w:num w:numId="9">
    <w:abstractNumId w:val="12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7"/>
  </w:num>
  <w:num w:numId="15">
    <w:abstractNumId w:val="13"/>
  </w:num>
  <w:num w:numId="16">
    <w:abstractNumId w:val="6"/>
  </w:num>
  <w:num w:numId="17">
    <w:abstractNumId w:val="1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67"/>
    <w:rsid w:val="00001688"/>
    <w:rsid w:val="00004245"/>
    <w:rsid w:val="00015CDA"/>
    <w:rsid w:val="00016035"/>
    <w:rsid w:val="00023B02"/>
    <w:rsid w:val="0002748D"/>
    <w:rsid w:val="000331FE"/>
    <w:rsid w:val="000362EA"/>
    <w:rsid w:val="000400B7"/>
    <w:rsid w:val="00040386"/>
    <w:rsid w:val="00045FF0"/>
    <w:rsid w:val="000513FA"/>
    <w:rsid w:val="000522EB"/>
    <w:rsid w:val="000555C0"/>
    <w:rsid w:val="000850E0"/>
    <w:rsid w:val="00085315"/>
    <w:rsid w:val="00085515"/>
    <w:rsid w:val="00090337"/>
    <w:rsid w:val="00096B91"/>
    <w:rsid w:val="000A5D5E"/>
    <w:rsid w:val="000A6460"/>
    <w:rsid w:val="000A6E4C"/>
    <w:rsid w:val="000A6EA2"/>
    <w:rsid w:val="000B0301"/>
    <w:rsid w:val="000B0FFF"/>
    <w:rsid w:val="000B27BB"/>
    <w:rsid w:val="000C0CFB"/>
    <w:rsid w:val="000C420E"/>
    <w:rsid w:val="000D184E"/>
    <w:rsid w:val="000E6139"/>
    <w:rsid w:val="000F43E0"/>
    <w:rsid w:val="000F4B57"/>
    <w:rsid w:val="000F538D"/>
    <w:rsid w:val="001154B4"/>
    <w:rsid w:val="001219F3"/>
    <w:rsid w:val="001223BB"/>
    <w:rsid w:val="0012292B"/>
    <w:rsid w:val="001259A6"/>
    <w:rsid w:val="00131986"/>
    <w:rsid w:val="00135A3C"/>
    <w:rsid w:val="00135D81"/>
    <w:rsid w:val="00135FF0"/>
    <w:rsid w:val="0013783E"/>
    <w:rsid w:val="001402EF"/>
    <w:rsid w:val="00143923"/>
    <w:rsid w:val="001560BF"/>
    <w:rsid w:val="00156181"/>
    <w:rsid w:val="00167494"/>
    <w:rsid w:val="00171876"/>
    <w:rsid w:val="00172782"/>
    <w:rsid w:val="00173D4F"/>
    <w:rsid w:val="001742E2"/>
    <w:rsid w:val="0017680D"/>
    <w:rsid w:val="00177D75"/>
    <w:rsid w:val="00180E90"/>
    <w:rsid w:val="00182814"/>
    <w:rsid w:val="0018352D"/>
    <w:rsid w:val="00184E3E"/>
    <w:rsid w:val="00185CB0"/>
    <w:rsid w:val="00191E75"/>
    <w:rsid w:val="00193911"/>
    <w:rsid w:val="00194CA2"/>
    <w:rsid w:val="001A2088"/>
    <w:rsid w:val="001B323C"/>
    <w:rsid w:val="001C1C27"/>
    <w:rsid w:val="001C255E"/>
    <w:rsid w:val="001D4ECA"/>
    <w:rsid w:val="001D719F"/>
    <w:rsid w:val="001E223E"/>
    <w:rsid w:val="001E31D0"/>
    <w:rsid w:val="001F2014"/>
    <w:rsid w:val="001F4913"/>
    <w:rsid w:val="001F4AD4"/>
    <w:rsid w:val="00207635"/>
    <w:rsid w:val="002107C3"/>
    <w:rsid w:val="002113B4"/>
    <w:rsid w:val="002165D5"/>
    <w:rsid w:val="00222301"/>
    <w:rsid w:val="00225AC6"/>
    <w:rsid w:val="0023134D"/>
    <w:rsid w:val="00240E2F"/>
    <w:rsid w:val="0024203D"/>
    <w:rsid w:val="002456C8"/>
    <w:rsid w:val="00245DBA"/>
    <w:rsid w:val="00247183"/>
    <w:rsid w:val="00250A2A"/>
    <w:rsid w:val="00250C2F"/>
    <w:rsid w:val="00252020"/>
    <w:rsid w:val="002528DC"/>
    <w:rsid w:val="00252AB9"/>
    <w:rsid w:val="00273166"/>
    <w:rsid w:val="00276E5B"/>
    <w:rsid w:val="002801E5"/>
    <w:rsid w:val="002807A5"/>
    <w:rsid w:val="00283FFB"/>
    <w:rsid w:val="002848BF"/>
    <w:rsid w:val="002992AD"/>
    <w:rsid w:val="002A37DC"/>
    <w:rsid w:val="002B18AB"/>
    <w:rsid w:val="002B37A0"/>
    <w:rsid w:val="002D0FBC"/>
    <w:rsid w:val="002D2876"/>
    <w:rsid w:val="002D3027"/>
    <w:rsid w:val="002D385B"/>
    <w:rsid w:val="002E0AA0"/>
    <w:rsid w:val="002E144F"/>
    <w:rsid w:val="002E1A55"/>
    <w:rsid w:val="002E3CAE"/>
    <w:rsid w:val="002E3D55"/>
    <w:rsid w:val="002E4D7D"/>
    <w:rsid w:val="002F32FC"/>
    <w:rsid w:val="002F386B"/>
    <w:rsid w:val="002F6ABE"/>
    <w:rsid w:val="002F7A4C"/>
    <w:rsid w:val="0030467E"/>
    <w:rsid w:val="00307E17"/>
    <w:rsid w:val="00314904"/>
    <w:rsid w:val="00316EF9"/>
    <w:rsid w:val="00322E24"/>
    <w:rsid w:val="00330685"/>
    <w:rsid w:val="00345A15"/>
    <w:rsid w:val="00351FB1"/>
    <w:rsid w:val="00356B5D"/>
    <w:rsid w:val="00356C43"/>
    <w:rsid w:val="00357E4C"/>
    <w:rsid w:val="00366448"/>
    <w:rsid w:val="00366A2A"/>
    <w:rsid w:val="003742AD"/>
    <w:rsid w:val="00380A6E"/>
    <w:rsid w:val="00381B47"/>
    <w:rsid w:val="00387286"/>
    <w:rsid w:val="00390216"/>
    <w:rsid w:val="00392742"/>
    <w:rsid w:val="003A648D"/>
    <w:rsid w:val="003A7868"/>
    <w:rsid w:val="003B0D12"/>
    <w:rsid w:val="003B4C8C"/>
    <w:rsid w:val="003C06AF"/>
    <w:rsid w:val="003C4A6F"/>
    <w:rsid w:val="003D05BA"/>
    <w:rsid w:val="003D290B"/>
    <w:rsid w:val="003D4475"/>
    <w:rsid w:val="003D5193"/>
    <w:rsid w:val="003E7850"/>
    <w:rsid w:val="003E786F"/>
    <w:rsid w:val="003F0D3A"/>
    <w:rsid w:val="003F4290"/>
    <w:rsid w:val="0040313A"/>
    <w:rsid w:val="004102B9"/>
    <w:rsid w:val="00410C3D"/>
    <w:rsid w:val="004121BC"/>
    <w:rsid w:val="0041373C"/>
    <w:rsid w:val="0042053D"/>
    <w:rsid w:val="00423FEF"/>
    <w:rsid w:val="00426C08"/>
    <w:rsid w:val="00432C7F"/>
    <w:rsid w:val="004415FC"/>
    <w:rsid w:val="004429CE"/>
    <w:rsid w:val="00446DED"/>
    <w:rsid w:val="004534A6"/>
    <w:rsid w:val="004557A3"/>
    <w:rsid w:val="00455A74"/>
    <w:rsid w:val="00470897"/>
    <w:rsid w:val="0047286B"/>
    <w:rsid w:val="00477934"/>
    <w:rsid w:val="00481526"/>
    <w:rsid w:val="00483374"/>
    <w:rsid w:val="00485B26"/>
    <w:rsid w:val="0049219B"/>
    <w:rsid w:val="00493D42"/>
    <w:rsid w:val="00494AEE"/>
    <w:rsid w:val="00495B8A"/>
    <w:rsid w:val="004A2BA2"/>
    <w:rsid w:val="004A567F"/>
    <w:rsid w:val="004B55A0"/>
    <w:rsid w:val="004B5A18"/>
    <w:rsid w:val="004C2D53"/>
    <w:rsid w:val="004C4A56"/>
    <w:rsid w:val="004D4C30"/>
    <w:rsid w:val="004E0A73"/>
    <w:rsid w:val="004E13B1"/>
    <w:rsid w:val="004E2EC9"/>
    <w:rsid w:val="004E3CA8"/>
    <w:rsid w:val="004E5193"/>
    <w:rsid w:val="004E67B3"/>
    <w:rsid w:val="004E6F3E"/>
    <w:rsid w:val="004E708A"/>
    <w:rsid w:val="004F16FF"/>
    <w:rsid w:val="0051776A"/>
    <w:rsid w:val="00517BF8"/>
    <w:rsid w:val="0052171C"/>
    <w:rsid w:val="0052340E"/>
    <w:rsid w:val="00524D9D"/>
    <w:rsid w:val="00527AC2"/>
    <w:rsid w:val="00533097"/>
    <w:rsid w:val="0053732E"/>
    <w:rsid w:val="00543253"/>
    <w:rsid w:val="005449B4"/>
    <w:rsid w:val="00550005"/>
    <w:rsid w:val="00555219"/>
    <w:rsid w:val="00555EF7"/>
    <w:rsid w:val="00556D96"/>
    <w:rsid w:val="00561563"/>
    <w:rsid w:val="005625F4"/>
    <w:rsid w:val="00565D7C"/>
    <w:rsid w:val="0057106A"/>
    <w:rsid w:val="00576DD3"/>
    <w:rsid w:val="00583D28"/>
    <w:rsid w:val="005875A6"/>
    <w:rsid w:val="00587A17"/>
    <w:rsid w:val="0059407B"/>
    <w:rsid w:val="00595512"/>
    <w:rsid w:val="005B1BE5"/>
    <w:rsid w:val="005B4704"/>
    <w:rsid w:val="005B4E6A"/>
    <w:rsid w:val="005B5825"/>
    <w:rsid w:val="005C12B7"/>
    <w:rsid w:val="005C71C7"/>
    <w:rsid w:val="005D30E9"/>
    <w:rsid w:val="005E1F6F"/>
    <w:rsid w:val="005E2FC3"/>
    <w:rsid w:val="005E7E3C"/>
    <w:rsid w:val="005F628B"/>
    <w:rsid w:val="00600137"/>
    <w:rsid w:val="006028B1"/>
    <w:rsid w:val="00607F93"/>
    <w:rsid w:val="0061143F"/>
    <w:rsid w:val="006116C5"/>
    <w:rsid w:val="006208D7"/>
    <w:rsid w:val="00630062"/>
    <w:rsid w:val="00631E88"/>
    <w:rsid w:val="006326A3"/>
    <w:rsid w:val="00640C10"/>
    <w:rsid w:val="00645527"/>
    <w:rsid w:val="006467E2"/>
    <w:rsid w:val="00672ED0"/>
    <w:rsid w:val="00674D15"/>
    <w:rsid w:val="00685667"/>
    <w:rsid w:val="00690F81"/>
    <w:rsid w:val="00691807"/>
    <w:rsid w:val="00693153"/>
    <w:rsid w:val="006949F2"/>
    <w:rsid w:val="00696A96"/>
    <w:rsid w:val="0069702C"/>
    <w:rsid w:val="00697B39"/>
    <w:rsid w:val="00697F5F"/>
    <w:rsid w:val="006A0977"/>
    <w:rsid w:val="006A25F3"/>
    <w:rsid w:val="006A6EE8"/>
    <w:rsid w:val="006B30FD"/>
    <w:rsid w:val="006C0341"/>
    <w:rsid w:val="006C3D27"/>
    <w:rsid w:val="006C71BD"/>
    <w:rsid w:val="006D300E"/>
    <w:rsid w:val="006D472B"/>
    <w:rsid w:val="006D6A8A"/>
    <w:rsid w:val="006E1038"/>
    <w:rsid w:val="006E2DD6"/>
    <w:rsid w:val="006E4856"/>
    <w:rsid w:val="006E4F04"/>
    <w:rsid w:val="006F0225"/>
    <w:rsid w:val="006F07F1"/>
    <w:rsid w:val="006F2161"/>
    <w:rsid w:val="006F3367"/>
    <w:rsid w:val="006F3683"/>
    <w:rsid w:val="006F491B"/>
    <w:rsid w:val="006F5DDC"/>
    <w:rsid w:val="007040C0"/>
    <w:rsid w:val="007072BA"/>
    <w:rsid w:val="007121C3"/>
    <w:rsid w:val="00712BD6"/>
    <w:rsid w:val="00712D14"/>
    <w:rsid w:val="00713499"/>
    <w:rsid w:val="00713ABE"/>
    <w:rsid w:val="007169D6"/>
    <w:rsid w:val="00722148"/>
    <w:rsid w:val="007270A7"/>
    <w:rsid w:val="00731754"/>
    <w:rsid w:val="007343A5"/>
    <w:rsid w:val="00740671"/>
    <w:rsid w:val="007479AA"/>
    <w:rsid w:val="007510DE"/>
    <w:rsid w:val="007523CF"/>
    <w:rsid w:val="00755B89"/>
    <w:rsid w:val="007650AE"/>
    <w:rsid w:val="00773E40"/>
    <w:rsid w:val="0077674F"/>
    <w:rsid w:val="007773F7"/>
    <w:rsid w:val="00781F70"/>
    <w:rsid w:val="00782AF8"/>
    <w:rsid w:val="007850FB"/>
    <w:rsid w:val="007906F3"/>
    <w:rsid w:val="00796EED"/>
    <w:rsid w:val="0079788E"/>
    <w:rsid w:val="007A0E2E"/>
    <w:rsid w:val="007A19BC"/>
    <w:rsid w:val="007B05C0"/>
    <w:rsid w:val="007B3FC5"/>
    <w:rsid w:val="007C09B2"/>
    <w:rsid w:val="007C32AF"/>
    <w:rsid w:val="007C49BA"/>
    <w:rsid w:val="007C7EC9"/>
    <w:rsid w:val="007D1379"/>
    <w:rsid w:val="007D41EC"/>
    <w:rsid w:val="007D67CA"/>
    <w:rsid w:val="007D7720"/>
    <w:rsid w:val="007E21F1"/>
    <w:rsid w:val="007E29C0"/>
    <w:rsid w:val="007E2AC9"/>
    <w:rsid w:val="007E2F7C"/>
    <w:rsid w:val="007E3E2C"/>
    <w:rsid w:val="007E5217"/>
    <w:rsid w:val="007E536D"/>
    <w:rsid w:val="007E576D"/>
    <w:rsid w:val="007E670D"/>
    <w:rsid w:val="007E737F"/>
    <w:rsid w:val="007E7575"/>
    <w:rsid w:val="007E7D53"/>
    <w:rsid w:val="007F591F"/>
    <w:rsid w:val="007F7FC2"/>
    <w:rsid w:val="008044D4"/>
    <w:rsid w:val="0081532C"/>
    <w:rsid w:val="00816C85"/>
    <w:rsid w:val="008221AA"/>
    <w:rsid w:val="0082389B"/>
    <w:rsid w:val="0083471F"/>
    <w:rsid w:val="008365C1"/>
    <w:rsid w:val="00836E8C"/>
    <w:rsid w:val="00841004"/>
    <w:rsid w:val="00842599"/>
    <w:rsid w:val="00845EEF"/>
    <w:rsid w:val="008475AF"/>
    <w:rsid w:val="0086032A"/>
    <w:rsid w:val="00861080"/>
    <w:rsid w:val="00870BED"/>
    <w:rsid w:val="00871C7C"/>
    <w:rsid w:val="00874828"/>
    <w:rsid w:val="00874F83"/>
    <w:rsid w:val="0087505B"/>
    <w:rsid w:val="00875E64"/>
    <w:rsid w:val="0088433C"/>
    <w:rsid w:val="00887615"/>
    <w:rsid w:val="008A79C9"/>
    <w:rsid w:val="008B13B6"/>
    <w:rsid w:val="008D45B9"/>
    <w:rsid w:val="008E1016"/>
    <w:rsid w:val="008E563F"/>
    <w:rsid w:val="008F3B25"/>
    <w:rsid w:val="00900EB2"/>
    <w:rsid w:val="009018D6"/>
    <w:rsid w:val="00901C1C"/>
    <w:rsid w:val="00901DEA"/>
    <w:rsid w:val="00904560"/>
    <w:rsid w:val="00913261"/>
    <w:rsid w:val="009201FF"/>
    <w:rsid w:val="009225A8"/>
    <w:rsid w:val="00922895"/>
    <w:rsid w:val="009229B5"/>
    <w:rsid w:val="00926A19"/>
    <w:rsid w:val="00926AA4"/>
    <w:rsid w:val="00931316"/>
    <w:rsid w:val="00933056"/>
    <w:rsid w:val="00936F5D"/>
    <w:rsid w:val="009377E2"/>
    <w:rsid w:val="0094184E"/>
    <w:rsid w:val="00967655"/>
    <w:rsid w:val="00975278"/>
    <w:rsid w:val="00975B24"/>
    <w:rsid w:val="00976BFE"/>
    <w:rsid w:val="00994CE1"/>
    <w:rsid w:val="00996838"/>
    <w:rsid w:val="009A25F8"/>
    <w:rsid w:val="009A2BEB"/>
    <w:rsid w:val="009A5269"/>
    <w:rsid w:val="009A7B80"/>
    <w:rsid w:val="009C0A9F"/>
    <w:rsid w:val="009C278E"/>
    <w:rsid w:val="009C40A5"/>
    <w:rsid w:val="009C5DC6"/>
    <w:rsid w:val="009D1D1C"/>
    <w:rsid w:val="009D4F5F"/>
    <w:rsid w:val="009D6E45"/>
    <w:rsid w:val="009D7CFB"/>
    <w:rsid w:val="009E0843"/>
    <w:rsid w:val="009F16B9"/>
    <w:rsid w:val="009F3633"/>
    <w:rsid w:val="009F7734"/>
    <w:rsid w:val="00A00850"/>
    <w:rsid w:val="00A15601"/>
    <w:rsid w:val="00A257B6"/>
    <w:rsid w:val="00A42DEB"/>
    <w:rsid w:val="00A46F42"/>
    <w:rsid w:val="00A54CA9"/>
    <w:rsid w:val="00A54CF8"/>
    <w:rsid w:val="00A61A27"/>
    <w:rsid w:val="00A61E8A"/>
    <w:rsid w:val="00A628A7"/>
    <w:rsid w:val="00A65D2A"/>
    <w:rsid w:val="00A66C68"/>
    <w:rsid w:val="00A76570"/>
    <w:rsid w:val="00A93C6B"/>
    <w:rsid w:val="00A94757"/>
    <w:rsid w:val="00A96737"/>
    <w:rsid w:val="00A9678A"/>
    <w:rsid w:val="00AA0F39"/>
    <w:rsid w:val="00AA33E1"/>
    <w:rsid w:val="00AA48E5"/>
    <w:rsid w:val="00AA7AA7"/>
    <w:rsid w:val="00AC6F82"/>
    <w:rsid w:val="00AC73DE"/>
    <w:rsid w:val="00AD18D6"/>
    <w:rsid w:val="00AD1AB4"/>
    <w:rsid w:val="00AD2FB7"/>
    <w:rsid w:val="00AD4673"/>
    <w:rsid w:val="00AE5510"/>
    <w:rsid w:val="00AE72BF"/>
    <w:rsid w:val="00AF0634"/>
    <w:rsid w:val="00AF18E6"/>
    <w:rsid w:val="00AF3D35"/>
    <w:rsid w:val="00B0545C"/>
    <w:rsid w:val="00B05584"/>
    <w:rsid w:val="00B061CF"/>
    <w:rsid w:val="00B0683F"/>
    <w:rsid w:val="00B0713A"/>
    <w:rsid w:val="00B1188E"/>
    <w:rsid w:val="00B2466B"/>
    <w:rsid w:val="00B330D8"/>
    <w:rsid w:val="00B33160"/>
    <w:rsid w:val="00B341F0"/>
    <w:rsid w:val="00B35D07"/>
    <w:rsid w:val="00B41BFA"/>
    <w:rsid w:val="00B45161"/>
    <w:rsid w:val="00B47BED"/>
    <w:rsid w:val="00B53C1D"/>
    <w:rsid w:val="00B54830"/>
    <w:rsid w:val="00B57C43"/>
    <w:rsid w:val="00B61E96"/>
    <w:rsid w:val="00B6278E"/>
    <w:rsid w:val="00B70921"/>
    <w:rsid w:val="00B715DA"/>
    <w:rsid w:val="00B7239B"/>
    <w:rsid w:val="00B80DC6"/>
    <w:rsid w:val="00B81D2F"/>
    <w:rsid w:val="00B824A0"/>
    <w:rsid w:val="00B82AD2"/>
    <w:rsid w:val="00B87E26"/>
    <w:rsid w:val="00B91478"/>
    <w:rsid w:val="00B955EB"/>
    <w:rsid w:val="00BA02BB"/>
    <w:rsid w:val="00BA444A"/>
    <w:rsid w:val="00BB5365"/>
    <w:rsid w:val="00BB7B9B"/>
    <w:rsid w:val="00BC3E3A"/>
    <w:rsid w:val="00BC6937"/>
    <w:rsid w:val="00BC6DFD"/>
    <w:rsid w:val="00BC778B"/>
    <w:rsid w:val="00BD2B89"/>
    <w:rsid w:val="00BE0888"/>
    <w:rsid w:val="00BE0BA2"/>
    <w:rsid w:val="00BE0C09"/>
    <w:rsid w:val="00BE0F35"/>
    <w:rsid w:val="00BE3070"/>
    <w:rsid w:val="00BE651D"/>
    <w:rsid w:val="00BE74F1"/>
    <w:rsid w:val="00BF3E45"/>
    <w:rsid w:val="00C03097"/>
    <w:rsid w:val="00C102A4"/>
    <w:rsid w:val="00C16A6F"/>
    <w:rsid w:val="00C212C3"/>
    <w:rsid w:val="00C27874"/>
    <w:rsid w:val="00C30AF9"/>
    <w:rsid w:val="00C3234E"/>
    <w:rsid w:val="00C356AA"/>
    <w:rsid w:val="00C409D5"/>
    <w:rsid w:val="00C567F7"/>
    <w:rsid w:val="00C570B9"/>
    <w:rsid w:val="00C571A1"/>
    <w:rsid w:val="00C61C36"/>
    <w:rsid w:val="00C738B1"/>
    <w:rsid w:val="00C82A2F"/>
    <w:rsid w:val="00C9169C"/>
    <w:rsid w:val="00C977F5"/>
    <w:rsid w:val="00CA1FD2"/>
    <w:rsid w:val="00CA2986"/>
    <w:rsid w:val="00CA710D"/>
    <w:rsid w:val="00CA7361"/>
    <w:rsid w:val="00CB09FD"/>
    <w:rsid w:val="00CB71CF"/>
    <w:rsid w:val="00CB7906"/>
    <w:rsid w:val="00CC356B"/>
    <w:rsid w:val="00CD1061"/>
    <w:rsid w:val="00CD3075"/>
    <w:rsid w:val="00CD3D3E"/>
    <w:rsid w:val="00CD5658"/>
    <w:rsid w:val="00CD78DF"/>
    <w:rsid w:val="00CE2CC7"/>
    <w:rsid w:val="00CE37CA"/>
    <w:rsid w:val="00CE4FBE"/>
    <w:rsid w:val="00CE799A"/>
    <w:rsid w:val="00D02B70"/>
    <w:rsid w:val="00D06190"/>
    <w:rsid w:val="00D1716F"/>
    <w:rsid w:val="00D20634"/>
    <w:rsid w:val="00D20F1C"/>
    <w:rsid w:val="00D26FF1"/>
    <w:rsid w:val="00D32B18"/>
    <w:rsid w:val="00D3709C"/>
    <w:rsid w:val="00D46ABE"/>
    <w:rsid w:val="00D4754E"/>
    <w:rsid w:val="00D47D64"/>
    <w:rsid w:val="00D53796"/>
    <w:rsid w:val="00D56EF8"/>
    <w:rsid w:val="00D63835"/>
    <w:rsid w:val="00D65EE4"/>
    <w:rsid w:val="00D6766A"/>
    <w:rsid w:val="00D9207E"/>
    <w:rsid w:val="00D92ABA"/>
    <w:rsid w:val="00DA72BE"/>
    <w:rsid w:val="00DB6349"/>
    <w:rsid w:val="00DB6DD1"/>
    <w:rsid w:val="00DD0970"/>
    <w:rsid w:val="00DD1871"/>
    <w:rsid w:val="00DD5577"/>
    <w:rsid w:val="00DD565D"/>
    <w:rsid w:val="00DD8E31"/>
    <w:rsid w:val="00DF10F6"/>
    <w:rsid w:val="00E020AF"/>
    <w:rsid w:val="00E111A8"/>
    <w:rsid w:val="00E12C41"/>
    <w:rsid w:val="00E21250"/>
    <w:rsid w:val="00E3636A"/>
    <w:rsid w:val="00E36A9A"/>
    <w:rsid w:val="00E435CD"/>
    <w:rsid w:val="00E532C2"/>
    <w:rsid w:val="00E60A7E"/>
    <w:rsid w:val="00E66196"/>
    <w:rsid w:val="00E67A11"/>
    <w:rsid w:val="00E715E4"/>
    <w:rsid w:val="00E816CA"/>
    <w:rsid w:val="00E93F3F"/>
    <w:rsid w:val="00EA588C"/>
    <w:rsid w:val="00EB4295"/>
    <w:rsid w:val="00EB4CB0"/>
    <w:rsid w:val="00EB6D51"/>
    <w:rsid w:val="00EC600E"/>
    <w:rsid w:val="00ED205A"/>
    <w:rsid w:val="00ED2336"/>
    <w:rsid w:val="00ED2D09"/>
    <w:rsid w:val="00EE5FDD"/>
    <w:rsid w:val="00EE6110"/>
    <w:rsid w:val="00EE6F08"/>
    <w:rsid w:val="00EE770D"/>
    <w:rsid w:val="00EF5430"/>
    <w:rsid w:val="00F07B2B"/>
    <w:rsid w:val="00F12DAD"/>
    <w:rsid w:val="00F15512"/>
    <w:rsid w:val="00F155BA"/>
    <w:rsid w:val="00F20432"/>
    <w:rsid w:val="00F250DD"/>
    <w:rsid w:val="00F329A0"/>
    <w:rsid w:val="00F32DCB"/>
    <w:rsid w:val="00F35A2F"/>
    <w:rsid w:val="00F43FD2"/>
    <w:rsid w:val="00F473C8"/>
    <w:rsid w:val="00F52D49"/>
    <w:rsid w:val="00F62481"/>
    <w:rsid w:val="00F626E3"/>
    <w:rsid w:val="00F71D86"/>
    <w:rsid w:val="00F72151"/>
    <w:rsid w:val="00F77628"/>
    <w:rsid w:val="00F9208D"/>
    <w:rsid w:val="00F9313D"/>
    <w:rsid w:val="00FA0373"/>
    <w:rsid w:val="00FA0DCD"/>
    <w:rsid w:val="00FA4EAC"/>
    <w:rsid w:val="00FB5D8A"/>
    <w:rsid w:val="00FB6510"/>
    <w:rsid w:val="00FC3E7A"/>
    <w:rsid w:val="00FC4572"/>
    <w:rsid w:val="00FC4BC8"/>
    <w:rsid w:val="00FC537D"/>
    <w:rsid w:val="00FD0EE7"/>
    <w:rsid w:val="00FD5EED"/>
    <w:rsid w:val="00FD7E1F"/>
    <w:rsid w:val="00FE1A83"/>
    <w:rsid w:val="00FE20EB"/>
    <w:rsid w:val="00FE7816"/>
    <w:rsid w:val="00FF5C01"/>
    <w:rsid w:val="00FF67DC"/>
    <w:rsid w:val="00FF7B38"/>
    <w:rsid w:val="01475FDC"/>
    <w:rsid w:val="01C0B0E3"/>
    <w:rsid w:val="01CA3172"/>
    <w:rsid w:val="0259351A"/>
    <w:rsid w:val="02A54463"/>
    <w:rsid w:val="02AA2548"/>
    <w:rsid w:val="02D36A06"/>
    <w:rsid w:val="02E31FD0"/>
    <w:rsid w:val="02F51F3F"/>
    <w:rsid w:val="03260D7B"/>
    <w:rsid w:val="036F268A"/>
    <w:rsid w:val="038624C7"/>
    <w:rsid w:val="03C0DACD"/>
    <w:rsid w:val="03EACE93"/>
    <w:rsid w:val="03F6938D"/>
    <w:rsid w:val="0439B24F"/>
    <w:rsid w:val="04570D80"/>
    <w:rsid w:val="049279EB"/>
    <w:rsid w:val="0494188D"/>
    <w:rsid w:val="0496E8DB"/>
    <w:rsid w:val="04A6764E"/>
    <w:rsid w:val="04ACA8FF"/>
    <w:rsid w:val="05024E58"/>
    <w:rsid w:val="05BC2DA2"/>
    <w:rsid w:val="05E88D2A"/>
    <w:rsid w:val="062F8EBC"/>
    <w:rsid w:val="07195F11"/>
    <w:rsid w:val="07677C1A"/>
    <w:rsid w:val="079B42BC"/>
    <w:rsid w:val="079F0050"/>
    <w:rsid w:val="07CD9F94"/>
    <w:rsid w:val="07FAAD50"/>
    <w:rsid w:val="08560BD4"/>
    <w:rsid w:val="08AC0A81"/>
    <w:rsid w:val="09709278"/>
    <w:rsid w:val="09EEC6B9"/>
    <w:rsid w:val="0A74A838"/>
    <w:rsid w:val="0AAA7BC9"/>
    <w:rsid w:val="0AF3E434"/>
    <w:rsid w:val="0B203E51"/>
    <w:rsid w:val="0B7F9287"/>
    <w:rsid w:val="0BE87C7B"/>
    <w:rsid w:val="0BF45ECC"/>
    <w:rsid w:val="0C0B2C45"/>
    <w:rsid w:val="0C211DB4"/>
    <w:rsid w:val="0C272095"/>
    <w:rsid w:val="0C2C937E"/>
    <w:rsid w:val="0C4BC7AE"/>
    <w:rsid w:val="0C4FDCC1"/>
    <w:rsid w:val="0C5A96DB"/>
    <w:rsid w:val="0C666B21"/>
    <w:rsid w:val="0CCE1E73"/>
    <w:rsid w:val="0CEF66E8"/>
    <w:rsid w:val="0D0F75C6"/>
    <w:rsid w:val="0DB3BF53"/>
    <w:rsid w:val="0DD6DACA"/>
    <w:rsid w:val="0DEB4780"/>
    <w:rsid w:val="0E2F1953"/>
    <w:rsid w:val="0E3909AF"/>
    <w:rsid w:val="0E62DEDF"/>
    <w:rsid w:val="0E860B8E"/>
    <w:rsid w:val="0E8E0C85"/>
    <w:rsid w:val="0E95BA6F"/>
    <w:rsid w:val="0EA3436B"/>
    <w:rsid w:val="0EA37B72"/>
    <w:rsid w:val="0EAACC6E"/>
    <w:rsid w:val="0F0A81B0"/>
    <w:rsid w:val="0F3DB6AB"/>
    <w:rsid w:val="0F455C39"/>
    <w:rsid w:val="0FB2583E"/>
    <w:rsid w:val="0FC4ADC5"/>
    <w:rsid w:val="0FCA6A76"/>
    <w:rsid w:val="0FCC118A"/>
    <w:rsid w:val="0FDC5139"/>
    <w:rsid w:val="1068A968"/>
    <w:rsid w:val="10941069"/>
    <w:rsid w:val="10B112D5"/>
    <w:rsid w:val="10C0F767"/>
    <w:rsid w:val="10C3309A"/>
    <w:rsid w:val="10DCF7EE"/>
    <w:rsid w:val="10F84A91"/>
    <w:rsid w:val="1115134E"/>
    <w:rsid w:val="112BA9DE"/>
    <w:rsid w:val="115FF465"/>
    <w:rsid w:val="11B6BCEC"/>
    <w:rsid w:val="11D619FF"/>
    <w:rsid w:val="11E55795"/>
    <w:rsid w:val="11F17BD9"/>
    <w:rsid w:val="12565FBB"/>
    <w:rsid w:val="12E8CEAB"/>
    <w:rsid w:val="1317C253"/>
    <w:rsid w:val="13217EC8"/>
    <w:rsid w:val="132501A5"/>
    <w:rsid w:val="1369A5AF"/>
    <w:rsid w:val="13A6843B"/>
    <w:rsid w:val="13BEA505"/>
    <w:rsid w:val="1414656C"/>
    <w:rsid w:val="148D2A98"/>
    <w:rsid w:val="149195CF"/>
    <w:rsid w:val="14B2C05A"/>
    <w:rsid w:val="14D06EB3"/>
    <w:rsid w:val="14DB2896"/>
    <w:rsid w:val="14DC963B"/>
    <w:rsid w:val="14EDF81D"/>
    <w:rsid w:val="154E066E"/>
    <w:rsid w:val="15CEF5D5"/>
    <w:rsid w:val="15E88471"/>
    <w:rsid w:val="163A3ED0"/>
    <w:rsid w:val="167DF26E"/>
    <w:rsid w:val="16E069AA"/>
    <w:rsid w:val="171275F7"/>
    <w:rsid w:val="1727DAB9"/>
    <w:rsid w:val="1744EC3D"/>
    <w:rsid w:val="174520CD"/>
    <w:rsid w:val="174E1091"/>
    <w:rsid w:val="177A3313"/>
    <w:rsid w:val="1792F55B"/>
    <w:rsid w:val="18359CAB"/>
    <w:rsid w:val="18471E34"/>
    <w:rsid w:val="18581BA2"/>
    <w:rsid w:val="188F1CA0"/>
    <w:rsid w:val="18B41AEA"/>
    <w:rsid w:val="18BB9885"/>
    <w:rsid w:val="18C431F1"/>
    <w:rsid w:val="18D8E7F9"/>
    <w:rsid w:val="18EE9525"/>
    <w:rsid w:val="19147C9B"/>
    <w:rsid w:val="1924B5AF"/>
    <w:rsid w:val="19252AA6"/>
    <w:rsid w:val="19367048"/>
    <w:rsid w:val="1952AB5B"/>
    <w:rsid w:val="197D3E3B"/>
    <w:rsid w:val="197D7137"/>
    <w:rsid w:val="198080D2"/>
    <w:rsid w:val="19D2C202"/>
    <w:rsid w:val="1A1B013E"/>
    <w:rsid w:val="1A311324"/>
    <w:rsid w:val="1A92E989"/>
    <w:rsid w:val="1A959E1C"/>
    <w:rsid w:val="1AA25CAC"/>
    <w:rsid w:val="1AB7C58A"/>
    <w:rsid w:val="1B505F62"/>
    <w:rsid w:val="1B73D9BF"/>
    <w:rsid w:val="1B88029C"/>
    <w:rsid w:val="1B9EA4AB"/>
    <w:rsid w:val="1BB15A17"/>
    <w:rsid w:val="1BBB3126"/>
    <w:rsid w:val="1BD1E296"/>
    <w:rsid w:val="1BE709E3"/>
    <w:rsid w:val="1CA37BED"/>
    <w:rsid w:val="1CA68C09"/>
    <w:rsid w:val="1CCF9983"/>
    <w:rsid w:val="1CFA8257"/>
    <w:rsid w:val="1D0BED2F"/>
    <w:rsid w:val="1D2090B6"/>
    <w:rsid w:val="1D2E6D04"/>
    <w:rsid w:val="1D9EC743"/>
    <w:rsid w:val="1DA37FCA"/>
    <w:rsid w:val="1DC3AE8D"/>
    <w:rsid w:val="1DD005DB"/>
    <w:rsid w:val="1E0B0EE9"/>
    <w:rsid w:val="1E2262C9"/>
    <w:rsid w:val="1E36CC10"/>
    <w:rsid w:val="1E880024"/>
    <w:rsid w:val="1E94B358"/>
    <w:rsid w:val="1EC3A2CF"/>
    <w:rsid w:val="1EF1272A"/>
    <w:rsid w:val="1F3E2E8D"/>
    <w:rsid w:val="1F461F59"/>
    <w:rsid w:val="1F4A4E8F"/>
    <w:rsid w:val="1F52320A"/>
    <w:rsid w:val="1FB3486B"/>
    <w:rsid w:val="20474FA4"/>
    <w:rsid w:val="204A843E"/>
    <w:rsid w:val="204D8328"/>
    <w:rsid w:val="20B2B596"/>
    <w:rsid w:val="21022B0D"/>
    <w:rsid w:val="21500AA6"/>
    <w:rsid w:val="216841EF"/>
    <w:rsid w:val="21888C1B"/>
    <w:rsid w:val="218D0C41"/>
    <w:rsid w:val="21B5CEEE"/>
    <w:rsid w:val="21FC97AC"/>
    <w:rsid w:val="222F7278"/>
    <w:rsid w:val="225033E3"/>
    <w:rsid w:val="22B5FF80"/>
    <w:rsid w:val="22EDAC7A"/>
    <w:rsid w:val="230B2DF0"/>
    <w:rsid w:val="231053ED"/>
    <w:rsid w:val="235ED72A"/>
    <w:rsid w:val="23FECCC9"/>
    <w:rsid w:val="2404FD5D"/>
    <w:rsid w:val="243474FA"/>
    <w:rsid w:val="246FB8A2"/>
    <w:rsid w:val="2470499E"/>
    <w:rsid w:val="24E1F31E"/>
    <w:rsid w:val="250C05E5"/>
    <w:rsid w:val="25ED3169"/>
    <w:rsid w:val="25F26D1F"/>
    <w:rsid w:val="26149D36"/>
    <w:rsid w:val="26550284"/>
    <w:rsid w:val="2687ECF2"/>
    <w:rsid w:val="269D68CB"/>
    <w:rsid w:val="26D85751"/>
    <w:rsid w:val="271DD951"/>
    <w:rsid w:val="2770FC57"/>
    <w:rsid w:val="2772B789"/>
    <w:rsid w:val="278E352D"/>
    <w:rsid w:val="27A26622"/>
    <w:rsid w:val="27BE0B74"/>
    <w:rsid w:val="288CBA1D"/>
    <w:rsid w:val="28EB6CCA"/>
    <w:rsid w:val="296665D1"/>
    <w:rsid w:val="297DD123"/>
    <w:rsid w:val="298089B4"/>
    <w:rsid w:val="29A9F388"/>
    <w:rsid w:val="29CD4D19"/>
    <w:rsid w:val="29D98BD1"/>
    <w:rsid w:val="2A111518"/>
    <w:rsid w:val="2A23EC5F"/>
    <w:rsid w:val="2A8760F3"/>
    <w:rsid w:val="2A9C0D5C"/>
    <w:rsid w:val="2ABCDB65"/>
    <w:rsid w:val="2AFE513E"/>
    <w:rsid w:val="2B20D311"/>
    <w:rsid w:val="2B401074"/>
    <w:rsid w:val="2B488982"/>
    <w:rsid w:val="2B48B37B"/>
    <w:rsid w:val="2B7D5841"/>
    <w:rsid w:val="2B967A7F"/>
    <w:rsid w:val="2C3CD07D"/>
    <w:rsid w:val="2C898172"/>
    <w:rsid w:val="2CB8D0A6"/>
    <w:rsid w:val="2CF4686E"/>
    <w:rsid w:val="2CF9136A"/>
    <w:rsid w:val="2D660C1C"/>
    <w:rsid w:val="2D8851B3"/>
    <w:rsid w:val="2D99308C"/>
    <w:rsid w:val="2DA5340F"/>
    <w:rsid w:val="2E931968"/>
    <w:rsid w:val="2EBE147E"/>
    <w:rsid w:val="2F8D3F8D"/>
    <w:rsid w:val="2F92173C"/>
    <w:rsid w:val="304643C1"/>
    <w:rsid w:val="307FE91C"/>
    <w:rsid w:val="30A11E9F"/>
    <w:rsid w:val="30C15ECE"/>
    <w:rsid w:val="30E174DD"/>
    <w:rsid w:val="313EA0E3"/>
    <w:rsid w:val="315C828A"/>
    <w:rsid w:val="3160EE9F"/>
    <w:rsid w:val="31ACFC88"/>
    <w:rsid w:val="31B3FFEF"/>
    <w:rsid w:val="31C21232"/>
    <w:rsid w:val="31C7FDDB"/>
    <w:rsid w:val="3272CABC"/>
    <w:rsid w:val="32781E43"/>
    <w:rsid w:val="32A6239C"/>
    <w:rsid w:val="332D515F"/>
    <w:rsid w:val="33426DCC"/>
    <w:rsid w:val="3353D66A"/>
    <w:rsid w:val="33757639"/>
    <w:rsid w:val="33C19DB4"/>
    <w:rsid w:val="3438651A"/>
    <w:rsid w:val="3458B47C"/>
    <w:rsid w:val="347E3378"/>
    <w:rsid w:val="3481C598"/>
    <w:rsid w:val="3485E7DE"/>
    <w:rsid w:val="34C32FB7"/>
    <w:rsid w:val="34C7C42E"/>
    <w:rsid w:val="34CC45F4"/>
    <w:rsid w:val="3504E63B"/>
    <w:rsid w:val="353090A1"/>
    <w:rsid w:val="35BF383C"/>
    <w:rsid w:val="35F31CA3"/>
    <w:rsid w:val="3622CCAB"/>
    <w:rsid w:val="362741D2"/>
    <w:rsid w:val="366D346D"/>
    <w:rsid w:val="3682DAD7"/>
    <w:rsid w:val="36964991"/>
    <w:rsid w:val="36D03FC3"/>
    <w:rsid w:val="36DB6272"/>
    <w:rsid w:val="36FE6D39"/>
    <w:rsid w:val="37281D4D"/>
    <w:rsid w:val="375471E5"/>
    <w:rsid w:val="3758E7BB"/>
    <w:rsid w:val="3785C8A7"/>
    <w:rsid w:val="37BCE956"/>
    <w:rsid w:val="385E97F7"/>
    <w:rsid w:val="388DA701"/>
    <w:rsid w:val="390194AB"/>
    <w:rsid w:val="390A4465"/>
    <w:rsid w:val="391E160C"/>
    <w:rsid w:val="39304429"/>
    <w:rsid w:val="393DB527"/>
    <w:rsid w:val="395D0E49"/>
    <w:rsid w:val="399886F3"/>
    <w:rsid w:val="39BB1963"/>
    <w:rsid w:val="39BC012E"/>
    <w:rsid w:val="39C249C1"/>
    <w:rsid w:val="39F31ADD"/>
    <w:rsid w:val="3A385996"/>
    <w:rsid w:val="3A4E092B"/>
    <w:rsid w:val="3A78D30D"/>
    <w:rsid w:val="3ACB44EB"/>
    <w:rsid w:val="3AF48A18"/>
    <w:rsid w:val="3B294746"/>
    <w:rsid w:val="3B38CD0B"/>
    <w:rsid w:val="3B40A590"/>
    <w:rsid w:val="3BC4501D"/>
    <w:rsid w:val="3C31CB42"/>
    <w:rsid w:val="3C5939CA"/>
    <w:rsid w:val="3C648D33"/>
    <w:rsid w:val="3C78ADD3"/>
    <w:rsid w:val="3CB72645"/>
    <w:rsid w:val="3CBEFB87"/>
    <w:rsid w:val="3CDB39FA"/>
    <w:rsid w:val="3CE939BA"/>
    <w:rsid w:val="3CEA8CA7"/>
    <w:rsid w:val="3D04CC4B"/>
    <w:rsid w:val="3D0B40B1"/>
    <w:rsid w:val="3D1BCFCC"/>
    <w:rsid w:val="3DA2A07F"/>
    <w:rsid w:val="3E1FA909"/>
    <w:rsid w:val="3E42FE30"/>
    <w:rsid w:val="3E5A1454"/>
    <w:rsid w:val="3EAF3065"/>
    <w:rsid w:val="3EF46CB2"/>
    <w:rsid w:val="3EF6D746"/>
    <w:rsid w:val="3F9C2DF5"/>
    <w:rsid w:val="3FC562AC"/>
    <w:rsid w:val="40015EFC"/>
    <w:rsid w:val="40058090"/>
    <w:rsid w:val="402FCF39"/>
    <w:rsid w:val="4047F387"/>
    <w:rsid w:val="40787B5D"/>
    <w:rsid w:val="408EFFAC"/>
    <w:rsid w:val="40CD6419"/>
    <w:rsid w:val="40CD9573"/>
    <w:rsid w:val="414AA33F"/>
    <w:rsid w:val="41684A44"/>
    <w:rsid w:val="41BD7593"/>
    <w:rsid w:val="41E724DC"/>
    <w:rsid w:val="4290DC0C"/>
    <w:rsid w:val="42EE54AB"/>
    <w:rsid w:val="42FCA8D1"/>
    <w:rsid w:val="431C72CA"/>
    <w:rsid w:val="4364AABA"/>
    <w:rsid w:val="4364CCD9"/>
    <w:rsid w:val="43B3DD7F"/>
    <w:rsid w:val="43D212B2"/>
    <w:rsid w:val="43F22C87"/>
    <w:rsid w:val="442CAC6D"/>
    <w:rsid w:val="4439AE10"/>
    <w:rsid w:val="44473422"/>
    <w:rsid w:val="44489719"/>
    <w:rsid w:val="449D8E53"/>
    <w:rsid w:val="44B78AD7"/>
    <w:rsid w:val="44CE5F79"/>
    <w:rsid w:val="44D21E1F"/>
    <w:rsid w:val="44EAC850"/>
    <w:rsid w:val="45135FB9"/>
    <w:rsid w:val="45147B33"/>
    <w:rsid w:val="4515B448"/>
    <w:rsid w:val="45304F90"/>
    <w:rsid w:val="4545A69A"/>
    <w:rsid w:val="45B54603"/>
    <w:rsid w:val="45F7152D"/>
    <w:rsid w:val="46154569"/>
    <w:rsid w:val="46A0D46B"/>
    <w:rsid w:val="46B04B94"/>
    <w:rsid w:val="46FECCB6"/>
    <w:rsid w:val="47084586"/>
    <w:rsid w:val="479CE444"/>
    <w:rsid w:val="47A936CC"/>
    <w:rsid w:val="47F7558D"/>
    <w:rsid w:val="47FB9922"/>
    <w:rsid w:val="480B44DB"/>
    <w:rsid w:val="481BA355"/>
    <w:rsid w:val="482506BA"/>
    <w:rsid w:val="484D550A"/>
    <w:rsid w:val="485BF7B6"/>
    <w:rsid w:val="48C81FB2"/>
    <w:rsid w:val="493423F6"/>
    <w:rsid w:val="4935388A"/>
    <w:rsid w:val="497A128E"/>
    <w:rsid w:val="49A42457"/>
    <w:rsid w:val="49AC964C"/>
    <w:rsid w:val="4A37ED9C"/>
    <w:rsid w:val="4A5C493F"/>
    <w:rsid w:val="4A7870AD"/>
    <w:rsid w:val="4AC68DE8"/>
    <w:rsid w:val="4B1D9DFB"/>
    <w:rsid w:val="4B57D5C5"/>
    <w:rsid w:val="4B8B51EF"/>
    <w:rsid w:val="4BC62780"/>
    <w:rsid w:val="4BE6784B"/>
    <w:rsid w:val="4C085858"/>
    <w:rsid w:val="4C2E1637"/>
    <w:rsid w:val="4C62525B"/>
    <w:rsid w:val="4C9DB41A"/>
    <w:rsid w:val="4CABFF72"/>
    <w:rsid w:val="4CC29CBC"/>
    <w:rsid w:val="4CC8353B"/>
    <w:rsid w:val="4CC8A3C6"/>
    <w:rsid w:val="4CD37170"/>
    <w:rsid w:val="4D75247D"/>
    <w:rsid w:val="4DC39842"/>
    <w:rsid w:val="4DDA0E72"/>
    <w:rsid w:val="4DF63478"/>
    <w:rsid w:val="4E3A93EF"/>
    <w:rsid w:val="4E3F4391"/>
    <w:rsid w:val="4EA2351C"/>
    <w:rsid w:val="4EB48F69"/>
    <w:rsid w:val="4EBDA8D0"/>
    <w:rsid w:val="4F2064F3"/>
    <w:rsid w:val="4F300263"/>
    <w:rsid w:val="4F523010"/>
    <w:rsid w:val="4FD08F0F"/>
    <w:rsid w:val="4FF97D05"/>
    <w:rsid w:val="4FFA6273"/>
    <w:rsid w:val="5025D9C7"/>
    <w:rsid w:val="5030189F"/>
    <w:rsid w:val="5034C359"/>
    <w:rsid w:val="504D90D3"/>
    <w:rsid w:val="50F6A0BE"/>
    <w:rsid w:val="512B9647"/>
    <w:rsid w:val="51407E29"/>
    <w:rsid w:val="5168CC0C"/>
    <w:rsid w:val="518E808B"/>
    <w:rsid w:val="51C791EE"/>
    <w:rsid w:val="521D694D"/>
    <w:rsid w:val="522CE076"/>
    <w:rsid w:val="52378DC9"/>
    <w:rsid w:val="5243B518"/>
    <w:rsid w:val="5257E096"/>
    <w:rsid w:val="52812947"/>
    <w:rsid w:val="5290B055"/>
    <w:rsid w:val="52C309DB"/>
    <w:rsid w:val="52F28D06"/>
    <w:rsid w:val="52F9BD64"/>
    <w:rsid w:val="52FB9603"/>
    <w:rsid w:val="53677D0A"/>
    <w:rsid w:val="538F6B02"/>
    <w:rsid w:val="53BEBD73"/>
    <w:rsid w:val="53D2620B"/>
    <w:rsid w:val="53DB97A7"/>
    <w:rsid w:val="53F09607"/>
    <w:rsid w:val="53F4F362"/>
    <w:rsid w:val="53F57AB1"/>
    <w:rsid w:val="53FD01AD"/>
    <w:rsid w:val="546E9177"/>
    <w:rsid w:val="54B36E7A"/>
    <w:rsid w:val="54F6C1C6"/>
    <w:rsid w:val="5502C935"/>
    <w:rsid w:val="553DF27A"/>
    <w:rsid w:val="5556062E"/>
    <w:rsid w:val="55572151"/>
    <w:rsid w:val="55D84636"/>
    <w:rsid w:val="56041BD1"/>
    <w:rsid w:val="560ADDF0"/>
    <w:rsid w:val="562D3E74"/>
    <w:rsid w:val="565F1473"/>
    <w:rsid w:val="56B23CEC"/>
    <w:rsid w:val="56CB0AC3"/>
    <w:rsid w:val="56E9529B"/>
    <w:rsid w:val="571F771C"/>
    <w:rsid w:val="576DF706"/>
    <w:rsid w:val="57AB545F"/>
    <w:rsid w:val="57B53140"/>
    <w:rsid w:val="57C618B5"/>
    <w:rsid w:val="57DF8F55"/>
    <w:rsid w:val="5806F04C"/>
    <w:rsid w:val="5815E7B7"/>
    <w:rsid w:val="5870BFC4"/>
    <w:rsid w:val="587C26C6"/>
    <w:rsid w:val="5903DDBF"/>
    <w:rsid w:val="593910E6"/>
    <w:rsid w:val="593EBD07"/>
    <w:rsid w:val="595E32F8"/>
    <w:rsid w:val="597B7FCF"/>
    <w:rsid w:val="59D9257E"/>
    <w:rsid w:val="5A0ACD9B"/>
    <w:rsid w:val="5B9CF69B"/>
    <w:rsid w:val="5BA69DFC"/>
    <w:rsid w:val="5BB656EE"/>
    <w:rsid w:val="5C410006"/>
    <w:rsid w:val="5C5FD478"/>
    <w:rsid w:val="5C7EC582"/>
    <w:rsid w:val="5C810243"/>
    <w:rsid w:val="5C99FC5D"/>
    <w:rsid w:val="5D41785D"/>
    <w:rsid w:val="5D93FBEE"/>
    <w:rsid w:val="5D9470D0"/>
    <w:rsid w:val="5D9BA569"/>
    <w:rsid w:val="5DA56E3E"/>
    <w:rsid w:val="5DBAF534"/>
    <w:rsid w:val="5E60F6A8"/>
    <w:rsid w:val="5ECCBF02"/>
    <w:rsid w:val="5ED83ECB"/>
    <w:rsid w:val="5EDE3EBE"/>
    <w:rsid w:val="5F04E96B"/>
    <w:rsid w:val="5F22A586"/>
    <w:rsid w:val="5F4BE5B0"/>
    <w:rsid w:val="5F817757"/>
    <w:rsid w:val="5F81FA77"/>
    <w:rsid w:val="5FAC8959"/>
    <w:rsid w:val="5FEA53BF"/>
    <w:rsid w:val="5FEFFCC9"/>
    <w:rsid w:val="60337747"/>
    <w:rsid w:val="6034E55F"/>
    <w:rsid w:val="60AE87F2"/>
    <w:rsid w:val="60E6D69C"/>
    <w:rsid w:val="61390E48"/>
    <w:rsid w:val="617EF899"/>
    <w:rsid w:val="6188BFDC"/>
    <w:rsid w:val="62001122"/>
    <w:rsid w:val="624FB046"/>
    <w:rsid w:val="6250699C"/>
    <w:rsid w:val="629DA0E1"/>
    <w:rsid w:val="62AC4E1D"/>
    <w:rsid w:val="62B26888"/>
    <w:rsid w:val="62E3AB61"/>
    <w:rsid w:val="63357D53"/>
    <w:rsid w:val="63CA1FA7"/>
    <w:rsid w:val="63E46CA3"/>
    <w:rsid w:val="6432C572"/>
    <w:rsid w:val="647FA019"/>
    <w:rsid w:val="6480C611"/>
    <w:rsid w:val="648CB638"/>
    <w:rsid w:val="64A795FB"/>
    <w:rsid w:val="64B0F24E"/>
    <w:rsid w:val="64B953F2"/>
    <w:rsid w:val="64F77547"/>
    <w:rsid w:val="64FF9D50"/>
    <w:rsid w:val="652FF570"/>
    <w:rsid w:val="6582E4E6"/>
    <w:rsid w:val="65AD9360"/>
    <w:rsid w:val="66023500"/>
    <w:rsid w:val="661C9672"/>
    <w:rsid w:val="66226FB1"/>
    <w:rsid w:val="66415E31"/>
    <w:rsid w:val="665EF0CC"/>
    <w:rsid w:val="66627033"/>
    <w:rsid w:val="666C933B"/>
    <w:rsid w:val="666E01E0"/>
    <w:rsid w:val="6699899D"/>
    <w:rsid w:val="669CAABB"/>
    <w:rsid w:val="66C09FB9"/>
    <w:rsid w:val="6758B641"/>
    <w:rsid w:val="67BC7151"/>
    <w:rsid w:val="67EFEB09"/>
    <w:rsid w:val="67F5CAEF"/>
    <w:rsid w:val="6827C9DD"/>
    <w:rsid w:val="68679632"/>
    <w:rsid w:val="686E230A"/>
    <w:rsid w:val="68871AEA"/>
    <w:rsid w:val="689F54E9"/>
    <w:rsid w:val="68E68988"/>
    <w:rsid w:val="69166431"/>
    <w:rsid w:val="69298DBB"/>
    <w:rsid w:val="6966B066"/>
    <w:rsid w:val="69754089"/>
    <w:rsid w:val="697E5294"/>
    <w:rsid w:val="698AE7EB"/>
    <w:rsid w:val="69B8D74B"/>
    <w:rsid w:val="69C6B8A8"/>
    <w:rsid w:val="6A0AE2F9"/>
    <w:rsid w:val="6A98B7E4"/>
    <w:rsid w:val="6AA5358D"/>
    <w:rsid w:val="6B07CAC6"/>
    <w:rsid w:val="6B1110EA"/>
    <w:rsid w:val="6B1679C5"/>
    <w:rsid w:val="6B1D197B"/>
    <w:rsid w:val="6B1F93C9"/>
    <w:rsid w:val="6B2557D1"/>
    <w:rsid w:val="6B8D9F47"/>
    <w:rsid w:val="6B9D8B23"/>
    <w:rsid w:val="6BA39969"/>
    <w:rsid w:val="6BF16DF7"/>
    <w:rsid w:val="6C2D295E"/>
    <w:rsid w:val="6C96930E"/>
    <w:rsid w:val="6CDDD592"/>
    <w:rsid w:val="6D3F69CA"/>
    <w:rsid w:val="6D463AF8"/>
    <w:rsid w:val="6D964E9F"/>
    <w:rsid w:val="6D9C5A26"/>
    <w:rsid w:val="6DABB51F"/>
    <w:rsid w:val="6E1A5CB0"/>
    <w:rsid w:val="6E21D5C9"/>
    <w:rsid w:val="6E7ACAF4"/>
    <w:rsid w:val="6E909E73"/>
    <w:rsid w:val="6EAF54FB"/>
    <w:rsid w:val="6EE8DE22"/>
    <w:rsid w:val="6EE9D361"/>
    <w:rsid w:val="6F19FDA5"/>
    <w:rsid w:val="6F504F04"/>
    <w:rsid w:val="6F71031A"/>
    <w:rsid w:val="6F9B3B8D"/>
    <w:rsid w:val="6FACD202"/>
    <w:rsid w:val="6FAD1196"/>
    <w:rsid w:val="6FD387EC"/>
    <w:rsid w:val="7061FB40"/>
    <w:rsid w:val="707DEFED"/>
    <w:rsid w:val="708EED5B"/>
    <w:rsid w:val="71090D2E"/>
    <w:rsid w:val="711FE1D0"/>
    <w:rsid w:val="7183F5DC"/>
    <w:rsid w:val="71C4D991"/>
    <w:rsid w:val="723DB47A"/>
    <w:rsid w:val="7241BB0A"/>
    <w:rsid w:val="72445EA7"/>
    <w:rsid w:val="728BD36C"/>
    <w:rsid w:val="72966285"/>
    <w:rsid w:val="72E83494"/>
    <w:rsid w:val="72FA20FF"/>
    <w:rsid w:val="72FD99AD"/>
    <w:rsid w:val="731D2D00"/>
    <w:rsid w:val="7365C1B7"/>
    <w:rsid w:val="7374B412"/>
    <w:rsid w:val="737ABEF9"/>
    <w:rsid w:val="73B3D547"/>
    <w:rsid w:val="73D1A2F9"/>
    <w:rsid w:val="7489DE94"/>
    <w:rsid w:val="74F96DAD"/>
    <w:rsid w:val="750FA374"/>
    <w:rsid w:val="756A6C22"/>
    <w:rsid w:val="75ABB623"/>
    <w:rsid w:val="76A23B9D"/>
    <w:rsid w:val="76CC4912"/>
    <w:rsid w:val="76FDBC8C"/>
    <w:rsid w:val="7704DA29"/>
    <w:rsid w:val="77152C2D"/>
    <w:rsid w:val="7755EC5B"/>
    <w:rsid w:val="777264FD"/>
    <w:rsid w:val="77917294"/>
    <w:rsid w:val="77BFCF86"/>
    <w:rsid w:val="77FFF390"/>
    <w:rsid w:val="782B5A91"/>
    <w:rsid w:val="7934636E"/>
    <w:rsid w:val="79380BB2"/>
    <w:rsid w:val="7976265A"/>
    <w:rsid w:val="7989AF0D"/>
    <w:rsid w:val="79EF256A"/>
    <w:rsid w:val="7A5B2582"/>
    <w:rsid w:val="7A938B13"/>
    <w:rsid w:val="7AEFE344"/>
    <w:rsid w:val="7B28DEE9"/>
    <w:rsid w:val="7B516F5E"/>
    <w:rsid w:val="7B778FE5"/>
    <w:rsid w:val="7BA82456"/>
    <w:rsid w:val="7BE0546F"/>
    <w:rsid w:val="7C198FA7"/>
    <w:rsid w:val="7C73034E"/>
    <w:rsid w:val="7C9715F3"/>
    <w:rsid w:val="7D97DB2F"/>
    <w:rsid w:val="7DA22C0B"/>
    <w:rsid w:val="7DA7C2D8"/>
    <w:rsid w:val="7DBDAC28"/>
    <w:rsid w:val="7DC107F2"/>
    <w:rsid w:val="7DE81127"/>
    <w:rsid w:val="7DF4EB80"/>
    <w:rsid w:val="7E305CED"/>
    <w:rsid w:val="7E5EBCED"/>
    <w:rsid w:val="7E684C62"/>
    <w:rsid w:val="7EDECDAC"/>
    <w:rsid w:val="7F29A18E"/>
    <w:rsid w:val="7F3E11F1"/>
    <w:rsid w:val="7FC74DC7"/>
    <w:rsid w:val="7FD7DDA7"/>
    <w:rsid w:val="7F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9FB3F"/>
  <w15:chartTrackingRefBased/>
  <w15:docId w15:val="{7F7C2BDD-397E-468E-B58D-03D7C9F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E3C"/>
    <w:pPr>
      <w:spacing w:after="120" w:line="240" w:lineRule="auto"/>
    </w:pPr>
    <w:rPr>
      <w:color w:val="404040" w:themeColor="text1" w:themeTint="BF"/>
    </w:rPr>
  </w:style>
  <w:style w:type="paragraph" w:styleId="Heading1">
    <w:name w:val="heading 1"/>
    <w:basedOn w:val="BodyText"/>
    <w:next w:val="BodyText"/>
    <w:link w:val="Heading1Char"/>
    <w:qFormat/>
    <w:rsid w:val="002B18AB"/>
    <w:pPr>
      <w:keepNext/>
      <w:numPr>
        <w:numId w:val="10"/>
      </w:numPr>
      <w:spacing w:before="240"/>
      <w:outlineLvl w:val="0"/>
    </w:pPr>
    <w:rPr>
      <w:rFonts w:ascii="Tahoma" w:hAnsi="Tahoma"/>
      <w:bCs w:val="0"/>
      <w:color w:val="1F3864" w:themeColor="accent1" w:themeShade="80"/>
      <w:sz w:val="32"/>
    </w:rPr>
  </w:style>
  <w:style w:type="paragraph" w:styleId="Heading2">
    <w:name w:val="heading 2"/>
    <w:basedOn w:val="BodyText"/>
    <w:next w:val="BodyText"/>
    <w:link w:val="Heading2Char"/>
    <w:qFormat/>
    <w:rsid w:val="002B18AB"/>
    <w:pPr>
      <w:keepNext/>
      <w:numPr>
        <w:ilvl w:val="1"/>
        <w:numId w:val="10"/>
      </w:numPr>
      <w:spacing w:before="240"/>
      <w:ind w:left="113"/>
      <w:outlineLvl w:val="1"/>
    </w:pPr>
    <w:rPr>
      <w:rFonts w:ascii="Tahoma" w:hAnsi="Tahoma"/>
      <w:bCs w:val="0"/>
      <w:iCs/>
      <w:color w:val="1F3864" w:themeColor="accent1" w:themeShade="80"/>
      <w:sz w:val="28"/>
    </w:rPr>
  </w:style>
  <w:style w:type="paragraph" w:styleId="Heading3">
    <w:name w:val="heading 3"/>
    <w:basedOn w:val="BodyText"/>
    <w:next w:val="BodyText"/>
    <w:link w:val="Heading3Char"/>
    <w:qFormat/>
    <w:rsid w:val="002B18AB"/>
    <w:pPr>
      <w:keepNext/>
      <w:numPr>
        <w:ilvl w:val="2"/>
        <w:numId w:val="10"/>
      </w:numPr>
      <w:spacing w:before="200"/>
      <w:ind w:left="227"/>
      <w:outlineLvl w:val="2"/>
    </w:pPr>
    <w:rPr>
      <w:rFonts w:ascii="Tahoma" w:hAnsi="Tahoma"/>
      <w:bCs w:val="0"/>
      <w:color w:val="038387"/>
      <w:sz w:val="24"/>
    </w:rPr>
  </w:style>
  <w:style w:type="paragraph" w:styleId="Heading4">
    <w:name w:val="heading 4"/>
    <w:basedOn w:val="BodyText"/>
    <w:next w:val="BodyText"/>
    <w:link w:val="Heading4Char"/>
    <w:qFormat/>
    <w:rsid w:val="002B18AB"/>
    <w:pPr>
      <w:keepNext/>
      <w:numPr>
        <w:ilvl w:val="3"/>
        <w:numId w:val="10"/>
      </w:numPr>
      <w:spacing w:before="120"/>
      <w:ind w:left="340"/>
      <w:outlineLvl w:val="3"/>
    </w:pPr>
    <w:rPr>
      <w:rFonts w:ascii="Tahoma" w:hAnsi="Tahoma"/>
      <w:color w:val="1F3864" w:themeColor="accent1" w:themeShade="80"/>
    </w:rPr>
  </w:style>
  <w:style w:type="paragraph" w:styleId="Heading5">
    <w:name w:val="heading 5"/>
    <w:basedOn w:val="BodyText"/>
    <w:next w:val="BodyText"/>
    <w:link w:val="Heading5Char"/>
    <w:qFormat/>
    <w:rsid w:val="002B18AB"/>
    <w:pPr>
      <w:keepNext/>
      <w:numPr>
        <w:ilvl w:val="4"/>
        <w:numId w:val="10"/>
      </w:numPr>
      <w:spacing w:before="120"/>
      <w:ind w:left="3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367"/>
  </w:style>
  <w:style w:type="paragraph" w:styleId="Footer">
    <w:name w:val="footer"/>
    <w:basedOn w:val="Normal"/>
    <w:link w:val="Foot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367"/>
  </w:style>
  <w:style w:type="paragraph" w:styleId="BalloonText">
    <w:name w:val="Balloon Text"/>
    <w:basedOn w:val="Normal"/>
    <w:link w:val="BalloonTextChar"/>
    <w:uiPriority w:val="99"/>
    <w:semiHidden/>
    <w:unhideWhenUsed/>
    <w:rsid w:val="006F3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2"/>
    <w:unhideWhenUsed/>
    <w:rsid w:val="006F3367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val="en-US" w:eastAsia="ja-JP"/>
    </w:rPr>
  </w:style>
  <w:style w:type="table" w:styleId="PlainTable4">
    <w:name w:val="Plain Table 4"/>
    <w:basedOn w:val="TableNormal"/>
    <w:uiPriority w:val="44"/>
    <w:rsid w:val="006F3367"/>
    <w:pPr>
      <w:spacing w:after="0" w:line="240" w:lineRule="auto"/>
    </w:pPr>
    <w:rPr>
      <w:color w:val="44546A" w:themeColor="text2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odernPaper">
    <w:name w:val="Modern Paper"/>
    <w:basedOn w:val="TableNormal"/>
    <w:uiPriority w:val="99"/>
    <w:rsid w:val="00773E40"/>
    <w:pPr>
      <w:spacing w:before="200" w:after="200" w:line="240" w:lineRule="auto"/>
    </w:pPr>
    <w:rPr>
      <w:color w:val="44546A"/>
      <w:lang w:val="en-US" w:eastAsia="ja-JP"/>
    </w:r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Yu Gothic UI Light" w:hAnsi="Yu Gothic UI Light"/>
        <w:b/>
        <w:i w:val="0"/>
        <w:color w:val="01182F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paragraph" w:styleId="ListParagraph">
    <w:name w:val="List Paragraph"/>
    <w:aliases w:val="Rec para,List Paragraph1,List Paragraph11"/>
    <w:basedOn w:val="Normal"/>
    <w:uiPriority w:val="34"/>
    <w:rsid w:val="006F07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2B18AB"/>
    <w:pPr>
      <w:spacing w:line="288" w:lineRule="auto"/>
    </w:pPr>
    <w:rPr>
      <w:rFonts w:ascii="Calibri" w:eastAsia="Times New Roman" w:hAnsi="Calibri" w:cs="Arial"/>
      <w:b/>
      <w:bCs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B18AB"/>
    <w:rPr>
      <w:rFonts w:ascii="Calibri" w:eastAsia="Times New Roman" w:hAnsi="Calibri" w:cs="Arial"/>
      <w:b/>
      <w:bCs/>
      <w:color w:val="404040" w:themeColor="text1" w:themeTint="BF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F07F1"/>
    <w:pPr>
      <w:spacing w:after="0" w:line="200" w:lineRule="exact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7F1"/>
    <w:rPr>
      <w:rFonts w:ascii="Arial" w:eastAsia="Times New Roman" w:hAnsi="Arial" w:cs="Arial"/>
      <w:sz w:val="17"/>
      <w:szCs w:val="17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7F1"/>
    <w:rPr>
      <w:rFonts w:ascii="Arial" w:hAnsi="Arial"/>
      <w:vertAlign w:val="superscript"/>
    </w:rPr>
  </w:style>
  <w:style w:type="character" w:styleId="Hyperlink">
    <w:name w:val="Hyperlink"/>
    <w:qFormat/>
    <w:rsid w:val="00B54830"/>
    <w:rPr>
      <w:color w:val="038387"/>
      <w:u w:val="single"/>
    </w:rPr>
  </w:style>
  <w:style w:type="paragraph" w:styleId="NormalWeb">
    <w:name w:val="Normal (Web)"/>
    <w:basedOn w:val="Normal"/>
    <w:uiPriority w:val="99"/>
    <w:unhideWhenUsed/>
    <w:rsid w:val="006F0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2B18AB"/>
    <w:rPr>
      <w:rFonts w:ascii="Tahoma" w:eastAsia="Times New Roman" w:hAnsi="Tahoma" w:cs="Arial"/>
      <w:b/>
      <w:color w:val="1F3864" w:themeColor="accent1" w:themeShade="80"/>
      <w:sz w:val="32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B18AB"/>
    <w:rPr>
      <w:rFonts w:ascii="Tahoma" w:eastAsia="Times New Roman" w:hAnsi="Tahoma" w:cs="Arial"/>
      <w:b/>
      <w:iCs/>
      <w:color w:val="1F3864" w:themeColor="accent1" w:themeShade="80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B18AB"/>
    <w:rPr>
      <w:rFonts w:ascii="Tahoma" w:eastAsia="Times New Roman" w:hAnsi="Tahoma" w:cs="Arial"/>
      <w:b/>
      <w:color w:val="038387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2B18AB"/>
    <w:rPr>
      <w:rFonts w:ascii="Tahoma" w:eastAsia="Times New Roman" w:hAnsi="Tahoma" w:cs="Arial"/>
      <w:b/>
      <w:bCs/>
      <w:color w:val="1F3864" w:themeColor="accent1" w:themeShade="8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B18AB"/>
    <w:rPr>
      <w:rFonts w:ascii="Calibri" w:eastAsia="Times New Roman" w:hAnsi="Calibri" w:cs="Arial"/>
      <w:b/>
      <w:bCs/>
      <w:color w:val="404040" w:themeColor="text1" w:themeTint="BF"/>
      <w:szCs w:val="20"/>
      <w:lang w:val="en-US" w:eastAsia="en-GB"/>
    </w:rPr>
  </w:style>
  <w:style w:type="numbering" w:customStyle="1" w:styleId="MSIHeadingsList">
    <w:name w:val="MSI Headings List"/>
    <w:basedOn w:val="NoList"/>
    <w:uiPriority w:val="99"/>
    <w:rsid w:val="00B82AD2"/>
    <w:pPr>
      <w:numPr>
        <w:numId w:val="10"/>
      </w:numPr>
    </w:pPr>
  </w:style>
  <w:style w:type="numbering" w:customStyle="1" w:styleId="MSIHeadingsList1">
    <w:name w:val="MSI Headings List1"/>
    <w:basedOn w:val="NoList"/>
    <w:uiPriority w:val="99"/>
    <w:rsid w:val="005B1BE5"/>
  </w:style>
  <w:style w:type="character" w:styleId="PlaceholderText">
    <w:name w:val="Placeholder Text"/>
    <w:basedOn w:val="DefaultParagraphFont"/>
    <w:uiPriority w:val="99"/>
    <w:semiHidden/>
    <w:rsid w:val="00BE74F1"/>
    <w:rPr>
      <w:color w:val="808080"/>
    </w:rPr>
  </w:style>
  <w:style w:type="table" w:customStyle="1" w:styleId="TableGrid1">
    <w:name w:val="Table Grid1"/>
    <w:basedOn w:val="TableNormal"/>
    <w:next w:val="TableGrid"/>
    <w:rsid w:val="0031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15"/>
    <w:rPr>
      <w:b/>
      <w:bCs/>
      <w:sz w:val="20"/>
      <w:szCs w:val="20"/>
    </w:rPr>
  </w:style>
  <w:style w:type="paragraph" w:customStyle="1" w:styleId="STAStyle">
    <w:name w:val="STA Style"/>
    <w:basedOn w:val="Heading1"/>
    <w:link w:val="STAStyleChar"/>
    <w:semiHidden/>
    <w:rsid w:val="00495B8A"/>
    <w:pPr>
      <w:spacing w:before="0"/>
    </w:pPr>
    <w:rPr>
      <w:rFonts w:eastAsiaTheme="minorHAnsi" w:cstheme="minorHAnsi"/>
      <w:sz w:val="26"/>
      <w:szCs w:val="22"/>
      <w:lang w:eastAsia="en-US"/>
    </w:rPr>
  </w:style>
  <w:style w:type="character" w:customStyle="1" w:styleId="STAStyleChar">
    <w:name w:val="STA Style Char"/>
    <w:basedOn w:val="BodyTextChar"/>
    <w:link w:val="STAStyle"/>
    <w:semiHidden/>
    <w:rsid w:val="0082389B"/>
    <w:rPr>
      <w:rFonts w:ascii="Tahoma" w:eastAsia="Times New Roman" w:hAnsi="Tahoma" w:cstheme="minorHAnsi"/>
      <w:b w:val="0"/>
      <w:bCs w:val="0"/>
      <w:color w:val="1F3864" w:themeColor="accent1" w:themeShade="80"/>
      <w:sz w:val="26"/>
      <w:szCs w:val="20"/>
      <w:lang w:val="en-US" w:eastAsia="en-GB"/>
    </w:rPr>
  </w:style>
  <w:style w:type="paragraph" w:styleId="NoSpacing">
    <w:name w:val="No Spacing"/>
    <w:autoRedefine/>
    <w:uiPriority w:val="1"/>
    <w:rsid w:val="007F591F"/>
    <w:pPr>
      <w:spacing w:after="0" w:line="240" w:lineRule="auto"/>
    </w:pPr>
    <w:rPr>
      <w:color w:val="404040" w:themeColor="text1" w:themeTint="BF"/>
    </w:rPr>
  </w:style>
  <w:style w:type="paragraph" w:styleId="Title">
    <w:name w:val="Title"/>
    <w:aliases w:val="Doc Title"/>
    <w:basedOn w:val="Normal"/>
    <w:next w:val="Normal"/>
    <w:link w:val="TitleChar"/>
    <w:autoRedefine/>
    <w:uiPriority w:val="10"/>
    <w:rsid w:val="002B18AB"/>
    <w:pPr>
      <w:spacing w:after="240"/>
      <w:contextualSpacing/>
      <w:jc w:val="center"/>
    </w:pPr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2B18AB"/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7F591F"/>
    <w:pPr>
      <w:numPr>
        <w:ilvl w:val="1"/>
      </w:numPr>
      <w:spacing w:after="160"/>
    </w:pPr>
    <w:rPr>
      <w:rFonts w:ascii="Tahoma" w:eastAsiaTheme="minorEastAsia" w:hAnsi="Tahom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91F"/>
    <w:rPr>
      <w:rFonts w:ascii="Tahoma" w:eastAsiaTheme="minorEastAsia" w:hAnsi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5483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B54830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B5483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48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5483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B5483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B54830"/>
    <w:rPr>
      <w:b/>
      <w:bCs/>
      <w:smallCaps/>
      <w:color w:val="038387"/>
      <w:spacing w:val="5"/>
    </w:rPr>
  </w:style>
  <w:style w:type="paragraph" w:customStyle="1" w:styleId="BodyNewInfo">
    <w:name w:val="Body New Info"/>
    <w:basedOn w:val="BodyText"/>
    <w:link w:val="BodyNewInfoChar"/>
    <w:autoRedefine/>
    <w:rsid w:val="00B54830"/>
    <w:rPr>
      <w:color w:val="C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54830"/>
    <w:rPr>
      <w:color w:val="605E5C"/>
      <w:shd w:val="clear" w:color="auto" w:fill="E1DFDD"/>
    </w:rPr>
  </w:style>
  <w:style w:type="character" w:customStyle="1" w:styleId="BodyNewInfoChar">
    <w:name w:val="Body New Info Char"/>
    <w:basedOn w:val="BodyTextChar"/>
    <w:link w:val="BodyNewInfo"/>
    <w:rsid w:val="005E7E3C"/>
    <w:rPr>
      <w:rFonts w:ascii="Calibri" w:eastAsia="Times New Roman" w:hAnsi="Calibri" w:cs="Arial"/>
      <w:b/>
      <w:bCs/>
      <w:color w:val="C00000"/>
      <w:szCs w:val="20"/>
      <w:lang w:val="en-US" w:eastAsia="en-GB"/>
    </w:rPr>
  </w:style>
  <w:style w:type="paragraph" w:customStyle="1" w:styleId="SubTitle0">
    <w:name w:val="Sub Title"/>
    <w:basedOn w:val="Title"/>
    <w:link w:val="SubTitleChar0"/>
    <w:autoRedefine/>
    <w:uiPriority w:val="1"/>
    <w:rsid w:val="00FC537D"/>
    <w:pPr>
      <w:jc w:val="left"/>
    </w:pPr>
    <w:rPr>
      <w:color w:val="038387"/>
    </w:rPr>
  </w:style>
  <w:style w:type="paragraph" w:customStyle="1" w:styleId="SummaryPoints">
    <w:name w:val="Summary Points"/>
    <w:basedOn w:val="Heading1"/>
    <w:link w:val="SummaryPointsChar"/>
    <w:autoRedefine/>
    <w:rsid w:val="005E7E3C"/>
    <w:pPr>
      <w:numPr>
        <w:numId w:val="0"/>
      </w:numPr>
      <w:spacing w:before="120"/>
      <w:ind w:right="397"/>
    </w:pPr>
    <w:rPr>
      <w:lang w:val="en-NZ"/>
    </w:rPr>
  </w:style>
  <w:style w:type="character" w:customStyle="1" w:styleId="SubTitleChar0">
    <w:name w:val="Sub Title Char"/>
    <w:basedOn w:val="TitleChar"/>
    <w:link w:val="SubTitle0"/>
    <w:uiPriority w:val="1"/>
    <w:rsid w:val="005E7E3C"/>
    <w:rPr>
      <w:rFonts w:ascii="Tahoma" w:eastAsiaTheme="majorEastAsia" w:hAnsi="Tahoma" w:cstheme="majorBidi"/>
      <w:b/>
      <w:color w:val="038387"/>
      <w:spacing w:val="-10"/>
      <w:kern w:val="28"/>
      <w:sz w:val="40"/>
      <w:szCs w:val="56"/>
      <w:lang w:val="en-US" w:eastAsia="ja-JP"/>
    </w:rPr>
  </w:style>
  <w:style w:type="character" w:customStyle="1" w:styleId="SummaryPointsChar">
    <w:name w:val="Summary Points Char"/>
    <w:basedOn w:val="Heading1Char"/>
    <w:link w:val="SummaryPoints"/>
    <w:rsid w:val="005E7E3C"/>
    <w:rPr>
      <w:rFonts w:ascii="Tahoma" w:eastAsia="Times New Roman" w:hAnsi="Tahoma" w:cs="Arial"/>
      <w:b/>
      <w:bCs w:val="0"/>
      <w:color w:val="1F3864" w:themeColor="accent1" w:themeShade="80"/>
      <w:sz w:val="32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6F4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D64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B341F0"/>
    <w:pPr>
      <w:spacing w:after="0" w:line="240" w:lineRule="auto"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diseases-and-conditions/covid-19-novel-coronavirus/covid-19-resources-and-tools/covid-19-science-news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cafeb94d838248d8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ho.int/news/item/26-07-2021-statement-of-the-who-gacvs-covid-19-subcommittee-on-gb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acip/meetings/downloads/slides-2021-07/02-COVID-Alimchandani-508.pdf" TargetMode="External"/><Relationship Id="rId20" Type="http://schemas.openxmlformats.org/officeDocument/2006/relationships/hyperlink" Target="https://www.ema.europa.eu/en/documents/covid-19-vaccine-safety-update/covid-19-vaccine-safety-update-covid-19-vaccine-janssen-14-july-2021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dc.gov/vaccines/acip/meetings/downloads/slides-2021-07/02-COVID-Alimchandani-508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ma.europa.eu/en/documents/covid-19-vaccine-safety-update/covid-19-vaccine-safety-update-vaxzevria-previously-covid-19-vaccine-astrazeneca-14-july-2021_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5703046/" TargetMode="External"/><Relationship Id="rId22" Type="http://schemas.openxmlformats.org/officeDocument/2006/relationships/hyperlink" Target="https://pubmed.ncbi.nlm.nih.gov/23543123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3d4144-5652-41ad-87a9-c50219a037a8" xsi:nil="true"/>
    <Final xmlns="233d4144-5652-41ad-87a9-c50219a037a8">false</Final>
    <TaxCatchAll xmlns="00a4df5b-51f4-4e7a-b755-8a381a6dfbc5"/>
    <Reference_x0020_Number xmlns="233d4144-5652-41ad-87a9-c50219a037a8"/>
    <p85d601a318a45c189d6b9befbd781b7 xmlns="233d4144-5652-41ad-87a9-c50219a037a8">
      <Terms xmlns="http://schemas.microsoft.com/office/infopath/2007/PartnerControls"/>
    </p85d601a318a45c189d6b9befbd781b7>
    <SharedWithUsers xmlns="e0731c95-5453-4cc4-b91b-72230631047b">
      <UserInfo>
        <DisplayName>Chris Hedlund</DisplayName>
        <AccountId>191</AccountId>
        <AccountType/>
      </UserInfo>
      <UserInfo>
        <DisplayName>Phoebe Currie</DisplayName>
        <AccountId>231</AccountId>
        <AccountType/>
      </UserInfo>
      <UserInfo>
        <DisplayName>Dan Bernal</DisplayName>
        <AccountId>347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A983AB2744EB85DF74473F3895B" ma:contentTypeVersion="21" ma:contentTypeDescription="Create a new document." ma:contentTypeScope="" ma:versionID="0694dc04b7a873d00581c9768ae40263">
  <xsd:schema xmlns:xsd="http://www.w3.org/2001/XMLSchema" xmlns:xs="http://www.w3.org/2001/XMLSchema" xmlns:p="http://schemas.microsoft.com/office/2006/metadata/properties" xmlns:ns1="233d4144-5652-41ad-87a9-c50219a037a8" xmlns:ns3="00a4df5b-51f4-4e7a-b755-8a381a6dfbc5" xmlns:ns4="e0731c95-5453-4cc4-b91b-72230631047b" targetNamespace="http://schemas.microsoft.com/office/2006/metadata/properties" ma:root="true" ma:fieldsID="e35692e99ab95b825f20df3eb85b2732" ns1:_="" ns3:_="" ns4:_="">
    <xsd:import namespace="233d4144-5652-41ad-87a9-c50219a037a8"/>
    <xsd:import namespace="00a4df5b-51f4-4e7a-b755-8a381a6dfbc5"/>
    <xsd:import namespace="e0731c95-5453-4cc4-b91b-72230631047b"/>
    <xsd:element name="properties">
      <xsd:complexType>
        <xsd:sequence>
          <xsd:element name="documentManagement">
            <xsd:complexType>
              <xsd:all>
                <xsd:element ref="ns1:Reference_x0020_Number" minOccurs="0"/>
                <xsd:element ref="ns1:p85d601a318a45c189d6b9befbd781b7" minOccurs="0"/>
                <xsd:element ref="ns3:TaxCatchAll" minOccurs="0"/>
                <xsd:element ref="ns1:MediaServiceMetadata" minOccurs="0"/>
                <xsd:element ref="ns1:MediaServiceFastMetadata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  <xsd:element ref="ns1:Reference_x0020_Number_x003a_RFA_x0020_Title" minOccurs="0"/>
                <xsd:element ref="ns1:Final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DateTaken" minOccurs="0"/>
                <xsd:element ref="ns1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d4144-5652-41ad-87a9-c50219a037a8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0" nillable="true" ma:displayName="Reference Number" ma:list="{fdfe313d-c251-4a4a-b7c2-78efcf9c35c6}" ma:internalName="Reference_x0020_Number" ma:readOnly="false" ma:showField="Reference_x0020_Number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5d601a318a45c189d6b9befbd781b7" ma:index="9" nillable="true" ma:taxonomy="true" ma:internalName="p85d601a318a45c189d6b9befbd781b7" ma:taxonomyFieldName="Document_x0020_Type" ma:displayName="Document Type" ma:readOnly="false" ma:default="" ma:fieldId="{985d601a-318a-45c1-89d6-b9befbd781b7}" ma:sspId="0413e039-5297-4392-bfce-c6182202c714" ma:termSetId="46260998-0cb1-4b1d-8e44-944ea719d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Reference_x0020_Number_x003a_RFA_x0020_Title" ma:index="18" nillable="true" ma:displayName="Reference Number:RFA Title" ma:list="{fdfe313d-c251-4a4a-b7c2-78efcf9c35c6}" ma:internalName="Reference_x0020_Number_x003a_RFA_x0020_Title" ma:readOnly="true" ma:showField="Title" ma:web="f504e471-c688-4005-8255-98fd2228c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l" ma:index="19" nillable="true" ma:displayName="Final Version" ma:default="0" ma:indexed="true" ma:internalName="Final">
      <xsd:simpleType>
        <xsd:restriction base="dms:Boolea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e7e52f-bf27-4b85-abd3-86b0f87f60dd}" ma:internalName="TaxCatchAll" ma:readOnly="false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7736-9827-44A9-B4D6-5BA42C673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8FE4-B752-47DD-A943-E9517263DEDA}">
  <ds:schemaRefs>
    <ds:schemaRef ds:uri="http://schemas.microsoft.com/office/2006/metadata/properties"/>
    <ds:schemaRef ds:uri="http://schemas.microsoft.com/office/infopath/2007/PartnerControls"/>
    <ds:schemaRef ds:uri="233d4144-5652-41ad-87a9-c50219a037a8"/>
    <ds:schemaRef ds:uri="00a4df5b-51f4-4e7a-b755-8a381a6dfbc5"/>
    <ds:schemaRef ds:uri="e0731c95-5453-4cc4-b91b-72230631047b"/>
  </ds:schemaRefs>
</ds:datastoreItem>
</file>

<file path=customXml/itemProps3.xml><?xml version="1.0" encoding="utf-8"?>
<ds:datastoreItem xmlns:ds="http://schemas.openxmlformats.org/officeDocument/2006/customXml" ds:itemID="{11F45C95-CB4E-46E3-A918-23E1934B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d4144-5652-41ad-87a9-c50219a037a8"/>
    <ds:schemaRef ds:uri="00a4df5b-51f4-4e7a-b755-8a381a6dfbc5"/>
    <ds:schemaRef ds:uri="e0731c95-5453-4cc4-b91b-722306310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8B5ED-3046-409A-9AEA-62DB24FD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10808</CharactersWithSpaces>
  <SharedDoc>false</SharedDoc>
  <HLinks>
    <vt:vector size="48" baseType="variant">
      <vt:variant>
        <vt:i4>983041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https://pubmed.ncbi.nlm.nih.gov/23543123/</vt:lpwstr>
      </vt:variant>
      <vt:variant>
        <vt:lpwstr/>
      </vt:variant>
      <vt:variant>
        <vt:i4>589847</vt:i4>
      </vt:variant>
      <vt:variant>
        <vt:i4>27</vt:i4>
      </vt:variant>
      <vt:variant>
        <vt:i4>0</vt:i4>
      </vt:variant>
      <vt:variant>
        <vt:i4>5</vt:i4>
      </vt:variant>
      <vt:variant>
        <vt:lpwstr>https://www.who.int/news/item/26-07-2021-statement-of-the-who-gacvs-covid-19-subcommittee-on-gbs</vt:lpwstr>
      </vt:variant>
      <vt:variant>
        <vt:lpwstr/>
      </vt:variant>
      <vt:variant>
        <vt:i4>4980863</vt:i4>
      </vt:variant>
      <vt:variant>
        <vt:i4>24</vt:i4>
      </vt:variant>
      <vt:variant>
        <vt:i4>0</vt:i4>
      </vt:variant>
      <vt:variant>
        <vt:i4>5</vt:i4>
      </vt:variant>
      <vt:variant>
        <vt:lpwstr>https://www.ema.europa.eu/en/documents/covid-19-vaccine-safety-update/covid-19-vaccine-safety-update-covid-19-vaccine-janssen-14-july-2021_en.pdf</vt:lpwstr>
      </vt:variant>
      <vt:variant>
        <vt:lpwstr/>
      </vt:variant>
      <vt:variant>
        <vt:i4>1179698</vt:i4>
      </vt:variant>
      <vt:variant>
        <vt:i4>21</vt:i4>
      </vt:variant>
      <vt:variant>
        <vt:i4>0</vt:i4>
      </vt:variant>
      <vt:variant>
        <vt:i4>5</vt:i4>
      </vt:variant>
      <vt:variant>
        <vt:lpwstr>https://www.ema.europa.eu/en/documents/covid-19-vaccine-safety-update/covid-19-vaccine-safety-update-vaxzevria-previously-covid-19-vaccine-astrazeneca-14-july-2021_en.pdf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https://www.cdc.gov/vaccines/acip/meetings/downloads/slides-2021-07/02-COVID-Alimchandani-508.pdf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https://www.cdc.gov/vaccines/acip/meetings/downloads/slides-2021-07/02-COVID-Alimchandani-508.pdf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https://www.ncbi.nlm.nih.gov/pmc/articles/PMC5703046/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https://www.health.govt.nz/our-work/diseases-and-conditions/covid-19-novel-coronavirus/covid-19-resources-and-tools/covid-19-science-news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McLellan</dc:creator>
  <cp:keywords/>
  <dc:description/>
  <cp:lastModifiedBy>Christian Marchello</cp:lastModifiedBy>
  <cp:revision>14</cp:revision>
  <cp:lastPrinted>2021-08-16T01:10:00Z</cp:lastPrinted>
  <dcterms:created xsi:type="dcterms:W3CDTF">2021-08-03T16:07:00Z</dcterms:created>
  <dcterms:modified xsi:type="dcterms:W3CDTF">2021-08-16T01:10:00Z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0x0101009EE6CA983AB2744EB85DF74473F3895B</vt:lpwstr>
  </property>
  <property fmtid="{D5CDD505-2E9C-101B-9397-08002B2CF9AE}" pid="3" name="Document Type">
    <vt:lpwstr/>
  </property>
</Properties>
</file>