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3C" w:rsidRDefault="0059543C" w:rsidP="0059543C">
      <w:pPr>
        <w:jc w:val="center"/>
        <w:rPr>
          <w:b/>
          <w:sz w:val="32"/>
          <w:szCs w:val="32"/>
        </w:rPr>
      </w:pPr>
      <w:r>
        <w:rPr>
          <w:b/>
          <w:sz w:val="32"/>
          <w:szCs w:val="32"/>
        </w:rPr>
        <w:t xml:space="preserve">MENTAL HEALTH REVIEW TRIBUNAL </w:t>
      </w:r>
    </w:p>
    <w:p w:rsidR="0059543C" w:rsidRDefault="0059543C" w:rsidP="0059543C">
      <w:pPr>
        <w:jc w:val="center"/>
        <w:rPr>
          <w:b/>
          <w:sz w:val="32"/>
          <w:szCs w:val="32"/>
        </w:rPr>
      </w:pPr>
      <w:r>
        <w:rPr>
          <w:b/>
          <w:sz w:val="32"/>
          <w:szCs w:val="32"/>
        </w:rPr>
        <w:t>Practice and Policy Guideline #9</w:t>
      </w:r>
    </w:p>
    <w:p w:rsidR="00032024" w:rsidRDefault="00032024" w:rsidP="00032024">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152B51" w:rsidRPr="00152B51">
        <w:rPr>
          <w:b/>
          <w:i/>
          <w:sz w:val="20"/>
          <w:szCs w:val="20"/>
        </w:rPr>
        <w:t xml:space="preserve"> </w:t>
      </w:r>
      <w:r w:rsidR="00152B51">
        <w:rPr>
          <w:b/>
          <w:i/>
          <w:sz w:val="20"/>
          <w:szCs w:val="20"/>
        </w:rPr>
        <w:t>They do not constitute legal opinions.</w:t>
      </w:r>
    </w:p>
    <w:p w:rsidR="00032024" w:rsidRDefault="00032024" w:rsidP="0059543C">
      <w:pPr>
        <w:jc w:val="center"/>
        <w:rPr>
          <w:b/>
          <w:sz w:val="32"/>
          <w:szCs w:val="32"/>
        </w:rPr>
      </w:pPr>
    </w:p>
    <w:p w:rsidR="0059543C" w:rsidRDefault="00032024" w:rsidP="00032024">
      <w:r>
        <w:rPr>
          <w:b/>
          <w:sz w:val="32"/>
          <w:szCs w:val="32"/>
        </w:rPr>
        <w:t xml:space="preserve">                               </w:t>
      </w:r>
      <w:r w:rsidR="0059543C">
        <w:t>PRE-HEARING TELEPHONE CONFERENCES</w:t>
      </w:r>
    </w:p>
    <w:p w:rsidR="00D16ABD" w:rsidRPr="00235364" w:rsidRDefault="00D16ABD" w:rsidP="00D16ABD">
      <w:pPr>
        <w:rPr>
          <w:rFonts w:ascii="Book Antiqua" w:hAnsi="Book Antiqua"/>
          <w:u w:val="single"/>
        </w:rPr>
      </w:pPr>
      <w:r w:rsidRPr="00235364">
        <w:rPr>
          <w:rFonts w:ascii="Book Antiqua" w:hAnsi="Book Antiqua"/>
          <w:u w:val="single"/>
        </w:rPr>
        <w:t>Introduction</w:t>
      </w:r>
    </w:p>
    <w:p w:rsidR="00235364" w:rsidRDefault="0059543C" w:rsidP="00D16ABD">
      <w:pPr>
        <w:numPr>
          <w:ilvl w:val="0"/>
          <w:numId w:val="1"/>
        </w:numPr>
        <w:rPr>
          <w:rFonts w:ascii="Book Antiqua" w:hAnsi="Book Antiqua"/>
        </w:rPr>
      </w:pPr>
      <w:r>
        <w:rPr>
          <w:rFonts w:ascii="Book Antiqua" w:hAnsi="Book Antiqua"/>
        </w:rPr>
        <w:t>The purpose of pre-hearing telephone conferences is to enhance the efficiency</w:t>
      </w:r>
      <w:r w:rsidR="009274B8">
        <w:rPr>
          <w:rFonts w:ascii="Book Antiqua" w:hAnsi="Book Antiqua"/>
        </w:rPr>
        <w:t>, integrity</w:t>
      </w:r>
      <w:r>
        <w:rPr>
          <w:rFonts w:ascii="Book Antiqua" w:hAnsi="Book Antiqua"/>
        </w:rPr>
        <w:t xml:space="preserve"> and effectiveness of the hearing process.</w:t>
      </w:r>
    </w:p>
    <w:p w:rsidR="00C76B19" w:rsidRPr="00235364" w:rsidRDefault="00C76B19" w:rsidP="00C76B19">
      <w:pPr>
        <w:numPr>
          <w:ilvl w:val="0"/>
          <w:numId w:val="1"/>
        </w:numPr>
        <w:rPr>
          <w:rFonts w:ascii="Book Antiqua" w:hAnsi="Book Antiqua"/>
        </w:rPr>
      </w:pPr>
      <w:r w:rsidRPr="00235364">
        <w:rPr>
          <w:rFonts w:ascii="Book Antiqua" w:hAnsi="Book Antiqua"/>
        </w:rPr>
        <w:t>Pre-hearing telephone conferences</w:t>
      </w:r>
      <w:r w:rsidR="0059543C">
        <w:rPr>
          <w:rFonts w:ascii="Book Antiqua" w:hAnsi="Book Antiqua"/>
        </w:rPr>
        <w:t xml:space="preserve"> are to</w:t>
      </w:r>
      <w:r w:rsidRPr="00235364">
        <w:rPr>
          <w:rFonts w:ascii="Book Antiqua" w:hAnsi="Book Antiqua"/>
        </w:rPr>
        <w:t xml:space="preserve"> </w:t>
      </w:r>
      <w:r w:rsidR="0059543C">
        <w:rPr>
          <w:rFonts w:ascii="Book Antiqua" w:hAnsi="Book Antiqua"/>
        </w:rPr>
        <w:t xml:space="preserve">occur 7-10 </w:t>
      </w:r>
      <w:r w:rsidR="0059543C" w:rsidRPr="00235364">
        <w:rPr>
          <w:rFonts w:ascii="Book Antiqua" w:hAnsi="Book Antiqua"/>
        </w:rPr>
        <w:t>days</w:t>
      </w:r>
      <w:r w:rsidRPr="00235364">
        <w:rPr>
          <w:rFonts w:ascii="Book Antiqua" w:hAnsi="Book Antiqua"/>
        </w:rPr>
        <w:t xml:space="preserve"> in advance of schedule</w:t>
      </w:r>
      <w:r w:rsidR="0059543C">
        <w:rPr>
          <w:rFonts w:ascii="Book Antiqua" w:hAnsi="Book Antiqua"/>
        </w:rPr>
        <w:t>d</w:t>
      </w:r>
      <w:r w:rsidRPr="00235364">
        <w:rPr>
          <w:rFonts w:ascii="Book Antiqua" w:hAnsi="Book Antiqua"/>
        </w:rPr>
        <w:t xml:space="preserve"> hearing dates.</w:t>
      </w:r>
    </w:p>
    <w:p w:rsidR="00F13E56" w:rsidRPr="00235364" w:rsidRDefault="00F13E56" w:rsidP="00F13E56">
      <w:pPr>
        <w:rPr>
          <w:rFonts w:ascii="Book Antiqua" w:hAnsi="Book Antiqua"/>
          <w:u w:val="single"/>
        </w:rPr>
      </w:pPr>
      <w:r w:rsidRPr="00235364">
        <w:rPr>
          <w:rFonts w:ascii="Book Antiqua" w:hAnsi="Book Antiqua"/>
          <w:u w:val="single"/>
        </w:rPr>
        <w:t>Attendees</w:t>
      </w:r>
    </w:p>
    <w:p w:rsidR="00C76B19" w:rsidRPr="00235364" w:rsidRDefault="00C76B19" w:rsidP="00F13E56">
      <w:pPr>
        <w:numPr>
          <w:ilvl w:val="0"/>
          <w:numId w:val="1"/>
        </w:numPr>
        <w:rPr>
          <w:rFonts w:ascii="Book Antiqua" w:hAnsi="Book Antiqua"/>
        </w:rPr>
      </w:pPr>
      <w:r w:rsidRPr="00235364">
        <w:rPr>
          <w:rFonts w:ascii="Book Antiqua" w:hAnsi="Book Antiqua"/>
        </w:rPr>
        <w:t>Those in attendance should be the legal member of the Review Tribunal who will be presiding at the hearing, the responsible clinician, and the lawyer for the applicant.</w:t>
      </w:r>
    </w:p>
    <w:p w:rsidR="00C76B19" w:rsidRPr="00235364" w:rsidRDefault="00C76B19" w:rsidP="00C76B19">
      <w:pPr>
        <w:numPr>
          <w:ilvl w:val="0"/>
          <w:numId w:val="1"/>
        </w:numPr>
        <w:rPr>
          <w:rFonts w:ascii="Book Antiqua" w:hAnsi="Book Antiqua"/>
        </w:rPr>
      </w:pPr>
      <w:r w:rsidRPr="00235364">
        <w:rPr>
          <w:rFonts w:ascii="Book Antiqua" w:hAnsi="Book Antiqua"/>
        </w:rPr>
        <w:t xml:space="preserve">In cases where the applicant is someone other than the patient, for example a guardian </w:t>
      </w:r>
      <w:proofErr w:type="gramStart"/>
      <w:r w:rsidRPr="00235364">
        <w:rPr>
          <w:rFonts w:ascii="Book Antiqua" w:hAnsi="Book Antiqua"/>
        </w:rPr>
        <w:t>or</w:t>
      </w:r>
      <w:proofErr w:type="gramEnd"/>
      <w:r w:rsidRPr="00235364">
        <w:rPr>
          <w:rFonts w:ascii="Book Antiqua" w:hAnsi="Book Antiqua"/>
        </w:rPr>
        <w:t xml:space="preserve"> family member, then that applicant</w:t>
      </w:r>
      <w:r w:rsidR="00E340BB">
        <w:rPr>
          <w:rFonts w:ascii="Book Antiqua" w:hAnsi="Book Antiqua"/>
        </w:rPr>
        <w:t xml:space="preserve"> or their lawyer</w:t>
      </w:r>
      <w:r w:rsidRPr="00235364">
        <w:rPr>
          <w:rFonts w:ascii="Book Antiqua" w:hAnsi="Book Antiqua"/>
        </w:rPr>
        <w:t xml:space="preserve"> should</w:t>
      </w:r>
      <w:r w:rsidR="00E340BB">
        <w:rPr>
          <w:rFonts w:ascii="Book Antiqua" w:hAnsi="Book Antiqua"/>
        </w:rPr>
        <w:t xml:space="preserve"> also</w:t>
      </w:r>
      <w:r w:rsidRPr="00235364">
        <w:rPr>
          <w:rFonts w:ascii="Book Antiqua" w:hAnsi="Book Antiqua"/>
        </w:rPr>
        <w:t xml:space="preserve"> attend the conference.</w:t>
      </w:r>
    </w:p>
    <w:p w:rsidR="00C76B19" w:rsidRPr="00235364" w:rsidRDefault="00C76B19" w:rsidP="00C76B19">
      <w:pPr>
        <w:numPr>
          <w:ilvl w:val="0"/>
          <w:numId w:val="1"/>
        </w:numPr>
        <w:rPr>
          <w:rFonts w:ascii="Book Antiqua" w:hAnsi="Book Antiqua"/>
        </w:rPr>
      </w:pPr>
      <w:r w:rsidRPr="00235364">
        <w:rPr>
          <w:rFonts w:ascii="Book Antiqua" w:hAnsi="Book Antiqua"/>
        </w:rPr>
        <w:t>In cases where the applicant is a patient who is not represented by a lawyer, the</w:t>
      </w:r>
      <w:r w:rsidR="00C01A7D" w:rsidRPr="00235364">
        <w:rPr>
          <w:rFonts w:ascii="Book Antiqua" w:hAnsi="Book Antiqua"/>
        </w:rPr>
        <w:t xml:space="preserve"> applicant is</w:t>
      </w:r>
      <w:r w:rsidR="0059543C">
        <w:rPr>
          <w:rFonts w:ascii="Book Antiqua" w:hAnsi="Book Antiqua"/>
        </w:rPr>
        <w:t xml:space="preserve"> to be</w:t>
      </w:r>
      <w:r w:rsidR="00C01A7D" w:rsidRPr="00235364">
        <w:rPr>
          <w:rFonts w:ascii="Book Antiqua" w:hAnsi="Book Antiqua"/>
        </w:rPr>
        <w:t xml:space="preserve"> invited to attend the conference, but is not compelled to do so.</w:t>
      </w:r>
    </w:p>
    <w:p w:rsidR="00F13E56" w:rsidRPr="00235364" w:rsidRDefault="00F13E56" w:rsidP="00F13E56">
      <w:pPr>
        <w:rPr>
          <w:rFonts w:ascii="Book Antiqua" w:hAnsi="Book Antiqua"/>
          <w:u w:val="single"/>
        </w:rPr>
      </w:pPr>
      <w:r w:rsidRPr="00235364">
        <w:rPr>
          <w:rFonts w:ascii="Book Antiqua" w:hAnsi="Book Antiqua"/>
          <w:u w:val="single"/>
        </w:rPr>
        <w:t>Matters covered</w:t>
      </w:r>
    </w:p>
    <w:p w:rsidR="00F13E56" w:rsidRPr="00235364" w:rsidRDefault="00F13E56" w:rsidP="00F13E56">
      <w:pPr>
        <w:numPr>
          <w:ilvl w:val="0"/>
          <w:numId w:val="1"/>
        </w:numPr>
        <w:rPr>
          <w:rFonts w:ascii="Book Antiqua" w:hAnsi="Book Antiqua"/>
          <w:u w:val="single"/>
        </w:rPr>
      </w:pPr>
      <w:r w:rsidRPr="00235364">
        <w:rPr>
          <w:rFonts w:ascii="Book Antiqua" w:hAnsi="Book Antiqua"/>
        </w:rPr>
        <w:t>Pre-hearing telephone conferences should cover the following topics:</w:t>
      </w:r>
    </w:p>
    <w:p w:rsidR="00F13E56" w:rsidRDefault="00F13E56" w:rsidP="00F13E56">
      <w:pPr>
        <w:numPr>
          <w:ilvl w:val="0"/>
          <w:numId w:val="3"/>
        </w:numPr>
        <w:rPr>
          <w:rFonts w:ascii="Book Antiqua" w:hAnsi="Book Antiqua"/>
        </w:rPr>
      </w:pPr>
      <w:r w:rsidRPr="00235364">
        <w:rPr>
          <w:rFonts w:ascii="Book Antiqua" w:hAnsi="Book Antiqua"/>
        </w:rPr>
        <w:t>Whether the applicant wishes to proceed with the hearing</w:t>
      </w:r>
      <w:r w:rsidR="00EC0794" w:rsidRPr="00235364">
        <w:rPr>
          <w:rFonts w:ascii="Book Antiqua" w:hAnsi="Book Antiqua"/>
        </w:rPr>
        <w:t>; if not, whether the application is to be withdrawn or another date sought</w:t>
      </w:r>
      <w:r w:rsidR="00E340BB">
        <w:rPr>
          <w:rFonts w:ascii="Book Antiqua" w:hAnsi="Book Antiqua"/>
        </w:rPr>
        <w:t>;</w:t>
      </w:r>
    </w:p>
    <w:p w:rsidR="00E340BB" w:rsidRPr="00E340BB" w:rsidRDefault="00E340BB" w:rsidP="00E340BB">
      <w:pPr>
        <w:numPr>
          <w:ilvl w:val="0"/>
          <w:numId w:val="3"/>
        </w:numPr>
        <w:rPr>
          <w:rFonts w:ascii="Book Antiqua" w:hAnsi="Book Antiqua"/>
          <w:u w:val="single"/>
        </w:rPr>
      </w:pPr>
      <w:r w:rsidRPr="00235364">
        <w:rPr>
          <w:rFonts w:ascii="Book Antiqua" w:hAnsi="Book Antiqua"/>
        </w:rPr>
        <w:t>The time, date and venue for the hearing</w:t>
      </w:r>
      <w:r>
        <w:rPr>
          <w:rFonts w:ascii="Book Antiqua" w:hAnsi="Book Antiqua"/>
        </w:rPr>
        <w:t>;</w:t>
      </w:r>
    </w:p>
    <w:p w:rsidR="005A72C1" w:rsidRPr="00235364" w:rsidRDefault="00F13E56" w:rsidP="005A72C1">
      <w:pPr>
        <w:numPr>
          <w:ilvl w:val="0"/>
          <w:numId w:val="3"/>
        </w:numPr>
        <w:rPr>
          <w:rFonts w:ascii="Book Antiqua" w:hAnsi="Book Antiqua"/>
          <w:u w:val="single"/>
        </w:rPr>
      </w:pPr>
      <w:r w:rsidRPr="00235364">
        <w:rPr>
          <w:rFonts w:ascii="Book Antiqua" w:hAnsi="Book Antiqua"/>
        </w:rPr>
        <w:t>When the responsible clinician’s report will be available</w:t>
      </w:r>
      <w:r w:rsidR="005A72C1" w:rsidRPr="00235364">
        <w:rPr>
          <w:rStyle w:val="FootnoteReference"/>
          <w:rFonts w:ascii="Book Antiqua" w:hAnsi="Book Antiqua"/>
        </w:rPr>
        <w:footnoteReference w:id="1"/>
      </w:r>
      <w:r w:rsidR="00E340BB">
        <w:rPr>
          <w:rFonts w:ascii="Book Antiqua" w:hAnsi="Book Antiqua"/>
        </w:rPr>
        <w:t xml:space="preserve">, </w:t>
      </w:r>
      <w:r w:rsidR="005A72C1" w:rsidRPr="00235364">
        <w:rPr>
          <w:rFonts w:ascii="Book Antiqua" w:hAnsi="Book Antiqua"/>
        </w:rPr>
        <w:t xml:space="preserve"> and the best means of providing a copy to the lawyer for the applicant</w:t>
      </w:r>
      <w:r w:rsidR="00E340BB">
        <w:rPr>
          <w:rFonts w:ascii="Book Antiqua" w:hAnsi="Book Antiqua"/>
        </w:rPr>
        <w:t>;</w:t>
      </w:r>
    </w:p>
    <w:p w:rsidR="00CB2A93" w:rsidRPr="00235364" w:rsidRDefault="00CB2A93" w:rsidP="005A72C1">
      <w:pPr>
        <w:numPr>
          <w:ilvl w:val="0"/>
          <w:numId w:val="3"/>
        </w:numPr>
        <w:rPr>
          <w:rFonts w:ascii="Book Antiqua" w:hAnsi="Book Antiqua"/>
          <w:u w:val="single"/>
        </w:rPr>
      </w:pPr>
      <w:r w:rsidRPr="00235364">
        <w:rPr>
          <w:rFonts w:ascii="Book Antiqua" w:hAnsi="Book Antiqua"/>
        </w:rPr>
        <w:t>Whether the applicant’s lawyer and responsible clinician are aware of previous Review Tribunal reviews, should there have been any, and seen the written decisions</w:t>
      </w:r>
      <w:r w:rsidR="00E340BB">
        <w:rPr>
          <w:rFonts w:ascii="Book Antiqua" w:hAnsi="Book Antiqua"/>
        </w:rPr>
        <w:t>;</w:t>
      </w:r>
    </w:p>
    <w:p w:rsidR="00F13E56" w:rsidRPr="00235364" w:rsidRDefault="00F13E56" w:rsidP="00F13E56">
      <w:pPr>
        <w:numPr>
          <w:ilvl w:val="0"/>
          <w:numId w:val="3"/>
        </w:numPr>
        <w:rPr>
          <w:rFonts w:ascii="Book Antiqua" w:hAnsi="Book Antiqua"/>
          <w:u w:val="single"/>
        </w:rPr>
      </w:pPr>
      <w:r w:rsidRPr="00235364">
        <w:rPr>
          <w:rFonts w:ascii="Book Antiqua" w:hAnsi="Book Antiqua"/>
        </w:rPr>
        <w:t>Whether case managers and key workers will also be in attendance</w:t>
      </w:r>
      <w:r w:rsidRPr="00235364">
        <w:rPr>
          <w:rStyle w:val="FootnoteReference"/>
          <w:rFonts w:ascii="Book Antiqua" w:hAnsi="Book Antiqua"/>
        </w:rPr>
        <w:footnoteReference w:id="2"/>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lastRenderedPageBreak/>
        <w:t>Who else will be in attendance</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What in broad outline are likely to be the factual and legal issues in contention</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Whether there are safety concerns</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Whether a co-opted member is required</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Whether an interpreter is required</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Whether a cultural adviser should  be present</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 xml:space="preserve">Whether the hearing </w:t>
      </w:r>
      <w:r w:rsidR="00E340BB">
        <w:rPr>
          <w:rFonts w:ascii="Book Antiqua" w:hAnsi="Book Antiqua"/>
        </w:rPr>
        <w:t>should</w:t>
      </w:r>
      <w:r w:rsidRPr="00235364">
        <w:rPr>
          <w:rFonts w:ascii="Book Antiqua" w:hAnsi="Book Antiqua"/>
        </w:rPr>
        <w:t xml:space="preserve"> be conducted by video</w:t>
      </w:r>
      <w:r w:rsidR="00E340BB">
        <w:rPr>
          <w:rFonts w:ascii="Book Antiqua" w:hAnsi="Book Antiqua"/>
        </w:rPr>
        <w:t xml:space="preserve"> </w:t>
      </w:r>
      <w:r w:rsidRPr="00235364">
        <w:rPr>
          <w:rFonts w:ascii="Book Antiqua" w:hAnsi="Book Antiqua"/>
        </w:rPr>
        <w:t>conference or telephone conference</w:t>
      </w:r>
      <w:r w:rsidR="00E340BB">
        <w:rPr>
          <w:rFonts w:ascii="Book Antiqua" w:hAnsi="Book Antiqua"/>
        </w:rPr>
        <w:t>;</w:t>
      </w:r>
    </w:p>
    <w:p w:rsidR="005A72C1" w:rsidRPr="00235364" w:rsidRDefault="005A72C1" w:rsidP="00F13E56">
      <w:pPr>
        <w:numPr>
          <w:ilvl w:val="0"/>
          <w:numId w:val="3"/>
        </w:numPr>
        <w:rPr>
          <w:rFonts w:ascii="Book Antiqua" w:hAnsi="Book Antiqua"/>
          <w:u w:val="single"/>
        </w:rPr>
      </w:pPr>
      <w:r w:rsidRPr="00235364">
        <w:rPr>
          <w:rFonts w:ascii="Book Antiqua" w:hAnsi="Book Antiqua"/>
        </w:rPr>
        <w:t>Whether there are</w:t>
      </w:r>
      <w:r w:rsidR="00E340BB">
        <w:rPr>
          <w:rFonts w:ascii="Book Antiqua" w:hAnsi="Book Antiqua"/>
        </w:rPr>
        <w:t xml:space="preserve"> any other matters to </w:t>
      </w:r>
      <w:proofErr w:type="gramStart"/>
      <w:r w:rsidR="00E340BB">
        <w:rPr>
          <w:rFonts w:ascii="Book Antiqua" w:hAnsi="Book Antiqua"/>
        </w:rPr>
        <w:t>raise</w:t>
      </w:r>
      <w:proofErr w:type="gramEnd"/>
      <w:r w:rsidR="00E340BB">
        <w:rPr>
          <w:rFonts w:ascii="Book Antiqua" w:hAnsi="Book Antiqua"/>
        </w:rPr>
        <w:t>.</w:t>
      </w:r>
    </w:p>
    <w:p w:rsidR="00EC0794" w:rsidRPr="00235364" w:rsidRDefault="00EC0794" w:rsidP="00EC0794">
      <w:pPr>
        <w:rPr>
          <w:rFonts w:ascii="Book Antiqua" w:hAnsi="Book Antiqua"/>
        </w:rPr>
      </w:pPr>
    </w:p>
    <w:p w:rsidR="00EC0794" w:rsidRPr="00235364" w:rsidRDefault="00EC0794" w:rsidP="00EC0794">
      <w:pPr>
        <w:rPr>
          <w:rFonts w:ascii="Book Antiqua" w:hAnsi="Book Antiqua"/>
          <w:u w:val="single"/>
        </w:rPr>
      </w:pPr>
      <w:r w:rsidRPr="00235364">
        <w:rPr>
          <w:rFonts w:ascii="Book Antiqua" w:hAnsi="Book Antiqua"/>
          <w:u w:val="single"/>
        </w:rPr>
        <w:t>Outcomes</w:t>
      </w:r>
    </w:p>
    <w:p w:rsidR="009274B8" w:rsidRPr="009274B8" w:rsidRDefault="009274B8" w:rsidP="00EC0794">
      <w:pPr>
        <w:numPr>
          <w:ilvl w:val="0"/>
          <w:numId w:val="1"/>
        </w:numPr>
        <w:rPr>
          <w:rFonts w:ascii="Book Antiqua" w:hAnsi="Book Antiqua"/>
          <w:u w:val="single"/>
        </w:rPr>
      </w:pPr>
      <w:r w:rsidRPr="009274B8">
        <w:rPr>
          <w:rFonts w:ascii="Book Antiqua" w:hAnsi="Book Antiqua"/>
        </w:rPr>
        <w:t>Immediately f</w:t>
      </w:r>
      <w:r w:rsidR="00A74226" w:rsidRPr="009274B8">
        <w:rPr>
          <w:rFonts w:ascii="Book Antiqua" w:hAnsi="Book Antiqua"/>
        </w:rPr>
        <w:t xml:space="preserve">ollowing the telephone conference the legal member conducting it should </w:t>
      </w:r>
      <w:r w:rsidR="00F77C66" w:rsidRPr="009274B8">
        <w:rPr>
          <w:rFonts w:ascii="Book Antiqua" w:hAnsi="Book Antiqua"/>
        </w:rPr>
        <w:t>immediately</w:t>
      </w:r>
      <w:r w:rsidRPr="009274B8">
        <w:rPr>
          <w:rFonts w:ascii="Book Antiqua" w:hAnsi="Book Antiqua"/>
        </w:rPr>
        <w:t xml:space="preserve"> briefly</w:t>
      </w:r>
      <w:r w:rsidR="00F77C66" w:rsidRPr="009274B8">
        <w:rPr>
          <w:rFonts w:ascii="Book Antiqua" w:hAnsi="Book Antiqua"/>
        </w:rPr>
        <w:t xml:space="preserve"> report back to the s</w:t>
      </w:r>
      <w:r w:rsidR="00A74226" w:rsidRPr="009274B8">
        <w:rPr>
          <w:rFonts w:ascii="Book Antiqua" w:hAnsi="Book Antiqua"/>
        </w:rPr>
        <w:t xml:space="preserve">ecretariat </w:t>
      </w:r>
      <w:r w:rsidRPr="009274B8">
        <w:rPr>
          <w:rFonts w:ascii="Book Antiqua" w:hAnsi="Book Antiqua"/>
        </w:rPr>
        <w:t>as to what transpired during it.</w:t>
      </w:r>
      <w:r w:rsidR="00A74226" w:rsidRPr="009274B8">
        <w:rPr>
          <w:rFonts w:ascii="Book Antiqua" w:hAnsi="Book Antiqua"/>
        </w:rPr>
        <w:t xml:space="preserve"> </w:t>
      </w:r>
    </w:p>
    <w:p w:rsidR="00EC77F1" w:rsidRPr="009274B8" w:rsidRDefault="009274B8" w:rsidP="00EC0794">
      <w:pPr>
        <w:numPr>
          <w:ilvl w:val="0"/>
          <w:numId w:val="1"/>
        </w:numPr>
        <w:rPr>
          <w:rFonts w:ascii="Book Antiqua" w:hAnsi="Book Antiqua"/>
          <w:u w:val="single"/>
        </w:rPr>
      </w:pPr>
      <w:r>
        <w:rPr>
          <w:rFonts w:ascii="Book Antiqua" w:hAnsi="Book Antiqua"/>
        </w:rPr>
        <w:t>In cases of particular complexity or difficulty, it may be prudent for the legal member to issue a minute recording the outcome of the conference.</w:t>
      </w:r>
    </w:p>
    <w:p w:rsidR="009274B8" w:rsidRPr="009274B8" w:rsidRDefault="009274B8" w:rsidP="00EC0794">
      <w:pPr>
        <w:numPr>
          <w:ilvl w:val="0"/>
          <w:numId w:val="1"/>
        </w:numPr>
        <w:rPr>
          <w:rFonts w:ascii="Book Antiqua" w:hAnsi="Book Antiqua"/>
          <w:u w:val="single"/>
        </w:rPr>
      </w:pPr>
      <w:r>
        <w:rPr>
          <w:rFonts w:ascii="Book Antiqua" w:hAnsi="Book Antiqua"/>
        </w:rPr>
        <w:t>Where an application is withdrawn, the applicant or lawyer should be asked to confirm that in writing to the secretariat.</w:t>
      </w:r>
    </w:p>
    <w:p w:rsidR="009274B8" w:rsidRPr="009274B8" w:rsidRDefault="009274B8" w:rsidP="009274B8">
      <w:pPr>
        <w:rPr>
          <w:rFonts w:ascii="Book Antiqua" w:hAnsi="Book Antiqua"/>
          <w:u w:val="single"/>
        </w:rPr>
      </w:pPr>
    </w:p>
    <w:p w:rsidR="00071C98" w:rsidRPr="00235364" w:rsidRDefault="00071C98" w:rsidP="00071C98">
      <w:pPr>
        <w:spacing w:line="360" w:lineRule="auto"/>
        <w:ind w:left="3600"/>
        <w:rPr>
          <w:rFonts w:ascii="Book Antiqua" w:hAnsi="Book Antiqua"/>
          <w:i/>
          <w:sz w:val="24"/>
          <w:szCs w:val="24"/>
        </w:rPr>
      </w:pPr>
      <w:r w:rsidRPr="00235364">
        <w:rPr>
          <w:rFonts w:ascii="Book Antiqua" w:hAnsi="Book Antiqua"/>
          <w:i/>
          <w:sz w:val="24"/>
          <w:szCs w:val="24"/>
        </w:rPr>
        <w:t xml:space="preserve">Last updated </w:t>
      </w:r>
      <w:r w:rsidR="00152B51">
        <w:rPr>
          <w:rFonts w:ascii="Book Antiqua" w:hAnsi="Book Antiqua"/>
          <w:i/>
          <w:sz w:val="24"/>
          <w:szCs w:val="24"/>
        </w:rPr>
        <w:t>August 2015</w:t>
      </w:r>
    </w:p>
    <w:p w:rsidR="00071C98" w:rsidRPr="00235364" w:rsidRDefault="00071C98" w:rsidP="00071C98">
      <w:pPr>
        <w:spacing w:line="360" w:lineRule="auto"/>
        <w:ind w:left="3600"/>
        <w:jc w:val="both"/>
        <w:rPr>
          <w:rFonts w:ascii="Book Antiqua" w:hAnsi="Book Antiqua"/>
          <w:sz w:val="24"/>
          <w:szCs w:val="24"/>
        </w:rPr>
      </w:pPr>
    </w:p>
    <w:p w:rsidR="00071C98" w:rsidRPr="00235364" w:rsidRDefault="00071C98" w:rsidP="00071C98">
      <w:pPr>
        <w:spacing w:line="360" w:lineRule="auto"/>
        <w:ind w:left="3600"/>
        <w:rPr>
          <w:rFonts w:ascii="Book Antiqua" w:hAnsi="Book Antiqua"/>
          <w:sz w:val="24"/>
          <w:szCs w:val="24"/>
        </w:rPr>
      </w:pPr>
      <w:r w:rsidRPr="00235364">
        <w:rPr>
          <w:rFonts w:ascii="Book Antiqua" w:hAnsi="Book Antiqua"/>
          <w:sz w:val="24"/>
          <w:szCs w:val="24"/>
        </w:rPr>
        <w:t>NJ Dunlop</w:t>
      </w:r>
    </w:p>
    <w:p w:rsidR="00071C98" w:rsidRPr="00235364" w:rsidRDefault="00071C98" w:rsidP="00071C98">
      <w:pPr>
        <w:spacing w:line="360" w:lineRule="auto"/>
        <w:ind w:left="3600"/>
        <w:rPr>
          <w:rFonts w:ascii="Book Antiqua" w:hAnsi="Book Antiqua"/>
          <w:sz w:val="24"/>
          <w:szCs w:val="24"/>
        </w:rPr>
      </w:pPr>
      <w:r w:rsidRPr="00235364">
        <w:rPr>
          <w:rFonts w:ascii="Book Antiqua" w:hAnsi="Book Antiqua"/>
          <w:sz w:val="24"/>
          <w:szCs w:val="24"/>
        </w:rPr>
        <w:t>Convener</w:t>
      </w:r>
    </w:p>
    <w:p w:rsidR="00071C98" w:rsidRPr="00235364" w:rsidRDefault="00071C98" w:rsidP="00071C98">
      <w:pPr>
        <w:rPr>
          <w:rFonts w:ascii="Book Antiqua" w:hAnsi="Book Antiqua"/>
          <w:u w:val="single"/>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161C1">
      <w:pPr>
        <w:jc w:val="center"/>
        <w:rPr>
          <w:rFonts w:ascii="Book Antiqua" w:hAnsi="Book Antiqua"/>
          <w:b/>
        </w:rPr>
      </w:pPr>
    </w:p>
    <w:p w:rsidR="007A2843" w:rsidRPr="00235364" w:rsidRDefault="007A2843" w:rsidP="007A2843">
      <w:pPr>
        <w:spacing w:line="360" w:lineRule="auto"/>
        <w:ind w:left="720"/>
        <w:jc w:val="center"/>
        <w:rPr>
          <w:rFonts w:ascii="Book Antiqua" w:hAnsi="Book Antiqua"/>
          <w:i/>
          <w:sz w:val="24"/>
          <w:szCs w:val="24"/>
        </w:rPr>
      </w:pPr>
      <w:r w:rsidRPr="00235364">
        <w:rPr>
          <w:rFonts w:ascii="Book Antiqua" w:hAnsi="Book Antiqua"/>
          <w:i/>
          <w:sz w:val="24"/>
          <w:szCs w:val="24"/>
        </w:rPr>
        <w:t>Last updated on</w:t>
      </w:r>
    </w:p>
    <w:p w:rsidR="007A2843" w:rsidRPr="00235364" w:rsidRDefault="007A2843" w:rsidP="007A2843">
      <w:pPr>
        <w:spacing w:line="360" w:lineRule="auto"/>
        <w:ind w:left="720"/>
        <w:jc w:val="both"/>
        <w:rPr>
          <w:rFonts w:ascii="Book Antiqua" w:hAnsi="Book Antiqua"/>
          <w:sz w:val="24"/>
          <w:szCs w:val="24"/>
        </w:rPr>
      </w:pPr>
    </w:p>
    <w:p w:rsidR="007A2843" w:rsidRPr="00235364" w:rsidRDefault="007A2843" w:rsidP="007A2843">
      <w:pPr>
        <w:spacing w:line="360" w:lineRule="auto"/>
        <w:ind w:left="720"/>
        <w:jc w:val="center"/>
        <w:rPr>
          <w:rFonts w:ascii="Book Antiqua" w:hAnsi="Book Antiqua"/>
          <w:sz w:val="24"/>
          <w:szCs w:val="24"/>
        </w:rPr>
      </w:pPr>
      <w:r w:rsidRPr="00235364">
        <w:rPr>
          <w:rFonts w:ascii="Book Antiqua" w:hAnsi="Book Antiqua"/>
          <w:sz w:val="24"/>
          <w:szCs w:val="24"/>
        </w:rPr>
        <w:t>NJ Dunlop</w:t>
      </w:r>
    </w:p>
    <w:p w:rsidR="007A2843" w:rsidRPr="00235364" w:rsidRDefault="007A2843" w:rsidP="007A2843">
      <w:pPr>
        <w:spacing w:line="360" w:lineRule="auto"/>
        <w:ind w:left="720"/>
        <w:jc w:val="center"/>
        <w:rPr>
          <w:rFonts w:ascii="Book Antiqua" w:hAnsi="Book Antiqua"/>
          <w:sz w:val="24"/>
          <w:szCs w:val="24"/>
        </w:rPr>
      </w:pPr>
      <w:r w:rsidRPr="00235364">
        <w:rPr>
          <w:rFonts w:ascii="Book Antiqua" w:hAnsi="Book Antiqua"/>
          <w:sz w:val="24"/>
          <w:szCs w:val="24"/>
        </w:rPr>
        <w:t>Convener</w:t>
      </w:r>
    </w:p>
    <w:p w:rsidR="007A2843" w:rsidRPr="00235364" w:rsidRDefault="007A2843" w:rsidP="007161C1">
      <w:pPr>
        <w:jc w:val="center"/>
        <w:rPr>
          <w:rFonts w:ascii="Book Antiqua" w:hAnsi="Book Antiqua"/>
          <w:b/>
        </w:rPr>
      </w:pPr>
    </w:p>
    <w:p w:rsidR="00264999" w:rsidRPr="00235364" w:rsidRDefault="00264999">
      <w:pPr>
        <w:rPr>
          <w:rFonts w:ascii="Book Antiqua" w:hAnsi="Book Antiqua"/>
        </w:rPr>
      </w:pPr>
    </w:p>
    <w:sectPr w:rsidR="00264999" w:rsidRPr="00235364" w:rsidSect="002649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CE" w:rsidRDefault="00D557CE" w:rsidP="007A2843">
      <w:pPr>
        <w:spacing w:after="0" w:line="240" w:lineRule="auto"/>
      </w:pPr>
      <w:r>
        <w:separator/>
      </w:r>
    </w:p>
  </w:endnote>
  <w:endnote w:type="continuationSeparator" w:id="0">
    <w:p w:rsidR="00D557CE" w:rsidRDefault="00D557CE" w:rsidP="007A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43" w:rsidRDefault="007A2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43" w:rsidRDefault="007A2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43" w:rsidRDefault="007A2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CE" w:rsidRDefault="00D557CE" w:rsidP="007A2843">
      <w:pPr>
        <w:spacing w:after="0" w:line="240" w:lineRule="auto"/>
      </w:pPr>
      <w:r>
        <w:separator/>
      </w:r>
    </w:p>
  </w:footnote>
  <w:footnote w:type="continuationSeparator" w:id="0">
    <w:p w:rsidR="00D557CE" w:rsidRDefault="00D557CE" w:rsidP="007A2843">
      <w:pPr>
        <w:spacing w:after="0" w:line="240" w:lineRule="auto"/>
      </w:pPr>
      <w:r>
        <w:continuationSeparator/>
      </w:r>
    </w:p>
  </w:footnote>
  <w:footnote w:id="1">
    <w:p w:rsidR="005A72C1" w:rsidRPr="005A72C1" w:rsidRDefault="005A72C1">
      <w:pPr>
        <w:pStyle w:val="FootnoteText"/>
        <w:rPr>
          <w:lang w:val="en-US"/>
        </w:rPr>
      </w:pPr>
      <w:r>
        <w:rPr>
          <w:rStyle w:val="FootnoteReference"/>
        </w:rPr>
        <w:footnoteRef/>
      </w:r>
      <w:r>
        <w:t xml:space="preserve"> </w:t>
      </w:r>
      <w:r>
        <w:rPr>
          <w:lang w:val="en-US"/>
        </w:rPr>
        <w:t>The Review Tribunal requires reports to be in the hands of the Secretariat by no later than 3 working days prior to the date of hearing.</w:t>
      </w:r>
    </w:p>
  </w:footnote>
  <w:footnote w:id="2">
    <w:p w:rsidR="00F13E56" w:rsidRPr="00F13E56" w:rsidRDefault="00F13E56">
      <w:pPr>
        <w:pStyle w:val="FootnoteText"/>
        <w:rPr>
          <w:lang w:val="en-US"/>
        </w:rPr>
      </w:pPr>
      <w:r>
        <w:rPr>
          <w:rStyle w:val="FootnoteReference"/>
        </w:rPr>
        <w:footnoteRef/>
      </w:r>
      <w:r>
        <w:t xml:space="preserve"> </w:t>
      </w:r>
      <w:r>
        <w:rPr>
          <w:lang w:val="en-US"/>
        </w:rPr>
        <w:t xml:space="preserve">In order that it bases its determinations on the best evidence available, the Review Tribunal expects that all clinicians and other </w:t>
      </w:r>
      <w:r w:rsidR="00D353A4">
        <w:rPr>
          <w:lang w:val="en-US"/>
        </w:rPr>
        <w:t xml:space="preserve">mental health </w:t>
      </w:r>
      <w:r w:rsidR="00DF6FBC">
        <w:rPr>
          <w:lang w:val="en-US"/>
        </w:rPr>
        <w:t>professionals,</w:t>
      </w:r>
      <w:r>
        <w:rPr>
          <w:lang w:val="en-US"/>
        </w:rPr>
        <w:t xml:space="preserve"> who know the</w:t>
      </w:r>
      <w:r w:rsidR="00D353A4">
        <w:rPr>
          <w:lang w:val="en-US"/>
        </w:rPr>
        <w:t xml:space="preserve"> patient best, will be present at the hearing.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43" w:rsidRDefault="007A2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43" w:rsidRDefault="007A2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43" w:rsidRDefault="007A2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6C7"/>
    <w:multiLevelType w:val="hybridMultilevel"/>
    <w:tmpl w:val="09925F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407ED2"/>
    <w:multiLevelType w:val="hybridMultilevel"/>
    <w:tmpl w:val="0DF0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86E0D"/>
    <w:multiLevelType w:val="hybridMultilevel"/>
    <w:tmpl w:val="834C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1C1"/>
    <w:rsid w:val="00032024"/>
    <w:rsid w:val="000405C7"/>
    <w:rsid w:val="00071C98"/>
    <w:rsid w:val="00091CE7"/>
    <w:rsid w:val="000C27B0"/>
    <w:rsid w:val="000D1221"/>
    <w:rsid w:val="00152B51"/>
    <w:rsid w:val="001C543B"/>
    <w:rsid w:val="001E6C5C"/>
    <w:rsid w:val="00235364"/>
    <w:rsid w:val="00264999"/>
    <w:rsid w:val="002F78DB"/>
    <w:rsid w:val="00360B20"/>
    <w:rsid w:val="003B5D01"/>
    <w:rsid w:val="00485ABC"/>
    <w:rsid w:val="00534B4F"/>
    <w:rsid w:val="0059543C"/>
    <w:rsid w:val="005A72C1"/>
    <w:rsid w:val="007161C1"/>
    <w:rsid w:val="00763741"/>
    <w:rsid w:val="007A2843"/>
    <w:rsid w:val="0080480B"/>
    <w:rsid w:val="009274B8"/>
    <w:rsid w:val="00977949"/>
    <w:rsid w:val="009C66DD"/>
    <w:rsid w:val="00A74226"/>
    <w:rsid w:val="00A77A7C"/>
    <w:rsid w:val="00BC2880"/>
    <w:rsid w:val="00C01A7D"/>
    <w:rsid w:val="00C50110"/>
    <w:rsid w:val="00C76B19"/>
    <w:rsid w:val="00C85A69"/>
    <w:rsid w:val="00CB2A93"/>
    <w:rsid w:val="00D061F1"/>
    <w:rsid w:val="00D16ABD"/>
    <w:rsid w:val="00D353A4"/>
    <w:rsid w:val="00D557CE"/>
    <w:rsid w:val="00D60A39"/>
    <w:rsid w:val="00DF6FBC"/>
    <w:rsid w:val="00E340BB"/>
    <w:rsid w:val="00E35162"/>
    <w:rsid w:val="00EC0794"/>
    <w:rsid w:val="00EC77F1"/>
    <w:rsid w:val="00F13E56"/>
    <w:rsid w:val="00F77C66"/>
    <w:rsid w:val="00FD67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C1"/>
    <w:pPr>
      <w:spacing w:after="160" w:line="25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843"/>
    <w:pPr>
      <w:tabs>
        <w:tab w:val="center" w:pos="4680"/>
        <w:tab w:val="right" w:pos="9360"/>
      </w:tabs>
    </w:pPr>
  </w:style>
  <w:style w:type="character" w:customStyle="1" w:styleId="HeaderChar">
    <w:name w:val="Header Char"/>
    <w:basedOn w:val="DefaultParagraphFont"/>
    <w:link w:val="Header"/>
    <w:uiPriority w:val="99"/>
    <w:semiHidden/>
    <w:rsid w:val="007A2843"/>
    <w:rPr>
      <w:sz w:val="22"/>
      <w:szCs w:val="22"/>
      <w:lang w:val="en-NZ"/>
    </w:rPr>
  </w:style>
  <w:style w:type="paragraph" w:styleId="Footer">
    <w:name w:val="footer"/>
    <w:basedOn w:val="Normal"/>
    <w:link w:val="FooterChar"/>
    <w:uiPriority w:val="99"/>
    <w:semiHidden/>
    <w:unhideWhenUsed/>
    <w:rsid w:val="007A2843"/>
    <w:pPr>
      <w:tabs>
        <w:tab w:val="center" w:pos="4680"/>
        <w:tab w:val="right" w:pos="9360"/>
      </w:tabs>
    </w:pPr>
  </w:style>
  <w:style w:type="character" w:customStyle="1" w:styleId="FooterChar">
    <w:name w:val="Footer Char"/>
    <w:basedOn w:val="DefaultParagraphFont"/>
    <w:link w:val="Footer"/>
    <w:uiPriority w:val="99"/>
    <w:semiHidden/>
    <w:rsid w:val="007A2843"/>
    <w:rPr>
      <w:sz w:val="22"/>
      <w:szCs w:val="22"/>
      <w:lang w:val="en-NZ"/>
    </w:rPr>
  </w:style>
  <w:style w:type="paragraph" w:styleId="FootnoteText">
    <w:name w:val="footnote text"/>
    <w:basedOn w:val="Normal"/>
    <w:link w:val="FootnoteTextChar"/>
    <w:uiPriority w:val="99"/>
    <w:semiHidden/>
    <w:unhideWhenUsed/>
    <w:rsid w:val="00F13E56"/>
    <w:rPr>
      <w:sz w:val="20"/>
      <w:szCs w:val="20"/>
    </w:rPr>
  </w:style>
  <w:style w:type="character" w:customStyle="1" w:styleId="FootnoteTextChar">
    <w:name w:val="Footnote Text Char"/>
    <w:basedOn w:val="DefaultParagraphFont"/>
    <w:link w:val="FootnoteText"/>
    <w:uiPriority w:val="99"/>
    <w:semiHidden/>
    <w:rsid w:val="00F13E56"/>
    <w:rPr>
      <w:lang w:val="en-NZ"/>
    </w:rPr>
  </w:style>
  <w:style w:type="character" w:styleId="FootnoteReference">
    <w:name w:val="footnote reference"/>
    <w:basedOn w:val="DefaultParagraphFont"/>
    <w:uiPriority w:val="99"/>
    <w:semiHidden/>
    <w:unhideWhenUsed/>
    <w:rsid w:val="00F13E56"/>
    <w:rPr>
      <w:vertAlign w:val="superscript"/>
    </w:rPr>
  </w:style>
</w:styles>
</file>

<file path=word/webSettings.xml><?xml version="1.0" encoding="utf-8"?>
<w:webSettings xmlns:r="http://schemas.openxmlformats.org/officeDocument/2006/relationships" xmlns:w="http://schemas.openxmlformats.org/wordprocessingml/2006/main">
  <w:divs>
    <w:div w:id="806165585">
      <w:bodyDiv w:val="1"/>
      <w:marLeft w:val="0"/>
      <w:marRight w:val="0"/>
      <w:marTop w:val="0"/>
      <w:marBottom w:val="0"/>
      <w:divBdr>
        <w:top w:val="none" w:sz="0" w:space="0" w:color="auto"/>
        <w:left w:val="none" w:sz="0" w:space="0" w:color="auto"/>
        <w:bottom w:val="none" w:sz="0" w:space="0" w:color="auto"/>
        <w:right w:val="none" w:sz="0" w:space="0" w:color="auto"/>
      </w:divBdr>
    </w:div>
    <w:div w:id="1015231921">
      <w:bodyDiv w:val="1"/>
      <w:marLeft w:val="0"/>
      <w:marRight w:val="0"/>
      <w:marTop w:val="0"/>
      <w:marBottom w:val="0"/>
      <w:divBdr>
        <w:top w:val="none" w:sz="0" w:space="0" w:color="auto"/>
        <w:left w:val="none" w:sz="0" w:space="0" w:color="auto"/>
        <w:bottom w:val="none" w:sz="0" w:space="0" w:color="auto"/>
        <w:right w:val="none" w:sz="0" w:space="0" w:color="auto"/>
      </w:divBdr>
    </w:div>
    <w:div w:id="1564290614">
      <w:bodyDiv w:val="1"/>
      <w:marLeft w:val="0"/>
      <w:marRight w:val="0"/>
      <w:marTop w:val="0"/>
      <w:marBottom w:val="0"/>
      <w:divBdr>
        <w:top w:val="none" w:sz="0" w:space="0" w:color="auto"/>
        <w:left w:val="none" w:sz="0" w:space="0" w:color="auto"/>
        <w:bottom w:val="none" w:sz="0" w:space="0" w:color="auto"/>
        <w:right w:val="none" w:sz="0" w:space="0" w:color="auto"/>
      </w:divBdr>
    </w:div>
    <w:div w:id="19649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52212-ED9E-41FA-8636-92CCA06A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 </cp:lastModifiedBy>
  <cp:revision>7</cp:revision>
  <dcterms:created xsi:type="dcterms:W3CDTF">2015-07-16T03:40:00Z</dcterms:created>
  <dcterms:modified xsi:type="dcterms:W3CDTF">2015-07-29T01:52:00Z</dcterms:modified>
</cp:coreProperties>
</file>