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132D83" w:rsidRDefault="00F33537" w:rsidP="00DC73B8">
      <w:pPr>
        <w:pStyle w:val="Heading1"/>
        <w:pageBreakBefore/>
        <w:rPr>
          <w:rFonts w:cs="Arial"/>
          <w:szCs w:val="28"/>
        </w:rPr>
      </w:pPr>
      <w:bookmarkStart w:id="0" w:name="_Toc244916993"/>
      <w:bookmarkStart w:id="1" w:name="_Toc244509141"/>
      <w:bookmarkStart w:id="2" w:name="_GoBack"/>
      <w:bookmarkEnd w:id="2"/>
      <w:r w:rsidRPr="00132D83">
        <w:rPr>
          <w:rFonts w:cs="Arial"/>
          <w:szCs w:val="28"/>
        </w:rPr>
        <w:t>Regulatory Impact Statement</w:t>
      </w:r>
      <w:proofErr w:type="gramStart"/>
      <w:r w:rsidRPr="00132D83">
        <w:rPr>
          <w:rFonts w:cs="Arial"/>
          <w:szCs w:val="28"/>
        </w:rPr>
        <w:t>:</w:t>
      </w:r>
      <w:proofErr w:type="gramEnd"/>
      <w:r w:rsidRPr="00132D83">
        <w:rPr>
          <w:rFonts w:cs="Arial"/>
          <w:szCs w:val="28"/>
        </w:rPr>
        <w:br/>
      </w:r>
      <w:r w:rsidR="00610DB8" w:rsidRPr="00132D83">
        <w:rPr>
          <w:rFonts w:cs="Arial"/>
        </w:rPr>
        <w:t>O</w:t>
      </w:r>
      <w:r w:rsidR="000545DC" w:rsidRPr="00132D83">
        <w:rPr>
          <w:rFonts w:cs="Arial"/>
          <w:szCs w:val="28"/>
        </w:rPr>
        <w:t>verview of required information</w:t>
      </w:r>
      <w:bookmarkEnd w:id="0"/>
      <w:bookmarkEnd w:id="1"/>
    </w:p>
    <w:p w:rsidR="00610DB8" w:rsidRPr="00132D83" w:rsidRDefault="00610DB8" w:rsidP="00610DB8">
      <w:pPr>
        <w:pStyle w:val="spacer"/>
        <w:rPr>
          <w:rFonts w:cs="Arial"/>
        </w:rPr>
      </w:pPr>
    </w:p>
    <w:p w:rsidR="000545DC" w:rsidRPr="00132D83" w:rsidRDefault="000545DC" w:rsidP="002253E9">
      <w:pPr>
        <w:pStyle w:val="Heading2"/>
        <w:pBdr>
          <w:top w:val="single" w:sz="2" w:space="6" w:color="B2B2B2"/>
          <w:left w:val="single" w:sz="2" w:space="6" w:color="B2B2B2"/>
          <w:bottom w:val="single" w:sz="2" w:space="6" w:color="B2B2B2"/>
          <w:right w:val="single" w:sz="2" w:space="6" w:color="B2B2B2"/>
        </w:pBdr>
        <w:ind w:left="170" w:right="170"/>
        <w:jc w:val="center"/>
      </w:pPr>
      <w:bookmarkStart w:id="3" w:name="_Regulatory_Impact_Statement"/>
      <w:bookmarkStart w:id="4" w:name="_Toc244580362"/>
      <w:bookmarkStart w:id="5" w:name="_Toc244587038"/>
      <w:bookmarkStart w:id="6" w:name="_Toc244857272"/>
      <w:bookmarkStart w:id="7" w:name="_Toc244912537"/>
      <w:bookmarkStart w:id="8" w:name="_Toc244916994"/>
      <w:bookmarkEnd w:id="3"/>
      <w:r w:rsidRPr="00132D83">
        <w:t>Regulatory Impact Statement</w:t>
      </w:r>
      <w:bookmarkEnd w:id="4"/>
      <w:bookmarkEnd w:id="5"/>
      <w:bookmarkEnd w:id="6"/>
      <w:bookmarkEnd w:id="7"/>
      <w:bookmarkEnd w:id="8"/>
    </w:p>
    <w:p w:rsidR="000545DC" w:rsidRPr="00132D83" w:rsidRDefault="00A06F6C" w:rsidP="002253E9">
      <w:pPr>
        <w:pBdr>
          <w:top w:val="single" w:sz="2" w:space="6" w:color="B2B2B2"/>
          <w:left w:val="single" w:sz="2" w:space="6" w:color="B2B2B2"/>
          <w:bottom w:val="single" w:sz="2" w:space="6" w:color="B2B2B2"/>
          <w:right w:val="single" w:sz="2" w:space="6" w:color="B2B2B2"/>
        </w:pBdr>
        <w:spacing w:before="60" w:after="180"/>
        <w:ind w:left="170" w:right="170"/>
        <w:rPr>
          <w:rFonts w:cs="Arial"/>
          <w:b/>
          <w:sz w:val="24"/>
          <w:szCs w:val="24"/>
        </w:rPr>
      </w:pPr>
      <w:r w:rsidRPr="00132D83">
        <w:rPr>
          <w:rFonts w:cs="Arial"/>
          <w:b/>
          <w:sz w:val="24"/>
          <w:szCs w:val="24"/>
        </w:rPr>
        <w:t xml:space="preserve">Amending references to health practitioners in </w:t>
      </w:r>
      <w:r w:rsidR="003A43DD" w:rsidRPr="00132D83">
        <w:rPr>
          <w:rFonts w:cs="Arial"/>
          <w:b/>
          <w:sz w:val="24"/>
          <w:szCs w:val="24"/>
        </w:rPr>
        <w:t>relation to opioid substitution treatment and certification of cause of death</w:t>
      </w:r>
    </w:p>
    <w:p w:rsidR="000545DC" w:rsidRPr="00132D83" w:rsidRDefault="000545DC" w:rsidP="002253E9">
      <w:pPr>
        <w:pBdr>
          <w:top w:val="single" w:sz="2" w:space="6" w:color="B2B2B2"/>
          <w:left w:val="single" w:sz="2" w:space="6" w:color="B2B2B2"/>
          <w:bottom w:val="single" w:sz="2" w:space="6" w:color="B2B2B2"/>
          <w:right w:val="single" w:sz="2" w:space="6" w:color="B2B2B2"/>
        </w:pBdr>
        <w:ind w:left="170" w:right="170"/>
        <w:rPr>
          <w:rFonts w:cs="Arial"/>
          <w:b/>
          <w:sz w:val="24"/>
          <w:szCs w:val="24"/>
        </w:rPr>
      </w:pPr>
      <w:r w:rsidRPr="00132D83">
        <w:rPr>
          <w:rFonts w:cs="Arial"/>
          <w:b/>
          <w:sz w:val="24"/>
          <w:szCs w:val="24"/>
        </w:rPr>
        <w:t xml:space="preserve">Agency Disclosure Statement </w:t>
      </w:r>
    </w:p>
    <w:p w:rsidR="000545DC" w:rsidRPr="00132D83" w:rsidRDefault="000545DC" w:rsidP="002253E9">
      <w:pPr>
        <w:pStyle w:val="ListParagraph"/>
        <w:pBdr>
          <w:top w:val="single" w:sz="2" w:space="6" w:color="B2B2B2"/>
          <w:left w:val="single" w:sz="2" w:space="6" w:color="B2B2B2"/>
          <w:bottom w:val="single" w:sz="2" w:space="6" w:color="B2B2B2"/>
          <w:right w:val="single" w:sz="2" w:space="6" w:color="B2B2B2"/>
        </w:pBdr>
        <w:spacing w:after="240" w:line="280" w:lineRule="atLeast"/>
        <w:ind w:left="170" w:right="170"/>
        <w:contextualSpacing w:val="0"/>
        <w:rPr>
          <w:rFonts w:cs="Arial"/>
        </w:rPr>
      </w:pPr>
      <w:r w:rsidRPr="00132D83">
        <w:rPr>
          <w:rFonts w:cs="Arial"/>
        </w:rPr>
        <w:t xml:space="preserve">This Regulatory Impact Statement has been prepared by </w:t>
      </w:r>
      <w:r w:rsidR="006F573C" w:rsidRPr="00132D83">
        <w:rPr>
          <w:rFonts w:cs="Arial"/>
        </w:rPr>
        <w:t>the Ministry of Health.</w:t>
      </w:r>
      <w:r w:rsidRPr="00132D83">
        <w:rPr>
          <w:rFonts w:cs="Arial"/>
        </w:rPr>
        <w:t xml:space="preserve"> </w:t>
      </w:r>
    </w:p>
    <w:p w:rsidR="000545DC" w:rsidRPr="00132D83" w:rsidRDefault="000545DC" w:rsidP="002253E9">
      <w:pPr>
        <w:pStyle w:val="ListParagraph"/>
        <w:pBdr>
          <w:top w:val="single" w:sz="2" w:space="6" w:color="B2B2B2"/>
          <w:left w:val="single" w:sz="2" w:space="6" w:color="B2B2B2"/>
          <w:bottom w:val="single" w:sz="2" w:space="6" w:color="B2B2B2"/>
          <w:right w:val="single" w:sz="2" w:space="6" w:color="B2B2B2"/>
        </w:pBdr>
        <w:spacing w:after="240" w:line="280" w:lineRule="atLeast"/>
        <w:ind w:left="170" w:right="170"/>
        <w:contextualSpacing w:val="0"/>
        <w:rPr>
          <w:rFonts w:cs="Arial"/>
        </w:rPr>
      </w:pPr>
      <w:r w:rsidRPr="00132D83">
        <w:rPr>
          <w:rFonts w:cs="Arial"/>
        </w:rPr>
        <w:t xml:space="preserve">It provides an analysis of options to </w:t>
      </w:r>
      <w:r w:rsidR="00A06F6C" w:rsidRPr="00132D83">
        <w:rPr>
          <w:rFonts w:cs="Arial"/>
        </w:rPr>
        <w:t xml:space="preserve">change </w:t>
      </w:r>
      <w:r w:rsidR="0057348E" w:rsidRPr="00132D83">
        <w:rPr>
          <w:rFonts w:cs="Arial"/>
        </w:rPr>
        <w:t xml:space="preserve">two </w:t>
      </w:r>
      <w:r w:rsidR="00A06F6C" w:rsidRPr="00132D83">
        <w:rPr>
          <w:rFonts w:cs="Arial"/>
        </w:rPr>
        <w:t xml:space="preserve">unnecessarily restrictive statutory references </w:t>
      </w:r>
      <w:r w:rsidR="0057348E" w:rsidRPr="00132D83">
        <w:rPr>
          <w:rFonts w:cs="Arial"/>
        </w:rPr>
        <w:t xml:space="preserve">from medical practitioners </w:t>
      </w:r>
      <w:r w:rsidR="00A06F6C" w:rsidRPr="00132D83">
        <w:rPr>
          <w:rFonts w:cs="Arial"/>
        </w:rPr>
        <w:t xml:space="preserve">to health practitioners. </w:t>
      </w:r>
      <w:r w:rsidR="00F60E34" w:rsidRPr="00132D83">
        <w:rPr>
          <w:rFonts w:cs="Arial"/>
        </w:rPr>
        <w:t>The net impact is to ease regulatory restrictions in the health sector.</w:t>
      </w:r>
    </w:p>
    <w:p w:rsidR="0014080A" w:rsidRPr="00132D83" w:rsidRDefault="0014080A" w:rsidP="002253E9">
      <w:pPr>
        <w:pStyle w:val="ListParagraph"/>
        <w:pBdr>
          <w:top w:val="single" w:sz="2" w:space="6" w:color="B2B2B2"/>
          <w:left w:val="single" w:sz="2" w:space="6" w:color="B2B2B2"/>
          <w:bottom w:val="single" w:sz="2" w:space="6" w:color="B2B2B2"/>
          <w:right w:val="single" w:sz="2" w:space="6" w:color="B2B2B2"/>
        </w:pBdr>
        <w:spacing w:after="240" w:line="280" w:lineRule="atLeast"/>
        <w:ind w:left="170" w:right="170"/>
        <w:contextualSpacing w:val="0"/>
        <w:rPr>
          <w:rFonts w:cs="Arial"/>
        </w:rPr>
      </w:pPr>
      <w:r w:rsidRPr="00132D83">
        <w:rPr>
          <w:rFonts w:cs="Arial"/>
        </w:rPr>
        <w:t>It has not been possible to quantify the benefits of the proposed change. However,</w:t>
      </w:r>
      <w:r w:rsidR="000C2EAC" w:rsidRPr="00132D83">
        <w:rPr>
          <w:rFonts w:cs="Arial"/>
        </w:rPr>
        <w:t xml:space="preserve"> there are clear benefits and</w:t>
      </w:r>
      <w:r w:rsidRPr="00132D83">
        <w:rPr>
          <w:rFonts w:cs="Arial"/>
        </w:rPr>
        <w:t xml:space="preserve"> identifiable costs</w:t>
      </w:r>
      <w:r w:rsidR="000C2EAC" w:rsidRPr="00132D83">
        <w:rPr>
          <w:rFonts w:cs="Arial"/>
        </w:rPr>
        <w:t xml:space="preserve"> a</w:t>
      </w:r>
      <w:r w:rsidR="00B909DA" w:rsidRPr="00132D83">
        <w:rPr>
          <w:rFonts w:cs="Arial"/>
        </w:rPr>
        <w:t>re minimal</w:t>
      </w:r>
      <w:r w:rsidRPr="00132D83">
        <w:rPr>
          <w:rFonts w:cs="Arial"/>
        </w:rPr>
        <w:t xml:space="preserve">. </w:t>
      </w:r>
    </w:p>
    <w:p w:rsidR="0014080A" w:rsidRPr="00132D83" w:rsidRDefault="0014080A" w:rsidP="002253E9">
      <w:pPr>
        <w:pStyle w:val="ListParagraph"/>
        <w:pBdr>
          <w:top w:val="single" w:sz="2" w:space="6" w:color="B2B2B2"/>
          <w:left w:val="single" w:sz="2" w:space="6" w:color="B2B2B2"/>
          <w:bottom w:val="single" w:sz="2" w:space="6" w:color="B2B2B2"/>
          <w:right w:val="single" w:sz="2" w:space="6" w:color="B2B2B2"/>
        </w:pBdr>
        <w:spacing w:after="240" w:line="280" w:lineRule="atLeast"/>
        <w:ind w:left="170" w:right="170"/>
        <w:contextualSpacing w:val="0"/>
        <w:rPr>
          <w:rFonts w:cs="Arial"/>
        </w:rPr>
      </w:pPr>
      <w:r w:rsidRPr="00132D83">
        <w:rPr>
          <w:rFonts w:cs="Arial"/>
        </w:rPr>
        <w:t>The proposal does not:</w:t>
      </w:r>
    </w:p>
    <w:p w:rsidR="000545DC" w:rsidRPr="00132D83" w:rsidRDefault="000545DC" w:rsidP="002253E9">
      <w:pPr>
        <w:pStyle w:val="Bullet-list"/>
        <w:pBdr>
          <w:top w:val="single" w:sz="2" w:space="6" w:color="B2B2B2"/>
          <w:left w:val="single" w:sz="2" w:space="6" w:color="B2B2B2"/>
          <w:bottom w:val="single" w:sz="2" w:space="6" w:color="B2B2B2"/>
          <w:right w:val="single" w:sz="2" w:space="6" w:color="B2B2B2"/>
        </w:pBdr>
        <w:spacing w:line="280" w:lineRule="atLeast"/>
        <w:ind w:left="454" w:right="170"/>
      </w:pPr>
      <w:r w:rsidRPr="00132D83">
        <w:t>impose additional costs on businesses</w:t>
      </w:r>
    </w:p>
    <w:p w:rsidR="000545DC" w:rsidRPr="00132D83" w:rsidRDefault="000545DC" w:rsidP="002253E9">
      <w:pPr>
        <w:pStyle w:val="Bullet-list"/>
        <w:pBdr>
          <w:top w:val="single" w:sz="2" w:space="6" w:color="B2B2B2"/>
          <w:left w:val="single" w:sz="2" w:space="6" w:color="B2B2B2"/>
          <w:bottom w:val="single" w:sz="2" w:space="6" w:color="B2B2B2"/>
          <w:right w:val="single" w:sz="2" w:space="6" w:color="B2B2B2"/>
        </w:pBdr>
        <w:spacing w:line="280" w:lineRule="atLeast"/>
        <w:ind w:left="454" w:right="170"/>
      </w:pPr>
      <w:r w:rsidRPr="00132D83">
        <w:t>impair private property rights, market competition, or the incentives on bu</w:t>
      </w:r>
      <w:r w:rsidR="004532A3" w:rsidRPr="00132D83">
        <w:t>sinesses to innovate and invest,</w:t>
      </w:r>
      <w:r w:rsidRPr="00132D83">
        <w:t xml:space="preserve"> or</w:t>
      </w:r>
    </w:p>
    <w:p w:rsidR="0014080A" w:rsidRPr="00132D83" w:rsidRDefault="000545DC" w:rsidP="0014080A">
      <w:pPr>
        <w:pStyle w:val="Bullet-list"/>
        <w:pBdr>
          <w:top w:val="single" w:sz="2" w:space="6" w:color="B2B2B2"/>
          <w:left w:val="single" w:sz="2" w:space="6" w:color="B2B2B2"/>
          <w:bottom w:val="single" w:sz="2" w:space="6" w:color="B2B2B2"/>
          <w:right w:val="single" w:sz="2" w:space="6" w:color="B2B2B2"/>
        </w:pBdr>
        <w:spacing w:after="240" w:line="280" w:lineRule="atLeast"/>
        <w:ind w:left="454" w:right="170"/>
      </w:pPr>
      <w:proofErr w:type="gramStart"/>
      <w:r w:rsidRPr="00132D83">
        <w:t>override</w:t>
      </w:r>
      <w:proofErr w:type="gramEnd"/>
      <w:r w:rsidRPr="00132D83">
        <w:t xml:space="preserve"> fundamental common law principles</w:t>
      </w:r>
      <w:r w:rsidR="00BC5156" w:rsidRPr="00132D83">
        <w:t>.</w:t>
      </w:r>
      <w:r w:rsidRPr="00132D83">
        <w:t xml:space="preserve"> </w:t>
      </w:r>
    </w:p>
    <w:p w:rsidR="008B2BF3" w:rsidRPr="00132D83" w:rsidRDefault="008B2BF3" w:rsidP="002F2AF4">
      <w:pPr>
        <w:pStyle w:val="Bullet-list"/>
        <w:numPr>
          <w:ilvl w:val="0"/>
          <w:numId w:val="0"/>
        </w:numPr>
        <w:pBdr>
          <w:top w:val="single" w:sz="2" w:space="6" w:color="B2B2B2"/>
          <w:left w:val="single" w:sz="2" w:space="6" w:color="B2B2B2"/>
          <w:bottom w:val="single" w:sz="2" w:space="6" w:color="B2B2B2"/>
          <w:right w:val="single" w:sz="2" w:space="6" w:color="B2B2B2"/>
        </w:pBdr>
        <w:spacing w:after="240" w:line="280" w:lineRule="atLeast"/>
        <w:ind w:left="170" w:right="170"/>
      </w:pPr>
    </w:p>
    <w:p w:rsidR="002F2AF4" w:rsidRPr="00132D83" w:rsidRDefault="008C73FA" w:rsidP="003A43DD">
      <w:pPr>
        <w:pStyle w:val="Bullet-list"/>
        <w:numPr>
          <w:ilvl w:val="0"/>
          <w:numId w:val="0"/>
        </w:numPr>
        <w:pBdr>
          <w:top w:val="single" w:sz="2" w:space="6" w:color="B2B2B2"/>
          <w:left w:val="single" w:sz="2" w:space="6" w:color="B2B2B2"/>
          <w:bottom w:val="single" w:sz="2" w:space="6" w:color="B2B2B2"/>
          <w:right w:val="single" w:sz="2" w:space="6" w:color="B2B2B2"/>
        </w:pBdr>
        <w:spacing w:after="0" w:line="280" w:lineRule="atLeast"/>
        <w:ind w:left="170" w:right="170"/>
      </w:pPr>
      <w:r w:rsidRPr="00132D83">
        <w:t>Brenda Wraight</w:t>
      </w:r>
    </w:p>
    <w:p w:rsidR="008C73FA" w:rsidRPr="00132D83" w:rsidRDefault="008C73FA" w:rsidP="003A43DD">
      <w:pPr>
        <w:pStyle w:val="Bullet-list"/>
        <w:numPr>
          <w:ilvl w:val="0"/>
          <w:numId w:val="0"/>
        </w:numPr>
        <w:pBdr>
          <w:top w:val="single" w:sz="2" w:space="6" w:color="B2B2B2"/>
          <w:left w:val="single" w:sz="2" w:space="6" w:color="B2B2B2"/>
          <w:bottom w:val="single" w:sz="2" w:space="6" w:color="B2B2B2"/>
          <w:right w:val="single" w:sz="2" w:space="6" w:color="B2B2B2"/>
        </w:pBdr>
        <w:spacing w:after="0" w:line="280" w:lineRule="atLeast"/>
        <w:ind w:left="170" w:right="170"/>
      </w:pPr>
      <w:r w:rsidRPr="00132D83">
        <w:t xml:space="preserve">Director, Health Workforce New Zealand </w:t>
      </w:r>
    </w:p>
    <w:p w:rsidR="000545DC" w:rsidRPr="00132D83" w:rsidRDefault="000545DC" w:rsidP="002253E9">
      <w:pPr>
        <w:pStyle w:val="Text"/>
        <w:pBdr>
          <w:top w:val="single" w:sz="2" w:space="6" w:color="B2B2B2"/>
          <w:left w:val="single" w:sz="2" w:space="6" w:color="B2B2B2"/>
          <w:bottom w:val="single" w:sz="2" w:space="6" w:color="B2B2B2"/>
          <w:right w:val="single" w:sz="2" w:space="6" w:color="B2B2B2"/>
        </w:pBdr>
        <w:spacing w:before="0" w:after="180" w:line="280" w:lineRule="atLeast"/>
        <w:ind w:left="170" w:right="170"/>
        <w:rPr>
          <w:rFonts w:cs="Arial"/>
          <w:lang w:val="en-NZ"/>
        </w:rPr>
      </w:pPr>
    </w:p>
    <w:p w:rsidR="008B2BF3" w:rsidRPr="00132D83" w:rsidRDefault="008B2BF3" w:rsidP="002253E9">
      <w:pPr>
        <w:pStyle w:val="Text"/>
        <w:pBdr>
          <w:top w:val="single" w:sz="2" w:space="6" w:color="B2B2B2"/>
          <w:left w:val="single" w:sz="2" w:space="6" w:color="B2B2B2"/>
          <w:bottom w:val="single" w:sz="2" w:space="6" w:color="B2B2B2"/>
          <w:right w:val="single" w:sz="2" w:space="6" w:color="B2B2B2"/>
        </w:pBdr>
        <w:spacing w:before="0" w:after="180" w:line="280" w:lineRule="atLeast"/>
        <w:ind w:left="170" w:right="170"/>
        <w:rPr>
          <w:rFonts w:cs="Arial"/>
          <w:lang w:val="en-NZ"/>
        </w:rPr>
      </w:pPr>
    </w:p>
    <w:p w:rsidR="000545DC" w:rsidRPr="00132D83" w:rsidRDefault="008B2BF3" w:rsidP="002253E9">
      <w:pPr>
        <w:pStyle w:val="Text"/>
        <w:pBdr>
          <w:top w:val="single" w:sz="2" w:space="6" w:color="B2B2B2"/>
          <w:left w:val="single" w:sz="2" w:space="6" w:color="B2B2B2"/>
          <w:bottom w:val="single" w:sz="2" w:space="6" w:color="B2B2B2"/>
          <w:right w:val="single" w:sz="2" w:space="6" w:color="B2B2B2"/>
        </w:pBdr>
        <w:tabs>
          <w:tab w:val="left" w:pos="6521"/>
        </w:tabs>
        <w:spacing w:before="0" w:after="180" w:line="280" w:lineRule="atLeast"/>
        <w:ind w:left="170" w:right="170"/>
        <w:rPr>
          <w:rFonts w:cs="Arial"/>
          <w:lang w:val="en-NZ"/>
        </w:rPr>
      </w:pPr>
      <w:r w:rsidRPr="00132D83">
        <w:rPr>
          <w:rFonts w:cs="Arial"/>
          <w:lang w:val="en-NZ"/>
        </w:rPr>
        <w:t>[Signature</w:t>
      </w:r>
      <w:r w:rsidR="002E1226" w:rsidRPr="00132D83">
        <w:rPr>
          <w:rFonts w:cs="Arial"/>
          <w:lang w:val="en-NZ"/>
        </w:rPr>
        <w:t>]</w:t>
      </w:r>
      <w:r w:rsidR="002E1226" w:rsidRPr="00132D83">
        <w:rPr>
          <w:rFonts w:cs="Arial"/>
          <w:lang w:val="en-NZ"/>
        </w:rPr>
        <w:tab/>
      </w:r>
      <w:r w:rsidR="000545DC" w:rsidRPr="00132D83">
        <w:rPr>
          <w:rFonts w:cs="Arial"/>
          <w:lang w:val="en-NZ"/>
        </w:rPr>
        <w:t>[Date]</w:t>
      </w:r>
    </w:p>
    <w:p w:rsidR="008C1F36" w:rsidRPr="00132D83" w:rsidRDefault="008C1F36" w:rsidP="008C1F36">
      <w:pPr>
        <w:pStyle w:val="Bullet-list"/>
        <w:numPr>
          <w:ilvl w:val="0"/>
          <w:numId w:val="0"/>
        </w:numPr>
        <w:spacing w:line="280" w:lineRule="atLeast"/>
        <w:ind w:left="567"/>
      </w:pPr>
    </w:p>
    <w:p w:rsidR="008C1F36" w:rsidRPr="00132D83" w:rsidRDefault="008C1F36" w:rsidP="008C1F36">
      <w:pPr>
        <w:pStyle w:val="Bullet-list"/>
        <w:numPr>
          <w:ilvl w:val="0"/>
          <w:numId w:val="0"/>
        </w:numPr>
        <w:spacing w:line="280" w:lineRule="atLeast"/>
        <w:ind w:left="567"/>
      </w:pPr>
    </w:p>
    <w:p w:rsidR="008C1F36" w:rsidRPr="00132D83" w:rsidRDefault="008C1F36" w:rsidP="008C1F36">
      <w:pPr>
        <w:pStyle w:val="Bullet-list"/>
        <w:numPr>
          <w:ilvl w:val="0"/>
          <w:numId w:val="0"/>
        </w:numPr>
        <w:spacing w:line="280" w:lineRule="atLeast"/>
        <w:ind w:left="567"/>
      </w:pPr>
    </w:p>
    <w:p w:rsidR="008C1F36" w:rsidRPr="00132D83" w:rsidRDefault="008C1F36" w:rsidP="008C1F36">
      <w:pPr>
        <w:pStyle w:val="Bullet-list"/>
        <w:numPr>
          <w:ilvl w:val="0"/>
          <w:numId w:val="0"/>
        </w:numPr>
        <w:spacing w:line="280" w:lineRule="atLeast"/>
        <w:ind w:left="567"/>
      </w:pPr>
    </w:p>
    <w:p w:rsidR="008C1F36" w:rsidRPr="00132D83" w:rsidRDefault="008C1F36" w:rsidP="008C1F36">
      <w:pPr>
        <w:pStyle w:val="Bullet-list"/>
        <w:numPr>
          <w:ilvl w:val="0"/>
          <w:numId w:val="0"/>
        </w:numPr>
        <w:spacing w:line="280" w:lineRule="atLeast"/>
        <w:ind w:left="567"/>
      </w:pPr>
    </w:p>
    <w:p w:rsidR="008C1F36" w:rsidRPr="00132D83" w:rsidRDefault="008C1F36" w:rsidP="008C1F36">
      <w:pPr>
        <w:pStyle w:val="Bullet-list"/>
        <w:numPr>
          <w:ilvl w:val="0"/>
          <w:numId w:val="0"/>
        </w:numPr>
        <w:spacing w:line="280" w:lineRule="atLeast"/>
        <w:ind w:left="567"/>
      </w:pPr>
    </w:p>
    <w:p w:rsidR="00463DB5" w:rsidRPr="00132D83" w:rsidRDefault="00463DB5" w:rsidP="00463DB5">
      <w:pPr>
        <w:pStyle w:val="Bullet-list"/>
        <w:numPr>
          <w:ilvl w:val="0"/>
          <w:numId w:val="0"/>
        </w:numPr>
        <w:spacing w:line="280" w:lineRule="atLeast"/>
        <w:ind w:left="567"/>
      </w:pPr>
    </w:p>
    <w:p w:rsidR="00463DB5" w:rsidRPr="00132D83" w:rsidRDefault="00463DB5" w:rsidP="00463DB5">
      <w:pPr>
        <w:pStyle w:val="Bullet-list"/>
        <w:numPr>
          <w:ilvl w:val="0"/>
          <w:numId w:val="0"/>
        </w:numPr>
        <w:spacing w:line="280" w:lineRule="atLeast"/>
        <w:ind w:left="567"/>
      </w:pPr>
    </w:p>
    <w:p w:rsidR="00463DB5" w:rsidRPr="00132D83" w:rsidRDefault="00463DB5" w:rsidP="00463DB5">
      <w:pPr>
        <w:pStyle w:val="Bullet-list"/>
        <w:numPr>
          <w:ilvl w:val="0"/>
          <w:numId w:val="0"/>
        </w:numPr>
        <w:spacing w:line="280" w:lineRule="atLeast"/>
        <w:ind w:left="567"/>
      </w:pPr>
    </w:p>
    <w:p w:rsidR="00463DB5" w:rsidRPr="00132D83" w:rsidRDefault="00463DB5" w:rsidP="00463DB5">
      <w:pPr>
        <w:pStyle w:val="Heading3"/>
      </w:pPr>
      <w:r w:rsidRPr="00132D83">
        <w:t>Status quo and problem definition</w:t>
      </w:r>
    </w:p>
    <w:p w:rsidR="000545DC" w:rsidRPr="00132D83" w:rsidRDefault="006F573C" w:rsidP="00463DB5">
      <w:pPr>
        <w:pStyle w:val="Bullet-list"/>
        <w:numPr>
          <w:ilvl w:val="0"/>
          <w:numId w:val="33"/>
        </w:numPr>
        <w:tabs>
          <w:tab w:val="clear" w:pos="720"/>
          <w:tab w:val="num" w:pos="567"/>
        </w:tabs>
        <w:spacing w:line="280" w:lineRule="atLeast"/>
        <w:ind w:left="567" w:hanging="567"/>
      </w:pPr>
      <w:r w:rsidRPr="00132D83">
        <w:t xml:space="preserve">At present, certain statutory functions are reserved to medical practitioners. For example, the Holidays Act 2003 </w:t>
      </w:r>
      <w:r w:rsidR="00693565" w:rsidRPr="00132D83">
        <w:t>only allows</w:t>
      </w:r>
      <w:r w:rsidRPr="00132D83">
        <w:t xml:space="preserve"> medical practitioner</w:t>
      </w:r>
      <w:r w:rsidR="00693565" w:rsidRPr="00132D83">
        <w:t xml:space="preserve">s to provide a certificate as proof of sickness, and the Land Transport Act 1998 only allows </w:t>
      </w:r>
      <w:r w:rsidR="00693565" w:rsidRPr="00132D83">
        <w:rPr>
          <w:rFonts w:cs="Arial"/>
          <w:szCs w:val="22"/>
        </w:rPr>
        <w:t>medical practitioners and optometrists to provide medical reports on persons unfit to drive</w:t>
      </w:r>
      <w:r w:rsidRPr="00132D83">
        <w:rPr>
          <w:szCs w:val="22"/>
        </w:rPr>
        <w:t>.</w:t>
      </w:r>
      <w:r w:rsidR="00693565" w:rsidRPr="00132D83">
        <w:t xml:space="preserve"> These restrictions</w:t>
      </w:r>
      <w:r w:rsidR="00294CCC" w:rsidRPr="00132D83">
        <w:t xml:space="preserve"> impose unnecessary costs on practitioners and the public.</w:t>
      </w:r>
    </w:p>
    <w:p w:rsidR="00EB49CA" w:rsidRPr="00132D83" w:rsidRDefault="0057348E" w:rsidP="00584DB6">
      <w:pPr>
        <w:numPr>
          <w:ilvl w:val="0"/>
          <w:numId w:val="33"/>
        </w:numPr>
        <w:tabs>
          <w:tab w:val="clear" w:pos="720"/>
          <w:tab w:val="num" w:pos="567"/>
        </w:tabs>
        <w:autoSpaceDE w:val="0"/>
        <w:autoSpaceDN w:val="0"/>
        <w:adjustRightInd w:val="0"/>
        <w:spacing w:after="120"/>
        <w:ind w:left="567" w:hanging="567"/>
        <w:rPr>
          <w:rFonts w:cs="Arial"/>
          <w:color w:val="000000"/>
          <w:szCs w:val="22"/>
        </w:rPr>
      </w:pPr>
      <w:r w:rsidRPr="00132D83">
        <w:t>Currently, p</w:t>
      </w:r>
      <w:r w:rsidR="006F573C" w:rsidRPr="00132D83">
        <w:rPr>
          <w:rFonts w:cs="Arial"/>
          <w:color w:val="000000"/>
          <w:szCs w:val="22"/>
        </w:rPr>
        <w:t xml:space="preserve">ractitioners with the competencies and knowledge to perform a particular statutory responsibility are unable to legally do so. </w:t>
      </w:r>
      <w:r w:rsidR="00BC5156" w:rsidRPr="00132D83">
        <w:rPr>
          <w:rFonts w:cs="Arial"/>
          <w:color w:val="000000"/>
          <w:szCs w:val="22"/>
        </w:rPr>
        <w:t>This creates unnecessary costs for</w:t>
      </w:r>
      <w:r w:rsidR="006F573C" w:rsidRPr="00132D83">
        <w:rPr>
          <w:rFonts w:cs="Arial"/>
          <w:color w:val="000000"/>
          <w:szCs w:val="22"/>
        </w:rPr>
        <w:t xml:space="preserve"> the public, who must ofte</w:t>
      </w:r>
      <w:r w:rsidR="00BC5156" w:rsidRPr="00132D83">
        <w:rPr>
          <w:rFonts w:cs="Arial"/>
          <w:color w:val="000000"/>
          <w:szCs w:val="22"/>
        </w:rPr>
        <w:t xml:space="preserve">n wait and pay to see a doctor </w:t>
      </w:r>
      <w:r w:rsidR="006F573C" w:rsidRPr="00132D83">
        <w:rPr>
          <w:rFonts w:cs="Arial"/>
          <w:color w:val="000000"/>
          <w:szCs w:val="22"/>
        </w:rPr>
        <w:t>when another practitioner could carry out an examination or assessment in a mo</w:t>
      </w:r>
      <w:r w:rsidR="002F2AF4" w:rsidRPr="00132D83">
        <w:rPr>
          <w:rFonts w:cs="Arial"/>
          <w:color w:val="000000"/>
          <w:szCs w:val="22"/>
        </w:rPr>
        <w:t>re timely and cost-effective manner</w:t>
      </w:r>
      <w:r w:rsidR="006F573C" w:rsidRPr="00132D83">
        <w:rPr>
          <w:rFonts w:cs="Arial"/>
          <w:color w:val="000000"/>
          <w:szCs w:val="22"/>
        </w:rPr>
        <w:t xml:space="preserve">. The current legislation also </w:t>
      </w:r>
      <w:r w:rsidR="002E320F" w:rsidRPr="00132D83">
        <w:rPr>
          <w:rFonts w:cs="Arial"/>
          <w:color w:val="000000"/>
          <w:szCs w:val="22"/>
        </w:rPr>
        <w:t>creates a barrier to</w:t>
      </w:r>
      <w:r w:rsidR="006F573C" w:rsidRPr="00132D83">
        <w:rPr>
          <w:rFonts w:cs="Arial"/>
          <w:color w:val="000000"/>
          <w:szCs w:val="22"/>
        </w:rPr>
        <w:t xml:space="preserve"> innovative practice, and </w:t>
      </w:r>
      <w:r w:rsidR="00D13984" w:rsidRPr="00132D83">
        <w:rPr>
          <w:rFonts w:cs="Arial"/>
          <w:color w:val="000000"/>
          <w:szCs w:val="22"/>
        </w:rPr>
        <w:t xml:space="preserve">with practitioners making the best use of their time and resources. </w:t>
      </w:r>
      <w:r w:rsidR="00EB49CA" w:rsidRPr="00132D83">
        <w:rPr>
          <w:rFonts w:cs="Arial"/>
          <w:color w:val="000000"/>
          <w:szCs w:val="22"/>
        </w:rPr>
        <w:t xml:space="preserve">As the demand for health services continues to grow, it is becoming increasingly </w:t>
      </w:r>
      <w:r w:rsidR="002E320F" w:rsidRPr="00132D83">
        <w:rPr>
          <w:rFonts w:cs="Arial"/>
          <w:color w:val="000000"/>
          <w:szCs w:val="22"/>
        </w:rPr>
        <w:t>important</w:t>
      </w:r>
      <w:r w:rsidR="00EB49CA" w:rsidRPr="00132D83">
        <w:rPr>
          <w:rFonts w:cs="Arial"/>
          <w:color w:val="000000"/>
          <w:szCs w:val="22"/>
        </w:rPr>
        <w:t xml:space="preserve"> that </w:t>
      </w:r>
      <w:r w:rsidR="002E320F" w:rsidRPr="00132D83">
        <w:rPr>
          <w:rFonts w:cs="Arial"/>
          <w:color w:val="000000"/>
          <w:szCs w:val="22"/>
        </w:rPr>
        <w:t>barriers</w:t>
      </w:r>
      <w:r w:rsidR="00EB49CA" w:rsidRPr="00132D83">
        <w:rPr>
          <w:rFonts w:cs="Arial"/>
          <w:color w:val="000000"/>
          <w:szCs w:val="22"/>
        </w:rPr>
        <w:t xml:space="preserve"> to innovation and greater efficiency in service delivery are removed.</w:t>
      </w:r>
    </w:p>
    <w:p w:rsidR="006F573C" w:rsidRPr="00132D83" w:rsidRDefault="0057348E" w:rsidP="00584DB6">
      <w:pPr>
        <w:numPr>
          <w:ilvl w:val="0"/>
          <w:numId w:val="33"/>
        </w:numPr>
        <w:tabs>
          <w:tab w:val="clear" w:pos="720"/>
          <w:tab w:val="num" w:pos="567"/>
        </w:tabs>
        <w:autoSpaceDE w:val="0"/>
        <w:autoSpaceDN w:val="0"/>
        <w:adjustRightInd w:val="0"/>
        <w:spacing w:after="120"/>
        <w:ind w:left="567" w:hanging="567"/>
        <w:rPr>
          <w:rFonts w:cs="Arial"/>
          <w:color w:val="000000"/>
          <w:szCs w:val="22"/>
        </w:rPr>
      </w:pPr>
      <w:r w:rsidRPr="00132D83">
        <w:rPr>
          <w:rFonts w:cs="Arial"/>
          <w:color w:val="000000"/>
          <w:szCs w:val="22"/>
        </w:rPr>
        <w:t>Without change</w:t>
      </w:r>
      <w:r w:rsidR="00D13984" w:rsidRPr="00132D83">
        <w:rPr>
          <w:rFonts w:cs="Arial"/>
          <w:color w:val="000000"/>
          <w:szCs w:val="22"/>
        </w:rPr>
        <w:t xml:space="preserve"> to statutory provisions, health services will continue to </w:t>
      </w:r>
      <w:r w:rsidR="00D711C3" w:rsidRPr="00132D83">
        <w:rPr>
          <w:rFonts w:cs="Arial"/>
          <w:color w:val="000000"/>
          <w:szCs w:val="22"/>
        </w:rPr>
        <w:t>‘</w:t>
      </w:r>
      <w:r w:rsidR="006F573C" w:rsidRPr="00132D83">
        <w:rPr>
          <w:rFonts w:cs="Arial"/>
          <w:color w:val="000000"/>
          <w:szCs w:val="22"/>
        </w:rPr>
        <w:t>work around</w:t>
      </w:r>
      <w:r w:rsidR="00D711C3" w:rsidRPr="00132D83">
        <w:rPr>
          <w:rFonts w:cs="Arial"/>
          <w:color w:val="000000"/>
          <w:szCs w:val="22"/>
        </w:rPr>
        <w:t>’</w:t>
      </w:r>
      <w:r w:rsidR="006F573C" w:rsidRPr="00132D83">
        <w:rPr>
          <w:rFonts w:cs="Arial"/>
          <w:color w:val="000000"/>
          <w:szCs w:val="22"/>
        </w:rPr>
        <w:t xml:space="preserve"> the legal requirements. For instance, a nurse, nurse practitioner or allied health professional may undertake a clinical assessment but a medical practitioner </w:t>
      </w:r>
      <w:r w:rsidR="00D13984" w:rsidRPr="00132D83">
        <w:rPr>
          <w:rFonts w:cs="Arial"/>
          <w:color w:val="000000"/>
          <w:szCs w:val="22"/>
        </w:rPr>
        <w:t>will</w:t>
      </w:r>
      <w:r w:rsidR="006F573C" w:rsidRPr="00132D83">
        <w:rPr>
          <w:rFonts w:cs="Arial"/>
          <w:color w:val="000000"/>
          <w:szCs w:val="22"/>
        </w:rPr>
        <w:t xml:space="preserve"> sign the </w:t>
      </w:r>
      <w:r w:rsidR="00D711C3" w:rsidRPr="00132D83">
        <w:rPr>
          <w:rFonts w:cs="Arial"/>
          <w:color w:val="000000"/>
          <w:szCs w:val="22"/>
        </w:rPr>
        <w:t xml:space="preserve">associated </w:t>
      </w:r>
      <w:r w:rsidR="006F573C" w:rsidRPr="00132D83">
        <w:rPr>
          <w:rFonts w:cs="Arial"/>
          <w:color w:val="000000"/>
          <w:szCs w:val="22"/>
        </w:rPr>
        <w:t>form. Such situations are onerous for the service, inefficient, a barrier to i</w:t>
      </w:r>
      <w:r w:rsidR="001341F2" w:rsidRPr="00132D83">
        <w:rPr>
          <w:rFonts w:cs="Arial"/>
          <w:color w:val="000000"/>
          <w:szCs w:val="22"/>
        </w:rPr>
        <w:t>nnovative practice, and may</w:t>
      </w:r>
      <w:r w:rsidR="006F573C" w:rsidRPr="00132D83">
        <w:rPr>
          <w:rFonts w:cs="Arial"/>
          <w:color w:val="000000"/>
          <w:szCs w:val="22"/>
        </w:rPr>
        <w:t xml:space="preserve"> place the medical practitioner in a legally risky situation. </w:t>
      </w:r>
    </w:p>
    <w:p w:rsidR="0024650D" w:rsidRPr="00132D83" w:rsidRDefault="00294CCC" w:rsidP="00584DB6">
      <w:pPr>
        <w:numPr>
          <w:ilvl w:val="0"/>
          <w:numId w:val="33"/>
        </w:numPr>
        <w:tabs>
          <w:tab w:val="clear" w:pos="720"/>
          <w:tab w:val="num" w:pos="567"/>
        </w:tabs>
        <w:spacing w:after="120"/>
        <w:ind w:left="567" w:hanging="567"/>
        <w:rPr>
          <w:rFonts w:cs="Arial"/>
          <w:b/>
          <w:szCs w:val="22"/>
        </w:rPr>
      </w:pPr>
      <w:r w:rsidRPr="00132D83">
        <w:rPr>
          <w:rFonts w:cs="Arial"/>
          <w:color w:val="000000"/>
          <w:szCs w:val="22"/>
        </w:rPr>
        <w:t xml:space="preserve">A working group convened by </w:t>
      </w:r>
      <w:r w:rsidR="008B2BF3" w:rsidRPr="00132D83">
        <w:rPr>
          <w:rFonts w:cs="Arial"/>
          <w:color w:val="000000"/>
          <w:szCs w:val="22"/>
        </w:rPr>
        <w:t>the Ministry of Health</w:t>
      </w:r>
      <w:r w:rsidRPr="00132D83">
        <w:rPr>
          <w:rFonts w:cs="Arial"/>
          <w:color w:val="000000"/>
          <w:szCs w:val="22"/>
        </w:rPr>
        <w:t xml:space="preserve"> </w:t>
      </w:r>
      <w:r w:rsidR="002B4EA3" w:rsidRPr="00132D83">
        <w:rPr>
          <w:rFonts w:cs="Arial"/>
          <w:color w:val="000000"/>
          <w:szCs w:val="22"/>
        </w:rPr>
        <w:t>in 2010</w:t>
      </w:r>
      <w:r w:rsidR="00D711C3" w:rsidRPr="00132D83">
        <w:rPr>
          <w:rFonts w:cs="Arial"/>
          <w:color w:val="000000"/>
          <w:szCs w:val="22"/>
        </w:rPr>
        <w:t xml:space="preserve"> </w:t>
      </w:r>
      <w:r w:rsidRPr="00132D83">
        <w:rPr>
          <w:rFonts w:cs="Arial"/>
          <w:color w:val="000000"/>
          <w:szCs w:val="22"/>
        </w:rPr>
        <w:t xml:space="preserve">compiled a list of </w:t>
      </w:r>
      <w:r w:rsidR="008C1F36" w:rsidRPr="00132D83">
        <w:rPr>
          <w:rFonts w:cs="Arial"/>
          <w:color w:val="000000"/>
          <w:szCs w:val="22"/>
        </w:rPr>
        <w:t xml:space="preserve">59 </w:t>
      </w:r>
      <w:r w:rsidRPr="00132D83">
        <w:rPr>
          <w:rFonts w:cs="Arial"/>
          <w:color w:val="000000"/>
          <w:szCs w:val="22"/>
        </w:rPr>
        <w:t xml:space="preserve">legislative provisions that unnecessarily restricts particular activities, powers or rights to doctors. Health sector </w:t>
      </w:r>
      <w:r w:rsidR="008B2BF3" w:rsidRPr="00132D83">
        <w:rPr>
          <w:rFonts w:cs="Arial"/>
          <w:color w:val="000000"/>
          <w:szCs w:val="22"/>
        </w:rPr>
        <w:t xml:space="preserve">and government agency </w:t>
      </w:r>
      <w:r w:rsidRPr="00132D83">
        <w:rPr>
          <w:rFonts w:cs="Arial"/>
          <w:color w:val="000000"/>
          <w:szCs w:val="22"/>
        </w:rPr>
        <w:t xml:space="preserve">stakeholders </w:t>
      </w:r>
      <w:r w:rsidR="008C1F36" w:rsidRPr="00132D83">
        <w:rPr>
          <w:rFonts w:cs="Arial"/>
          <w:color w:val="000000"/>
          <w:szCs w:val="22"/>
        </w:rPr>
        <w:t>then</w:t>
      </w:r>
      <w:r w:rsidRPr="00132D83">
        <w:rPr>
          <w:rFonts w:cs="Arial"/>
          <w:color w:val="000000"/>
          <w:szCs w:val="22"/>
        </w:rPr>
        <w:t xml:space="preserve"> identified </w:t>
      </w:r>
      <w:r w:rsidR="00EB49CA" w:rsidRPr="00132D83">
        <w:rPr>
          <w:rFonts w:cs="Arial"/>
          <w:color w:val="000000"/>
          <w:szCs w:val="22"/>
        </w:rPr>
        <w:t xml:space="preserve">provisions in eight </w:t>
      </w:r>
      <w:r w:rsidR="0024650D" w:rsidRPr="00132D83">
        <w:rPr>
          <w:rFonts w:cs="Arial"/>
          <w:color w:val="000000"/>
          <w:szCs w:val="22"/>
        </w:rPr>
        <w:t>Acts as priorities for change because</w:t>
      </w:r>
      <w:r w:rsidR="00EB49CA" w:rsidRPr="00132D83">
        <w:rPr>
          <w:rFonts w:cs="Arial"/>
          <w:color w:val="000000"/>
          <w:szCs w:val="22"/>
        </w:rPr>
        <w:t xml:space="preserve"> they </w:t>
      </w:r>
      <w:r w:rsidR="00AB0DDC" w:rsidRPr="00132D83">
        <w:rPr>
          <w:rFonts w:cs="Arial"/>
          <w:color w:val="000000"/>
          <w:szCs w:val="22"/>
        </w:rPr>
        <w:t>would</w:t>
      </w:r>
      <w:r w:rsidR="008B2BF3" w:rsidRPr="00132D83">
        <w:rPr>
          <w:rFonts w:cs="Arial"/>
          <w:color w:val="000000"/>
          <w:szCs w:val="22"/>
        </w:rPr>
        <w:t xml:space="preserve"> have a significant impact on practice and service delivery</w:t>
      </w:r>
      <w:r w:rsidR="001341F2" w:rsidRPr="00132D83">
        <w:rPr>
          <w:rFonts w:cs="Arial"/>
          <w:color w:val="000000"/>
          <w:szCs w:val="22"/>
        </w:rPr>
        <w:t>.</w:t>
      </w:r>
      <w:r w:rsidR="00EB49CA" w:rsidRPr="00132D83">
        <w:rPr>
          <w:rFonts w:cs="Arial"/>
          <w:color w:val="000000"/>
          <w:szCs w:val="22"/>
        </w:rPr>
        <w:t xml:space="preserve"> </w:t>
      </w:r>
    </w:p>
    <w:p w:rsidR="00D67C80" w:rsidRPr="00132D83" w:rsidRDefault="00D67C80" w:rsidP="00584DB6">
      <w:pPr>
        <w:numPr>
          <w:ilvl w:val="0"/>
          <w:numId w:val="33"/>
        </w:numPr>
        <w:tabs>
          <w:tab w:val="clear" w:pos="720"/>
          <w:tab w:val="num" w:pos="567"/>
        </w:tabs>
        <w:spacing w:after="120"/>
        <w:ind w:left="567" w:hanging="567"/>
        <w:rPr>
          <w:rFonts w:cs="Arial"/>
          <w:b/>
          <w:szCs w:val="22"/>
        </w:rPr>
      </w:pPr>
      <w:r w:rsidRPr="00132D83">
        <w:rPr>
          <w:rFonts w:cs="Arial"/>
          <w:color w:val="000000"/>
          <w:szCs w:val="22"/>
        </w:rPr>
        <w:t>In October 2011 Cabinet agreed to make six of the amendments</w:t>
      </w:r>
      <w:r w:rsidR="001A35BF" w:rsidRPr="00132D83">
        <w:rPr>
          <w:rFonts w:cs="Arial"/>
          <w:color w:val="000000"/>
          <w:szCs w:val="22"/>
        </w:rPr>
        <w:t>, which all replaced the term ‘medical practitioner’ with ‘health practitioner’</w:t>
      </w:r>
      <w:r w:rsidR="0057348E" w:rsidRPr="00132D83">
        <w:rPr>
          <w:rFonts w:cs="Arial"/>
          <w:color w:val="000000"/>
          <w:szCs w:val="22"/>
        </w:rPr>
        <w:t xml:space="preserve"> [</w:t>
      </w:r>
      <w:r w:rsidR="0057348E" w:rsidRPr="00132D83">
        <w:t>SOC Min (11) 21/4].</w:t>
      </w:r>
      <w:r w:rsidRPr="00132D83">
        <w:rPr>
          <w:rFonts w:cs="Arial"/>
          <w:color w:val="000000"/>
          <w:szCs w:val="22"/>
        </w:rPr>
        <w:t xml:space="preserve"> </w:t>
      </w:r>
      <w:r w:rsidR="00584DB6" w:rsidRPr="00132D83">
        <w:rPr>
          <w:rFonts w:cs="Arial"/>
          <w:color w:val="000000"/>
          <w:szCs w:val="22"/>
        </w:rPr>
        <w:t xml:space="preserve">These amendments have been drafted as the Health Practitioners (Statutory References to Medical Practitioners) Bill, which </w:t>
      </w:r>
      <w:r w:rsidR="00D711C3" w:rsidRPr="00132D83">
        <w:rPr>
          <w:rFonts w:cs="Arial"/>
          <w:color w:val="000000"/>
          <w:szCs w:val="22"/>
        </w:rPr>
        <w:t xml:space="preserve">is an omnibus bill that </w:t>
      </w:r>
      <w:r w:rsidR="00584DB6" w:rsidRPr="00132D83">
        <w:rPr>
          <w:rFonts w:cs="Arial"/>
          <w:color w:val="000000"/>
          <w:szCs w:val="22"/>
        </w:rPr>
        <w:t xml:space="preserve">will amend the Health Practitioners Competence Assurance Act 2003 </w:t>
      </w:r>
      <w:r w:rsidR="0024650D" w:rsidRPr="00132D83">
        <w:rPr>
          <w:rFonts w:cs="Arial"/>
          <w:color w:val="000000"/>
          <w:szCs w:val="22"/>
        </w:rPr>
        <w:t xml:space="preserve">(HPCA Act) </w:t>
      </w:r>
      <w:r w:rsidR="00584DB6" w:rsidRPr="00132D83">
        <w:rPr>
          <w:rFonts w:cs="Arial"/>
          <w:color w:val="000000"/>
          <w:szCs w:val="22"/>
        </w:rPr>
        <w:t>and each relevant statute.</w:t>
      </w:r>
      <w:r w:rsidR="00EB49CA" w:rsidRPr="00132D83">
        <w:rPr>
          <w:rFonts w:cs="Arial"/>
          <w:color w:val="000000"/>
          <w:szCs w:val="22"/>
        </w:rPr>
        <w:t xml:space="preserve"> </w:t>
      </w:r>
    </w:p>
    <w:p w:rsidR="00EB49CA" w:rsidRPr="00132D83" w:rsidRDefault="00EB49CA" w:rsidP="00584DB6">
      <w:pPr>
        <w:numPr>
          <w:ilvl w:val="0"/>
          <w:numId w:val="33"/>
        </w:numPr>
        <w:tabs>
          <w:tab w:val="clear" w:pos="720"/>
          <w:tab w:val="num" w:pos="567"/>
        </w:tabs>
        <w:ind w:left="567" w:hanging="567"/>
        <w:rPr>
          <w:rFonts w:cs="Arial"/>
          <w:b/>
          <w:szCs w:val="22"/>
        </w:rPr>
      </w:pPr>
      <w:r w:rsidRPr="00132D83">
        <w:rPr>
          <w:rFonts w:cs="Arial"/>
          <w:color w:val="000000"/>
          <w:szCs w:val="22"/>
        </w:rPr>
        <w:t xml:space="preserve">The </w:t>
      </w:r>
      <w:r w:rsidR="00D67C80" w:rsidRPr="00132D83">
        <w:rPr>
          <w:rFonts w:cs="Arial"/>
          <w:color w:val="000000"/>
          <w:szCs w:val="22"/>
        </w:rPr>
        <w:t xml:space="preserve">current paper covers two further </w:t>
      </w:r>
      <w:r w:rsidR="001341F2" w:rsidRPr="00132D83">
        <w:rPr>
          <w:rFonts w:cs="Arial"/>
          <w:color w:val="000000"/>
          <w:szCs w:val="22"/>
        </w:rPr>
        <w:t xml:space="preserve">proposed </w:t>
      </w:r>
      <w:r w:rsidR="00D67C80" w:rsidRPr="00132D83">
        <w:rPr>
          <w:rFonts w:cs="Arial"/>
          <w:color w:val="000000"/>
          <w:szCs w:val="22"/>
        </w:rPr>
        <w:t>amendments, one of which was on the list</w:t>
      </w:r>
      <w:r w:rsidR="001A35BF" w:rsidRPr="00132D83">
        <w:rPr>
          <w:rFonts w:cs="Arial"/>
          <w:color w:val="000000"/>
          <w:szCs w:val="22"/>
        </w:rPr>
        <w:t xml:space="preserve"> of eight priority statues for change</w:t>
      </w:r>
      <w:r w:rsidR="001341F2" w:rsidRPr="00132D83">
        <w:rPr>
          <w:rFonts w:cs="Arial"/>
          <w:color w:val="000000"/>
          <w:szCs w:val="22"/>
        </w:rPr>
        <w:t>,</w:t>
      </w:r>
      <w:r w:rsidR="00D67C80" w:rsidRPr="00132D83">
        <w:rPr>
          <w:rFonts w:cs="Arial"/>
          <w:color w:val="000000"/>
          <w:szCs w:val="22"/>
        </w:rPr>
        <w:t xml:space="preserve"> and one of which has been proposed by the mental h</w:t>
      </w:r>
      <w:r w:rsidR="00584DB6" w:rsidRPr="00132D83">
        <w:rPr>
          <w:rFonts w:cs="Arial"/>
          <w:color w:val="000000"/>
          <w:szCs w:val="22"/>
        </w:rPr>
        <w:t>ealth and addiction sector. P</w:t>
      </w:r>
      <w:r w:rsidRPr="00132D83">
        <w:rPr>
          <w:rFonts w:cs="Arial"/>
          <w:color w:val="000000"/>
          <w:szCs w:val="22"/>
        </w:rPr>
        <w:t>roposed amendments are listed in Table 1 below.</w:t>
      </w:r>
    </w:p>
    <w:p w:rsidR="00693565" w:rsidRPr="00132D83" w:rsidRDefault="00693565" w:rsidP="00584DB6">
      <w:pPr>
        <w:spacing w:after="120" w:line="240" w:lineRule="auto"/>
        <w:ind w:left="567"/>
        <w:rPr>
          <w:rFonts w:cs="Arial"/>
          <w:b/>
          <w:szCs w:val="22"/>
        </w:rPr>
      </w:pPr>
      <w:r w:rsidRPr="00132D83">
        <w:rPr>
          <w:rFonts w:cs="Arial"/>
          <w:b/>
          <w:szCs w:val="22"/>
        </w:rPr>
        <w:t>Table 1: Legislative Provisions to Address</w:t>
      </w:r>
    </w:p>
    <w:tbl>
      <w:tblPr>
        <w:tblW w:w="864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2694"/>
        <w:gridCol w:w="4138"/>
      </w:tblGrid>
      <w:tr w:rsidR="00AB0DDC" w:rsidRPr="00132D83" w:rsidTr="00D67C80">
        <w:tc>
          <w:tcPr>
            <w:tcW w:w="1808" w:type="dxa"/>
          </w:tcPr>
          <w:p w:rsidR="00AB0DDC" w:rsidRPr="00132D83" w:rsidRDefault="00AB0DDC" w:rsidP="00AB0DDC">
            <w:pPr>
              <w:spacing w:after="0" w:line="240" w:lineRule="auto"/>
              <w:rPr>
                <w:rFonts w:cs="Arial"/>
                <w:b/>
                <w:sz w:val="20"/>
              </w:rPr>
            </w:pPr>
            <w:r w:rsidRPr="00132D83">
              <w:rPr>
                <w:rFonts w:cs="Arial"/>
                <w:b/>
                <w:sz w:val="20"/>
              </w:rPr>
              <w:t>Department Responsible</w:t>
            </w:r>
          </w:p>
        </w:tc>
        <w:tc>
          <w:tcPr>
            <w:tcW w:w="2694" w:type="dxa"/>
          </w:tcPr>
          <w:p w:rsidR="00AB0DDC" w:rsidRPr="00132D83" w:rsidRDefault="00AB0DDC" w:rsidP="00AB0DDC">
            <w:pPr>
              <w:spacing w:after="0" w:line="240" w:lineRule="auto"/>
              <w:rPr>
                <w:rFonts w:cs="Arial"/>
                <w:b/>
                <w:sz w:val="20"/>
              </w:rPr>
            </w:pPr>
            <w:r w:rsidRPr="00132D83">
              <w:rPr>
                <w:rFonts w:cs="Arial"/>
                <w:b/>
                <w:sz w:val="20"/>
              </w:rPr>
              <w:t>Legislation</w:t>
            </w:r>
          </w:p>
        </w:tc>
        <w:tc>
          <w:tcPr>
            <w:tcW w:w="4138" w:type="dxa"/>
          </w:tcPr>
          <w:p w:rsidR="00AB0DDC" w:rsidRPr="00132D83" w:rsidRDefault="00AB0DDC" w:rsidP="00AB0DDC">
            <w:pPr>
              <w:rPr>
                <w:rFonts w:cs="Arial"/>
                <w:b/>
                <w:sz w:val="20"/>
              </w:rPr>
            </w:pPr>
            <w:r w:rsidRPr="00132D83">
              <w:rPr>
                <w:rFonts w:cs="Arial"/>
                <w:b/>
                <w:sz w:val="20"/>
              </w:rPr>
              <w:t xml:space="preserve">References Identified </w:t>
            </w:r>
          </w:p>
        </w:tc>
      </w:tr>
      <w:tr w:rsidR="00AB0DDC" w:rsidRPr="00132D83" w:rsidTr="00D67C80">
        <w:tc>
          <w:tcPr>
            <w:tcW w:w="1808" w:type="dxa"/>
            <w:tcBorders>
              <w:bottom w:val="nil"/>
            </w:tcBorders>
          </w:tcPr>
          <w:p w:rsidR="00AB0DDC" w:rsidRPr="00132D83" w:rsidRDefault="00AB0DDC" w:rsidP="00AB0DDC">
            <w:pPr>
              <w:spacing w:after="0" w:line="240" w:lineRule="auto"/>
              <w:rPr>
                <w:rFonts w:cs="Arial"/>
                <w:sz w:val="20"/>
              </w:rPr>
            </w:pPr>
            <w:r w:rsidRPr="00132D83">
              <w:rPr>
                <w:rFonts w:cs="Arial"/>
                <w:sz w:val="20"/>
              </w:rPr>
              <w:t>Ministry of Health</w:t>
            </w:r>
          </w:p>
          <w:p w:rsidR="00AB0DDC" w:rsidRPr="00132D83" w:rsidRDefault="00AB0DDC" w:rsidP="00AB0DDC">
            <w:pPr>
              <w:spacing w:after="0" w:line="240" w:lineRule="auto"/>
              <w:rPr>
                <w:rFonts w:cs="Arial"/>
                <w:sz w:val="20"/>
              </w:rPr>
            </w:pPr>
          </w:p>
        </w:tc>
        <w:tc>
          <w:tcPr>
            <w:tcW w:w="2694" w:type="dxa"/>
          </w:tcPr>
          <w:p w:rsidR="00AB0DDC" w:rsidRPr="00132D83" w:rsidRDefault="00AB0DDC" w:rsidP="00AB0DDC">
            <w:pPr>
              <w:spacing w:after="0" w:line="240" w:lineRule="auto"/>
              <w:rPr>
                <w:rFonts w:cs="Arial"/>
                <w:sz w:val="20"/>
              </w:rPr>
            </w:pPr>
            <w:r w:rsidRPr="00132D83">
              <w:rPr>
                <w:rFonts w:cs="Arial"/>
                <w:sz w:val="20"/>
              </w:rPr>
              <w:t>Burial and Cremation Act 1964</w:t>
            </w:r>
          </w:p>
        </w:tc>
        <w:tc>
          <w:tcPr>
            <w:tcW w:w="4138" w:type="dxa"/>
          </w:tcPr>
          <w:p w:rsidR="00D67C80" w:rsidRPr="00132D83" w:rsidRDefault="0088352B" w:rsidP="00D67C80">
            <w:pPr>
              <w:pStyle w:val="ListParagraph"/>
              <w:numPr>
                <w:ilvl w:val="0"/>
                <w:numId w:val="37"/>
              </w:numPr>
              <w:ind w:left="170" w:hanging="142"/>
              <w:jc w:val="left"/>
              <w:rPr>
                <w:rFonts w:cs="Arial"/>
                <w:sz w:val="20"/>
              </w:rPr>
            </w:pPr>
            <w:r w:rsidRPr="00132D83">
              <w:rPr>
                <w:rFonts w:cs="Arial"/>
                <w:sz w:val="20"/>
              </w:rPr>
              <w:t>Only doctors can sign Medical Certificate of Cause of Death</w:t>
            </w:r>
            <w:r w:rsidR="00AB0DDC" w:rsidRPr="00132D83">
              <w:rPr>
                <w:rFonts w:cs="Arial"/>
                <w:sz w:val="20"/>
              </w:rPr>
              <w:t xml:space="preserve"> </w:t>
            </w:r>
            <w:r w:rsidR="00D711C3" w:rsidRPr="00132D83">
              <w:rPr>
                <w:rFonts w:cs="Arial"/>
                <w:sz w:val="20"/>
              </w:rPr>
              <w:t>(MCCD)</w:t>
            </w:r>
          </w:p>
        </w:tc>
      </w:tr>
      <w:tr w:rsidR="00AB0DDC" w:rsidRPr="00132D83" w:rsidTr="00D67C80">
        <w:tc>
          <w:tcPr>
            <w:tcW w:w="1808" w:type="dxa"/>
            <w:tcBorders>
              <w:top w:val="nil"/>
            </w:tcBorders>
          </w:tcPr>
          <w:p w:rsidR="00AB0DDC" w:rsidRPr="00132D83" w:rsidRDefault="00AD6D25" w:rsidP="00AD6D25">
            <w:pPr>
              <w:spacing w:after="0" w:line="240" w:lineRule="auto"/>
              <w:rPr>
                <w:rFonts w:cs="Arial"/>
                <w:sz w:val="20"/>
              </w:rPr>
            </w:pPr>
            <w:r w:rsidRPr="00132D83">
              <w:rPr>
                <w:rFonts w:cs="Arial"/>
                <w:sz w:val="20"/>
              </w:rPr>
              <w:t>Ministry of Health</w:t>
            </w:r>
          </w:p>
        </w:tc>
        <w:tc>
          <w:tcPr>
            <w:tcW w:w="2694" w:type="dxa"/>
          </w:tcPr>
          <w:p w:rsidR="00AB0DDC" w:rsidRPr="00132D83" w:rsidRDefault="0088352B" w:rsidP="00AB0DDC">
            <w:pPr>
              <w:spacing w:after="0" w:line="240" w:lineRule="auto"/>
              <w:rPr>
                <w:rFonts w:cs="Arial"/>
                <w:sz w:val="20"/>
              </w:rPr>
            </w:pPr>
            <w:r w:rsidRPr="00132D83">
              <w:rPr>
                <w:rFonts w:cs="Arial"/>
                <w:sz w:val="20"/>
              </w:rPr>
              <w:t>Misuse of Drugs Act 1973</w:t>
            </w:r>
          </w:p>
        </w:tc>
        <w:tc>
          <w:tcPr>
            <w:tcW w:w="4138" w:type="dxa"/>
          </w:tcPr>
          <w:p w:rsidR="00AB0DDC" w:rsidRPr="00132D83" w:rsidRDefault="0088352B" w:rsidP="00AB0DDC">
            <w:pPr>
              <w:pStyle w:val="ListParagraph"/>
              <w:numPr>
                <w:ilvl w:val="0"/>
                <w:numId w:val="37"/>
              </w:numPr>
              <w:ind w:left="170" w:hanging="142"/>
              <w:jc w:val="left"/>
              <w:rPr>
                <w:rFonts w:cs="Arial"/>
                <w:sz w:val="20"/>
              </w:rPr>
            </w:pPr>
            <w:r w:rsidRPr="00132D83">
              <w:rPr>
                <w:rFonts w:cs="Arial"/>
                <w:sz w:val="20"/>
              </w:rPr>
              <w:t>Only doctors can prescribe controlled drugs</w:t>
            </w:r>
          </w:p>
          <w:p w:rsidR="0088352B" w:rsidRPr="00132D83" w:rsidRDefault="0088352B" w:rsidP="0088352B">
            <w:pPr>
              <w:pStyle w:val="ListParagraph"/>
              <w:ind w:left="170"/>
              <w:jc w:val="left"/>
              <w:rPr>
                <w:rFonts w:cs="Arial"/>
                <w:sz w:val="20"/>
              </w:rPr>
            </w:pPr>
          </w:p>
        </w:tc>
      </w:tr>
    </w:tbl>
    <w:p w:rsidR="00463DB5" w:rsidRPr="00132D83" w:rsidRDefault="00463DB5" w:rsidP="00463DB5">
      <w:pPr>
        <w:pStyle w:val="Bullet-list"/>
        <w:numPr>
          <w:ilvl w:val="0"/>
          <w:numId w:val="0"/>
        </w:numPr>
        <w:rPr>
          <w:i/>
        </w:rPr>
      </w:pPr>
      <w:bookmarkStart w:id="9" w:name="_Toc244580364"/>
      <w:bookmarkStart w:id="10" w:name="_Toc244587040"/>
      <w:bookmarkStart w:id="11" w:name="_Toc244857274"/>
      <w:bookmarkStart w:id="12" w:name="_Toc244912539"/>
      <w:bookmarkStart w:id="13" w:name="_Toc244916996"/>
    </w:p>
    <w:p w:rsidR="00463DB5" w:rsidRPr="00132D83" w:rsidRDefault="00463DB5" w:rsidP="00463DB5">
      <w:pPr>
        <w:pStyle w:val="Bullet-list"/>
        <w:numPr>
          <w:ilvl w:val="0"/>
          <w:numId w:val="0"/>
        </w:numPr>
        <w:rPr>
          <w:i/>
        </w:rPr>
      </w:pPr>
    </w:p>
    <w:p w:rsidR="00463DB5" w:rsidRPr="00132D83" w:rsidRDefault="00463DB5" w:rsidP="00463DB5">
      <w:pPr>
        <w:pStyle w:val="Bullet-list"/>
        <w:numPr>
          <w:ilvl w:val="0"/>
          <w:numId w:val="0"/>
        </w:numPr>
        <w:rPr>
          <w:i/>
        </w:rPr>
      </w:pPr>
    </w:p>
    <w:p w:rsidR="00D711C3" w:rsidRPr="00132D83" w:rsidRDefault="008C1F36" w:rsidP="00463DB5">
      <w:pPr>
        <w:pStyle w:val="Bullet-list"/>
        <w:numPr>
          <w:ilvl w:val="0"/>
          <w:numId w:val="0"/>
        </w:numPr>
        <w:rPr>
          <w:i/>
        </w:rPr>
      </w:pPr>
      <w:r w:rsidRPr="00132D83">
        <w:rPr>
          <w:i/>
        </w:rPr>
        <w:lastRenderedPageBreak/>
        <w:t>A</w:t>
      </w:r>
      <w:r w:rsidR="00D711C3" w:rsidRPr="00132D83">
        <w:rPr>
          <w:i/>
        </w:rPr>
        <w:t>uthority to sign MCCD</w:t>
      </w:r>
    </w:p>
    <w:p w:rsidR="00D711C3" w:rsidRPr="00132D83" w:rsidRDefault="0024650D" w:rsidP="0024650D">
      <w:pPr>
        <w:numPr>
          <w:ilvl w:val="0"/>
          <w:numId w:val="33"/>
        </w:numPr>
        <w:tabs>
          <w:tab w:val="clear" w:pos="720"/>
          <w:tab w:val="num" w:pos="567"/>
        </w:tabs>
        <w:spacing w:before="240"/>
        <w:ind w:left="567" w:hanging="567"/>
        <w:rPr>
          <w:rFonts w:cs="Arial"/>
          <w:szCs w:val="22"/>
        </w:rPr>
      </w:pPr>
      <w:r w:rsidRPr="00132D83">
        <w:rPr>
          <w:rFonts w:cs="Arial"/>
          <w:szCs w:val="22"/>
        </w:rPr>
        <w:t>In the case of the Burial and Cremation Act, only doctors can sign the Medical Certificate of Cause of Death</w:t>
      </w:r>
      <w:r w:rsidR="00D711C3" w:rsidRPr="00132D83">
        <w:rPr>
          <w:rFonts w:cs="Arial"/>
          <w:szCs w:val="22"/>
        </w:rPr>
        <w:t xml:space="preserve"> (MCCD)</w:t>
      </w:r>
      <w:r w:rsidR="00EB35D5" w:rsidRPr="00132D83">
        <w:rPr>
          <w:rFonts w:cs="Arial"/>
          <w:szCs w:val="22"/>
        </w:rPr>
        <w:t>. P</w:t>
      </w:r>
      <w:r w:rsidRPr="00132D83">
        <w:t xml:space="preserve">roblems </w:t>
      </w:r>
      <w:r w:rsidR="00D711C3" w:rsidRPr="00132D83">
        <w:t>arise</w:t>
      </w:r>
      <w:r w:rsidRPr="00132D83">
        <w:t xml:space="preserve">, particularly </w:t>
      </w:r>
      <w:r w:rsidR="00D711C3" w:rsidRPr="00132D83">
        <w:t xml:space="preserve">in </w:t>
      </w:r>
      <w:r w:rsidRPr="00132D83">
        <w:t>remote places and out</w:t>
      </w:r>
      <w:r w:rsidR="00EB35D5" w:rsidRPr="00132D83">
        <w:t>side normal working hours, when</w:t>
      </w:r>
      <w:r w:rsidRPr="00132D83">
        <w:t xml:space="preserve"> a doctor is not available to sign the MCCD. The effect of the MCCD not being signed is that the undertaker </w:t>
      </w:r>
      <w:r w:rsidR="00D711C3" w:rsidRPr="00132D83">
        <w:t xml:space="preserve">and/or family </w:t>
      </w:r>
      <w:proofErr w:type="gramStart"/>
      <w:r w:rsidRPr="00132D83">
        <w:t>does</w:t>
      </w:r>
      <w:proofErr w:type="gramEnd"/>
      <w:r w:rsidRPr="00132D83">
        <w:t xml:space="preserve"> not have the legal right to remove the b</w:t>
      </w:r>
      <w:r w:rsidR="00D711C3" w:rsidRPr="00132D83">
        <w:t>ody and prepare it for burial,</w:t>
      </w:r>
      <w:r w:rsidRPr="00132D83">
        <w:t xml:space="preserve"> cremation</w:t>
      </w:r>
      <w:r w:rsidR="00D711C3" w:rsidRPr="00132D83">
        <w:t xml:space="preserve"> or </w:t>
      </w:r>
      <w:proofErr w:type="spellStart"/>
      <w:r w:rsidR="00D711C3" w:rsidRPr="00132D83">
        <w:t>tangi</w:t>
      </w:r>
      <w:proofErr w:type="spellEnd"/>
      <w:r w:rsidRPr="00132D83">
        <w:t xml:space="preserve">. </w:t>
      </w:r>
      <w:r w:rsidR="00D711C3" w:rsidRPr="00132D83">
        <w:t>The impact of restrictions on death certification is most obvious outside normal working hours, when removal and preparation of the deceased for burial is delayed.</w:t>
      </w:r>
    </w:p>
    <w:p w:rsidR="00EB35D5" w:rsidRPr="00132D83" w:rsidRDefault="00EB35D5" w:rsidP="0024650D">
      <w:pPr>
        <w:numPr>
          <w:ilvl w:val="0"/>
          <w:numId w:val="33"/>
        </w:numPr>
        <w:tabs>
          <w:tab w:val="clear" w:pos="720"/>
          <w:tab w:val="num" w:pos="567"/>
        </w:tabs>
        <w:spacing w:before="240"/>
        <w:ind w:left="567" w:hanging="567"/>
        <w:rPr>
          <w:rFonts w:cs="Arial"/>
          <w:szCs w:val="22"/>
        </w:rPr>
      </w:pPr>
      <w:r w:rsidRPr="00132D83">
        <w:t xml:space="preserve">The problem with the status quo is that, where a doctor is not available to sign the MCCD, the family may not be able to uplift the body and progress either burial or cremation. </w:t>
      </w:r>
      <w:r w:rsidR="002E320F" w:rsidRPr="00132D83">
        <w:t>Often</w:t>
      </w:r>
      <w:r w:rsidRPr="00132D83">
        <w:t xml:space="preserve"> the MCCD </w:t>
      </w:r>
      <w:r w:rsidR="002E320F" w:rsidRPr="00132D83">
        <w:t xml:space="preserve">is not </w:t>
      </w:r>
      <w:r w:rsidRPr="00132D83">
        <w:t>signed for several days after the death, often due to high doctor workloads or difficulty contacting the attending doctor.</w:t>
      </w:r>
      <w:r w:rsidR="002E320F" w:rsidRPr="00132D83">
        <w:t xml:space="preserve"> In some cases the nurse is the health practitioner who is most knowledgeable the patient’s health status.</w:t>
      </w:r>
    </w:p>
    <w:p w:rsidR="0024650D" w:rsidRPr="00132D83" w:rsidRDefault="0024650D" w:rsidP="00D711C3">
      <w:pPr>
        <w:numPr>
          <w:ilvl w:val="0"/>
          <w:numId w:val="33"/>
        </w:numPr>
        <w:tabs>
          <w:tab w:val="clear" w:pos="720"/>
          <w:tab w:val="num" w:pos="567"/>
        </w:tabs>
        <w:spacing w:before="240"/>
        <w:ind w:left="567" w:hanging="567"/>
        <w:rPr>
          <w:rFonts w:cs="Arial"/>
          <w:szCs w:val="22"/>
        </w:rPr>
      </w:pPr>
      <w:r w:rsidRPr="00132D83">
        <w:t>In some cases doctors can be pressured to sign an MCCD in situations where they do not necessarily have the information to properly assess the cause of death.</w:t>
      </w:r>
      <w:r w:rsidR="00D711C3" w:rsidRPr="00132D83">
        <w:rPr>
          <w:rFonts w:cs="Arial"/>
          <w:szCs w:val="22"/>
        </w:rPr>
        <w:t xml:space="preserve"> </w:t>
      </w:r>
      <w:r w:rsidRPr="00132D83">
        <w:t xml:space="preserve">In addition, some employers </w:t>
      </w:r>
      <w:r w:rsidR="00D711C3" w:rsidRPr="00132D83">
        <w:t xml:space="preserve">in the aged residential care sector </w:t>
      </w:r>
      <w:r w:rsidRPr="00132D83">
        <w:t xml:space="preserve">have signalled a reluctance to hire </w:t>
      </w:r>
      <w:r w:rsidR="00D711C3" w:rsidRPr="00132D83">
        <w:t>health</w:t>
      </w:r>
      <w:r w:rsidRPr="00132D83">
        <w:t xml:space="preserve"> practitioners</w:t>
      </w:r>
      <w:r w:rsidR="00D711C3" w:rsidRPr="00132D83">
        <w:t xml:space="preserve"> who are not doctors</w:t>
      </w:r>
      <w:r w:rsidRPr="00132D83">
        <w:t xml:space="preserve"> because of restrictions around death certification. </w:t>
      </w:r>
    </w:p>
    <w:p w:rsidR="00D711C3" w:rsidRPr="00132D83" w:rsidRDefault="00D711C3" w:rsidP="00D711C3">
      <w:pPr>
        <w:pStyle w:val="Bullet-list"/>
        <w:numPr>
          <w:ilvl w:val="0"/>
          <w:numId w:val="0"/>
        </w:numPr>
        <w:ind w:left="284" w:hanging="284"/>
        <w:rPr>
          <w:i/>
        </w:rPr>
      </w:pPr>
      <w:r w:rsidRPr="00132D83">
        <w:rPr>
          <w:i/>
        </w:rPr>
        <w:t>Nurse prescribing for OST</w:t>
      </w:r>
    </w:p>
    <w:p w:rsidR="00581D17" w:rsidRPr="00132D83" w:rsidRDefault="0024650D" w:rsidP="0024650D">
      <w:pPr>
        <w:numPr>
          <w:ilvl w:val="0"/>
          <w:numId w:val="33"/>
        </w:numPr>
        <w:tabs>
          <w:tab w:val="clear" w:pos="720"/>
          <w:tab w:val="num" w:pos="567"/>
        </w:tabs>
        <w:spacing w:before="240"/>
        <w:ind w:left="567" w:hanging="567"/>
        <w:rPr>
          <w:rFonts w:cs="Arial"/>
          <w:szCs w:val="22"/>
        </w:rPr>
      </w:pPr>
      <w:r w:rsidRPr="00132D83">
        <w:t xml:space="preserve">In the case of </w:t>
      </w:r>
      <w:r w:rsidR="00D711C3" w:rsidRPr="00132D83">
        <w:t xml:space="preserve">limitations on prescribing for opioid substitution treatment (OST) to registered doctors set out in </w:t>
      </w:r>
      <w:r w:rsidRPr="00132D83">
        <w:t xml:space="preserve">the Misuse of Drugs Act, </w:t>
      </w:r>
      <w:r w:rsidR="00D711C3" w:rsidRPr="00132D83">
        <w:t xml:space="preserve">the problem that exists is that </w:t>
      </w:r>
      <w:r w:rsidRPr="00132D83">
        <w:t>there is significant unmet need for</w:t>
      </w:r>
      <w:r w:rsidR="00D711C3" w:rsidRPr="00132D83">
        <w:t xml:space="preserve"> OST. A</w:t>
      </w:r>
      <w:r w:rsidRPr="00132D83">
        <w:t>pproximately 5000 people</w:t>
      </w:r>
      <w:r w:rsidR="00D711C3" w:rsidRPr="00132D83">
        <w:t xml:space="preserve"> who are addicted to opiates are not accessing OST</w:t>
      </w:r>
      <w:r w:rsidR="00AD6D25" w:rsidRPr="00132D83">
        <w:t>. A</w:t>
      </w:r>
      <w:r w:rsidR="00D711C3" w:rsidRPr="00132D83">
        <w:t>s well as affecting quality of life this also contributes to crime committed by addicts to support their habit.</w:t>
      </w:r>
      <w:r w:rsidR="008C1F36" w:rsidRPr="00132D83">
        <w:t xml:space="preserve"> </w:t>
      </w:r>
      <w:r w:rsidR="00581D17" w:rsidRPr="00132D83">
        <w:t>OST has a clear track record of preventing and reducing the health, social and economic harms that are linked to the use of opioid drugs</w:t>
      </w:r>
      <w:r w:rsidR="00066E42">
        <w:t>.</w:t>
      </w:r>
    </w:p>
    <w:p w:rsidR="0024650D" w:rsidRPr="00132D83" w:rsidRDefault="008C1F36" w:rsidP="0024650D">
      <w:pPr>
        <w:numPr>
          <w:ilvl w:val="0"/>
          <w:numId w:val="33"/>
        </w:numPr>
        <w:tabs>
          <w:tab w:val="clear" w:pos="720"/>
          <w:tab w:val="num" w:pos="567"/>
        </w:tabs>
        <w:spacing w:before="240"/>
        <w:ind w:left="567" w:hanging="567"/>
        <w:rPr>
          <w:rFonts w:cs="Arial"/>
          <w:szCs w:val="22"/>
        </w:rPr>
      </w:pPr>
      <w:r w:rsidRPr="00132D83">
        <w:t xml:space="preserve">The small number of registered doctors </w:t>
      </w:r>
      <w:r w:rsidR="00581D17" w:rsidRPr="00132D83">
        <w:t xml:space="preserve">in addiction treatment </w:t>
      </w:r>
      <w:r w:rsidRPr="00132D83">
        <w:t>means that access to OST is difficult and often is delayed more than is medically and socially appropriate.</w:t>
      </w:r>
    </w:p>
    <w:p w:rsidR="000545DC" w:rsidRPr="00132D83" w:rsidRDefault="000545DC" w:rsidP="0024650D">
      <w:pPr>
        <w:pStyle w:val="Heading3"/>
        <w:spacing w:before="240" w:line="280" w:lineRule="exact"/>
      </w:pPr>
      <w:r w:rsidRPr="00132D83">
        <w:t>Objectives</w:t>
      </w:r>
      <w:bookmarkEnd w:id="9"/>
      <w:bookmarkEnd w:id="10"/>
      <w:bookmarkEnd w:id="11"/>
      <w:bookmarkEnd w:id="12"/>
      <w:bookmarkEnd w:id="13"/>
    </w:p>
    <w:p w:rsidR="00686042" w:rsidRPr="00132D83" w:rsidRDefault="00D13984" w:rsidP="00584DB6">
      <w:pPr>
        <w:pStyle w:val="Bullet-list"/>
        <w:numPr>
          <w:ilvl w:val="0"/>
          <w:numId w:val="33"/>
        </w:numPr>
        <w:tabs>
          <w:tab w:val="clear" w:pos="720"/>
          <w:tab w:val="num" w:pos="567"/>
        </w:tabs>
        <w:ind w:left="567" w:hanging="567"/>
      </w:pPr>
      <w:r w:rsidRPr="00132D83">
        <w:t xml:space="preserve">The </w:t>
      </w:r>
      <w:r w:rsidR="008359F3" w:rsidRPr="00132D83">
        <w:t>objectives of the proposed legislative change</w:t>
      </w:r>
      <w:r w:rsidR="00581D17" w:rsidRPr="00132D83">
        <w:t>s</w:t>
      </w:r>
      <w:r w:rsidR="008359F3" w:rsidRPr="00132D83">
        <w:t xml:space="preserve"> are</w:t>
      </w:r>
      <w:r w:rsidRPr="00132D83">
        <w:t xml:space="preserve"> to make it easier for </w:t>
      </w:r>
      <w:r w:rsidR="00686042" w:rsidRPr="00132D83">
        <w:t>the public to access statutory serv</w:t>
      </w:r>
      <w:r w:rsidR="00294CCC" w:rsidRPr="00132D83">
        <w:t xml:space="preserve">ices from health practitioners; and to facilitate </w:t>
      </w:r>
      <w:r w:rsidR="00043E18" w:rsidRPr="00132D83">
        <w:t xml:space="preserve">timely and </w:t>
      </w:r>
      <w:r w:rsidR="001341F2" w:rsidRPr="00132D83">
        <w:t xml:space="preserve">effective </w:t>
      </w:r>
      <w:r w:rsidR="00043E18" w:rsidRPr="00132D83">
        <w:t>treatment for patients</w:t>
      </w:r>
      <w:r w:rsidR="00294CCC" w:rsidRPr="00132D83">
        <w:t>.</w:t>
      </w:r>
    </w:p>
    <w:p w:rsidR="00320A3C" w:rsidRPr="00132D83" w:rsidRDefault="00320A3C" w:rsidP="00584DB6">
      <w:pPr>
        <w:pStyle w:val="Heading3"/>
        <w:spacing w:line="280" w:lineRule="exact"/>
      </w:pPr>
      <w:bookmarkStart w:id="14" w:name="_Toc244580365"/>
      <w:bookmarkStart w:id="15" w:name="_Toc244587041"/>
      <w:bookmarkStart w:id="16" w:name="_Toc244857275"/>
      <w:bookmarkStart w:id="17" w:name="_Toc244912540"/>
      <w:bookmarkStart w:id="18" w:name="_Toc244916997"/>
      <w:r w:rsidRPr="00132D83">
        <w:t>Regulatory i</w:t>
      </w:r>
      <w:r w:rsidR="000545DC" w:rsidRPr="00132D83">
        <w:t>mpact analysis</w:t>
      </w:r>
      <w:bookmarkEnd w:id="14"/>
      <w:bookmarkEnd w:id="15"/>
      <w:bookmarkEnd w:id="16"/>
      <w:bookmarkEnd w:id="17"/>
      <w:bookmarkEnd w:id="18"/>
      <w:r w:rsidR="000545DC" w:rsidRPr="00132D83">
        <w:t xml:space="preserve"> </w:t>
      </w:r>
    </w:p>
    <w:p w:rsidR="00294CCC" w:rsidRPr="00132D83" w:rsidRDefault="00686042" w:rsidP="00584DB6">
      <w:pPr>
        <w:pStyle w:val="Bullet-list"/>
        <w:numPr>
          <w:ilvl w:val="0"/>
          <w:numId w:val="33"/>
        </w:numPr>
        <w:tabs>
          <w:tab w:val="clear" w:pos="720"/>
          <w:tab w:val="num" w:pos="567"/>
        </w:tabs>
        <w:ind w:left="567" w:hanging="567"/>
      </w:pPr>
      <w:r w:rsidRPr="00132D83">
        <w:t xml:space="preserve">As the problem </w:t>
      </w:r>
      <w:r w:rsidR="00D711C3" w:rsidRPr="00132D83">
        <w:t xml:space="preserve">in both cases set out above </w:t>
      </w:r>
      <w:r w:rsidRPr="00132D83">
        <w:t>is caused by statutory references, solving it</w:t>
      </w:r>
      <w:r w:rsidR="00B359CA" w:rsidRPr="00132D83">
        <w:t xml:space="preserve"> will require statutory change.</w:t>
      </w:r>
      <w:r w:rsidRPr="00132D83">
        <w:t xml:space="preserve"> Two options have been identified: </w:t>
      </w:r>
    </w:p>
    <w:p w:rsidR="00294CCC" w:rsidRPr="00132D83" w:rsidRDefault="00294CCC" w:rsidP="00584DB6">
      <w:pPr>
        <w:pStyle w:val="Bullet-list"/>
        <w:numPr>
          <w:ilvl w:val="0"/>
          <w:numId w:val="0"/>
        </w:numPr>
        <w:ind w:left="1134"/>
      </w:pPr>
      <w:r w:rsidRPr="00132D83">
        <w:t xml:space="preserve">Option one: </w:t>
      </w:r>
      <w:r w:rsidR="00686042" w:rsidRPr="00132D83">
        <w:t>changing references to ‘medical practitioners’, so they become refere</w:t>
      </w:r>
      <w:r w:rsidRPr="00132D83">
        <w:t>nces to ‘health practitioners’;</w:t>
      </w:r>
    </w:p>
    <w:p w:rsidR="000545DC" w:rsidRPr="00132D83" w:rsidRDefault="00294CCC" w:rsidP="00584DB6">
      <w:pPr>
        <w:pStyle w:val="Bullet-list"/>
        <w:numPr>
          <w:ilvl w:val="0"/>
          <w:numId w:val="0"/>
        </w:numPr>
        <w:ind w:left="1134"/>
      </w:pPr>
      <w:r w:rsidRPr="00132D83">
        <w:t>Option two:</w:t>
      </w:r>
      <w:r w:rsidR="00686042" w:rsidRPr="00132D83">
        <w:t xml:space="preserve"> adding references to other specific practitioners where ‘medical practitioners’ are currently specified.</w:t>
      </w:r>
    </w:p>
    <w:p w:rsidR="008905B9" w:rsidRPr="00132D83" w:rsidRDefault="008905B9" w:rsidP="008905B9">
      <w:pPr>
        <w:pStyle w:val="Bullet-list"/>
        <w:numPr>
          <w:ilvl w:val="0"/>
          <w:numId w:val="0"/>
        </w:numPr>
        <w:ind w:left="567"/>
      </w:pPr>
    </w:p>
    <w:p w:rsidR="006A303B" w:rsidRDefault="00294CCC" w:rsidP="004C486E">
      <w:pPr>
        <w:pStyle w:val="Bullet-list"/>
        <w:numPr>
          <w:ilvl w:val="0"/>
          <w:numId w:val="33"/>
        </w:numPr>
        <w:tabs>
          <w:tab w:val="clear" w:pos="720"/>
          <w:tab w:val="num" w:pos="567"/>
        </w:tabs>
        <w:ind w:left="567" w:hanging="567"/>
      </w:pPr>
      <w:r w:rsidRPr="00132D83">
        <w:lastRenderedPageBreak/>
        <w:t>Neit</w:t>
      </w:r>
      <w:r w:rsidR="004C486E" w:rsidRPr="00132D83">
        <w:t xml:space="preserve">her option imposes costs on patients </w:t>
      </w:r>
      <w:r w:rsidRPr="00132D83">
        <w:t xml:space="preserve">or practitioners. </w:t>
      </w:r>
    </w:p>
    <w:p w:rsidR="00294CCC" w:rsidRPr="00132D83" w:rsidRDefault="00294CCC" w:rsidP="00584DB6">
      <w:pPr>
        <w:numPr>
          <w:ilvl w:val="0"/>
          <w:numId w:val="33"/>
        </w:numPr>
        <w:tabs>
          <w:tab w:val="clear" w:pos="720"/>
          <w:tab w:val="num" w:pos="567"/>
        </w:tabs>
        <w:spacing w:line="280" w:lineRule="exact"/>
        <w:ind w:left="567" w:hanging="567"/>
        <w:rPr>
          <w:rFonts w:cs="Arial"/>
          <w:szCs w:val="22"/>
        </w:rPr>
      </w:pPr>
      <w:r w:rsidRPr="00132D83">
        <w:t>Either option would allow</w:t>
      </w:r>
      <w:r w:rsidRPr="00132D83">
        <w:rPr>
          <w:rFonts w:cs="Arial"/>
          <w:szCs w:val="22"/>
        </w:rPr>
        <w:t xml:space="preserve"> a wider variety of </w:t>
      </w:r>
      <w:r w:rsidR="002B4EA3" w:rsidRPr="00132D83">
        <w:rPr>
          <w:rFonts w:cs="Arial"/>
          <w:szCs w:val="22"/>
        </w:rPr>
        <w:t>practitioners to carry out certification of death or prescribe for OST</w:t>
      </w:r>
      <w:r w:rsidRPr="00132D83">
        <w:rPr>
          <w:rFonts w:cs="Arial"/>
          <w:szCs w:val="22"/>
        </w:rPr>
        <w:t>, with benefits to the public i</w:t>
      </w:r>
      <w:r w:rsidR="002B4EA3" w:rsidRPr="00132D83">
        <w:rPr>
          <w:rFonts w:cs="Arial"/>
          <w:szCs w:val="22"/>
        </w:rPr>
        <w:t xml:space="preserve">n terms of </w:t>
      </w:r>
      <w:r w:rsidRPr="00132D83">
        <w:rPr>
          <w:rFonts w:cs="Arial"/>
          <w:szCs w:val="22"/>
        </w:rPr>
        <w:t>faster acces</w:t>
      </w:r>
      <w:r w:rsidR="00B359CA" w:rsidRPr="00132D83">
        <w:rPr>
          <w:rFonts w:cs="Arial"/>
          <w:szCs w:val="22"/>
        </w:rPr>
        <w:t>s</w:t>
      </w:r>
      <w:r w:rsidR="004D4065">
        <w:rPr>
          <w:rFonts w:cs="Arial"/>
          <w:szCs w:val="22"/>
        </w:rPr>
        <w:t xml:space="preserve"> to appropriate </w:t>
      </w:r>
      <w:r w:rsidR="002B4EA3" w:rsidRPr="00132D83">
        <w:rPr>
          <w:rFonts w:cs="Arial"/>
          <w:szCs w:val="22"/>
        </w:rPr>
        <w:t>services and reduced delays</w:t>
      </w:r>
      <w:r w:rsidR="00B359CA" w:rsidRPr="00132D83">
        <w:rPr>
          <w:rFonts w:cs="Arial"/>
          <w:szCs w:val="22"/>
        </w:rPr>
        <w:t xml:space="preserve">. </w:t>
      </w:r>
      <w:r w:rsidRPr="00132D83">
        <w:rPr>
          <w:rFonts w:cs="Arial"/>
          <w:szCs w:val="22"/>
        </w:rPr>
        <w:t>The c</w:t>
      </w:r>
      <w:r w:rsidR="004D4065">
        <w:rPr>
          <w:rFonts w:cs="Arial"/>
          <w:szCs w:val="22"/>
        </w:rPr>
        <w:t>hanges would also facilitate</w:t>
      </w:r>
      <w:r w:rsidRPr="00132D83">
        <w:rPr>
          <w:rFonts w:cs="Arial"/>
          <w:szCs w:val="22"/>
        </w:rPr>
        <w:t xml:space="preserve"> increased productivity </w:t>
      </w:r>
      <w:r w:rsidR="002B4EA3" w:rsidRPr="00132D83">
        <w:rPr>
          <w:rFonts w:cs="Arial"/>
          <w:szCs w:val="22"/>
        </w:rPr>
        <w:t>overall</w:t>
      </w:r>
      <w:r w:rsidR="004D4065">
        <w:rPr>
          <w:rFonts w:cs="Arial"/>
          <w:szCs w:val="22"/>
        </w:rPr>
        <w:t>,</w:t>
      </w:r>
      <w:r w:rsidR="002B4EA3" w:rsidRPr="00132D83">
        <w:rPr>
          <w:rFonts w:cs="Arial"/>
          <w:szCs w:val="22"/>
        </w:rPr>
        <w:t xml:space="preserve"> </w:t>
      </w:r>
      <w:r w:rsidRPr="00132D83">
        <w:rPr>
          <w:rFonts w:cs="Arial"/>
          <w:szCs w:val="22"/>
        </w:rPr>
        <w:t>through better use of practitioners’ expertise</w:t>
      </w:r>
      <w:r w:rsidR="004D4065">
        <w:rPr>
          <w:rFonts w:cs="Arial"/>
          <w:szCs w:val="22"/>
        </w:rPr>
        <w:t xml:space="preserve"> and time</w:t>
      </w:r>
      <w:r w:rsidRPr="00132D83">
        <w:rPr>
          <w:rFonts w:cs="Arial"/>
          <w:szCs w:val="22"/>
        </w:rPr>
        <w:t xml:space="preserve">. </w:t>
      </w:r>
    </w:p>
    <w:p w:rsidR="00A06F6C" w:rsidRPr="00132D83" w:rsidRDefault="00A06F6C" w:rsidP="00584DB6">
      <w:pPr>
        <w:numPr>
          <w:ilvl w:val="0"/>
          <w:numId w:val="33"/>
        </w:numPr>
        <w:tabs>
          <w:tab w:val="clear" w:pos="720"/>
          <w:tab w:val="num" w:pos="567"/>
        </w:tabs>
        <w:spacing w:line="280" w:lineRule="exact"/>
        <w:ind w:left="567" w:hanging="567"/>
        <w:rPr>
          <w:rFonts w:cs="Arial"/>
          <w:szCs w:val="22"/>
        </w:rPr>
      </w:pPr>
      <w:r w:rsidRPr="00132D83">
        <w:rPr>
          <w:rFonts w:cs="Arial"/>
          <w:szCs w:val="22"/>
        </w:rPr>
        <w:t>It is not possib</w:t>
      </w:r>
      <w:r w:rsidR="00B359CA" w:rsidRPr="00132D83">
        <w:rPr>
          <w:rFonts w:cs="Arial"/>
          <w:szCs w:val="22"/>
        </w:rPr>
        <w:t xml:space="preserve">le </w:t>
      </w:r>
      <w:r w:rsidR="002B4EA3" w:rsidRPr="00132D83">
        <w:rPr>
          <w:rFonts w:cs="Arial"/>
          <w:szCs w:val="22"/>
        </w:rPr>
        <w:t>to quantify the benefits of these</w:t>
      </w:r>
      <w:r w:rsidRPr="00132D83">
        <w:rPr>
          <w:rFonts w:cs="Arial"/>
          <w:szCs w:val="22"/>
        </w:rPr>
        <w:t xml:space="preserve"> change</w:t>
      </w:r>
      <w:r w:rsidR="002B4EA3" w:rsidRPr="00132D83">
        <w:rPr>
          <w:rFonts w:cs="Arial"/>
          <w:szCs w:val="22"/>
        </w:rPr>
        <w:t>s</w:t>
      </w:r>
      <w:r w:rsidRPr="00132D83">
        <w:rPr>
          <w:rFonts w:cs="Arial"/>
          <w:szCs w:val="22"/>
        </w:rPr>
        <w:t xml:space="preserve"> ex ante. However, there are clear benefits</w:t>
      </w:r>
      <w:r w:rsidR="00C27F9E" w:rsidRPr="00132D83">
        <w:rPr>
          <w:rFonts w:cs="Arial"/>
          <w:szCs w:val="22"/>
        </w:rPr>
        <w:t xml:space="preserve"> in terms of service delivery and access</w:t>
      </w:r>
      <w:r w:rsidRPr="00132D83">
        <w:rPr>
          <w:rFonts w:cs="Arial"/>
          <w:szCs w:val="22"/>
        </w:rPr>
        <w:t>.</w:t>
      </w:r>
    </w:p>
    <w:p w:rsidR="00294CCC" w:rsidRPr="00132D83" w:rsidRDefault="008A56F7" w:rsidP="00584DB6">
      <w:pPr>
        <w:pStyle w:val="Bullet-list"/>
        <w:numPr>
          <w:ilvl w:val="0"/>
          <w:numId w:val="33"/>
        </w:numPr>
        <w:tabs>
          <w:tab w:val="clear" w:pos="720"/>
          <w:tab w:val="num" w:pos="567"/>
        </w:tabs>
        <w:ind w:left="567" w:hanging="567"/>
      </w:pPr>
      <w:r w:rsidRPr="00132D83">
        <w:rPr>
          <w:lang w:val="en-GB"/>
        </w:rPr>
        <w:t>T</w:t>
      </w:r>
      <w:r w:rsidR="00DD3665" w:rsidRPr="00132D83">
        <w:t xml:space="preserve">he Ministry </w:t>
      </w:r>
      <w:r w:rsidR="0039371C" w:rsidRPr="00132D83">
        <w:t xml:space="preserve">of Health </w:t>
      </w:r>
      <w:r w:rsidR="00DD3665" w:rsidRPr="00132D83">
        <w:t>prefers option one</w:t>
      </w:r>
      <w:r w:rsidR="002B4EA3" w:rsidRPr="00132D83">
        <w:t xml:space="preserve"> for certification of death</w:t>
      </w:r>
      <w:r w:rsidR="00DD3665" w:rsidRPr="00132D83">
        <w:t xml:space="preserve">, as it </w:t>
      </w:r>
      <w:r w:rsidR="00B359CA" w:rsidRPr="00132D83">
        <w:t>addresses the immediate issue while also allowing</w:t>
      </w:r>
      <w:r w:rsidR="00DD3665" w:rsidRPr="00132D83">
        <w:t xml:space="preserve"> for future flexibility</w:t>
      </w:r>
      <w:r w:rsidR="00B359CA" w:rsidRPr="00132D83">
        <w:t xml:space="preserve"> as practice changes and roles are developed</w:t>
      </w:r>
      <w:r w:rsidR="00DD3665" w:rsidRPr="00132D83">
        <w:t xml:space="preserve">. </w:t>
      </w:r>
      <w:r w:rsidR="002B4EA3" w:rsidRPr="00132D83">
        <w:t>In this case t</w:t>
      </w:r>
      <w:r w:rsidR="00DD3665" w:rsidRPr="00132D83">
        <w:t xml:space="preserve">here is no need to specify particular classes of practitioner, as a practitioner’s competence to carry out a statutory function </w:t>
      </w:r>
      <w:r w:rsidRPr="00132D83">
        <w:t xml:space="preserve">will </w:t>
      </w:r>
      <w:r w:rsidR="00DD3665" w:rsidRPr="00132D83">
        <w:t>be govern</w:t>
      </w:r>
      <w:r w:rsidR="00B359CA" w:rsidRPr="00132D83">
        <w:t xml:space="preserve">ed through a scope </w:t>
      </w:r>
      <w:r w:rsidR="002B4EA3" w:rsidRPr="00132D83">
        <w:t>of practice.</w:t>
      </w:r>
    </w:p>
    <w:p w:rsidR="002B4EA3" w:rsidRDefault="002B4EA3" w:rsidP="00584DB6">
      <w:pPr>
        <w:pStyle w:val="Bullet-list"/>
        <w:numPr>
          <w:ilvl w:val="0"/>
          <w:numId w:val="33"/>
        </w:numPr>
        <w:tabs>
          <w:tab w:val="clear" w:pos="720"/>
          <w:tab w:val="num" w:pos="567"/>
        </w:tabs>
        <w:ind w:left="567" w:hanging="567"/>
      </w:pPr>
      <w:r w:rsidRPr="00132D83">
        <w:t xml:space="preserve">The Ministry prefers option two for prescribing of opioid substitutes. In this case it is appropriate to clearly circumscribe </w:t>
      </w:r>
      <w:r w:rsidR="00133284" w:rsidRPr="00132D83">
        <w:t xml:space="preserve">and limit </w:t>
      </w:r>
      <w:r w:rsidRPr="00132D83">
        <w:t>which groups can prescribe for OST because the drugs involved are dangerous and can be diverted, i.e. traded on the black market.</w:t>
      </w:r>
    </w:p>
    <w:p w:rsidR="000545DC" w:rsidRPr="00132D83" w:rsidRDefault="000545DC" w:rsidP="00161A6A">
      <w:pPr>
        <w:pStyle w:val="Heading3"/>
        <w:spacing w:line="280" w:lineRule="exact"/>
      </w:pPr>
      <w:bookmarkStart w:id="19" w:name="_Toc244580366"/>
      <w:bookmarkStart w:id="20" w:name="_Toc244587042"/>
      <w:bookmarkStart w:id="21" w:name="_Toc244857276"/>
      <w:bookmarkStart w:id="22" w:name="_Toc244912541"/>
      <w:bookmarkStart w:id="23" w:name="_Toc244916998"/>
      <w:r w:rsidRPr="00132D83">
        <w:t>Consultation</w:t>
      </w:r>
      <w:bookmarkEnd w:id="19"/>
      <w:bookmarkEnd w:id="20"/>
      <w:bookmarkEnd w:id="21"/>
      <w:bookmarkEnd w:id="22"/>
      <w:bookmarkEnd w:id="23"/>
    </w:p>
    <w:p w:rsidR="00133284" w:rsidRPr="00132D83" w:rsidRDefault="00133284" w:rsidP="00133284">
      <w:pPr>
        <w:pStyle w:val="Bullet-list"/>
        <w:numPr>
          <w:ilvl w:val="0"/>
          <w:numId w:val="0"/>
        </w:numPr>
        <w:ind w:left="284" w:hanging="284"/>
        <w:rPr>
          <w:i/>
        </w:rPr>
      </w:pPr>
      <w:r w:rsidRPr="00132D83">
        <w:rPr>
          <w:i/>
        </w:rPr>
        <w:t>Authority to sign MCCD</w:t>
      </w:r>
    </w:p>
    <w:p w:rsidR="00B359CA" w:rsidRPr="00132D83" w:rsidRDefault="008C1F36" w:rsidP="002B4EA3">
      <w:pPr>
        <w:pStyle w:val="Bullet-list"/>
        <w:numPr>
          <w:ilvl w:val="0"/>
          <w:numId w:val="33"/>
        </w:numPr>
        <w:tabs>
          <w:tab w:val="clear" w:pos="720"/>
          <w:tab w:val="num" w:pos="567"/>
        </w:tabs>
        <w:ind w:left="567" w:hanging="567"/>
      </w:pPr>
      <w:r w:rsidRPr="00132D83">
        <w:t>As noted above, t</w:t>
      </w:r>
      <w:r w:rsidR="00584DB6" w:rsidRPr="00132D83">
        <w:t>he</w:t>
      </w:r>
      <w:r w:rsidR="00B359CA" w:rsidRPr="00132D83">
        <w:t xml:space="preserve"> ability to sign the</w:t>
      </w:r>
      <w:r w:rsidR="00584DB6" w:rsidRPr="00132D83">
        <w:t xml:space="preserve"> Medical Certificate of Cause of Death</w:t>
      </w:r>
      <w:r w:rsidR="00B359CA" w:rsidRPr="00132D83">
        <w:t xml:space="preserve"> </w:t>
      </w:r>
      <w:r w:rsidR="00584DB6" w:rsidRPr="00132D83">
        <w:t>(</w:t>
      </w:r>
      <w:r w:rsidR="00B359CA" w:rsidRPr="00132D83">
        <w:t>MCCD</w:t>
      </w:r>
      <w:r w:rsidR="00584DB6" w:rsidRPr="00132D83">
        <w:t>)</w:t>
      </w:r>
      <w:r w:rsidR="00B359CA" w:rsidRPr="00132D83">
        <w:t xml:space="preserve"> </w:t>
      </w:r>
      <w:r w:rsidRPr="00132D83">
        <w:t xml:space="preserve">through the Burial and Cremation Act </w:t>
      </w:r>
      <w:r w:rsidR="00B359CA" w:rsidRPr="00132D83">
        <w:t xml:space="preserve">was identified </w:t>
      </w:r>
      <w:r w:rsidRPr="00132D83">
        <w:t>through a sector consultation</w:t>
      </w:r>
      <w:r w:rsidR="00584DB6" w:rsidRPr="00132D83">
        <w:t xml:space="preserve"> process </w:t>
      </w:r>
      <w:r w:rsidR="00B359CA" w:rsidRPr="00132D83">
        <w:t>as</w:t>
      </w:r>
      <w:r w:rsidR="002B4EA3" w:rsidRPr="00132D83">
        <w:t xml:space="preserve"> one of the top eight priority statutes</w:t>
      </w:r>
      <w:r w:rsidR="00B359CA" w:rsidRPr="00132D83">
        <w:t xml:space="preserve"> for change.</w:t>
      </w:r>
      <w:r w:rsidR="003A13F2" w:rsidRPr="00132D83">
        <w:t xml:space="preserve"> </w:t>
      </w:r>
    </w:p>
    <w:p w:rsidR="00A61663" w:rsidRPr="00132D83" w:rsidRDefault="003A13F2" w:rsidP="00133284">
      <w:pPr>
        <w:pStyle w:val="Bullet-list"/>
        <w:numPr>
          <w:ilvl w:val="0"/>
          <w:numId w:val="33"/>
        </w:numPr>
        <w:tabs>
          <w:tab w:val="clear" w:pos="720"/>
          <w:tab w:val="num" w:pos="567"/>
        </w:tabs>
        <w:ind w:left="567" w:hanging="567"/>
      </w:pPr>
      <w:r w:rsidRPr="00132D83">
        <w:t>The Law Commission then began its review of the Burial and Cremation Act. The Co</w:t>
      </w:r>
      <w:r w:rsidR="00243DC1" w:rsidRPr="00132D83">
        <w:t>mmission published an Issues P</w:t>
      </w:r>
      <w:r w:rsidRPr="00132D83">
        <w:t xml:space="preserve">aper </w:t>
      </w:r>
      <w:r w:rsidR="00243DC1" w:rsidRPr="00132D83">
        <w:t xml:space="preserve">for wide consultation in May 2011. The Issues Paper focused on death certification and specifically asked </w:t>
      </w:r>
      <w:r w:rsidR="008C1F36" w:rsidRPr="00132D83">
        <w:t xml:space="preserve">(among other questions) </w:t>
      </w:r>
      <w:r w:rsidR="00243DC1" w:rsidRPr="00132D83">
        <w:t>whether the authority to sign MCCDs should be extended to nurse practitioners who had been the person’s lead carer.</w:t>
      </w:r>
      <w:r w:rsidR="00133284" w:rsidRPr="00132D83">
        <w:t xml:space="preserve"> Of 21</w:t>
      </w:r>
      <w:r w:rsidR="0024785D" w:rsidRPr="00132D83">
        <w:t xml:space="preserve"> submissions that a</w:t>
      </w:r>
      <w:r w:rsidR="00133284" w:rsidRPr="00132D83">
        <w:t>ddressed this question, five</w:t>
      </w:r>
      <w:r w:rsidR="0024785D" w:rsidRPr="00132D83">
        <w:t xml:space="preserve"> were opposed.</w:t>
      </w:r>
    </w:p>
    <w:p w:rsidR="006430E2" w:rsidRPr="00132D83" w:rsidRDefault="006430E2" w:rsidP="00584DB6">
      <w:pPr>
        <w:pStyle w:val="Bullet-list"/>
        <w:numPr>
          <w:ilvl w:val="0"/>
          <w:numId w:val="33"/>
        </w:numPr>
        <w:tabs>
          <w:tab w:val="clear" w:pos="720"/>
          <w:tab w:val="num" w:pos="567"/>
        </w:tabs>
        <w:ind w:left="567" w:hanging="567"/>
      </w:pPr>
      <w:r w:rsidRPr="00132D83">
        <w:t>Overall</w:t>
      </w:r>
      <w:r w:rsidR="00BC5156" w:rsidRPr="00132D83">
        <w:t>,</w:t>
      </w:r>
      <w:r w:rsidRPr="00132D83">
        <w:t xml:space="preserve"> the sector was in favour of the proposed amendments as they would improve efficiency, reduce some of the workload burden on doctors</w:t>
      </w:r>
      <w:r w:rsidR="00BC5156" w:rsidRPr="00132D83">
        <w:t>,</w:t>
      </w:r>
      <w:r w:rsidRPr="00132D83">
        <w:t xml:space="preserve"> and enable other professions to use more of their skills</w:t>
      </w:r>
      <w:r w:rsidR="00584DB6" w:rsidRPr="00132D83">
        <w:t xml:space="preserve">. </w:t>
      </w:r>
      <w:r w:rsidR="009347C0" w:rsidRPr="00132D83">
        <w:t>Submitter</w:t>
      </w:r>
      <w:r w:rsidR="00444444" w:rsidRPr="00132D83">
        <w:t>s from nursing organisations and legal/coroner perspectives</w:t>
      </w:r>
      <w:r w:rsidR="009347C0" w:rsidRPr="00132D83">
        <w:t xml:space="preserve"> were supportive of the proposed changes, while some medic</w:t>
      </w:r>
      <w:r w:rsidR="00243DC1" w:rsidRPr="00132D83">
        <w:t xml:space="preserve">al </w:t>
      </w:r>
      <w:r w:rsidR="008C1F36" w:rsidRPr="00132D83">
        <w:t xml:space="preserve">practitioner and </w:t>
      </w:r>
      <w:r w:rsidR="00243DC1" w:rsidRPr="00132D83">
        <w:t>groups opposed the changes.</w:t>
      </w:r>
      <w:r w:rsidR="008C1F36" w:rsidRPr="00132D83">
        <w:t xml:space="preserve"> The arguments of those in opposition were somewhat opaque, but the implied reasons were related to standard of care and standard of completion of the MCCD.</w:t>
      </w:r>
    </w:p>
    <w:p w:rsidR="00133284" w:rsidRPr="00132D83" w:rsidRDefault="00133284" w:rsidP="00133284">
      <w:pPr>
        <w:pStyle w:val="Bullet-list"/>
        <w:numPr>
          <w:ilvl w:val="0"/>
          <w:numId w:val="0"/>
        </w:numPr>
        <w:ind w:left="284" w:hanging="284"/>
        <w:rPr>
          <w:i/>
        </w:rPr>
      </w:pPr>
      <w:r w:rsidRPr="00132D83">
        <w:rPr>
          <w:i/>
        </w:rPr>
        <w:t>Nurse prescribing for OST</w:t>
      </w:r>
    </w:p>
    <w:p w:rsidR="00A61663" w:rsidRPr="00132D83" w:rsidRDefault="00A61663" w:rsidP="00584DB6">
      <w:pPr>
        <w:pStyle w:val="Bullet-list"/>
        <w:numPr>
          <w:ilvl w:val="0"/>
          <w:numId w:val="33"/>
        </w:numPr>
        <w:tabs>
          <w:tab w:val="clear" w:pos="720"/>
          <w:tab w:val="num" w:pos="567"/>
        </w:tabs>
        <w:ind w:left="567" w:hanging="567"/>
      </w:pPr>
      <w:r w:rsidRPr="00132D83">
        <w:t xml:space="preserve">Health sector stakeholders were consulted separately on the proposal to widen the ability to prescribe controlled drugs to treat drug dependency in 2013. </w:t>
      </w:r>
      <w:r w:rsidR="008C1F36" w:rsidRPr="00132D83">
        <w:rPr>
          <w:rFonts w:cs="Arial"/>
          <w:lang w:eastAsia="en-NZ"/>
        </w:rPr>
        <w:t>Of eleven</w:t>
      </w:r>
      <w:r w:rsidRPr="00132D83">
        <w:rPr>
          <w:rFonts w:cs="Arial"/>
          <w:lang w:eastAsia="en-NZ"/>
        </w:rPr>
        <w:t xml:space="preserve"> directly-affected workforce group</w:t>
      </w:r>
      <w:r w:rsidR="003A13F2" w:rsidRPr="00132D83">
        <w:rPr>
          <w:rFonts w:cs="Arial"/>
          <w:lang w:eastAsia="en-NZ"/>
        </w:rPr>
        <w:t>s</w:t>
      </w:r>
      <w:r w:rsidR="0024785D" w:rsidRPr="00132D83">
        <w:rPr>
          <w:rFonts w:cs="Arial"/>
          <w:lang w:eastAsia="en-NZ"/>
        </w:rPr>
        <w:t xml:space="preserve"> that responded, </w:t>
      </w:r>
      <w:r w:rsidRPr="00132D83">
        <w:rPr>
          <w:rFonts w:cs="Arial"/>
          <w:lang w:eastAsia="en-NZ"/>
        </w:rPr>
        <w:t>one (N</w:t>
      </w:r>
      <w:r w:rsidR="00333963">
        <w:rPr>
          <w:rFonts w:cs="Arial"/>
          <w:lang w:eastAsia="en-NZ"/>
        </w:rPr>
        <w:t xml:space="preserve">ew </w:t>
      </w:r>
      <w:r w:rsidRPr="00132D83">
        <w:rPr>
          <w:rFonts w:cs="Arial"/>
          <w:lang w:eastAsia="en-NZ"/>
        </w:rPr>
        <w:t>Z</w:t>
      </w:r>
      <w:r w:rsidR="00333963">
        <w:rPr>
          <w:rFonts w:cs="Arial"/>
          <w:lang w:eastAsia="en-NZ"/>
        </w:rPr>
        <w:t>ealand</w:t>
      </w:r>
      <w:r w:rsidRPr="00132D83">
        <w:rPr>
          <w:rFonts w:cs="Arial"/>
          <w:lang w:eastAsia="en-NZ"/>
        </w:rPr>
        <w:t xml:space="preserve"> Medical Association</w:t>
      </w:r>
      <w:r w:rsidR="00133284" w:rsidRPr="00132D83">
        <w:rPr>
          <w:rFonts w:cs="Arial"/>
          <w:lang w:eastAsia="en-NZ"/>
        </w:rPr>
        <w:t xml:space="preserve"> or NZMA</w:t>
      </w:r>
      <w:r w:rsidRPr="00132D83">
        <w:rPr>
          <w:rFonts w:cs="Arial"/>
          <w:lang w:eastAsia="en-NZ"/>
        </w:rPr>
        <w:t>) opposed the proposal.</w:t>
      </w:r>
      <w:r w:rsidR="008C1F36" w:rsidRPr="00132D83">
        <w:rPr>
          <w:rFonts w:cs="Arial"/>
          <w:lang w:eastAsia="en-NZ"/>
        </w:rPr>
        <w:t xml:space="preserve"> Although they opposed</w:t>
      </w:r>
      <w:r w:rsidR="00133284" w:rsidRPr="00132D83">
        <w:rPr>
          <w:rFonts w:cs="Arial"/>
          <w:lang w:eastAsia="en-NZ"/>
        </w:rPr>
        <w:t xml:space="preserve"> the proposal</w:t>
      </w:r>
      <w:r w:rsidR="00581D17" w:rsidRPr="00132D83">
        <w:rPr>
          <w:rFonts w:cs="Arial"/>
          <w:lang w:eastAsia="en-NZ"/>
        </w:rPr>
        <w:t xml:space="preserve"> in its current form, NZMA noted</w:t>
      </w:r>
      <w:r w:rsidR="00133284" w:rsidRPr="00132D83">
        <w:rPr>
          <w:rFonts w:cs="Arial"/>
          <w:lang w:eastAsia="en-NZ"/>
        </w:rPr>
        <w:t xml:space="preserve"> that under controlled settings</w:t>
      </w:r>
      <w:r w:rsidR="008C1F36" w:rsidRPr="00132D83">
        <w:rPr>
          <w:rFonts w:cs="Arial"/>
          <w:lang w:eastAsia="en-NZ"/>
        </w:rPr>
        <w:t>,</w:t>
      </w:r>
      <w:r w:rsidR="00133284" w:rsidRPr="00132D83">
        <w:rPr>
          <w:rFonts w:cs="Arial"/>
          <w:lang w:eastAsia="en-NZ"/>
        </w:rPr>
        <w:t xml:space="preserve"> extending delegated prescribing rights to suitably trained nurses to prescribe OST drugs may be appropriate.</w:t>
      </w:r>
    </w:p>
    <w:p w:rsidR="00A7734D" w:rsidRPr="00132D83" w:rsidRDefault="00B359CA" w:rsidP="00584DB6">
      <w:pPr>
        <w:pStyle w:val="Bullet-list"/>
        <w:numPr>
          <w:ilvl w:val="0"/>
          <w:numId w:val="33"/>
        </w:numPr>
        <w:tabs>
          <w:tab w:val="clear" w:pos="720"/>
          <w:tab w:val="num" w:pos="567"/>
        </w:tabs>
        <w:ind w:left="567" w:hanging="567"/>
      </w:pPr>
      <w:r w:rsidRPr="00132D83">
        <w:lastRenderedPageBreak/>
        <w:t>Interested</w:t>
      </w:r>
      <w:r w:rsidR="00A7734D" w:rsidRPr="00132D83">
        <w:t xml:space="preserve"> </w:t>
      </w:r>
      <w:r w:rsidR="00C25DC3" w:rsidRPr="00132D83">
        <w:t>government agencies</w:t>
      </w:r>
      <w:r w:rsidR="00A7734D" w:rsidRPr="00132D83">
        <w:t xml:space="preserve"> were also consulted</w:t>
      </w:r>
      <w:r w:rsidR="00A61663" w:rsidRPr="00132D83">
        <w:t xml:space="preserve"> on the proposal</w:t>
      </w:r>
      <w:r w:rsidR="004C486E" w:rsidRPr="00132D83">
        <w:t xml:space="preserve">s. Those agencies did not request any changes to the paper or </w:t>
      </w:r>
      <w:r w:rsidR="00AD6D25" w:rsidRPr="00132D83">
        <w:t>the Regulatory Impact Statement</w:t>
      </w:r>
      <w:r w:rsidR="004C486E" w:rsidRPr="00132D83">
        <w:t>.</w:t>
      </w:r>
    </w:p>
    <w:p w:rsidR="00A7734D" w:rsidRPr="00132D83" w:rsidRDefault="00A7734D" w:rsidP="00584DB6">
      <w:pPr>
        <w:pStyle w:val="Heading3"/>
        <w:spacing w:before="240" w:line="280" w:lineRule="exact"/>
      </w:pPr>
      <w:r w:rsidRPr="00132D83">
        <w:t>Risks</w:t>
      </w:r>
    </w:p>
    <w:p w:rsidR="00A7734D" w:rsidRPr="00132D83" w:rsidRDefault="00A61663" w:rsidP="00584DB6">
      <w:pPr>
        <w:pStyle w:val="Bullet-list"/>
        <w:numPr>
          <w:ilvl w:val="0"/>
          <w:numId w:val="33"/>
        </w:numPr>
        <w:tabs>
          <w:tab w:val="clear" w:pos="720"/>
          <w:tab w:val="num" w:pos="567"/>
        </w:tabs>
        <w:ind w:left="567" w:hanging="567"/>
      </w:pPr>
      <w:r w:rsidRPr="00132D83">
        <w:t>There are some</w:t>
      </w:r>
      <w:r w:rsidR="00A7734D" w:rsidRPr="00132D83">
        <w:t xml:space="preserve"> perceived risks associated with the propose</w:t>
      </w:r>
      <w:r w:rsidR="003A13F2" w:rsidRPr="00132D83">
        <w:t>d amendments</w:t>
      </w:r>
      <w:r w:rsidR="0024785D" w:rsidRPr="00132D83">
        <w:t xml:space="preserve"> raised in consultation</w:t>
      </w:r>
      <w:r w:rsidR="003A13F2" w:rsidRPr="00132D83">
        <w:t>.</w:t>
      </w:r>
      <w:r w:rsidR="00AD6D25" w:rsidRPr="00132D83">
        <w:t xml:space="preserve"> At a high level t</w:t>
      </w:r>
      <w:r w:rsidR="00A7734D" w:rsidRPr="00132D83">
        <w:t>hese were:</w:t>
      </w:r>
    </w:p>
    <w:p w:rsidR="00842D39" w:rsidRPr="00132D83" w:rsidRDefault="00842D39" w:rsidP="0024785D">
      <w:pPr>
        <w:pStyle w:val="Bullet-list"/>
        <w:numPr>
          <w:ilvl w:val="0"/>
          <w:numId w:val="44"/>
        </w:numPr>
        <w:tabs>
          <w:tab w:val="clear" w:pos="1080"/>
          <w:tab w:val="num" w:pos="993"/>
        </w:tabs>
        <w:ind w:hanging="437"/>
      </w:pPr>
      <w:r w:rsidRPr="00132D83">
        <w:t>Other health practitioners who are not subject to the same accountability mechanisms as doctors, will be undertaking statutory functions beyond their competence, and this will be a risk to patient and public safety</w:t>
      </w:r>
    </w:p>
    <w:p w:rsidR="002E320F" w:rsidRPr="00132D83" w:rsidRDefault="002E320F" w:rsidP="0024785D">
      <w:pPr>
        <w:pStyle w:val="Bullet-list"/>
        <w:numPr>
          <w:ilvl w:val="0"/>
          <w:numId w:val="44"/>
        </w:numPr>
        <w:tabs>
          <w:tab w:val="clear" w:pos="1080"/>
          <w:tab w:val="num" w:pos="993"/>
        </w:tabs>
        <w:ind w:hanging="437"/>
      </w:pPr>
      <w:r w:rsidRPr="00132D83">
        <w:t>Other health practitioners have not had the same level of training as doctors</w:t>
      </w:r>
    </w:p>
    <w:p w:rsidR="0024785D" w:rsidRPr="00132D83" w:rsidRDefault="002E320F" w:rsidP="0024785D">
      <w:pPr>
        <w:pStyle w:val="Bullet-list"/>
        <w:numPr>
          <w:ilvl w:val="0"/>
          <w:numId w:val="44"/>
        </w:numPr>
        <w:tabs>
          <w:tab w:val="clear" w:pos="1080"/>
          <w:tab w:val="num" w:pos="993"/>
        </w:tabs>
        <w:ind w:hanging="437"/>
      </w:pPr>
      <w:r w:rsidRPr="00132D83">
        <w:t>Other health practitioners may not have trained in diagnosis</w:t>
      </w:r>
      <w:r w:rsidR="00043E18" w:rsidRPr="00132D83">
        <w:t xml:space="preserve"> and</w:t>
      </w:r>
      <w:r w:rsidRPr="00132D83">
        <w:t xml:space="preserve"> therefore should not be undertaking death certification or prescribing</w:t>
      </w:r>
      <w:r w:rsidR="00842D39" w:rsidRPr="00132D83">
        <w:t>.</w:t>
      </w:r>
    </w:p>
    <w:p w:rsidR="00AD6D25" w:rsidRPr="00132D83" w:rsidRDefault="00AD6D25" w:rsidP="00161A6A">
      <w:pPr>
        <w:pStyle w:val="Bullet-list"/>
        <w:numPr>
          <w:ilvl w:val="0"/>
          <w:numId w:val="0"/>
        </w:numPr>
        <w:ind w:left="284" w:hanging="284"/>
        <w:rPr>
          <w:i/>
        </w:rPr>
      </w:pPr>
      <w:r w:rsidRPr="00132D83">
        <w:rPr>
          <w:i/>
        </w:rPr>
        <w:t>Authority to sign MCCD</w:t>
      </w:r>
    </w:p>
    <w:p w:rsidR="00AD6D25" w:rsidRPr="00132D83" w:rsidRDefault="00AD6D25" w:rsidP="00AD6D25">
      <w:pPr>
        <w:pStyle w:val="Bullet-list"/>
        <w:numPr>
          <w:ilvl w:val="0"/>
          <w:numId w:val="33"/>
        </w:numPr>
        <w:tabs>
          <w:tab w:val="clear" w:pos="720"/>
          <w:tab w:val="num" w:pos="567"/>
        </w:tabs>
        <w:ind w:left="567" w:hanging="567"/>
      </w:pPr>
      <w:r w:rsidRPr="00132D83">
        <w:t>Consultation demonstrated that there was a perception held by some that other health professionals may be less responsible than medical practitioners in performing the activities and may apply less rigour when certifying death. There is no substantive evidence that this will occur</w:t>
      </w:r>
      <w:r w:rsidR="00161A6A" w:rsidRPr="00132D83">
        <w:t>.</w:t>
      </w:r>
      <w:r w:rsidRPr="00132D83">
        <w:t xml:space="preserve"> The safeguards on medical practitioner conduct and performance apply equally to all health practitioners regulated under the </w:t>
      </w:r>
      <w:r w:rsidRPr="00132D83">
        <w:rPr>
          <w:rFonts w:cs="Arial"/>
          <w:color w:val="000000"/>
          <w:szCs w:val="22"/>
        </w:rPr>
        <w:t>HPCA Act.</w:t>
      </w:r>
      <w:r w:rsidR="00161A6A" w:rsidRPr="00132D83">
        <w:rPr>
          <w:rFonts w:cs="Arial"/>
          <w:color w:val="000000"/>
          <w:szCs w:val="22"/>
        </w:rPr>
        <w:t xml:space="preserve"> Each health regulatory authority operates a complaints system for its workforce.</w:t>
      </w:r>
    </w:p>
    <w:p w:rsidR="00161A6A" w:rsidRPr="00132D83" w:rsidRDefault="00161A6A" w:rsidP="00161A6A">
      <w:pPr>
        <w:numPr>
          <w:ilvl w:val="0"/>
          <w:numId w:val="33"/>
        </w:numPr>
        <w:tabs>
          <w:tab w:val="clear" w:pos="720"/>
          <w:tab w:val="num" w:pos="567"/>
        </w:tabs>
        <w:spacing w:line="280" w:lineRule="exact"/>
        <w:ind w:left="567" w:hanging="567"/>
        <w:rPr>
          <w:rFonts w:cs="Arial"/>
          <w:szCs w:val="22"/>
        </w:rPr>
      </w:pPr>
      <w:r w:rsidRPr="00132D83">
        <w:rPr>
          <w:rFonts w:cs="Arial"/>
          <w:color w:val="000000"/>
          <w:szCs w:val="22"/>
        </w:rPr>
        <w:t xml:space="preserve">Health practitioners are governed by the HPCA Act, which requires that health practitioners may legally only undertake professional functions within their scope of practice. </w:t>
      </w:r>
      <w:r w:rsidRPr="00132D83">
        <w:t xml:space="preserve">Existing safeguards on practitioner competence and practice through the </w:t>
      </w:r>
      <w:r w:rsidRPr="00132D83">
        <w:rPr>
          <w:rFonts w:cs="Arial"/>
          <w:color w:val="000000"/>
          <w:szCs w:val="22"/>
        </w:rPr>
        <w:t>HPCA Act</w:t>
      </w:r>
      <w:r w:rsidRPr="00132D83">
        <w:t xml:space="preserve"> and the Code of Health and Disability Services Consumers’ Rights will still apply. Under section 8 of the </w:t>
      </w:r>
      <w:r w:rsidRPr="00132D83">
        <w:rPr>
          <w:rFonts w:cs="Arial"/>
          <w:color w:val="000000"/>
          <w:szCs w:val="22"/>
        </w:rPr>
        <w:t>HPCA Act, health regulatory authorities are responsible for ensuring that health practitioners are fit and competent to practice and ensure that they do not practise outside their scope. Therefore, only health practitioners qualified to undertake the specific activity would be able to do so under the law changes proposed.</w:t>
      </w:r>
    </w:p>
    <w:p w:rsidR="00132D83" w:rsidRPr="00132D83" w:rsidRDefault="00132D83" w:rsidP="00132D83">
      <w:pPr>
        <w:pStyle w:val="Bullet-list"/>
        <w:numPr>
          <w:ilvl w:val="0"/>
          <w:numId w:val="33"/>
        </w:numPr>
        <w:tabs>
          <w:tab w:val="clear" w:pos="720"/>
          <w:tab w:val="num" w:pos="567"/>
        </w:tabs>
        <w:ind w:left="567" w:hanging="567"/>
      </w:pPr>
      <w:r w:rsidRPr="00132D83">
        <w:t xml:space="preserve">In some cases, decisions based on the advice of health practitioners are open to legal challenge and practitioners may need to defend their advice in court. All health practitioners covered by the HPCA Act are accountable for their practice. Health practitioners cannot be compelled to perform activities for which they do not feel sufficiently competent. Those that choose to perform the statutory functions must be prepared to defend their practice.  </w:t>
      </w:r>
    </w:p>
    <w:p w:rsidR="00161A6A" w:rsidRDefault="00161A6A" w:rsidP="00161A6A">
      <w:pPr>
        <w:pStyle w:val="Bullet-list"/>
        <w:numPr>
          <w:ilvl w:val="0"/>
          <w:numId w:val="33"/>
        </w:numPr>
        <w:tabs>
          <w:tab w:val="clear" w:pos="720"/>
          <w:tab w:val="num" w:pos="567"/>
        </w:tabs>
        <w:ind w:left="567" w:hanging="567"/>
      </w:pPr>
      <w:r w:rsidRPr="00132D83">
        <w:t>The nature of the activity and scopes of practice will limit which types of health practitioner can perform the activities, just as they currently ensure only medical practitioners with an appropriate scope of practice can perform the activities now. For example, conducting physical examinations of children suspected of being victims of abuse would fall within the scopes of practice of general practitioners, some medical specialists, nurse practitioners, and registered nurses.  It would not fall within the scope of practice of other health practitioners such as dieticians, dental therapists or medical laboratory scientists.</w:t>
      </w:r>
    </w:p>
    <w:p w:rsidR="00C654AE" w:rsidRPr="00132D83" w:rsidRDefault="00C654AE" w:rsidP="00C654AE">
      <w:pPr>
        <w:pStyle w:val="Bullet-list"/>
        <w:numPr>
          <w:ilvl w:val="0"/>
          <w:numId w:val="0"/>
        </w:numPr>
        <w:ind w:left="567"/>
      </w:pPr>
    </w:p>
    <w:p w:rsidR="00AD6D25" w:rsidRPr="00132D83" w:rsidRDefault="00AD6D25" w:rsidP="00AD6D25">
      <w:pPr>
        <w:pStyle w:val="Bullet-list"/>
        <w:numPr>
          <w:ilvl w:val="0"/>
          <w:numId w:val="33"/>
        </w:numPr>
        <w:tabs>
          <w:tab w:val="clear" w:pos="720"/>
          <w:tab w:val="num" w:pos="567"/>
        </w:tabs>
        <w:ind w:left="567" w:hanging="567"/>
      </w:pPr>
      <w:r w:rsidRPr="00132D83">
        <w:lastRenderedPageBreak/>
        <w:t>The requirement that only appropriately qualified health practitioners can perform the statutory functions would be emphasised through the interpretation section of the relevant Acts. The definition of a health practitioner in the interpretation sections will specify that they must be working within their scope of practice.</w:t>
      </w:r>
      <w:r w:rsidR="00161A6A" w:rsidRPr="00132D83">
        <w:t xml:space="preserve"> </w:t>
      </w:r>
    </w:p>
    <w:p w:rsidR="00AD6D25" w:rsidRPr="00132D83" w:rsidRDefault="00AD6D25" w:rsidP="00AD6D25">
      <w:pPr>
        <w:pStyle w:val="Bullet-list"/>
        <w:numPr>
          <w:ilvl w:val="0"/>
          <w:numId w:val="33"/>
        </w:numPr>
        <w:tabs>
          <w:tab w:val="clear" w:pos="720"/>
          <w:tab w:val="num" w:pos="567"/>
        </w:tabs>
        <w:ind w:left="567" w:hanging="567"/>
      </w:pPr>
      <w:r w:rsidRPr="00132D83">
        <w:t xml:space="preserve">Submitters have emphasised the importance of newly authorised practitioners receiving appropriate training, credentialed competence, guidelines and scopes of practice. </w:t>
      </w:r>
    </w:p>
    <w:p w:rsidR="00161A6A" w:rsidRPr="00132D83" w:rsidRDefault="00161A6A" w:rsidP="00161A6A">
      <w:pPr>
        <w:pStyle w:val="Bullet-list"/>
        <w:numPr>
          <w:ilvl w:val="0"/>
          <w:numId w:val="0"/>
        </w:numPr>
        <w:ind w:left="284" w:hanging="284"/>
        <w:rPr>
          <w:i/>
        </w:rPr>
      </w:pPr>
      <w:r w:rsidRPr="00132D83">
        <w:rPr>
          <w:i/>
        </w:rPr>
        <w:t>Nurse prescribing for OST</w:t>
      </w:r>
    </w:p>
    <w:p w:rsidR="00161A6A" w:rsidRPr="00132D83" w:rsidRDefault="00161A6A" w:rsidP="00161A6A">
      <w:pPr>
        <w:pStyle w:val="ListParagraph"/>
        <w:numPr>
          <w:ilvl w:val="0"/>
          <w:numId w:val="33"/>
        </w:numPr>
        <w:tabs>
          <w:tab w:val="clear" w:pos="720"/>
          <w:tab w:val="num" w:pos="567"/>
        </w:tabs>
        <w:spacing w:after="240" w:line="276" w:lineRule="auto"/>
        <w:ind w:left="567" w:hanging="567"/>
        <w:jc w:val="left"/>
      </w:pPr>
      <w:r w:rsidRPr="00132D83">
        <w:t xml:space="preserve">An argument raised by some doctors has been a perceived risk that approved nurses, when asked to prescribe a controlled drug, may not be capable of providing a complete and thorough health assessment for the patient including specialist diagnosis, considering the full range of mental and physical health issues, to a standard comparable to that expected of a medical practitioner. The concerns around widening the group who can prescribe controlled drugs, which are by definition dangerous, have led the Ministry to restrict this proposal only to suitably qualified health professionals. Only doctors and </w:t>
      </w:r>
      <w:proofErr w:type="gramStart"/>
      <w:r w:rsidRPr="00132D83">
        <w:t>nurses</w:t>
      </w:r>
      <w:proofErr w:type="gramEnd"/>
      <w:r w:rsidRPr="00132D83">
        <w:t xml:space="preserve"> who are authorised by their regulatory authority to undertake comprehensive health assessment, undertake diagnosis and prescribe treatments on a broad range of health issues and problems, will be legally able to prescribe opioids for dependency. In addition, only nurses who are working in a specialist service with the approval of that service’s lead medical practitioner will be able to prescribe.</w:t>
      </w:r>
    </w:p>
    <w:p w:rsidR="00043E18" w:rsidRPr="00132D83" w:rsidRDefault="002E35AE" w:rsidP="00043E18">
      <w:pPr>
        <w:pStyle w:val="Bullet-list"/>
        <w:numPr>
          <w:ilvl w:val="0"/>
          <w:numId w:val="33"/>
        </w:numPr>
        <w:tabs>
          <w:tab w:val="clear" w:pos="720"/>
          <w:tab w:val="num" w:pos="567"/>
        </w:tabs>
        <w:ind w:left="567" w:hanging="567"/>
      </w:pPr>
      <w:r w:rsidRPr="00132D83">
        <w:t>Currently n</w:t>
      </w:r>
      <w:r w:rsidR="00043E18" w:rsidRPr="00132D83">
        <w:t xml:space="preserve">urse </w:t>
      </w:r>
      <w:r w:rsidRPr="00132D83">
        <w:t>prescribers in New Zealand hold level 8</w:t>
      </w:r>
      <w:r w:rsidR="008905B9" w:rsidRPr="00132D83">
        <w:t xml:space="preserve"> National Qualifications Framework</w:t>
      </w:r>
      <w:r w:rsidR="00043E18" w:rsidRPr="00132D83">
        <w:t xml:space="preserve"> qualifications </w:t>
      </w:r>
      <w:r w:rsidR="008905B9" w:rsidRPr="00132D83">
        <w:t>(Masters level)</w:t>
      </w:r>
      <w:r w:rsidR="00132D83" w:rsidRPr="00132D83">
        <w:t>,</w:t>
      </w:r>
      <w:r w:rsidR="008905B9" w:rsidRPr="00132D83">
        <w:t xml:space="preserve"> </w:t>
      </w:r>
      <w:r w:rsidR="00043E18" w:rsidRPr="00132D83">
        <w:t xml:space="preserve">which </w:t>
      </w:r>
      <w:r w:rsidR="00BC6C78" w:rsidRPr="00132D83">
        <w:t>reflect</w:t>
      </w:r>
      <w:r w:rsidR="00043E18" w:rsidRPr="00132D83">
        <w:t xml:space="preserve"> </w:t>
      </w:r>
      <w:r w:rsidRPr="00132D83">
        <w:t>education</w:t>
      </w:r>
      <w:r w:rsidR="00043E18" w:rsidRPr="00132D83">
        <w:t xml:space="preserve"> in physiology</w:t>
      </w:r>
      <w:r w:rsidR="00BC6C78" w:rsidRPr="00132D83">
        <w:t>,</w:t>
      </w:r>
      <w:r w:rsidR="00043E18" w:rsidRPr="00132D83">
        <w:t xml:space="preserve"> pharmacology, advanced health assessment/diagnosis and prescribing.</w:t>
      </w:r>
      <w:r w:rsidRPr="00132D83">
        <w:t xml:space="preserve"> Other nurses prescribing for opiate dependency will be required to have level 8 qualifications and credentialed to work in an approved service.</w:t>
      </w:r>
    </w:p>
    <w:p w:rsidR="008C0BF1" w:rsidRPr="00132D83" w:rsidRDefault="008C0BF1" w:rsidP="008C0BF1">
      <w:pPr>
        <w:pStyle w:val="ListParagraph"/>
        <w:numPr>
          <w:ilvl w:val="0"/>
          <w:numId w:val="33"/>
        </w:numPr>
        <w:tabs>
          <w:tab w:val="clear" w:pos="720"/>
          <w:tab w:val="num" w:pos="567"/>
        </w:tabs>
        <w:spacing w:after="120" w:line="276" w:lineRule="auto"/>
        <w:ind w:left="567" w:hanging="567"/>
        <w:jc w:val="left"/>
      </w:pPr>
      <w:r w:rsidRPr="00132D83">
        <w:t>Any complaints against nurse prescribers will be dealt with by the Nursing Council under the Health Practitioners Competence Assurance Act. If a complaint arises about a nurse’s prescribing, the Nursing Co</w:t>
      </w:r>
      <w:r w:rsidR="002E35AE" w:rsidRPr="00132D83">
        <w:t xml:space="preserve">uncil </w:t>
      </w:r>
      <w:r w:rsidR="00AD6D25" w:rsidRPr="00132D83">
        <w:t>will act in accordance with the HPCA Act in dealing</w:t>
      </w:r>
      <w:r w:rsidR="002E35AE" w:rsidRPr="00132D83">
        <w:t xml:space="preserve"> with such complaints.</w:t>
      </w:r>
      <w:r w:rsidR="008905B9" w:rsidRPr="00132D83">
        <w:t xml:space="preserve"> The Council has a range of potential responses to inappropriate prescribing according to the circumstances – from support to training to deregistration.</w:t>
      </w:r>
    </w:p>
    <w:p w:rsidR="008C0BF1" w:rsidRPr="00132D83" w:rsidRDefault="008C0BF1" w:rsidP="008C0BF1">
      <w:pPr>
        <w:pStyle w:val="ListParagraph"/>
        <w:spacing w:line="276" w:lineRule="auto"/>
        <w:jc w:val="left"/>
      </w:pPr>
    </w:p>
    <w:p w:rsidR="008C0BF1" w:rsidRPr="00132D83" w:rsidRDefault="008C0BF1" w:rsidP="008C0BF1">
      <w:pPr>
        <w:pStyle w:val="ListParagraph"/>
        <w:numPr>
          <w:ilvl w:val="0"/>
          <w:numId w:val="33"/>
        </w:numPr>
        <w:tabs>
          <w:tab w:val="clear" w:pos="720"/>
          <w:tab w:val="num" w:pos="567"/>
        </w:tabs>
        <w:spacing w:line="276" w:lineRule="auto"/>
        <w:ind w:left="567" w:hanging="567"/>
        <w:jc w:val="left"/>
      </w:pPr>
      <w:r w:rsidRPr="00132D83">
        <w:t>The list of medicines that could be prescribed by nurses under the amended MODA would be limited to a small group of medicines that would be included in a schedule to the Misuse of Drugs Regulations. The list of nurses with the ability to prescribe OST would be published in the Gazette pursuant to section 24(7</w:t>
      </w:r>
      <w:proofErr w:type="gramStart"/>
      <w:r w:rsidRPr="00132D83">
        <w:t>)(</w:t>
      </w:r>
      <w:proofErr w:type="gramEnd"/>
      <w:r w:rsidRPr="00132D83">
        <w:t xml:space="preserve">a) MODA or an equivalent new subsection. </w:t>
      </w:r>
    </w:p>
    <w:p w:rsidR="008C0BF1" w:rsidRPr="00132D83" w:rsidRDefault="008C0BF1" w:rsidP="008C0BF1">
      <w:pPr>
        <w:pStyle w:val="ListParagraph"/>
        <w:tabs>
          <w:tab w:val="num" w:pos="567"/>
        </w:tabs>
        <w:ind w:left="567" w:hanging="567"/>
      </w:pPr>
    </w:p>
    <w:p w:rsidR="008C0BF1" w:rsidRPr="00132D83" w:rsidRDefault="008C0BF1" w:rsidP="008C0BF1">
      <w:pPr>
        <w:pStyle w:val="ListParagraph"/>
        <w:numPr>
          <w:ilvl w:val="0"/>
          <w:numId w:val="33"/>
        </w:numPr>
        <w:tabs>
          <w:tab w:val="clear" w:pos="720"/>
          <w:tab w:val="num" w:pos="567"/>
        </w:tabs>
        <w:spacing w:line="276" w:lineRule="auto"/>
        <w:ind w:left="567" w:hanging="567"/>
        <w:jc w:val="left"/>
      </w:pPr>
      <w:r w:rsidRPr="00132D83">
        <w:t>An amendment</w:t>
      </w:r>
      <w:r w:rsidR="00161A6A" w:rsidRPr="00132D83">
        <w:t xml:space="preserve"> would</w:t>
      </w:r>
      <w:r w:rsidRPr="00132D83">
        <w:t xml:space="preserve"> also </w:t>
      </w:r>
      <w:r w:rsidR="00161A6A" w:rsidRPr="00132D83">
        <w:t xml:space="preserve">be </w:t>
      </w:r>
      <w:r w:rsidRPr="00132D83">
        <w:t>required to regulation 21(4B) to enable the prescribing for a period of supply greater than three days by a nurse in an OST setting.</w:t>
      </w:r>
    </w:p>
    <w:p w:rsidR="008C0BF1" w:rsidRPr="00132D83" w:rsidRDefault="008C0BF1" w:rsidP="008C0BF1">
      <w:pPr>
        <w:tabs>
          <w:tab w:val="num" w:pos="567"/>
        </w:tabs>
        <w:spacing w:after="0"/>
        <w:ind w:left="567" w:hanging="567"/>
      </w:pPr>
    </w:p>
    <w:p w:rsidR="008C0BF1" w:rsidRPr="00132D83" w:rsidRDefault="008C0BF1" w:rsidP="008C0BF1">
      <w:pPr>
        <w:pStyle w:val="ListParagraph"/>
        <w:numPr>
          <w:ilvl w:val="0"/>
          <w:numId w:val="33"/>
        </w:numPr>
        <w:tabs>
          <w:tab w:val="clear" w:pos="720"/>
          <w:tab w:val="num" w:pos="567"/>
        </w:tabs>
        <w:spacing w:line="276" w:lineRule="auto"/>
        <w:ind w:left="567" w:hanging="567"/>
        <w:jc w:val="left"/>
      </w:pPr>
      <w:r w:rsidRPr="00132D83">
        <w:t>This risk could be further mitigated by enabling central monitoring of buprenorphine prescribed by all prescribers for OST (as central monitoring of methadone is currently enabled). This would enhance accountability for those prescriptions and would be achieved by amending Misuse of Drugs Regulations 29(1) and 35(2).</w:t>
      </w:r>
    </w:p>
    <w:p w:rsidR="008C0BF1" w:rsidRPr="00132D83" w:rsidRDefault="008C0BF1" w:rsidP="008C0BF1">
      <w:pPr>
        <w:tabs>
          <w:tab w:val="num" w:pos="567"/>
        </w:tabs>
        <w:spacing w:after="0"/>
        <w:ind w:left="567" w:hanging="567"/>
      </w:pPr>
    </w:p>
    <w:p w:rsidR="008C0BF1" w:rsidRPr="00132D83" w:rsidRDefault="008C0BF1" w:rsidP="008C0BF1">
      <w:pPr>
        <w:pStyle w:val="ListParagraph"/>
        <w:numPr>
          <w:ilvl w:val="0"/>
          <w:numId w:val="33"/>
        </w:numPr>
        <w:tabs>
          <w:tab w:val="clear" w:pos="720"/>
          <w:tab w:val="num" w:pos="567"/>
        </w:tabs>
        <w:spacing w:line="276" w:lineRule="auto"/>
        <w:ind w:left="567" w:hanging="567"/>
        <w:jc w:val="left"/>
      </w:pPr>
      <w:r w:rsidRPr="00132D83">
        <w:lastRenderedPageBreak/>
        <w:t xml:space="preserve">The current preparation of buprenorphine prescribed in OST settings has the trade name </w:t>
      </w:r>
      <w:proofErr w:type="spellStart"/>
      <w:r w:rsidRPr="00132D83">
        <w:t>suboxone</w:t>
      </w:r>
      <w:proofErr w:type="spellEnd"/>
      <w:r w:rsidRPr="00132D83">
        <w:t>, which is a combination of buprenorphine (Class C4 controlled drug) and naloxone. Prescriptions for Class B drugs must be written on a triplicate controlled drugs prescription form that ensure a copy goes to the Medical Officer of Health, Medicines Control. Buprenorphine prescriptions are exempted by regulation 29(1</w:t>
      </w:r>
      <w:proofErr w:type="gramStart"/>
      <w:r w:rsidRPr="00132D83">
        <w:t>)(</w:t>
      </w:r>
      <w:proofErr w:type="gramEnd"/>
      <w:r w:rsidRPr="00132D83">
        <w:t>a)(ii). Officials propose that this exemption be removed so that prescriptions for buprenorphine must be written on a triplicate prescription form, enhancing accountability</w:t>
      </w:r>
      <w:r w:rsidRPr="00132D83">
        <w:rPr>
          <w:rStyle w:val="FootnoteReference"/>
          <w:szCs w:val="16"/>
        </w:rPr>
        <w:footnoteReference w:id="1"/>
      </w:r>
      <w:r w:rsidRPr="00132D83">
        <w:t xml:space="preserve">. To further strengthen accountability, regulation 35(2) should be amended to require </w:t>
      </w:r>
      <w:proofErr w:type="spellStart"/>
      <w:r w:rsidRPr="00132D83">
        <w:t>dispensings</w:t>
      </w:r>
      <w:proofErr w:type="spellEnd"/>
      <w:r w:rsidRPr="00132D83">
        <w:t xml:space="preserve"> of buprenorphine to be reported to the Medical Officer of Health, Medicines Control (this is already required for methadone).</w:t>
      </w:r>
    </w:p>
    <w:p w:rsidR="008C0BF1" w:rsidRPr="00132D83" w:rsidRDefault="008C0BF1" w:rsidP="008C0BF1">
      <w:pPr>
        <w:tabs>
          <w:tab w:val="num" w:pos="567"/>
        </w:tabs>
        <w:spacing w:after="0"/>
        <w:ind w:left="567" w:hanging="567"/>
      </w:pPr>
    </w:p>
    <w:p w:rsidR="008C0BF1" w:rsidRPr="00132D83" w:rsidRDefault="008C0BF1" w:rsidP="008C0BF1">
      <w:pPr>
        <w:pStyle w:val="ListParagraph"/>
        <w:numPr>
          <w:ilvl w:val="0"/>
          <w:numId w:val="33"/>
        </w:numPr>
        <w:tabs>
          <w:tab w:val="clear" w:pos="720"/>
          <w:tab w:val="num" w:pos="567"/>
        </w:tabs>
        <w:spacing w:line="276" w:lineRule="auto"/>
        <w:ind w:left="567" w:hanging="567"/>
        <w:jc w:val="left"/>
      </w:pPr>
      <w:r w:rsidRPr="00132D83">
        <w:t>The effect of amendments to regulation 29(1) and 35(2) would be to put tight requirements around what information must be included in each script e.g. full details of the prescriber and patient, and ensure that each prescription for OST is copied to the Medical Officer of Health, Medicines Control in the Ministry of Health.</w:t>
      </w:r>
    </w:p>
    <w:p w:rsidR="008C0BF1" w:rsidRPr="00132D83" w:rsidRDefault="008C0BF1" w:rsidP="008C0BF1">
      <w:pPr>
        <w:pStyle w:val="ListParagraph"/>
        <w:ind w:left="567" w:hanging="567"/>
      </w:pPr>
    </w:p>
    <w:p w:rsidR="006A303B" w:rsidRDefault="008C0BF1" w:rsidP="006A303B">
      <w:pPr>
        <w:pStyle w:val="ListParagraph"/>
        <w:numPr>
          <w:ilvl w:val="0"/>
          <w:numId w:val="33"/>
        </w:numPr>
        <w:tabs>
          <w:tab w:val="clear" w:pos="720"/>
          <w:tab w:val="num" w:pos="567"/>
        </w:tabs>
        <w:spacing w:after="240" w:line="276" w:lineRule="auto"/>
        <w:ind w:left="567" w:hanging="567"/>
        <w:jc w:val="left"/>
      </w:pPr>
      <w:r w:rsidRPr="00132D83">
        <w:t>Finally, stakeholders note that nurse prescribers should only be able to prescribe up to the level indicated in the Ministry’s OST Guidelines, which are promulgated to all DHBs. The requirement would be communicated through the Nursing Council. Compliance with the guidelines could be monitored through the r</w:t>
      </w:r>
      <w:r w:rsidR="00132D83" w:rsidRPr="00132D83">
        <w:t>eporting of relevant dispensing</w:t>
      </w:r>
      <w:r w:rsidRPr="00132D83">
        <w:t xml:space="preserve"> to the Medical Officer of Health, Medicines Control. </w:t>
      </w:r>
    </w:p>
    <w:p w:rsidR="006A303B" w:rsidRPr="00132D83" w:rsidRDefault="006A303B" w:rsidP="006A303B">
      <w:pPr>
        <w:pStyle w:val="Bullet-list"/>
        <w:numPr>
          <w:ilvl w:val="0"/>
          <w:numId w:val="33"/>
        </w:numPr>
        <w:tabs>
          <w:tab w:val="clear" w:pos="720"/>
          <w:tab w:val="num" w:pos="567"/>
        </w:tabs>
        <w:ind w:left="567" w:hanging="567"/>
      </w:pPr>
      <w:r w:rsidRPr="00132D83">
        <w:t xml:space="preserve">Officials anticipate that there will be costs associated with this </w:t>
      </w:r>
      <w:r>
        <w:t>proposal</w:t>
      </w:r>
      <w:r w:rsidRPr="00132D83">
        <w:t>, but these will be minimal for the next few years. The Ministry estimates that there are likely to be up to three nurses eligible to prescribe for OST by the time the Amendment Bill is passed. This number will slowly increase over time to meet the demand. The additional cost will be in pharmaceutical prescribing will be balanced by reduced harm to individuals through quicker access to safe treatment, and reduced costs in healthcare and the police/justice sector (opioid addicts often commit crime to fund their habit, and of course non-prescribed possession of most opioids is illegal).</w:t>
      </w:r>
    </w:p>
    <w:p w:rsidR="00A7734D" w:rsidRPr="00132D83" w:rsidRDefault="002A2362" w:rsidP="00584DB6">
      <w:pPr>
        <w:pStyle w:val="Heading3"/>
        <w:spacing w:line="280" w:lineRule="exact"/>
      </w:pPr>
      <w:r w:rsidRPr="00132D83">
        <w:t>Communications</w:t>
      </w:r>
    </w:p>
    <w:p w:rsidR="002A2362" w:rsidRPr="00132D83" w:rsidRDefault="002A2362" w:rsidP="001D2CA9">
      <w:pPr>
        <w:pStyle w:val="Bullet-list"/>
        <w:numPr>
          <w:ilvl w:val="0"/>
          <w:numId w:val="33"/>
        </w:numPr>
        <w:tabs>
          <w:tab w:val="clear" w:pos="720"/>
          <w:tab w:val="num" w:pos="567"/>
        </w:tabs>
        <w:ind w:left="567" w:hanging="567"/>
      </w:pPr>
      <w:r w:rsidRPr="00132D83">
        <w:t xml:space="preserve">Much of the perceived risk can be </w:t>
      </w:r>
      <w:r w:rsidR="00AB0DDC" w:rsidRPr="00132D83">
        <w:t>mitigated</w:t>
      </w:r>
      <w:r w:rsidRPr="00132D83">
        <w:t xml:space="preserve"> by communications to ensure that health practitioners know what </w:t>
      </w:r>
      <w:r w:rsidR="0057348E" w:rsidRPr="00132D83">
        <w:t xml:space="preserve">scope of practice </w:t>
      </w:r>
      <w:r w:rsidRPr="00132D83">
        <w:t xml:space="preserve">is </w:t>
      </w:r>
      <w:r w:rsidR="0057348E" w:rsidRPr="00132D83">
        <w:t>required to perform</w:t>
      </w:r>
      <w:r w:rsidRPr="00132D83">
        <w:t xml:space="preserve"> the statutory functions, and legal and professional obligations associated </w:t>
      </w:r>
      <w:r w:rsidR="0057348E" w:rsidRPr="00132D83">
        <w:t>with performing the activities. These communications</w:t>
      </w:r>
      <w:r w:rsidRPr="00132D83">
        <w:t xml:space="preserve"> will be </w:t>
      </w:r>
      <w:r w:rsidR="0057348E" w:rsidRPr="00132D83">
        <w:t>delivered</w:t>
      </w:r>
      <w:r w:rsidRPr="00132D83">
        <w:t xml:space="preserve"> through the </w:t>
      </w:r>
      <w:r w:rsidR="0057348E" w:rsidRPr="00132D83">
        <w:t xml:space="preserve">respective </w:t>
      </w:r>
      <w:r w:rsidRPr="00132D83">
        <w:t>regulatory authorities.</w:t>
      </w:r>
    </w:p>
    <w:p w:rsidR="0079503C" w:rsidRPr="00132D83" w:rsidRDefault="0079503C" w:rsidP="001D2CA9">
      <w:pPr>
        <w:pStyle w:val="Bullet-list"/>
        <w:numPr>
          <w:ilvl w:val="0"/>
          <w:numId w:val="33"/>
        </w:numPr>
        <w:tabs>
          <w:tab w:val="clear" w:pos="720"/>
          <w:tab w:val="num" w:pos="567"/>
        </w:tabs>
        <w:ind w:left="567" w:hanging="567"/>
      </w:pPr>
      <w:r w:rsidRPr="00132D83">
        <w:t>In the case of the Misuse of Drugs Act, any nurse who is appropriately qualified to prescribe controlled drugs would need to be specified by name, by notice in the Gazette, just as medical practitioners are currently required to be.</w:t>
      </w:r>
    </w:p>
    <w:p w:rsidR="00693565" w:rsidRPr="00132D83" w:rsidRDefault="002A2362" w:rsidP="001D2CA9">
      <w:pPr>
        <w:pStyle w:val="Bullet-list"/>
        <w:numPr>
          <w:ilvl w:val="0"/>
          <w:numId w:val="33"/>
        </w:numPr>
        <w:tabs>
          <w:tab w:val="clear" w:pos="720"/>
          <w:tab w:val="num" w:pos="567"/>
        </w:tabs>
        <w:ind w:left="567" w:hanging="567"/>
      </w:pPr>
      <w:r w:rsidRPr="00132D83">
        <w:t>Existing communications and guidelines for medical practitioners on the functions will be u</w:t>
      </w:r>
      <w:r w:rsidR="0057348E" w:rsidRPr="00132D83">
        <w:t xml:space="preserve">pdated to reflect the changes. </w:t>
      </w:r>
      <w:r w:rsidRPr="00132D83">
        <w:t xml:space="preserve">Some targeted public education may also be </w:t>
      </w:r>
      <w:r w:rsidR="0079503C" w:rsidRPr="00132D83">
        <w:t>appropriate</w:t>
      </w:r>
      <w:r w:rsidRPr="00132D83">
        <w:t xml:space="preserve"> to inform people of the changes, for example through notices in practices</w:t>
      </w:r>
      <w:r w:rsidR="0057348E" w:rsidRPr="00132D83">
        <w:t xml:space="preserve"> and clinics</w:t>
      </w:r>
      <w:r w:rsidRPr="00132D83">
        <w:t>.</w:t>
      </w:r>
      <w:bookmarkStart w:id="24" w:name="_Toc244580367"/>
      <w:bookmarkStart w:id="25" w:name="_Toc244587043"/>
      <w:bookmarkStart w:id="26" w:name="_Toc244857277"/>
      <w:bookmarkStart w:id="27" w:name="_Toc244912542"/>
      <w:bookmarkStart w:id="28" w:name="_Toc244916999"/>
    </w:p>
    <w:p w:rsidR="000545DC" w:rsidRPr="00132D83" w:rsidRDefault="00C70641" w:rsidP="00584DB6">
      <w:pPr>
        <w:pStyle w:val="Heading3"/>
        <w:spacing w:line="280" w:lineRule="exact"/>
      </w:pPr>
      <w:r w:rsidRPr="00132D83">
        <w:lastRenderedPageBreak/>
        <w:t>Conclusion</w:t>
      </w:r>
      <w:r w:rsidR="00DD4340" w:rsidRPr="00132D83">
        <w:t>s</w:t>
      </w:r>
      <w:r w:rsidRPr="00132D83">
        <w:t xml:space="preserve"> and recommendations</w:t>
      </w:r>
      <w:bookmarkEnd w:id="24"/>
      <w:bookmarkEnd w:id="25"/>
      <w:bookmarkEnd w:id="26"/>
      <w:bookmarkEnd w:id="27"/>
      <w:bookmarkEnd w:id="28"/>
    </w:p>
    <w:p w:rsidR="00452918" w:rsidRPr="00132D83" w:rsidRDefault="00A06F6C" w:rsidP="001D2CA9">
      <w:pPr>
        <w:pStyle w:val="Bullet-list"/>
        <w:numPr>
          <w:ilvl w:val="0"/>
          <w:numId w:val="33"/>
        </w:numPr>
        <w:tabs>
          <w:tab w:val="clear" w:pos="720"/>
          <w:tab w:val="num" w:pos="567"/>
        </w:tabs>
        <w:ind w:left="567" w:hanging="567"/>
      </w:pPr>
      <w:r w:rsidRPr="00132D83">
        <w:t>The M</w:t>
      </w:r>
      <w:r w:rsidR="0079503C" w:rsidRPr="00132D83">
        <w:t>inistry recommends amending</w:t>
      </w:r>
      <w:r w:rsidR="00452918" w:rsidRPr="00132D83">
        <w:rPr>
          <w:rFonts w:cs="Arial"/>
          <w:szCs w:val="22"/>
          <w:lang w:val="en-GB"/>
        </w:rPr>
        <w:t xml:space="preserve"> the </w:t>
      </w:r>
      <w:r w:rsidR="0057348E" w:rsidRPr="00132D83">
        <w:rPr>
          <w:rFonts w:cs="Arial"/>
          <w:szCs w:val="22"/>
          <w:lang w:val="en-GB"/>
        </w:rPr>
        <w:t xml:space="preserve">Burial </w:t>
      </w:r>
      <w:r w:rsidR="0079503C" w:rsidRPr="00132D83">
        <w:rPr>
          <w:rFonts w:cs="Arial"/>
          <w:szCs w:val="22"/>
          <w:lang w:val="en-GB"/>
        </w:rPr>
        <w:t xml:space="preserve">and Cremations Act 1964 </w:t>
      </w:r>
      <w:r w:rsidRPr="00132D83">
        <w:t xml:space="preserve">so that references to ‘medical practitioners’ become references to ‘health practitioners’. </w:t>
      </w:r>
      <w:r w:rsidR="0079503C" w:rsidRPr="00132D83">
        <w:t xml:space="preserve">The Ministry also recommends amending the </w:t>
      </w:r>
      <w:r w:rsidR="0079503C" w:rsidRPr="00132D83">
        <w:rPr>
          <w:rFonts w:cs="Arial"/>
          <w:szCs w:val="22"/>
          <w:lang w:val="en-GB"/>
        </w:rPr>
        <w:t>Misuse of Drugs Act 1975 section 24 so that specified medical practitioners and nurses in specified settings can prescribe for opioid substitution treatment.</w:t>
      </w:r>
    </w:p>
    <w:p w:rsidR="00A30539" w:rsidRPr="00132D83" w:rsidRDefault="00A06F6C" w:rsidP="00A30539">
      <w:pPr>
        <w:pStyle w:val="Bullet-list"/>
        <w:numPr>
          <w:ilvl w:val="0"/>
          <w:numId w:val="33"/>
        </w:numPr>
        <w:tabs>
          <w:tab w:val="clear" w:pos="720"/>
          <w:tab w:val="num" w:pos="567"/>
        </w:tabs>
        <w:ind w:left="567" w:hanging="567"/>
      </w:pPr>
      <w:r w:rsidRPr="00132D83">
        <w:t>The general reference to health practitioners also allows flexibility for the future and avoids the possibility of having to make a similar legislative change in the future.</w:t>
      </w:r>
    </w:p>
    <w:p w:rsidR="000545DC" w:rsidRPr="00132D83" w:rsidRDefault="000545DC" w:rsidP="00584DB6">
      <w:pPr>
        <w:pStyle w:val="Heading3"/>
        <w:spacing w:line="280" w:lineRule="exact"/>
      </w:pPr>
      <w:bookmarkStart w:id="29" w:name="_Toc244580368"/>
      <w:bookmarkStart w:id="30" w:name="_Toc244587044"/>
      <w:bookmarkStart w:id="31" w:name="_Toc244857278"/>
      <w:bookmarkStart w:id="32" w:name="_Toc244912543"/>
      <w:bookmarkStart w:id="33" w:name="_Toc244917000"/>
      <w:r w:rsidRPr="00132D83">
        <w:t>Implementation</w:t>
      </w:r>
      <w:bookmarkEnd w:id="29"/>
      <w:bookmarkEnd w:id="30"/>
      <w:bookmarkEnd w:id="31"/>
      <w:bookmarkEnd w:id="32"/>
      <w:bookmarkEnd w:id="33"/>
      <w:r w:rsidRPr="00132D83">
        <w:t xml:space="preserve"> </w:t>
      </w:r>
    </w:p>
    <w:p w:rsidR="000545DC" w:rsidRPr="00132D83" w:rsidRDefault="00A06F6C" w:rsidP="00A30539">
      <w:pPr>
        <w:pStyle w:val="Bullet-list"/>
        <w:numPr>
          <w:ilvl w:val="0"/>
          <w:numId w:val="33"/>
        </w:numPr>
        <w:tabs>
          <w:tab w:val="clear" w:pos="720"/>
          <w:tab w:val="num" w:pos="567"/>
        </w:tabs>
        <w:ind w:left="567" w:hanging="567"/>
      </w:pPr>
      <w:r w:rsidRPr="00132D83">
        <w:t>Legislation will be required to implement the change</w:t>
      </w:r>
      <w:r w:rsidR="0057348E" w:rsidRPr="00132D83">
        <w:t>s</w:t>
      </w:r>
      <w:r w:rsidRPr="00132D83">
        <w:t xml:space="preserve">. </w:t>
      </w:r>
      <w:r w:rsidR="0057348E" w:rsidRPr="00132D83">
        <w:t>The amendments will be incorporated into the Health Practitioner (Statutory References) Bill. This bill has a priority 5 on the legislative programme.</w:t>
      </w:r>
    </w:p>
    <w:p w:rsidR="000545DC" w:rsidRPr="00132D83" w:rsidRDefault="000545DC" w:rsidP="00584DB6">
      <w:pPr>
        <w:pStyle w:val="Heading3"/>
        <w:spacing w:line="280" w:lineRule="exact"/>
      </w:pPr>
      <w:bookmarkStart w:id="34" w:name="_Toc244580369"/>
      <w:bookmarkStart w:id="35" w:name="_Toc244587045"/>
      <w:bookmarkStart w:id="36" w:name="_Toc244857279"/>
      <w:bookmarkStart w:id="37" w:name="_Toc244912544"/>
      <w:bookmarkStart w:id="38" w:name="_Toc244917001"/>
      <w:r w:rsidRPr="00132D83">
        <w:t>Monitoring, evaluation and review</w:t>
      </w:r>
      <w:bookmarkEnd w:id="34"/>
      <w:bookmarkEnd w:id="35"/>
      <w:bookmarkEnd w:id="36"/>
      <w:bookmarkEnd w:id="37"/>
      <w:bookmarkEnd w:id="38"/>
    </w:p>
    <w:p w:rsidR="000545DC" w:rsidRPr="00132D83" w:rsidRDefault="00A06F6C" w:rsidP="00A30539">
      <w:pPr>
        <w:pStyle w:val="Bullet-list"/>
        <w:numPr>
          <w:ilvl w:val="0"/>
          <w:numId w:val="33"/>
        </w:numPr>
        <w:tabs>
          <w:tab w:val="clear" w:pos="720"/>
          <w:tab w:val="num" w:pos="567"/>
        </w:tabs>
        <w:ind w:left="567" w:hanging="567"/>
      </w:pPr>
      <w:r w:rsidRPr="00132D83">
        <w:t xml:space="preserve">The Ministry </w:t>
      </w:r>
      <w:r w:rsidR="00B909DA" w:rsidRPr="00132D83">
        <w:t>will monitor</w:t>
      </w:r>
      <w:r w:rsidRPr="00132D83">
        <w:t xml:space="preserve"> the impact of the legislative change</w:t>
      </w:r>
      <w:r w:rsidR="0057348E" w:rsidRPr="00132D83">
        <w:t>s</w:t>
      </w:r>
      <w:r w:rsidR="00B909DA" w:rsidRPr="00132D83">
        <w:t xml:space="preserve"> through central monitoring functions</w:t>
      </w:r>
      <w:r w:rsidRPr="00132D83">
        <w:t xml:space="preserve">. The proposed change </w:t>
      </w:r>
      <w:r w:rsidR="00B909DA" w:rsidRPr="00132D83">
        <w:t>is expected to</w:t>
      </w:r>
      <w:r w:rsidR="0057348E" w:rsidRPr="00132D83">
        <w:t xml:space="preserve"> have</w:t>
      </w:r>
      <w:r w:rsidRPr="00132D83">
        <w:t xml:space="preserve"> ben</w:t>
      </w:r>
      <w:r w:rsidR="00A54497" w:rsidRPr="00132D83">
        <w:t>efits, small costs in pharmaceutical subsidies, and no costs to patients</w:t>
      </w:r>
      <w:r w:rsidRPr="00132D83">
        <w:t>.</w:t>
      </w:r>
    </w:p>
    <w:sectPr w:rsidR="000545DC" w:rsidRPr="00132D83" w:rsidSect="001A35BF">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276" w:left="1418"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45" w:rsidRDefault="005B1445" w:rsidP="00F72085">
      <w:r>
        <w:separator/>
      </w:r>
    </w:p>
  </w:endnote>
  <w:endnote w:type="continuationSeparator" w:id="0">
    <w:p w:rsidR="005B1445" w:rsidRDefault="005B1445"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8D" w:rsidRPr="00281580" w:rsidRDefault="00DF1F8D" w:rsidP="00F72085">
    <w:pPr>
      <w:pStyle w:val="EvenFooter"/>
      <w:ind w:left="0"/>
      <w:rPr>
        <w:caps/>
      </w:rPr>
    </w:pPr>
    <w:r>
      <w:fldChar w:fldCharType="begin"/>
    </w:r>
    <w:r>
      <w:instrText xml:space="preserve">PAGE  </w:instrText>
    </w:r>
    <w:r>
      <w:fldChar w:fldCharType="separate"/>
    </w:r>
    <w:r w:rsidR="00FB0EBA">
      <w:t>8</w:t>
    </w:r>
    <w:r>
      <w:fldChar w:fldCharType="end"/>
    </w:r>
    <w:r w:rsidRPr="00281580">
      <w:t xml:space="preserve">   |   </w:t>
    </w:r>
    <w:r>
      <w:rPr>
        <w:rFonts w:cs="Arial"/>
        <w:szCs w:val="28"/>
      </w:rPr>
      <w:t xml:space="preserve">Regulatory </w:t>
    </w:r>
    <w:r w:rsidR="00D67C80">
      <w:rPr>
        <w:rFonts w:cs="Arial"/>
        <w:szCs w:val="28"/>
      </w:rPr>
      <w:t>Impact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8D" w:rsidRPr="00EB5751" w:rsidRDefault="00DF1F8D" w:rsidP="00F72085">
    <w:pPr>
      <w:pStyle w:val="Footer"/>
    </w:pPr>
    <w:r>
      <w:rPr>
        <w:rFonts w:cs="Arial"/>
        <w:szCs w:val="28"/>
      </w:rPr>
      <w:t>Regulatory Impact Statement - Template</w:t>
    </w:r>
    <w:r>
      <w:t xml:space="preserve">   </w:t>
    </w:r>
    <w:r w:rsidRPr="00B91224">
      <w:t xml:space="preserve">|   </w:t>
    </w:r>
    <w:r>
      <w:fldChar w:fldCharType="begin"/>
    </w:r>
    <w:r>
      <w:instrText xml:space="preserve"> PAGE </w:instrText>
    </w:r>
    <w:r>
      <w:fldChar w:fldCharType="separate"/>
    </w:r>
    <w:r w:rsidR="00FB0EBA">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64" w:rsidRDefault="00AA7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45" w:rsidRDefault="005B1445" w:rsidP="00F72085">
      <w:r>
        <w:separator/>
      </w:r>
    </w:p>
  </w:footnote>
  <w:footnote w:type="continuationSeparator" w:id="0">
    <w:p w:rsidR="005B1445" w:rsidRDefault="005B1445" w:rsidP="00F72085">
      <w:r>
        <w:continuationSeparator/>
      </w:r>
    </w:p>
  </w:footnote>
  <w:footnote w:id="1">
    <w:p w:rsidR="008C0BF1" w:rsidRPr="008E6790" w:rsidRDefault="008C0BF1" w:rsidP="008C0BF1">
      <w:pPr>
        <w:spacing w:after="0" w:line="240" w:lineRule="auto"/>
      </w:pPr>
      <w:r>
        <w:rPr>
          <w:rStyle w:val="FootnoteReference"/>
        </w:rPr>
        <w:footnoteRef/>
      </w:r>
      <w:r>
        <w:t xml:space="preserve"> </w:t>
      </w:r>
      <w:r w:rsidRPr="00070BA2">
        <w:rPr>
          <w:sz w:val="18"/>
          <w:szCs w:val="18"/>
        </w:rPr>
        <w:t xml:space="preserve">An </w:t>
      </w:r>
      <w:r>
        <w:rPr>
          <w:sz w:val="18"/>
          <w:szCs w:val="18"/>
        </w:rPr>
        <w:t xml:space="preserve">additional </w:t>
      </w:r>
      <w:r w:rsidRPr="00070BA2">
        <w:rPr>
          <w:sz w:val="18"/>
          <w:szCs w:val="18"/>
        </w:rPr>
        <w:t>amendment to regulation 29(1</w:t>
      </w:r>
      <w:proofErr w:type="gramStart"/>
      <w:r w:rsidRPr="00070BA2">
        <w:rPr>
          <w:sz w:val="18"/>
          <w:szCs w:val="18"/>
        </w:rPr>
        <w:t>)(</w:t>
      </w:r>
      <w:proofErr w:type="gramEnd"/>
      <w:r w:rsidRPr="00070BA2">
        <w:rPr>
          <w:sz w:val="18"/>
          <w:szCs w:val="18"/>
        </w:rPr>
        <w:t xml:space="preserve">b) </w:t>
      </w:r>
      <w:r>
        <w:rPr>
          <w:sz w:val="18"/>
          <w:szCs w:val="18"/>
        </w:rPr>
        <w:t>would</w:t>
      </w:r>
      <w:r w:rsidRPr="00070BA2">
        <w:rPr>
          <w:sz w:val="18"/>
          <w:szCs w:val="18"/>
        </w:rPr>
        <w:t xml:space="preserve"> provide a mechanism to approve prescribers working within an OST clinic to print these prescriptions with computer text (rather than hand writing) for buprenorphine</w:t>
      </w:r>
      <w:r>
        <w:rPr>
          <w:sz w:val="18"/>
          <w:szCs w:val="18"/>
        </w:rPr>
        <w:t>, which would</w:t>
      </w:r>
      <w:r w:rsidRPr="00070BA2">
        <w:rPr>
          <w:sz w:val="18"/>
          <w:szCs w:val="18"/>
        </w:rPr>
        <w:t xml:space="preserve"> reflect the current status for prescriptions written for methadone).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64" w:rsidRDefault="00AA7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64" w:rsidRDefault="00AA7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64" w:rsidRDefault="00AA7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605"/>
    <w:multiLevelType w:val="hybridMultilevel"/>
    <w:tmpl w:val="A3708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EB368E"/>
    <w:multiLevelType w:val="hybridMultilevel"/>
    <w:tmpl w:val="2D207434"/>
    <w:lvl w:ilvl="0" w:tplc="C58AEC9A">
      <w:start w:val="1"/>
      <w:numFmt w:val="bullet"/>
      <w:lvlText w:val=""/>
      <w:lvlJc w:val="left"/>
      <w:pPr>
        <w:tabs>
          <w:tab w:val="num" w:pos="36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5A6CFD"/>
    <w:multiLevelType w:val="hybridMultilevel"/>
    <w:tmpl w:val="E312E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1A1186"/>
    <w:multiLevelType w:val="hybridMultilevel"/>
    <w:tmpl w:val="FEF6C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DB2E0F"/>
    <w:multiLevelType w:val="hybridMultilevel"/>
    <w:tmpl w:val="64CC5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DB5796"/>
    <w:multiLevelType w:val="hybridMultilevel"/>
    <w:tmpl w:val="A628B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9F0B6C"/>
    <w:multiLevelType w:val="hybridMultilevel"/>
    <w:tmpl w:val="D18C9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F1B263C"/>
    <w:multiLevelType w:val="hybridMultilevel"/>
    <w:tmpl w:val="2ECA5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721B31"/>
    <w:multiLevelType w:val="hybridMultilevel"/>
    <w:tmpl w:val="CBEE1A6E"/>
    <w:lvl w:ilvl="0" w:tplc="392A85BE">
      <w:start w:val="1"/>
      <w:numFmt w:val="bullet"/>
      <w:lvlText w:val=""/>
      <w:lvlJc w:val="left"/>
      <w:pPr>
        <w:ind w:left="643"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04603F"/>
    <w:multiLevelType w:val="hybridMultilevel"/>
    <w:tmpl w:val="0C6E31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51D36CB"/>
    <w:multiLevelType w:val="hybridMultilevel"/>
    <w:tmpl w:val="93E8A66E"/>
    <w:lvl w:ilvl="0" w:tplc="0809000F">
      <w:start w:val="1"/>
      <w:numFmt w:val="decimal"/>
      <w:lvlText w:val="%1."/>
      <w:lvlJc w:val="left"/>
      <w:pPr>
        <w:tabs>
          <w:tab w:val="num" w:pos="720"/>
        </w:tabs>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62F3E78"/>
    <w:multiLevelType w:val="hybridMultilevel"/>
    <w:tmpl w:val="86BC54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E445F8"/>
    <w:multiLevelType w:val="hybridMultilevel"/>
    <w:tmpl w:val="E23A7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BB77936"/>
    <w:multiLevelType w:val="hybridMultilevel"/>
    <w:tmpl w:val="A954976A"/>
    <w:lvl w:ilvl="0" w:tplc="0809000F">
      <w:start w:val="1"/>
      <w:numFmt w:val="decimal"/>
      <w:lvlText w:val="%1."/>
      <w:lvlJc w:val="left"/>
      <w:pPr>
        <w:tabs>
          <w:tab w:val="num" w:pos="720"/>
        </w:tabs>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C8A0DC7"/>
    <w:multiLevelType w:val="hybridMultilevel"/>
    <w:tmpl w:val="8522F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21717D9"/>
    <w:multiLevelType w:val="hybridMultilevel"/>
    <w:tmpl w:val="F7622460"/>
    <w:lvl w:ilvl="0" w:tplc="F7AAF1B6">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720"/>
        </w:tabs>
        <w:ind w:left="720" w:hanging="360"/>
      </w:pPr>
      <w:rPr>
        <w:rFonts w:hint="default"/>
      </w:rPr>
    </w:lvl>
    <w:lvl w:ilvl="2" w:tplc="0809000F">
      <w:start w:val="1"/>
      <w:numFmt w:val="decimal"/>
      <w:lvlText w:val="%3."/>
      <w:lvlJc w:val="left"/>
      <w:pPr>
        <w:tabs>
          <w:tab w:val="num" w:pos="720"/>
        </w:tabs>
        <w:ind w:left="720" w:hanging="360"/>
      </w:pPr>
      <w:rPr>
        <w:rFont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35477D3"/>
    <w:multiLevelType w:val="hybridMultilevel"/>
    <w:tmpl w:val="75A49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5D64CC4"/>
    <w:multiLevelType w:val="hybridMultilevel"/>
    <w:tmpl w:val="91026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6530872"/>
    <w:multiLevelType w:val="hybridMultilevel"/>
    <w:tmpl w:val="57DE3FE8"/>
    <w:lvl w:ilvl="0" w:tplc="C58AEC9A">
      <w:start w:val="1"/>
      <w:numFmt w:val="bullet"/>
      <w:lvlText w:val=""/>
      <w:lvlJc w:val="left"/>
      <w:pPr>
        <w:tabs>
          <w:tab w:val="num" w:pos="1080"/>
        </w:tabs>
        <w:ind w:left="1004" w:hanging="284"/>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F">
      <w:start w:val="1"/>
      <w:numFmt w:val="decimal"/>
      <w:lvlText w:val="%3."/>
      <w:lvlJc w:val="left"/>
      <w:pPr>
        <w:tabs>
          <w:tab w:val="num" w:pos="1080"/>
        </w:tabs>
        <w:ind w:left="1080" w:hanging="360"/>
      </w:pPr>
      <w:rPr>
        <w:rFont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291F3218"/>
    <w:multiLevelType w:val="hybridMultilevel"/>
    <w:tmpl w:val="293E9F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B256C29"/>
    <w:multiLevelType w:val="hybridMultilevel"/>
    <w:tmpl w:val="6B7837D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1">
    <w:nsid w:val="2CD80526"/>
    <w:multiLevelType w:val="hybridMultilevel"/>
    <w:tmpl w:val="79122C4A"/>
    <w:lvl w:ilvl="0" w:tplc="0809000F">
      <w:start w:val="1"/>
      <w:numFmt w:val="decimal"/>
      <w:lvlText w:val="%1."/>
      <w:lvlJc w:val="left"/>
      <w:pPr>
        <w:tabs>
          <w:tab w:val="num" w:pos="720"/>
        </w:tabs>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F93533B"/>
    <w:multiLevelType w:val="hybridMultilevel"/>
    <w:tmpl w:val="80FCA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09C7FED"/>
    <w:multiLevelType w:val="hybridMultilevel"/>
    <w:tmpl w:val="7D3012C2"/>
    <w:lvl w:ilvl="0" w:tplc="E2B833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5">
    <w:nsid w:val="36F10702"/>
    <w:multiLevelType w:val="hybridMultilevel"/>
    <w:tmpl w:val="FCA85390"/>
    <w:lvl w:ilvl="0" w:tplc="C58AEC9A">
      <w:start w:val="1"/>
      <w:numFmt w:val="bullet"/>
      <w:lvlText w:val=""/>
      <w:lvlJc w:val="left"/>
      <w:pPr>
        <w:tabs>
          <w:tab w:val="num" w:pos="927"/>
        </w:tabs>
        <w:ind w:left="851" w:hanging="284"/>
      </w:pPr>
      <w:rPr>
        <w:rFonts w:ascii="Symbol" w:hAnsi="Symbol" w:hint="default"/>
      </w:rPr>
    </w:lvl>
    <w:lvl w:ilvl="1" w:tplc="0809000F">
      <w:start w:val="1"/>
      <w:numFmt w:val="decimal"/>
      <w:lvlText w:val="%2."/>
      <w:lvlJc w:val="left"/>
      <w:pPr>
        <w:tabs>
          <w:tab w:val="num" w:pos="927"/>
        </w:tabs>
        <w:ind w:left="927" w:hanging="360"/>
      </w:pPr>
      <w:rPr>
        <w:rFonts w:hint="default"/>
      </w:rPr>
    </w:lvl>
    <w:lvl w:ilvl="2" w:tplc="0809000F">
      <w:start w:val="1"/>
      <w:numFmt w:val="decimal"/>
      <w:lvlText w:val="%3."/>
      <w:lvlJc w:val="left"/>
      <w:pPr>
        <w:tabs>
          <w:tab w:val="num" w:pos="927"/>
        </w:tabs>
        <w:ind w:left="927" w:hanging="360"/>
      </w:pPr>
      <w:rPr>
        <w:rFont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9470B72"/>
    <w:multiLevelType w:val="hybridMultilevel"/>
    <w:tmpl w:val="78C8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372E19"/>
    <w:multiLevelType w:val="hybridMultilevel"/>
    <w:tmpl w:val="32D470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4D835E39"/>
    <w:multiLevelType w:val="hybridMultilevel"/>
    <w:tmpl w:val="D4F0AD96"/>
    <w:lvl w:ilvl="0" w:tplc="F226425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862F81"/>
    <w:multiLevelType w:val="hybridMultilevel"/>
    <w:tmpl w:val="78D4EB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99D3116"/>
    <w:multiLevelType w:val="multilevel"/>
    <w:tmpl w:val="F558B684"/>
    <w:lvl w:ilvl="0">
      <w:start w:val="1"/>
      <w:numFmt w:val="bullet"/>
      <w:pStyle w:val="BulletPoints"/>
      <w:lvlText w:val=""/>
      <w:lvlJc w:val="left"/>
      <w:pPr>
        <w:tabs>
          <w:tab w:val="num" w:pos="1440"/>
        </w:tabs>
        <w:ind w:left="1440" w:hanging="72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81"/>
        </w:tabs>
        <w:ind w:left="2081" w:hanging="641"/>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648"/>
        </w:tabs>
        <w:ind w:left="2648"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215"/>
        </w:tabs>
        <w:ind w:left="3215" w:hanging="567"/>
      </w:pPr>
      <w:rPr>
        <w:rFonts w:ascii="Symbol" w:hAnsi="Symbol" w:hint="default"/>
        <w:b w:val="0"/>
        <w:i w:val="0"/>
        <w:sz w:val="16"/>
      </w:rPr>
    </w:lvl>
    <w:lvl w:ilvl="4">
      <w:start w:val="1"/>
      <w:numFmt w:val="bullet"/>
      <w:lvlText w:val="o"/>
      <w:lvlJc w:val="left"/>
      <w:pPr>
        <w:tabs>
          <w:tab w:val="num" w:pos="7920"/>
        </w:tabs>
        <w:ind w:left="7920" w:hanging="360"/>
      </w:pPr>
      <w:rPr>
        <w:rFonts w:ascii="Courier New" w:hAnsi="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33">
    <w:nsid w:val="5C3816BE"/>
    <w:multiLevelType w:val="hybridMultilevel"/>
    <w:tmpl w:val="3C641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3D23740"/>
    <w:multiLevelType w:val="hybridMultilevel"/>
    <w:tmpl w:val="3210FB7E"/>
    <w:lvl w:ilvl="0" w:tplc="1409000F">
      <w:start w:val="1"/>
      <w:numFmt w:val="decimal"/>
      <w:lvlText w:val="%1."/>
      <w:lvlJc w:val="left"/>
      <w:pPr>
        <w:ind w:left="1211"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640430F7"/>
    <w:multiLevelType w:val="hybridMultilevel"/>
    <w:tmpl w:val="62C0E8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6D65B3"/>
    <w:multiLevelType w:val="hybridMultilevel"/>
    <w:tmpl w:val="7C2C4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6B56E68"/>
    <w:multiLevelType w:val="hybridMultilevel"/>
    <w:tmpl w:val="D28CE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74D3FAA"/>
    <w:multiLevelType w:val="hybridMultilevel"/>
    <w:tmpl w:val="95CC5F5A"/>
    <w:lvl w:ilvl="0" w:tplc="0809000F">
      <w:start w:val="1"/>
      <w:numFmt w:val="decimal"/>
      <w:lvlText w:val="%1."/>
      <w:lvlJc w:val="left"/>
      <w:pPr>
        <w:tabs>
          <w:tab w:val="num" w:pos="720"/>
        </w:tabs>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9E5461B"/>
    <w:multiLevelType w:val="hybridMultilevel"/>
    <w:tmpl w:val="818084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6B160BD8"/>
    <w:multiLevelType w:val="hybridMultilevel"/>
    <w:tmpl w:val="13667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1B33852"/>
    <w:multiLevelType w:val="hybridMultilevel"/>
    <w:tmpl w:val="E1B80BB0"/>
    <w:lvl w:ilvl="0" w:tplc="0809000F">
      <w:start w:val="1"/>
      <w:numFmt w:val="decimal"/>
      <w:lvlText w:val="%1."/>
      <w:lvlJc w:val="left"/>
      <w:pPr>
        <w:tabs>
          <w:tab w:val="num" w:pos="720"/>
        </w:tabs>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1F0526E"/>
    <w:multiLevelType w:val="hybridMultilevel"/>
    <w:tmpl w:val="014E7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A0F64F3"/>
    <w:multiLevelType w:val="hybridMultilevel"/>
    <w:tmpl w:val="13AAD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7D114497"/>
    <w:multiLevelType w:val="hybridMultilevel"/>
    <w:tmpl w:val="2818A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7F6D4E1A"/>
    <w:multiLevelType w:val="hybridMultilevel"/>
    <w:tmpl w:val="F7622460"/>
    <w:lvl w:ilvl="0" w:tplc="F7AAF1B6">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720"/>
        </w:tabs>
        <w:ind w:left="720" w:hanging="360"/>
      </w:pPr>
      <w:rPr>
        <w:rFonts w:hint="default"/>
      </w:rPr>
    </w:lvl>
    <w:lvl w:ilvl="2" w:tplc="0809000F">
      <w:start w:val="1"/>
      <w:numFmt w:val="decimal"/>
      <w:lvlText w:val="%3."/>
      <w:lvlJc w:val="left"/>
      <w:pPr>
        <w:tabs>
          <w:tab w:val="num" w:pos="720"/>
        </w:tabs>
        <w:ind w:left="720" w:hanging="360"/>
      </w:pPr>
      <w:rPr>
        <w:rFont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1"/>
  </w:num>
  <w:num w:numId="4">
    <w:abstractNumId w:val="39"/>
  </w:num>
  <w:num w:numId="5">
    <w:abstractNumId w:val="22"/>
  </w:num>
  <w:num w:numId="6">
    <w:abstractNumId w:val="33"/>
  </w:num>
  <w:num w:numId="7">
    <w:abstractNumId w:val="11"/>
  </w:num>
  <w:num w:numId="8">
    <w:abstractNumId w:val="8"/>
  </w:num>
  <w:num w:numId="9">
    <w:abstractNumId w:val="34"/>
  </w:num>
  <w:num w:numId="10">
    <w:abstractNumId w:val="6"/>
  </w:num>
  <w:num w:numId="11">
    <w:abstractNumId w:val="5"/>
  </w:num>
  <w:num w:numId="12">
    <w:abstractNumId w:val="0"/>
  </w:num>
  <w:num w:numId="13">
    <w:abstractNumId w:val="28"/>
  </w:num>
  <w:num w:numId="14">
    <w:abstractNumId w:val="12"/>
  </w:num>
  <w:num w:numId="15">
    <w:abstractNumId w:val="43"/>
  </w:num>
  <w:num w:numId="16">
    <w:abstractNumId w:val="44"/>
  </w:num>
  <w:num w:numId="17">
    <w:abstractNumId w:val="9"/>
  </w:num>
  <w:num w:numId="18">
    <w:abstractNumId w:val="36"/>
  </w:num>
  <w:num w:numId="19">
    <w:abstractNumId w:val="27"/>
  </w:num>
  <w:num w:numId="20">
    <w:abstractNumId w:val="42"/>
  </w:num>
  <w:num w:numId="21">
    <w:abstractNumId w:val="24"/>
  </w:num>
  <w:num w:numId="22">
    <w:abstractNumId w:val="32"/>
  </w:num>
  <w:num w:numId="23">
    <w:abstractNumId w:val="4"/>
  </w:num>
  <w:num w:numId="24">
    <w:abstractNumId w:val="40"/>
  </w:num>
  <w:num w:numId="25">
    <w:abstractNumId w:val="16"/>
  </w:num>
  <w:num w:numId="26">
    <w:abstractNumId w:val="3"/>
  </w:num>
  <w:num w:numId="27">
    <w:abstractNumId w:val="7"/>
  </w:num>
  <w:num w:numId="28">
    <w:abstractNumId w:val="2"/>
  </w:num>
  <w:num w:numId="29">
    <w:abstractNumId w:val="37"/>
  </w:num>
  <w:num w:numId="30">
    <w:abstractNumId w:val="17"/>
  </w:num>
  <w:num w:numId="31">
    <w:abstractNumId w:val="14"/>
  </w:num>
  <w:num w:numId="32">
    <w:abstractNumId w:val="20"/>
  </w:num>
  <w:num w:numId="33">
    <w:abstractNumId w:val="15"/>
  </w:num>
  <w:num w:numId="34">
    <w:abstractNumId w:val="19"/>
  </w:num>
  <w:num w:numId="35">
    <w:abstractNumId w:val="41"/>
  </w:num>
  <w:num w:numId="36">
    <w:abstractNumId w:val="35"/>
  </w:num>
  <w:num w:numId="37">
    <w:abstractNumId w:val="29"/>
  </w:num>
  <w:num w:numId="38">
    <w:abstractNumId w:val="13"/>
  </w:num>
  <w:num w:numId="39">
    <w:abstractNumId w:val="38"/>
  </w:num>
  <w:num w:numId="40">
    <w:abstractNumId w:val="21"/>
  </w:num>
  <w:num w:numId="41">
    <w:abstractNumId w:val="10"/>
  </w:num>
  <w:num w:numId="42">
    <w:abstractNumId w:val="1"/>
  </w:num>
  <w:num w:numId="43">
    <w:abstractNumId w:val="25"/>
  </w:num>
  <w:num w:numId="44">
    <w:abstractNumId w:val="18"/>
  </w:num>
  <w:num w:numId="45">
    <w:abstractNumId w:val="23"/>
  </w:num>
  <w:num w:numId="46">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81"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7"/>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0B4D"/>
    <w:rsid w:val="000232EB"/>
    <w:rsid w:val="00023BAB"/>
    <w:rsid w:val="00023EA6"/>
    <w:rsid w:val="00024B2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3E18"/>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5B2"/>
    <w:rsid w:val="00066E42"/>
    <w:rsid w:val="00070193"/>
    <w:rsid w:val="00073A19"/>
    <w:rsid w:val="00073F31"/>
    <w:rsid w:val="000745D3"/>
    <w:rsid w:val="00074B13"/>
    <w:rsid w:val="00074D02"/>
    <w:rsid w:val="0007562B"/>
    <w:rsid w:val="00080CE0"/>
    <w:rsid w:val="00080DE3"/>
    <w:rsid w:val="00081502"/>
    <w:rsid w:val="00082653"/>
    <w:rsid w:val="00082ABC"/>
    <w:rsid w:val="00083ADB"/>
    <w:rsid w:val="00086007"/>
    <w:rsid w:val="000863E2"/>
    <w:rsid w:val="00086898"/>
    <w:rsid w:val="0008712F"/>
    <w:rsid w:val="00087C41"/>
    <w:rsid w:val="00095446"/>
    <w:rsid w:val="00096BFA"/>
    <w:rsid w:val="000A20D1"/>
    <w:rsid w:val="000A39F4"/>
    <w:rsid w:val="000A43F8"/>
    <w:rsid w:val="000A4419"/>
    <w:rsid w:val="000B005C"/>
    <w:rsid w:val="000B01CC"/>
    <w:rsid w:val="000B0480"/>
    <w:rsid w:val="000B0615"/>
    <w:rsid w:val="000B0C12"/>
    <w:rsid w:val="000B0D42"/>
    <w:rsid w:val="000B16BF"/>
    <w:rsid w:val="000B5B1E"/>
    <w:rsid w:val="000C0912"/>
    <w:rsid w:val="000C2669"/>
    <w:rsid w:val="000C26E9"/>
    <w:rsid w:val="000C2EAC"/>
    <w:rsid w:val="000C3EB5"/>
    <w:rsid w:val="000C43B6"/>
    <w:rsid w:val="000C684B"/>
    <w:rsid w:val="000C6EED"/>
    <w:rsid w:val="000C79FD"/>
    <w:rsid w:val="000D012A"/>
    <w:rsid w:val="000D0FA0"/>
    <w:rsid w:val="000D2A6B"/>
    <w:rsid w:val="000D31FE"/>
    <w:rsid w:val="000D5E01"/>
    <w:rsid w:val="000D6393"/>
    <w:rsid w:val="000D77C0"/>
    <w:rsid w:val="000D7C12"/>
    <w:rsid w:val="000E0036"/>
    <w:rsid w:val="000E310A"/>
    <w:rsid w:val="000E3979"/>
    <w:rsid w:val="000E3CE1"/>
    <w:rsid w:val="000E73FF"/>
    <w:rsid w:val="000E7C1C"/>
    <w:rsid w:val="000F03B0"/>
    <w:rsid w:val="000F162C"/>
    <w:rsid w:val="000F3333"/>
    <w:rsid w:val="000F6F99"/>
    <w:rsid w:val="000F7020"/>
    <w:rsid w:val="00101A24"/>
    <w:rsid w:val="00113146"/>
    <w:rsid w:val="00114F56"/>
    <w:rsid w:val="001158BA"/>
    <w:rsid w:val="00116006"/>
    <w:rsid w:val="00116B51"/>
    <w:rsid w:val="0012410B"/>
    <w:rsid w:val="00125812"/>
    <w:rsid w:val="00125ADD"/>
    <w:rsid w:val="00126CD1"/>
    <w:rsid w:val="00127757"/>
    <w:rsid w:val="00130E8F"/>
    <w:rsid w:val="00132D83"/>
    <w:rsid w:val="00133284"/>
    <w:rsid w:val="001336E3"/>
    <w:rsid w:val="001339BB"/>
    <w:rsid w:val="001341F2"/>
    <w:rsid w:val="00136EED"/>
    <w:rsid w:val="0014080A"/>
    <w:rsid w:val="00141B20"/>
    <w:rsid w:val="00141D39"/>
    <w:rsid w:val="00142051"/>
    <w:rsid w:val="00143437"/>
    <w:rsid w:val="00144369"/>
    <w:rsid w:val="00144717"/>
    <w:rsid w:val="00144ADC"/>
    <w:rsid w:val="00144BBB"/>
    <w:rsid w:val="00146FC1"/>
    <w:rsid w:val="00150932"/>
    <w:rsid w:val="00152D49"/>
    <w:rsid w:val="00157E18"/>
    <w:rsid w:val="00161022"/>
    <w:rsid w:val="00161358"/>
    <w:rsid w:val="00161A6A"/>
    <w:rsid w:val="001620EB"/>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35BF"/>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D0A46"/>
    <w:rsid w:val="001D22ED"/>
    <w:rsid w:val="001D2CA9"/>
    <w:rsid w:val="001D3440"/>
    <w:rsid w:val="001D37FB"/>
    <w:rsid w:val="001D4D62"/>
    <w:rsid w:val="001D53A8"/>
    <w:rsid w:val="001D7325"/>
    <w:rsid w:val="001E12C8"/>
    <w:rsid w:val="001E1A8F"/>
    <w:rsid w:val="001E5495"/>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3B41"/>
    <w:rsid w:val="00216DB5"/>
    <w:rsid w:val="00216F08"/>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3DC1"/>
    <w:rsid w:val="00245DA0"/>
    <w:rsid w:val="0024650D"/>
    <w:rsid w:val="0024785D"/>
    <w:rsid w:val="00247ADA"/>
    <w:rsid w:val="00251406"/>
    <w:rsid w:val="00257836"/>
    <w:rsid w:val="00264EEE"/>
    <w:rsid w:val="00265032"/>
    <w:rsid w:val="0026530E"/>
    <w:rsid w:val="00265DED"/>
    <w:rsid w:val="00265E6C"/>
    <w:rsid w:val="00266A30"/>
    <w:rsid w:val="0026794D"/>
    <w:rsid w:val="00267FAB"/>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7942"/>
    <w:rsid w:val="00292783"/>
    <w:rsid w:val="0029399F"/>
    <w:rsid w:val="00293E21"/>
    <w:rsid w:val="00294CCC"/>
    <w:rsid w:val="00295264"/>
    <w:rsid w:val="00296404"/>
    <w:rsid w:val="0029649F"/>
    <w:rsid w:val="002A05D3"/>
    <w:rsid w:val="002A06C6"/>
    <w:rsid w:val="002A107A"/>
    <w:rsid w:val="002A2362"/>
    <w:rsid w:val="002A535E"/>
    <w:rsid w:val="002A5881"/>
    <w:rsid w:val="002A5E7A"/>
    <w:rsid w:val="002B0025"/>
    <w:rsid w:val="002B0801"/>
    <w:rsid w:val="002B0A3F"/>
    <w:rsid w:val="002B4EA3"/>
    <w:rsid w:val="002B5324"/>
    <w:rsid w:val="002B56E7"/>
    <w:rsid w:val="002B5823"/>
    <w:rsid w:val="002B733A"/>
    <w:rsid w:val="002B7F4A"/>
    <w:rsid w:val="002C0074"/>
    <w:rsid w:val="002C097E"/>
    <w:rsid w:val="002C2315"/>
    <w:rsid w:val="002C301D"/>
    <w:rsid w:val="002C4A38"/>
    <w:rsid w:val="002C65B8"/>
    <w:rsid w:val="002C734D"/>
    <w:rsid w:val="002C744C"/>
    <w:rsid w:val="002D01BF"/>
    <w:rsid w:val="002D0FAA"/>
    <w:rsid w:val="002D3E81"/>
    <w:rsid w:val="002D4AC3"/>
    <w:rsid w:val="002D52A0"/>
    <w:rsid w:val="002D6691"/>
    <w:rsid w:val="002E062E"/>
    <w:rsid w:val="002E1226"/>
    <w:rsid w:val="002E1D30"/>
    <w:rsid w:val="002E2678"/>
    <w:rsid w:val="002E28C6"/>
    <w:rsid w:val="002E320F"/>
    <w:rsid w:val="002E35AE"/>
    <w:rsid w:val="002E4DB3"/>
    <w:rsid w:val="002E6D37"/>
    <w:rsid w:val="002E79A6"/>
    <w:rsid w:val="002F10BF"/>
    <w:rsid w:val="002F110D"/>
    <w:rsid w:val="002F2AF4"/>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6BB"/>
    <w:rsid w:val="00317E1A"/>
    <w:rsid w:val="00320440"/>
    <w:rsid w:val="00320A3C"/>
    <w:rsid w:val="003232C2"/>
    <w:rsid w:val="003237B0"/>
    <w:rsid w:val="0032503F"/>
    <w:rsid w:val="003262CE"/>
    <w:rsid w:val="003264ED"/>
    <w:rsid w:val="003308B4"/>
    <w:rsid w:val="00333209"/>
    <w:rsid w:val="00333963"/>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DB8"/>
    <w:rsid w:val="003826A0"/>
    <w:rsid w:val="00383462"/>
    <w:rsid w:val="00384B58"/>
    <w:rsid w:val="00385683"/>
    <w:rsid w:val="00386DD1"/>
    <w:rsid w:val="00387CA4"/>
    <w:rsid w:val="00391389"/>
    <w:rsid w:val="00391E64"/>
    <w:rsid w:val="0039371C"/>
    <w:rsid w:val="00395750"/>
    <w:rsid w:val="0039581F"/>
    <w:rsid w:val="00396861"/>
    <w:rsid w:val="0039783E"/>
    <w:rsid w:val="003A0009"/>
    <w:rsid w:val="003A0E47"/>
    <w:rsid w:val="003A13F2"/>
    <w:rsid w:val="003A4360"/>
    <w:rsid w:val="003A43DD"/>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6227"/>
    <w:rsid w:val="00407D3B"/>
    <w:rsid w:val="0041363C"/>
    <w:rsid w:val="00414E9A"/>
    <w:rsid w:val="00415CC4"/>
    <w:rsid w:val="00415FD6"/>
    <w:rsid w:val="0041696F"/>
    <w:rsid w:val="00420D4C"/>
    <w:rsid w:val="00423B79"/>
    <w:rsid w:val="004240D2"/>
    <w:rsid w:val="00424ADF"/>
    <w:rsid w:val="004303B8"/>
    <w:rsid w:val="00431677"/>
    <w:rsid w:val="00433183"/>
    <w:rsid w:val="00433AED"/>
    <w:rsid w:val="00435F4A"/>
    <w:rsid w:val="00437C49"/>
    <w:rsid w:val="0044117C"/>
    <w:rsid w:val="004418F2"/>
    <w:rsid w:val="00443662"/>
    <w:rsid w:val="00443DF2"/>
    <w:rsid w:val="00444444"/>
    <w:rsid w:val="00444E78"/>
    <w:rsid w:val="004455A5"/>
    <w:rsid w:val="00445911"/>
    <w:rsid w:val="00445F4D"/>
    <w:rsid w:val="00446050"/>
    <w:rsid w:val="00446FC1"/>
    <w:rsid w:val="00447C26"/>
    <w:rsid w:val="00447F1A"/>
    <w:rsid w:val="0045085A"/>
    <w:rsid w:val="00450CBA"/>
    <w:rsid w:val="0045110A"/>
    <w:rsid w:val="00452918"/>
    <w:rsid w:val="00452DA2"/>
    <w:rsid w:val="004532A3"/>
    <w:rsid w:val="00455363"/>
    <w:rsid w:val="0045668E"/>
    <w:rsid w:val="00456B8F"/>
    <w:rsid w:val="00457045"/>
    <w:rsid w:val="004574C4"/>
    <w:rsid w:val="00457A91"/>
    <w:rsid w:val="004604E9"/>
    <w:rsid w:val="00460A55"/>
    <w:rsid w:val="004610FB"/>
    <w:rsid w:val="0046180A"/>
    <w:rsid w:val="00462BC6"/>
    <w:rsid w:val="00463DB5"/>
    <w:rsid w:val="00463FEB"/>
    <w:rsid w:val="004660F2"/>
    <w:rsid w:val="00466A25"/>
    <w:rsid w:val="00470C11"/>
    <w:rsid w:val="00471759"/>
    <w:rsid w:val="0047175C"/>
    <w:rsid w:val="004721E0"/>
    <w:rsid w:val="00472F9C"/>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3F7B"/>
    <w:rsid w:val="004C3FD4"/>
    <w:rsid w:val="004C486E"/>
    <w:rsid w:val="004C4916"/>
    <w:rsid w:val="004C6A1A"/>
    <w:rsid w:val="004C78C4"/>
    <w:rsid w:val="004D2B88"/>
    <w:rsid w:val="004D2EB8"/>
    <w:rsid w:val="004D3A3F"/>
    <w:rsid w:val="004D4065"/>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2F38"/>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48E"/>
    <w:rsid w:val="00573B85"/>
    <w:rsid w:val="00574342"/>
    <w:rsid w:val="005754DE"/>
    <w:rsid w:val="00576798"/>
    <w:rsid w:val="00580450"/>
    <w:rsid w:val="00580CDE"/>
    <w:rsid w:val="00581009"/>
    <w:rsid w:val="005819B2"/>
    <w:rsid w:val="00581D17"/>
    <w:rsid w:val="00582409"/>
    <w:rsid w:val="00582DC6"/>
    <w:rsid w:val="00583F9C"/>
    <w:rsid w:val="00584DB6"/>
    <w:rsid w:val="005859CF"/>
    <w:rsid w:val="00585F5E"/>
    <w:rsid w:val="00586DC7"/>
    <w:rsid w:val="00590BD9"/>
    <w:rsid w:val="00590D92"/>
    <w:rsid w:val="00591D93"/>
    <w:rsid w:val="00593561"/>
    <w:rsid w:val="00596392"/>
    <w:rsid w:val="00596EAD"/>
    <w:rsid w:val="00597DFE"/>
    <w:rsid w:val="00597FAF"/>
    <w:rsid w:val="005A13E7"/>
    <w:rsid w:val="005A196E"/>
    <w:rsid w:val="005A3D06"/>
    <w:rsid w:val="005A3DA9"/>
    <w:rsid w:val="005A6CC1"/>
    <w:rsid w:val="005A6CCD"/>
    <w:rsid w:val="005A7107"/>
    <w:rsid w:val="005B1445"/>
    <w:rsid w:val="005B174D"/>
    <w:rsid w:val="005B1762"/>
    <w:rsid w:val="005B29AF"/>
    <w:rsid w:val="005B39D2"/>
    <w:rsid w:val="005B3B36"/>
    <w:rsid w:val="005B545C"/>
    <w:rsid w:val="005B55F8"/>
    <w:rsid w:val="005B5924"/>
    <w:rsid w:val="005B6561"/>
    <w:rsid w:val="005C0312"/>
    <w:rsid w:val="005C0453"/>
    <w:rsid w:val="005C21D1"/>
    <w:rsid w:val="005C24B6"/>
    <w:rsid w:val="005C29FA"/>
    <w:rsid w:val="005C3E40"/>
    <w:rsid w:val="005C5F92"/>
    <w:rsid w:val="005C6EDB"/>
    <w:rsid w:val="005D0763"/>
    <w:rsid w:val="005D0FD8"/>
    <w:rsid w:val="005D3DE0"/>
    <w:rsid w:val="005D4C84"/>
    <w:rsid w:val="005D57F3"/>
    <w:rsid w:val="005D67EA"/>
    <w:rsid w:val="005E0B96"/>
    <w:rsid w:val="005E4156"/>
    <w:rsid w:val="005E6DB6"/>
    <w:rsid w:val="005E755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1102"/>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42ADD"/>
    <w:rsid w:val="006430E2"/>
    <w:rsid w:val="00643396"/>
    <w:rsid w:val="00643788"/>
    <w:rsid w:val="0064402C"/>
    <w:rsid w:val="006445A2"/>
    <w:rsid w:val="00645C45"/>
    <w:rsid w:val="00646179"/>
    <w:rsid w:val="006464FD"/>
    <w:rsid w:val="0064763A"/>
    <w:rsid w:val="006544DB"/>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6042"/>
    <w:rsid w:val="006873EA"/>
    <w:rsid w:val="00692162"/>
    <w:rsid w:val="00693024"/>
    <w:rsid w:val="00693565"/>
    <w:rsid w:val="00694ABE"/>
    <w:rsid w:val="00694E49"/>
    <w:rsid w:val="006A0E74"/>
    <w:rsid w:val="006A0FE1"/>
    <w:rsid w:val="006A218F"/>
    <w:rsid w:val="006A303B"/>
    <w:rsid w:val="006A3F76"/>
    <w:rsid w:val="006A4054"/>
    <w:rsid w:val="006A40A1"/>
    <w:rsid w:val="006A5C00"/>
    <w:rsid w:val="006A6165"/>
    <w:rsid w:val="006A6392"/>
    <w:rsid w:val="006A7BEE"/>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6F573C"/>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3508"/>
    <w:rsid w:val="0073286C"/>
    <w:rsid w:val="007328CC"/>
    <w:rsid w:val="007330DF"/>
    <w:rsid w:val="00733260"/>
    <w:rsid w:val="00735070"/>
    <w:rsid w:val="00735AD3"/>
    <w:rsid w:val="007364DA"/>
    <w:rsid w:val="007409D2"/>
    <w:rsid w:val="00742222"/>
    <w:rsid w:val="00743EA9"/>
    <w:rsid w:val="00744A83"/>
    <w:rsid w:val="0074529C"/>
    <w:rsid w:val="00747ECC"/>
    <w:rsid w:val="00750B4C"/>
    <w:rsid w:val="00750BF8"/>
    <w:rsid w:val="00750E2F"/>
    <w:rsid w:val="007515BC"/>
    <w:rsid w:val="00753328"/>
    <w:rsid w:val="00753433"/>
    <w:rsid w:val="00754E11"/>
    <w:rsid w:val="00756097"/>
    <w:rsid w:val="00764F3A"/>
    <w:rsid w:val="00765CC1"/>
    <w:rsid w:val="007669BA"/>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E52"/>
    <w:rsid w:val="00794E6C"/>
    <w:rsid w:val="0079503C"/>
    <w:rsid w:val="007952A7"/>
    <w:rsid w:val="00796982"/>
    <w:rsid w:val="007A02C7"/>
    <w:rsid w:val="007A05C6"/>
    <w:rsid w:val="007A2C70"/>
    <w:rsid w:val="007A375D"/>
    <w:rsid w:val="007A5826"/>
    <w:rsid w:val="007A657A"/>
    <w:rsid w:val="007B249F"/>
    <w:rsid w:val="007B4330"/>
    <w:rsid w:val="007B435A"/>
    <w:rsid w:val="007B5D7E"/>
    <w:rsid w:val="007B788E"/>
    <w:rsid w:val="007C17B1"/>
    <w:rsid w:val="007C43BB"/>
    <w:rsid w:val="007C6ED9"/>
    <w:rsid w:val="007D1D13"/>
    <w:rsid w:val="007D20FF"/>
    <w:rsid w:val="007D36F2"/>
    <w:rsid w:val="007D3B6C"/>
    <w:rsid w:val="007D57DC"/>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304E8"/>
    <w:rsid w:val="00831ACA"/>
    <w:rsid w:val="00831AD5"/>
    <w:rsid w:val="00831BAA"/>
    <w:rsid w:val="00831E32"/>
    <w:rsid w:val="00834C7B"/>
    <w:rsid w:val="008359F3"/>
    <w:rsid w:val="00836367"/>
    <w:rsid w:val="008365E9"/>
    <w:rsid w:val="008375CF"/>
    <w:rsid w:val="008425D5"/>
    <w:rsid w:val="00842D39"/>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7E68"/>
    <w:rsid w:val="00872CDA"/>
    <w:rsid w:val="0087340F"/>
    <w:rsid w:val="00873D37"/>
    <w:rsid w:val="00874188"/>
    <w:rsid w:val="00876879"/>
    <w:rsid w:val="00880D1A"/>
    <w:rsid w:val="0088302D"/>
    <w:rsid w:val="008830FE"/>
    <w:rsid w:val="0088352B"/>
    <w:rsid w:val="00883A51"/>
    <w:rsid w:val="008841C7"/>
    <w:rsid w:val="00885271"/>
    <w:rsid w:val="00885C28"/>
    <w:rsid w:val="00885F6B"/>
    <w:rsid w:val="008866E0"/>
    <w:rsid w:val="00887803"/>
    <w:rsid w:val="00887ABA"/>
    <w:rsid w:val="008905B9"/>
    <w:rsid w:val="00891481"/>
    <w:rsid w:val="00893A34"/>
    <w:rsid w:val="00893F1F"/>
    <w:rsid w:val="00897964"/>
    <w:rsid w:val="008A2903"/>
    <w:rsid w:val="008A2ECB"/>
    <w:rsid w:val="008A41D1"/>
    <w:rsid w:val="008A56F7"/>
    <w:rsid w:val="008A6B32"/>
    <w:rsid w:val="008A6D57"/>
    <w:rsid w:val="008A7DEB"/>
    <w:rsid w:val="008B2BF3"/>
    <w:rsid w:val="008B39F2"/>
    <w:rsid w:val="008B7CC7"/>
    <w:rsid w:val="008C0BAD"/>
    <w:rsid w:val="008C0BF1"/>
    <w:rsid w:val="008C1654"/>
    <w:rsid w:val="008C1F36"/>
    <w:rsid w:val="008C2E66"/>
    <w:rsid w:val="008C3CF3"/>
    <w:rsid w:val="008C4059"/>
    <w:rsid w:val="008C5061"/>
    <w:rsid w:val="008C73FA"/>
    <w:rsid w:val="008D321E"/>
    <w:rsid w:val="008D4069"/>
    <w:rsid w:val="008D4C74"/>
    <w:rsid w:val="008D578D"/>
    <w:rsid w:val="008D6F8D"/>
    <w:rsid w:val="008E0799"/>
    <w:rsid w:val="008E144C"/>
    <w:rsid w:val="008E1524"/>
    <w:rsid w:val="008E1751"/>
    <w:rsid w:val="008E35D5"/>
    <w:rsid w:val="008E499D"/>
    <w:rsid w:val="008F1742"/>
    <w:rsid w:val="008F3401"/>
    <w:rsid w:val="008F45DD"/>
    <w:rsid w:val="008F524F"/>
    <w:rsid w:val="008F546B"/>
    <w:rsid w:val="009011FA"/>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47C0"/>
    <w:rsid w:val="009366A0"/>
    <w:rsid w:val="009407EE"/>
    <w:rsid w:val="00943B26"/>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3C"/>
    <w:rsid w:val="0098603E"/>
    <w:rsid w:val="00986F53"/>
    <w:rsid w:val="0099053A"/>
    <w:rsid w:val="009918E8"/>
    <w:rsid w:val="00991ACC"/>
    <w:rsid w:val="00992345"/>
    <w:rsid w:val="00993572"/>
    <w:rsid w:val="00995D58"/>
    <w:rsid w:val="0099604A"/>
    <w:rsid w:val="009962FE"/>
    <w:rsid w:val="00997E46"/>
    <w:rsid w:val="009A0E5A"/>
    <w:rsid w:val="009A1F84"/>
    <w:rsid w:val="009A237B"/>
    <w:rsid w:val="009A2C24"/>
    <w:rsid w:val="009A4293"/>
    <w:rsid w:val="009A6068"/>
    <w:rsid w:val="009B0464"/>
    <w:rsid w:val="009B1209"/>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56D2"/>
    <w:rsid w:val="009F06E5"/>
    <w:rsid w:val="009F09E6"/>
    <w:rsid w:val="009F39B2"/>
    <w:rsid w:val="009F630C"/>
    <w:rsid w:val="009F7F75"/>
    <w:rsid w:val="00A01A31"/>
    <w:rsid w:val="00A0358C"/>
    <w:rsid w:val="00A03704"/>
    <w:rsid w:val="00A05AD3"/>
    <w:rsid w:val="00A067D6"/>
    <w:rsid w:val="00A06AC7"/>
    <w:rsid w:val="00A06F6C"/>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03F4"/>
    <w:rsid w:val="00A30539"/>
    <w:rsid w:val="00A3103A"/>
    <w:rsid w:val="00A31268"/>
    <w:rsid w:val="00A31E8F"/>
    <w:rsid w:val="00A3580A"/>
    <w:rsid w:val="00A40AF3"/>
    <w:rsid w:val="00A41E37"/>
    <w:rsid w:val="00A44EB9"/>
    <w:rsid w:val="00A458F0"/>
    <w:rsid w:val="00A46A67"/>
    <w:rsid w:val="00A474F8"/>
    <w:rsid w:val="00A51CC9"/>
    <w:rsid w:val="00A51EF6"/>
    <w:rsid w:val="00A52763"/>
    <w:rsid w:val="00A52964"/>
    <w:rsid w:val="00A541BB"/>
    <w:rsid w:val="00A54497"/>
    <w:rsid w:val="00A61663"/>
    <w:rsid w:val="00A637DD"/>
    <w:rsid w:val="00A65EA6"/>
    <w:rsid w:val="00A72D91"/>
    <w:rsid w:val="00A73D4B"/>
    <w:rsid w:val="00A748A3"/>
    <w:rsid w:val="00A761FA"/>
    <w:rsid w:val="00A771C0"/>
    <w:rsid w:val="00A7734D"/>
    <w:rsid w:val="00A80CA4"/>
    <w:rsid w:val="00A81192"/>
    <w:rsid w:val="00A81297"/>
    <w:rsid w:val="00A82A72"/>
    <w:rsid w:val="00A85A08"/>
    <w:rsid w:val="00A86724"/>
    <w:rsid w:val="00A8672D"/>
    <w:rsid w:val="00A90B93"/>
    <w:rsid w:val="00A92E1D"/>
    <w:rsid w:val="00A94F1D"/>
    <w:rsid w:val="00A95810"/>
    <w:rsid w:val="00A95DA6"/>
    <w:rsid w:val="00A97006"/>
    <w:rsid w:val="00A97DC2"/>
    <w:rsid w:val="00AA0305"/>
    <w:rsid w:val="00AA1E55"/>
    <w:rsid w:val="00AA2A15"/>
    <w:rsid w:val="00AA2A96"/>
    <w:rsid w:val="00AA42A7"/>
    <w:rsid w:val="00AA50D5"/>
    <w:rsid w:val="00AA714E"/>
    <w:rsid w:val="00AA7A64"/>
    <w:rsid w:val="00AB0DDC"/>
    <w:rsid w:val="00AB1C8B"/>
    <w:rsid w:val="00AB4B80"/>
    <w:rsid w:val="00AB7678"/>
    <w:rsid w:val="00AC014E"/>
    <w:rsid w:val="00AC238D"/>
    <w:rsid w:val="00AC4B7F"/>
    <w:rsid w:val="00AC7238"/>
    <w:rsid w:val="00AC7BEB"/>
    <w:rsid w:val="00AC7C05"/>
    <w:rsid w:val="00AD162D"/>
    <w:rsid w:val="00AD16E4"/>
    <w:rsid w:val="00AD2189"/>
    <w:rsid w:val="00AD2C02"/>
    <w:rsid w:val="00AD31A9"/>
    <w:rsid w:val="00AD5287"/>
    <w:rsid w:val="00AD6CF5"/>
    <w:rsid w:val="00AD6D25"/>
    <w:rsid w:val="00AD7847"/>
    <w:rsid w:val="00AE097A"/>
    <w:rsid w:val="00AE1B5A"/>
    <w:rsid w:val="00AE2151"/>
    <w:rsid w:val="00AE249D"/>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3398"/>
    <w:rsid w:val="00B245B0"/>
    <w:rsid w:val="00B26E56"/>
    <w:rsid w:val="00B31879"/>
    <w:rsid w:val="00B3311C"/>
    <w:rsid w:val="00B33125"/>
    <w:rsid w:val="00B34A3B"/>
    <w:rsid w:val="00B355C5"/>
    <w:rsid w:val="00B359CA"/>
    <w:rsid w:val="00B3673D"/>
    <w:rsid w:val="00B44C6C"/>
    <w:rsid w:val="00B4757F"/>
    <w:rsid w:val="00B5187A"/>
    <w:rsid w:val="00B5229A"/>
    <w:rsid w:val="00B52E33"/>
    <w:rsid w:val="00B55CD1"/>
    <w:rsid w:val="00B605F9"/>
    <w:rsid w:val="00B60C47"/>
    <w:rsid w:val="00B61C67"/>
    <w:rsid w:val="00B6314D"/>
    <w:rsid w:val="00B64BD8"/>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09DA"/>
    <w:rsid w:val="00B91224"/>
    <w:rsid w:val="00B91420"/>
    <w:rsid w:val="00B92DEC"/>
    <w:rsid w:val="00B9525A"/>
    <w:rsid w:val="00BA015D"/>
    <w:rsid w:val="00BA064C"/>
    <w:rsid w:val="00BA08F9"/>
    <w:rsid w:val="00BA0C85"/>
    <w:rsid w:val="00BA1B22"/>
    <w:rsid w:val="00BA4091"/>
    <w:rsid w:val="00BA4735"/>
    <w:rsid w:val="00BA54D5"/>
    <w:rsid w:val="00BB2DB8"/>
    <w:rsid w:val="00BB3A50"/>
    <w:rsid w:val="00BB4D9B"/>
    <w:rsid w:val="00BB647C"/>
    <w:rsid w:val="00BC0C83"/>
    <w:rsid w:val="00BC33E7"/>
    <w:rsid w:val="00BC5156"/>
    <w:rsid w:val="00BC5A0A"/>
    <w:rsid w:val="00BC61B1"/>
    <w:rsid w:val="00BC6C78"/>
    <w:rsid w:val="00BC74B2"/>
    <w:rsid w:val="00BD1F16"/>
    <w:rsid w:val="00BD201F"/>
    <w:rsid w:val="00BD27A9"/>
    <w:rsid w:val="00BD2967"/>
    <w:rsid w:val="00BD4D48"/>
    <w:rsid w:val="00BD55D3"/>
    <w:rsid w:val="00BD787F"/>
    <w:rsid w:val="00BD7E26"/>
    <w:rsid w:val="00BE00F2"/>
    <w:rsid w:val="00BE209A"/>
    <w:rsid w:val="00BE2293"/>
    <w:rsid w:val="00BE2455"/>
    <w:rsid w:val="00BE24AF"/>
    <w:rsid w:val="00BE37DF"/>
    <w:rsid w:val="00BE37E1"/>
    <w:rsid w:val="00BE4B28"/>
    <w:rsid w:val="00BE4ED0"/>
    <w:rsid w:val="00BE57F6"/>
    <w:rsid w:val="00BE7220"/>
    <w:rsid w:val="00BF021D"/>
    <w:rsid w:val="00BF1075"/>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3480"/>
    <w:rsid w:val="00C1593D"/>
    <w:rsid w:val="00C172E3"/>
    <w:rsid w:val="00C217D7"/>
    <w:rsid w:val="00C21910"/>
    <w:rsid w:val="00C22372"/>
    <w:rsid w:val="00C22791"/>
    <w:rsid w:val="00C244FF"/>
    <w:rsid w:val="00C25DC3"/>
    <w:rsid w:val="00C268EB"/>
    <w:rsid w:val="00C27F9E"/>
    <w:rsid w:val="00C27FC3"/>
    <w:rsid w:val="00C33D51"/>
    <w:rsid w:val="00C34065"/>
    <w:rsid w:val="00C35BF3"/>
    <w:rsid w:val="00C3670D"/>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A6F"/>
    <w:rsid w:val="00C62F4A"/>
    <w:rsid w:val="00C6318D"/>
    <w:rsid w:val="00C634DB"/>
    <w:rsid w:val="00C63883"/>
    <w:rsid w:val="00C654AE"/>
    <w:rsid w:val="00C66506"/>
    <w:rsid w:val="00C70641"/>
    <w:rsid w:val="00C72EF0"/>
    <w:rsid w:val="00C7318D"/>
    <w:rsid w:val="00C74CC2"/>
    <w:rsid w:val="00C76487"/>
    <w:rsid w:val="00C77322"/>
    <w:rsid w:val="00C77ACD"/>
    <w:rsid w:val="00C82FC1"/>
    <w:rsid w:val="00C83726"/>
    <w:rsid w:val="00C85536"/>
    <w:rsid w:val="00C9240D"/>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B2D"/>
    <w:rsid w:val="00CC2C4F"/>
    <w:rsid w:val="00CC3FDF"/>
    <w:rsid w:val="00CC60B9"/>
    <w:rsid w:val="00CD1628"/>
    <w:rsid w:val="00CD2712"/>
    <w:rsid w:val="00CD35A0"/>
    <w:rsid w:val="00CD41EE"/>
    <w:rsid w:val="00CD476F"/>
    <w:rsid w:val="00CD664F"/>
    <w:rsid w:val="00CD7C95"/>
    <w:rsid w:val="00CE3D5E"/>
    <w:rsid w:val="00CE49E7"/>
    <w:rsid w:val="00CE642E"/>
    <w:rsid w:val="00CF034B"/>
    <w:rsid w:val="00CF32E9"/>
    <w:rsid w:val="00CF345C"/>
    <w:rsid w:val="00CF4E94"/>
    <w:rsid w:val="00CF56C1"/>
    <w:rsid w:val="00CF75BA"/>
    <w:rsid w:val="00D0100E"/>
    <w:rsid w:val="00D010E3"/>
    <w:rsid w:val="00D01A19"/>
    <w:rsid w:val="00D02E90"/>
    <w:rsid w:val="00D0482D"/>
    <w:rsid w:val="00D05810"/>
    <w:rsid w:val="00D10925"/>
    <w:rsid w:val="00D13984"/>
    <w:rsid w:val="00D15ADE"/>
    <w:rsid w:val="00D20416"/>
    <w:rsid w:val="00D20CCF"/>
    <w:rsid w:val="00D21942"/>
    <w:rsid w:val="00D22B65"/>
    <w:rsid w:val="00D23682"/>
    <w:rsid w:val="00D30BD9"/>
    <w:rsid w:val="00D30C9F"/>
    <w:rsid w:val="00D31275"/>
    <w:rsid w:val="00D3196B"/>
    <w:rsid w:val="00D324FC"/>
    <w:rsid w:val="00D35F36"/>
    <w:rsid w:val="00D378DF"/>
    <w:rsid w:val="00D41322"/>
    <w:rsid w:val="00D42B0C"/>
    <w:rsid w:val="00D47AC5"/>
    <w:rsid w:val="00D5090D"/>
    <w:rsid w:val="00D5113F"/>
    <w:rsid w:val="00D52351"/>
    <w:rsid w:val="00D54D07"/>
    <w:rsid w:val="00D56336"/>
    <w:rsid w:val="00D56BA7"/>
    <w:rsid w:val="00D576E9"/>
    <w:rsid w:val="00D5781D"/>
    <w:rsid w:val="00D617EF"/>
    <w:rsid w:val="00D62ECD"/>
    <w:rsid w:val="00D65CF2"/>
    <w:rsid w:val="00D6682C"/>
    <w:rsid w:val="00D66CF8"/>
    <w:rsid w:val="00D66DB5"/>
    <w:rsid w:val="00D67C80"/>
    <w:rsid w:val="00D67F9B"/>
    <w:rsid w:val="00D7008D"/>
    <w:rsid w:val="00D7086E"/>
    <w:rsid w:val="00D70C49"/>
    <w:rsid w:val="00D70F3A"/>
    <w:rsid w:val="00D711C3"/>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774"/>
    <w:rsid w:val="00DC4A0B"/>
    <w:rsid w:val="00DC4D66"/>
    <w:rsid w:val="00DC73B8"/>
    <w:rsid w:val="00DC78F4"/>
    <w:rsid w:val="00DD026E"/>
    <w:rsid w:val="00DD1715"/>
    <w:rsid w:val="00DD2C4D"/>
    <w:rsid w:val="00DD35FE"/>
    <w:rsid w:val="00DD3665"/>
    <w:rsid w:val="00DD37BF"/>
    <w:rsid w:val="00DD4340"/>
    <w:rsid w:val="00DD44AD"/>
    <w:rsid w:val="00DD45F6"/>
    <w:rsid w:val="00DD5596"/>
    <w:rsid w:val="00DD5A7F"/>
    <w:rsid w:val="00DD6B23"/>
    <w:rsid w:val="00DE1E06"/>
    <w:rsid w:val="00DE2E66"/>
    <w:rsid w:val="00DE342A"/>
    <w:rsid w:val="00DE48C3"/>
    <w:rsid w:val="00DE493A"/>
    <w:rsid w:val="00DE5099"/>
    <w:rsid w:val="00DE58AE"/>
    <w:rsid w:val="00DE7190"/>
    <w:rsid w:val="00DF1157"/>
    <w:rsid w:val="00DF178D"/>
    <w:rsid w:val="00DF1F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503F7"/>
    <w:rsid w:val="00E5543F"/>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336C"/>
    <w:rsid w:val="00E85206"/>
    <w:rsid w:val="00E90B31"/>
    <w:rsid w:val="00E90BDF"/>
    <w:rsid w:val="00E929ED"/>
    <w:rsid w:val="00E940AC"/>
    <w:rsid w:val="00E94F36"/>
    <w:rsid w:val="00E95883"/>
    <w:rsid w:val="00EA258A"/>
    <w:rsid w:val="00EA447E"/>
    <w:rsid w:val="00EA4DBC"/>
    <w:rsid w:val="00EA50AB"/>
    <w:rsid w:val="00EB037F"/>
    <w:rsid w:val="00EB10EA"/>
    <w:rsid w:val="00EB1595"/>
    <w:rsid w:val="00EB31AB"/>
    <w:rsid w:val="00EB35D5"/>
    <w:rsid w:val="00EB49CA"/>
    <w:rsid w:val="00EB4C10"/>
    <w:rsid w:val="00EB4EFE"/>
    <w:rsid w:val="00EB5751"/>
    <w:rsid w:val="00EC175E"/>
    <w:rsid w:val="00EC22D7"/>
    <w:rsid w:val="00EC245A"/>
    <w:rsid w:val="00EC4BAE"/>
    <w:rsid w:val="00EC5B7C"/>
    <w:rsid w:val="00EC5D37"/>
    <w:rsid w:val="00EC6A3F"/>
    <w:rsid w:val="00ED2391"/>
    <w:rsid w:val="00ED3DA3"/>
    <w:rsid w:val="00EE31D9"/>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601A"/>
    <w:rsid w:val="00F0724E"/>
    <w:rsid w:val="00F12FA2"/>
    <w:rsid w:val="00F14C67"/>
    <w:rsid w:val="00F15518"/>
    <w:rsid w:val="00F16F32"/>
    <w:rsid w:val="00F17616"/>
    <w:rsid w:val="00F22E5F"/>
    <w:rsid w:val="00F233B0"/>
    <w:rsid w:val="00F24E5E"/>
    <w:rsid w:val="00F25D76"/>
    <w:rsid w:val="00F26DA9"/>
    <w:rsid w:val="00F30BD2"/>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0E34"/>
    <w:rsid w:val="00F61F72"/>
    <w:rsid w:val="00F62680"/>
    <w:rsid w:val="00F63723"/>
    <w:rsid w:val="00F63BA4"/>
    <w:rsid w:val="00F65E9E"/>
    <w:rsid w:val="00F7025D"/>
    <w:rsid w:val="00F72085"/>
    <w:rsid w:val="00F73FF5"/>
    <w:rsid w:val="00F74EFB"/>
    <w:rsid w:val="00F76F54"/>
    <w:rsid w:val="00F7712A"/>
    <w:rsid w:val="00F77955"/>
    <w:rsid w:val="00F803F8"/>
    <w:rsid w:val="00F8144D"/>
    <w:rsid w:val="00F82B0E"/>
    <w:rsid w:val="00F8415B"/>
    <w:rsid w:val="00F869F8"/>
    <w:rsid w:val="00F86B46"/>
    <w:rsid w:val="00F86BE3"/>
    <w:rsid w:val="00F90EFD"/>
    <w:rsid w:val="00F926D8"/>
    <w:rsid w:val="00F92736"/>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0EBA"/>
    <w:rsid w:val="00FB13E0"/>
    <w:rsid w:val="00FB38D6"/>
    <w:rsid w:val="00FB4CA8"/>
    <w:rsid w:val="00FB5EBA"/>
    <w:rsid w:val="00FB6B34"/>
    <w:rsid w:val="00FC07C4"/>
    <w:rsid w:val="00FC1619"/>
    <w:rsid w:val="00FC19E8"/>
    <w:rsid w:val="00FC22CF"/>
    <w:rsid w:val="00FC3B31"/>
    <w:rsid w:val="00FC4541"/>
    <w:rsid w:val="00FC5866"/>
    <w:rsid w:val="00FC5B63"/>
    <w:rsid w:val="00FC5E53"/>
    <w:rsid w:val="00FD0BDA"/>
    <w:rsid w:val="00FD0CDE"/>
    <w:rsid w:val="00FD3EB9"/>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E940AC"/>
    <w:pPr>
      <w:keepNext/>
      <w:tabs>
        <w:tab w:val="left" w:pos="567"/>
      </w:tabs>
      <w:spacing w:before="120" w:after="180" w:line="240" w:lineRule="auto"/>
      <w:outlineLvl w:val="1"/>
    </w:pPr>
    <w:rPr>
      <w:b/>
      <w:color w:val="335087"/>
      <w:spacing w:val="20"/>
      <w:w w:val="90"/>
      <w:sz w:val="32"/>
      <w:szCs w:val="24"/>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E940AC"/>
    <w:rPr>
      <w:rFonts w:ascii="Arial" w:hAnsi="Arial"/>
      <w:b/>
      <w:color w:val="335087"/>
      <w:spacing w:val="20"/>
      <w:w w:val="90"/>
      <w:sz w:val="32"/>
      <w:szCs w:val="24"/>
      <w:lang w:val="en-GB" w:eastAsia="en-GB"/>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251406"/>
    <w:pPr>
      <w:spacing w:after="0" w:line="240" w:lineRule="auto"/>
      <w:ind w:left="-1985"/>
      <w:jc w:val="right"/>
    </w:pPr>
    <w:rPr>
      <w:noProof/>
      <w:color w:val="002469"/>
      <w:spacing w:val="6"/>
      <w:sz w:val="16"/>
      <w:szCs w:val="16"/>
    </w:rPr>
  </w:style>
  <w:style w:type="character" w:customStyle="1" w:styleId="FooterChar">
    <w:name w:val="Footer Char"/>
    <w:basedOn w:val="DefaultParagraphFont"/>
    <w:link w:val="Footer"/>
    <w:rsid w:val="000545DC"/>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1"/>
      </w:numPr>
      <w:spacing w:line="240" w:lineRule="auto"/>
    </w:pPr>
    <w:rPr>
      <w:rFonts w:ascii="Times New Roman" w:hAnsi="Times New Roman"/>
      <w:sz w:val="24"/>
      <w:lang w:eastAsia="ja-JP"/>
    </w:rPr>
  </w:style>
  <w:style w:type="paragraph" w:customStyle="1" w:styleId="BulletPoints">
    <w:name w:val="Bullet Points"/>
    <w:basedOn w:val="Normal"/>
    <w:rsid w:val="000545DC"/>
    <w:pPr>
      <w:numPr>
        <w:numId w:val="22"/>
      </w:numPr>
      <w:overflowPunct w:val="0"/>
      <w:autoSpaceDE w:val="0"/>
      <w:autoSpaceDN w:val="0"/>
      <w:adjustRightInd w:val="0"/>
      <w:spacing w:line="240" w:lineRule="auto"/>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E940AC"/>
    <w:pPr>
      <w:keepNext/>
      <w:tabs>
        <w:tab w:val="left" w:pos="567"/>
      </w:tabs>
      <w:spacing w:before="120" w:after="180" w:line="240" w:lineRule="auto"/>
      <w:outlineLvl w:val="1"/>
    </w:pPr>
    <w:rPr>
      <w:b/>
      <w:color w:val="335087"/>
      <w:spacing w:val="20"/>
      <w:w w:val="90"/>
      <w:sz w:val="32"/>
      <w:szCs w:val="24"/>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E940AC"/>
    <w:rPr>
      <w:rFonts w:ascii="Arial" w:hAnsi="Arial"/>
      <w:b/>
      <w:color w:val="335087"/>
      <w:spacing w:val="20"/>
      <w:w w:val="90"/>
      <w:sz w:val="32"/>
      <w:szCs w:val="24"/>
      <w:lang w:val="en-GB" w:eastAsia="en-GB"/>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251406"/>
    <w:pPr>
      <w:spacing w:after="0" w:line="240" w:lineRule="auto"/>
      <w:ind w:left="-1985"/>
      <w:jc w:val="right"/>
    </w:pPr>
    <w:rPr>
      <w:noProof/>
      <w:color w:val="002469"/>
      <w:spacing w:val="6"/>
      <w:sz w:val="16"/>
      <w:szCs w:val="16"/>
    </w:rPr>
  </w:style>
  <w:style w:type="character" w:customStyle="1" w:styleId="FooterChar">
    <w:name w:val="Footer Char"/>
    <w:basedOn w:val="DefaultParagraphFont"/>
    <w:link w:val="Footer"/>
    <w:rsid w:val="000545DC"/>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1"/>
      </w:numPr>
      <w:spacing w:line="240" w:lineRule="auto"/>
    </w:pPr>
    <w:rPr>
      <w:rFonts w:ascii="Times New Roman" w:hAnsi="Times New Roman"/>
      <w:sz w:val="24"/>
      <w:lang w:eastAsia="ja-JP"/>
    </w:rPr>
  </w:style>
  <w:style w:type="paragraph" w:customStyle="1" w:styleId="BulletPoints">
    <w:name w:val="Bullet Points"/>
    <w:basedOn w:val="Normal"/>
    <w:rsid w:val="000545DC"/>
    <w:pPr>
      <w:numPr>
        <w:numId w:val="22"/>
      </w:numPr>
      <w:overflowPunct w:val="0"/>
      <w:autoSpaceDE w:val="0"/>
      <w:autoSpaceDN w:val="0"/>
      <w:adjustRightInd w:val="0"/>
      <w:spacing w:line="240" w:lineRule="auto"/>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00A3-24E0-4481-B242-C86C1B34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8</Pages>
  <Words>3043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SECTION 04(D) – 2006/07 SOI GUIDANCE</dc:title>
  <dc:creator>Joanna Smith</dc:creator>
  <cp:lastModifiedBy>Mary-Louise Hannah</cp:lastModifiedBy>
  <cp:revision>2</cp:revision>
  <cp:lastPrinted>2013-05-20T23:50:00Z</cp:lastPrinted>
  <dcterms:created xsi:type="dcterms:W3CDTF">2014-10-15T19:04:00Z</dcterms:created>
  <dcterms:modified xsi:type="dcterms:W3CDTF">2014-10-15T19:04:00Z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1376786</vt:i4>
  </property>
  <property fmtid="{D5CDD505-2E9C-101B-9397-08002B2CF9AE}" pid="7" name="TsyDocVer">
    <vt:i4>1</vt:i4>
  </property>
  <property fmtid="{D5CDD505-2E9C-101B-9397-08002B2CF9AE}" pid="8" name="TsyDisplayedDocNumVer">
    <vt:lpwstr>Treasury:1376786v1</vt:lpwstr>
  </property>
  <property fmtid="{D5CDD505-2E9C-101B-9397-08002B2CF9AE}" pid="9" name="TsyFileNo">
    <vt:lpwstr>SH-11-2-7-9</vt:lpwstr>
  </property>
  <property fmtid="{D5CDD505-2E9C-101B-9397-08002B2CF9AE}" pid="10" name="TsyDescription">
    <vt:lpwstr>RIA handbook in template</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ies>
</file>