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0F" w:rsidRPr="003904F0" w:rsidRDefault="000A290F" w:rsidP="000A290F">
      <w:pPr>
        <w:ind w:left="1440" w:hanging="1440"/>
        <w:rPr>
          <w:rFonts w:cs="Arial"/>
          <w:b/>
          <w:sz w:val="28"/>
          <w:szCs w:val="28"/>
          <w:u w:val="single"/>
        </w:rPr>
      </w:pPr>
      <w:r>
        <w:rPr>
          <w:b/>
        </w:rPr>
        <w:t>Security classification:</w:t>
      </w:r>
      <w:r>
        <w:t xml:space="preserve"> In-Confidence</w:t>
      </w:r>
      <w:bookmarkStart w:id="0" w:name="_GoBack"/>
      <w:bookmarkEnd w:id="0"/>
    </w:p>
    <w:p w:rsidR="000A290F" w:rsidRDefault="000A290F" w:rsidP="000A290F">
      <w:pPr>
        <w:ind w:left="1440" w:hanging="1440"/>
        <w:rPr>
          <w:rFonts w:cs="Arial"/>
          <w:b/>
          <w:sz w:val="28"/>
          <w:szCs w:val="28"/>
          <w:u w:val="single"/>
        </w:rPr>
      </w:pPr>
    </w:p>
    <w:p w:rsidR="009D3DE9" w:rsidRPr="006C13FF" w:rsidRDefault="000A290F" w:rsidP="009D3DE9">
      <w:pPr>
        <w:pStyle w:val="Title"/>
        <w:spacing w:before="240"/>
        <w:rPr>
          <w:rFonts w:cs="Arial"/>
          <w:szCs w:val="32"/>
        </w:rPr>
      </w:pPr>
      <w:r w:rsidRPr="003034F3">
        <w:rPr>
          <w:rFonts w:cs="Arial"/>
          <w:sz w:val="28"/>
          <w:szCs w:val="28"/>
        </w:rPr>
        <w:t xml:space="preserve">Health Report: </w:t>
      </w:r>
      <w:r w:rsidR="009D3DE9" w:rsidRPr="009D3DE9">
        <w:rPr>
          <w:rFonts w:cs="Arial"/>
          <w:sz w:val="28"/>
          <w:szCs w:val="28"/>
        </w:rPr>
        <w:t>Health Practitioners Competence Assurance Amendment Bill – Supplementary Order Paper</w:t>
      </w:r>
    </w:p>
    <w:p w:rsidR="000A290F" w:rsidRPr="003034F3" w:rsidRDefault="000A290F" w:rsidP="000A290F">
      <w:pPr>
        <w:pBdr>
          <w:bottom w:val="single" w:sz="12" w:space="5" w:color="auto"/>
        </w:pBdr>
        <w:ind w:left="1440" w:hanging="1440"/>
        <w:rPr>
          <w:rFonts w:cs="Arial"/>
          <w:b/>
          <w:sz w:val="28"/>
          <w:szCs w:val="28"/>
        </w:rPr>
      </w:pPr>
    </w:p>
    <w:tbl>
      <w:tblPr>
        <w:tblpPr w:leftFromText="180" w:rightFromText="180" w:vertAnchor="text" w:horzAnchor="margin" w:tblpY="41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447"/>
      </w:tblGrid>
      <w:tr w:rsidR="004D4C9C" w:rsidRPr="003904F0" w:rsidTr="000C0250">
        <w:trPr>
          <w:trHeight w:val="135"/>
        </w:trPr>
        <w:tc>
          <w:tcPr>
            <w:tcW w:w="2254" w:type="dxa"/>
            <w:vMerge w:val="restart"/>
            <w:shd w:val="clear" w:color="auto" w:fill="auto"/>
          </w:tcPr>
          <w:p w:rsidR="000A290F" w:rsidRPr="000C0250" w:rsidRDefault="000A290F" w:rsidP="000C0250">
            <w:pPr>
              <w:rPr>
                <w:rFonts w:cs="Arial"/>
              </w:rPr>
            </w:pPr>
            <w:r w:rsidRPr="000C0250">
              <w:rPr>
                <w:rFonts w:cs="Arial"/>
              </w:rPr>
              <w:t>Date:</w:t>
            </w:r>
          </w:p>
        </w:tc>
        <w:tc>
          <w:tcPr>
            <w:tcW w:w="2254" w:type="dxa"/>
            <w:vMerge w:val="restart"/>
            <w:shd w:val="clear" w:color="auto" w:fill="auto"/>
          </w:tcPr>
          <w:p w:rsidR="000A290F" w:rsidRPr="000C0250" w:rsidRDefault="001346B8" w:rsidP="000C0250">
            <w:pPr>
              <w:rPr>
                <w:rFonts w:cs="Arial"/>
              </w:rPr>
            </w:pPr>
            <w:r>
              <w:rPr>
                <w:rFonts w:cs="Arial"/>
              </w:rPr>
              <w:t>31 January 2019</w:t>
            </w:r>
          </w:p>
        </w:tc>
        <w:tc>
          <w:tcPr>
            <w:tcW w:w="2254" w:type="dxa"/>
            <w:shd w:val="clear" w:color="auto" w:fill="auto"/>
          </w:tcPr>
          <w:p w:rsidR="000A290F" w:rsidRPr="000C0250" w:rsidRDefault="000A290F" w:rsidP="000C0250">
            <w:pPr>
              <w:rPr>
                <w:rFonts w:cs="Arial"/>
              </w:rPr>
            </w:pPr>
            <w:r w:rsidRPr="000C0250">
              <w:rPr>
                <w:rFonts w:cs="Arial"/>
              </w:rPr>
              <w:t>Report No:</w:t>
            </w:r>
          </w:p>
        </w:tc>
        <w:tc>
          <w:tcPr>
            <w:tcW w:w="2447" w:type="dxa"/>
            <w:shd w:val="clear" w:color="auto" w:fill="auto"/>
          </w:tcPr>
          <w:p w:rsidR="000A290F" w:rsidRPr="000C0250" w:rsidRDefault="00F31DF0" w:rsidP="000C0250">
            <w:pPr>
              <w:rPr>
                <w:rFonts w:cs="Arial"/>
              </w:rPr>
            </w:pPr>
            <w:r w:rsidRPr="000C0250">
              <w:rPr>
                <w:rFonts w:cs="Arial"/>
              </w:rPr>
              <w:t>20190150</w:t>
            </w:r>
          </w:p>
        </w:tc>
      </w:tr>
      <w:tr w:rsidR="004D4C9C" w:rsidRPr="003904F0" w:rsidTr="000C0250">
        <w:trPr>
          <w:trHeight w:val="135"/>
        </w:trPr>
        <w:tc>
          <w:tcPr>
            <w:tcW w:w="2254" w:type="dxa"/>
            <w:vMerge/>
            <w:shd w:val="clear" w:color="auto" w:fill="auto"/>
          </w:tcPr>
          <w:p w:rsidR="000A290F" w:rsidRPr="000C0250" w:rsidRDefault="000A290F" w:rsidP="000C0250">
            <w:pPr>
              <w:rPr>
                <w:rFonts w:cs="Arial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0A290F" w:rsidRPr="000C0250" w:rsidRDefault="000A290F" w:rsidP="000C0250">
            <w:pPr>
              <w:rPr>
                <w:rFonts w:cs="Arial"/>
              </w:rPr>
            </w:pPr>
          </w:p>
        </w:tc>
        <w:tc>
          <w:tcPr>
            <w:tcW w:w="2254" w:type="dxa"/>
            <w:shd w:val="clear" w:color="auto" w:fill="auto"/>
          </w:tcPr>
          <w:p w:rsidR="000A290F" w:rsidRPr="000C0250" w:rsidRDefault="000A290F" w:rsidP="000C0250">
            <w:pPr>
              <w:rPr>
                <w:rFonts w:cs="Arial"/>
              </w:rPr>
            </w:pPr>
            <w:r w:rsidRPr="000C0250">
              <w:rPr>
                <w:rFonts w:cs="Arial"/>
              </w:rPr>
              <w:t>File Number:</w:t>
            </w:r>
          </w:p>
        </w:tc>
        <w:tc>
          <w:tcPr>
            <w:tcW w:w="2447" w:type="dxa"/>
            <w:shd w:val="clear" w:color="auto" w:fill="auto"/>
          </w:tcPr>
          <w:p w:rsidR="000A290F" w:rsidRPr="000C0250" w:rsidRDefault="00F31DF0" w:rsidP="000C0250">
            <w:pPr>
              <w:rPr>
                <w:rFonts w:cs="Arial"/>
              </w:rPr>
            </w:pPr>
            <w:r w:rsidRPr="000C0250">
              <w:rPr>
                <w:rFonts w:cs="Arial"/>
                <w:color w:val="000000"/>
                <w:szCs w:val="22"/>
                <w:lang w:eastAsia="en-NZ"/>
              </w:rPr>
              <w:t>AD62-14-2019</w:t>
            </w:r>
          </w:p>
        </w:tc>
      </w:tr>
    </w:tbl>
    <w:p w:rsidR="000A290F" w:rsidRDefault="000A290F" w:rsidP="000A290F">
      <w:pPr>
        <w:ind w:left="1440" w:hanging="1440"/>
        <w:rPr>
          <w:rFonts w:cs="Arial"/>
          <w:sz w:val="28"/>
          <w:szCs w:val="28"/>
        </w:rPr>
      </w:pPr>
    </w:p>
    <w:p w:rsidR="000A290F" w:rsidRDefault="000A290F" w:rsidP="000A290F">
      <w:pPr>
        <w:rPr>
          <w:rFonts w:cs="Arial"/>
          <w:sz w:val="28"/>
          <w:szCs w:val="28"/>
        </w:rPr>
      </w:pPr>
    </w:p>
    <w:p w:rsidR="000A290F" w:rsidRDefault="000A290F" w:rsidP="000A290F">
      <w:pPr>
        <w:pBdr>
          <w:bottom w:val="single" w:sz="12" w:space="1" w:color="auto"/>
        </w:pBdr>
        <w:rPr>
          <w:rFonts w:cs="Arial"/>
          <w:b/>
          <w:sz w:val="28"/>
          <w:szCs w:val="28"/>
        </w:rPr>
      </w:pPr>
    </w:p>
    <w:p w:rsidR="000A290F" w:rsidRDefault="000A290F" w:rsidP="000A290F">
      <w:pPr>
        <w:pBdr>
          <w:bottom w:val="single" w:sz="12" w:space="1" w:color="auto"/>
        </w:pBdr>
        <w:rPr>
          <w:rFonts w:cs="Arial"/>
          <w:b/>
          <w:sz w:val="28"/>
          <w:szCs w:val="28"/>
        </w:rPr>
      </w:pPr>
    </w:p>
    <w:p w:rsidR="000A290F" w:rsidRDefault="000A290F" w:rsidP="000A290F">
      <w:pPr>
        <w:pBdr>
          <w:bottom w:val="single" w:sz="12" w:space="1" w:color="auto"/>
        </w:pBdr>
        <w:rPr>
          <w:rFonts w:cs="Arial"/>
          <w:b/>
          <w:sz w:val="28"/>
          <w:szCs w:val="28"/>
        </w:rPr>
      </w:pPr>
    </w:p>
    <w:p w:rsidR="000A290F" w:rsidRPr="003B3D21" w:rsidRDefault="000A290F" w:rsidP="000A290F">
      <w:pPr>
        <w:pBdr>
          <w:bottom w:val="single" w:sz="12" w:space="1" w:color="auto"/>
        </w:pBdr>
        <w:rPr>
          <w:rFonts w:cs="Arial"/>
          <w:b/>
          <w:sz w:val="28"/>
          <w:szCs w:val="28"/>
        </w:rPr>
      </w:pPr>
      <w:r w:rsidRPr="003B3D21">
        <w:rPr>
          <w:rFonts w:cs="Arial"/>
          <w:b/>
          <w:sz w:val="28"/>
          <w:szCs w:val="28"/>
        </w:rPr>
        <w:t>Action Sought</w:t>
      </w:r>
      <w:r w:rsidRPr="003904F0">
        <w:rPr>
          <w:rFonts w:cs="Arial"/>
          <w:b/>
          <w:sz w:val="28"/>
          <w:szCs w:val="28"/>
        </w:rPr>
        <w:fldChar w:fldCharType="begin"/>
      </w:r>
      <w:r w:rsidRPr="003B3D21">
        <w:rPr>
          <w:rFonts w:cs="Arial"/>
          <w:b/>
          <w:sz w:val="28"/>
          <w:szCs w:val="28"/>
        </w:rPr>
        <w:instrText xml:space="preserve"> LINK Excel.Sheet.12 "Book1" "Sheet1!R2C1:R5C9" \a \f 4 \h  \* MERGEFORMAT </w:instrText>
      </w:r>
      <w:r w:rsidRPr="003904F0">
        <w:rPr>
          <w:rFonts w:cs="Arial"/>
          <w:b/>
          <w:sz w:val="28"/>
          <w:szCs w:val="28"/>
        </w:rPr>
        <w:fldChar w:fldCharType="separate"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2880"/>
        <w:gridCol w:w="3074"/>
        <w:gridCol w:w="3260"/>
      </w:tblGrid>
      <w:tr w:rsidR="000A290F" w:rsidRPr="003904F0" w:rsidTr="00DC286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0F" w:rsidRPr="003904F0" w:rsidRDefault="000A290F" w:rsidP="00DC2866">
            <w:pPr>
              <w:rPr>
                <w:rFonts w:cs="Arial"/>
                <w:sz w:val="24"/>
                <w:lang w:eastAsia="en-NZ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0F" w:rsidRPr="003904F0" w:rsidRDefault="000A290F" w:rsidP="00DC2866">
            <w:pPr>
              <w:rPr>
                <w:rFonts w:cs="Arial"/>
                <w:color w:val="000000"/>
                <w:sz w:val="24"/>
                <w:lang w:eastAsia="en-NZ"/>
              </w:rPr>
            </w:pPr>
            <w:r w:rsidRPr="003904F0">
              <w:rPr>
                <w:rFonts w:cs="Arial"/>
                <w:color w:val="000000"/>
                <w:sz w:val="24"/>
                <w:lang w:eastAsia="en-NZ"/>
              </w:rPr>
              <w:t>Action Sought</w:t>
            </w:r>
            <w:r w:rsidR="00E909E6">
              <w:rPr>
                <w:rFonts w:cs="Arial"/>
                <w:color w:val="000000"/>
                <w:sz w:val="24"/>
                <w:lang w:eastAsia="en-NZ"/>
              </w:rPr>
              <w:t xml:space="preserve"> by Minister's Office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0F" w:rsidRPr="00BC3395" w:rsidRDefault="000A290F" w:rsidP="001E18EB">
            <w:pPr>
              <w:rPr>
                <w:rFonts w:cs="Arial"/>
                <w:color w:val="FF0000"/>
                <w:sz w:val="24"/>
                <w:lang w:eastAsia="en-NZ"/>
              </w:rPr>
            </w:pPr>
            <w:r w:rsidRPr="003904F0">
              <w:rPr>
                <w:rFonts w:cs="Arial"/>
                <w:color w:val="000000"/>
                <w:sz w:val="24"/>
                <w:lang w:eastAsia="en-NZ"/>
              </w:rPr>
              <w:t>Deadline</w:t>
            </w:r>
            <w:r w:rsidR="00E909E6">
              <w:rPr>
                <w:rFonts w:cs="Arial"/>
                <w:color w:val="000000"/>
                <w:sz w:val="24"/>
                <w:lang w:eastAsia="en-NZ"/>
              </w:rPr>
              <w:t xml:space="preserve"> </w:t>
            </w:r>
          </w:p>
        </w:tc>
      </w:tr>
      <w:tr w:rsidR="000A290F" w:rsidRPr="003904F0" w:rsidTr="00DC2866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0F" w:rsidRPr="003904F0" w:rsidRDefault="000A290F" w:rsidP="00DC2866">
            <w:pPr>
              <w:rPr>
                <w:rFonts w:cs="Arial"/>
                <w:color w:val="000000"/>
                <w:sz w:val="24"/>
                <w:lang w:eastAsia="en-NZ"/>
              </w:rPr>
            </w:pPr>
            <w:r w:rsidRPr="003904F0">
              <w:rPr>
                <w:rFonts w:cs="Arial"/>
                <w:color w:val="000000"/>
                <w:sz w:val="24"/>
                <w:lang w:eastAsia="en-NZ"/>
              </w:rPr>
              <w:t>Minister Clark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0F" w:rsidRPr="003904F0" w:rsidRDefault="00F31DF0" w:rsidP="00DC2866">
            <w:pPr>
              <w:rPr>
                <w:rFonts w:cs="Arial"/>
                <w:color w:val="000000"/>
                <w:sz w:val="24"/>
                <w:lang w:eastAsia="en-NZ"/>
              </w:rPr>
            </w:pPr>
            <w:r>
              <w:rPr>
                <w:rFonts w:cs="Arial"/>
                <w:color w:val="000000"/>
                <w:sz w:val="24"/>
                <w:lang w:eastAsia="en-NZ"/>
              </w:rPr>
              <w:t>Agree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0F" w:rsidRPr="003904F0" w:rsidRDefault="00F31DF0" w:rsidP="00F31DF0">
            <w:pPr>
              <w:rPr>
                <w:rFonts w:cs="Arial"/>
                <w:color w:val="000000"/>
                <w:sz w:val="24"/>
                <w:lang w:eastAsia="en-NZ"/>
              </w:rPr>
            </w:pPr>
            <w:r>
              <w:rPr>
                <w:rFonts w:cs="Arial"/>
                <w:color w:val="000000"/>
                <w:sz w:val="24"/>
                <w:lang w:eastAsia="en-NZ"/>
              </w:rPr>
              <w:t>7 February 2019</w:t>
            </w:r>
          </w:p>
        </w:tc>
      </w:tr>
      <w:tr w:rsidR="000A290F" w:rsidRPr="003904F0" w:rsidTr="00DC2866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0F" w:rsidRPr="003904F0" w:rsidRDefault="000A290F" w:rsidP="00DC2866">
            <w:pPr>
              <w:rPr>
                <w:rFonts w:cs="Arial"/>
                <w:color w:val="000000"/>
                <w:sz w:val="24"/>
                <w:lang w:eastAsia="en-NZ"/>
              </w:rPr>
            </w:pPr>
            <w:r w:rsidRPr="003904F0">
              <w:rPr>
                <w:rFonts w:cs="Arial"/>
                <w:color w:val="000000"/>
                <w:sz w:val="24"/>
                <w:lang w:eastAsia="en-NZ"/>
              </w:rPr>
              <w:t xml:space="preserve">Minister </w:t>
            </w:r>
            <w:proofErr w:type="spellStart"/>
            <w:r w:rsidRPr="003904F0">
              <w:rPr>
                <w:rFonts w:cs="Arial"/>
                <w:color w:val="000000"/>
                <w:sz w:val="24"/>
                <w:lang w:eastAsia="en-NZ"/>
              </w:rPr>
              <w:t>Genter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0F" w:rsidRPr="003904F0" w:rsidRDefault="000A290F" w:rsidP="00DC2866">
            <w:pPr>
              <w:rPr>
                <w:rFonts w:cs="Arial"/>
                <w:color w:val="000000"/>
                <w:sz w:val="24"/>
                <w:lang w:eastAsia="en-NZ"/>
              </w:rPr>
            </w:pPr>
            <w:r w:rsidRPr="003904F0">
              <w:rPr>
                <w:rStyle w:val="PlaceholderText"/>
                <w:rFonts w:cs="Arial"/>
              </w:rPr>
              <w:t>Choose an item.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0F" w:rsidRPr="003904F0" w:rsidRDefault="000A290F" w:rsidP="00DC2866">
            <w:pPr>
              <w:rPr>
                <w:rFonts w:cs="Arial"/>
                <w:color w:val="000000"/>
                <w:sz w:val="24"/>
                <w:lang w:eastAsia="en-NZ"/>
              </w:rPr>
            </w:pPr>
          </w:p>
        </w:tc>
      </w:tr>
      <w:tr w:rsidR="000A290F" w:rsidRPr="003904F0" w:rsidTr="00DC2866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0F" w:rsidRPr="003904F0" w:rsidRDefault="000A290F" w:rsidP="00DC2866">
            <w:pPr>
              <w:rPr>
                <w:rFonts w:cs="Arial"/>
                <w:color w:val="000000"/>
                <w:sz w:val="24"/>
                <w:lang w:eastAsia="en-NZ"/>
              </w:rPr>
            </w:pPr>
            <w:r w:rsidRPr="003904F0">
              <w:rPr>
                <w:rFonts w:cs="Arial"/>
                <w:color w:val="000000"/>
                <w:sz w:val="24"/>
                <w:lang w:eastAsia="en-NZ"/>
              </w:rPr>
              <w:t xml:space="preserve">Minister </w:t>
            </w:r>
            <w:proofErr w:type="spellStart"/>
            <w:r w:rsidRPr="003904F0">
              <w:rPr>
                <w:rFonts w:cs="Arial"/>
                <w:color w:val="000000"/>
                <w:sz w:val="24"/>
                <w:lang w:eastAsia="en-NZ"/>
              </w:rPr>
              <w:t>Salesa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0F" w:rsidRPr="003904F0" w:rsidRDefault="000A290F" w:rsidP="00DC2866">
            <w:pPr>
              <w:rPr>
                <w:rFonts w:cs="Arial"/>
                <w:color w:val="000000"/>
                <w:sz w:val="24"/>
                <w:lang w:eastAsia="en-NZ"/>
              </w:rPr>
            </w:pPr>
            <w:r w:rsidRPr="003904F0">
              <w:rPr>
                <w:rStyle w:val="PlaceholderText"/>
                <w:rFonts w:cs="Arial"/>
              </w:rPr>
              <w:t>Choose an item.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0F" w:rsidRPr="003904F0" w:rsidRDefault="000A290F" w:rsidP="00DC2866">
            <w:pPr>
              <w:rPr>
                <w:rFonts w:cs="Arial"/>
                <w:color w:val="000000"/>
                <w:sz w:val="24"/>
                <w:lang w:eastAsia="en-NZ"/>
              </w:rPr>
            </w:pPr>
          </w:p>
        </w:tc>
      </w:tr>
    </w:tbl>
    <w:p w:rsidR="000A290F" w:rsidRPr="003904F0" w:rsidRDefault="000A290F" w:rsidP="000A290F">
      <w:pPr>
        <w:rPr>
          <w:rFonts w:cs="Arial"/>
          <w:sz w:val="24"/>
          <w:u w:val="single"/>
        </w:rPr>
      </w:pPr>
      <w:r w:rsidRPr="003904F0">
        <w:rPr>
          <w:rFonts w:cs="Arial"/>
          <w:sz w:val="24"/>
          <w:u w:val="single"/>
        </w:rPr>
        <w:fldChar w:fldCharType="end"/>
      </w:r>
      <w:r w:rsidRPr="003904F0">
        <w:rPr>
          <w:rFonts w:cs="Arial"/>
          <w:sz w:val="24"/>
        </w:rPr>
        <w:tab/>
      </w:r>
      <w:r w:rsidRPr="003904F0">
        <w:rPr>
          <w:rFonts w:cs="Arial"/>
          <w:sz w:val="24"/>
        </w:rPr>
        <w:tab/>
      </w:r>
      <w:r w:rsidRPr="003904F0">
        <w:rPr>
          <w:rFonts w:cs="Arial"/>
          <w:sz w:val="24"/>
        </w:rPr>
        <w:tab/>
      </w:r>
      <w:r w:rsidRPr="003904F0">
        <w:rPr>
          <w:rFonts w:cs="Arial"/>
          <w:sz w:val="24"/>
        </w:rPr>
        <w:tab/>
      </w:r>
      <w:r w:rsidRPr="003904F0">
        <w:rPr>
          <w:rFonts w:cs="Arial"/>
          <w:sz w:val="24"/>
        </w:rPr>
        <w:tab/>
      </w:r>
    </w:p>
    <w:p w:rsidR="000A290F" w:rsidRDefault="000A290F" w:rsidP="000A290F">
      <w:pPr>
        <w:pBdr>
          <w:bottom w:val="single" w:sz="12" w:space="1" w:color="auto"/>
        </w:pBdr>
        <w:rPr>
          <w:rFonts w:cs="Arial"/>
          <w:b/>
          <w:sz w:val="28"/>
          <w:szCs w:val="28"/>
        </w:rPr>
      </w:pPr>
    </w:p>
    <w:p w:rsidR="000A290F" w:rsidRPr="003B3D21" w:rsidRDefault="000A290F" w:rsidP="000A290F">
      <w:pPr>
        <w:pBdr>
          <w:bottom w:val="single" w:sz="12" w:space="1" w:color="auto"/>
        </w:pBdr>
        <w:rPr>
          <w:rFonts w:cs="Arial"/>
          <w:sz w:val="28"/>
          <w:szCs w:val="28"/>
        </w:rPr>
      </w:pPr>
      <w:r w:rsidRPr="003B3D21">
        <w:rPr>
          <w:rFonts w:cs="Arial"/>
          <w:b/>
          <w:sz w:val="28"/>
          <w:szCs w:val="28"/>
        </w:rPr>
        <w:t>Contact for Telephone Discussion</w:t>
      </w:r>
      <w:r w:rsidRPr="003B3D21">
        <w:rPr>
          <w:rFonts w:cs="Arial"/>
          <w:sz w:val="28"/>
          <w:szCs w:val="28"/>
        </w:rPr>
        <w:t xml:space="preserve"> (if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452"/>
      </w:tblGrid>
      <w:tr w:rsidR="004D4C9C" w:rsidTr="000C0250"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A290F" w:rsidRPr="000C0250" w:rsidRDefault="000A290F" w:rsidP="00DC2866">
            <w:pPr>
              <w:rPr>
                <w:rFonts w:cs="Arial"/>
                <w:sz w:val="24"/>
              </w:rPr>
            </w:pPr>
            <w:r w:rsidRPr="000C0250">
              <w:rPr>
                <w:rFonts w:cs="Arial"/>
                <w:sz w:val="24"/>
              </w:rPr>
              <w:t>Name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A290F" w:rsidRPr="000C0250" w:rsidRDefault="000A290F" w:rsidP="00DC2866">
            <w:pPr>
              <w:rPr>
                <w:rFonts w:cs="Arial"/>
                <w:sz w:val="24"/>
              </w:rPr>
            </w:pPr>
            <w:r w:rsidRPr="000C0250">
              <w:rPr>
                <w:rFonts w:cs="Arial"/>
                <w:sz w:val="24"/>
              </w:rPr>
              <w:t>Position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A290F" w:rsidRPr="000C0250" w:rsidRDefault="000A290F" w:rsidP="00DC2866">
            <w:pPr>
              <w:rPr>
                <w:rFonts w:cs="Arial"/>
                <w:sz w:val="24"/>
              </w:rPr>
            </w:pPr>
            <w:r w:rsidRPr="000C0250">
              <w:rPr>
                <w:rFonts w:cs="Arial"/>
                <w:sz w:val="24"/>
              </w:rPr>
              <w:t>Telephone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A290F" w:rsidRPr="000C0250" w:rsidRDefault="000A290F" w:rsidP="00DC2866">
            <w:pPr>
              <w:rPr>
                <w:rFonts w:cs="Arial"/>
                <w:sz w:val="24"/>
              </w:rPr>
            </w:pPr>
            <w:r w:rsidRPr="000C0250">
              <w:rPr>
                <w:rFonts w:cs="Arial"/>
                <w:sz w:val="24"/>
              </w:rPr>
              <w:t>Contact Order</w:t>
            </w:r>
          </w:p>
        </w:tc>
      </w:tr>
    </w:tbl>
    <w:p w:rsidR="000C0250" w:rsidRPr="000C0250" w:rsidRDefault="000C0250" w:rsidP="000C0250">
      <w:pPr>
        <w:rPr>
          <w:vanish/>
        </w:rPr>
      </w:pPr>
    </w:p>
    <w:tbl>
      <w:tblPr>
        <w:tblW w:w="10206" w:type="dxa"/>
        <w:tblInd w:w="-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3558"/>
        <w:gridCol w:w="2410"/>
        <w:gridCol w:w="1984"/>
      </w:tblGrid>
      <w:tr w:rsidR="009D7243" w:rsidRPr="00056A2F" w:rsidTr="00CC23EC">
        <w:tc>
          <w:tcPr>
            <w:tcW w:w="2254" w:type="dxa"/>
            <w:shd w:val="clear" w:color="auto" w:fill="auto"/>
          </w:tcPr>
          <w:p w:rsidR="009D7243" w:rsidRPr="00056A2F" w:rsidRDefault="009D7243" w:rsidP="00CC23E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Helen Wood</w:t>
            </w:r>
          </w:p>
        </w:tc>
        <w:tc>
          <w:tcPr>
            <w:tcW w:w="3558" w:type="dxa"/>
            <w:shd w:val="clear" w:color="auto" w:fill="auto"/>
          </w:tcPr>
          <w:p w:rsidR="009D7243" w:rsidRPr="00056A2F" w:rsidRDefault="009D7243" w:rsidP="00CC23E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Acting Deputy Director-General</w:t>
            </w:r>
            <w:r w:rsidRPr="00056A2F">
              <w:rPr>
                <w:rFonts w:cs="Arial"/>
                <w:sz w:val="24"/>
              </w:rPr>
              <w:t xml:space="preserve"> Health Workforce </w:t>
            </w:r>
            <w:r>
              <w:rPr>
                <w:rFonts w:cs="Arial"/>
                <w:sz w:val="24"/>
              </w:rPr>
              <w:t>Directorate</w:t>
            </w:r>
          </w:p>
        </w:tc>
        <w:tc>
          <w:tcPr>
            <w:tcW w:w="2410" w:type="dxa"/>
            <w:shd w:val="clear" w:color="auto" w:fill="auto"/>
          </w:tcPr>
          <w:p w:rsidR="009D7243" w:rsidRPr="00056A2F" w:rsidRDefault="009D7243" w:rsidP="00CC23E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021 839 078</w:t>
            </w:r>
          </w:p>
        </w:tc>
        <w:tc>
          <w:tcPr>
            <w:tcW w:w="1984" w:type="dxa"/>
            <w:shd w:val="clear" w:color="auto" w:fill="auto"/>
          </w:tcPr>
          <w:p w:rsidR="009D7243" w:rsidRPr="00056A2F" w:rsidRDefault="009D7243" w:rsidP="00CC23E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Pr="006323E2">
              <w:rPr>
                <w:rFonts w:cs="Arial"/>
                <w:sz w:val="24"/>
                <w:vertAlign w:val="superscript"/>
              </w:rPr>
              <w:t>st</w:t>
            </w:r>
            <w:r>
              <w:rPr>
                <w:rFonts w:cs="Arial"/>
                <w:sz w:val="24"/>
              </w:rPr>
              <w:t xml:space="preserve"> </w:t>
            </w:r>
            <w:r w:rsidRPr="00056A2F">
              <w:rPr>
                <w:rFonts w:cs="Arial"/>
                <w:sz w:val="24"/>
              </w:rPr>
              <w:t xml:space="preserve">Contact </w:t>
            </w:r>
          </w:p>
        </w:tc>
      </w:tr>
      <w:tr w:rsidR="009D7243" w:rsidRPr="00056A2F" w:rsidTr="00CC23EC">
        <w:tc>
          <w:tcPr>
            <w:tcW w:w="2254" w:type="dxa"/>
            <w:shd w:val="clear" w:color="auto" w:fill="auto"/>
          </w:tcPr>
          <w:p w:rsidR="009D7243" w:rsidRPr="00056A2F" w:rsidRDefault="009D7243" w:rsidP="00CC23EC">
            <w:pPr>
              <w:rPr>
                <w:rFonts w:cs="Arial"/>
                <w:sz w:val="24"/>
              </w:rPr>
            </w:pPr>
            <w:r w:rsidRPr="00056A2F">
              <w:rPr>
                <w:rFonts w:cs="Arial"/>
                <w:sz w:val="24"/>
              </w:rPr>
              <w:t xml:space="preserve">Claire Austin </w:t>
            </w:r>
          </w:p>
          <w:p w:rsidR="009D7243" w:rsidRPr="00056A2F" w:rsidRDefault="009D7243" w:rsidP="00CC23EC">
            <w:pPr>
              <w:rPr>
                <w:rFonts w:cs="Arial"/>
                <w:sz w:val="24"/>
              </w:rPr>
            </w:pPr>
          </w:p>
        </w:tc>
        <w:tc>
          <w:tcPr>
            <w:tcW w:w="3558" w:type="dxa"/>
            <w:shd w:val="clear" w:color="auto" w:fill="auto"/>
          </w:tcPr>
          <w:p w:rsidR="009D7243" w:rsidRPr="00056A2F" w:rsidRDefault="009D7243" w:rsidP="00CC23EC">
            <w:pPr>
              <w:rPr>
                <w:rFonts w:cs="Arial"/>
                <w:sz w:val="24"/>
              </w:rPr>
            </w:pPr>
            <w:r w:rsidRPr="00056A2F">
              <w:rPr>
                <w:rFonts w:cs="Arial"/>
                <w:sz w:val="24"/>
              </w:rPr>
              <w:t xml:space="preserve">Group Manager, Health Workforce </w:t>
            </w:r>
            <w:r>
              <w:rPr>
                <w:rFonts w:cs="Arial"/>
                <w:sz w:val="24"/>
              </w:rPr>
              <w:t>Directorate</w:t>
            </w:r>
          </w:p>
        </w:tc>
        <w:tc>
          <w:tcPr>
            <w:tcW w:w="2410" w:type="dxa"/>
            <w:shd w:val="clear" w:color="auto" w:fill="auto"/>
          </w:tcPr>
          <w:p w:rsidR="009D7243" w:rsidRPr="00056A2F" w:rsidRDefault="009D7243" w:rsidP="00CC23EC">
            <w:pPr>
              <w:rPr>
                <w:rFonts w:cs="Arial"/>
                <w:sz w:val="24"/>
              </w:rPr>
            </w:pPr>
            <w:r w:rsidRPr="00056A2F">
              <w:rPr>
                <w:rFonts w:cs="Arial"/>
                <w:sz w:val="24"/>
              </w:rPr>
              <w:t>021 820 154</w:t>
            </w:r>
          </w:p>
        </w:tc>
        <w:tc>
          <w:tcPr>
            <w:tcW w:w="1984" w:type="dxa"/>
            <w:shd w:val="clear" w:color="auto" w:fill="auto"/>
          </w:tcPr>
          <w:p w:rsidR="009D7243" w:rsidRPr="00056A2F" w:rsidRDefault="009D7243" w:rsidP="00CC23E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2nd </w:t>
            </w:r>
            <w:r w:rsidRPr="00056A2F">
              <w:rPr>
                <w:rFonts w:cs="Arial"/>
                <w:sz w:val="24"/>
              </w:rPr>
              <w:t xml:space="preserve">Contact </w:t>
            </w:r>
          </w:p>
        </w:tc>
      </w:tr>
    </w:tbl>
    <w:p w:rsidR="000A290F" w:rsidRDefault="000A290F" w:rsidP="000A290F">
      <w:pPr>
        <w:rPr>
          <w:rFonts w:cs="Arial"/>
          <w:sz w:val="24"/>
        </w:rPr>
      </w:pPr>
    </w:p>
    <w:p w:rsidR="000A290F" w:rsidRDefault="000A290F" w:rsidP="000A290F">
      <w:pPr>
        <w:pBdr>
          <w:bottom w:val="single" w:sz="12" w:space="1" w:color="auto"/>
        </w:pBdr>
        <w:rPr>
          <w:rFonts w:cs="Arial"/>
          <w:b/>
          <w:sz w:val="28"/>
        </w:rPr>
      </w:pPr>
    </w:p>
    <w:p w:rsidR="000A290F" w:rsidRPr="003B3D21" w:rsidRDefault="000A290F" w:rsidP="000A290F">
      <w:pPr>
        <w:pBdr>
          <w:bottom w:val="single" w:sz="12" w:space="1" w:color="auto"/>
        </w:pBdr>
        <w:rPr>
          <w:rFonts w:cs="Arial"/>
          <w:b/>
          <w:sz w:val="28"/>
        </w:rPr>
      </w:pPr>
      <w:r w:rsidRPr="003B3D21">
        <w:rPr>
          <w:rFonts w:cs="Arial"/>
          <w:b/>
          <w:sz w:val="28"/>
        </w:rPr>
        <w:t>Actions for the Minister’s Office Staff</w:t>
      </w:r>
    </w:p>
    <w:p w:rsidR="000A290F" w:rsidRPr="003904F0" w:rsidRDefault="000A290F" w:rsidP="000A290F">
      <w:pPr>
        <w:rPr>
          <w:rFonts w:cs="Arial"/>
          <w:sz w:val="24"/>
        </w:rPr>
      </w:pPr>
    </w:p>
    <w:p w:rsidR="000A290F" w:rsidRDefault="00C33BEC" w:rsidP="000A290F">
      <w:pPr>
        <w:rPr>
          <w:rFonts w:cs="Arial"/>
          <w:b/>
          <w:sz w:val="24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829935" cy="466725"/>
                <wp:effectExtent l="0" t="0" r="1841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290F" w:rsidRPr="009D7243" w:rsidRDefault="000A290F" w:rsidP="000A290F">
                            <w:pPr>
                              <w:rPr>
                                <w:rFonts w:cs="Arial"/>
                              </w:rPr>
                            </w:pPr>
                            <w:r w:rsidRPr="009D7243">
                              <w:rPr>
                                <w:rFonts w:cs="Arial"/>
                                <w:b/>
                              </w:rPr>
                              <w:t xml:space="preserve">Return </w:t>
                            </w:r>
                            <w:r w:rsidRPr="009D7243">
                              <w:rPr>
                                <w:rFonts w:cs="Arial"/>
                              </w:rPr>
                              <w:t>the signed report to Ministry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459.05pt;height:3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xQTgIAAJwEAAAOAAAAZHJzL2Uyb0RvYy54bWysVMmO2zAMvRfoPwi6N07cLBMjzmCaNEWB&#10;6QLM9AMYWV5QWVQlJXb69aXkTCZd0ENRHwRSlB4f+USvbvtWsaO0rkGd88lozJnUAotGVzn/8rh7&#10;dcOZ86ALUKhlzk/S8dv1yxerzmQyxRpVIS0jEO2yzuS89t5kSeJELVtwIzRSU7BE24In11ZJYaEj&#10;9FYl6Xg8Tzq0hbEopHO0ux2CfB3xy1IK/6ksnfRM5Zy4+bjauO7DmqxXkFUWTN2IMw34BxYtNJqS&#10;XqC24IEdbPMbVNsIiw5LPxLYJliWjZCxBqpmMv6lmocajIy1UHOcubTJ/T9Y8fH42bKmyHk6WXCm&#10;oSWRHmXv2RvsWRr60xmX0bEHQwd9T9ukc6zVmXsUXx3TuKlBV/LOWuxqCQXxm4SbydXVAccFkH33&#10;AQtKAwePEagvbRuaR+1ghE46nS7aBCqCNmc36XL5esaZoNh0Pl+ks5gCsqfbxjr/TmLLgpFzS9pH&#10;dDjeOx/YQPZ0JCRzqJpi1ygVnZPbKMuOQM+EXleBHWcKnKfNnO/id8720zWlWUe1posxcRZA77dU&#10;4MlsDXXU6YozUBUNhvB2aNnfk4bGXyUex+9PiUMhW3D1wDhyCscgC+1/q4toe2jUYFPpSoewjCNx&#10;7kdQJwgySOP7fU/XwuYeixPpZHEYFxpvMmq03znraFSosm8HsJKYvtek9XIynYbZis50tkjJsdeR&#10;/XUEtCConFOhg7nxcR4DPY139CbKJsr1zOT8kmgEoorncQ0zdu3HU88/lfUPAAAA//8DAFBLAwQU&#10;AAYACAAAACEAuh3amNYAAAAFAQAADwAAAGRycy9kb3ducmV2LnhtbEyPwU7DQAxE70j8w8pI3Ogm&#10;SE3bkE2FivoBtHyAk5gkNOuNsm4a/h5zgqNnRjPPxX7xg5lpin1gB+kqAUNch6bn1sHH+fi0BRMF&#10;ucEhMDn4pgj78v6uwLwJN36n+SSt0RKOOTroRMbc2lh35DGuwkis3meYPIqeU2ubCW9a7gf7nCSZ&#10;9dizLnQ40qGj+nK6egcohzfPxypeiL/WuBGbncPs3OPD8voCRmiRvzD84is6lMpUhSs30QwO9BFR&#10;NQOj5i7dpmAqB5t1CrYs7H/68gcAAP//AwBQSwECLQAUAAYACAAAACEAtoM4kv4AAADhAQAAEwAA&#10;AAAAAAAAAAAAAAAAAAAAW0NvbnRlbnRfVHlwZXNdLnhtbFBLAQItABQABgAIAAAAIQA4/SH/1gAA&#10;AJQBAAALAAAAAAAAAAAAAAAAAC8BAABfcmVscy8ucmVsc1BLAQItABQABgAIAAAAIQCN0ZxQTgIA&#10;AJwEAAAOAAAAAAAAAAAAAAAAAC4CAABkcnMvZTJvRG9jLnhtbFBLAQItABQABgAIAAAAIQC6HdqY&#10;1gAAAAUBAAAPAAAAAAAAAAAAAAAAAKgEAABkcnMvZG93bnJldi54bWxQSwUGAAAAAAQABADzAAAA&#10;qwUAAAAA&#10;" fillcolor="window" strokecolor="windowText" strokeweight="1pt">
                <v:textbox>
                  <w:txbxContent>
                    <w:p w:rsidR="000A290F" w:rsidRPr="009D7243" w:rsidRDefault="000A290F" w:rsidP="000A290F">
                      <w:pPr>
                        <w:rPr>
                          <w:rFonts w:cs="Arial"/>
                        </w:rPr>
                      </w:pPr>
                      <w:r w:rsidRPr="009D7243">
                        <w:rPr>
                          <w:rFonts w:cs="Arial"/>
                          <w:b/>
                        </w:rPr>
                        <w:t xml:space="preserve">Return </w:t>
                      </w:r>
                      <w:r w:rsidRPr="009D7243">
                        <w:rPr>
                          <w:rFonts w:cs="Arial"/>
                        </w:rPr>
                        <w:t>the signed report to Ministry of Health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290F" w:rsidRPr="003904F0" w:rsidRDefault="000A290F" w:rsidP="000A290F">
      <w:pPr>
        <w:rPr>
          <w:rFonts w:cs="Arial"/>
          <w:b/>
          <w:sz w:val="24"/>
        </w:rPr>
      </w:pPr>
    </w:p>
    <w:p w:rsidR="000A290F" w:rsidRDefault="000A290F" w:rsidP="000A290F">
      <w:pPr>
        <w:rPr>
          <w:rFonts w:cs="Arial"/>
          <w:b/>
          <w:sz w:val="24"/>
        </w:rPr>
      </w:pPr>
    </w:p>
    <w:p w:rsidR="000A290F" w:rsidRPr="009D7243" w:rsidRDefault="000A290F" w:rsidP="000A290F">
      <w:pPr>
        <w:rPr>
          <w:rFonts w:cs="Arial"/>
          <w:b/>
          <w:sz w:val="24"/>
        </w:rPr>
      </w:pPr>
    </w:p>
    <w:p w:rsidR="000A290F" w:rsidRDefault="000A290F" w:rsidP="000A290F">
      <w:pPr>
        <w:rPr>
          <w:rFonts w:cs="Arial"/>
          <w:b/>
          <w:sz w:val="24"/>
        </w:rPr>
      </w:pPr>
    </w:p>
    <w:tbl>
      <w:tblPr>
        <w:tblpPr w:leftFromText="180" w:rightFromText="180" w:vertAnchor="page" w:horzAnchor="margin" w:tblpY="1153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C25853" w:rsidRPr="003904F0" w:rsidTr="00C25853">
        <w:trPr>
          <w:trHeight w:val="1482"/>
        </w:trPr>
        <w:tc>
          <w:tcPr>
            <w:tcW w:w="9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853" w:rsidRPr="000C0250" w:rsidRDefault="00C33BEC" w:rsidP="000C0250">
            <w:pPr>
              <w:rPr>
                <w:rFonts w:cs="Arial"/>
              </w:rPr>
            </w:pPr>
            <w:r>
              <w:rPr>
                <w:rFonts w:cs="Arial"/>
                <w:b/>
                <w:noProof/>
                <w:sz w:val="24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27940</wp:posOffset>
                      </wp:positionH>
                      <wp:positionV relativeFrom="paragraph">
                        <wp:posOffset>916305</wp:posOffset>
                      </wp:positionV>
                      <wp:extent cx="5829935" cy="1168400"/>
                      <wp:effectExtent l="0" t="0" r="18415" b="1270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935" cy="1168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25853" w:rsidRDefault="00C25853" w:rsidP="00C25853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0C0250">
                                    <w:rPr>
                                      <w:rFonts w:cs="Arial"/>
                                    </w:rPr>
                                    <w:t>Note any feedback on the quality of the report</w:t>
                                  </w:r>
                                </w:p>
                                <w:p w:rsidR="00C25853" w:rsidRDefault="00C25853" w:rsidP="00C25853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C25853" w:rsidRDefault="00C25853" w:rsidP="00C25853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C25853" w:rsidRDefault="00C25853" w:rsidP="00C25853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C25853" w:rsidRDefault="00C25853" w:rsidP="00C25853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C25853" w:rsidRDefault="00C25853" w:rsidP="00C25853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C25853" w:rsidRDefault="00C25853" w:rsidP="00C25853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C25853" w:rsidRDefault="00C25853" w:rsidP="00C25853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C25853" w:rsidRPr="00E83B17" w:rsidRDefault="00C25853" w:rsidP="00C25853">
                                  <w:pPr>
                                    <w:rPr>
                                      <w:rFonts w:cs="Arial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.2pt;margin-top:72.15pt;width:459.05pt;height:9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urTwIAAKIEAAAOAAAAZHJzL2Uyb0RvYy54bWysVNtu2zAMfR+wfxD0vtjxkjYx4hRdsgwD&#10;ugvQ7gMYWb5gsqhJauzs60fJaRp0wx6G+UGgROnwkIf06mboFDtI61rUBZ9OUs6kFli2ui74t4fd&#10;mwVnzoMuQaGWBT9Kx2/Wr1+tepPLDBtUpbSMQLTLe1PwxnuTJ4kTjezATdBITc4KbQeetrZOSgs9&#10;oXcqydL0KunRlsaikM7R6XZ08nXEryop/JeqctIzVXDi5uNq47oPa7JeQV5bME0rTjTgH1h00GoK&#10;eobaggf2aNvfoLpWWHRY+YnALsGqaoWMOVA20/RFNvcNGBlzoeI4cy6T+3+w4vPhq2VtWfAZZxo6&#10;kuhBDp69w4FloTq9cTldujd0zQ90TCrHTJ25Q/HdMY2bBnQtb63FvpFQErtpeJlcPB1xXADZ95+w&#10;pDDw6DECDZXtQumoGIzQSaXjWZlARdDhfJEtl2/nnAnyTadXi1katUsgf3purPMfJHYsGAW3JH2E&#10;h8Od84EO5E9XQjSHqi13rVJxc3QbZdkBqEuouUrsOVPgPB0WfBe/mNGLZ0qznuhk10SGCaD2rRR4&#10;MjtDBXW65gxUTXMhvB1r9vegofIXgdP4/SlwSGQLrhkZx1TCNchD/d/rMtoeWjXalLrSwS3jRJzq&#10;EeQJioza+GE/xD6I2gXfHssj6WVxHBoacjIatD8562lgKMEfj2AlEf6oSfPldDYLExY3s/l1Rht7&#10;6dlfekALgio45TuaGx+nMrDUeEu9UbVRtWcmp46iQYhinoY2TNrlPt56/rWsfwEAAP//AwBQSwME&#10;FAAGAAgAAAAhAD2+EpzaAAAACQEAAA8AAABkcnMvZG93bnJldi54bWxMj8FOwzAQRO9I/IO1SNyo&#10;Q5KWEuJUqKgfQMsHbOIlCY3XUeym4e9ZTnCcndHM23K3uEHNNIXes4HHVQKKuPG259bAx+nwsAUV&#10;IrLFwTMZ+KYAu+r2psTC+iu/03yMrZISDgUa6GIcC61D05HDsPIjsXiffnIYRU6tthNepdwNOk2S&#10;jXbYsyx0ONK+o+Z8vDgDGPdvjg91OBN/rfEp6s3Jz8bc3y2vL6AiLfEvDL/4gg6VMNX+wjaowUCe&#10;S1DOeZ6BEv85TdegagNZus1AV6X+/0H1AwAA//8DAFBLAQItABQABgAIAAAAIQC2gziS/gAAAOEB&#10;AAATAAAAAAAAAAAAAAAAAAAAAABbQ29udGVudF9UeXBlc10ueG1sUEsBAi0AFAAGAAgAAAAhADj9&#10;If/WAAAAlAEAAAsAAAAAAAAAAAAAAAAALwEAAF9yZWxzLy5yZWxzUEsBAi0AFAAGAAgAAAAhAMe0&#10;u6tPAgAAogQAAA4AAAAAAAAAAAAAAAAALgIAAGRycy9lMm9Eb2MueG1sUEsBAi0AFAAGAAgAAAAh&#10;AD2+EpzaAAAACQEAAA8AAAAAAAAAAAAAAAAAqQQAAGRycy9kb3ducmV2LnhtbFBLBQYAAAAABAAE&#10;APMAAACwBQAAAAA=&#10;" fillcolor="window" strokecolor="windowText" strokeweight="1pt">
                      <v:textbox>
                        <w:txbxContent>
                          <w:p w:rsidR="00C25853" w:rsidRDefault="00C25853" w:rsidP="00C25853">
                            <w:pPr>
                              <w:rPr>
                                <w:rFonts w:cs="Arial"/>
                              </w:rPr>
                            </w:pPr>
                            <w:r w:rsidRPr="000C0250">
                              <w:rPr>
                                <w:rFonts w:cs="Arial"/>
                              </w:rPr>
                              <w:t>Note any feedback on the quality of the report</w:t>
                            </w:r>
                          </w:p>
                          <w:p w:rsidR="00C25853" w:rsidRDefault="00C25853" w:rsidP="00C2585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25853" w:rsidRDefault="00C25853" w:rsidP="00C2585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25853" w:rsidRDefault="00C25853" w:rsidP="00C2585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25853" w:rsidRDefault="00C25853" w:rsidP="00C2585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25853" w:rsidRDefault="00C25853" w:rsidP="00C2585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25853" w:rsidRDefault="00C25853" w:rsidP="00C2585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25853" w:rsidRDefault="00C25853" w:rsidP="00C2585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25853" w:rsidRPr="00E83B17" w:rsidRDefault="00C25853" w:rsidP="00C25853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116205</wp:posOffset>
                      </wp:positionV>
                      <wp:extent cx="5829935" cy="704850"/>
                      <wp:effectExtent l="0" t="0" r="1841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93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25853" w:rsidRPr="00E83B17" w:rsidRDefault="00C25853" w:rsidP="00E83B17">
                                  <w:pPr>
                                    <w:rPr>
                                      <w:rFonts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Due Date</w:t>
                                  </w:r>
                                  <w:r w:rsidRPr="009D7243">
                                    <w:rPr>
                                      <w:rFonts w:cs="Arial"/>
                                      <w:b/>
                                    </w:rPr>
                                    <w:t xml:space="preserve">: </w:t>
                                  </w:r>
                                  <w:r w:rsidRPr="009D7243">
                                    <w:rPr>
                                      <w:rFonts w:cs="Arial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Cabinet paper and supplementary order paper will need to be lodged by 7 February 2019 in order to be </w:t>
                                  </w:r>
                                  <w:r>
                                    <w:t>considered by the Cabinet Legislation Committee (LEG) on 12 February 2019</w:t>
                                  </w:r>
                                  <w:r w:rsidRPr="009D7243"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75pt;margin-top:9.15pt;width:459.05pt;height:5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wqTwIAAKEEAAAOAAAAZHJzL2Uyb0RvYy54bWysVNuO2jAQfa/Uf7D8XhKyUCAirLZQqkrb&#10;i7TbDxgch0R1PK5tSOjX79hhKdpWfaiaB2vssWfOmTOT5W3fKnaU1jWoCz4epZxJLbBs9L7g3x63&#10;b+acOQ+6BIVaFvwkHb9dvX617EwuM6xRldIyCqJd3pmC196bPEmcqGULboRGanJWaFvwtLX7pLTQ&#10;UfRWJVmavk06tKWxKKRzdLoZnHwV41eVFP5LVTnpmSo4YfNxtXHdhTVZLSHfWzB1I84w4B9QtNBo&#10;SnoJtQEP7GCb30K1jbDosPIjgW2CVdUIGTkQm3H6gs1DDUZGLlQcZy5lcv8vrPh8/GpZUxb8hjMN&#10;LUn0KHvP3mHPslCdzricLj0YuuZ7OiaVI1Nn7lF8d0zjuga9l3fWYldLKAndOLxMrp4OcVwIsus+&#10;YUlp4OAxBuor24bSUTEYRSeVThdlAhRBh9N5tljcTDkT5Julk/k0SpdA/vzaWOc/SGxZMApuSfkY&#10;HY73zgc0kD9fCckcqqbcNkrFzcmtlWVHoCah3iqx40yB83RY8G38IqEXz5RmHXHNZilhFkDdWynw&#10;ZLaG6un0njNQexoL4e1Qsr8nDYW/SpzG70+JA5ENuHpAHKmEa5CH8r/XZbQ9NGqwibrSwS3jQJzr&#10;EdQJggzS+H7Xxza4iL7D8kRyWRxmhmacjBrtT846mhci+OMAVhLgj5okX4wnkzBgcTOZzjLa2GvP&#10;7toDWlCoghPfwVz7OJQBpcY7ao2qiaoFlAOSc0PRHEQxzzMbBu16H2/9+rOsngAAAP//AwBQSwME&#10;FAAGAAgAAAAhAJ5o5N/ZAAAACAEAAA8AAABkcnMvZG93bnJldi54bWxMj0FuwkAMRfeVeoeRkbor&#10;E0CkJM0EVVQcoNADOBk3CWQ8UWYI6e3rrtqV9f2/vp+L/ex6NdEYOs8GVssEFHHtbceNgc/z8XkH&#10;KkRki71nMvBNAfbl40OBufV3/qDpFBslJRxyNNDGOORah7olh2HpB2LxvvzoMIocG21HvEu56/U6&#10;SVLtsGO50OJAh5bq6+nmDGA8vDs+VuFKfNniS9Tp2U/GPC3mt1dQkeb4F4ZffEGHUpgqf2MbVC96&#10;K0EZuw0osbNVloKqZLHONqDLQv9/oPwBAAD//wMAUEsBAi0AFAAGAAgAAAAhALaDOJL+AAAA4QEA&#10;ABMAAAAAAAAAAAAAAAAAAAAAAFtDb250ZW50X1R5cGVzXS54bWxQSwECLQAUAAYACAAAACEAOP0h&#10;/9YAAACUAQAACwAAAAAAAAAAAAAAAAAvAQAAX3JlbHMvLnJlbHNQSwECLQAUAAYACAAAACEA7noc&#10;Kk8CAAChBAAADgAAAAAAAAAAAAAAAAAuAgAAZHJzL2Uyb0RvYy54bWxQSwECLQAUAAYACAAAACEA&#10;nmjk39kAAAAIAQAADwAAAAAAAAAAAAAAAACpBAAAZHJzL2Rvd25yZXYueG1sUEsFBgAAAAAEAAQA&#10;8wAAAK8FAAAAAA==&#10;" fillcolor="window" strokecolor="windowText" strokeweight="1pt">
                      <v:textbox>
                        <w:txbxContent>
                          <w:p w:rsidR="00C25853" w:rsidRPr="00E83B17" w:rsidRDefault="00C25853" w:rsidP="00E83B17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Due Date</w:t>
                            </w:r>
                            <w:r w:rsidRPr="009D7243">
                              <w:rPr>
                                <w:rFonts w:cs="Arial"/>
                                <w:b/>
                              </w:rPr>
                              <w:t xml:space="preserve">: </w:t>
                            </w:r>
                            <w:r w:rsidRPr="009D7243">
                              <w:rPr>
                                <w:rFonts w:cs="Arial"/>
                              </w:rPr>
                              <w:t xml:space="preserve">The </w:t>
                            </w:r>
                            <w:r>
                              <w:rPr>
                                <w:rFonts w:cs="Arial"/>
                              </w:rPr>
                              <w:t xml:space="preserve">Cabinet paper and supplementary order paper will need to be lodged by 7 February 2019 in order to be </w:t>
                            </w:r>
                            <w:r>
                              <w:t>considered by the Cabinet Legislation Committee (LEG) on 12 February 2019</w:t>
                            </w:r>
                            <w:r w:rsidRPr="009D7243"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0A290F" w:rsidRDefault="000A290F" w:rsidP="000A290F">
      <w:pPr>
        <w:rPr>
          <w:rFonts w:cs="Arial"/>
          <w:b/>
          <w:sz w:val="24"/>
        </w:rPr>
      </w:pPr>
    </w:p>
    <w:p w:rsidR="000A290F" w:rsidRDefault="000A290F" w:rsidP="000A290F">
      <w:pPr>
        <w:rPr>
          <w:rFonts w:cs="Arial"/>
          <w:b/>
          <w:sz w:val="24"/>
        </w:rPr>
      </w:pPr>
    </w:p>
    <w:p w:rsidR="000A290F" w:rsidRDefault="000A290F" w:rsidP="000A290F">
      <w:pPr>
        <w:rPr>
          <w:rFonts w:cs="Arial"/>
          <w:b/>
          <w:sz w:val="24"/>
        </w:rPr>
      </w:pPr>
    </w:p>
    <w:p w:rsidR="000A290F" w:rsidRDefault="000A290F" w:rsidP="000A290F">
      <w:pPr>
        <w:rPr>
          <w:rFonts w:cs="Arial"/>
          <w:b/>
          <w:sz w:val="24"/>
        </w:rPr>
      </w:pPr>
    </w:p>
    <w:p w:rsidR="000A290F" w:rsidRDefault="000A290F" w:rsidP="000A290F">
      <w:pPr>
        <w:rPr>
          <w:rFonts w:cs="Arial"/>
          <w:b/>
          <w:sz w:val="24"/>
        </w:rPr>
      </w:pPr>
    </w:p>
    <w:p w:rsidR="000A290F" w:rsidRDefault="000A290F" w:rsidP="000A290F">
      <w:pPr>
        <w:rPr>
          <w:rFonts w:cs="Arial"/>
          <w:b/>
          <w:sz w:val="24"/>
        </w:rPr>
      </w:pPr>
    </w:p>
    <w:p w:rsidR="000A290F" w:rsidRDefault="000A290F" w:rsidP="000A290F">
      <w:pPr>
        <w:rPr>
          <w:rFonts w:cs="Arial"/>
          <w:b/>
          <w:sz w:val="24"/>
        </w:rPr>
      </w:pPr>
    </w:p>
    <w:p w:rsidR="000A290F" w:rsidRDefault="000A290F" w:rsidP="000A290F">
      <w:pPr>
        <w:rPr>
          <w:rFonts w:cs="Arial"/>
          <w:b/>
          <w:sz w:val="24"/>
        </w:rPr>
      </w:pPr>
    </w:p>
    <w:p w:rsidR="000A290F" w:rsidRDefault="000A290F" w:rsidP="000A290F">
      <w:pPr>
        <w:rPr>
          <w:rFonts w:cs="Arial"/>
          <w:b/>
          <w:sz w:val="24"/>
        </w:rPr>
      </w:pPr>
    </w:p>
    <w:p w:rsidR="000A290F" w:rsidRDefault="000A290F">
      <w:pPr>
        <w:rPr>
          <w:b/>
        </w:rPr>
      </w:pPr>
    </w:p>
    <w:p w:rsidR="000A290F" w:rsidRDefault="000A290F">
      <w:pPr>
        <w:rPr>
          <w:b/>
        </w:rPr>
      </w:pPr>
      <w:r>
        <w:rPr>
          <w:b/>
        </w:rPr>
        <w:br w:type="page"/>
      </w:r>
    </w:p>
    <w:p w:rsidR="000A290F" w:rsidRDefault="000A290F">
      <w:pPr>
        <w:rPr>
          <w:b/>
        </w:rPr>
      </w:pPr>
    </w:p>
    <w:p w:rsidR="001146FC" w:rsidRDefault="001146FC" w:rsidP="001146FC">
      <w:pPr>
        <w:spacing w:after="120"/>
        <w:rPr>
          <w:b/>
        </w:rPr>
        <w:sectPr w:rsidR="001146FC" w:rsidSect="000A290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851" w:left="851" w:header="425" w:footer="425" w:gutter="0"/>
          <w:paperSrc w:first="15" w:other="15"/>
          <w:cols w:space="708"/>
          <w:titlePg/>
          <w:docGrid w:linePitch="360"/>
        </w:sectPr>
      </w:pPr>
      <w:r>
        <w:rPr>
          <w:b/>
        </w:rPr>
        <w:t>Security classification:</w:t>
      </w:r>
      <w:r>
        <w:t xml:space="preserve"> In-Confidence</w:t>
      </w:r>
      <w:r>
        <w:fldChar w:fldCharType="begin"/>
      </w:r>
      <w:r>
        <w:instrText xml:space="preserve"> AutoTextList  \s "ClassificationStyle" \t "Right-click to select classification" </w:instrText>
      </w:r>
      <w:r>
        <w:fldChar w:fldCharType="end"/>
      </w:r>
      <w:r>
        <w:t xml:space="preserve"> </w:t>
      </w:r>
    </w:p>
    <w:p w:rsidR="00EF7726" w:rsidRPr="006C13FF" w:rsidRDefault="00EF7726" w:rsidP="001A00F6">
      <w:pPr>
        <w:jc w:val="right"/>
        <w:rPr>
          <w:rFonts w:cs="Arial"/>
          <w:color w:val="808080"/>
        </w:rPr>
      </w:pPr>
      <w:r w:rsidRPr="006C13FF">
        <w:rPr>
          <w:rFonts w:cs="Arial"/>
          <w:b/>
          <w:color w:val="808080"/>
        </w:rPr>
        <w:t xml:space="preserve">File number: </w:t>
      </w:r>
      <w:r w:rsidR="00886BCF" w:rsidRPr="00886BCF">
        <w:rPr>
          <w:rFonts w:cs="Arial"/>
          <w:color w:val="000000"/>
          <w:szCs w:val="22"/>
          <w:lang w:eastAsia="en-NZ"/>
        </w:rPr>
        <w:t>AD62-14-201</w:t>
      </w:r>
      <w:r w:rsidR="00F31DF0">
        <w:rPr>
          <w:rFonts w:cs="Arial"/>
          <w:color w:val="000000"/>
          <w:szCs w:val="22"/>
          <w:lang w:eastAsia="en-NZ"/>
        </w:rPr>
        <w:t>9</w:t>
      </w:r>
    </w:p>
    <w:p w:rsidR="00EF7726" w:rsidRPr="006C13FF" w:rsidRDefault="00EF7726" w:rsidP="000E74A1">
      <w:pPr>
        <w:jc w:val="right"/>
        <w:rPr>
          <w:rFonts w:cs="Arial"/>
          <w:color w:val="808080"/>
        </w:rPr>
      </w:pPr>
      <w:r w:rsidRPr="006C13FF">
        <w:rPr>
          <w:rFonts w:cs="Arial"/>
          <w:b/>
          <w:color w:val="808080"/>
        </w:rPr>
        <w:t xml:space="preserve">Action required by: </w:t>
      </w:r>
      <w:r w:rsidR="001F4CA9">
        <w:rPr>
          <w:color w:val="808080"/>
          <w:szCs w:val="22"/>
        </w:rPr>
        <w:t>7 February 2019</w:t>
      </w:r>
    </w:p>
    <w:p w:rsidR="00F407E3" w:rsidRPr="006C13FF" w:rsidRDefault="0044764D" w:rsidP="00526779">
      <w:pPr>
        <w:pStyle w:val="Title"/>
        <w:spacing w:before="240"/>
        <w:rPr>
          <w:rFonts w:cs="Arial"/>
          <w:szCs w:val="32"/>
        </w:rPr>
      </w:pPr>
      <w:r>
        <w:rPr>
          <w:rFonts w:cs="Arial"/>
          <w:szCs w:val="32"/>
        </w:rPr>
        <w:t>Health Practitioners Competence Assurance Amendment Bill – Supplementary Order Paper</w:t>
      </w:r>
    </w:p>
    <w:tbl>
      <w:tblPr>
        <w:tblW w:w="10206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930"/>
      </w:tblGrid>
      <w:tr w:rsidR="0044764D" w:rsidRPr="0044764D" w:rsidTr="000C0250">
        <w:trPr>
          <w:cantSplit/>
        </w:trPr>
        <w:tc>
          <w:tcPr>
            <w:tcW w:w="1276" w:type="dxa"/>
            <w:shd w:val="clear" w:color="auto" w:fill="auto"/>
          </w:tcPr>
          <w:p w:rsidR="00006665" w:rsidRPr="000C0250" w:rsidRDefault="00F407E3" w:rsidP="000C0250">
            <w:pPr>
              <w:pStyle w:val="TableText"/>
              <w:spacing w:before="90" w:after="90"/>
              <w:rPr>
                <w:rFonts w:cs="Arial"/>
                <w:b/>
                <w:szCs w:val="22"/>
              </w:rPr>
            </w:pPr>
            <w:r w:rsidRPr="000C0250">
              <w:rPr>
                <w:rFonts w:cs="Arial"/>
                <w:b/>
                <w:szCs w:val="22"/>
              </w:rPr>
              <w:t>To</w:t>
            </w:r>
            <w:r w:rsidR="00006665" w:rsidRPr="000C0250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8930" w:type="dxa"/>
            <w:shd w:val="clear" w:color="auto" w:fill="auto"/>
          </w:tcPr>
          <w:p w:rsidR="00006665" w:rsidRPr="000C0250" w:rsidRDefault="002B3320" w:rsidP="000C0250">
            <w:pPr>
              <w:pStyle w:val="TableText"/>
              <w:spacing w:before="90" w:after="90"/>
              <w:rPr>
                <w:rFonts w:cs="Arial"/>
                <w:szCs w:val="22"/>
              </w:rPr>
            </w:pPr>
            <w:r w:rsidRPr="000C0250">
              <w:rPr>
                <w:rFonts w:cs="Arial"/>
              </w:rPr>
              <w:t xml:space="preserve">Hon </w:t>
            </w:r>
            <w:r w:rsidR="00FD6EBD" w:rsidRPr="000C0250">
              <w:rPr>
                <w:rFonts w:cs="Arial"/>
              </w:rPr>
              <w:t xml:space="preserve">Dr </w:t>
            </w:r>
            <w:r w:rsidRPr="000C0250">
              <w:rPr>
                <w:rFonts w:cs="Arial"/>
              </w:rPr>
              <w:t>David Clark</w:t>
            </w:r>
            <w:r w:rsidR="008D74AE" w:rsidRPr="000C0250">
              <w:rPr>
                <w:rFonts w:cs="Arial"/>
              </w:rPr>
              <w:t xml:space="preserve">, </w:t>
            </w:r>
            <w:r w:rsidR="00DC2256" w:rsidRPr="000C0250">
              <w:rPr>
                <w:rFonts w:cs="Arial"/>
                <w:szCs w:val="52"/>
              </w:rPr>
              <w:t>Minister of Health</w:t>
            </w:r>
          </w:p>
        </w:tc>
      </w:tr>
    </w:tbl>
    <w:p w:rsidR="00C048A4" w:rsidRPr="006C13FF" w:rsidRDefault="008D74AE" w:rsidP="00C048A4">
      <w:pPr>
        <w:pStyle w:val="Heading1"/>
      </w:pPr>
      <w:r>
        <w:rPr>
          <w:szCs w:val="22"/>
        </w:rPr>
        <w:t>Purpose</w:t>
      </w:r>
    </w:p>
    <w:p w:rsidR="006B260C" w:rsidRPr="001B4FAA" w:rsidRDefault="0044764D" w:rsidP="008D74AE">
      <w:pPr>
        <w:rPr>
          <w:szCs w:val="22"/>
        </w:rPr>
      </w:pPr>
      <w:bookmarkStart w:id="1" w:name="Text5"/>
      <w:r>
        <w:t xml:space="preserve">This paper provides you with the </w:t>
      </w:r>
      <w:r w:rsidR="00BB7472">
        <w:t xml:space="preserve">Health Practitioners Competence Assurance Act </w:t>
      </w:r>
      <w:r>
        <w:t>Supplementary O</w:t>
      </w:r>
      <w:r w:rsidR="00BB7472">
        <w:t>rder P</w:t>
      </w:r>
      <w:r>
        <w:t xml:space="preserve">aper for consideration by the Cabinet </w:t>
      </w:r>
      <w:r w:rsidR="00FF24A9">
        <w:t>Legislation</w:t>
      </w:r>
      <w:r>
        <w:t xml:space="preserve"> Committee (LEG)</w:t>
      </w:r>
      <w:bookmarkEnd w:id="1"/>
      <w:r>
        <w:t xml:space="preserve"> on 12 February 2019.</w:t>
      </w:r>
    </w:p>
    <w:p w:rsidR="00C048A4" w:rsidRPr="006C13FF" w:rsidRDefault="008D74AE" w:rsidP="00C048A4">
      <w:pPr>
        <w:pStyle w:val="Heading1"/>
      </w:pPr>
      <w:r>
        <w:rPr>
          <w:szCs w:val="22"/>
        </w:rPr>
        <w:t>Key points</w:t>
      </w:r>
    </w:p>
    <w:p w:rsidR="00CC77DC" w:rsidRDefault="0044764D" w:rsidP="008D74AE">
      <w:pPr>
        <w:pStyle w:val="Bullet"/>
      </w:pPr>
      <w:r>
        <w:t xml:space="preserve">On 2 December 2018 you agreed to the preparation of a supplementary order paper (SOP) to delete </w:t>
      </w:r>
      <w:r w:rsidR="00CC77DC">
        <w:t xml:space="preserve">clauses in the Health Practitioners Competence Assurance Amendment Bill (the Bill) relating to a </w:t>
      </w:r>
      <w:r>
        <w:t xml:space="preserve">proposed </w:t>
      </w:r>
      <w:r w:rsidR="00CC77DC">
        <w:t xml:space="preserve">amendment to </w:t>
      </w:r>
      <w:r>
        <w:t xml:space="preserve">section 80 of the </w:t>
      </w:r>
      <w:r w:rsidR="00CC77DC">
        <w:t xml:space="preserve">Health Practitioners Competence Assurance Act 2003 (the Act) </w:t>
      </w:r>
      <w:r w:rsidR="00FC227E">
        <w:t>and</w:t>
      </w:r>
      <w:r>
        <w:t xml:space="preserve"> revert to the existing provisions of the </w:t>
      </w:r>
      <w:r w:rsidR="00CC77DC">
        <w:t>Act</w:t>
      </w:r>
      <w:r w:rsidR="00CC77DC" w:rsidRPr="00CC77DC">
        <w:t xml:space="preserve"> </w:t>
      </w:r>
      <w:r w:rsidR="00CC77DC">
        <w:t>[HR 20182560 refers].</w:t>
      </w:r>
    </w:p>
    <w:p w:rsidR="008D74AE" w:rsidRDefault="00CC77DC" w:rsidP="008D74AE">
      <w:pPr>
        <w:pStyle w:val="Bullet"/>
      </w:pPr>
      <w:r>
        <w:t>The existing provisions</w:t>
      </w:r>
      <w:r w:rsidR="0044764D">
        <w:t xml:space="preserve"> </w:t>
      </w:r>
      <w:r>
        <w:t xml:space="preserve">of section 80 </w:t>
      </w:r>
      <w:r w:rsidR="00FF24A9">
        <w:t>enable</w:t>
      </w:r>
      <w:r w:rsidR="0044764D">
        <w:t xml:space="preserve"> a professional conduct committee </w:t>
      </w:r>
      <w:r w:rsidR="00FF24A9">
        <w:t>(PCC) to</w:t>
      </w:r>
      <w:r w:rsidR="0044764D">
        <w:t xml:space="preserve"> recommend the review of a practitioner’s scope of practice. </w:t>
      </w:r>
    </w:p>
    <w:p w:rsidR="00FF24A9" w:rsidRPr="00BA35D2" w:rsidRDefault="00CC77DC" w:rsidP="008D74AE">
      <w:pPr>
        <w:pStyle w:val="Bullet"/>
        <w:rPr>
          <w:rFonts w:cs="Arial"/>
          <w:szCs w:val="22"/>
        </w:rPr>
      </w:pPr>
      <w:r>
        <w:rPr>
          <w:rFonts w:cs="Arial"/>
          <w:color w:val="000000"/>
          <w:szCs w:val="22"/>
          <w:lang w:eastAsia="en-NZ"/>
        </w:rPr>
        <w:t>The p</w:t>
      </w:r>
      <w:r w:rsidR="00FF24A9" w:rsidRPr="00BA35D2">
        <w:rPr>
          <w:rFonts w:cs="Arial"/>
          <w:color w:val="000000"/>
          <w:szCs w:val="22"/>
          <w:lang w:eastAsia="en-NZ"/>
        </w:rPr>
        <w:t xml:space="preserve">roposed </w:t>
      </w:r>
      <w:r>
        <w:rPr>
          <w:rFonts w:cs="Arial"/>
          <w:color w:val="000000"/>
          <w:szCs w:val="22"/>
          <w:lang w:eastAsia="en-NZ"/>
        </w:rPr>
        <w:t xml:space="preserve">amendment in the current Bill </w:t>
      </w:r>
      <w:r w:rsidR="00FF24A9" w:rsidRPr="00BA35D2">
        <w:rPr>
          <w:rFonts w:cs="Arial"/>
          <w:color w:val="000000"/>
          <w:szCs w:val="22"/>
          <w:lang w:eastAsia="en-NZ"/>
        </w:rPr>
        <w:t xml:space="preserve">would enable a PCC to </w:t>
      </w:r>
      <w:r w:rsidR="00FF24A9" w:rsidRPr="00BA35D2">
        <w:rPr>
          <w:rFonts w:cs="Arial"/>
          <w:szCs w:val="22"/>
        </w:rPr>
        <w:t>make a determination that places one or more conditions on a practitioner’s scope of practice.</w:t>
      </w:r>
      <w:r w:rsidR="00FF24A9" w:rsidRPr="00BA35D2">
        <w:rPr>
          <w:rFonts w:cs="Arial"/>
          <w:color w:val="000000"/>
          <w:szCs w:val="22"/>
          <w:lang w:eastAsia="en-NZ"/>
        </w:rPr>
        <w:t xml:space="preserve"> </w:t>
      </w:r>
      <w:r>
        <w:rPr>
          <w:rFonts w:cs="Arial"/>
          <w:color w:val="000000"/>
          <w:szCs w:val="22"/>
          <w:lang w:eastAsia="en-NZ"/>
        </w:rPr>
        <w:t>The proposed amendment</w:t>
      </w:r>
      <w:r w:rsidR="00FF24A9" w:rsidRPr="00BA35D2">
        <w:rPr>
          <w:rFonts w:cs="Arial"/>
          <w:color w:val="000000"/>
          <w:szCs w:val="22"/>
          <w:lang w:eastAsia="en-NZ"/>
        </w:rPr>
        <w:t xml:space="preserve"> was introduced at the Select Committee stage. </w:t>
      </w:r>
    </w:p>
    <w:p w:rsidR="00CC77DC" w:rsidRPr="00CC77DC" w:rsidRDefault="00F12EE6" w:rsidP="00A948D5">
      <w:pPr>
        <w:pStyle w:val="Bullet"/>
        <w:rPr>
          <w:rFonts w:ascii="Calibri" w:hAnsi="Calibri" w:cs="Calibri"/>
          <w:szCs w:val="22"/>
          <w:lang w:eastAsia="en-NZ"/>
        </w:rPr>
      </w:pPr>
      <w:r>
        <w:t>Due to</w:t>
      </w:r>
      <w:r w:rsidR="00A948D5">
        <w:t xml:space="preserve"> concerns around the role of PCCs, their ability to determine conditions to be placed on scopes of practice and possible costs relating to appeal processes</w:t>
      </w:r>
      <w:r>
        <w:t>, you agreed to remove the proposed amendment</w:t>
      </w:r>
      <w:r w:rsidR="001E18EB">
        <w:t xml:space="preserve"> and revert to the existing provisions of section 80</w:t>
      </w:r>
      <w:r w:rsidR="00A948D5">
        <w:t>.</w:t>
      </w:r>
      <w:r w:rsidR="00CC77DC">
        <w:t xml:space="preserve"> </w:t>
      </w:r>
    </w:p>
    <w:p w:rsidR="00F12EE6" w:rsidRDefault="00F12EE6" w:rsidP="00F12EE6">
      <w:pPr>
        <w:pStyle w:val="Bullet"/>
        <w:rPr>
          <w:lang w:eastAsia="en-NZ"/>
        </w:rPr>
      </w:pPr>
      <w:r>
        <w:rPr>
          <w:lang w:eastAsia="en-NZ"/>
        </w:rPr>
        <w:t xml:space="preserve">The SOP also makes a technical amendment to enable the Director-General of Health to publish in the </w:t>
      </w:r>
      <w:r>
        <w:rPr>
          <w:i/>
          <w:lang w:eastAsia="en-NZ"/>
        </w:rPr>
        <w:t>New Zealand Gazette</w:t>
      </w:r>
      <w:r>
        <w:rPr>
          <w:lang w:eastAsia="en-NZ"/>
        </w:rPr>
        <w:t xml:space="preserve"> a consolidated list of all responsible authorities and the health professions for which they are appointed. </w:t>
      </w:r>
    </w:p>
    <w:p w:rsidR="00CC77DC" w:rsidRPr="00CC77DC" w:rsidRDefault="00F12EE6" w:rsidP="001945BD">
      <w:pPr>
        <w:pStyle w:val="Bullet"/>
        <w:rPr>
          <w:rFonts w:ascii="Calibri" w:hAnsi="Calibri" w:cs="Calibri"/>
          <w:szCs w:val="22"/>
          <w:lang w:eastAsia="en-NZ"/>
        </w:rPr>
      </w:pPr>
      <w:r>
        <w:t>P</w:t>
      </w:r>
      <w:r w:rsidR="00CC77DC">
        <w:t xml:space="preserve">olicy approval from </w:t>
      </w:r>
      <w:r>
        <w:t xml:space="preserve">the </w:t>
      </w:r>
      <w:r w:rsidR="00CC77DC">
        <w:t xml:space="preserve">Cabinet </w:t>
      </w:r>
      <w:r>
        <w:t xml:space="preserve">Social Wellbeing Committee </w:t>
      </w:r>
      <w:r w:rsidR="001E18EB">
        <w:t xml:space="preserve">for these amendments </w:t>
      </w:r>
      <w:r w:rsidR="00CC77DC">
        <w:t>was not necessary as the amendments are technical in nature.</w:t>
      </w:r>
      <w:r>
        <w:t xml:space="preserve"> However the SOP needs to be taken to LEG for approval.</w:t>
      </w:r>
    </w:p>
    <w:p w:rsidR="008D74AE" w:rsidRDefault="0044764D" w:rsidP="008D74AE">
      <w:pPr>
        <w:pStyle w:val="Bullet"/>
      </w:pPr>
      <w:r>
        <w:t>Once Cabinet agrees, the SOP can be considered at the Committee of the Whole House stage</w:t>
      </w:r>
      <w:r w:rsidR="008D74AE" w:rsidRPr="007462E0">
        <w:t>.</w:t>
      </w:r>
    </w:p>
    <w:p w:rsidR="001E18EB" w:rsidRPr="007462E0" w:rsidRDefault="001E18EB" w:rsidP="008D74AE">
      <w:pPr>
        <w:pStyle w:val="Bullet"/>
      </w:pPr>
      <w:r>
        <w:t>Talking points are attached.</w:t>
      </w:r>
    </w:p>
    <w:p w:rsidR="0048132E" w:rsidRDefault="0048132E" w:rsidP="00D35C49"/>
    <w:p w:rsidR="00CC77DC" w:rsidRDefault="00CC77DC">
      <w:pPr>
        <w:rPr>
          <w:rFonts w:cs="Arial"/>
          <w:b/>
          <w:bCs/>
          <w:sz w:val="28"/>
          <w:szCs w:val="28"/>
        </w:rPr>
      </w:pPr>
      <w:r>
        <w:br w:type="page"/>
      </w:r>
    </w:p>
    <w:p w:rsidR="00145EB3" w:rsidRPr="006C13FF" w:rsidRDefault="00145EB3" w:rsidP="009F31B0">
      <w:pPr>
        <w:pStyle w:val="Heading1"/>
        <w:spacing w:after="240"/>
      </w:pPr>
      <w:r w:rsidRPr="006C13FF">
        <w:lastRenderedPageBreak/>
        <w:t>Recommendations</w:t>
      </w:r>
    </w:p>
    <w:p w:rsidR="00145EB3" w:rsidRPr="006C13FF" w:rsidRDefault="00145EB3" w:rsidP="00145EB3">
      <w:pPr>
        <w:spacing w:after="120"/>
        <w:rPr>
          <w:rFonts w:cs="Arial"/>
          <w:b/>
          <w:szCs w:val="22"/>
        </w:rPr>
      </w:pPr>
      <w:r w:rsidRPr="006C13FF">
        <w:rPr>
          <w:rFonts w:cs="Arial"/>
          <w:b/>
          <w:szCs w:val="22"/>
        </w:rPr>
        <w:t>The Ministry recommends that you:</w:t>
      </w:r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551"/>
        <w:gridCol w:w="8195"/>
        <w:gridCol w:w="1349"/>
      </w:tblGrid>
      <w:tr w:rsidR="00145EB3" w:rsidRPr="006C13FF" w:rsidTr="002348FF">
        <w:trPr>
          <w:cantSplit/>
        </w:trPr>
        <w:tc>
          <w:tcPr>
            <w:tcW w:w="273" w:type="pct"/>
          </w:tcPr>
          <w:p w:rsidR="00145EB3" w:rsidRPr="006C13FF" w:rsidRDefault="00145EB3" w:rsidP="002348FF">
            <w:pPr>
              <w:rPr>
                <w:rFonts w:cs="Arial"/>
              </w:rPr>
            </w:pPr>
            <w:r w:rsidRPr="006C13FF">
              <w:rPr>
                <w:rFonts w:cs="Arial"/>
              </w:rPr>
              <w:t>a)</w:t>
            </w:r>
          </w:p>
        </w:tc>
        <w:tc>
          <w:tcPr>
            <w:tcW w:w="4059" w:type="pct"/>
          </w:tcPr>
          <w:p w:rsidR="00145EB3" w:rsidRPr="006C13FF" w:rsidRDefault="00CE5E1F" w:rsidP="00142A34">
            <w:pPr>
              <w:spacing w:after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Invite </w:t>
            </w:r>
            <w:r w:rsidRPr="00CE5E1F">
              <w:rPr>
                <w:rFonts w:cs="Arial"/>
              </w:rPr>
              <w:t xml:space="preserve">the </w:t>
            </w:r>
            <w:r w:rsidR="00151B39" w:rsidRPr="00CE5E1F">
              <w:rPr>
                <w:rFonts w:cs="Arial"/>
              </w:rPr>
              <w:t>Ministry</w:t>
            </w:r>
            <w:r w:rsidRPr="00CE5E1F">
              <w:rPr>
                <w:rFonts w:cs="Arial"/>
              </w:rPr>
              <w:t xml:space="preserve"> to lodge the paper with Cabinet </w:t>
            </w:r>
            <w:r w:rsidRPr="00FC227E">
              <w:rPr>
                <w:rFonts w:cs="Arial"/>
              </w:rPr>
              <w:t xml:space="preserve">Office by </w:t>
            </w:r>
            <w:r w:rsidR="00FC227E" w:rsidRPr="00FC227E">
              <w:rPr>
                <w:rFonts w:cs="Arial"/>
              </w:rPr>
              <w:t>Thurs</w:t>
            </w:r>
            <w:r w:rsidRPr="00FC227E">
              <w:rPr>
                <w:rFonts w:cs="Arial"/>
              </w:rPr>
              <w:t>day 7</w:t>
            </w:r>
            <w:r w:rsidRPr="00CE5E1F">
              <w:rPr>
                <w:rFonts w:cs="Arial"/>
              </w:rPr>
              <w:t xml:space="preserve"> February 201</w:t>
            </w:r>
            <w:r w:rsidR="00142A34">
              <w:rPr>
                <w:rFonts w:cs="Arial"/>
              </w:rPr>
              <w:t>9</w:t>
            </w:r>
          </w:p>
        </w:tc>
        <w:tc>
          <w:tcPr>
            <w:tcW w:w="668" w:type="pct"/>
          </w:tcPr>
          <w:p w:rsidR="00145EB3" w:rsidRPr="006C13FF" w:rsidRDefault="00193238" w:rsidP="002348FF">
            <w:pPr>
              <w:jc w:val="right"/>
              <w:rPr>
                <w:rFonts w:cs="Arial"/>
                <w:b/>
              </w:rPr>
            </w:pPr>
            <w:r w:rsidRPr="006C13FF">
              <w:rPr>
                <w:rFonts w:cs="Arial"/>
                <w:b/>
              </w:rPr>
              <w:t>Yes/No</w:t>
            </w:r>
          </w:p>
        </w:tc>
      </w:tr>
    </w:tbl>
    <w:p w:rsidR="00C96480" w:rsidRPr="006C13FF" w:rsidRDefault="00C96480" w:rsidP="00145EB3">
      <w:pPr>
        <w:rPr>
          <w:rFonts w:cs="Arial"/>
        </w:rPr>
      </w:pPr>
    </w:p>
    <w:p w:rsidR="00145EB3" w:rsidRPr="006C13FF" w:rsidRDefault="00145EB3" w:rsidP="00145EB3">
      <w:pPr>
        <w:rPr>
          <w:rFonts w:cs="Arial"/>
        </w:rPr>
      </w:pPr>
    </w:p>
    <w:p w:rsidR="00145EB3" w:rsidRPr="006C13FF" w:rsidRDefault="00145EB3" w:rsidP="00145EB3">
      <w:pPr>
        <w:rPr>
          <w:rFonts w:cs="Arial"/>
        </w:rPr>
      </w:pPr>
    </w:p>
    <w:p w:rsidR="00145EB3" w:rsidRPr="006C13FF" w:rsidRDefault="00145EB3" w:rsidP="00145EB3">
      <w:pPr>
        <w:rPr>
          <w:rFonts w:cs="Arial"/>
        </w:rPr>
      </w:pPr>
    </w:p>
    <w:p w:rsidR="00145EB3" w:rsidRPr="00C75E02" w:rsidRDefault="0044764D" w:rsidP="009F31B0">
      <w:pPr>
        <w:tabs>
          <w:tab w:val="left" w:pos="4395"/>
        </w:tabs>
        <w:rPr>
          <w:rFonts w:cs="Arial"/>
          <w:szCs w:val="22"/>
        </w:rPr>
      </w:pPr>
      <w:r>
        <w:rPr>
          <w:rFonts w:cs="Arial"/>
          <w:noProof/>
          <w:szCs w:val="22"/>
        </w:rPr>
        <w:t>Helen Wood</w:t>
      </w:r>
      <w:r w:rsidR="00145EB3" w:rsidRPr="00C75E02">
        <w:rPr>
          <w:rFonts w:cs="Arial"/>
          <w:szCs w:val="22"/>
        </w:rPr>
        <w:tab/>
      </w:r>
      <w:r w:rsidR="00145EB3" w:rsidRPr="00C75E02">
        <w:rPr>
          <w:rFonts w:cs="Arial"/>
          <w:b/>
          <w:szCs w:val="22"/>
        </w:rPr>
        <w:t>Minister</w:t>
      </w:r>
      <w:r w:rsidR="009F31B0">
        <w:rPr>
          <w:rFonts w:cs="Arial"/>
          <w:b/>
          <w:szCs w:val="22"/>
        </w:rPr>
        <w:t>’</w:t>
      </w:r>
      <w:r w:rsidR="00145EB3" w:rsidRPr="00C75E02">
        <w:rPr>
          <w:rFonts w:cs="Arial"/>
          <w:b/>
          <w:szCs w:val="22"/>
        </w:rPr>
        <w:t xml:space="preserve">s </w:t>
      </w:r>
      <w:r w:rsidR="008D74AE">
        <w:rPr>
          <w:rFonts w:cs="Arial"/>
          <w:b/>
          <w:szCs w:val="22"/>
        </w:rPr>
        <w:t>signature</w:t>
      </w:r>
      <w:r w:rsidR="00AB5FCA" w:rsidRPr="00C75E02">
        <w:rPr>
          <w:rFonts w:cs="Arial"/>
          <w:b/>
          <w:szCs w:val="22"/>
        </w:rPr>
        <w:t>:</w:t>
      </w:r>
    </w:p>
    <w:p w:rsidR="0044764D" w:rsidRDefault="0044764D" w:rsidP="009F31B0">
      <w:pPr>
        <w:tabs>
          <w:tab w:val="left" w:pos="4395"/>
        </w:tabs>
        <w:rPr>
          <w:rFonts w:cs="Arial"/>
          <w:szCs w:val="22"/>
        </w:rPr>
      </w:pPr>
      <w:r>
        <w:rPr>
          <w:rFonts w:cs="Arial"/>
          <w:szCs w:val="22"/>
        </w:rPr>
        <w:t>Acting Deputy Director-General</w:t>
      </w:r>
    </w:p>
    <w:p w:rsidR="00145EB3" w:rsidRPr="0044764D" w:rsidRDefault="0044764D" w:rsidP="009F31B0">
      <w:pPr>
        <w:tabs>
          <w:tab w:val="left" w:pos="4395"/>
        </w:tabs>
        <w:rPr>
          <w:rFonts w:cs="Arial"/>
          <w:b/>
          <w:szCs w:val="22"/>
        </w:rPr>
      </w:pPr>
      <w:r w:rsidRPr="0044764D">
        <w:rPr>
          <w:rFonts w:cs="Arial"/>
          <w:b/>
          <w:szCs w:val="22"/>
        </w:rPr>
        <w:t>Health Workforce Directorate</w:t>
      </w:r>
    </w:p>
    <w:p w:rsidR="00145EB3" w:rsidRPr="00C75E02" w:rsidRDefault="00145EB3" w:rsidP="009F31B0">
      <w:pPr>
        <w:tabs>
          <w:tab w:val="left" w:pos="4395"/>
        </w:tabs>
        <w:rPr>
          <w:rFonts w:cs="Arial"/>
          <w:b/>
          <w:szCs w:val="22"/>
        </w:rPr>
      </w:pPr>
      <w:r w:rsidRPr="00C75E02">
        <w:rPr>
          <w:rFonts w:cs="Arial"/>
          <w:b/>
          <w:szCs w:val="22"/>
        </w:rPr>
        <w:tab/>
        <w:t>Date:</w:t>
      </w:r>
    </w:p>
    <w:p w:rsidR="004A6383" w:rsidRDefault="004A6383" w:rsidP="00AB5FCA">
      <w:pPr>
        <w:rPr>
          <w:rFonts w:cs="Arial"/>
          <w:szCs w:val="22"/>
        </w:rPr>
      </w:pPr>
    </w:p>
    <w:p w:rsidR="008D74AE" w:rsidRDefault="008D74AE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8D74AE" w:rsidRPr="007462E0" w:rsidRDefault="00CE5E1F" w:rsidP="008D74AE">
      <w:pPr>
        <w:pStyle w:val="Title"/>
        <w:rPr>
          <w:rFonts w:cs="Arial"/>
          <w:b w:val="0"/>
          <w:sz w:val="22"/>
          <w:szCs w:val="22"/>
        </w:rPr>
      </w:pPr>
      <w:r>
        <w:rPr>
          <w:rFonts w:cs="Arial"/>
        </w:rPr>
        <w:lastRenderedPageBreak/>
        <w:t>Talking Points</w:t>
      </w:r>
    </w:p>
    <w:p w:rsidR="008D74AE" w:rsidRPr="00D92A57" w:rsidRDefault="00CE5E1F" w:rsidP="00675FA4">
      <w:pPr>
        <w:pStyle w:val="Number"/>
        <w:ind w:left="426" w:hanging="426"/>
      </w:pPr>
      <w:r>
        <w:t>One of the amendments in the Health Practitioners Competence Assurance Amendment Bill was to give power for a professional conduct committee (PCC) to make a determination that adds one or more conditions to a practitioner’s scope of practice.</w:t>
      </w:r>
    </w:p>
    <w:p w:rsidR="00CC77DC" w:rsidRPr="00CC77DC" w:rsidRDefault="00CE5E1F" w:rsidP="00675FA4">
      <w:pPr>
        <w:pStyle w:val="Number"/>
        <w:ind w:left="426" w:hanging="426"/>
        <w:rPr>
          <w:rFonts w:ascii="Calibri" w:hAnsi="Calibri" w:cs="Calibri"/>
          <w:szCs w:val="22"/>
          <w:lang w:eastAsia="en-NZ"/>
        </w:rPr>
      </w:pPr>
      <w:r w:rsidRPr="00CC77DC">
        <w:t>I propose removing this amendment as</w:t>
      </w:r>
      <w:r w:rsidR="00CC77DC" w:rsidRPr="00CC77DC">
        <w:t xml:space="preserve"> </w:t>
      </w:r>
      <w:r w:rsidR="00CC77DC">
        <w:t xml:space="preserve">I have concerns whether it is </w:t>
      </w:r>
      <w:r w:rsidR="00CC77DC" w:rsidRPr="00CC77DC">
        <w:t xml:space="preserve">the role of PCCs to determine conditions to be placed on </w:t>
      </w:r>
      <w:r w:rsidR="00CC77DC">
        <w:t xml:space="preserve">health practitioners’ </w:t>
      </w:r>
      <w:r w:rsidR="00CC77DC" w:rsidRPr="00CC77DC">
        <w:t>scopes of practice</w:t>
      </w:r>
      <w:r w:rsidR="00CC77DC">
        <w:t>. I consider this role sits better with the responsible authorities and the Health Practitioners Disciplinary Tribunal. I am also concerned about</w:t>
      </w:r>
      <w:r w:rsidR="00CC77DC" w:rsidRPr="00CC77DC">
        <w:t xml:space="preserve"> possible costs relating to </w:t>
      </w:r>
      <w:r w:rsidR="00CC77DC">
        <w:t xml:space="preserve">associated </w:t>
      </w:r>
      <w:r w:rsidR="00CC77DC" w:rsidRPr="00CC77DC">
        <w:t xml:space="preserve">appeal processes. </w:t>
      </w:r>
    </w:p>
    <w:p w:rsidR="00CC77DC" w:rsidRPr="00CC77DC" w:rsidRDefault="00CC77DC" w:rsidP="00675FA4">
      <w:pPr>
        <w:pStyle w:val="Number"/>
        <w:ind w:left="426" w:hanging="426"/>
        <w:rPr>
          <w:rFonts w:ascii="Calibri" w:hAnsi="Calibri" w:cs="Calibri"/>
          <w:szCs w:val="22"/>
          <w:lang w:eastAsia="en-NZ"/>
        </w:rPr>
      </w:pPr>
      <w:r>
        <w:t>I consider that the status quo, whereby PCCs can recommend a review of a health practitioner’s scope of practice, is working well and does not need to change.</w:t>
      </w:r>
    </w:p>
    <w:p w:rsidR="00CE5E1F" w:rsidRDefault="00CE5E1F" w:rsidP="00675FA4">
      <w:pPr>
        <w:pStyle w:val="Number"/>
        <w:ind w:left="426" w:hanging="426"/>
      </w:pPr>
      <w:r>
        <w:t>The amendment</w:t>
      </w:r>
      <w:r w:rsidR="00CC77DC">
        <w:t xml:space="preserve"> arose during submissions made at the Select Committee stage. Removing the amendment</w:t>
      </w:r>
      <w:r>
        <w:t xml:space="preserve"> do</w:t>
      </w:r>
      <w:r w:rsidR="00CC77DC">
        <w:t>es</w:t>
      </w:r>
      <w:r>
        <w:t xml:space="preserve"> not represent a change in the policy agreed by Cabinet.</w:t>
      </w:r>
    </w:p>
    <w:p w:rsidR="008D74AE" w:rsidRPr="00D92A57" w:rsidRDefault="00CE5E1F" w:rsidP="00675FA4">
      <w:pPr>
        <w:pStyle w:val="Number"/>
        <w:ind w:left="426" w:hanging="426"/>
      </w:pPr>
      <w:r>
        <w:t xml:space="preserve">I also propose a technical amendment that </w:t>
      </w:r>
      <w:r w:rsidR="00F12EE6">
        <w:t>enables</w:t>
      </w:r>
      <w:r>
        <w:rPr>
          <w:lang w:eastAsia="en-NZ"/>
        </w:rPr>
        <w:t xml:space="preserve">, for ease of reference, </w:t>
      </w:r>
      <w:r w:rsidR="00F12EE6">
        <w:rPr>
          <w:lang w:eastAsia="en-NZ"/>
        </w:rPr>
        <w:t xml:space="preserve">the publication </w:t>
      </w:r>
      <w:r w:rsidR="00F12EE6">
        <w:t xml:space="preserve">in the </w:t>
      </w:r>
      <w:r w:rsidR="00F12EE6" w:rsidRPr="00F12EE6">
        <w:rPr>
          <w:i/>
        </w:rPr>
        <w:t>New Zealand Gazette</w:t>
      </w:r>
      <w:r w:rsidR="00F12EE6">
        <w:rPr>
          <w:lang w:eastAsia="en-NZ"/>
        </w:rPr>
        <w:t xml:space="preserve"> of </w:t>
      </w:r>
      <w:r>
        <w:rPr>
          <w:lang w:eastAsia="en-NZ"/>
        </w:rPr>
        <w:t>a consolidated list of all responsible authorities and the health professions for which they are appointed</w:t>
      </w:r>
      <w:r w:rsidR="00F12EE6">
        <w:t>.</w:t>
      </w:r>
    </w:p>
    <w:p w:rsidR="00DB77DB" w:rsidRDefault="00DB77DB" w:rsidP="00DB77DB">
      <w:pPr>
        <w:pStyle w:val="Heading1"/>
        <w:rPr>
          <w:noProof/>
        </w:rPr>
      </w:pPr>
      <w:r>
        <w:t xml:space="preserve">Proactive </w:t>
      </w:r>
      <w:r>
        <w:rPr>
          <w:noProof/>
        </w:rPr>
        <w:t>Release</w:t>
      </w:r>
    </w:p>
    <w:p w:rsidR="00DB77DB" w:rsidRPr="002D7E18" w:rsidRDefault="00DB77DB" w:rsidP="00E43C3F">
      <w:pPr>
        <w:pStyle w:val="Number"/>
      </w:pPr>
      <w:r w:rsidRPr="00DB77DB">
        <w:t xml:space="preserve">The Ministry </w:t>
      </w:r>
      <w:r w:rsidR="00675FA4">
        <w:t xml:space="preserve">of Health </w:t>
      </w:r>
      <w:r w:rsidRPr="00DB77DB">
        <w:t>intends to publish this health report under its proactive release policy</w:t>
      </w:r>
      <w:r w:rsidR="00CE5E1F">
        <w:t>.</w:t>
      </w:r>
    </w:p>
    <w:p w:rsidR="008D74AE" w:rsidRPr="007462E0" w:rsidRDefault="008D74AE" w:rsidP="008564F6"/>
    <w:p w:rsidR="008D74AE" w:rsidRPr="007462E0" w:rsidRDefault="008D74AE" w:rsidP="008D74AE">
      <w:pPr>
        <w:rPr>
          <w:rFonts w:cs="Arial"/>
          <w:b/>
          <w:szCs w:val="22"/>
        </w:rPr>
      </w:pPr>
      <w:r w:rsidRPr="007462E0">
        <w:rPr>
          <w:rFonts w:cs="Arial"/>
          <w:b/>
          <w:szCs w:val="22"/>
        </w:rPr>
        <w:t>END.</w:t>
      </w:r>
    </w:p>
    <w:p w:rsidR="008D74AE" w:rsidRPr="00C75E02" w:rsidRDefault="008D74AE" w:rsidP="008564F6"/>
    <w:sectPr w:rsidR="008D74AE" w:rsidRPr="00C75E02" w:rsidSect="001146FC">
      <w:footerReference w:type="default" r:id="rId12"/>
      <w:type w:val="continuous"/>
      <w:pgSz w:w="11907" w:h="16840" w:code="9"/>
      <w:pgMar w:top="851" w:right="851" w:bottom="851" w:left="851" w:header="425" w:footer="42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EC" w:rsidRDefault="00C33BEC">
      <w:r>
        <w:separator/>
      </w:r>
    </w:p>
  </w:endnote>
  <w:endnote w:type="continuationSeparator" w:id="0">
    <w:p w:rsidR="00C33BEC" w:rsidRDefault="00C3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6379"/>
      <w:gridCol w:w="2728"/>
    </w:tblGrid>
    <w:tr w:rsidR="00D35C49" w:rsidRPr="00D62FB7" w:rsidTr="000C0250">
      <w:trPr>
        <w:cantSplit/>
      </w:trPr>
      <w:tc>
        <w:tcPr>
          <w:tcW w:w="1134" w:type="dxa"/>
          <w:vMerge w:val="restart"/>
          <w:shd w:val="clear" w:color="auto" w:fill="auto"/>
        </w:tcPr>
        <w:p w:rsidR="00D35C49" w:rsidRPr="000C0250" w:rsidRDefault="00D35C49" w:rsidP="000C0250">
          <w:pPr>
            <w:pStyle w:val="TableText"/>
            <w:spacing w:before="60" w:after="60"/>
            <w:rPr>
              <w:sz w:val="20"/>
              <w:szCs w:val="20"/>
            </w:rPr>
          </w:pPr>
          <w:r w:rsidRPr="000C0250">
            <w:rPr>
              <w:sz w:val="20"/>
              <w:szCs w:val="20"/>
            </w:rPr>
            <w:t>Contacts:</w:t>
          </w:r>
        </w:p>
      </w:tc>
      <w:tc>
        <w:tcPr>
          <w:tcW w:w="6379" w:type="dxa"/>
          <w:shd w:val="clear" w:color="auto" w:fill="auto"/>
        </w:tcPr>
        <w:p w:rsidR="00D35C49" w:rsidRPr="000C0250" w:rsidRDefault="0044764D" w:rsidP="000C0250">
          <w:pPr>
            <w:pStyle w:val="TableText"/>
            <w:spacing w:before="60" w:after="60"/>
            <w:rPr>
              <w:sz w:val="20"/>
              <w:szCs w:val="20"/>
            </w:rPr>
          </w:pPr>
          <w:r w:rsidRPr="000C0250">
            <w:rPr>
              <w:sz w:val="20"/>
              <w:szCs w:val="20"/>
            </w:rPr>
            <w:t>Helen Wood, Acting Deputy Director-General, Health Workforce Directorate</w:t>
          </w:r>
        </w:p>
      </w:tc>
      <w:tc>
        <w:tcPr>
          <w:tcW w:w="2728" w:type="dxa"/>
          <w:shd w:val="clear" w:color="auto" w:fill="auto"/>
        </w:tcPr>
        <w:p w:rsidR="00D35C49" w:rsidRPr="000C0250" w:rsidRDefault="0044764D" w:rsidP="000C0250">
          <w:pPr>
            <w:pStyle w:val="TableText"/>
            <w:spacing w:before="60" w:after="60"/>
            <w:rPr>
              <w:rFonts w:cs="Arial"/>
              <w:sz w:val="20"/>
              <w:szCs w:val="20"/>
            </w:rPr>
          </w:pPr>
          <w:r w:rsidRPr="000C0250">
            <w:rPr>
              <w:rFonts w:cs="Arial"/>
              <w:sz w:val="20"/>
              <w:szCs w:val="20"/>
            </w:rPr>
            <w:t>021 839 078</w:t>
          </w:r>
        </w:p>
      </w:tc>
    </w:tr>
    <w:tr w:rsidR="00D35C49" w:rsidRPr="00D62FB7" w:rsidTr="000C0250">
      <w:trPr>
        <w:cantSplit/>
      </w:trPr>
      <w:tc>
        <w:tcPr>
          <w:tcW w:w="1134" w:type="dxa"/>
          <w:vMerge/>
          <w:shd w:val="clear" w:color="auto" w:fill="auto"/>
        </w:tcPr>
        <w:p w:rsidR="00D35C49" w:rsidRPr="000C0250" w:rsidRDefault="00D35C49" w:rsidP="000C0250">
          <w:pPr>
            <w:pStyle w:val="TableText"/>
            <w:spacing w:before="60" w:after="60"/>
            <w:rPr>
              <w:sz w:val="20"/>
              <w:szCs w:val="20"/>
            </w:rPr>
          </w:pPr>
        </w:p>
      </w:tc>
      <w:tc>
        <w:tcPr>
          <w:tcW w:w="6379" w:type="dxa"/>
          <w:shd w:val="clear" w:color="auto" w:fill="auto"/>
        </w:tcPr>
        <w:p w:rsidR="00D35C49" w:rsidRPr="000C0250" w:rsidRDefault="0044764D" w:rsidP="000C0250">
          <w:pPr>
            <w:pStyle w:val="TableText"/>
            <w:spacing w:before="60" w:after="60"/>
            <w:rPr>
              <w:sz w:val="20"/>
              <w:szCs w:val="20"/>
            </w:rPr>
          </w:pPr>
          <w:r w:rsidRPr="000C0250">
            <w:rPr>
              <w:sz w:val="20"/>
              <w:szCs w:val="20"/>
            </w:rPr>
            <w:t>Claire Austin, Group Manager, Health Workforce Directorate</w:t>
          </w:r>
        </w:p>
      </w:tc>
      <w:tc>
        <w:tcPr>
          <w:tcW w:w="2728" w:type="dxa"/>
          <w:shd w:val="clear" w:color="auto" w:fill="auto"/>
        </w:tcPr>
        <w:p w:rsidR="00D35C49" w:rsidRPr="000C0250" w:rsidRDefault="0044764D" w:rsidP="000C0250">
          <w:pPr>
            <w:pStyle w:val="TableText"/>
            <w:spacing w:before="60" w:after="60"/>
            <w:rPr>
              <w:sz w:val="20"/>
              <w:szCs w:val="20"/>
            </w:rPr>
          </w:pPr>
          <w:r w:rsidRPr="000C0250">
            <w:rPr>
              <w:sz w:val="20"/>
              <w:szCs w:val="20"/>
            </w:rPr>
            <w:t>021 820 154</w:t>
          </w:r>
        </w:p>
      </w:tc>
    </w:tr>
  </w:tbl>
  <w:p w:rsidR="00D35C49" w:rsidRPr="00D35C49" w:rsidRDefault="00D35C49">
    <w:pPr>
      <w:rPr>
        <w:sz w:val="12"/>
        <w:szCs w:val="12"/>
      </w:rPr>
    </w:pPr>
  </w:p>
  <w:p w:rsidR="004207C3" w:rsidRPr="008F4A4E" w:rsidRDefault="004207C3" w:rsidP="00244DCC">
    <w:pPr>
      <w:pStyle w:val="Footer"/>
      <w:rPr>
        <w:rFonts w:cs="Arial"/>
      </w:rPr>
    </w:pPr>
    <w:r w:rsidRPr="008F4A4E">
      <w:rPr>
        <w:rFonts w:cs="Arial"/>
      </w:rPr>
      <w:t xml:space="preserve">Page </w:t>
    </w:r>
    <w:r w:rsidRPr="008F4A4E">
      <w:rPr>
        <w:rFonts w:cs="Arial"/>
      </w:rPr>
      <w:fldChar w:fldCharType="begin"/>
    </w:r>
    <w:r w:rsidRPr="008F4A4E">
      <w:rPr>
        <w:rFonts w:cs="Arial"/>
      </w:rPr>
      <w:instrText xml:space="preserve"> PAGE </w:instrText>
    </w:r>
    <w:r w:rsidRPr="008F4A4E">
      <w:rPr>
        <w:rFonts w:cs="Arial"/>
      </w:rPr>
      <w:fldChar w:fldCharType="separate"/>
    </w:r>
    <w:r w:rsidR="00824BBC">
      <w:rPr>
        <w:rFonts w:cs="Arial"/>
        <w:noProof/>
      </w:rPr>
      <w:t>2</w:t>
    </w:r>
    <w:r w:rsidRPr="008F4A4E">
      <w:rPr>
        <w:rFonts w:cs="Arial"/>
      </w:rPr>
      <w:fldChar w:fldCharType="end"/>
    </w:r>
    <w:r w:rsidRPr="008F4A4E">
      <w:rPr>
        <w:rFonts w:cs="Arial"/>
      </w:rPr>
      <w:t xml:space="preserve"> of </w:t>
    </w:r>
    <w:r w:rsidR="00610DB7" w:rsidRPr="008F4A4E">
      <w:rPr>
        <w:rFonts w:cs="Arial"/>
      </w:rPr>
      <w:fldChar w:fldCharType="begin"/>
    </w:r>
    <w:r w:rsidR="00610DB7" w:rsidRPr="008F4A4E">
      <w:rPr>
        <w:rFonts w:cs="Arial"/>
      </w:rPr>
      <w:instrText xml:space="preserve"> NUMPAGES </w:instrText>
    </w:r>
    <w:r w:rsidR="00610DB7" w:rsidRPr="008F4A4E">
      <w:rPr>
        <w:rFonts w:cs="Arial"/>
      </w:rPr>
      <w:fldChar w:fldCharType="separate"/>
    </w:r>
    <w:r w:rsidR="00824BBC">
      <w:rPr>
        <w:rFonts w:cs="Arial"/>
        <w:noProof/>
      </w:rPr>
      <w:t>4</w:t>
    </w:r>
    <w:r w:rsidR="00610DB7" w:rsidRPr="008F4A4E">
      <w:rPr>
        <w:rFonts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39" w:rsidRPr="008F4A4E" w:rsidRDefault="00CC1739" w:rsidP="00C4588F">
    <w:pPr>
      <w:pStyle w:val="Footer"/>
      <w:spacing w:before="120"/>
      <w:rPr>
        <w:rFonts w:cs="Arial"/>
      </w:rPr>
    </w:pPr>
    <w:r w:rsidRPr="008F4A4E">
      <w:rPr>
        <w:rFonts w:cs="Arial"/>
      </w:rPr>
      <w:t xml:space="preserve">Page </w:t>
    </w:r>
    <w:r w:rsidRPr="008F4A4E">
      <w:rPr>
        <w:rFonts w:cs="Arial"/>
      </w:rPr>
      <w:fldChar w:fldCharType="begin"/>
    </w:r>
    <w:r w:rsidRPr="008F4A4E">
      <w:rPr>
        <w:rFonts w:cs="Arial"/>
      </w:rPr>
      <w:instrText xml:space="preserve"> PAGE </w:instrText>
    </w:r>
    <w:r w:rsidRPr="008F4A4E">
      <w:rPr>
        <w:rFonts w:cs="Arial"/>
      </w:rPr>
      <w:fldChar w:fldCharType="separate"/>
    </w:r>
    <w:r w:rsidR="00824BBC">
      <w:rPr>
        <w:rFonts w:cs="Arial"/>
        <w:noProof/>
      </w:rPr>
      <w:t>1</w:t>
    </w:r>
    <w:r w:rsidRPr="008F4A4E">
      <w:rPr>
        <w:rFonts w:cs="Arial"/>
      </w:rPr>
      <w:fldChar w:fldCharType="end"/>
    </w:r>
    <w:r w:rsidRPr="008F4A4E">
      <w:rPr>
        <w:rFonts w:cs="Arial"/>
      </w:rPr>
      <w:t xml:space="preserve"> of </w:t>
    </w:r>
    <w:r w:rsidR="00610DB7" w:rsidRPr="008F4A4E">
      <w:rPr>
        <w:rFonts w:cs="Arial"/>
      </w:rPr>
      <w:fldChar w:fldCharType="begin"/>
    </w:r>
    <w:r w:rsidR="00610DB7" w:rsidRPr="008F4A4E">
      <w:rPr>
        <w:rFonts w:cs="Arial"/>
      </w:rPr>
      <w:instrText xml:space="preserve"> NUMPAGES </w:instrText>
    </w:r>
    <w:r w:rsidR="00610DB7" w:rsidRPr="008F4A4E">
      <w:rPr>
        <w:rFonts w:cs="Arial"/>
      </w:rPr>
      <w:fldChar w:fldCharType="separate"/>
    </w:r>
    <w:r w:rsidR="00824BBC">
      <w:rPr>
        <w:rFonts w:cs="Arial"/>
        <w:noProof/>
      </w:rPr>
      <w:t>4</w:t>
    </w:r>
    <w:r w:rsidR="00610DB7" w:rsidRPr="008F4A4E">
      <w:rPr>
        <w:rFonts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FC" w:rsidRPr="008F4A4E" w:rsidRDefault="001146FC" w:rsidP="00244DCC">
    <w:pPr>
      <w:pStyle w:val="Footer"/>
      <w:rPr>
        <w:rFonts w:cs="Arial"/>
      </w:rPr>
    </w:pPr>
    <w:r w:rsidRPr="008F4A4E">
      <w:rPr>
        <w:rFonts w:cs="Arial"/>
      </w:rPr>
      <w:t xml:space="preserve">Page </w:t>
    </w:r>
    <w:r w:rsidRPr="008F4A4E">
      <w:rPr>
        <w:rFonts w:cs="Arial"/>
      </w:rPr>
      <w:fldChar w:fldCharType="begin"/>
    </w:r>
    <w:r w:rsidRPr="008F4A4E">
      <w:rPr>
        <w:rFonts w:cs="Arial"/>
      </w:rPr>
      <w:instrText xml:space="preserve"> PAGE </w:instrText>
    </w:r>
    <w:r w:rsidRPr="008F4A4E">
      <w:rPr>
        <w:rFonts w:cs="Arial"/>
      </w:rPr>
      <w:fldChar w:fldCharType="separate"/>
    </w:r>
    <w:r w:rsidR="00824BBC">
      <w:rPr>
        <w:rFonts w:cs="Arial"/>
        <w:noProof/>
      </w:rPr>
      <w:t>4</w:t>
    </w:r>
    <w:r w:rsidRPr="008F4A4E">
      <w:rPr>
        <w:rFonts w:cs="Arial"/>
      </w:rPr>
      <w:fldChar w:fldCharType="end"/>
    </w:r>
    <w:r w:rsidRPr="008F4A4E">
      <w:rPr>
        <w:rFonts w:cs="Arial"/>
      </w:rPr>
      <w:t xml:space="preserve"> of </w:t>
    </w:r>
    <w:r w:rsidRPr="008F4A4E">
      <w:rPr>
        <w:rFonts w:cs="Arial"/>
      </w:rPr>
      <w:fldChar w:fldCharType="begin"/>
    </w:r>
    <w:r w:rsidRPr="008F4A4E">
      <w:rPr>
        <w:rFonts w:cs="Arial"/>
      </w:rPr>
      <w:instrText xml:space="preserve"> NUMPAGES </w:instrText>
    </w:r>
    <w:r w:rsidRPr="008F4A4E">
      <w:rPr>
        <w:rFonts w:cs="Arial"/>
      </w:rPr>
      <w:fldChar w:fldCharType="separate"/>
    </w:r>
    <w:r w:rsidR="00824BBC">
      <w:rPr>
        <w:rFonts w:cs="Arial"/>
        <w:noProof/>
      </w:rPr>
      <w:t>4</w:t>
    </w:r>
    <w:r w:rsidRPr="008F4A4E">
      <w:rPr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EC" w:rsidRDefault="00C33BEC">
      <w:r>
        <w:separator/>
      </w:r>
    </w:p>
  </w:footnote>
  <w:footnote w:type="continuationSeparator" w:id="0">
    <w:p w:rsidR="00C33BEC" w:rsidRDefault="00C3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49" w:rsidRDefault="00C33BEC" w:rsidP="00D35C49">
    <w:pPr>
      <w:pStyle w:val="Header"/>
      <w:tabs>
        <w:tab w:val="clear" w:pos="9923"/>
      </w:tabs>
    </w:pPr>
    <w:r>
      <w:rPr>
        <w:noProof/>
        <w:lang w:eastAsia="en-NZ"/>
      </w:rPr>
      <w:drawing>
        <wp:inline distT="0" distB="0" distL="0" distR="0">
          <wp:extent cx="6534150" cy="495300"/>
          <wp:effectExtent l="0" t="0" r="0" b="0"/>
          <wp:docPr id="1" name="Picture 3" descr="27510 MOH word template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7510 MOH word template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2" t="43268" r="6694" b="11781"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753" w:rsidRPr="00D35C49" w:rsidRDefault="002B3320" w:rsidP="001146FC">
    <w:pPr>
      <w:pStyle w:val="Header"/>
      <w:tabs>
        <w:tab w:val="clear" w:pos="9923"/>
      </w:tabs>
      <w:spacing w:after="180"/>
      <w:jc w:val="right"/>
    </w:pPr>
    <w:r>
      <w:rPr>
        <w:b/>
      </w:rPr>
      <w:t>Health Report</w:t>
    </w:r>
    <w:r w:rsidR="00D35C49" w:rsidRPr="00FB6B70">
      <w:rPr>
        <w:b/>
      </w:rPr>
      <w:t xml:space="preserve"> number:</w:t>
    </w:r>
    <w:r w:rsidR="00D35C49">
      <w:t xml:space="preserve"> </w:t>
    </w:r>
    <w:r w:rsidR="00D74B0E">
      <w:t>20190150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BE" w:rsidRDefault="00C33BEC" w:rsidP="000E26CA">
    <w:pPr>
      <w:pStyle w:val="Header"/>
      <w:tabs>
        <w:tab w:val="clear" w:pos="9923"/>
      </w:tabs>
    </w:pPr>
    <w:r>
      <w:rPr>
        <w:noProof/>
        <w:lang w:eastAsia="en-NZ"/>
      </w:rPr>
      <w:drawing>
        <wp:inline distT="0" distB="0" distL="0" distR="0">
          <wp:extent cx="6534150" cy="495300"/>
          <wp:effectExtent l="0" t="0" r="0" b="0"/>
          <wp:docPr id="2" name="Picture 2" descr="27510 MOH word template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7510 MOH word template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2" t="43268" r="6694" b="11781"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1F3C"/>
    <w:multiLevelType w:val="hybridMultilevel"/>
    <w:tmpl w:val="CFACB4BA"/>
    <w:lvl w:ilvl="0" w:tplc="140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Cs w:val="0"/>
        <w:iCs w:val="0"/>
        <w:color w:val="auto"/>
        <w:sz w:val="20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26CD"/>
    <w:multiLevelType w:val="hybridMultilevel"/>
    <w:tmpl w:val="9564B896"/>
    <w:lvl w:ilvl="0" w:tplc="129434E2">
      <w:start w:val="1"/>
      <w:numFmt w:val="bullet"/>
      <w:pStyle w:val="Dash"/>
      <w:lvlText w:val="–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0AED"/>
    <w:multiLevelType w:val="hybridMultilevel"/>
    <w:tmpl w:val="53A0B67A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F5B3B"/>
    <w:multiLevelType w:val="multilevel"/>
    <w:tmpl w:val="0F58E6C6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  <w:sz w:val="22"/>
        <w:szCs w:val="22"/>
      </w:rPr>
    </w:lvl>
    <w:lvl w:ilvl="1">
      <w:start w:val="1"/>
      <w:numFmt w:val="lowerLetter"/>
      <w:pStyle w:val="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efaultTabStop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5"/>
    <w:rsid w:val="00002049"/>
    <w:rsid w:val="00002337"/>
    <w:rsid w:val="000051B5"/>
    <w:rsid w:val="00006665"/>
    <w:rsid w:val="00007EF4"/>
    <w:rsid w:val="00010AB9"/>
    <w:rsid w:val="00012DB9"/>
    <w:rsid w:val="0001369A"/>
    <w:rsid w:val="00015753"/>
    <w:rsid w:val="000229EC"/>
    <w:rsid w:val="00022F49"/>
    <w:rsid w:val="00024BCE"/>
    <w:rsid w:val="000304A6"/>
    <w:rsid w:val="00031D23"/>
    <w:rsid w:val="0003710F"/>
    <w:rsid w:val="00043324"/>
    <w:rsid w:val="000615F2"/>
    <w:rsid w:val="000671D4"/>
    <w:rsid w:val="000675CB"/>
    <w:rsid w:val="00073447"/>
    <w:rsid w:val="00084C18"/>
    <w:rsid w:val="0009709A"/>
    <w:rsid w:val="000A009F"/>
    <w:rsid w:val="000A0EB0"/>
    <w:rsid w:val="000A284A"/>
    <w:rsid w:val="000A290F"/>
    <w:rsid w:val="000A2F23"/>
    <w:rsid w:val="000A3DDD"/>
    <w:rsid w:val="000B1EDF"/>
    <w:rsid w:val="000C0250"/>
    <w:rsid w:val="000C37B8"/>
    <w:rsid w:val="000C6D9C"/>
    <w:rsid w:val="000D36A0"/>
    <w:rsid w:val="000D7D56"/>
    <w:rsid w:val="000E26CA"/>
    <w:rsid w:val="000E31A6"/>
    <w:rsid w:val="000E5632"/>
    <w:rsid w:val="000E74A1"/>
    <w:rsid w:val="000F5040"/>
    <w:rsid w:val="000F76E7"/>
    <w:rsid w:val="000F77AF"/>
    <w:rsid w:val="00101534"/>
    <w:rsid w:val="00103441"/>
    <w:rsid w:val="00110C29"/>
    <w:rsid w:val="001144EA"/>
    <w:rsid w:val="001146D1"/>
    <w:rsid w:val="001146FC"/>
    <w:rsid w:val="0011690E"/>
    <w:rsid w:val="0012724C"/>
    <w:rsid w:val="001346B8"/>
    <w:rsid w:val="00134BBB"/>
    <w:rsid w:val="00134C2B"/>
    <w:rsid w:val="00142A34"/>
    <w:rsid w:val="00145EB3"/>
    <w:rsid w:val="00151B39"/>
    <w:rsid w:val="00154765"/>
    <w:rsid w:val="00156293"/>
    <w:rsid w:val="001647AC"/>
    <w:rsid w:val="00164C25"/>
    <w:rsid w:val="00170111"/>
    <w:rsid w:val="00170492"/>
    <w:rsid w:val="00173425"/>
    <w:rsid w:val="001737D5"/>
    <w:rsid w:val="00175201"/>
    <w:rsid w:val="00181ABF"/>
    <w:rsid w:val="001828E9"/>
    <w:rsid w:val="001834D3"/>
    <w:rsid w:val="00190D84"/>
    <w:rsid w:val="00193238"/>
    <w:rsid w:val="00193D76"/>
    <w:rsid w:val="00194D60"/>
    <w:rsid w:val="001A00F6"/>
    <w:rsid w:val="001A0281"/>
    <w:rsid w:val="001A7FD8"/>
    <w:rsid w:val="001B1E15"/>
    <w:rsid w:val="001B2B84"/>
    <w:rsid w:val="001B4FAA"/>
    <w:rsid w:val="001B6DAC"/>
    <w:rsid w:val="001C27C0"/>
    <w:rsid w:val="001D34EA"/>
    <w:rsid w:val="001D52A9"/>
    <w:rsid w:val="001D6742"/>
    <w:rsid w:val="001E18EB"/>
    <w:rsid w:val="001E2B26"/>
    <w:rsid w:val="001E2DCC"/>
    <w:rsid w:val="001F026A"/>
    <w:rsid w:val="001F0700"/>
    <w:rsid w:val="001F4945"/>
    <w:rsid w:val="001F4CA9"/>
    <w:rsid w:val="002124E6"/>
    <w:rsid w:val="00214ABA"/>
    <w:rsid w:val="0022494E"/>
    <w:rsid w:val="00231C91"/>
    <w:rsid w:val="002345F1"/>
    <w:rsid w:val="00236CAB"/>
    <w:rsid w:val="0024383D"/>
    <w:rsid w:val="00243C6E"/>
    <w:rsid w:val="00244DCC"/>
    <w:rsid w:val="00245E7A"/>
    <w:rsid w:val="00246A53"/>
    <w:rsid w:val="00256ECD"/>
    <w:rsid w:val="00257E2E"/>
    <w:rsid w:val="00260C39"/>
    <w:rsid w:val="002676D6"/>
    <w:rsid w:val="00274334"/>
    <w:rsid w:val="0027447E"/>
    <w:rsid w:val="00280A23"/>
    <w:rsid w:val="00282FD9"/>
    <w:rsid w:val="00283DA9"/>
    <w:rsid w:val="0029295D"/>
    <w:rsid w:val="0029628F"/>
    <w:rsid w:val="002969D9"/>
    <w:rsid w:val="00297B19"/>
    <w:rsid w:val="002A01C7"/>
    <w:rsid w:val="002A1D05"/>
    <w:rsid w:val="002A34F7"/>
    <w:rsid w:val="002B3320"/>
    <w:rsid w:val="002B415C"/>
    <w:rsid w:val="002B49E8"/>
    <w:rsid w:val="002B6616"/>
    <w:rsid w:val="002B67E7"/>
    <w:rsid w:val="002C214D"/>
    <w:rsid w:val="002C2E04"/>
    <w:rsid w:val="002C387B"/>
    <w:rsid w:val="002C7CF5"/>
    <w:rsid w:val="002D1FE4"/>
    <w:rsid w:val="002D56BA"/>
    <w:rsid w:val="002D56DC"/>
    <w:rsid w:val="002E13A0"/>
    <w:rsid w:val="002E2324"/>
    <w:rsid w:val="002E5970"/>
    <w:rsid w:val="002F73FB"/>
    <w:rsid w:val="00304CDA"/>
    <w:rsid w:val="0031000E"/>
    <w:rsid w:val="003103A6"/>
    <w:rsid w:val="003153D0"/>
    <w:rsid w:val="0032010B"/>
    <w:rsid w:val="003202B7"/>
    <w:rsid w:val="003222B2"/>
    <w:rsid w:val="00324B4C"/>
    <w:rsid w:val="00325F29"/>
    <w:rsid w:val="00326078"/>
    <w:rsid w:val="00326AFE"/>
    <w:rsid w:val="00326F50"/>
    <w:rsid w:val="00332E75"/>
    <w:rsid w:val="003416F2"/>
    <w:rsid w:val="0034743A"/>
    <w:rsid w:val="00351003"/>
    <w:rsid w:val="00356861"/>
    <w:rsid w:val="003618C2"/>
    <w:rsid w:val="00361925"/>
    <w:rsid w:val="00361BFF"/>
    <w:rsid w:val="0036255B"/>
    <w:rsid w:val="0036268E"/>
    <w:rsid w:val="003647DE"/>
    <w:rsid w:val="0037279F"/>
    <w:rsid w:val="00376214"/>
    <w:rsid w:val="003814B1"/>
    <w:rsid w:val="003822A6"/>
    <w:rsid w:val="00392D1D"/>
    <w:rsid w:val="00395907"/>
    <w:rsid w:val="00396820"/>
    <w:rsid w:val="003A169D"/>
    <w:rsid w:val="003B4F20"/>
    <w:rsid w:val="003B7ADD"/>
    <w:rsid w:val="003C0969"/>
    <w:rsid w:val="003C0C0C"/>
    <w:rsid w:val="003C1E37"/>
    <w:rsid w:val="003C531B"/>
    <w:rsid w:val="003D009B"/>
    <w:rsid w:val="003D11AC"/>
    <w:rsid w:val="003E02F8"/>
    <w:rsid w:val="003E0E31"/>
    <w:rsid w:val="003E1D0C"/>
    <w:rsid w:val="003E206A"/>
    <w:rsid w:val="003E2A56"/>
    <w:rsid w:val="003E3955"/>
    <w:rsid w:val="003E77D8"/>
    <w:rsid w:val="003F0AD4"/>
    <w:rsid w:val="003F585B"/>
    <w:rsid w:val="003F6444"/>
    <w:rsid w:val="0040116C"/>
    <w:rsid w:val="00404780"/>
    <w:rsid w:val="0041163D"/>
    <w:rsid w:val="0041254F"/>
    <w:rsid w:val="00413960"/>
    <w:rsid w:val="00416C24"/>
    <w:rsid w:val="004207C3"/>
    <w:rsid w:val="00421973"/>
    <w:rsid w:val="00422723"/>
    <w:rsid w:val="00430402"/>
    <w:rsid w:val="0043156E"/>
    <w:rsid w:val="00433AD2"/>
    <w:rsid w:val="00436844"/>
    <w:rsid w:val="00436A4D"/>
    <w:rsid w:val="00436BF0"/>
    <w:rsid w:val="004401A5"/>
    <w:rsid w:val="00441FBC"/>
    <w:rsid w:val="00443581"/>
    <w:rsid w:val="0044764D"/>
    <w:rsid w:val="00450E72"/>
    <w:rsid w:val="00466ACA"/>
    <w:rsid w:val="00470B13"/>
    <w:rsid w:val="00471F6E"/>
    <w:rsid w:val="004760F5"/>
    <w:rsid w:val="004769A4"/>
    <w:rsid w:val="00480C49"/>
    <w:rsid w:val="0048132E"/>
    <w:rsid w:val="00482FA0"/>
    <w:rsid w:val="004910C9"/>
    <w:rsid w:val="0049296F"/>
    <w:rsid w:val="004A21C2"/>
    <w:rsid w:val="004A6383"/>
    <w:rsid w:val="004A78BF"/>
    <w:rsid w:val="004B34FA"/>
    <w:rsid w:val="004B4B0F"/>
    <w:rsid w:val="004B5673"/>
    <w:rsid w:val="004C53DB"/>
    <w:rsid w:val="004D05F3"/>
    <w:rsid w:val="004D4C9C"/>
    <w:rsid w:val="004D5848"/>
    <w:rsid w:val="004E46A2"/>
    <w:rsid w:val="004F165B"/>
    <w:rsid w:val="004F278F"/>
    <w:rsid w:val="004F4779"/>
    <w:rsid w:val="004F4883"/>
    <w:rsid w:val="004F5F3A"/>
    <w:rsid w:val="00502861"/>
    <w:rsid w:val="005069D0"/>
    <w:rsid w:val="00510544"/>
    <w:rsid w:val="00511096"/>
    <w:rsid w:val="005136D4"/>
    <w:rsid w:val="005258F7"/>
    <w:rsid w:val="00526779"/>
    <w:rsid w:val="005337E7"/>
    <w:rsid w:val="00533C44"/>
    <w:rsid w:val="00534A38"/>
    <w:rsid w:val="00534A87"/>
    <w:rsid w:val="005373EC"/>
    <w:rsid w:val="00541FC2"/>
    <w:rsid w:val="00550BF6"/>
    <w:rsid w:val="005525D5"/>
    <w:rsid w:val="00554245"/>
    <w:rsid w:val="005558AD"/>
    <w:rsid w:val="00560E23"/>
    <w:rsid w:val="005633F3"/>
    <w:rsid w:val="00564B80"/>
    <w:rsid w:val="0056515C"/>
    <w:rsid w:val="00566F11"/>
    <w:rsid w:val="00567E7B"/>
    <w:rsid w:val="0057482E"/>
    <w:rsid w:val="00575136"/>
    <w:rsid w:val="00577B82"/>
    <w:rsid w:val="00581AB1"/>
    <w:rsid w:val="00581B6F"/>
    <w:rsid w:val="00583225"/>
    <w:rsid w:val="00584055"/>
    <w:rsid w:val="005848BB"/>
    <w:rsid w:val="0058687A"/>
    <w:rsid w:val="00586D59"/>
    <w:rsid w:val="005939F0"/>
    <w:rsid w:val="00597612"/>
    <w:rsid w:val="005A176E"/>
    <w:rsid w:val="005A44BA"/>
    <w:rsid w:val="005B4AB1"/>
    <w:rsid w:val="005C09F1"/>
    <w:rsid w:val="005C2CF3"/>
    <w:rsid w:val="005C4165"/>
    <w:rsid w:val="005D0B07"/>
    <w:rsid w:val="005D32F4"/>
    <w:rsid w:val="005D4953"/>
    <w:rsid w:val="005E5964"/>
    <w:rsid w:val="005E5B9E"/>
    <w:rsid w:val="005F0F5B"/>
    <w:rsid w:val="005F1099"/>
    <w:rsid w:val="005F19C4"/>
    <w:rsid w:val="005F36BA"/>
    <w:rsid w:val="005F64AB"/>
    <w:rsid w:val="00600DE7"/>
    <w:rsid w:val="00601D9C"/>
    <w:rsid w:val="00610DB7"/>
    <w:rsid w:val="0061210F"/>
    <w:rsid w:val="00612DFD"/>
    <w:rsid w:val="00615760"/>
    <w:rsid w:val="00615805"/>
    <w:rsid w:val="006226B0"/>
    <w:rsid w:val="00622B12"/>
    <w:rsid w:val="00625A66"/>
    <w:rsid w:val="00627CDC"/>
    <w:rsid w:val="00631140"/>
    <w:rsid w:val="0063125F"/>
    <w:rsid w:val="00632740"/>
    <w:rsid w:val="006343A9"/>
    <w:rsid w:val="00634A6C"/>
    <w:rsid w:val="006442A5"/>
    <w:rsid w:val="00645201"/>
    <w:rsid w:val="006503E9"/>
    <w:rsid w:val="00650A7D"/>
    <w:rsid w:val="006514B1"/>
    <w:rsid w:val="00651784"/>
    <w:rsid w:val="00651830"/>
    <w:rsid w:val="00653FA6"/>
    <w:rsid w:val="00666014"/>
    <w:rsid w:val="00667F15"/>
    <w:rsid w:val="00675FA4"/>
    <w:rsid w:val="006771A2"/>
    <w:rsid w:val="00681615"/>
    <w:rsid w:val="0068302E"/>
    <w:rsid w:val="0068431C"/>
    <w:rsid w:val="0068619A"/>
    <w:rsid w:val="00691636"/>
    <w:rsid w:val="006919D7"/>
    <w:rsid w:val="006935EC"/>
    <w:rsid w:val="00694912"/>
    <w:rsid w:val="006A5866"/>
    <w:rsid w:val="006A694A"/>
    <w:rsid w:val="006B03F1"/>
    <w:rsid w:val="006B260C"/>
    <w:rsid w:val="006B3816"/>
    <w:rsid w:val="006B4B60"/>
    <w:rsid w:val="006C067B"/>
    <w:rsid w:val="006C13FF"/>
    <w:rsid w:val="006C3AB4"/>
    <w:rsid w:val="006C5BCD"/>
    <w:rsid w:val="006D1070"/>
    <w:rsid w:val="006D5E64"/>
    <w:rsid w:val="006E0737"/>
    <w:rsid w:val="006E261D"/>
    <w:rsid w:val="006E372E"/>
    <w:rsid w:val="006F68D0"/>
    <w:rsid w:val="00705291"/>
    <w:rsid w:val="0071437D"/>
    <w:rsid w:val="0071499B"/>
    <w:rsid w:val="00716E2A"/>
    <w:rsid w:val="0071768E"/>
    <w:rsid w:val="00720D4A"/>
    <w:rsid w:val="0072546C"/>
    <w:rsid w:val="00727C1C"/>
    <w:rsid w:val="0073217F"/>
    <w:rsid w:val="007434C3"/>
    <w:rsid w:val="00747BC2"/>
    <w:rsid w:val="00756832"/>
    <w:rsid w:val="0077327B"/>
    <w:rsid w:val="007749A4"/>
    <w:rsid w:val="00781FD1"/>
    <w:rsid w:val="00790A6D"/>
    <w:rsid w:val="00791DFC"/>
    <w:rsid w:val="00794A83"/>
    <w:rsid w:val="00794FF7"/>
    <w:rsid w:val="007A0120"/>
    <w:rsid w:val="007A200F"/>
    <w:rsid w:val="007B414E"/>
    <w:rsid w:val="007B79CE"/>
    <w:rsid w:val="007C5156"/>
    <w:rsid w:val="007D5F5F"/>
    <w:rsid w:val="007E3765"/>
    <w:rsid w:val="007F625F"/>
    <w:rsid w:val="00802389"/>
    <w:rsid w:val="0080314D"/>
    <w:rsid w:val="00804DD4"/>
    <w:rsid w:val="00811722"/>
    <w:rsid w:val="00812043"/>
    <w:rsid w:val="0082058F"/>
    <w:rsid w:val="00824003"/>
    <w:rsid w:val="00824BBC"/>
    <w:rsid w:val="008329AF"/>
    <w:rsid w:val="008367FE"/>
    <w:rsid w:val="00842E59"/>
    <w:rsid w:val="008500A6"/>
    <w:rsid w:val="008530D4"/>
    <w:rsid w:val="008564F6"/>
    <w:rsid w:val="00863FE4"/>
    <w:rsid w:val="00870E6F"/>
    <w:rsid w:val="00873D65"/>
    <w:rsid w:val="008757C9"/>
    <w:rsid w:val="00883685"/>
    <w:rsid w:val="008841B2"/>
    <w:rsid w:val="008847A2"/>
    <w:rsid w:val="00884B15"/>
    <w:rsid w:val="00886BCF"/>
    <w:rsid w:val="00887632"/>
    <w:rsid w:val="008961EF"/>
    <w:rsid w:val="00896A29"/>
    <w:rsid w:val="008A0619"/>
    <w:rsid w:val="008A2076"/>
    <w:rsid w:val="008A3320"/>
    <w:rsid w:val="008B0C38"/>
    <w:rsid w:val="008B0F50"/>
    <w:rsid w:val="008B33E7"/>
    <w:rsid w:val="008C00A2"/>
    <w:rsid w:val="008C3902"/>
    <w:rsid w:val="008D2A71"/>
    <w:rsid w:val="008D74AE"/>
    <w:rsid w:val="008E4358"/>
    <w:rsid w:val="008E43A2"/>
    <w:rsid w:val="008E4545"/>
    <w:rsid w:val="008E4BAE"/>
    <w:rsid w:val="008E684F"/>
    <w:rsid w:val="008E75F0"/>
    <w:rsid w:val="008F0EBF"/>
    <w:rsid w:val="008F1BBC"/>
    <w:rsid w:val="008F4A4E"/>
    <w:rsid w:val="008F4FAF"/>
    <w:rsid w:val="008F5297"/>
    <w:rsid w:val="008F58CD"/>
    <w:rsid w:val="009018C4"/>
    <w:rsid w:val="0090647B"/>
    <w:rsid w:val="009068E2"/>
    <w:rsid w:val="00916A47"/>
    <w:rsid w:val="00916D08"/>
    <w:rsid w:val="009178F7"/>
    <w:rsid w:val="00922ED9"/>
    <w:rsid w:val="0092561B"/>
    <w:rsid w:val="00930AA8"/>
    <w:rsid w:val="00930E7B"/>
    <w:rsid w:val="00931A22"/>
    <w:rsid w:val="00931DC0"/>
    <w:rsid w:val="00932FE0"/>
    <w:rsid w:val="009447B2"/>
    <w:rsid w:val="00951CF9"/>
    <w:rsid w:val="00951E27"/>
    <w:rsid w:val="00953556"/>
    <w:rsid w:val="00955210"/>
    <w:rsid w:val="009645B6"/>
    <w:rsid w:val="009647B0"/>
    <w:rsid w:val="009648A2"/>
    <w:rsid w:val="00964E5A"/>
    <w:rsid w:val="00967B4E"/>
    <w:rsid w:val="0097142E"/>
    <w:rsid w:val="0097163F"/>
    <w:rsid w:val="00981190"/>
    <w:rsid w:val="0098315B"/>
    <w:rsid w:val="009842FE"/>
    <w:rsid w:val="00992091"/>
    <w:rsid w:val="009974B0"/>
    <w:rsid w:val="009A0814"/>
    <w:rsid w:val="009A38BD"/>
    <w:rsid w:val="009B0743"/>
    <w:rsid w:val="009B3A23"/>
    <w:rsid w:val="009B4781"/>
    <w:rsid w:val="009D3DE9"/>
    <w:rsid w:val="009D4427"/>
    <w:rsid w:val="009D7243"/>
    <w:rsid w:val="009E1514"/>
    <w:rsid w:val="009F1F85"/>
    <w:rsid w:val="009F2E59"/>
    <w:rsid w:val="009F31B0"/>
    <w:rsid w:val="00A02A0B"/>
    <w:rsid w:val="00A02DF8"/>
    <w:rsid w:val="00A16C45"/>
    <w:rsid w:val="00A20081"/>
    <w:rsid w:val="00A20FBE"/>
    <w:rsid w:val="00A24166"/>
    <w:rsid w:val="00A26ECD"/>
    <w:rsid w:val="00A31569"/>
    <w:rsid w:val="00A34CFF"/>
    <w:rsid w:val="00A41109"/>
    <w:rsid w:val="00A42531"/>
    <w:rsid w:val="00A42800"/>
    <w:rsid w:val="00A42EC6"/>
    <w:rsid w:val="00A47BF8"/>
    <w:rsid w:val="00A54328"/>
    <w:rsid w:val="00A54D8A"/>
    <w:rsid w:val="00A555BA"/>
    <w:rsid w:val="00A60021"/>
    <w:rsid w:val="00A63E3A"/>
    <w:rsid w:val="00A64804"/>
    <w:rsid w:val="00A6734A"/>
    <w:rsid w:val="00A6770C"/>
    <w:rsid w:val="00A76754"/>
    <w:rsid w:val="00A8192B"/>
    <w:rsid w:val="00A84FB1"/>
    <w:rsid w:val="00A86690"/>
    <w:rsid w:val="00A9045F"/>
    <w:rsid w:val="00A948D5"/>
    <w:rsid w:val="00AA0A39"/>
    <w:rsid w:val="00AA14D3"/>
    <w:rsid w:val="00AA2F26"/>
    <w:rsid w:val="00AA3A82"/>
    <w:rsid w:val="00AB5725"/>
    <w:rsid w:val="00AB5FCA"/>
    <w:rsid w:val="00AC13C9"/>
    <w:rsid w:val="00AC2FC2"/>
    <w:rsid w:val="00AC703F"/>
    <w:rsid w:val="00AD3816"/>
    <w:rsid w:val="00AD59BA"/>
    <w:rsid w:val="00AE47D8"/>
    <w:rsid w:val="00AE48A1"/>
    <w:rsid w:val="00AF12DC"/>
    <w:rsid w:val="00AF49D1"/>
    <w:rsid w:val="00AF6857"/>
    <w:rsid w:val="00AF795D"/>
    <w:rsid w:val="00AF7A3A"/>
    <w:rsid w:val="00AF7EFA"/>
    <w:rsid w:val="00B037A3"/>
    <w:rsid w:val="00B07769"/>
    <w:rsid w:val="00B103ED"/>
    <w:rsid w:val="00B11156"/>
    <w:rsid w:val="00B14C13"/>
    <w:rsid w:val="00B155D5"/>
    <w:rsid w:val="00B24A44"/>
    <w:rsid w:val="00B318E6"/>
    <w:rsid w:val="00B31D0A"/>
    <w:rsid w:val="00B433E3"/>
    <w:rsid w:val="00B4390E"/>
    <w:rsid w:val="00B44F36"/>
    <w:rsid w:val="00B50982"/>
    <w:rsid w:val="00B5413F"/>
    <w:rsid w:val="00B616A7"/>
    <w:rsid w:val="00B65336"/>
    <w:rsid w:val="00B72DA7"/>
    <w:rsid w:val="00B75982"/>
    <w:rsid w:val="00B768CC"/>
    <w:rsid w:val="00B80ACB"/>
    <w:rsid w:val="00B85735"/>
    <w:rsid w:val="00B85E17"/>
    <w:rsid w:val="00B940A8"/>
    <w:rsid w:val="00BA1184"/>
    <w:rsid w:val="00BA1A6D"/>
    <w:rsid w:val="00BA28A7"/>
    <w:rsid w:val="00BA35D2"/>
    <w:rsid w:val="00BA6B98"/>
    <w:rsid w:val="00BB0404"/>
    <w:rsid w:val="00BB08CB"/>
    <w:rsid w:val="00BB1E3F"/>
    <w:rsid w:val="00BB3415"/>
    <w:rsid w:val="00BB7472"/>
    <w:rsid w:val="00BC07ED"/>
    <w:rsid w:val="00BC3395"/>
    <w:rsid w:val="00BC36EC"/>
    <w:rsid w:val="00BC73E2"/>
    <w:rsid w:val="00BD4CDF"/>
    <w:rsid w:val="00BE27B5"/>
    <w:rsid w:val="00BF4AF3"/>
    <w:rsid w:val="00C01CC6"/>
    <w:rsid w:val="00C03A72"/>
    <w:rsid w:val="00C048A4"/>
    <w:rsid w:val="00C06771"/>
    <w:rsid w:val="00C1487C"/>
    <w:rsid w:val="00C17199"/>
    <w:rsid w:val="00C20540"/>
    <w:rsid w:val="00C21C60"/>
    <w:rsid w:val="00C2232A"/>
    <w:rsid w:val="00C25853"/>
    <w:rsid w:val="00C26C2A"/>
    <w:rsid w:val="00C27F0C"/>
    <w:rsid w:val="00C33BEC"/>
    <w:rsid w:val="00C42BF8"/>
    <w:rsid w:val="00C4588F"/>
    <w:rsid w:val="00C47B42"/>
    <w:rsid w:val="00C609B5"/>
    <w:rsid w:val="00C61665"/>
    <w:rsid w:val="00C755A4"/>
    <w:rsid w:val="00C75BEF"/>
    <w:rsid w:val="00C75E02"/>
    <w:rsid w:val="00C76826"/>
    <w:rsid w:val="00C8137F"/>
    <w:rsid w:val="00C828A6"/>
    <w:rsid w:val="00C86776"/>
    <w:rsid w:val="00C90EEE"/>
    <w:rsid w:val="00C91391"/>
    <w:rsid w:val="00C9518B"/>
    <w:rsid w:val="00C96480"/>
    <w:rsid w:val="00CA054E"/>
    <w:rsid w:val="00CA5F5D"/>
    <w:rsid w:val="00CB2656"/>
    <w:rsid w:val="00CB2686"/>
    <w:rsid w:val="00CB4311"/>
    <w:rsid w:val="00CB536E"/>
    <w:rsid w:val="00CB7AC2"/>
    <w:rsid w:val="00CC1739"/>
    <w:rsid w:val="00CC4604"/>
    <w:rsid w:val="00CC4E71"/>
    <w:rsid w:val="00CC5D65"/>
    <w:rsid w:val="00CC7779"/>
    <w:rsid w:val="00CC77DC"/>
    <w:rsid w:val="00CD227E"/>
    <w:rsid w:val="00CD5019"/>
    <w:rsid w:val="00CD7201"/>
    <w:rsid w:val="00CE1ED2"/>
    <w:rsid w:val="00CE32EA"/>
    <w:rsid w:val="00CE5E1F"/>
    <w:rsid w:val="00CE716A"/>
    <w:rsid w:val="00CF1BBC"/>
    <w:rsid w:val="00D13B77"/>
    <w:rsid w:val="00D15710"/>
    <w:rsid w:val="00D16DCE"/>
    <w:rsid w:val="00D16EAF"/>
    <w:rsid w:val="00D2055E"/>
    <w:rsid w:val="00D2492C"/>
    <w:rsid w:val="00D25CEA"/>
    <w:rsid w:val="00D27471"/>
    <w:rsid w:val="00D35C49"/>
    <w:rsid w:val="00D36767"/>
    <w:rsid w:val="00D369B4"/>
    <w:rsid w:val="00D4139C"/>
    <w:rsid w:val="00D54012"/>
    <w:rsid w:val="00D54A27"/>
    <w:rsid w:val="00D5574C"/>
    <w:rsid w:val="00D5598B"/>
    <w:rsid w:val="00D62FB7"/>
    <w:rsid w:val="00D66607"/>
    <w:rsid w:val="00D74B0E"/>
    <w:rsid w:val="00D7758A"/>
    <w:rsid w:val="00D8112F"/>
    <w:rsid w:val="00D92447"/>
    <w:rsid w:val="00D94C9D"/>
    <w:rsid w:val="00D972EB"/>
    <w:rsid w:val="00D973F5"/>
    <w:rsid w:val="00DA035C"/>
    <w:rsid w:val="00DA17A5"/>
    <w:rsid w:val="00DA37BD"/>
    <w:rsid w:val="00DB02DB"/>
    <w:rsid w:val="00DB686D"/>
    <w:rsid w:val="00DB6FB1"/>
    <w:rsid w:val="00DB77DB"/>
    <w:rsid w:val="00DB795F"/>
    <w:rsid w:val="00DC2256"/>
    <w:rsid w:val="00DC3ADF"/>
    <w:rsid w:val="00DC3CD1"/>
    <w:rsid w:val="00DC45FE"/>
    <w:rsid w:val="00DD075C"/>
    <w:rsid w:val="00DF429F"/>
    <w:rsid w:val="00E1361F"/>
    <w:rsid w:val="00E140F9"/>
    <w:rsid w:val="00E142D7"/>
    <w:rsid w:val="00E14955"/>
    <w:rsid w:val="00E17012"/>
    <w:rsid w:val="00E269BC"/>
    <w:rsid w:val="00E26FD7"/>
    <w:rsid w:val="00E33ACC"/>
    <w:rsid w:val="00E34420"/>
    <w:rsid w:val="00E34699"/>
    <w:rsid w:val="00E426F6"/>
    <w:rsid w:val="00E44267"/>
    <w:rsid w:val="00E50D0D"/>
    <w:rsid w:val="00E50D90"/>
    <w:rsid w:val="00E5125E"/>
    <w:rsid w:val="00E56F80"/>
    <w:rsid w:val="00E710E4"/>
    <w:rsid w:val="00E72109"/>
    <w:rsid w:val="00E80A14"/>
    <w:rsid w:val="00E83B17"/>
    <w:rsid w:val="00E87725"/>
    <w:rsid w:val="00E909E6"/>
    <w:rsid w:val="00E918E9"/>
    <w:rsid w:val="00E934A3"/>
    <w:rsid w:val="00E94374"/>
    <w:rsid w:val="00E97E0B"/>
    <w:rsid w:val="00EA69C2"/>
    <w:rsid w:val="00EB0B44"/>
    <w:rsid w:val="00EB20CC"/>
    <w:rsid w:val="00EC0A56"/>
    <w:rsid w:val="00EC2AAA"/>
    <w:rsid w:val="00EC3EC9"/>
    <w:rsid w:val="00EC5359"/>
    <w:rsid w:val="00EC7E9A"/>
    <w:rsid w:val="00ED693D"/>
    <w:rsid w:val="00ED7CC9"/>
    <w:rsid w:val="00EE385C"/>
    <w:rsid w:val="00EE6BE8"/>
    <w:rsid w:val="00EF7471"/>
    <w:rsid w:val="00EF7726"/>
    <w:rsid w:val="00F030FE"/>
    <w:rsid w:val="00F03EF9"/>
    <w:rsid w:val="00F05BB3"/>
    <w:rsid w:val="00F12EE6"/>
    <w:rsid w:val="00F22F28"/>
    <w:rsid w:val="00F24034"/>
    <w:rsid w:val="00F31DF0"/>
    <w:rsid w:val="00F33421"/>
    <w:rsid w:val="00F34685"/>
    <w:rsid w:val="00F407E3"/>
    <w:rsid w:val="00F41229"/>
    <w:rsid w:val="00F430C6"/>
    <w:rsid w:val="00F458B3"/>
    <w:rsid w:val="00F5030E"/>
    <w:rsid w:val="00F51D8A"/>
    <w:rsid w:val="00F5379C"/>
    <w:rsid w:val="00F53EA1"/>
    <w:rsid w:val="00F544E5"/>
    <w:rsid w:val="00F64B1D"/>
    <w:rsid w:val="00F67AFA"/>
    <w:rsid w:val="00F8537A"/>
    <w:rsid w:val="00F91541"/>
    <w:rsid w:val="00FA514B"/>
    <w:rsid w:val="00FA52E6"/>
    <w:rsid w:val="00FB6B70"/>
    <w:rsid w:val="00FC227E"/>
    <w:rsid w:val="00FC2E1E"/>
    <w:rsid w:val="00FC49D1"/>
    <w:rsid w:val="00FC64E0"/>
    <w:rsid w:val="00FC65DE"/>
    <w:rsid w:val="00FC6B7B"/>
    <w:rsid w:val="00FC7263"/>
    <w:rsid w:val="00FC7E69"/>
    <w:rsid w:val="00FD081E"/>
    <w:rsid w:val="00FD131C"/>
    <w:rsid w:val="00FD3320"/>
    <w:rsid w:val="00FD6ABC"/>
    <w:rsid w:val="00FD6EBD"/>
    <w:rsid w:val="00FE110D"/>
    <w:rsid w:val="00FE78AC"/>
    <w:rsid w:val="00FE7B83"/>
    <w:rsid w:val="00FE7C49"/>
    <w:rsid w:val="00FF24A9"/>
    <w:rsid w:val="00FF24B6"/>
    <w:rsid w:val="00FF3C4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AD34DB8B-7A82-47D3-88CE-C2D65470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49"/>
    <w:rPr>
      <w:rFonts w:ascii="Arial" w:hAnsi="Arial" w:cs="Times"/>
      <w:sz w:val="22"/>
      <w:szCs w:val="24"/>
      <w:lang w:eastAsia="en-GB"/>
    </w:rPr>
  </w:style>
  <w:style w:type="paragraph" w:styleId="Heading1">
    <w:name w:val="heading 1"/>
    <w:basedOn w:val="Normal"/>
    <w:next w:val="Normal"/>
    <w:qFormat/>
    <w:rsid w:val="00D35C49"/>
    <w:pPr>
      <w:keepNext/>
      <w:spacing w:before="300" w:after="120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73425"/>
    <w:pPr>
      <w:keepNext/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73425"/>
    <w:pPr>
      <w:keepNext/>
      <w:spacing w:before="180" w:after="12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425"/>
    <w:pPr>
      <w:keepNext/>
      <w:spacing w:before="120" w:after="120"/>
      <w:outlineLvl w:val="3"/>
    </w:pPr>
    <w:rPr>
      <w:rFonts w:cs="Times New Roman"/>
      <w:bCs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8D74AE"/>
    <w:pPr>
      <w:numPr>
        <w:numId w:val="1"/>
      </w:numPr>
      <w:spacing w:before="120"/>
    </w:pPr>
  </w:style>
  <w:style w:type="table" w:styleId="TableGrid">
    <w:name w:val="Table Grid"/>
    <w:basedOn w:val="TableNormal"/>
    <w:uiPriority w:val="39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D0B07"/>
    <w:pPr>
      <w:tabs>
        <w:tab w:val="right" w:pos="9923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101534"/>
    <w:pPr>
      <w:pBdr>
        <w:top w:val="single" w:sz="4" w:space="4" w:color="auto"/>
      </w:pBdr>
      <w:jc w:val="right"/>
    </w:pPr>
    <w:rPr>
      <w:b/>
      <w:sz w:val="20"/>
    </w:rPr>
  </w:style>
  <w:style w:type="character" w:styleId="PageNumber">
    <w:name w:val="page number"/>
    <w:basedOn w:val="DefaultParagraphFont"/>
    <w:rsid w:val="00324B4C"/>
  </w:style>
  <w:style w:type="character" w:customStyle="1" w:styleId="Heading3Char">
    <w:name w:val="Heading 3 Char"/>
    <w:link w:val="Heading3"/>
    <w:rsid w:val="00173425"/>
    <w:rPr>
      <w:rFonts w:ascii="Arial" w:eastAsia="Times New Roman" w:hAnsi="Arial" w:cs="Times New Roman"/>
      <w:b/>
      <w:bCs/>
      <w:sz w:val="22"/>
      <w:szCs w:val="24"/>
      <w:lang w:eastAsia="en-GB"/>
    </w:rPr>
  </w:style>
  <w:style w:type="character" w:customStyle="1" w:styleId="RomanChar">
    <w:name w:val="Roman Char"/>
    <w:link w:val="Roman"/>
    <w:rsid w:val="0022494E"/>
    <w:rPr>
      <w:rFonts w:ascii="Arial" w:hAnsi="Arial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101534"/>
    <w:pPr>
      <w:spacing w:after="240"/>
    </w:pPr>
    <w:rPr>
      <w:rFonts w:cs="Times New Roman"/>
      <w:b/>
      <w:sz w:val="32"/>
      <w:szCs w:val="52"/>
    </w:rPr>
  </w:style>
  <w:style w:type="character" w:customStyle="1" w:styleId="TitleChar">
    <w:name w:val="Title Char"/>
    <w:link w:val="Title"/>
    <w:rsid w:val="00101534"/>
    <w:rPr>
      <w:rFonts w:ascii="Arial" w:eastAsia="Times New Roman" w:hAnsi="Arial" w:cs="Times New Roman"/>
      <w:b/>
      <w:sz w:val="32"/>
      <w:szCs w:val="52"/>
      <w:lang w:eastAsia="en-GB"/>
    </w:rPr>
  </w:style>
  <w:style w:type="paragraph" w:customStyle="1" w:styleId="Roman">
    <w:name w:val="Roman"/>
    <w:basedOn w:val="Normal"/>
    <w:link w:val="RomanChar"/>
    <w:rsid w:val="0022494E"/>
    <w:pPr>
      <w:numPr>
        <w:ilvl w:val="2"/>
        <w:numId w:val="3"/>
      </w:numPr>
      <w:spacing w:before="120"/>
    </w:pPr>
    <w:rPr>
      <w:rFonts w:cs="Times New Roman"/>
      <w:szCs w:val="20"/>
    </w:rPr>
  </w:style>
  <w:style w:type="paragraph" w:customStyle="1" w:styleId="Letter">
    <w:name w:val="Letter"/>
    <w:basedOn w:val="Normal"/>
    <w:qFormat/>
    <w:rsid w:val="0022494E"/>
    <w:pPr>
      <w:numPr>
        <w:ilvl w:val="1"/>
        <w:numId w:val="3"/>
      </w:numPr>
      <w:spacing w:before="60"/>
    </w:pPr>
    <w:rPr>
      <w:szCs w:val="22"/>
    </w:rPr>
  </w:style>
  <w:style w:type="character" w:customStyle="1" w:styleId="Heading4Char">
    <w:name w:val="Heading 4 Char"/>
    <w:link w:val="Heading4"/>
    <w:uiPriority w:val="9"/>
    <w:rsid w:val="00173425"/>
    <w:rPr>
      <w:rFonts w:ascii="Arial" w:eastAsia="Times New Roman" w:hAnsi="Arial" w:cs="Times New Roman"/>
      <w:bCs/>
      <w:iCs/>
      <w:sz w:val="22"/>
      <w:u w:val="single"/>
      <w:lang w:eastAsia="en-GB"/>
    </w:rPr>
  </w:style>
  <w:style w:type="paragraph" w:styleId="FootnoteText">
    <w:name w:val="footnote text"/>
    <w:basedOn w:val="Normal"/>
    <w:link w:val="FootnoteTextChar"/>
    <w:rsid w:val="00134C2B"/>
    <w:pPr>
      <w:spacing w:before="60"/>
      <w:ind w:left="284" w:hanging="284"/>
    </w:pPr>
    <w:rPr>
      <w:rFonts w:cs="Times New Roman"/>
      <w:sz w:val="18"/>
      <w:szCs w:val="20"/>
    </w:rPr>
  </w:style>
  <w:style w:type="character" w:customStyle="1" w:styleId="FootnoteTextChar">
    <w:name w:val="Footnote Text Char"/>
    <w:link w:val="FootnoteText"/>
    <w:rsid w:val="00134C2B"/>
    <w:rPr>
      <w:rFonts w:ascii="Georgia" w:hAnsi="Georgia"/>
      <w:sz w:val="18"/>
      <w:lang w:eastAsia="en-GB"/>
    </w:rPr>
  </w:style>
  <w:style w:type="character" w:styleId="FootnoteReference">
    <w:name w:val="footnote reference"/>
    <w:rsid w:val="00134C2B"/>
    <w:rPr>
      <w:vertAlign w:val="superscript"/>
    </w:rPr>
  </w:style>
  <w:style w:type="paragraph" w:customStyle="1" w:styleId="Dash">
    <w:name w:val="Dash"/>
    <w:basedOn w:val="Normal"/>
    <w:qFormat/>
    <w:rsid w:val="008D74AE"/>
    <w:pPr>
      <w:numPr>
        <w:numId w:val="2"/>
      </w:numPr>
      <w:spacing w:before="60"/>
      <w:ind w:left="568" w:hanging="284"/>
    </w:pPr>
  </w:style>
  <w:style w:type="paragraph" w:customStyle="1" w:styleId="Number">
    <w:name w:val="Number"/>
    <w:basedOn w:val="Normal"/>
    <w:qFormat/>
    <w:rsid w:val="00D35C49"/>
    <w:pPr>
      <w:numPr>
        <w:numId w:val="3"/>
      </w:numPr>
      <w:spacing w:before="120"/>
    </w:pPr>
  </w:style>
  <w:style w:type="character" w:styleId="Hyperlink">
    <w:name w:val="Hyperlink"/>
    <w:rsid w:val="0015476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5030E"/>
    <w:rPr>
      <w:rFonts w:ascii="Arial" w:hAnsi="Arial" w:cs="Times"/>
      <w:sz w:val="22"/>
      <w:szCs w:val="24"/>
      <w:lang w:eastAsia="en-GB"/>
    </w:rPr>
  </w:style>
  <w:style w:type="character" w:customStyle="1" w:styleId="Heading2Char">
    <w:name w:val="Heading 2 Char"/>
    <w:link w:val="Heading2"/>
    <w:rsid w:val="00173425"/>
    <w:rPr>
      <w:rFonts w:ascii="Arial" w:hAnsi="Arial" w:cs="Arial"/>
      <w:b/>
      <w:bCs/>
      <w:iCs/>
      <w:sz w:val="24"/>
      <w:szCs w:val="28"/>
      <w:lang w:eastAsia="en-GB"/>
    </w:rPr>
  </w:style>
  <w:style w:type="character" w:customStyle="1" w:styleId="HeaderChar">
    <w:name w:val="Header Char"/>
    <w:link w:val="Header"/>
    <w:rsid w:val="00FC2E1E"/>
    <w:rPr>
      <w:rFonts w:ascii="Arial" w:hAnsi="Arial" w:cs="Times"/>
      <w:sz w:val="22"/>
      <w:szCs w:val="24"/>
      <w:lang w:eastAsia="en-GB"/>
    </w:rPr>
  </w:style>
  <w:style w:type="character" w:styleId="PlaceholderText">
    <w:name w:val="Placeholder Text"/>
    <w:uiPriority w:val="99"/>
    <w:semiHidden/>
    <w:rsid w:val="0022494E"/>
    <w:rPr>
      <w:color w:val="808080"/>
    </w:rPr>
  </w:style>
  <w:style w:type="character" w:styleId="CommentReference">
    <w:name w:val="annotation reference"/>
    <w:semiHidden/>
    <w:unhideWhenUsed/>
    <w:rsid w:val="002B33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3320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2B3320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3320"/>
    <w:rPr>
      <w:b/>
      <w:bCs/>
    </w:rPr>
  </w:style>
  <w:style w:type="character" w:customStyle="1" w:styleId="CommentSubjectChar">
    <w:name w:val="Comment Subject Char"/>
    <w:link w:val="CommentSubject"/>
    <w:semiHidden/>
    <w:rsid w:val="002B3320"/>
    <w:rPr>
      <w:rFonts w:ascii="Arial" w:hAnsi="Arial" w:cs="Times"/>
      <w:b/>
      <w:bCs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2B3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B3320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3466-D914-47E4-83C5-6125C8BD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E02FDCAB</Template>
  <TotalTime>2</TotalTime>
  <Pages>4</Pages>
  <Words>639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Report: Health Practitioners Competence Assurance Amendment Bill – Supplementary Order Paper</dc:title>
  <dc:creator>Ministry of Health</dc:creator>
  <cp:lastModifiedBy>Allan Potter</cp:lastModifiedBy>
  <cp:revision>2</cp:revision>
  <cp:lastPrinted>2019-01-31T22:44:00Z</cp:lastPrinted>
  <dcterms:created xsi:type="dcterms:W3CDTF">2019-06-18T02:26:00Z</dcterms:created>
  <dcterms:modified xsi:type="dcterms:W3CDTF">2019-07-04T01:55:00Z</dcterms:modified>
</cp:coreProperties>
</file>