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55161" w14:textId="786E073F" w:rsidR="00C86248" w:rsidRPr="00AF656B" w:rsidRDefault="00DF6D4C" w:rsidP="00926083">
      <w:pPr>
        <w:pStyle w:val="Title"/>
      </w:pPr>
      <w:r w:rsidRPr="00AF656B">
        <w:t xml:space="preserve">Assisted Dying Service – </w:t>
      </w:r>
      <w:proofErr w:type="spellStart"/>
      <w:r w:rsidRPr="00AF656B">
        <w:t>Ngā</w:t>
      </w:r>
      <w:proofErr w:type="spellEnd"/>
      <w:r w:rsidRPr="00AF656B">
        <w:t xml:space="preserve"> </w:t>
      </w:r>
      <w:proofErr w:type="spellStart"/>
      <w:r w:rsidRPr="00AF656B">
        <w:t>Ratonga</w:t>
      </w:r>
      <w:proofErr w:type="spellEnd"/>
      <w:r w:rsidRPr="00AF656B">
        <w:t xml:space="preserve"> Mate </w:t>
      </w:r>
      <w:proofErr w:type="spellStart"/>
      <w:r w:rsidRPr="00AF656B">
        <w:t>Whakaahuru</w:t>
      </w:r>
      <w:proofErr w:type="spellEnd"/>
    </w:p>
    <w:p w14:paraId="2B4FAC6A" w14:textId="4659C972" w:rsidR="00C05132" w:rsidRPr="00AF656B" w:rsidRDefault="00DF6D4C" w:rsidP="00926083">
      <w:pPr>
        <w:pStyle w:val="Subhead"/>
      </w:pPr>
      <w:r w:rsidRPr="00AF656B">
        <w:t>Registrar (assisted dying) Annual Report to the Minister of Health –</w:t>
      </w:r>
      <w:r w:rsidR="006F38B5">
        <w:t xml:space="preserve"> </w:t>
      </w:r>
      <w:r w:rsidRPr="00AF656B">
        <w:t>June 202</w:t>
      </w:r>
      <w:r w:rsidR="00A23EFF" w:rsidRPr="00AF656B">
        <w:t>6</w:t>
      </w:r>
    </w:p>
    <w:p w14:paraId="5C1CCC9F" w14:textId="77777777" w:rsidR="00C05132" w:rsidRPr="00AF656B" w:rsidRDefault="00C05132" w:rsidP="00A06BE4"/>
    <w:p w14:paraId="57E2CB79" w14:textId="77777777" w:rsidR="00142954" w:rsidRPr="00AF656B" w:rsidRDefault="00142954" w:rsidP="00142954">
      <w:pPr>
        <w:sectPr w:rsidR="00142954" w:rsidRPr="00AF656B" w:rsidSect="005A79E5">
          <w:headerReference w:type="default" r:id="rId12"/>
          <w:footerReference w:type="default" r:id="rId13"/>
          <w:pgSz w:w="11907" w:h="16834" w:code="9"/>
          <w:pgMar w:top="5670" w:right="1134" w:bottom="1134" w:left="1134" w:header="567" w:footer="851" w:gutter="0"/>
          <w:pgNumType w:start="1"/>
          <w:cols w:space="720"/>
        </w:sectPr>
      </w:pPr>
    </w:p>
    <w:p w14:paraId="6D17E5E8" w14:textId="5A84A317" w:rsidR="00082CD6" w:rsidRDefault="00A80363" w:rsidP="00A23EFF">
      <w:pPr>
        <w:pStyle w:val="Imprint"/>
        <w:spacing w:before="1200"/>
        <w:rPr>
          <w:rFonts w:cs="Segoe UI"/>
        </w:rPr>
      </w:pPr>
      <w:r w:rsidRPr="00AF656B">
        <w:rPr>
          <w:rFonts w:cs="Segoe UI"/>
        </w:rPr>
        <w:lastRenderedPageBreak/>
        <w:t xml:space="preserve">Citation: </w:t>
      </w:r>
      <w:r w:rsidR="003E731A" w:rsidRPr="003E731A">
        <w:rPr>
          <w:rFonts w:cs="Segoe UI"/>
        </w:rPr>
        <w:t>Ministry of Health. 202</w:t>
      </w:r>
      <w:r w:rsidR="003E731A">
        <w:rPr>
          <w:rFonts w:cs="Segoe UI"/>
        </w:rPr>
        <w:t>6</w:t>
      </w:r>
      <w:r w:rsidR="003E731A" w:rsidRPr="003E731A">
        <w:rPr>
          <w:rFonts w:cs="Segoe UI"/>
        </w:rPr>
        <w:t xml:space="preserve">. </w:t>
      </w:r>
      <w:r w:rsidR="003E731A" w:rsidRPr="003E731A">
        <w:rPr>
          <w:rFonts w:cs="Segoe UI"/>
          <w:i/>
          <w:iCs/>
        </w:rPr>
        <w:t xml:space="preserve">Assisted Dying Service – </w:t>
      </w:r>
      <w:proofErr w:type="spellStart"/>
      <w:r w:rsidR="003E731A" w:rsidRPr="003E731A">
        <w:rPr>
          <w:rFonts w:cs="Segoe UI"/>
          <w:i/>
          <w:iCs/>
        </w:rPr>
        <w:t>Ngā</w:t>
      </w:r>
      <w:proofErr w:type="spellEnd"/>
      <w:r w:rsidR="003E731A" w:rsidRPr="003E731A">
        <w:rPr>
          <w:rFonts w:cs="Segoe UI"/>
          <w:i/>
          <w:iCs/>
        </w:rPr>
        <w:t xml:space="preserve"> </w:t>
      </w:r>
      <w:proofErr w:type="spellStart"/>
      <w:r w:rsidR="003E731A" w:rsidRPr="003E731A">
        <w:rPr>
          <w:rFonts w:cs="Segoe UI"/>
          <w:i/>
          <w:iCs/>
        </w:rPr>
        <w:t>Ratonga</w:t>
      </w:r>
      <w:proofErr w:type="spellEnd"/>
      <w:r w:rsidR="003E731A" w:rsidRPr="003E731A">
        <w:rPr>
          <w:rFonts w:cs="Segoe UI"/>
          <w:i/>
          <w:iCs/>
        </w:rPr>
        <w:t xml:space="preserve"> Mate </w:t>
      </w:r>
      <w:proofErr w:type="spellStart"/>
      <w:r w:rsidR="003E731A" w:rsidRPr="003E731A">
        <w:rPr>
          <w:rFonts w:cs="Segoe UI"/>
          <w:i/>
          <w:iCs/>
        </w:rPr>
        <w:t>Whakaahuru</w:t>
      </w:r>
      <w:proofErr w:type="spellEnd"/>
      <w:r w:rsidR="007D1B11">
        <w:rPr>
          <w:rFonts w:cs="Segoe UI"/>
          <w:i/>
          <w:iCs/>
        </w:rPr>
        <w:t>:</w:t>
      </w:r>
      <w:r w:rsidR="003E731A" w:rsidRPr="003E731A">
        <w:rPr>
          <w:rFonts w:cs="Segoe UI"/>
          <w:i/>
          <w:iCs/>
        </w:rPr>
        <w:t xml:space="preserve"> Registrar (assisted dying) Annual Report to the Minister of Health – June 202</w:t>
      </w:r>
      <w:r w:rsidR="003E731A">
        <w:rPr>
          <w:rFonts w:cs="Segoe UI"/>
          <w:i/>
          <w:iCs/>
        </w:rPr>
        <w:t>6</w:t>
      </w:r>
      <w:r w:rsidR="003E731A" w:rsidRPr="003E731A">
        <w:rPr>
          <w:rFonts w:cs="Segoe UI"/>
        </w:rPr>
        <w:t>. Wellington: Ministry of Health</w:t>
      </w:r>
    </w:p>
    <w:p w14:paraId="335466CF" w14:textId="77777777" w:rsidR="004361D0" w:rsidRDefault="004361D0" w:rsidP="004361D0">
      <w:pPr>
        <w:pStyle w:val="Imprint"/>
      </w:pPr>
      <w:r>
        <w:t>Published in June 2026 by the Ministry of Health</w:t>
      </w:r>
      <w:r>
        <w:br/>
        <w:t>PO Box 5013, Wellington 6140, New Zealand</w:t>
      </w:r>
    </w:p>
    <w:p w14:paraId="0FE4842C" w14:textId="6A75F762" w:rsidR="005A1309" w:rsidRPr="005A1309" w:rsidRDefault="004764EE" w:rsidP="004361D0">
      <w:pPr>
        <w:pStyle w:val="Imprint"/>
      </w:pPr>
      <w:r>
        <w:t xml:space="preserve">ISBN </w:t>
      </w:r>
      <w:r w:rsidR="00833CAF" w:rsidRPr="00833CAF">
        <w:t>978-1-991324-90-0</w:t>
      </w:r>
      <w:r w:rsidR="00962694">
        <w:t xml:space="preserve"> (print)</w:t>
      </w:r>
      <w:r>
        <w:br/>
      </w:r>
      <w:r w:rsidR="004361D0">
        <w:t xml:space="preserve">ISBN </w:t>
      </w:r>
      <w:r w:rsidR="001876CB" w:rsidRPr="001876CB">
        <w:t>978-1-991324-91-7</w:t>
      </w:r>
      <w:r w:rsidR="004361D0">
        <w:t xml:space="preserve"> (online)</w:t>
      </w:r>
      <w:r w:rsidR="004361D0">
        <w:br/>
      </w:r>
      <w:r w:rsidR="004361D0" w:rsidRPr="009C0F2D">
        <w:t xml:space="preserve">HP </w:t>
      </w:r>
      <w:r w:rsidR="00552468">
        <w:t>9178</w:t>
      </w:r>
    </w:p>
    <w:p w14:paraId="48DBDA36" w14:textId="7263F306" w:rsidR="00C86248" w:rsidRPr="00AF656B" w:rsidRDefault="00EA608C" w:rsidP="00A63DFF">
      <w:r w:rsidRPr="00AF656B">
        <w:rPr>
          <w:noProof/>
        </w:rPr>
        <w:drawing>
          <wp:inline distT="0" distB="0" distL="0" distR="0" wp14:anchorId="7F6F146D" wp14:editId="639EE8D7">
            <wp:extent cx="1216800" cy="494305"/>
            <wp:effectExtent l="0" t="0" r="2540" b="1270"/>
            <wp:docPr id="1472750415" name="Picture 14727504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750415" name="Picture 1472750415">
                      <a:extLst>
                        <a:ext uri="{C183D7F6-B498-43B3-948B-1728B52AA6E4}">
                          <adec:decorative xmlns:adec="http://schemas.microsoft.com/office/drawing/2017/decorative" val="1"/>
                        </a:ext>
                      </a:extLst>
                    </pic:cNvPr>
                    <pic:cNvPicPr>
                      <a:picLocks noChangeAspect="1" noChangeArrowheads="1"/>
                    </pic:cNvPicPr>
                  </pic:nvPicPr>
                  <pic:blipFill>
                    <a:blip r:embed="rId14" cstate="print">
                      <a:grayscl/>
                      <a:extLst>
                        <a:ext uri="{28A0092B-C50C-407E-A947-70E740481C1C}">
                          <a14:useLocalDpi xmlns:a14="http://schemas.microsoft.com/office/drawing/2010/main" val="0"/>
                        </a:ext>
                      </a:extLst>
                    </a:blip>
                    <a:srcRect/>
                    <a:stretch>
                      <a:fillRect/>
                    </a:stretch>
                  </pic:blipFill>
                  <pic:spPr bwMode="auto">
                    <a:xfrm>
                      <a:off x="0" y="0"/>
                      <a:ext cx="1216800" cy="494305"/>
                    </a:xfrm>
                    <a:prstGeom prst="rect">
                      <a:avLst/>
                    </a:prstGeom>
                    <a:noFill/>
                    <a:ln>
                      <a:noFill/>
                    </a:ln>
                  </pic:spPr>
                </pic:pic>
              </a:graphicData>
            </a:graphic>
          </wp:inline>
        </w:drawing>
      </w:r>
    </w:p>
    <w:p w14:paraId="354F16DF" w14:textId="77777777" w:rsidR="00A63DFF" w:rsidRPr="00AF656B" w:rsidRDefault="00A63DFF" w:rsidP="00A63DFF">
      <w:pPr>
        <w:pStyle w:val="Imprint"/>
        <w:spacing w:before="240" w:after="480"/>
      </w:pPr>
      <w:r w:rsidRPr="00AF656B">
        <w:t>This document is available at health.govt.nz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6"/>
        <w:gridCol w:w="6061"/>
      </w:tblGrid>
      <w:tr w:rsidR="00A63DFF" w:rsidRPr="00AF656B" w14:paraId="3FC6B2D2" w14:textId="77777777" w:rsidTr="00A63DFF">
        <w:trPr>
          <w:cantSplit/>
        </w:trPr>
        <w:tc>
          <w:tcPr>
            <w:tcW w:w="1526" w:type="dxa"/>
          </w:tcPr>
          <w:p w14:paraId="362D26E7" w14:textId="77777777" w:rsidR="00A63DFF" w:rsidRPr="00AF656B" w:rsidRDefault="00A63DFF" w:rsidP="00A63DFF">
            <w:pPr>
              <w:rPr>
                <w:rFonts w:cs="Segoe UI"/>
                <w:sz w:val="15"/>
                <w:szCs w:val="15"/>
              </w:rPr>
            </w:pPr>
            <w:r w:rsidRPr="00AF656B">
              <w:rPr>
                <w:rFonts w:cs="Segoe UI"/>
                <w:b/>
                <w:noProof/>
                <w:sz w:val="15"/>
                <w:szCs w:val="15"/>
                <w:lang w:eastAsia="en-NZ"/>
              </w:rPr>
              <w:drawing>
                <wp:inline distT="0" distB="0" distL="0" distR="0" wp14:anchorId="4BFD7476" wp14:editId="5CB606D8">
                  <wp:extent cx="809625" cy="285750"/>
                  <wp:effectExtent l="0" t="0" r="9525" b="0"/>
                  <wp:docPr id="3" name="Picture 3" descr="CC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BY"/>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a:noFill/>
                          </a:ln>
                        </pic:spPr>
                      </pic:pic>
                    </a:graphicData>
                  </a:graphic>
                </wp:inline>
              </w:drawing>
            </w:r>
          </w:p>
        </w:tc>
        <w:tc>
          <w:tcPr>
            <w:tcW w:w="6061" w:type="dxa"/>
          </w:tcPr>
          <w:p w14:paraId="7D3A471A" w14:textId="77777777" w:rsidR="00A63DFF" w:rsidRPr="00AF656B" w:rsidRDefault="00A63DFF" w:rsidP="00A63DFF">
            <w:pPr>
              <w:rPr>
                <w:rFonts w:cs="Segoe UI"/>
                <w:sz w:val="15"/>
                <w:szCs w:val="15"/>
              </w:rPr>
            </w:pPr>
            <w:r w:rsidRPr="00AF656B">
              <w:rPr>
                <w:rFonts w:cs="Segoe UI"/>
                <w:sz w:val="15"/>
                <w:szCs w:val="15"/>
              </w:rPr>
              <w:t xml:space="preserve">This work is licensed under the Creative Commons Attribution 4.0 International licence. In essence, </w:t>
            </w:r>
            <w:r w:rsidRPr="00AF656B">
              <w:rPr>
                <w:rFonts w:cs="Segoe UI"/>
                <w:bCs/>
                <w:sz w:val="15"/>
                <w:szCs w:val="15"/>
              </w:rPr>
              <w:t xml:space="preserve">you are free to: </w:t>
            </w:r>
            <w:r w:rsidRPr="00AF656B">
              <w:rPr>
                <w:rFonts w:cs="Segoe UI"/>
                <w:sz w:val="15"/>
                <w:szCs w:val="15"/>
              </w:rPr>
              <w:t xml:space="preserve">share </w:t>
            </w:r>
            <w:proofErr w:type="spellStart"/>
            <w:r w:rsidRPr="00AF656B">
              <w:rPr>
                <w:rFonts w:cs="Segoe UI"/>
                <w:sz w:val="15"/>
                <w:szCs w:val="15"/>
              </w:rPr>
              <w:t>ie</w:t>
            </w:r>
            <w:proofErr w:type="spellEnd"/>
            <w:r w:rsidRPr="00AF656B">
              <w:rPr>
                <w:rFonts w:cs="Segoe UI"/>
                <w:sz w:val="15"/>
                <w:szCs w:val="15"/>
              </w:rPr>
              <w:t xml:space="preserve">, copy and redistribute the material in any medium or format; adapt </w:t>
            </w:r>
            <w:proofErr w:type="spellStart"/>
            <w:r w:rsidRPr="00AF656B">
              <w:rPr>
                <w:rFonts w:cs="Segoe UI"/>
                <w:sz w:val="15"/>
                <w:szCs w:val="15"/>
              </w:rPr>
              <w:t>ie</w:t>
            </w:r>
            <w:proofErr w:type="spellEnd"/>
            <w:r w:rsidRPr="00AF656B">
              <w:rPr>
                <w:rFonts w:cs="Segoe UI"/>
                <w:sz w:val="15"/>
                <w:szCs w:val="15"/>
              </w:rPr>
              <w:t xml:space="preserve">, remix, transform and build upon the material. </w:t>
            </w:r>
            <w:r w:rsidRPr="00AF656B">
              <w:rPr>
                <w:rFonts w:cs="Segoe UI"/>
                <w:bCs/>
                <w:sz w:val="15"/>
                <w:szCs w:val="15"/>
              </w:rPr>
              <w:t>You must give appropriate credit, provide a link to the licence and indicate if changes were made.</w:t>
            </w:r>
          </w:p>
        </w:tc>
      </w:tr>
    </w:tbl>
    <w:p w14:paraId="44C6FE3A" w14:textId="13E3A6E4" w:rsidR="007E74F1" w:rsidRPr="00AF656B" w:rsidRDefault="007E74F1" w:rsidP="00A63DFF"/>
    <w:p w14:paraId="2113CC0B" w14:textId="77777777" w:rsidR="00C86248" w:rsidRPr="00AF656B" w:rsidRDefault="00C86248">
      <w:pPr>
        <w:jc w:val="center"/>
        <w:sectPr w:rsidR="00C86248" w:rsidRPr="00AF656B" w:rsidSect="00C05132">
          <w:headerReference w:type="even" r:id="rId16"/>
          <w:footerReference w:type="even" r:id="rId17"/>
          <w:footerReference w:type="default" r:id="rId18"/>
          <w:pgSz w:w="11907" w:h="16834" w:code="9"/>
          <w:pgMar w:top="1701" w:right="2268" w:bottom="1134" w:left="2268" w:header="0" w:footer="0" w:gutter="0"/>
          <w:cols w:space="720"/>
          <w:vAlign w:val="bottom"/>
        </w:sectPr>
      </w:pPr>
    </w:p>
    <w:p w14:paraId="648D4F84" w14:textId="77777777" w:rsidR="00C86248" w:rsidRPr="00AF656B" w:rsidRDefault="00C86248" w:rsidP="00025A6F">
      <w:pPr>
        <w:pStyle w:val="IntroHead"/>
      </w:pPr>
      <w:bookmarkStart w:id="0" w:name="_Toc405792991"/>
      <w:bookmarkStart w:id="1" w:name="_Toc405793224"/>
      <w:r w:rsidRPr="00AF656B">
        <w:lastRenderedPageBreak/>
        <w:t>Contents</w:t>
      </w:r>
      <w:bookmarkEnd w:id="0"/>
      <w:bookmarkEnd w:id="1"/>
    </w:p>
    <w:p w14:paraId="4E0DCBD2" w14:textId="1EC6836A" w:rsidR="00132441" w:rsidRDefault="00C41FDD">
      <w:pPr>
        <w:pStyle w:val="TOC1"/>
        <w:rPr>
          <w:rFonts w:asciiTheme="minorHAnsi" w:eastAsiaTheme="minorEastAsia" w:hAnsiTheme="minorHAnsi" w:cstheme="minorBidi"/>
          <w:noProof/>
          <w:kern w:val="2"/>
          <w:szCs w:val="24"/>
          <w:lang w:val="en-AU" w:eastAsia="en-AU"/>
          <w14:ligatures w14:val="standardContextual"/>
        </w:rPr>
      </w:pPr>
      <w:r w:rsidRPr="00AF656B">
        <w:rPr>
          <w:b/>
        </w:rPr>
        <w:fldChar w:fldCharType="begin"/>
      </w:r>
      <w:r w:rsidRPr="00AF656B">
        <w:rPr>
          <w:b/>
        </w:rPr>
        <w:instrText xml:space="preserve"> TOC \o "1-2" \h \z </w:instrText>
      </w:r>
      <w:r w:rsidRPr="00AF656B">
        <w:rPr>
          <w:b/>
        </w:rPr>
        <w:fldChar w:fldCharType="separate"/>
      </w:r>
      <w:hyperlink w:anchor="_Toc233002268" w:history="1">
        <w:r w:rsidR="00132441" w:rsidRPr="001F322B">
          <w:rPr>
            <w:rStyle w:val="Hyperlink"/>
            <w:noProof/>
          </w:rPr>
          <w:t>Introduction</w:t>
        </w:r>
        <w:r w:rsidR="00132441">
          <w:rPr>
            <w:noProof/>
            <w:webHidden/>
          </w:rPr>
          <w:tab/>
        </w:r>
        <w:r w:rsidR="00132441">
          <w:rPr>
            <w:noProof/>
            <w:webHidden/>
          </w:rPr>
          <w:fldChar w:fldCharType="begin"/>
        </w:r>
        <w:r w:rsidR="00132441">
          <w:rPr>
            <w:noProof/>
            <w:webHidden/>
          </w:rPr>
          <w:instrText xml:space="preserve"> PAGEREF _Toc233002268 \h </w:instrText>
        </w:r>
        <w:r w:rsidR="00132441">
          <w:rPr>
            <w:noProof/>
            <w:webHidden/>
          </w:rPr>
        </w:r>
        <w:r w:rsidR="00132441">
          <w:rPr>
            <w:noProof/>
            <w:webHidden/>
          </w:rPr>
          <w:fldChar w:fldCharType="separate"/>
        </w:r>
        <w:r w:rsidR="00132441">
          <w:rPr>
            <w:noProof/>
            <w:webHidden/>
          </w:rPr>
          <w:t>1</w:t>
        </w:r>
        <w:r w:rsidR="00132441">
          <w:rPr>
            <w:noProof/>
            <w:webHidden/>
          </w:rPr>
          <w:fldChar w:fldCharType="end"/>
        </w:r>
      </w:hyperlink>
    </w:p>
    <w:p w14:paraId="02511EB2" w14:textId="2C6E385F" w:rsidR="00132441" w:rsidRDefault="00132441">
      <w:pPr>
        <w:pStyle w:val="TOC2"/>
        <w:rPr>
          <w:rFonts w:asciiTheme="minorHAnsi" w:eastAsiaTheme="minorEastAsia" w:hAnsiTheme="minorHAnsi" w:cstheme="minorBidi"/>
          <w:noProof/>
          <w:kern w:val="2"/>
          <w:sz w:val="24"/>
          <w:szCs w:val="24"/>
          <w:lang w:val="en-AU" w:eastAsia="en-AU"/>
          <w14:ligatures w14:val="standardContextual"/>
        </w:rPr>
      </w:pPr>
      <w:hyperlink w:anchor="_Toc233002269" w:history="1">
        <w:r w:rsidRPr="001F322B">
          <w:rPr>
            <w:rStyle w:val="Hyperlink"/>
            <w:noProof/>
          </w:rPr>
          <w:t>About this report</w:t>
        </w:r>
        <w:r>
          <w:rPr>
            <w:noProof/>
            <w:webHidden/>
          </w:rPr>
          <w:tab/>
        </w:r>
        <w:r>
          <w:rPr>
            <w:noProof/>
            <w:webHidden/>
          </w:rPr>
          <w:fldChar w:fldCharType="begin"/>
        </w:r>
        <w:r>
          <w:rPr>
            <w:noProof/>
            <w:webHidden/>
          </w:rPr>
          <w:instrText xml:space="preserve"> PAGEREF _Toc233002269 \h </w:instrText>
        </w:r>
        <w:r>
          <w:rPr>
            <w:noProof/>
            <w:webHidden/>
          </w:rPr>
        </w:r>
        <w:r>
          <w:rPr>
            <w:noProof/>
            <w:webHidden/>
          </w:rPr>
          <w:fldChar w:fldCharType="separate"/>
        </w:r>
        <w:r>
          <w:rPr>
            <w:noProof/>
            <w:webHidden/>
          </w:rPr>
          <w:t>1</w:t>
        </w:r>
        <w:r>
          <w:rPr>
            <w:noProof/>
            <w:webHidden/>
          </w:rPr>
          <w:fldChar w:fldCharType="end"/>
        </w:r>
      </w:hyperlink>
    </w:p>
    <w:p w14:paraId="7D133940" w14:textId="031FE3FC" w:rsidR="00132441" w:rsidRDefault="00132441">
      <w:pPr>
        <w:pStyle w:val="TOC2"/>
        <w:rPr>
          <w:rFonts w:asciiTheme="minorHAnsi" w:eastAsiaTheme="minorEastAsia" w:hAnsiTheme="minorHAnsi" w:cstheme="minorBidi"/>
          <w:noProof/>
          <w:kern w:val="2"/>
          <w:sz w:val="24"/>
          <w:szCs w:val="24"/>
          <w:lang w:val="en-AU" w:eastAsia="en-AU"/>
          <w14:ligatures w14:val="standardContextual"/>
        </w:rPr>
      </w:pPr>
      <w:hyperlink w:anchor="_Toc233002270" w:history="1">
        <w:r w:rsidRPr="001F322B">
          <w:rPr>
            <w:rStyle w:val="Hyperlink"/>
            <w:noProof/>
          </w:rPr>
          <w:t>End of Life Choice Act 2019</w:t>
        </w:r>
        <w:r>
          <w:rPr>
            <w:noProof/>
            <w:webHidden/>
          </w:rPr>
          <w:tab/>
        </w:r>
        <w:r>
          <w:rPr>
            <w:noProof/>
            <w:webHidden/>
          </w:rPr>
          <w:fldChar w:fldCharType="begin"/>
        </w:r>
        <w:r>
          <w:rPr>
            <w:noProof/>
            <w:webHidden/>
          </w:rPr>
          <w:instrText xml:space="preserve"> PAGEREF _Toc233002270 \h </w:instrText>
        </w:r>
        <w:r>
          <w:rPr>
            <w:noProof/>
            <w:webHidden/>
          </w:rPr>
        </w:r>
        <w:r>
          <w:rPr>
            <w:noProof/>
            <w:webHidden/>
          </w:rPr>
          <w:fldChar w:fldCharType="separate"/>
        </w:r>
        <w:r>
          <w:rPr>
            <w:noProof/>
            <w:webHidden/>
          </w:rPr>
          <w:t>1</w:t>
        </w:r>
        <w:r>
          <w:rPr>
            <w:noProof/>
            <w:webHidden/>
          </w:rPr>
          <w:fldChar w:fldCharType="end"/>
        </w:r>
      </w:hyperlink>
    </w:p>
    <w:p w14:paraId="65883AFF" w14:textId="53C1A3F8" w:rsidR="00132441" w:rsidRDefault="00132441">
      <w:pPr>
        <w:pStyle w:val="TOC1"/>
        <w:rPr>
          <w:rFonts w:asciiTheme="minorHAnsi" w:eastAsiaTheme="minorEastAsia" w:hAnsiTheme="minorHAnsi" w:cstheme="minorBidi"/>
          <w:noProof/>
          <w:kern w:val="2"/>
          <w:szCs w:val="24"/>
          <w:lang w:val="en-AU" w:eastAsia="en-AU"/>
          <w14:ligatures w14:val="standardContextual"/>
        </w:rPr>
      </w:pPr>
      <w:hyperlink w:anchor="_Toc233002271" w:history="1">
        <w:r w:rsidRPr="001F322B">
          <w:rPr>
            <w:rStyle w:val="Hyperlink"/>
            <w:noProof/>
          </w:rPr>
          <w:t>Roles and groups</w:t>
        </w:r>
        <w:r>
          <w:rPr>
            <w:noProof/>
            <w:webHidden/>
          </w:rPr>
          <w:tab/>
        </w:r>
        <w:r>
          <w:rPr>
            <w:noProof/>
            <w:webHidden/>
          </w:rPr>
          <w:fldChar w:fldCharType="begin"/>
        </w:r>
        <w:r>
          <w:rPr>
            <w:noProof/>
            <w:webHidden/>
          </w:rPr>
          <w:instrText xml:space="preserve"> PAGEREF _Toc233002271 \h </w:instrText>
        </w:r>
        <w:r>
          <w:rPr>
            <w:noProof/>
            <w:webHidden/>
          </w:rPr>
        </w:r>
        <w:r>
          <w:rPr>
            <w:noProof/>
            <w:webHidden/>
          </w:rPr>
          <w:fldChar w:fldCharType="separate"/>
        </w:r>
        <w:r>
          <w:rPr>
            <w:noProof/>
            <w:webHidden/>
          </w:rPr>
          <w:t>3</w:t>
        </w:r>
        <w:r>
          <w:rPr>
            <w:noProof/>
            <w:webHidden/>
          </w:rPr>
          <w:fldChar w:fldCharType="end"/>
        </w:r>
      </w:hyperlink>
    </w:p>
    <w:p w14:paraId="364C2506" w14:textId="3DEE7757" w:rsidR="00132441" w:rsidRDefault="00132441">
      <w:pPr>
        <w:pStyle w:val="TOC2"/>
        <w:rPr>
          <w:rFonts w:asciiTheme="minorHAnsi" w:eastAsiaTheme="minorEastAsia" w:hAnsiTheme="minorHAnsi" w:cstheme="minorBidi"/>
          <w:noProof/>
          <w:kern w:val="2"/>
          <w:sz w:val="24"/>
          <w:szCs w:val="24"/>
          <w:lang w:val="en-AU" w:eastAsia="en-AU"/>
          <w14:ligatures w14:val="standardContextual"/>
        </w:rPr>
      </w:pPr>
      <w:hyperlink w:anchor="_Toc233002272" w:history="1">
        <w:r w:rsidRPr="001F322B">
          <w:rPr>
            <w:rStyle w:val="Hyperlink"/>
            <w:noProof/>
          </w:rPr>
          <w:t>Registrar (assisted dying)</w:t>
        </w:r>
        <w:r>
          <w:rPr>
            <w:noProof/>
            <w:webHidden/>
          </w:rPr>
          <w:tab/>
        </w:r>
        <w:r>
          <w:rPr>
            <w:noProof/>
            <w:webHidden/>
          </w:rPr>
          <w:fldChar w:fldCharType="begin"/>
        </w:r>
        <w:r>
          <w:rPr>
            <w:noProof/>
            <w:webHidden/>
          </w:rPr>
          <w:instrText xml:space="preserve"> PAGEREF _Toc233002272 \h </w:instrText>
        </w:r>
        <w:r>
          <w:rPr>
            <w:noProof/>
            <w:webHidden/>
          </w:rPr>
        </w:r>
        <w:r>
          <w:rPr>
            <w:noProof/>
            <w:webHidden/>
          </w:rPr>
          <w:fldChar w:fldCharType="separate"/>
        </w:r>
        <w:r>
          <w:rPr>
            <w:noProof/>
            <w:webHidden/>
          </w:rPr>
          <w:t>3</w:t>
        </w:r>
        <w:r>
          <w:rPr>
            <w:noProof/>
            <w:webHidden/>
          </w:rPr>
          <w:fldChar w:fldCharType="end"/>
        </w:r>
      </w:hyperlink>
    </w:p>
    <w:p w14:paraId="22352F99" w14:textId="445335CF" w:rsidR="00132441" w:rsidRDefault="00132441">
      <w:pPr>
        <w:pStyle w:val="TOC2"/>
        <w:rPr>
          <w:rFonts w:asciiTheme="minorHAnsi" w:eastAsiaTheme="minorEastAsia" w:hAnsiTheme="minorHAnsi" w:cstheme="minorBidi"/>
          <w:noProof/>
          <w:kern w:val="2"/>
          <w:sz w:val="24"/>
          <w:szCs w:val="24"/>
          <w:lang w:val="en-AU" w:eastAsia="en-AU"/>
          <w14:ligatures w14:val="standardContextual"/>
        </w:rPr>
      </w:pPr>
      <w:hyperlink w:anchor="_Toc233002273" w:history="1">
        <w:r w:rsidRPr="001F322B">
          <w:rPr>
            <w:rStyle w:val="Hyperlink"/>
            <w:noProof/>
          </w:rPr>
          <w:t>The Support and Consultation for End of Life in New Zealand Group</w:t>
        </w:r>
        <w:r>
          <w:rPr>
            <w:noProof/>
            <w:webHidden/>
          </w:rPr>
          <w:tab/>
        </w:r>
        <w:r>
          <w:rPr>
            <w:noProof/>
            <w:webHidden/>
          </w:rPr>
          <w:fldChar w:fldCharType="begin"/>
        </w:r>
        <w:r>
          <w:rPr>
            <w:noProof/>
            <w:webHidden/>
          </w:rPr>
          <w:instrText xml:space="preserve"> PAGEREF _Toc233002273 \h </w:instrText>
        </w:r>
        <w:r>
          <w:rPr>
            <w:noProof/>
            <w:webHidden/>
          </w:rPr>
        </w:r>
        <w:r>
          <w:rPr>
            <w:noProof/>
            <w:webHidden/>
          </w:rPr>
          <w:fldChar w:fldCharType="separate"/>
        </w:r>
        <w:r>
          <w:rPr>
            <w:noProof/>
            <w:webHidden/>
          </w:rPr>
          <w:t>3</w:t>
        </w:r>
        <w:r>
          <w:rPr>
            <w:noProof/>
            <w:webHidden/>
          </w:rPr>
          <w:fldChar w:fldCharType="end"/>
        </w:r>
      </w:hyperlink>
    </w:p>
    <w:p w14:paraId="6D6FC0F1" w14:textId="198E56B7" w:rsidR="00132441" w:rsidRDefault="00132441">
      <w:pPr>
        <w:pStyle w:val="TOC2"/>
        <w:rPr>
          <w:rFonts w:asciiTheme="minorHAnsi" w:eastAsiaTheme="minorEastAsia" w:hAnsiTheme="minorHAnsi" w:cstheme="minorBidi"/>
          <w:noProof/>
          <w:kern w:val="2"/>
          <w:sz w:val="24"/>
          <w:szCs w:val="24"/>
          <w:lang w:val="en-AU" w:eastAsia="en-AU"/>
          <w14:ligatures w14:val="standardContextual"/>
        </w:rPr>
      </w:pPr>
      <w:hyperlink w:anchor="_Toc233002274" w:history="1">
        <w:r w:rsidRPr="001F322B">
          <w:rPr>
            <w:rStyle w:val="Hyperlink"/>
            <w:noProof/>
          </w:rPr>
          <w:t>End of Life Review Committee</w:t>
        </w:r>
        <w:r>
          <w:rPr>
            <w:noProof/>
            <w:webHidden/>
          </w:rPr>
          <w:tab/>
        </w:r>
        <w:r>
          <w:rPr>
            <w:noProof/>
            <w:webHidden/>
          </w:rPr>
          <w:fldChar w:fldCharType="begin"/>
        </w:r>
        <w:r>
          <w:rPr>
            <w:noProof/>
            <w:webHidden/>
          </w:rPr>
          <w:instrText xml:space="preserve"> PAGEREF _Toc233002274 \h </w:instrText>
        </w:r>
        <w:r>
          <w:rPr>
            <w:noProof/>
            <w:webHidden/>
          </w:rPr>
        </w:r>
        <w:r>
          <w:rPr>
            <w:noProof/>
            <w:webHidden/>
          </w:rPr>
          <w:fldChar w:fldCharType="separate"/>
        </w:r>
        <w:r>
          <w:rPr>
            <w:noProof/>
            <w:webHidden/>
          </w:rPr>
          <w:t>4</w:t>
        </w:r>
        <w:r>
          <w:rPr>
            <w:noProof/>
            <w:webHidden/>
          </w:rPr>
          <w:fldChar w:fldCharType="end"/>
        </w:r>
      </w:hyperlink>
    </w:p>
    <w:p w14:paraId="7349DEE0" w14:textId="3D8752B6" w:rsidR="00132441" w:rsidRDefault="00132441">
      <w:pPr>
        <w:pStyle w:val="TOC2"/>
        <w:rPr>
          <w:rFonts w:asciiTheme="minorHAnsi" w:eastAsiaTheme="minorEastAsia" w:hAnsiTheme="minorHAnsi" w:cstheme="minorBidi"/>
          <w:noProof/>
          <w:kern w:val="2"/>
          <w:sz w:val="24"/>
          <w:szCs w:val="24"/>
          <w:lang w:val="en-AU" w:eastAsia="en-AU"/>
          <w14:ligatures w14:val="standardContextual"/>
        </w:rPr>
      </w:pPr>
      <w:hyperlink w:anchor="_Toc233002275" w:history="1">
        <w:r w:rsidRPr="001F322B">
          <w:rPr>
            <w:rStyle w:val="Hyperlink"/>
            <w:noProof/>
          </w:rPr>
          <w:t>Assisted Dying Secretariat</w:t>
        </w:r>
        <w:r>
          <w:rPr>
            <w:noProof/>
            <w:webHidden/>
          </w:rPr>
          <w:tab/>
        </w:r>
        <w:r>
          <w:rPr>
            <w:noProof/>
            <w:webHidden/>
          </w:rPr>
          <w:fldChar w:fldCharType="begin"/>
        </w:r>
        <w:r>
          <w:rPr>
            <w:noProof/>
            <w:webHidden/>
          </w:rPr>
          <w:instrText xml:space="preserve"> PAGEREF _Toc233002275 \h </w:instrText>
        </w:r>
        <w:r>
          <w:rPr>
            <w:noProof/>
            <w:webHidden/>
          </w:rPr>
        </w:r>
        <w:r>
          <w:rPr>
            <w:noProof/>
            <w:webHidden/>
          </w:rPr>
          <w:fldChar w:fldCharType="separate"/>
        </w:r>
        <w:r>
          <w:rPr>
            <w:noProof/>
            <w:webHidden/>
          </w:rPr>
          <w:t>4</w:t>
        </w:r>
        <w:r>
          <w:rPr>
            <w:noProof/>
            <w:webHidden/>
          </w:rPr>
          <w:fldChar w:fldCharType="end"/>
        </w:r>
      </w:hyperlink>
    </w:p>
    <w:p w14:paraId="73F824FE" w14:textId="5147F7C3" w:rsidR="00132441" w:rsidRDefault="00132441">
      <w:pPr>
        <w:pStyle w:val="TOC2"/>
        <w:rPr>
          <w:rFonts w:asciiTheme="minorHAnsi" w:eastAsiaTheme="minorEastAsia" w:hAnsiTheme="minorHAnsi" w:cstheme="minorBidi"/>
          <w:noProof/>
          <w:kern w:val="2"/>
          <w:sz w:val="24"/>
          <w:szCs w:val="24"/>
          <w:lang w:val="en-AU" w:eastAsia="en-AU"/>
          <w14:ligatures w14:val="standardContextual"/>
        </w:rPr>
      </w:pPr>
      <w:hyperlink w:anchor="_Toc233002276" w:history="1">
        <w:r w:rsidRPr="001F322B">
          <w:rPr>
            <w:rStyle w:val="Hyperlink"/>
            <w:noProof/>
            <w:lang w:eastAsia="en-NZ"/>
          </w:rPr>
          <w:t>The Office of the Registrar</w:t>
        </w:r>
        <w:r>
          <w:rPr>
            <w:noProof/>
            <w:webHidden/>
          </w:rPr>
          <w:tab/>
        </w:r>
        <w:r>
          <w:rPr>
            <w:noProof/>
            <w:webHidden/>
          </w:rPr>
          <w:fldChar w:fldCharType="begin"/>
        </w:r>
        <w:r>
          <w:rPr>
            <w:noProof/>
            <w:webHidden/>
          </w:rPr>
          <w:instrText xml:space="preserve"> PAGEREF _Toc233002276 \h </w:instrText>
        </w:r>
        <w:r>
          <w:rPr>
            <w:noProof/>
            <w:webHidden/>
          </w:rPr>
        </w:r>
        <w:r>
          <w:rPr>
            <w:noProof/>
            <w:webHidden/>
          </w:rPr>
          <w:fldChar w:fldCharType="separate"/>
        </w:r>
        <w:r>
          <w:rPr>
            <w:noProof/>
            <w:webHidden/>
          </w:rPr>
          <w:t>4</w:t>
        </w:r>
        <w:r>
          <w:rPr>
            <w:noProof/>
            <w:webHidden/>
          </w:rPr>
          <w:fldChar w:fldCharType="end"/>
        </w:r>
      </w:hyperlink>
    </w:p>
    <w:p w14:paraId="11B01A97" w14:textId="7613C591" w:rsidR="00132441" w:rsidRDefault="00132441">
      <w:pPr>
        <w:pStyle w:val="TOC2"/>
        <w:rPr>
          <w:rFonts w:asciiTheme="minorHAnsi" w:eastAsiaTheme="minorEastAsia" w:hAnsiTheme="minorHAnsi" w:cstheme="minorBidi"/>
          <w:noProof/>
          <w:kern w:val="2"/>
          <w:sz w:val="24"/>
          <w:szCs w:val="24"/>
          <w:lang w:val="en-AU" w:eastAsia="en-AU"/>
          <w14:ligatures w14:val="standardContextual"/>
        </w:rPr>
      </w:pPr>
      <w:hyperlink w:anchor="_Toc233002277" w:history="1">
        <w:r w:rsidRPr="001F322B">
          <w:rPr>
            <w:rStyle w:val="Hyperlink"/>
            <w:noProof/>
          </w:rPr>
          <w:t>Health New Zealand</w:t>
        </w:r>
        <w:r>
          <w:rPr>
            <w:noProof/>
            <w:webHidden/>
          </w:rPr>
          <w:tab/>
        </w:r>
        <w:r>
          <w:rPr>
            <w:noProof/>
            <w:webHidden/>
          </w:rPr>
          <w:fldChar w:fldCharType="begin"/>
        </w:r>
        <w:r>
          <w:rPr>
            <w:noProof/>
            <w:webHidden/>
          </w:rPr>
          <w:instrText xml:space="preserve"> PAGEREF _Toc233002277 \h </w:instrText>
        </w:r>
        <w:r>
          <w:rPr>
            <w:noProof/>
            <w:webHidden/>
          </w:rPr>
        </w:r>
        <w:r>
          <w:rPr>
            <w:noProof/>
            <w:webHidden/>
          </w:rPr>
          <w:fldChar w:fldCharType="separate"/>
        </w:r>
        <w:r>
          <w:rPr>
            <w:noProof/>
            <w:webHidden/>
          </w:rPr>
          <w:t>4</w:t>
        </w:r>
        <w:r>
          <w:rPr>
            <w:noProof/>
            <w:webHidden/>
          </w:rPr>
          <w:fldChar w:fldCharType="end"/>
        </w:r>
      </w:hyperlink>
    </w:p>
    <w:p w14:paraId="2BF8BF24" w14:textId="662E1631" w:rsidR="00132441" w:rsidRDefault="00132441">
      <w:pPr>
        <w:pStyle w:val="TOC1"/>
        <w:rPr>
          <w:rFonts w:asciiTheme="minorHAnsi" w:eastAsiaTheme="minorEastAsia" w:hAnsiTheme="minorHAnsi" w:cstheme="minorBidi"/>
          <w:noProof/>
          <w:kern w:val="2"/>
          <w:szCs w:val="24"/>
          <w:lang w:val="en-AU" w:eastAsia="en-AU"/>
          <w14:ligatures w14:val="standardContextual"/>
        </w:rPr>
      </w:pPr>
      <w:hyperlink w:anchor="_Toc233002278" w:history="1">
        <w:r w:rsidRPr="001F322B">
          <w:rPr>
            <w:rStyle w:val="Hyperlink"/>
            <w:noProof/>
          </w:rPr>
          <w:t>The assisted dying process</w:t>
        </w:r>
        <w:r>
          <w:rPr>
            <w:noProof/>
            <w:webHidden/>
          </w:rPr>
          <w:tab/>
        </w:r>
        <w:r>
          <w:rPr>
            <w:noProof/>
            <w:webHidden/>
          </w:rPr>
          <w:fldChar w:fldCharType="begin"/>
        </w:r>
        <w:r>
          <w:rPr>
            <w:noProof/>
            <w:webHidden/>
          </w:rPr>
          <w:instrText xml:space="preserve"> PAGEREF _Toc233002278 \h </w:instrText>
        </w:r>
        <w:r>
          <w:rPr>
            <w:noProof/>
            <w:webHidden/>
          </w:rPr>
        </w:r>
        <w:r>
          <w:rPr>
            <w:noProof/>
            <w:webHidden/>
          </w:rPr>
          <w:fldChar w:fldCharType="separate"/>
        </w:r>
        <w:r>
          <w:rPr>
            <w:noProof/>
            <w:webHidden/>
          </w:rPr>
          <w:t>5</w:t>
        </w:r>
        <w:r>
          <w:rPr>
            <w:noProof/>
            <w:webHidden/>
          </w:rPr>
          <w:fldChar w:fldCharType="end"/>
        </w:r>
      </w:hyperlink>
    </w:p>
    <w:p w14:paraId="00C988F8" w14:textId="1E649344" w:rsidR="00132441" w:rsidRDefault="00132441">
      <w:pPr>
        <w:pStyle w:val="TOC1"/>
        <w:rPr>
          <w:rFonts w:asciiTheme="minorHAnsi" w:eastAsiaTheme="minorEastAsia" w:hAnsiTheme="minorHAnsi" w:cstheme="minorBidi"/>
          <w:noProof/>
          <w:kern w:val="2"/>
          <w:szCs w:val="24"/>
          <w:lang w:val="en-AU" w:eastAsia="en-AU"/>
          <w14:ligatures w14:val="standardContextual"/>
        </w:rPr>
      </w:pPr>
      <w:hyperlink w:anchor="_Toc233002279" w:history="1">
        <w:r w:rsidRPr="001F322B">
          <w:rPr>
            <w:rStyle w:val="Hyperlink"/>
            <w:noProof/>
          </w:rPr>
          <w:t>Reporting and service activity</w:t>
        </w:r>
        <w:r>
          <w:rPr>
            <w:noProof/>
            <w:webHidden/>
          </w:rPr>
          <w:tab/>
        </w:r>
        <w:r>
          <w:rPr>
            <w:noProof/>
            <w:webHidden/>
          </w:rPr>
          <w:fldChar w:fldCharType="begin"/>
        </w:r>
        <w:r>
          <w:rPr>
            <w:noProof/>
            <w:webHidden/>
          </w:rPr>
          <w:instrText xml:space="preserve"> PAGEREF _Toc233002279 \h </w:instrText>
        </w:r>
        <w:r>
          <w:rPr>
            <w:noProof/>
            <w:webHidden/>
          </w:rPr>
        </w:r>
        <w:r>
          <w:rPr>
            <w:noProof/>
            <w:webHidden/>
          </w:rPr>
          <w:fldChar w:fldCharType="separate"/>
        </w:r>
        <w:r>
          <w:rPr>
            <w:noProof/>
            <w:webHidden/>
          </w:rPr>
          <w:t>7</w:t>
        </w:r>
        <w:r>
          <w:rPr>
            <w:noProof/>
            <w:webHidden/>
          </w:rPr>
          <w:fldChar w:fldCharType="end"/>
        </w:r>
      </w:hyperlink>
    </w:p>
    <w:p w14:paraId="4E98511C" w14:textId="2441E3CC" w:rsidR="00132441" w:rsidRDefault="00132441">
      <w:pPr>
        <w:pStyle w:val="TOC1"/>
        <w:rPr>
          <w:rFonts w:asciiTheme="minorHAnsi" w:eastAsiaTheme="minorEastAsia" w:hAnsiTheme="minorHAnsi" w:cstheme="minorBidi"/>
          <w:noProof/>
          <w:kern w:val="2"/>
          <w:szCs w:val="24"/>
          <w:lang w:val="en-AU" w:eastAsia="en-AU"/>
          <w14:ligatures w14:val="standardContextual"/>
        </w:rPr>
      </w:pPr>
      <w:hyperlink w:anchor="_Toc233002280" w:history="1">
        <w:r w:rsidRPr="001F322B">
          <w:rPr>
            <w:rStyle w:val="Hyperlink"/>
            <w:noProof/>
          </w:rPr>
          <w:t>Key facts</w:t>
        </w:r>
        <w:r>
          <w:rPr>
            <w:noProof/>
            <w:webHidden/>
          </w:rPr>
          <w:tab/>
        </w:r>
        <w:r>
          <w:rPr>
            <w:noProof/>
            <w:webHidden/>
          </w:rPr>
          <w:fldChar w:fldCharType="begin"/>
        </w:r>
        <w:r>
          <w:rPr>
            <w:noProof/>
            <w:webHidden/>
          </w:rPr>
          <w:instrText xml:space="preserve"> PAGEREF _Toc233002280 \h </w:instrText>
        </w:r>
        <w:r>
          <w:rPr>
            <w:noProof/>
            <w:webHidden/>
          </w:rPr>
        </w:r>
        <w:r>
          <w:rPr>
            <w:noProof/>
            <w:webHidden/>
          </w:rPr>
          <w:fldChar w:fldCharType="separate"/>
        </w:r>
        <w:r>
          <w:rPr>
            <w:noProof/>
            <w:webHidden/>
          </w:rPr>
          <w:t>8</w:t>
        </w:r>
        <w:r>
          <w:rPr>
            <w:noProof/>
            <w:webHidden/>
          </w:rPr>
          <w:fldChar w:fldCharType="end"/>
        </w:r>
      </w:hyperlink>
    </w:p>
    <w:p w14:paraId="446C6FCC" w14:textId="61993F13" w:rsidR="00132441" w:rsidRDefault="00132441">
      <w:pPr>
        <w:pStyle w:val="TOC1"/>
        <w:rPr>
          <w:rFonts w:asciiTheme="minorHAnsi" w:eastAsiaTheme="minorEastAsia" w:hAnsiTheme="minorHAnsi" w:cstheme="minorBidi"/>
          <w:noProof/>
          <w:kern w:val="2"/>
          <w:szCs w:val="24"/>
          <w:lang w:val="en-AU" w:eastAsia="en-AU"/>
          <w14:ligatures w14:val="standardContextual"/>
        </w:rPr>
      </w:pPr>
      <w:hyperlink w:anchor="_Toc233002281" w:history="1">
        <w:r w:rsidRPr="001F322B">
          <w:rPr>
            <w:rStyle w:val="Hyperlink"/>
            <w:noProof/>
          </w:rPr>
          <w:t>Overview of assisted dying applications</w:t>
        </w:r>
        <w:r>
          <w:rPr>
            <w:noProof/>
            <w:webHidden/>
          </w:rPr>
          <w:tab/>
        </w:r>
        <w:r>
          <w:rPr>
            <w:noProof/>
            <w:webHidden/>
          </w:rPr>
          <w:fldChar w:fldCharType="begin"/>
        </w:r>
        <w:r>
          <w:rPr>
            <w:noProof/>
            <w:webHidden/>
          </w:rPr>
          <w:instrText xml:space="preserve"> PAGEREF _Toc233002281 \h </w:instrText>
        </w:r>
        <w:r>
          <w:rPr>
            <w:noProof/>
            <w:webHidden/>
          </w:rPr>
        </w:r>
        <w:r>
          <w:rPr>
            <w:noProof/>
            <w:webHidden/>
          </w:rPr>
          <w:fldChar w:fldCharType="separate"/>
        </w:r>
        <w:r>
          <w:rPr>
            <w:noProof/>
            <w:webHidden/>
          </w:rPr>
          <w:t>9</w:t>
        </w:r>
        <w:r>
          <w:rPr>
            <w:noProof/>
            <w:webHidden/>
          </w:rPr>
          <w:fldChar w:fldCharType="end"/>
        </w:r>
      </w:hyperlink>
    </w:p>
    <w:p w14:paraId="0F09B523" w14:textId="0AF8E1DF" w:rsidR="00132441" w:rsidRDefault="00132441">
      <w:pPr>
        <w:pStyle w:val="TOC2"/>
        <w:rPr>
          <w:rFonts w:asciiTheme="minorHAnsi" w:eastAsiaTheme="minorEastAsia" w:hAnsiTheme="minorHAnsi" w:cstheme="minorBidi"/>
          <w:noProof/>
          <w:kern w:val="2"/>
          <w:sz w:val="24"/>
          <w:szCs w:val="24"/>
          <w:lang w:val="en-AU" w:eastAsia="en-AU"/>
          <w14:ligatures w14:val="standardContextual"/>
        </w:rPr>
      </w:pPr>
      <w:hyperlink w:anchor="_Toc233002282" w:history="1">
        <w:r w:rsidRPr="001F322B">
          <w:rPr>
            <w:rStyle w:val="Hyperlink"/>
            <w:noProof/>
          </w:rPr>
          <w:t>Timeframes for eligibility</w:t>
        </w:r>
        <w:r>
          <w:rPr>
            <w:noProof/>
            <w:webHidden/>
          </w:rPr>
          <w:tab/>
        </w:r>
        <w:r>
          <w:rPr>
            <w:noProof/>
            <w:webHidden/>
          </w:rPr>
          <w:fldChar w:fldCharType="begin"/>
        </w:r>
        <w:r>
          <w:rPr>
            <w:noProof/>
            <w:webHidden/>
          </w:rPr>
          <w:instrText xml:space="preserve"> PAGEREF _Toc233002282 \h </w:instrText>
        </w:r>
        <w:r>
          <w:rPr>
            <w:noProof/>
            <w:webHidden/>
          </w:rPr>
        </w:r>
        <w:r>
          <w:rPr>
            <w:noProof/>
            <w:webHidden/>
          </w:rPr>
          <w:fldChar w:fldCharType="separate"/>
        </w:r>
        <w:r>
          <w:rPr>
            <w:noProof/>
            <w:webHidden/>
          </w:rPr>
          <w:t>10</w:t>
        </w:r>
        <w:r>
          <w:rPr>
            <w:noProof/>
            <w:webHidden/>
          </w:rPr>
          <w:fldChar w:fldCharType="end"/>
        </w:r>
      </w:hyperlink>
    </w:p>
    <w:p w14:paraId="0276B2E5" w14:textId="0CD767BA" w:rsidR="00132441" w:rsidRDefault="00132441">
      <w:pPr>
        <w:pStyle w:val="TOC2"/>
        <w:rPr>
          <w:rFonts w:asciiTheme="minorHAnsi" w:eastAsiaTheme="minorEastAsia" w:hAnsiTheme="minorHAnsi" w:cstheme="minorBidi"/>
          <w:noProof/>
          <w:kern w:val="2"/>
          <w:sz w:val="24"/>
          <w:szCs w:val="24"/>
          <w:lang w:val="en-AU" w:eastAsia="en-AU"/>
          <w14:ligatures w14:val="standardContextual"/>
        </w:rPr>
      </w:pPr>
      <w:hyperlink w:anchor="_Toc233002283" w:history="1">
        <w:r w:rsidRPr="001F322B">
          <w:rPr>
            <w:rStyle w:val="Hyperlink"/>
            <w:noProof/>
          </w:rPr>
          <w:t>Demographic details of applicants</w:t>
        </w:r>
        <w:r>
          <w:rPr>
            <w:noProof/>
            <w:webHidden/>
          </w:rPr>
          <w:tab/>
        </w:r>
        <w:r>
          <w:rPr>
            <w:noProof/>
            <w:webHidden/>
          </w:rPr>
          <w:fldChar w:fldCharType="begin"/>
        </w:r>
        <w:r>
          <w:rPr>
            <w:noProof/>
            <w:webHidden/>
          </w:rPr>
          <w:instrText xml:space="preserve"> PAGEREF _Toc233002283 \h </w:instrText>
        </w:r>
        <w:r>
          <w:rPr>
            <w:noProof/>
            <w:webHidden/>
          </w:rPr>
        </w:r>
        <w:r>
          <w:rPr>
            <w:noProof/>
            <w:webHidden/>
          </w:rPr>
          <w:fldChar w:fldCharType="separate"/>
        </w:r>
        <w:r>
          <w:rPr>
            <w:noProof/>
            <w:webHidden/>
          </w:rPr>
          <w:t>11</w:t>
        </w:r>
        <w:r>
          <w:rPr>
            <w:noProof/>
            <w:webHidden/>
          </w:rPr>
          <w:fldChar w:fldCharType="end"/>
        </w:r>
      </w:hyperlink>
    </w:p>
    <w:p w14:paraId="1EB9B0FE" w14:textId="71CEFACA" w:rsidR="00132441" w:rsidRDefault="00132441">
      <w:pPr>
        <w:pStyle w:val="TOC1"/>
        <w:rPr>
          <w:rFonts w:asciiTheme="minorHAnsi" w:eastAsiaTheme="minorEastAsia" w:hAnsiTheme="minorHAnsi" w:cstheme="minorBidi"/>
          <w:noProof/>
          <w:kern w:val="2"/>
          <w:szCs w:val="24"/>
          <w:lang w:val="en-AU" w:eastAsia="en-AU"/>
          <w14:ligatures w14:val="standardContextual"/>
        </w:rPr>
      </w:pPr>
      <w:hyperlink w:anchor="_Toc233002284" w:history="1">
        <w:r w:rsidRPr="001F322B">
          <w:rPr>
            <w:rStyle w:val="Hyperlink"/>
            <w:noProof/>
          </w:rPr>
          <w:t>Application outcomes</w:t>
        </w:r>
        <w:r>
          <w:rPr>
            <w:noProof/>
            <w:webHidden/>
          </w:rPr>
          <w:tab/>
        </w:r>
        <w:r>
          <w:rPr>
            <w:noProof/>
            <w:webHidden/>
          </w:rPr>
          <w:fldChar w:fldCharType="begin"/>
        </w:r>
        <w:r>
          <w:rPr>
            <w:noProof/>
            <w:webHidden/>
          </w:rPr>
          <w:instrText xml:space="preserve"> PAGEREF _Toc233002284 \h </w:instrText>
        </w:r>
        <w:r>
          <w:rPr>
            <w:noProof/>
            <w:webHidden/>
          </w:rPr>
        </w:r>
        <w:r>
          <w:rPr>
            <w:noProof/>
            <w:webHidden/>
          </w:rPr>
          <w:fldChar w:fldCharType="separate"/>
        </w:r>
        <w:r>
          <w:rPr>
            <w:noProof/>
            <w:webHidden/>
          </w:rPr>
          <w:t>14</w:t>
        </w:r>
        <w:r>
          <w:rPr>
            <w:noProof/>
            <w:webHidden/>
          </w:rPr>
          <w:fldChar w:fldCharType="end"/>
        </w:r>
      </w:hyperlink>
    </w:p>
    <w:p w14:paraId="54C7C3C9" w14:textId="15926E3A" w:rsidR="00132441" w:rsidRDefault="00132441">
      <w:pPr>
        <w:pStyle w:val="TOC2"/>
        <w:rPr>
          <w:rFonts w:asciiTheme="minorHAnsi" w:eastAsiaTheme="minorEastAsia" w:hAnsiTheme="minorHAnsi" w:cstheme="minorBidi"/>
          <w:noProof/>
          <w:kern w:val="2"/>
          <w:sz w:val="24"/>
          <w:szCs w:val="24"/>
          <w:lang w:val="en-AU" w:eastAsia="en-AU"/>
          <w14:ligatures w14:val="standardContextual"/>
        </w:rPr>
      </w:pPr>
      <w:hyperlink w:anchor="_Toc233002285" w:history="1">
        <w:r w:rsidRPr="001F322B">
          <w:rPr>
            <w:rStyle w:val="Hyperlink"/>
            <w:noProof/>
          </w:rPr>
          <w:t>Assessments completed during the reporting period</w:t>
        </w:r>
        <w:r>
          <w:rPr>
            <w:noProof/>
            <w:webHidden/>
          </w:rPr>
          <w:tab/>
        </w:r>
        <w:r>
          <w:rPr>
            <w:noProof/>
            <w:webHidden/>
          </w:rPr>
          <w:fldChar w:fldCharType="begin"/>
        </w:r>
        <w:r>
          <w:rPr>
            <w:noProof/>
            <w:webHidden/>
          </w:rPr>
          <w:instrText xml:space="preserve"> PAGEREF _Toc233002285 \h </w:instrText>
        </w:r>
        <w:r>
          <w:rPr>
            <w:noProof/>
            <w:webHidden/>
          </w:rPr>
        </w:r>
        <w:r>
          <w:rPr>
            <w:noProof/>
            <w:webHidden/>
          </w:rPr>
          <w:fldChar w:fldCharType="separate"/>
        </w:r>
        <w:r>
          <w:rPr>
            <w:noProof/>
            <w:webHidden/>
          </w:rPr>
          <w:t>14</w:t>
        </w:r>
        <w:r>
          <w:rPr>
            <w:noProof/>
            <w:webHidden/>
          </w:rPr>
          <w:fldChar w:fldCharType="end"/>
        </w:r>
      </w:hyperlink>
    </w:p>
    <w:p w14:paraId="0EAED9C1" w14:textId="3BC26079" w:rsidR="00132441" w:rsidRDefault="00132441">
      <w:pPr>
        <w:pStyle w:val="TOC2"/>
        <w:rPr>
          <w:rFonts w:asciiTheme="minorHAnsi" w:eastAsiaTheme="minorEastAsia" w:hAnsiTheme="minorHAnsi" w:cstheme="minorBidi"/>
          <w:noProof/>
          <w:kern w:val="2"/>
          <w:sz w:val="24"/>
          <w:szCs w:val="24"/>
          <w:lang w:val="en-AU" w:eastAsia="en-AU"/>
          <w14:ligatures w14:val="standardContextual"/>
        </w:rPr>
      </w:pPr>
      <w:hyperlink w:anchor="_Toc233002286" w:history="1">
        <w:r w:rsidRPr="001F322B">
          <w:rPr>
            <w:rStyle w:val="Hyperlink"/>
            <w:noProof/>
          </w:rPr>
          <w:t>Applications not progressed to an assisted death</w:t>
        </w:r>
        <w:r>
          <w:rPr>
            <w:noProof/>
            <w:webHidden/>
          </w:rPr>
          <w:tab/>
        </w:r>
        <w:r>
          <w:rPr>
            <w:noProof/>
            <w:webHidden/>
          </w:rPr>
          <w:fldChar w:fldCharType="begin"/>
        </w:r>
        <w:r>
          <w:rPr>
            <w:noProof/>
            <w:webHidden/>
          </w:rPr>
          <w:instrText xml:space="preserve"> PAGEREF _Toc233002286 \h </w:instrText>
        </w:r>
        <w:r>
          <w:rPr>
            <w:noProof/>
            <w:webHidden/>
          </w:rPr>
        </w:r>
        <w:r>
          <w:rPr>
            <w:noProof/>
            <w:webHidden/>
          </w:rPr>
          <w:fldChar w:fldCharType="separate"/>
        </w:r>
        <w:r>
          <w:rPr>
            <w:noProof/>
            <w:webHidden/>
          </w:rPr>
          <w:t>16</w:t>
        </w:r>
        <w:r>
          <w:rPr>
            <w:noProof/>
            <w:webHidden/>
          </w:rPr>
          <w:fldChar w:fldCharType="end"/>
        </w:r>
      </w:hyperlink>
    </w:p>
    <w:p w14:paraId="64E46B85" w14:textId="18DEAD4C" w:rsidR="00132441" w:rsidRDefault="00132441">
      <w:pPr>
        <w:pStyle w:val="TOC1"/>
        <w:rPr>
          <w:rFonts w:asciiTheme="minorHAnsi" w:eastAsiaTheme="minorEastAsia" w:hAnsiTheme="minorHAnsi" w:cstheme="minorBidi"/>
          <w:noProof/>
          <w:kern w:val="2"/>
          <w:szCs w:val="24"/>
          <w:lang w:val="en-AU" w:eastAsia="en-AU"/>
          <w14:ligatures w14:val="standardContextual"/>
        </w:rPr>
      </w:pPr>
      <w:hyperlink w:anchor="_Toc233002287" w:history="1">
        <w:r w:rsidRPr="001F322B">
          <w:rPr>
            <w:rStyle w:val="Hyperlink"/>
            <w:noProof/>
          </w:rPr>
          <w:t>Assisted deaths</w:t>
        </w:r>
        <w:r>
          <w:rPr>
            <w:noProof/>
            <w:webHidden/>
          </w:rPr>
          <w:tab/>
        </w:r>
        <w:r>
          <w:rPr>
            <w:noProof/>
            <w:webHidden/>
          </w:rPr>
          <w:fldChar w:fldCharType="begin"/>
        </w:r>
        <w:r>
          <w:rPr>
            <w:noProof/>
            <w:webHidden/>
          </w:rPr>
          <w:instrText xml:space="preserve"> PAGEREF _Toc233002287 \h </w:instrText>
        </w:r>
        <w:r>
          <w:rPr>
            <w:noProof/>
            <w:webHidden/>
          </w:rPr>
        </w:r>
        <w:r>
          <w:rPr>
            <w:noProof/>
            <w:webHidden/>
          </w:rPr>
          <w:fldChar w:fldCharType="separate"/>
        </w:r>
        <w:r>
          <w:rPr>
            <w:noProof/>
            <w:webHidden/>
          </w:rPr>
          <w:t>18</w:t>
        </w:r>
        <w:r>
          <w:rPr>
            <w:noProof/>
            <w:webHidden/>
          </w:rPr>
          <w:fldChar w:fldCharType="end"/>
        </w:r>
      </w:hyperlink>
    </w:p>
    <w:p w14:paraId="29FDC62D" w14:textId="05D7AD05" w:rsidR="00132441" w:rsidRDefault="00132441">
      <w:pPr>
        <w:pStyle w:val="TOC2"/>
        <w:rPr>
          <w:rFonts w:asciiTheme="minorHAnsi" w:eastAsiaTheme="minorEastAsia" w:hAnsiTheme="minorHAnsi" w:cstheme="minorBidi"/>
          <w:noProof/>
          <w:kern w:val="2"/>
          <w:sz w:val="24"/>
          <w:szCs w:val="24"/>
          <w:lang w:val="en-AU" w:eastAsia="en-AU"/>
          <w14:ligatures w14:val="standardContextual"/>
        </w:rPr>
      </w:pPr>
      <w:hyperlink w:anchor="_Toc233002288" w:history="1">
        <w:r w:rsidRPr="001F322B">
          <w:rPr>
            <w:rStyle w:val="Hyperlink"/>
            <w:noProof/>
          </w:rPr>
          <w:t>Locations of assisted deaths</w:t>
        </w:r>
        <w:r>
          <w:rPr>
            <w:noProof/>
            <w:webHidden/>
          </w:rPr>
          <w:tab/>
        </w:r>
        <w:r>
          <w:rPr>
            <w:noProof/>
            <w:webHidden/>
          </w:rPr>
          <w:fldChar w:fldCharType="begin"/>
        </w:r>
        <w:r>
          <w:rPr>
            <w:noProof/>
            <w:webHidden/>
          </w:rPr>
          <w:instrText xml:space="preserve"> PAGEREF _Toc233002288 \h </w:instrText>
        </w:r>
        <w:r>
          <w:rPr>
            <w:noProof/>
            <w:webHidden/>
          </w:rPr>
        </w:r>
        <w:r>
          <w:rPr>
            <w:noProof/>
            <w:webHidden/>
          </w:rPr>
          <w:fldChar w:fldCharType="separate"/>
        </w:r>
        <w:r>
          <w:rPr>
            <w:noProof/>
            <w:webHidden/>
          </w:rPr>
          <w:t>18</w:t>
        </w:r>
        <w:r>
          <w:rPr>
            <w:noProof/>
            <w:webHidden/>
          </w:rPr>
          <w:fldChar w:fldCharType="end"/>
        </w:r>
      </w:hyperlink>
    </w:p>
    <w:p w14:paraId="07A885AA" w14:textId="54B4AD0B" w:rsidR="00132441" w:rsidRDefault="00132441">
      <w:pPr>
        <w:pStyle w:val="TOC2"/>
        <w:rPr>
          <w:rFonts w:asciiTheme="minorHAnsi" w:eastAsiaTheme="minorEastAsia" w:hAnsiTheme="minorHAnsi" w:cstheme="minorBidi"/>
          <w:noProof/>
          <w:kern w:val="2"/>
          <w:sz w:val="24"/>
          <w:szCs w:val="24"/>
          <w:lang w:val="en-AU" w:eastAsia="en-AU"/>
          <w14:ligatures w14:val="standardContextual"/>
        </w:rPr>
      </w:pPr>
      <w:hyperlink w:anchor="_Toc233002289" w:history="1">
        <w:r w:rsidRPr="001F322B">
          <w:rPr>
            <w:rStyle w:val="Hyperlink"/>
            <w:noProof/>
          </w:rPr>
          <w:t>Method of administration</w:t>
        </w:r>
        <w:r>
          <w:rPr>
            <w:noProof/>
            <w:webHidden/>
          </w:rPr>
          <w:tab/>
        </w:r>
        <w:r>
          <w:rPr>
            <w:noProof/>
            <w:webHidden/>
          </w:rPr>
          <w:fldChar w:fldCharType="begin"/>
        </w:r>
        <w:r>
          <w:rPr>
            <w:noProof/>
            <w:webHidden/>
          </w:rPr>
          <w:instrText xml:space="preserve"> PAGEREF _Toc233002289 \h </w:instrText>
        </w:r>
        <w:r>
          <w:rPr>
            <w:noProof/>
            <w:webHidden/>
          </w:rPr>
        </w:r>
        <w:r>
          <w:rPr>
            <w:noProof/>
            <w:webHidden/>
          </w:rPr>
          <w:fldChar w:fldCharType="separate"/>
        </w:r>
        <w:r>
          <w:rPr>
            <w:noProof/>
            <w:webHidden/>
          </w:rPr>
          <w:t>19</w:t>
        </w:r>
        <w:r>
          <w:rPr>
            <w:noProof/>
            <w:webHidden/>
          </w:rPr>
          <w:fldChar w:fldCharType="end"/>
        </w:r>
      </w:hyperlink>
    </w:p>
    <w:p w14:paraId="671C9203" w14:textId="0FDFAFE8" w:rsidR="00132441" w:rsidRDefault="00132441">
      <w:pPr>
        <w:pStyle w:val="TOC1"/>
        <w:rPr>
          <w:rFonts w:asciiTheme="minorHAnsi" w:eastAsiaTheme="minorEastAsia" w:hAnsiTheme="minorHAnsi" w:cstheme="minorBidi"/>
          <w:noProof/>
          <w:kern w:val="2"/>
          <w:szCs w:val="24"/>
          <w:lang w:val="en-AU" w:eastAsia="en-AU"/>
          <w14:ligatures w14:val="standardContextual"/>
        </w:rPr>
      </w:pPr>
      <w:hyperlink w:anchor="_Toc233002290" w:history="1">
        <w:r w:rsidRPr="001F322B">
          <w:rPr>
            <w:rStyle w:val="Hyperlink"/>
            <w:noProof/>
          </w:rPr>
          <w:t>The assisted dying workforce</w:t>
        </w:r>
        <w:r>
          <w:rPr>
            <w:noProof/>
            <w:webHidden/>
          </w:rPr>
          <w:tab/>
        </w:r>
        <w:r>
          <w:rPr>
            <w:noProof/>
            <w:webHidden/>
          </w:rPr>
          <w:fldChar w:fldCharType="begin"/>
        </w:r>
        <w:r>
          <w:rPr>
            <w:noProof/>
            <w:webHidden/>
          </w:rPr>
          <w:instrText xml:space="preserve"> PAGEREF _Toc233002290 \h </w:instrText>
        </w:r>
        <w:r>
          <w:rPr>
            <w:noProof/>
            <w:webHidden/>
          </w:rPr>
        </w:r>
        <w:r>
          <w:rPr>
            <w:noProof/>
            <w:webHidden/>
          </w:rPr>
          <w:fldChar w:fldCharType="separate"/>
        </w:r>
        <w:r>
          <w:rPr>
            <w:noProof/>
            <w:webHidden/>
          </w:rPr>
          <w:t>20</w:t>
        </w:r>
        <w:r>
          <w:rPr>
            <w:noProof/>
            <w:webHidden/>
          </w:rPr>
          <w:fldChar w:fldCharType="end"/>
        </w:r>
      </w:hyperlink>
    </w:p>
    <w:p w14:paraId="4E1A7353" w14:textId="355B09D4" w:rsidR="00132441" w:rsidRDefault="00132441">
      <w:pPr>
        <w:pStyle w:val="TOC2"/>
        <w:rPr>
          <w:rFonts w:asciiTheme="minorHAnsi" w:eastAsiaTheme="minorEastAsia" w:hAnsiTheme="minorHAnsi" w:cstheme="minorBidi"/>
          <w:noProof/>
          <w:kern w:val="2"/>
          <w:sz w:val="24"/>
          <w:szCs w:val="24"/>
          <w:lang w:val="en-AU" w:eastAsia="en-AU"/>
          <w14:ligatures w14:val="standardContextual"/>
        </w:rPr>
      </w:pPr>
      <w:hyperlink w:anchor="_Toc233002291" w:history="1">
        <w:r w:rsidRPr="001F322B">
          <w:rPr>
            <w:rStyle w:val="Hyperlink"/>
            <w:noProof/>
          </w:rPr>
          <w:t>Practitioners on the SCENZ Group lists</w:t>
        </w:r>
        <w:r>
          <w:rPr>
            <w:noProof/>
            <w:webHidden/>
          </w:rPr>
          <w:tab/>
        </w:r>
        <w:r>
          <w:rPr>
            <w:noProof/>
            <w:webHidden/>
          </w:rPr>
          <w:fldChar w:fldCharType="begin"/>
        </w:r>
        <w:r>
          <w:rPr>
            <w:noProof/>
            <w:webHidden/>
          </w:rPr>
          <w:instrText xml:space="preserve"> PAGEREF _Toc233002291 \h </w:instrText>
        </w:r>
        <w:r>
          <w:rPr>
            <w:noProof/>
            <w:webHidden/>
          </w:rPr>
        </w:r>
        <w:r>
          <w:rPr>
            <w:noProof/>
            <w:webHidden/>
          </w:rPr>
          <w:fldChar w:fldCharType="separate"/>
        </w:r>
        <w:r>
          <w:rPr>
            <w:noProof/>
            <w:webHidden/>
          </w:rPr>
          <w:t>20</w:t>
        </w:r>
        <w:r>
          <w:rPr>
            <w:noProof/>
            <w:webHidden/>
          </w:rPr>
          <w:fldChar w:fldCharType="end"/>
        </w:r>
      </w:hyperlink>
    </w:p>
    <w:p w14:paraId="67C7291E" w14:textId="67DF9DCB" w:rsidR="00132441" w:rsidRDefault="00132441">
      <w:pPr>
        <w:pStyle w:val="TOC1"/>
        <w:rPr>
          <w:rFonts w:asciiTheme="minorHAnsi" w:eastAsiaTheme="minorEastAsia" w:hAnsiTheme="minorHAnsi" w:cstheme="minorBidi"/>
          <w:noProof/>
          <w:kern w:val="2"/>
          <w:szCs w:val="24"/>
          <w:lang w:val="en-AU" w:eastAsia="en-AU"/>
          <w14:ligatures w14:val="standardContextual"/>
        </w:rPr>
      </w:pPr>
      <w:hyperlink w:anchor="_Toc233002292" w:history="1">
        <w:r w:rsidRPr="001F322B">
          <w:rPr>
            <w:rStyle w:val="Hyperlink"/>
            <w:noProof/>
          </w:rPr>
          <w:t>Feedback, complaints and queries</w:t>
        </w:r>
        <w:r>
          <w:rPr>
            <w:noProof/>
            <w:webHidden/>
          </w:rPr>
          <w:tab/>
        </w:r>
        <w:r>
          <w:rPr>
            <w:noProof/>
            <w:webHidden/>
          </w:rPr>
          <w:fldChar w:fldCharType="begin"/>
        </w:r>
        <w:r>
          <w:rPr>
            <w:noProof/>
            <w:webHidden/>
          </w:rPr>
          <w:instrText xml:space="preserve"> PAGEREF _Toc233002292 \h </w:instrText>
        </w:r>
        <w:r>
          <w:rPr>
            <w:noProof/>
            <w:webHidden/>
          </w:rPr>
        </w:r>
        <w:r>
          <w:rPr>
            <w:noProof/>
            <w:webHidden/>
          </w:rPr>
          <w:fldChar w:fldCharType="separate"/>
        </w:r>
        <w:r>
          <w:rPr>
            <w:noProof/>
            <w:webHidden/>
          </w:rPr>
          <w:t>22</w:t>
        </w:r>
        <w:r>
          <w:rPr>
            <w:noProof/>
            <w:webHidden/>
          </w:rPr>
          <w:fldChar w:fldCharType="end"/>
        </w:r>
      </w:hyperlink>
    </w:p>
    <w:p w14:paraId="5E81484D" w14:textId="319FAA95" w:rsidR="00132441" w:rsidRDefault="00132441">
      <w:pPr>
        <w:pStyle w:val="TOC2"/>
        <w:rPr>
          <w:rFonts w:asciiTheme="minorHAnsi" w:eastAsiaTheme="minorEastAsia" w:hAnsiTheme="minorHAnsi" w:cstheme="minorBidi"/>
          <w:noProof/>
          <w:kern w:val="2"/>
          <w:sz w:val="24"/>
          <w:szCs w:val="24"/>
          <w:lang w:val="en-AU" w:eastAsia="en-AU"/>
          <w14:ligatures w14:val="standardContextual"/>
        </w:rPr>
      </w:pPr>
      <w:hyperlink w:anchor="_Toc233002293" w:history="1">
        <w:r w:rsidRPr="001F322B">
          <w:rPr>
            <w:rStyle w:val="Hyperlink"/>
            <w:noProof/>
          </w:rPr>
          <w:t>Feedback</w:t>
        </w:r>
        <w:r>
          <w:rPr>
            <w:noProof/>
            <w:webHidden/>
          </w:rPr>
          <w:tab/>
        </w:r>
        <w:r>
          <w:rPr>
            <w:noProof/>
            <w:webHidden/>
          </w:rPr>
          <w:fldChar w:fldCharType="begin"/>
        </w:r>
        <w:r>
          <w:rPr>
            <w:noProof/>
            <w:webHidden/>
          </w:rPr>
          <w:instrText xml:space="preserve"> PAGEREF _Toc233002293 \h </w:instrText>
        </w:r>
        <w:r>
          <w:rPr>
            <w:noProof/>
            <w:webHidden/>
          </w:rPr>
        </w:r>
        <w:r>
          <w:rPr>
            <w:noProof/>
            <w:webHidden/>
          </w:rPr>
          <w:fldChar w:fldCharType="separate"/>
        </w:r>
        <w:r>
          <w:rPr>
            <w:noProof/>
            <w:webHidden/>
          </w:rPr>
          <w:t>22</w:t>
        </w:r>
        <w:r>
          <w:rPr>
            <w:noProof/>
            <w:webHidden/>
          </w:rPr>
          <w:fldChar w:fldCharType="end"/>
        </w:r>
      </w:hyperlink>
    </w:p>
    <w:p w14:paraId="20BF9B19" w14:textId="5A9D24C0" w:rsidR="00132441" w:rsidRDefault="00132441">
      <w:pPr>
        <w:pStyle w:val="TOC2"/>
        <w:rPr>
          <w:rFonts w:asciiTheme="minorHAnsi" w:eastAsiaTheme="minorEastAsia" w:hAnsiTheme="minorHAnsi" w:cstheme="minorBidi"/>
          <w:noProof/>
          <w:kern w:val="2"/>
          <w:sz w:val="24"/>
          <w:szCs w:val="24"/>
          <w:lang w:val="en-AU" w:eastAsia="en-AU"/>
          <w14:ligatures w14:val="standardContextual"/>
        </w:rPr>
      </w:pPr>
      <w:hyperlink w:anchor="_Toc233002294" w:history="1">
        <w:r w:rsidRPr="001F322B">
          <w:rPr>
            <w:rStyle w:val="Hyperlink"/>
            <w:noProof/>
          </w:rPr>
          <w:t>Complaints</w:t>
        </w:r>
        <w:r>
          <w:rPr>
            <w:noProof/>
            <w:webHidden/>
          </w:rPr>
          <w:tab/>
        </w:r>
        <w:r>
          <w:rPr>
            <w:noProof/>
            <w:webHidden/>
          </w:rPr>
          <w:fldChar w:fldCharType="begin"/>
        </w:r>
        <w:r>
          <w:rPr>
            <w:noProof/>
            <w:webHidden/>
          </w:rPr>
          <w:instrText xml:space="preserve"> PAGEREF _Toc233002294 \h </w:instrText>
        </w:r>
        <w:r>
          <w:rPr>
            <w:noProof/>
            <w:webHidden/>
          </w:rPr>
        </w:r>
        <w:r>
          <w:rPr>
            <w:noProof/>
            <w:webHidden/>
          </w:rPr>
          <w:fldChar w:fldCharType="separate"/>
        </w:r>
        <w:r>
          <w:rPr>
            <w:noProof/>
            <w:webHidden/>
          </w:rPr>
          <w:t>22</w:t>
        </w:r>
        <w:r>
          <w:rPr>
            <w:noProof/>
            <w:webHidden/>
          </w:rPr>
          <w:fldChar w:fldCharType="end"/>
        </w:r>
      </w:hyperlink>
    </w:p>
    <w:p w14:paraId="71ADE1D9" w14:textId="2D4168FA" w:rsidR="00132441" w:rsidRDefault="00132441">
      <w:pPr>
        <w:pStyle w:val="TOC2"/>
        <w:rPr>
          <w:rFonts w:asciiTheme="minorHAnsi" w:eastAsiaTheme="minorEastAsia" w:hAnsiTheme="minorHAnsi" w:cstheme="minorBidi"/>
          <w:noProof/>
          <w:kern w:val="2"/>
          <w:sz w:val="24"/>
          <w:szCs w:val="24"/>
          <w:lang w:val="en-AU" w:eastAsia="en-AU"/>
          <w14:ligatures w14:val="standardContextual"/>
        </w:rPr>
      </w:pPr>
      <w:hyperlink w:anchor="_Toc233002295" w:history="1">
        <w:r w:rsidRPr="001F322B">
          <w:rPr>
            <w:rStyle w:val="Hyperlink"/>
            <w:noProof/>
          </w:rPr>
          <w:t>Queries</w:t>
        </w:r>
        <w:r>
          <w:rPr>
            <w:noProof/>
            <w:webHidden/>
          </w:rPr>
          <w:tab/>
        </w:r>
        <w:r>
          <w:rPr>
            <w:noProof/>
            <w:webHidden/>
          </w:rPr>
          <w:fldChar w:fldCharType="begin"/>
        </w:r>
        <w:r>
          <w:rPr>
            <w:noProof/>
            <w:webHidden/>
          </w:rPr>
          <w:instrText xml:space="preserve"> PAGEREF _Toc233002295 \h </w:instrText>
        </w:r>
        <w:r>
          <w:rPr>
            <w:noProof/>
            <w:webHidden/>
          </w:rPr>
        </w:r>
        <w:r>
          <w:rPr>
            <w:noProof/>
            <w:webHidden/>
          </w:rPr>
          <w:fldChar w:fldCharType="separate"/>
        </w:r>
        <w:r>
          <w:rPr>
            <w:noProof/>
            <w:webHidden/>
          </w:rPr>
          <w:t>25</w:t>
        </w:r>
        <w:r>
          <w:rPr>
            <w:noProof/>
            <w:webHidden/>
          </w:rPr>
          <w:fldChar w:fldCharType="end"/>
        </w:r>
      </w:hyperlink>
    </w:p>
    <w:p w14:paraId="133A9219" w14:textId="36BE44E2" w:rsidR="00C86248" w:rsidRPr="00AF656B" w:rsidRDefault="00C41FDD">
      <w:r w:rsidRPr="00AF656B">
        <w:rPr>
          <w:rFonts w:ascii="Segoe UI Semibold" w:hAnsi="Segoe UI Semibold"/>
          <w:b/>
          <w:sz w:val="24"/>
        </w:rPr>
        <w:fldChar w:fldCharType="end"/>
      </w:r>
    </w:p>
    <w:p w14:paraId="49038387" w14:textId="6D3F1858" w:rsidR="003A5FEA" w:rsidRPr="00AF656B" w:rsidRDefault="003A5FEA" w:rsidP="001D3E4E">
      <w:pPr>
        <w:pStyle w:val="TOC1"/>
        <w:keepNext/>
      </w:pPr>
      <w:r w:rsidRPr="00AF656B">
        <w:lastRenderedPageBreak/>
        <w:t xml:space="preserve">List of </w:t>
      </w:r>
      <w:r w:rsidR="00CA2A6E">
        <w:t>f</w:t>
      </w:r>
      <w:r w:rsidRPr="00AF656B">
        <w:t>igures</w:t>
      </w:r>
    </w:p>
    <w:p w14:paraId="098AE0CF" w14:textId="73D02A5B" w:rsidR="00132441" w:rsidRDefault="00C41FDD">
      <w:pPr>
        <w:pStyle w:val="TOC3"/>
        <w:rPr>
          <w:rFonts w:asciiTheme="minorHAnsi" w:eastAsiaTheme="minorEastAsia" w:hAnsiTheme="minorHAnsi" w:cstheme="minorBidi"/>
          <w:noProof/>
          <w:kern w:val="2"/>
          <w:sz w:val="24"/>
          <w:szCs w:val="24"/>
          <w:lang w:val="en-AU" w:eastAsia="en-AU"/>
          <w14:ligatures w14:val="standardContextual"/>
        </w:rPr>
      </w:pPr>
      <w:r w:rsidRPr="00AF656B">
        <w:fldChar w:fldCharType="begin"/>
      </w:r>
      <w:r w:rsidRPr="00AF656B">
        <w:instrText xml:space="preserve"> TOC \h \z \t "Figure,3" </w:instrText>
      </w:r>
      <w:r w:rsidRPr="00AF656B">
        <w:fldChar w:fldCharType="separate"/>
      </w:r>
      <w:hyperlink w:anchor="_Toc233002296" w:history="1">
        <w:r w:rsidR="00132441" w:rsidRPr="001871D1">
          <w:rPr>
            <w:rStyle w:val="Hyperlink"/>
            <w:noProof/>
          </w:rPr>
          <w:t>Figure 1: The assisted dying application process</w:t>
        </w:r>
        <w:r w:rsidR="00132441">
          <w:rPr>
            <w:noProof/>
            <w:webHidden/>
          </w:rPr>
          <w:tab/>
        </w:r>
        <w:r w:rsidR="00132441">
          <w:rPr>
            <w:noProof/>
            <w:webHidden/>
          </w:rPr>
          <w:fldChar w:fldCharType="begin"/>
        </w:r>
        <w:r w:rsidR="00132441">
          <w:rPr>
            <w:noProof/>
            <w:webHidden/>
          </w:rPr>
          <w:instrText xml:space="preserve"> PAGEREF _Toc233002296 \h </w:instrText>
        </w:r>
        <w:r w:rsidR="00132441">
          <w:rPr>
            <w:noProof/>
            <w:webHidden/>
          </w:rPr>
        </w:r>
        <w:r w:rsidR="00132441">
          <w:rPr>
            <w:noProof/>
            <w:webHidden/>
          </w:rPr>
          <w:fldChar w:fldCharType="separate"/>
        </w:r>
        <w:r w:rsidR="00132441">
          <w:rPr>
            <w:noProof/>
            <w:webHidden/>
          </w:rPr>
          <w:t>6</w:t>
        </w:r>
        <w:r w:rsidR="00132441">
          <w:rPr>
            <w:noProof/>
            <w:webHidden/>
          </w:rPr>
          <w:fldChar w:fldCharType="end"/>
        </w:r>
      </w:hyperlink>
    </w:p>
    <w:p w14:paraId="2FDF2BEF" w14:textId="5C0A05D8" w:rsidR="00132441" w:rsidRDefault="00132441">
      <w:pPr>
        <w:pStyle w:val="TOC3"/>
        <w:rPr>
          <w:rFonts w:asciiTheme="minorHAnsi" w:eastAsiaTheme="minorEastAsia" w:hAnsiTheme="minorHAnsi" w:cstheme="minorBidi"/>
          <w:noProof/>
          <w:kern w:val="2"/>
          <w:sz w:val="24"/>
          <w:szCs w:val="24"/>
          <w:lang w:val="en-AU" w:eastAsia="en-AU"/>
          <w14:ligatures w14:val="standardContextual"/>
        </w:rPr>
      </w:pPr>
      <w:hyperlink w:anchor="_Toc233002297" w:history="1">
        <w:r w:rsidRPr="001871D1">
          <w:rPr>
            <w:rStyle w:val="Hyperlink"/>
            <w:noProof/>
          </w:rPr>
          <w:t>Figure 2: Number of applications and assisted deaths from April to March reporting periods, 2022–2026</w:t>
        </w:r>
        <w:r>
          <w:rPr>
            <w:noProof/>
            <w:webHidden/>
          </w:rPr>
          <w:tab/>
        </w:r>
        <w:r>
          <w:rPr>
            <w:noProof/>
            <w:webHidden/>
          </w:rPr>
          <w:fldChar w:fldCharType="begin"/>
        </w:r>
        <w:r>
          <w:rPr>
            <w:noProof/>
            <w:webHidden/>
          </w:rPr>
          <w:instrText xml:space="preserve"> PAGEREF _Toc233002297 \h </w:instrText>
        </w:r>
        <w:r>
          <w:rPr>
            <w:noProof/>
            <w:webHidden/>
          </w:rPr>
        </w:r>
        <w:r>
          <w:rPr>
            <w:noProof/>
            <w:webHidden/>
          </w:rPr>
          <w:fldChar w:fldCharType="separate"/>
        </w:r>
        <w:r>
          <w:rPr>
            <w:noProof/>
            <w:webHidden/>
          </w:rPr>
          <w:t>9</w:t>
        </w:r>
        <w:r>
          <w:rPr>
            <w:noProof/>
            <w:webHidden/>
          </w:rPr>
          <w:fldChar w:fldCharType="end"/>
        </w:r>
      </w:hyperlink>
    </w:p>
    <w:p w14:paraId="1FA53549" w14:textId="16480328" w:rsidR="00132441" w:rsidRDefault="00132441">
      <w:pPr>
        <w:pStyle w:val="TOC3"/>
        <w:rPr>
          <w:rFonts w:asciiTheme="minorHAnsi" w:eastAsiaTheme="minorEastAsia" w:hAnsiTheme="minorHAnsi" w:cstheme="minorBidi"/>
          <w:noProof/>
          <w:kern w:val="2"/>
          <w:sz w:val="24"/>
          <w:szCs w:val="24"/>
          <w:lang w:val="en-AU" w:eastAsia="en-AU"/>
          <w14:ligatures w14:val="standardContextual"/>
        </w:rPr>
      </w:pPr>
      <w:hyperlink w:anchor="_Toc233002298" w:history="1">
        <w:r w:rsidRPr="001871D1">
          <w:rPr>
            <w:rStyle w:val="Hyperlink"/>
            <w:noProof/>
          </w:rPr>
          <w:t xml:space="preserve">Figure 3: Number of new applications by diagnosis, </w:t>
        </w:r>
        <w:r w:rsidRPr="001871D1">
          <w:rPr>
            <w:rStyle w:val="Hyperlink"/>
            <w:bCs/>
            <w:noProof/>
          </w:rPr>
          <w:t>1 April 2025 – 31 March 2026</w:t>
        </w:r>
        <w:r>
          <w:rPr>
            <w:noProof/>
            <w:webHidden/>
          </w:rPr>
          <w:tab/>
        </w:r>
        <w:r>
          <w:rPr>
            <w:noProof/>
            <w:webHidden/>
          </w:rPr>
          <w:fldChar w:fldCharType="begin"/>
        </w:r>
        <w:r>
          <w:rPr>
            <w:noProof/>
            <w:webHidden/>
          </w:rPr>
          <w:instrText xml:space="preserve"> PAGEREF _Toc233002298 \h </w:instrText>
        </w:r>
        <w:r>
          <w:rPr>
            <w:noProof/>
            <w:webHidden/>
          </w:rPr>
        </w:r>
        <w:r>
          <w:rPr>
            <w:noProof/>
            <w:webHidden/>
          </w:rPr>
          <w:fldChar w:fldCharType="separate"/>
        </w:r>
        <w:r>
          <w:rPr>
            <w:noProof/>
            <w:webHidden/>
          </w:rPr>
          <w:t>13</w:t>
        </w:r>
        <w:r>
          <w:rPr>
            <w:noProof/>
            <w:webHidden/>
          </w:rPr>
          <w:fldChar w:fldCharType="end"/>
        </w:r>
      </w:hyperlink>
    </w:p>
    <w:p w14:paraId="1FF9F39C" w14:textId="1FE7E22A" w:rsidR="00132441" w:rsidRDefault="00132441">
      <w:pPr>
        <w:pStyle w:val="TOC3"/>
        <w:rPr>
          <w:rFonts w:asciiTheme="minorHAnsi" w:eastAsiaTheme="minorEastAsia" w:hAnsiTheme="minorHAnsi" w:cstheme="minorBidi"/>
          <w:noProof/>
          <w:kern w:val="2"/>
          <w:sz w:val="24"/>
          <w:szCs w:val="24"/>
          <w:lang w:val="en-AU" w:eastAsia="en-AU"/>
          <w14:ligatures w14:val="standardContextual"/>
        </w:rPr>
      </w:pPr>
      <w:hyperlink w:anchor="_Toc233002299" w:history="1">
        <w:r w:rsidRPr="001871D1">
          <w:rPr>
            <w:rStyle w:val="Hyperlink"/>
            <w:noProof/>
          </w:rPr>
          <w:t xml:space="preserve">Figure 4: Number of new applications by the applicant’s region of domicile, </w:t>
        </w:r>
        <w:r w:rsidRPr="001871D1">
          <w:rPr>
            <w:rStyle w:val="Hyperlink"/>
            <w:bCs/>
            <w:noProof/>
          </w:rPr>
          <w:t>1 April 2025 – 31 March 2026</w:t>
        </w:r>
        <w:r>
          <w:rPr>
            <w:noProof/>
            <w:webHidden/>
          </w:rPr>
          <w:tab/>
        </w:r>
        <w:r>
          <w:rPr>
            <w:noProof/>
            <w:webHidden/>
          </w:rPr>
          <w:fldChar w:fldCharType="begin"/>
        </w:r>
        <w:r>
          <w:rPr>
            <w:noProof/>
            <w:webHidden/>
          </w:rPr>
          <w:instrText xml:space="preserve"> PAGEREF _Toc233002299 \h </w:instrText>
        </w:r>
        <w:r>
          <w:rPr>
            <w:noProof/>
            <w:webHidden/>
          </w:rPr>
        </w:r>
        <w:r>
          <w:rPr>
            <w:noProof/>
            <w:webHidden/>
          </w:rPr>
          <w:fldChar w:fldCharType="separate"/>
        </w:r>
        <w:r>
          <w:rPr>
            <w:noProof/>
            <w:webHidden/>
          </w:rPr>
          <w:t>13</w:t>
        </w:r>
        <w:r>
          <w:rPr>
            <w:noProof/>
            <w:webHidden/>
          </w:rPr>
          <w:fldChar w:fldCharType="end"/>
        </w:r>
      </w:hyperlink>
    </w:p>
    <w:p w14:paraId="53036317" w14:textId="21DE3CC1" w:rsidR="00132441" w:rsidRDefault="00132441">
      <w:pPr>
        <w:pStyle w:val="TOC3"/>
        <w:rPr>
          <w:rFonts w:asciiTheme="minorHAnsi" w:eastAsiaTheme="minorEastAsia" w:hAnsiTheme="minorHAnsi" w:cstheme="minorBidi"/>
          <w:noProof/>
          <w:kern w:val="2"/>
          <w:sz w:val="24"/>
          <w:szCs w:val="24"/>
          <w:lang w:val="en-AU" w:eastAsia="en-AU"/>
          <w14:ligatures w14:val="standardContextual"/>
        </w:rPr>
      </w:pPr>
      <w:hyperlink w:anchor="_Toc233002300" w:history="1">
        <w:r w:rsidRPr="001871D1">
          <w:rPr>
            <w:rStyle w:val="Hyperlink"/>
            <w:noProof/>
          </w:rPr>
          <w:t>Figure 5: Number of assisted deaths by location, 1 April 2025 – 31 March 2026</w:t>
        </w:r>
        <w:r>
          <w:rPr>
            <w:noProof/>
            <w:webHidden/>
          </w:rPr>
          <w:tab/>
        </w:r>
        <w:r>
          <w:rPr>
            <w:noProof/>
            <w:webHidden/>
          </w:rPr>
          <w:fldChar w:fldCharType="begin"/>
        </w:r>
        <w:r>
          <w:rPr>
            <w:noProof/>
            <w:webHidden/>
          </w:rPr>
          <w:instrText xml:space="preserve"> PAGEREF _Toc233002300 \h </w:instrText>
        </w:r>
        <w:r>
          <w:rPr>
            <w:noProof/>
            <w:webHidden/>
          </w:rPr>
        </w:r>
        <w:r>
          <w:rPr>
            <w:noProof/>
            <w:webHidden/>
          </w:rPr>
          <w:fldChar w:fldCharType="separate"/>
        </w:r>
        <w:r>
          <w:rPr>
            <w:noProof/>
            <w:webHidden/>
          </w:rPr>
          <w:t>19</w:t>
        </w:r>
        <w:r>
          <w:rPr>
            <w:noProof/>
            <w:webHidden/>
          </w:rPr>
          <w:fldChar w:fldCharType="end"/>
        </w:r>
      </w:hyperlink>
    </w:p>
    <w:p w14:paraId="05CC63FD" w14:textId="43FD44C5" w:rsidR="003A5FEA" w:rsidRPr="00AF656B" w:rsidRDefault="00C41FDD" w:rsidP="003A5FEA">
      <w:r w:rsidRPr="00AF656B">
        <w:fldChar w:fldCharType="end"/>
      </w:r>
    </w:p>
    <w:p w14:paraId="0D248541" w14:textId="08DDF306" w:rsidR="002B76A7" w:rsidRPr="00AF656B" w:rsidRDefault="002B76A7" w:rsidP="002B76A7">
      <w:pPr>
        <w:pStyle w:val="TOC1"/>
        <w:keepNext/>
      </w:pPr>
      <w:r w:rsidRPr="00AF656B">
        <w:t xml:space="preserve">List of </w:t>
      </w:r>
      <w:r w:rsidR="00CA2A6E">
        <w:t>t</w:t>
      </w:r>
      <w:r w:rsidRPr="00AF656B">
        <w:t>ables</w:t>
      </w:r>
    </w:p>
    <w:p w14:paraId="4B56FD12" w14:textId="1AE231E4" w:rsidR="00132441" w:rsidRDefault="002B76A7">
      <w:pPr>
        <w:pStyle w:val="TOC3"/>
        <w:rPr>
          <w:rFonts w:asciiTheme="minorHAnsi" w:eastAsiaTheme="minorEastAsia" w:hAnsiTheme="minorHAnsi" w:cstheme="minorBidi"/>
          <w:noProof/>
          <w:kern w:val="2"/>
          <w:sz w:val="24"/>
          <w:szCs w:val="24"/>
          <w:lang w:val="en-AU" w:eastAsia="en-AU"/>
          <w14:ligatures w14:val="standardContextual"/>
        </w:rPr>
      </w:pPr>
      <w:r w:rsidRPr="00AF656B">
        <w:rPr>
          <w:sz w:val="20"/>
        </w:rPr>
        <w:fldChar w:fldCharType="begin"/>
      </w:r>
      <w:r w:rsidRPr="00AF656B">
        <w:instrText xml:space="preserve"> TOC \t "Table,3" </w:instrText>
      </w:r>
      <w:r w:rsidRPr="00AF656B">
        <w:rPr>
          <w:sz w:val="20"/>
        </w:rPr>
        <w:fldChar w:fldCharType="separate"/>
      </w:r>
      <w:r w:rsidR="00132441">
        <w:rPr>
          <w:noProof/>
        </w:rPr>
        <w:t xml:space="preserve">Table 1: </w:t>
      </w:r>
      <w:r w:rsidR="00132441">
        <w:rPr>
          <w:noProof/>
          <w:lang w:eastAsia="en-NZ"/>
        </w:rPr>
        <w:t xml:space="preserve">Summary of demographic data of people making new applications for assisted dying services, </w:t>
      </w:r>
      <w:r w:rsidR="00132441" w:rsidRPr="00AF35D1">
        <w:rPr>
          <w:bCs/>
          <w:noProof/>
        </w:rPr>
        <w:t>1 April 2025 – 31 March 2026</w:t>
      </w:r>
      <w:r w:rsidR="00132441">
        <w:rPr>
          <w:noProof/>
        </w:rPr>
        <w:tab/>
      </w:r>
      <w:r w:rsidR="00132441">
        <w:rPr>
          <w:noProof/>
        </w:rPr>
        <w:fldChar w:fldCharType="begin"/>
      </w:r>
      <w:r w:rsidR="00132441">
        <w:rPr>
          <w:noProof/>
        </w:rPr>
        <w:instrText xml:space="preserve"> PAGEREF _Toc233002301 \h </w:instrText>
      </w:r>
      <w:r w:rsidR="00132441">
        <w:rPr>
          <w:noProof/>
        </w:rPr>
      </w:r>
      <w:r w:rsidR="00132441">
        <w:rPr>
          <w:noProof/>
        </w:rPr>
        <w:fldChar w:fldCharType="separate"/>
      </w:r>
      <w:r w:rsidR="00132441">
        <w:rPr>
          <w:noProof/>
        </w:rPr>
        <w:t>12</w:t>
      </w:r>
      <w:r w:rsidR="00132441">
        <w:rPr>
          <w:noProof/>
        </w:rPr>
        <w:fldChar w:fldCharType="end"/>
      </w:r>
    </w:p>
    <w:p w14:paraId="6337735A" w14:textId="18FB1F75" w:rsidR="00132441" w:rsidRDefault="00132441">
      <w:pPr>
        <w:pStyle w:val="TOC3"/>
        <w:rPr>
          <w:rFonts w:asciiTheme="minorHAnsi" w:eastAsiaTheme="minorEastAsia" w:hAnsiTheme="minorHAnsi" w:cstheme="minorBidi"/>
          <w:noProof/>
          <w:kern w:val="2"/>
          <w:sz w:val="24"/>
          <w:szCs w:val="24"/>
          <w:lang w:val="en-AU" w:eastAsia="en-AU"/>
          <w14:ligatures w14:val="standardContextual"/>
        </w:rPr>
      </w:pPr>
      <w:r>
        <w:rPr>
          <w:noProof/>
        </w:rPr>
        <w:t xml:space="preserve">Table 2: </w:t>
      </w:r>
      <w:r w:rsidRPr="00AF35D1">
        <w:rPr>
          <w:rFonts w:cs="Segoe UI"/>
          <w:bCs/>
          <w:noProof/>
          <w:lang w:eastAsia="en-NZ"/>
        </w:rPr>
        <w:t>Assessment outcomes</w:t>
      </w:r>
      <w:r>
        <w:rPr>
          <w:noProof/>
        </w:rPr>
        <w:t xml:space="preserve">, </w:t>
      </w:r>
      <w:r w:rsidRPr="00AF35D1">
        <w:rPr>
          <w:bCs/>
          <w:noProof/>
        </w:rPr>
        <w:t>1 April 2025 – 31 March 2026</w:t>
      </w:r>
      <w:r>
        <w:rPr>
          <w:noProof/>
        </w:rPr>
        <w:tab/>
      </w:r>
      <w:r>
        <w:rPr>
          <w:noProof/>
        </w:rPr>
        <w:fldChar w:fldCharType="begin"/>
      </w:r>
      <w:r>
        <w:rPr>
          <w:noProof/>
        </w:rPr>
        <w:instrText xml:space="preserve"> PAGEREF _Toc233002302 \h </w:instrText>
      </w:r>
      <w:r>
        <w:rPr>
          <w:noProof/>
        </w:rPr>
      </w:r>
      <w:r>
        <w:rPr>
          <w:noProof/>
        </w:rPr>
        <w:fldChar w:fldCharType="separate"/>
      </w:r>
      <w:r>
        <w:rPr>
          <w:noProof/>
        </w:rPr>
        <w:t>15</w:t>
      </w:r>
      <w:r>
        <w:rPr>
          <w:noProof/>
        </w:rPr>
        <w:fldChar w:fldCharType="end"/>
      </w:r>
    </w:p>
    <w:p w14:paraId="61513F66" w14:textId="1A09064D" w:rsidR="00132441" w:rsidRDefault="00132441">
      <w:pPr>
        <w:pStyle w:val="TOC3"/>
        <w:rPr>
          <w:rFonts w:asciiTheme="minorHAnsi" w:eastAsiaTheme="minorEastAsia" w:hAnsiTheme="minorHAnsi" w:cstheme="minorBidi"/>
          <w:noProof/>
          <w:kern w:val="2"/>
          <w:sz w:val="24"/>
          <w:szCs w:val="24"/>
          <w:lang w:val="en-AU" w:eastAsia="en-AU"/>
          <w14:ligatures w14:val="standardContextual"/>
        </w:rPr>
      </w:pPr>
      <w:r>
        <w:rPr>
          <w:noProof/>
        </w:rPr>
        <w:t xml:space="preserve">Table 3: </w:t>
      </w:r>
      <w:r w:rsidRPr="00AF35D1">
        <w:rPr>
          <w:rFonts w:cs="Segoe UI"/>
          <w:noProof/>
          <w:lang w:eastAsia="en-NZ"/>
        </w:rPr>
        <w:t>Reasons for decisions that applicants are ineligible at AMP and IMP assessments,</w:t>
      </w:r>
      <w:r>
        <w:rPr>
          <w:noProof/>
        </w:rPr>
        <w:t xml:space="preserve"> 1 April 2025 – 31 March 2026</w:t>
      </w:r>
      <w:r w:rsidRPr="00AF35D1">
        <w:rPr>
          <w:rFonts w:cs="Segoe UI"/>
          <w:noProof/>
          <w:lang w:eastAsia="en-NZ"/>
        </w:rPr>
        <w:t> *</w:t>
      </w:r>
      <w:r>
        <w:rPr>
          <w:noProof/>
        </w:rPr>
        <w:tab/>
      </w:r>
      <w:r>
        <w:rPr>
          <w:noProof/>
        </w:rPr>
        <w:fldChar w:fldCharType="begin"/>
      </w:r>
      <w:r>
        <w:rPr>
          <w:noProof/>
        </w:rPr>
        <w:instrText xml:space="preserve"> PAGEREF _Toc233002303 \h </w:instrText>
      </w:r>
      <w:r>
        <w:rPr>
          <w:noProof/>
        </w:rPr>
      </w:r>
      <w:r>
        <w:rPr>
          <w:noProof/>
        </w:rPr>
        <w:fldChar w:fldCharType="separate"/>
      </w:r>
      <w:r>
        <w:rPr>
          <w:noProof/>
        </w:rPr>
        <w:t>16</w:t>
      </w:r>
      <w:r>
        <w:rPr>
          <w:noProof/>
        </w:rPr>
        <w:fldChar w:fldCharType="end"/>
      </w:r>
    </w:p>
    <w:p w14:paraId="04FA27FD" w14:textId="2255573E" w:rsidR="00132441" w:rsidRDefault="00132441">
      <w:pPr>
        <w:pStyle w:val="TOC3"/>
        <w:rPr>
          <w:rFonts w:asciiTheme="minorHAnsi" w:eastAsiaTheme="minorEastAsia" w:hAnsiTheme="minorHAnsi" w:cstheme="minorBidi"/>
          <w:noProof/>
          <w:kern w:val="2"/>
          <w:sz w:val="24"/>
          <w:szCs w:val="24"/>
          <w:lang w:val="en-AU" w:eastAsia="en-AU"/>
          <w14:ligatures w14:val="standardContextual"/>
        </w:rPr>
      </w:pPr>
      <w:r>
        <w:rPr>
          <w:noProof/>
        </w:rPr>
        <w:t xml:space="preserve">Table 4: Application outcomes where applicant did not have an assisted death (excluding cases where AMP or IMP assessment found them to be ineligible), </w:t>
      </w:r>
      <w:r w:rsidRPr="00AF35D1">
        <w:rPr>
          <w:bCs/>
          <w:noProof/>
        </w:rPr>
        <w:t>1 April 2025 – 31 March 2026</w:t>
      </w:r>
      <w:r>
        <w:rPr>
          <w:noProof/>
        </w:rPr>
        <w:tab/>
      </w:r>
      <w:r>
        <w:rPr>
          <w:noProof/>
        </w:rPr>
        <w:fldChar w:fldCharType="begin"/>
      </w:r>
      <w:r>
        <w:rPr>
          <w:noProof/>
        </w:rPr>
        <w:instrText xml:space="preserve"> PAGEREF _Toc233002304 \h </w:instrText>
      </w:r>
      <w:r>
        <w:rPr>
          <w:noProof/>
        </w:rPr>
      </w:r>
      <w:r>
        <w:rPr>
          <w:noProof/>
        </w:rPr>
        <w:fldChar w:fldCharType="separate"/>
      </w:r>
      <w:r>
        <w:rPr>
          <w:noProof/>
        </w:rPr>
        <w:t>17</w:t>
      </w:r>
      <w:r>
        <w:rPr>
          <w:noProof/>
        </w:rPr>
        <w:fldChar w:fldCharType="end"/>
      </w:r>
    </w:p>
    <w:p w14:paraId="0BDCD906" w14:textId="171C8E1A" w:rsidR="00132441" w:rsidRDefault="00132441">
      <w:pPr>
        <w:pStyle w:val="TOC3"/>
        <w:rPr>
          <w:rFonts w:asciiTheme="minorHAnsi" w:eastAsiaTheme="minorEastAsia" w:hAnsiTheme="minorHAnsi" w:cstheme="minorBidi"/>
          <w:noProof/>
          <w:kern w:val="2"/>
          <w:sz w:val="24"/>
          <w:szCs w:val="24"/>
          <w:lang w:val="en-AU" w:eastAsia="en-AU"/>
          <w14:ligatures w14:val="standardContextual"/>
        </w:rPr>
      </w:pPr>
      <w:r>
        <w:rPr>
          <w:noProof/>
        </w:rPr>
        <w:t>Table 5: Number of health practitioners on the SCENZ Group lists across Health New Zealand regions, as at 14 May 2026</w:t>
      </w:r>
      <w:r>
        <w:rPr>
          <w:noProof/>
        </w:rPr>
        <w:tab/>
      </w:r>
      <w:r>
        <w:rPr>
          <w:noProof/>
        </w:rPr>
        <w:fldChar w:fldCharType="begin"/>
      </w:r>
      <w:r>
        <w:rPr>
          <w:noProof/>
        </w:rPr>
        <w:instrText xml:space="preserve"> PAGEREF _Toc233002305 \h </w:instrText>
      </w:r>
      <w:r>
        <w:rPr>
          <w:noProof/>
        </w:rPr>
      </w:r>
      <w:r>
        <w:rPr>
          <w:noProof/>
        </w:rPr>
        <w:fldChar w:fldCharType="separate"/>
      </w:r>
      <w:r>
        <w:rPr>
          <w:noProof/>
        </w:rPr>
        <w:t>21</w:t>
      </w:r>
      <w:r>
        <w:rPr>
          <w:noProof/>
        </w:rPr>
        <w:fldChar w:fldCharType="end"/>
      </w:r>
    </w:p>
    <w:p w14:paraId="327E72ED" w14:textId="165BBF21" w:rsidR="00132441" w:rsidRDefault="00132441">
      <w:pPr>
        <w:pStyle w:val="TOC3"/>
        <w:rPr>
          <w:rFonts w:asciiTheme="minorHAnsi" w:eastAsiaTheme="minorEastAsia" w:hAnsiTheme="minorHAnsi" w:cstheme="minorBidi"/>
          <w:noProof/>
          <w:kern w:val="2"/>
          <w:sz w:val="24"/>
          <w:szCs w:val="24"/>
          <w:lang w:val="en-AU" w:eastAsia="en-AU"/>
          <w14:ligatures w14:val="standardContextual"/>
        </w:rPr>
      </w:pPr>
      <w:r>
        <w:rPr>
          <w:noProof/>
        </w:rPr>
        <w:t>Table 6: Complaints that the Ministry</w:t>
      </w:r>
      <w:r w:rsidRPr="00AF35D1">
        <w:rPr>
          <w:rFonts w:cstheme="minorHAnsi"/>
          <w:noProof/>
        </w:rPr>
        <w:t xml:space="preserve"> of Health and Registrar</w:t>
      </w:r>
      <w:r>
        <w:rPr>
          <w:noProof/>
        </w:rPr>
        <w:t xml:space="preserve"> received about assisted dying services and actions taken</w:t>
      </w:r>
      <w:r w:rsidRPr="00AF35D1">
        <w:rPr>
          <w:rFonts w:cstheme="minorHAnsi"/>
          <w:noProof/>
        </w:rPr>
        <w:t>,</w:t>
      </w:r>
      <w:r>
        <w:rPr>
          <w:noProof/>
        </w:rPr>
        <w:t xml:space="preserve"> 1 April 2025 – 31 March 2026</w:t>
      </w:r>
      <w:r>
        <w:rPr>
          <w:noProof/>
        </w:rPr>
        <w:tab/>
      </w:r>
      <w:r>
        <w:rPr>
          <w:noProof/>
        </w:rPr>
        <w:fldChar w:fldCharType="begin"/>
      </w:r>
      <w:r>
        <w:rPr>
          <w:noProof/>
        </w:rPr>
        <w:instrText xml:space="preserve"> PAGEREF _Toc233002306 \h </w:instrText>
      </w:r>
      <w:r>
        <w:rPr>
          <w:noProof/>
        </w:rPr>
      </w:r>
      <w:r>
        <w:rPr>
          <w:noProof/>
        </w:rPr>
        <w:fldChar w:fldCharType="separate"/>
      </w:r>
      <w:r>
        <w:rPr>
          <w:noProof/>
        </w:rPr>
        <w:t>23</w:t>
      </w:r>
      <w:r>
        <w:rPr>
          <w:noProof/>
        </w:rPr>
        <w:fldChar w:fldCharType="end"/>
      </w:r>
    </w:p>
    <w:p w14:paraId="380BCD55" w14:textId="5B2B423A" w:rsidR="00132441" w:rsidRDefault="00132441">
      <w:pPr>
        <w:pStyle w:val="TOC3"/>
        <w:rPr>
          <w:rFonts w:asciiTheme="minorHAnsi" w:eastAsiaTheme="minorEastAsia" w:hAnsiTheme="minorHAnsi" w:cstheme="minorBidi"/>
          <w:noProof/>
          <w:kern w:val="2"/>
          <w:sz w:val="24"/>
          <w:szCs w:val="24"/>
          <w:lang w:val="en-AU" w:eastAsia="en-AU"/>
          <w14:ligatures w14:val="standardContextual"/>
        </w:rPr>
      </w:pPr>
      <w:r>
        <w:rPr>
          <w:noProof/>
        </w:rPr>
        <w:t>Table 7: Complaints that the Health and Disability Commissioner received about assisted dying services and actions taken, 1 April 2025 – 31 March 2026</w:t>
      </w:r>
      <w:r>
        <w:rPr>
          <w:noProof/>
        </w:rPr>
        <w:tab/>
      </w:r>
      <w:r>
        <w:rPr>
          <w:noProof/>
        </w:rPr>
        <w:fldChar w:fldCharType="begin"/>
      </w:r>
      <w:r>
        <w:rPr>
          <w:noProof/>
        </w:rPr>
        <w:instrText xml:space="preserve"> PAGEREF _Toc233002307 \h </w:instrText>
      </w:r>
      <w:r>
        <w:rPr>
          <w:noProof/>
        </w:rPr>
      </w:r>
      <w:r>
        <w:rPr>
          <w:noProof/>
        </w:rPr>
        <w:fldChar w:fldCharType="separate"/>
      </w:r>
      <w:r>
        <w:rPr>
          <w:noProof/>
        </w:rPr>
        <w:t>24</w:t>
      </w:r>
      <w:r>
        <w:rPr>
          <w:noProof/>
        </w:rPr>
        <w:fldChar w:fldCharType="end"/>
      </w:r>
    </w:p>
    <w:p w14:paraId="4A6797B1" w14:textId="37D10A8C" w:rsidR="002B76A7" w:rsidRPr="00AF656B" w:rsidRDefault="002B76A7" w:rsidP="003A5FEA">
      <w:r w:rsidRPr="00AF656B">
        <w:fldChar w:fldCharType="end"/>
      </w:r>
    </w:p>
    <w:p w14:paraId="03333094" w14:textId="77777777" w:rsidR="001D3E4E" w:rsidRPr="00AF656B" w:rsidRDefault="001D3E4E" w:rsidP="003A5FEA">
      <w:pPr>
        <w:sectPr w:rsidR="001D3E4E" w:rsidRPr="00AF656B" w:rsidSect="0078658E">
          <w:headerReference w:type="even" r:id="rId19"/>
          <w:headerReference w:type="default" r:id="rId20"/>
          <w:footerReference w:type="even" r:id="rId21"/>
          <w:footerReference w:type="default" r:id="rId22"/>
          <w:pgSz w:w="11907" w:h="16840" w:code="9"/>
          <w:pgMar w:top="1418" w:right="1701" w:bottom="1134" w:left="1843" w:header="284" w:footer="425" w:gutter="284"/>
          <w:pgNumType w:fmt="lowerRoman"/>
          <w:cols w:space="720"/>
        </w:sectPr>
      </w:pPr>
    </w:p>
    <w:p w14:paraId="6889BC0F" w14:textId="77777777" w:rsidR="009A42D5" w:rsidRPr="00AF656B" w:rsidRDefault="009A42D5" w:rsidP="0008437D">
      <w:pPr>
        <w:ind w:left="-2268" w:right="-1701"/>
      </w:pPr>
    </w:p>
    <w:p w14:paraId="3826E983" w14:textId="77777777" w:rsidR="00DF6D4C" w:rsidRPr="00EE4F0D" w:rsidRDefault="00DF6D4C" w:rsidP="00EE4F0D">
      <w:pPr>
        <w:pStyle w:val="Heading1"/>
        <w:spacing w:before="0"/>
      </w:pPr>
      <w:bookmarkStart w:id="2" w:name="_Toc170220974"/>
      <w:bookmarkStart w:id="3" w:name="_Toc199242515"/>
      <w:bookmarkStart w:id="4" w:name="_Toc233002268"/>
      <w:r w:rsidRPr="00EE4F0D">
        <w:t>Introduction</w:t>
      </w:r>
      <w:bookmarkEnd w:id="2"/>
      <w:bookmarkEnd w:id="3"/>
      <w:bookmarkEnd w:id="4"/>
    </w:p>
    <w:p w14:paraId="47D928D2" w14:textId="77777777" w:rsidR="00DF6D4C" w:rsidRPr="00EE4F0D" w:rsidRDefault="00DF6D4C" w:rsidP="00EE4F0D">
      <w:pPr>
        <w:pStyle w:val="Heading2"/>
      </w:pPr>
      <w:bookmarkStart w:id="5" w:name="_Toc170220975"/>
      <w:bookmarkStart w:id="6" w:name="_Toc199242516"/>
      <w:bookmarkStart w:id="7" w:name="_Toc233002269"/>
      <w:r w:rsidRPr="00EE4F0D">
        <w:t>About this report</w:t>
      </w:r>
      <w:bookmarkEnd w:id="5"/>
      <w:bookmarkEnd w:id="6"/>
      <w:bookmarkEnd w:id="7"/>
      <w:r w:rsidRPr="00EE4F0D">
        <w:t xml:space="preserve"> </w:t>
      </w:r>
    </w:p>
    <w:p w14:paraId="70FFDF25" w14:textId="5C950A39" w:rsidR="00DF6D4C" w:rsidRPr="00AF656B" w:rsidRDefault="00DF6D4C" w:rsidP="00EE4F0D">
      <w:r w:rsidRPr="00AF656B">
        <w:t xml:space="preserve">The Ministry of Health – Manatū Hauora is responsible for administering the </w:t>
      </w:r>
      <w:proofErr w:type="gramStart"/>
      <w:r w:rsidRPr="00AF656B">
        <w:t>End</w:t>
      </w:r>
      <w:r w:rsidR="002E14C8">
        <w:t xml:space="preserve"> </w:t>
      </w:r>
      <w:r w:rsidRPr="00AF656B">
        <w:t>of Life</w:t>
      </w:r>
      <w:proofErr w:type="gramEnd"/>
      <w:r w:rsidRPr="00AF656B">
        <w:t xml:space="preserve"> Choice Act 2019</w:t>
      </w:r>
      <w:r w:rsidR="00CA2A6E">
        <w:t xml:space="preserve"> (the Act)</w:t>
      </w:r>
      <w:r w:rsidRPr="00AF656B">
        <w:t xml:space="preserve">. </w:t>
      </w:r>
    </w:p>
    <w:p w14:paraId="23208CFF" w14:textId="77777777" w:rsidR="00DF6D4C" w:rsidRPr="00AF656B" w:rsidRDefault="00DF6D4C" w:rsidP="00EE4F0D"/>
    <w:p w14:paraId="32CDE489" w14:textId="6805F477" w:rsidR="00DF6D4C" w:rsidRPr="00AF656B" w:rsidRDefault="00DF6D4C" w:rsidP="00EE4F0D">
      <w:r w:rsidRPr="00AF656B">
        <w:t>The Registrar (assisted dying)</w:t>
      </w:r>
      <w:r w:rsidR="00CA2A6E">
        <w:t xml:space="preserve"> (the Registrar)</w:t>
      </w:r>
      <w:r w:rsidRPr="00AF656B">
        <w:t xml:space="preserve"> must report on the assisted dying service under section 27(7) of the Act. </w:t>
      </w:r>
    </w:p>
    <w:p w14:paraId="1FC523B4" w14:textId="77777777" w:rsidR="00DF6D4C" w:rsidRPr="00AF656B" w:rsidRDefault="00DF6D4C" w:rsidP="00EE4F0D"/>
    <w:p w14:paraId="68F77240" w14:textId="77777777" w:rsidR="00DF6D4C" w:rsidRPr="00AF656B" w:rsidRDefault="00DF6D4C" w:rsidP="00EE4F0D">
      <w:r w:rsidRPr="00AF656B">
        <w:t xml:space="preserve">Reporting is due to the Minister of Health by 30 June each year and must cover the following matters for the year: </w:t>
      </w:r>
    </w:p>
    <w:p w14:paraId="77E6F47D" w14:textId="77777777" w:rsidR="00DF6D4C" w:rsidRPr="00EE4F0D" w:rsidRDefault="00DF6D4C" w:rsidP="00EE4F0D">
      <w:pPr>
        <w:pStyle w:val="Bullet"/>
      </w:pPr>
      <w:r w:rsidRPr="00EE4F0D">
        <w:t>the total number of deaths that occurred under the Act</w:t>
      </w:r>
    </w:p>
    <w:p w14:paraId="723E472F" w14:textId="410666A9" w:rsidR="00DF6D4C" w:rsidRPr="00EE4F0D" w:rsidRDefault="00DF6D4C" w:rsidP="00EE4F0D">
      <w:pPr>
        <w:pStyle w:val="Bullet"/>
      </w:pPr>
      <w:r w:rsidRPr="00EE4F0D">
        <w:t>the number of deaths that occurred through each method of administ</w:t>
      </w:r>
      <w:r w:rsidR="00D836B7" w:rsidRPr="00EE4F0D">
        <w:t>ering assisted dying</w:t>
      </w:r>
      <w:r w:rsidRPr="00EE4F0D">
        <w:t xml:space="preserve"> medication</w:t>
      </w:r>
    </w:p>
    <w:p w14:paraId="5A3DC5F1" w14:textId="03F27873" w:rsidR="00DF6D4C" w:rsidRPr="00EE4F0D" w:rsidRDefault="00DF6D4C" w:rsidP="00EE4F0D">
      <w:pPr>
        <w:pStyle w:val="Bullet"/>
      </w:pPr>
      <w:r w:rsidRPr="00EE4F0D">
        <w:t>the number of complaints received about breaches of the Act and how</w:t>
      </w:r>
      <w:r w:rsidR="00CA2A6E" w:rsidRPr="00EE4F0D">
        <w:t xml:space="preserve"> the Registrar dealt with</w:t>
      </w:r>
      <w:r w:rsidRPr="00EE4F0D">
        <w:t xml:space="preserve"> those complaints</w:t>
      </w:r>
    </w:p>
    <w:p w14:paraId="0EDF8FBC" w14:textId="3EBD2F75" w:rsidR="00DF6D4C" w:rsidRPr="00EE4F0D" w:rsidRDefault="00DF6D4C" w:rsidP="00EE4F0D">
      <w:pPr>
        <w:pStyle w:val="Bullet"/>
      </w:pPr>
      <w:r w:rsidRPr="00EE4F0D">
        <w:t xml:space="preserve">any other matter relating to the operation of the Act that the Registrar thinks </w:t>
      </w:r>
      <w:r w:rsidR="00D836B7" w:rsidRPr="00EE4F0D">
        <w:t xml:space="preserve">it is </w:t>
      </w:r>
      <w:r w:rsidRPr="00EE4F0D">
        <w:t>appropriate</w:t>
      </w:r>
      <w:r w:rsidR="00D836B7" w:rsidRPr="00EE4F0D">
        <w:t xml:space="preserve"> to report on</w:t>
      </w:r>
      <w:r w:rsidRPr="00EE4F0D">
        <w:t>.</w:t>
      </w:r>
    </w:p>
    <w:p w14:paraId="3199E954" w14:textId="77777777" w:rsidR="00DF6D4C" w:rsidRPr="00AF656B" w:rsidRDefault="00DF6D4C" w:rsidP="00DF6D4C"/>
    <w:p w14:paraId="789900AC" w14:textId="1385D8C4" w:rsidR="00DF6D4C" w:rsidRPr="00AF656B" w:rsidRDefault="00DF6D4C" w:rsidP="00DF6D4C">
      <w:pPr>
        <w:rPr>
          <w:b/>
          <w:bCs/>
          <w:sz w:val="32"/>
          <w:szCs w:val="32"/>
        </w:rPr>
      </w:pPr>
      <w:r w:rsidRPr="00AF656B">
        <w:t xml:space="preserve">This report covers the period </w:t>
      </w:r>
      <w:r w:rsidR="00CA2A6E">
        <w:t xml:space="preserve">from </w:t>
      </w:r>
      <w:r w:rsidRPr="00AF656B">
        <w:t>1 April 202</w:t>
      </w:r>
      <w:r w:rsidR="00B33032" w:rsidRPr="00AF656B">
        <w:t xml:space="preserve">5 </w:t>
      </w:r>
      <w:r w:rsidRPr="00AF656B">
        <w:t>to 31 March 202</w:t>
      </w:r>
      <w:r w:rsidR="00B33032" w:rsidRPr="00AF656B">
        <w:t>6</w:t>
      </w:r>
      <w:r w:rsidRPr="00AF656B">
        <w:t xml:space="preserve">. For copies of previous reports, please </w:t>
      </w:r>
      <w:r w:rsidR="00D836B7">
        <w:rPr>
          <w:bCs/>
        </w:rPr>
        <w:t>visit</w:t>
      </w:r>
      <w:r w:rsidRPr="00AF656B">
        <w:rPr>
          <w:bCs/>
        </w:rPr>
        <w:t xml:space="preserve"> the</w:t>
      </w:r>
      <w:r w:rsidRPr="00AF656B">
        <w:rPr>
          <w:b/>
        </w:rPr>
        <w:t xml:space="preserve"> </w:t>
      </w:r>
      <w:hyperlink r:id="rId23" w:anchor="toc-0-3" w:history="1">
        <w:r w:rsidR="00CA2A6E" w:rsidRPr="00CA2A6E">
          <w:rPr>
            <w:rStyle w:val="Hyperlink"/>
          </w:rPr>
          <w:t>publications page on assisted dying regulation and reporting</w:t>
        </w:r>
      </w:hyperlink>
      <w:r w:rsidRPr="00AF656B">
        <w:rPr>
          <w:b/>
        </w:rPr>
        <w:t xml:space="preserve"> </w:t>
      </w:r>
      <w:r w:rsidRPr="00AF656B">
        <w:rPr>
          <w:bCs/>
        </w:rPr>
        <w:t>on the Ministry of Health</w:t>
      </w:r>
      <w:r w:rsidR="00CA2A6E">
        <w:rPr>
          <w:bCs/>
        </w:rPr>
        <w:t>’s</w:t>
      </w:r>
      <w:r w:rsidRPr="00AF656B">
        <w:rPr>
          <w:bCs/>
        </w:rPr>
        <w:t xml:space="preserve"> website.</w:t>
      </w:r>
      <w:r w:rsidRPr="00AF656B">
        <w:rPr>
          <w:b/>
        </w:rPr>
        <w:t xml:space="preserve"> </w:t>
      </w:r>
      <w:r w:rsidRPr="00AF656B" w:rsidDel="00C66060">
        <w:t xml:space="preserve"> </w:t>
      </w:r>
    </w:p>
    <w:p w14:paraId="20BBB96D" w14:textId="77777777" w:rsidR="00DF6D4C" w:rsidRPr="00EE4F0D" w:rsidRDefault="00DF6D4C" w:rsidP="00EE4F0D">
      <w:pPr>
        <w:pStyle w:val="Heading2"/>
      </w:pPr>
      <w:bookmarkStart w:id="8" w:name="_Toc103606318"/>
      <w:bookmarkStart w:id="9" w:name="_Toc104460667"/>
      <w:bookmarkStart w:id="10" w:name="_Toc106611866"/>
      <w:bookmarkStart w:id="11" w:name="_Toc138428947"/>
      <w:bookmarkStart w:id="12" w:name="_Toc170220976"/>
      <w:bookmarkStart w:id="13" w:name="_Toc199242517"/>
      <w:bookmarkStart w:id="14" w:name="_Toc233002270"/>
      <w:r w:rsidRPr="00EE4F0D">
        <w:t>End of Life Choice Act 2019</w:t>
      </w:r>
      <w:bookmarkEnd w:id="8"/>
      <w:bookmarkEnd w:id="9"/>
      <w:bookmarkEnd w:id="10"/>
      <w:bookmarkEnd w:id="11"/>
      <w:bookmarkEnd w:id="12"/>
      <w:bookmarkEnd w:id="13"/>
      <w:bookmarkEnd w:id="14"/>
    </w:p>
    <w:p w14:paraId="5CC556A6" w14:textId="77777777" w:rsidR="00DF6D4C" w:rsidRPr="00AF656B" w:rsidRDefault="00DF6D4C" w:rsidP="00DF6D4C">
      <w:r w:rsidRPr="00AF656B">
        <w:rPr>
          <w:rFonts w:eastAsia="MS Gothic"/>
          <w:bCs/>
          <w:szCs w:val="21"/>
        </w:rPr>
        <w:t>The Act</w:t>
      </w:r>
      <w:r w:rsidRPr="00AF656B">
        <w:rPr>
          <w:szCs w:val="21"/>
        </w:rPr>
        <w:t xml:space="preserve"> </w:t>
      </w:r>
      <w:r w:rsidRPr="00AF656B">
        <w:t xml:space="preserve">came into force on 7 November 2021. It gives </w:t>
      </w:r>
      <w:r w:rsidRPr="00AF656B">
        <w:rPr>
          <w:lang w:eastAsia="en-NZ"/>
        </w:rPr>
        <w:t xml:space="preserve">a person with a terminal illness </w:t>
      </w:r>
      <w:r w:rsidRPr="00AF656B">
        <w:t>the option to</w:t>
      </w:r>
      <w:r w:rsidRPr="00AF656B">
        <w:rPr>
          <w:lang w:eastAsia="en-NZ"/>
        </w:rPr>
        <w:t xml:space="preserve"> request medication to end their life.</w:t>
      </w:r>
      <w:r w:rsidRPr="00AF656B">
        <w:t xml:space="preserve"> The Act outlines the legal framework for assisted dying, including eligibility criteria and some key safeguards. </w:t>
      </w:r>
    </w:p>
    <w:p w14:paraId="199A0628" w14:textId="77777777" w:rsidR="00DF6D4C" w:rsidRPr="00AF656B" w:rsidRDefault="00DF6D4C" w:rsidP="00DF6D4C"/>
    <w:p w14:paraId="44EAFCEE" w14:textId="77777777" w:rsidR="00DF6D4C" w:rsidRPr="00AF656B" w:rsidRDefault="00DF6D4C" w:rsidP="00DF6D4C">
      <w:r w:rsidRPr="00AF656B">
        <w:t xml:space="preserve">To be eligible for an assisted death, a person must be: </w:t>
      </w:r>
    </w:p>
    <w:p w14:paraId="05F60C7C" w14:textId="77777777" w:rsidR="00DF6D4C" w:rsidRPr="00EE4F0D" w:rsidRDefault="00DF6D4C" w:rsidP="00EE4F0D">
      <w:pPr>
        <w:pStyle w:val="Bullet"/>
      </w:pPr>
      <w:r w:rsidRPr="00EE4F0D">
        <w:t>aged 18 years or over</w:t>
      </w:r>
    </w:p>
    <w:p w14:paraId="4B49923D" w14:textId="12203268" w:rsidR="00DF6D4C" w:rsidRPr="00EE4F0D" w:rsidRDefault="00DF6D4C" w:rsidP="00EE4F0D">
      <w:pPr>
        <w:pStyle w:val="Bullet"/>
      </w:pPr>
      <w:r w:rsidRPr="00EE4F0D">
        <w:t xml:space="preserve">a citizen or permanent resident of </w:t>
      </w:r>
      <w:r w:rsidR="00CE10ED" w:rsidRPr="00EE4F0D">
        <w:t xml:space="preserve">Aotearoa </w:t>
      </w:r>
      <w:r w:rsidRPr="00EE4F0D">
        <w:t>New Zealand</w:t>
      </w:r>
    </w:p>
    <w:p w14:paraId="607C19E8" w14:textId="77777777" w:rsidR="00DF6D4C" w:rsidRPr="00EE4F0D" w:rsidRDefault="00DF6D4C" w:rsidP="00EE4F0D">
      <w:pPr>
        <w:pStyle w:val="Bullet"/>
      </w:pPr>
      <w:r w:rsidRPr="00EE4F0D">
        <w:t>suffering from a terminal illness that is likely to end their life within six months</w:t>
      </w:r>
    </w:p>
    <w:p w14:paraId="13FABAC4" w14:textId="77777777" w:rsidR="00DF6D4C" w:rsidRPr="00EE4F0D" w:rsidRDefault="00DF6D4C" w:rsidP="00EE4F0D">
      <w:pPr>
        <w:pStyle w:val="Bullet"/>
      </w:pPr>
      <w:r w:rsidRPr="00EE4F0D">
        <w:t>in an advanced state of irreversible decline in physical capability</w:t>
      </w:r>
    </w:p>
    <w:p w14:paraId="14DBB0BF" w14:textId="77777777" w:rsidR="00DF6D4C" w:rsidRPr="00EE4F0D" w:rsidRDefault="00DF6D4C" w:rsidP="00EE4F0D">
      <w:pPr>
        <w:pStyle w:val="Bullet"/>
      </w:pPr>
      <w:r w:rsidRPr="00EE4F0D">
        <w:t>experiencing unbearable suffering that cannot be relieved in a manner the person considers tolerable</w:t>
      </w:r>
    </w:p>
    <w:p w14:paraId="4B184410" w14:textId="77777777" w:rsidR="00DF6D4C" w:rsidRPr="00EE4F0D" w:rsidRDefault="00DF6D4C" w:rsidP="00EE4F0D">
      <w:pPr>
        <w:pStyle w:val="Bullet"/>
      </w:pPr>
      <w:r w:rsidRPr="00EE4F0D">
        <w:t>competent to make an informed decision about assisted dying.</w:t>
      </w:r>
    </w:p>
    <w:p w14:paraId="7CF7E7E2" w14:textId="77777777" w:rsidR="00DF6D4C" w:rsidRPr="00AF656B" w:rsidRDefault="00DF6D4C" w:rsidP="00DF6D4C">
      <w:pPr>
        <w:rPr>
          <w:lang w:eastAsia="en-NZ"/>
        </w:rPr>
      </w:pPr>
    </w:p>
    <w:p w14:paraId="4D87D3A5" w14:textId="1F5079DB" w:rsidR="00DF6D4C" w:rsidRPr="00AF656B" w:rsidRDefault="00DF6D4C" w:rsidP="00DF6D4C">
      <w:pPr>
        <w:rPr>
          <w:rFonts w:cs="Segoe UI"/>
          <w:lang w:eastAsia="en-NZ"/>
        </w:rPr>
      </w:pPr>
      <w:r w:rsidRPr="00AF656B">
        <w:rPr>
          <w:rFonts w:cs="Segoe UI"/>
          <w:lang w:eastAsia="en-NZ"/>
        </w:rPr>
        <w:lastRenderedPageBreak/>
        <w:t>The</w:t>
      </w:r>
      <w:r w:rsidR="00D836B7" w:rsidRPr="00AF656B">
        <w:rPr>
          <w:rFonts w:cs="Segoe UI"/>
          <w:lang w:eastAsia="en-NZ"/>
        </w:rPr>
        <w:t xml:space="preserve"> person with a terminal illness</w:t>
      </w:r>
      <w:r w:rsidR="00D836B7">
        <w:rPr>
          <w:rFonts w:cs="Segoe UI"/>
          <w:lang w:eastAsia="en-NZ"/>
        </w:rPr>
        <w:t xml:space="preserve"> must be the one </w:t>
      </w:r>
      <w:r w:rsidR="00591E8F">
        <w:rPr>
          <w:rFonts w:cs="Segoe UI"/>
          <w:lang w:eastAsia="en-NZ"/>
        </w:rPr>
        <w:t>who initiates the</w:t>
      </w:r>
      <w:r w:rsidRPr="00AF656B">
        <w:rPr>
          <w:rFonts w:cs="Segoe UI"/>
          <w:lang w:eastAsia="en-NZ"/>
        </w:rPr>
        <w:t xml:space="preserve"> request to have an assisted death. A health practitioner is not permitted to raise this option with a patient unprompted. </w:t>
      </w:r>
    </w:p>
    <w:p w14:paraId="6ECF353C" w14:textId="77777777" w:rsidR="00DF6D4C" w:rsidRPr="00AF656B" w:rsidRDefault="00DF6D4C" w:rsidP="00DF6D4C">
      <w:pPr>
        <w:rPr>
          <w:rFonts w:cs="Segoe UI"/>
          <w:lang w:eastAsia="en-NZ"/>
        </w:rPr>
      </w:pPr>
    </w:p>
    <w:p w14:paraId="39B3E995" w14:textId="6D4A86FF" w:rsidR="00DF6D4C" w:rsidRPr="00AF656B" w:rsidRDefault="00591E8F" w:rsidP="00DF6D4C">
      <w:r>
        <w:rPr>
          <w:rFonts w:cs="Segoe UI"/>
          <w:lang w:eastAsia="en-NZ"/>
        </w:rPr>
        <w:t>To r</w:t>
      </w:r>
      <w:r w:rsidRPr="00AF656B">
        <w:rPr>
          <w:rFonts w:cs="Segoe UI"/>
          <w:lang w:eastAsia="en-NZ"/>
        </w:rPr>
        <w:t xml:space="preserve">ead </w:t>
      </w:r>
      <w:r w:rsidR="00DF6D4C" w:rsidRPr="00AF656B">
        <w:rPr>
          <w:rFonts w:cs="Segoe UI"/>
          <w:lang w:eastAsia="en-NZ"/>
        </w:rPr>
        <w:t>the full Act</w:t>
      </w:r>
      <w:r>
        <w:rPr>
          <w:rFonts w:cs="Segoe UI"/>
          <w:lang w:eastAsia="en-NZ"/>
        </w:rPr>
        <w:t xml:space="preserve">, </w:t>
      </w:r>
      <w:r w:rsidR="003D259E">
        <w:rPr>
          <w:rFonts w:cs="Segoe UI"/>
          <w:lang w:eastAsia="en-NZ"/>
        </w:rPr>
        <w:t xml:space="preserve">please visit </w:t>
      </w:r>
      <w:r>
        <w:rPr>
          <w:rFonts w:cs="Segoe UI"/>
          <w:lang w:eastAsia="en-NZ"/>
        </w:rPr>
        <w:t xml:space="preserve">the </w:t>
      </w:r>
      <w:hyperlink r:id="rId24" w:history="1">
        <w:r w:rsidRPr="00591E8F">
          <w:rPr>
            <w:rStyle w:val="Hyperlink"/>
            <w:rFonts w:cs="Segoe UI"/>
            <w:lang w:eastAsia="en-NZ"/>
          </w:rPr>
          <w:t>End of Life Choice Act 2019</w:t>
        </w:r>
      </w:hyperlink>
      <w:r>
        <w:rPr>
          <w:rFonts w:cs="Segoe UI"/>
          <w:lang w:eastAsia="en-NZ"/>
        </w:rPr>
        <w:t xml:space="preserve"> on</w:t>
      </w:r>
      <w:r w:rsidR="00DF6D4C" w:rsidRPr="00AF656B">
        <w:rPr>
          <w:rFonts w:cs="Segoe UI"/>
          <w:lang w:eastAsia="en-NZ"/>
        </w:rPr>
        <w:t xml:space="preserve"> the </w:t>
      </w:r>
      <w:r w:rsidRPr="00B94F50">
        <w:t>New Zealand Legislation website</w:t>
      </w:r>
      <w:r w:rsidR="00DF6D4C" w:rsidRPr="00AF656B">
        <w:rPr>
          <w:rFonts w:cs="Segoe UI"/>
          <w:lang w:eastAsia="en-NZ"/>
        </w:rPr>
        <w:t xml:space="preserve">. </w:t>
      </w:r>
    </w:p>
    <w:p w14:paraId="70C1A97A" w14:textId="0DC13D42" w:rsidR="00F945CA" w:rsidRPr="00AF656B" w:rsidRDefault="001E2F21" w:rsidP="00F945CA">
      <w:pPr>
        <w:pStyle w:val="Heading3"/>
        <w:rPr>
          <w:rFonts w:eastAsia="Calibri"/>
          <w:lang w:eastAsia="en-NZ"/>
        </w:rPr>
      </w:pPr>
      <w:r w:rsidRPr="00AF656B">
        <w:rPr>
          <w:rFonts w:eastAsia="Calibri"/>
          <w:lang w:eastAsia="en-NZ"/>
        </w:rPr>
        <w:t xml:space="preserve">New </w:t>
      </w:r>
      <w:r w:rsidR="00B71F17" w:rsidRPr="00AF656B">
        <w:rPr>
          <w:rFonts w:eastAsia="Calibri"/>
          <w:lang w:eastAsia="en-NZ"/>
        </w:rPr>
        <w:t xml:space="preserve">national regulatory IT platform </w:t>
      </w:r>
      <w:r w:rsidR="00F91105" w:rsidRPr="00AF656B">
        <w:rPr>
          <w:rFonts w:eastAsia="Calibri"/>
          <w:lang w:eastAsia="en-NZ"/>
        </w:rPr>
        <w:t>for a</w:t>
      </w:r>
      <w:r w:rsidRPr="00AF656B">
        <w:rPr>
          <w:rFonts w:eastAsia="Calibri"/>
          <w:lang w:eastAsia="en-NZ"/>
        </w:rPr>
        <w:t xml:space="preserve">ssisted </w:t>
      </w:r>
      <w:r w:rsidR="00F91105" w:rsidRPr="00AF656B">
        <w:rPr>
          <w:rFonts w:eastAsia="Calibri"/>
          <w:lang w:eastAsia="en-NZ"/>
        </w:rPr>
        <w:t>d</w:t>
      </w:r>
      <w:r w:rsidRPr="00AF656B">
        <w:rPr>
          <w:rFonts w:eastAsia="Calibri"/>
          <w:lang w:eastAsia="en-NZ"/>
        </w:rPr>
        <w:t xml:space="preserve">ying </w:t>
      </w:r>
    </w:p>
    <w:p w14:paraId="43450FBA" w14:textId="73E1E5B3" w:rsidR="00F945CA" w:rsidRPr="00AF656B" w:rsidRDefault="0067649B" w:rsidP="00EE4F0D">
      <w:pPr>
        <w:rPr>
          <w:rFonts w:eastAsia="Calibri"/>
          <w:lang w:eastAsia="en-NZ"/>
        </w:rPr>
      </w:pPr>
      <w:r w:rsidRPr="00AF656B">
        <w:rPr>
          <w:rFonts w:eastAsia="Calibri"/>
          <w:lang w:eastAsia="en-NZ"/>
        </w:rPr>
        <w:t>In November 2025</w:t>
      </w:r>
      <w:r w:rsidR="00CC3CFF" w:rsidRPr="00AF656B">
        <w:rPr>
          <w:rFonts w:eastAsia="Calibri"/>
          <w:lang w:eastAsia="en-NZ"/>
        </w:rPr>
        <w:t xml:space="preserve">, a new </w:t>
      </w:r>
      <w:r w:rsidR="4CA92C3F" w:rsidRPr="00AF656B">
        <w:rPr>
          <w:rFonts w:eastAsia="Calibri"/>
          <w:lang w:eastAsia="en-NZ"/>
        </w:rPr>
        <w:t xml:space="preserve">national </w:t>
      </w:r>
      <w:r w:rsidR="00AE54BA" w:rsidRPr="00AF656B">
        <w:rPr>
          <w:rFonts w:eastAsia="Calibri"/>
          <w:lang w:eastAsia="en-NZ"/>
        </w:rPr>
        <w:t>regulatory</w:t>
      </w:r>
      <w:r w:rsidR="00A65723">
        <w:rPr>
          <w:rFonts w:eastAsia="Calibri"/>
          <w:lang w:eastAsia="en-NZ"/>
        </w:rPr>
        <w:t xml:space="preserve"> information technology</w:t>
      </w:r>
      <w:r w:rsidR="00AE54BA" w:rsidRPr="00AF656B">
        <w:rPr>
          <w:rFonts w:eastAsia="Calibri"/>
          <w:lang w:eastAsia="en-NZ"/>
        </w:rPr>
        <w:t xml:space="preserve"> </w:t>
      </w:r>
      <w:r w:rsidR="00A65723">
        <w:rPr>
          <w:rFonts w:eastAsia="Calibri"/>
          <w:lang w:eastAsia="en-NZ"/>
        </w:rPr>
        <w:t>(</w:t>
      </w:r>
      <w:r w:rsidR="00AE54BA" w:rsidRPr="00AF656B">
        <w:rPr>
          <w:rFonts w:eastAsia="Calibri"/>
          <w:lang w:eastAsia="en-NZ"/>
        </w:rPr>
        <w:t>IT</w:t>
      </w:r>
      <w:r w:rsidR="00A65723">
        <w:rPr>
          <w:rFonts w:eastAsia="Calibri"/>
          <w:lang w:eastAsia="en-NZ"/>
        </w:rPr>
        <w:t>)</w:t>
      </w:r>
      <w:r w:rsidR="00CC3CFF" w:rsidRPr="00AF656B">
        <w:rPr>
          <w:rFonts w:eastAsia="Calibri"/>
          <w:lang w:eastAsia="en-NZ"/>
        </w:rPr>
        <w:t xml:space="preserve"> platform was introduced to support the delivery, monitoring</w:t>
      </w:r>
      <w:r w:rsidR="797942D3" w:rsidRPr="00AF656B">
        <w:rPr>
          <w:rFonts w:eastAsia="Calibri"/>
          <w:lang w:eastAsia="en-NZ"/>
        </w:rPr>
        <w:t>,</w:t>
      </w:r>
      <w:r w:rsidR="00CC3CFF" w:rsidRPr="00AF656B">
        <w:rPr>
          <w:rFonts w:eastAsia="Calibri"/>
          <w:lang w:eastAsia="en-NZ"/>
        </w:rPr>
        <w:t xml:space="preserve"> regulation</w:t>
      </w:r>
      <w:r w:rsidR="009A6FFA">
        <w:rPr>
          <w:rFonts w:eastAsia="Calibri"/>
          <w:lang w:eastAsia="en-NZ"/>
        </w:rPr>
        <w:t xml:space="preserve"> and reporting</w:t>
      </w:r>
      <w:r w:rsidR="00CC3CFF" w:rsidRPr="00AF656B">
        <w:rPr>
          <w:rFonts w:eastAsia="Calibri"/>
          <w:lang w:eastAsia="en-NZ"/>
        </w:rPr>
        <w:t xml:space="preserve"> of assisted dying services</w:t>
      </w:r>
      <w:r w:rsidR="00AB7966" w:rsidRPr="00AF656B">
        <w:rPr>
          <w:rFonts w:eastAsia="Calibri"/>
          <w:lang w:eastAsia="en-NZ"/>
        </w:rPr>
        <w:t xml:space="preserve"> in New Zealand. </w:t>
      </w:r>
      <w:r w:rsidR="4F0FF9D1" w:rsidRPr="00AF656B">
        <w:rPr>
          <w:rFonts w:eastAsia="Calibri"/>
          <w:lang w:eastAsia="en-NZ"/>
        </w:rPr>
        <w:t>I</w:t>
      </w:r>
      <w:r w:rsidR="4F0FF9D1" w:rsidRPr="00AF656B">
        <w:rPr>
          <w:rFonts w:eastAsia="Segoe UI" w:cs="Segoe UI"/>
          <w:szCs w:val="21"/>
        </w:rPr>
        <w:t xml:space="preserve">t is used to manage key parts of the assisted dying process, from initial requests through to final reporting and review. </w:t>
      </w:r>
      <w:r w:rsidR="2EEF8203" w:rsidRPr="00B028B8">
        <w:rPr>
          <w:rFonts w:eastAsia="Calibri"/>
          <w:lang w:eastAsia="en-NZ"/>
        </w:rPr>
        <w:t>B</w:t>
      </w:r>
      <w:r w:rsidR="546DB998" w:rsidRPr="00B028B8">
        <w:rPr>
          <w:rFonts w:eastAsia="Calibri"/>
          <w:lang w:eastAsia="en-NZ"/>
        </w:rPr>
        <w:t>enefits</w:t>
      </w:r>
      <w:r w:rsidR="00AE54BA" w:rsidRPr="00B028B8">
        <w:rPr>
          <w:rFonts w:eastAsia="Calibri"/>
          <w:lang w:eastAsia="en-NZ"/>
        </w:rPr>
        <w:t xml:space="preserve"> of the</w:t>
      </w:r>
      <w:r w:rsidR="00AE54BA" w:rsidRPr="00AF656B">
        <w:rPr>
          <w:rFonts w:eastAsia="Calibri"/>
          <w:lang w:eastAsia="en-NZ"/>
        </w:rPr>
        <w:t xml:space="preserve"> new system have included</w:t>
      </w:r>
      <w:r w:rsidR="008A73FA" w:rsidRPr="00AF656B">
        <w:rPr>
          <w:rFonts w:eastAsia="Calibri"/>
          <w:lang w:eastAsia="en-NZ"/>
        </w:rPr>
        <w:t>:</w:t>
      </w:r>
    </w:p>
    <w:p w14:paraId="66278687" w14:textId="23AEA89A" w:rsidR="008A73FA" w:rsidRPr="00AF656B" w:rsidRDefault="007A532A" w:rsidP="00EE4F0D">
      <w:pPr>
        <w:pStyle w:val="Bullet"/>
        <w:rPr>
          <w:rFonts w:eastAsia="Calibri"/>
          <w:lang w:eastAsia="en-NZ"/>
        </w:rPr>
      </w:pPr>
      <w:r>
        <w:rPr>
          <w:rFonts w:eastAsia="Calibri"/>
          <w:lang w:eastAsia="en-NZ"/>
        </w:rPr>
        <w:t xml:space="preserve">a </w:t>
      </w:r>
      <w:r w:rsidR="00A65723">
        <w:rPr>
          <w:rFonts w:eastAsia="Calibri"/>
          <w:lang w:eastAsia="en-NZ"/>
        </w:rPr>
        <w:t>more effective</w:t>
      </w:r>
      <w:r w:rsidR="0042656C" w:rsidRPr="00AF656B">
        <w:rPr>
          <w:rFonts w:eastAsia="Calibri"/>
          <w:lang w:eastAsia="en-NZ"/>
        </w:rPr>
        <w:t xml:space="preserve"> regulatory</w:t>
      </w:r>
      <w:r>
        <w:rPr>
          <w:rFonts w:eastAsia="Calibri"/>
          <w:lang w:eastAsia="en-NZ"/>
        </w:rPr>
        <w:t xml:space="preserve"> approach </w:t>
      </w:r>
      <w:r w:rsidR="0042656C" w:rsidRPr="00AF656B">
        <w:rPr>
          <w:rFonts w:eastAsia="Calibri"/>
          <w:lang w:eastAsia="en-NZ"/>
        </w:rPr>
        <w:t xml:space="preserve">– </w:t>
      </w:r>
      <w:r w:rsidR="00A65723">
        <w:rPr>
          <w:rFonts w:eastAsia="Calibri"/>
          <w:lang w:eastAsia="en-NZ"/>
        </w:rPr>
        <w:t>by providing</w:t>
      </w:r>
      <w:r w:rsidR="0042656C" w:rsidRPr="00AF656B">
        <w:rPr>
          <w:rFonts w:eastAsia="Calibri"/>
          <w:lang w:eastAsia="en-NZ"/>
        </w:rPr>
        <w:t xml:space="preserve"> </w:t>
      </w:r>
      <w:r w:rsidR="007945BB" w:rsidRPr="00AF656B">
        <w:rPr>
          <w:rFonts w:eastAsia="Calibri"/>
          <w:lang w:eastAsia="en-NZ"/>
        </w:rPr>
        <w:t>oversight</w:t>
      </w:r>
      <w:r w:rsidR="536B46A5" w:rsidRPr="00AF656B">
        <w:rPr>
          <w:rFonts w:eastAsia="Calibri"/>
          <w:lang w:eastAsia="en-NZ"/>
        </w:rPr>
        <w:t xml:space="preserve"> and</w:t>
      </w:r>
      <w:r w:rsidR="000D6C03" w:rsidRPr="00AF656B">
        <w:rPr>
          <w:rFonts w:eastAsia="Calibri"/>
          <w:lang w:eastAsia="en-NZ"/>
        </w:rPr>
        <w:t xml:space="preserve"> </w:t>
      </w:r>
      <w:r w:rsidR="00A83FE1" w:rsidRPr="00AF656B">
        <w:rPr>
          <w:rFonts w:eastAsia="Calibri"/>
          <w:lang w:eastAsia="en-NZ"/>
        </w:rPr>
        <w:t>improv</w:t>
      </w:r>
      <w:r w:rsidR="00A65723">
        <w:rPr>
          <w:rFonts w:eastAsia="Calibri"/>
          <w:lang w:eastAsia="en-NZ"/>
        </w:rPr>
        <w:t>ing</w:t>
      </w:r>
      <w:r w:rsidR="00A83FE1" w:rsidRPr="00AF656B">
        <w:rPr>
          <w:rFonts w:eastAsia="Calibri"/>
          <w:lang w:eastAsia="en-NZ"/>
        </w:rPr>
        <w:t xml:space="preserve"> access to timely</w:t>
      </w:r>
      <w:r w:rsidR="000D6C03" w:rsidRPr="00AF656B">
        <w:rPr>
          <w:rFonts w:eastAsia="Calibri"/>
          <w:lang w:eastAsia="en-NZ"/>
        </w:rPr>
        <w:t>,</w:t>
      </w:r>
      <w:r w:rsidR="00A83FE1" w:rsidRPr="00AF656B">
        <w:rPr>
          <w:rFonts w:eastAsia="Calibri"/>
          <w:lang w:eastAsia="en-NZ"/>
        </w:rPr>
        <w:t xml:space="preserve"> up-to-date information </w:t>
      </w:r>
    </w:p>
    <w:p w14:paraId="1DD1DE61" w14:textId="5503B319" w:rsidR="00F945CA" w:rsidRPr="00AF656B" w:rsidRDefault="00F27ABE" w:rsidP="00EE4F0D">
      <w:pPr>
        <w:pStyle w:val="Bullet"/>
        <w:rPr>
          <w:rFonts w:eastAsia="Calibri"/>
          <w:lang w:eastAsia="en-NZ"/>
        </w:rPr>
      </w:pPr>
      <w:r>
        <w:rPr>
          <w:rFonts w:eastAsia="Calibri"/>
          <w:lang w:eastAsia="en-NZ"/>
        </w:rPr>
        <w:t>g</w:t>
      </w:r>
      <w:r w:rsidR="000D6C03" w:rsidRPr="00AF656B">
        <w:rPr>
          <w:rFonts w:eastAsia="Calibri"/>
          <w:lang w:eastAsia="en-NZ"/>
        </w:rPr>
        <w:t>reater efficiency</w:t>
      </w:r>
      <w:r w:rsidR="00A1590B" w:rsidRPr="00AF656B">
        <w:rPr>
          <w:rFonts w:eastAsia="Calibri"/>
          <w:lang w:eastAsia="en-NZ"/>
        </w:rPr>
        <w:t xml:space="preserve"> </w:t>
      </w:r>
      <w:r w:rsidR="00A65723">
        <w:rPr>
          <w:rFonts w:eastAsia="Calibri"/>
          <w:lang w:eastAsia="en-NZ"/>
        </w:rPr>
        <w:t>– by</w:t>
      </w:r>
      <w:r w:rsidR="00A65723" w:rsidRPr="00AF656B">
        <w:rPr>
          <w:rFonts w:eastAsia="Calibri"/>
          <w:lang w:eastAsia="en-NZ"/>
        </w:rPr>
        <w:t xml:space="preserve"> </w:t>
      </w:r>
      <w:r w:rsidR="00244C3B" w:rsidRPr="00AF656B">
        <w:rPr>
          <w:rFonts w:eastAsia="Calibri"/>
          <w:lang w:eastAsia="en-NZ"/>
        </w:rPr>
        <w:t xml:space="preserve">reducing </w:t>
      </w:r>
      <w:r w:rsidR="007A532A">
        <w:rPr>
          <w:rFonts w:eastAsia="Calibri"/>
          <w:lang w:eastAsia="en-NZ"/>
        </w:rPr>
        <w:t xml:space="preserve">the amount of </w:t>
      </w:r>
      <w:r w:rsidR="00244C3B" w:rsidRPr="00AF656B">
        <w:rPr>
          <w:rFonts w:eastAsia="Calibri"/>
          <w:lang w:eastAsia="en-NZ"/>
        </w:rPr>
        <w:t>manual handling</w:t>
      </w:r>
      <w:r w:rsidR="3A2B0278" w:rsidRPr="00AF656B">
        <w:rPr>
          <w:rFonts w:eastAsia="Calibri"/>
          <w:lang w:eastAsia="en-NZ"/>
        </w:rPr>
        <w:t xml:space="preserve"> of data</w:t>
      </w:r>
      <w:r w:rsidR="009E2237" w:rsidRPr="00AF656B">
        <w:rPr>
          <w:rFonts w:eastAsia="Calibri"/>
          <w:lang w:eastAsia="en-NZ"/>
        </w:rPr>
        <w:t xml:space="preserve">, </w:t>
      </w:r>
      <w:r w:rsidR="08D959D8" w:rsidRPr="00AF656B">
        <w:rPr>
          <w:rFonts w:eastAsia="Calibri"/>
          <w:lang w:eastAsia="en-NZ"/>
        </w:rPr>
        <w:t xml:space="preserve">and </w:t>
      </w:r>
      <w:r w:rsidR="007A532A">
        <w:rPr>
          <w:rFonts w:eastAsia="Calibri"/>
          <w:lang w:eastAsia="en-NZ"/>
        </w:rPr>
        <w:t xml:space="preserve">providing </w:t>
      </w:r>
      <w:r w:rsidR="009E2237" w:rsidRPr="00AF656B">
        <w:rPr>
          <w:rFonts w:eastAsia="Calibri"/>
          <w:lang w:eastAsia="en-NZ"/>
        </w:rPr>
        <w:t>clearer</w:t>
      </w:r>
      <w:r w:rsidR="007A532A" w:rsidRPr="007A532A">
        <w:rPr>
          <w:rFonts w:eastAsia="Calibri"/>
          <w:lang w:eastAsia="en-NZ"/>
        </w:rPr>
        <w:t xml:space="preserve"> </w:t>
      </w:r>
      <w:r w:rsidR="007A532A" w:rsidRPr="00AF656B">
        <w:rPr>
          <w:rFonts w:eastAsia="Calibri"/>
          <w:lang w:eastAsia="en-NZ"/>
        </w:rPr>
        <w:t>processes</w:t>
      </w:r>
      <w:r w:rsidR="009E2237" w:rsidRPr="00AF656B">
        <w:rPr>
          <w:rFonts w:eastAsia="Calibri"/>
          <w:lang w:eastAsia="en-NZ"/>
        </w:rPr>
        <w:t xml:space="preserve"> </w:t>
      </w:r>
      <w:r w:rsidR="007A532A">
        <w:rPr>
          <w:rFonts w:eastAsia="Calibri"/>
          <w:lang w:eastAsia="en-NZ"/>
        </w:rPr>
        <w:t xml:space="preserve">for submitting </w:t>
      </w:r>
      <w:r w:rsidR="1A0AB069" w:rsidRPr="00AF656B">
        <w:rPr>
          <w:rFonts w:eastAsia="Calibri"/>
          <w:lang w:eastAsia="en-NZ"/>
        </w:rPr>
        <w:t>data</w:t>
      </w:r>
      <w:r w:rsidR="5F44548A" w:rsidRPr="00AF656B">
        <w:rPr>
          <w:rFonts w:eastAsia="Calibri"/>
          <w:lang w:eastAsia="en-NZ"/>
        </w:rPr>
        <w:t xml:space="preserve"> </w:t>
      </w:r>
    </w:p>
    <w:p w14:paraId="466F6623" w14:textId="719F3C92" w:rsidR="00706C72" w:rsidRPr="00AF656B" w:rsidRDefault="007A532A" w:rsidP="00EE4F0D">
      <w:pPr>
        <w:pStyle w:val="Bullet"/>
      </w:pPr>
      <w:r>
        <w:rPr>
          <w:rFonts w:eastAsia="Calibri"/>
          <w:lang w:eastAsia="en-NZ"/>
        </w:rPr>
        <w:t>higher-</w:t>
      </w:r>
      <w:r w:rsidR="002805AC" w:rsidRPr="00AF656B">
        <w:rPr>
          <w:rFonts w:eastAsia="Calibri"/>
          <w:lang w:eastAsia="en-NZ"/>
        </w:rPr>
        <w:t xml:space="preserve">quality </w:t>
      </w:r>
      <w:r w:rsidRPr="00AF656B">
        <w:rPr>
          <w:rFonts w:eastAsia="Calibri"/>
          <w:lang w:eastAsia="en-NZ"/>
        </w:rPr>
        <w:t xml:space="preserve">data </w:t>
      </w:r>
      <w:r w:rsidR="002805AC" w:rsidRPr="00AF656B">
        <w:rPr>
          <w:rFonts w:eastAsia="Calibri"/>
          <w:lang w:eastAsia="en-NZ"/>
        </w:rPr>
        <w:t xml:space="preserve">and insights </w:t>
      </w:r>
      <w:r w:rsidR="00A1590B" w:rsidRPr="00AF656B">
        <w:rPr>
          <w:rFonts w:eastAsia="Calibri"/>
          <w:lang w:eastAsia="en-NZ"/>
        </w:rPr>
        <w:t>–</w:t>
      </w:r>
      <w:r w:rsidR="00A65723">
        <w:rPr>
          <w:rFonts w:eastAsia="Calibri"/>
          <w:lang w:eastAsia="en-NZ"/>
        </w:rPr>
        <w:t xml:space="preserve"> by</w:t>
      </w:r>
      <w:r w:rsidR="002805AC" w:rsidRPr="00AF656B">
        <w:rPr>
          <w:rFonts w:eastAsia="Calibri"/>
          <w:lang w:eastAsia="en-NZ"/>
        </w:rPr>
        <w:t xml:space="preserve"> </w:t>
      </w:r>
      <w:r w:rsidR="04AC3AD4" w:rsidRPr="00AF656B">
        <w:rPr>
          <w:rFonts w:eastAsia="Calibri"/>
          <w:lang w:eastAsia="en-NZ"/>
        </w:rPr>
        <w:t>improving</w:t>
      </w:r>
      <w:r w:rsidR="00C934D9" w:rsidRPr="00AF656B">
        <w:rPr>
          <w:rFonts w:eastAsia="Calibri"/>
          <w:lang w:eastAsia="en-NZ"/>
        </w:rPr>
        <w:t xml:space="preserve"> the quality of information available for reporting and analysis. </w:t>
      </w:r>
    </w:p>
    <w:p w14:paraId="21AE8247" w14:textId="77777777" w:rsidR="00EE4F0D" w:rsidRDefault="00EE4F0D" w:rsidP="00EE4F0D">
      <w:pPr>
        <w:pStyle w:val="Heading1"/>
        <w:sectPr w:rsidR="00EE4F0D" w:rsidSect="00132441">
          <w:headerReference w:type="default" r:id="rId25"/>
          <w:footerReference w:type="even" r:id="rId26"/>
          <w:footerReference w:type="default" r:id="rId27"/>
          <w:pgSz w:w="11907" w:h="16834" w:code="9"/>
          <w:pgMar w:top="1418" w:right="1701" w:bottom="1134" w:left="1843" w:header="284" w:footer="425" w:gutter="284"/>
          <w:pgNumType w:start="1"/>
          <w:cols w:space="720"/>
        </w:sectPr>
      </w:pPr>
      <w:bookmarkStart w:id="15" w:name="_Toc170220977"/>
      <w:bookmarkStart w:id="16" w:name="_Toc199242519"/>
    </w:p>
    <w:p w14:paraId="53B6553F" w14:textId="77777777" w:rsidR="00DF6D4C" w:rsidRPr="00EE4F0D" w:rsidRDefault="00DF6D4C" w:rsidP="00EE4F0D">
      <w:pPr>
        <w:pStyle w:val="Heading1"/>
        <w:spacing w:before="0"/>
      </w:pPr>
      <w:bookmarkStart w:id="17" w:name="_Toc233002271"/>
      <w:r w:rsidRPr="00EE4F0D">
        <w:lastRenderedPageBreak/>
        <w:t>Roles and groups</w:t>
      </w:r>
      <w:bookmarkEnd w:id="15"/>
      <w:bookmarkEnd w:id="16"/>
      <w:bookmarkEnd w:id="17"/>
      <w:r w:rsidRPr="00EE4F0D">
        <w:t xml:space="preserve"> </w:t>
      </w:r>
    </w:p>
    <w:p w14:paraId="6828921D" w14:textId="5D58B436" w:rsidR="0033620D" w:rsidRPr="0033620D" w:rsidRDefault="0033620D" w:rsidP="00EE4F0D">
      <w:r w:rsidRPr="0033620D">
        <w:t xml:space="preserve">The Act establishes </w:t>
      </w:r>
      <w:r>
        <w:t>the</w:t>
      </w:r>
      <w:r w:rsidRPr="0033620D">
        <w:t xml:space="preserve"> framework for the oversight and delivery of assisted dying services in New Zealand. Key statutory roles and groups, supported by the Ministry’s Regulatory Assurance team</w:t>
      </w:r>
      <w:r w:rsidR="00A30841">
        <w:t xml:space="preserve"> and the Office of the Registrar</w:t>
      </w:r>
      <w:r w:rsidRPr="0033620D">
        <w:t xml:space="preserve"> work to ensure the service operates in line with legislative requirements</w:t>
      </w:r>
      <w:r w:rsidR="005D6CF4">
        <w:t xml:space="preserve">. </w:t>
      </w:r>
    </w:p>
    <w:p w14:paraId="14F12C41" w14:textId="77777777" w:rsidR="00DF6D4C" w:rsidRPr="00EE4F0D" w:rsidRDefault="00DF6D4C" w:rsidP="00EE4F0D">
      <w:pPr>
        <w:pStyle w:val="Heading2"/>
      </w:pPr>
      <w:bookmarkStart w:id="18" w:name="_Toc170220978"/>
      <w:bookmarkStart w:id="19" w:name="_Toc199242520"/>
      <w:bookmarkStart w:id="20" w:name="_Toc233002272"/>
      <w:r w:rsidRPr="00EE4F0D">
        <w:t>Registrar (assisted dying)</w:t>
      </w:r>
      <w:bookmarkEnd w:id="18"/>
      <w:bookmarkEnd w:id="19"/>
      <w:bookmarkEnd w:id="20"/>
    </w:p>
    <w:p w14:paraId="033B6F57" w14:textId="0AEC4FD7" w:rsidR="00DF6D4C" w:rsidRPr="00AF656B" w:rsidRDefault="00DF6D4C" w:rsidP="00EE4F0D">
      <w:r w:rsidRPr="00AF656B">
        <w:t xml:space="preserve">The Registrar (assisted dying) is a statutory role under the Act and must be a Ministry employee who is nominated by the Director-General of Health. The Registrar’s responsibilities under the Act include: </w:t>
      </w:r>
    </w:p>
    <w:p w14:paraId="1A2B1926" w14:textId="37046890" w:rsidR="00DF6D4C" w:rsidRPr="00EE4F0D" w:rsidRDefault="00DF6D4C" w:rsidP="00EE4F0D">
      <w:pPr>
        <w:pStyle w:val="Bullet"/>
      </w:pPr>
      <w:r w:rsidRPr="00EE4F0D">
        <w:t xml:space="preserve">reviewing the assisted dying forms </w:t>
      </w:r>
      <w:r w:rsidR="007A532A" w:rsidRPr="00EE4F0D">
        <w:t xml:space="preserve">that </w:t>
      </w:r>
      <w:r w:rsidRPr="00EE4F0D">
        <w:t xml:space="preserve">health practitioners complete to ensure compliance with the Act before </w:t>
      </w:r>
      <w:r w:rsidR="005E1D04" w:rsidRPr="00EE4F0D">
        <w:t>an assisted death takes place</w:t>
      </w:r>
    </w:p>
    <w:p w14:paraId="027097A9" w14:textId="77777777" w:rsidR="00DF6D4C" w:rsidRPr="00EE4F0D" w:rsidRDefault="00DF6D4C" w:rsidP="00EE4F0D">
      <w:pPr>
        <w:pStyle w:val="Bullet"/>
      </w:pPr>
      <w:r w:rsidRPr="00EE4F0D">
        <w:t xml:space="preserve">establishing and maintaining a register of approved forms for the assisted dying process and consulting the Privacy Commissioner as required under the Act  </w:t>
      </w:r>
    </w:p>
    <w:p w14:paraId="3476D223" w14:textId="77777777" w:rsidR="00DF6D4C" w:rsidRPr="00EE4F0D" w:rsidRDefault="00DF6D4C" w:rsidP="00EE4F0D">
      <w:pPr>
        <w:pStyle w:val="Bullet"/>
      </w:pPr>
      <w:r w:rsidRPr="00EE4F0D">
        <w:t xml:space="preserve">receiving and managing complaints and referring them to the Health and Disability Commissioner (HDC), New Zealand Police and/or other appropriate authorities </w:t>
      </w:r>
    </w:p>
    <w:p w14:paraId="4D6854D8" w14:textId="77777777" w:rsidR="00DF6D4C" w:rsidRPr="00EE4F0D" w:rsidRDefault="00DF6D4C" w:rsidP="00EE4F0D">
      <w:pPr>
        <w:pStyle w:val="Bullet"/>
      </w:pPr>
      <w:r w:rsidRPr="00EE4F0D">
        <w:t xml:space="preserve">taking any action as directed by the </w:t>
      </w:r>
      <w:proofErr w:type="gramStart"/>
      <w:r w:rsidRPr="00EE4F0D">
        <w:t>End of Life</w:t>
      </w:r>
      <w:proofErr w:type="gramEnd"/>
      <w:r w:rsidRPr="00EE4F0D">
        <w:t xml:space="preserve"> Review Committee. </w:t>
      </w:r>
    </w:p>
    <w:p w14:paraId="4F534708" w14:textId="77777777" w:rsidR="00DF6D4C" w:rsidRPr="00AF656B" w:rsidRDefault="00DF6D4C" w:rsidP="00EE4F0D"/>
    <w:p w14:paraId="368BC1EE" w14:textId="63D8378D" w:rsidR="00DF6D4C" w:rsidRPr="00AF656B" w:rsidRDefault="00DF6D4C" w:rsidP="00EE4F0D">
      <w:r w:rsidRPr="00AF656B">
        <w:t xml:space="preserve">The Registrar must </w:t>
      </w:r>
      <w:r w:rsidR="00F20D27">
        <w:t xml:space="preserve">also </w:t>
      </w:r>
      <w:r w:rsidRPr="00AF656B">
        <w:t>perform any other functions that the Act requires</w:t>
      </w:r>
      <w:r w:rsidR="00F6155E">
        <w:t xml:space="preserve"> of</w:t>
      </w:r>
      <w:r w:rsidRPr="00AF656B">
        <w:t xml:space="preserve"> the</w:t>
      </w:r>
      <w:r w:rsidR="00F20D27">
        <w:t>m</w:t>
      </w:r>
      <w:r w:rsidRPr="00AF656B">
        <w:t>.</w:t>
      </w:r>
    </w:p>
    <w:p w14:paraId="2A9B8AAC" w14:textId="77777777" w:rsidR="00DF6D4C" w:rsidRPr="00EE4F0D" w:rsidRDefault="00DF6D4C" w:rsidP="00EE4F0D">
      <w:pPr>
        <w:pStyle w:val="Heading2"/>
      </w:pPr>
      <w:bookmarkStart w:id="21" w:name="_Toc170220979"/>
      <w:bookmarkStart w:id="22" w:name="_Toc199242521"/>
      <w:bookmarkStart w:id="23" w:name="_Toc233002273"/>
      <w:r w:rsidRPr="00EE4F0D">
        <w:t>The Support and Consultation for End of Life in New Zealand Group</w:t>
      </w:r>
      <w:bookmarkEnd w:id="21"/>
      <w:bookmarkEnd w:id="22"/>
      <w:bookmarkEnd w:id="23"/>
    </w:p>
    <w:p w14:paraId="1EC9FCBD" w14:textId="77777777" w:rsidR="00AA0C22" w:rsidRDefault="00DF6D4C" w:rsidP="00EE4F0D">
      <w:r w:rsidRPr="00AF656B">
        <w:t xml:space="preserve">The Support and Consultation for End of Life in New Zealand Group (the SCENZ Group) is a statutory body under the Act. The Director-General of Health appoints its members. </w:t>
      </w:r>
    </w:p>
    <w:p w14:paraId="2A4F7B42" w14:textId="77777777" w:rsidR="00AA0C22" w:rsidRDefault="00AA0C22" w:rsidP="00EE4F0D"/>
    <w:p w14:paraId="04C28815" w14:textId="5DF60247" w:rsidR="00AA0C22" w:rsidRDefault="00AA0C22" w:rsidP="00EE4F0D">
      <w:r>
        <w:t>S</w:t>
      </w:r>
      <w:r w:rsidRPr="00AF656B">
        <w:t xml:space="preserve">ection 25 of the Act </w:t>
      </w:r>
      <w:r>
        <w:t>sets out t</w:t>
      </w:r>
      <w:r w:rsidR="00DF6D4C" w:rsidRPr="00AF656B">
        <w:t>he role of the SCENZ Group</w:t>
      </w:r>
      <w:r>
        <w:t>.</w:t>
      </w:r>
      <w:r w:rsidR="00DF6D4C" w:rsidRPr="00AF656B">
        <w:t xml:space="preserve"> </w:t>
      </w:r>
      <w:r w:rsidR="00F6155E">
        <w:t>It requires</w:t>
      </w:r>
      <w:r>
        <w:t xml:space="preserve"> </w:t>
      </w:r>
      <w:r w:rsidR="00DF6D4C" w:rsidRPr="00AF656B">
        <w:t>the group</w:t>
      </w:r>
      <w:r w:rsidR="00F6155E">
        <w:t xml:space="preserve"> to</w:t>
      </w:r>
      <w:r>
        <w:t>:</w:t>
      </w:r>
    </w:p>
    <w:p w14:paraId="68B9CCE8" w14:textId="0AEF339C" w:rsidR="00AA0C22" w:rsidRDefault="00DF6D4C" w:rsidP="00AA0C22">
      <w:pPr>
        <w:pStyle w:val="Bullet"/>
      </w:pPr>
      <w:r w:rsidRPr="00AF656B">
        <w:t xml:space="preserve">maintain a list of health professionals willing to provide assisted dying services in New Zealand </w:t>
      </w:r>
    </w:p>
    <w:p w14:paraId="2C23BFB4" w14:textId="125622AC" w:rsidR="00DF6D4C" w:rsidRPr="00AF656B" w:rsidRDefault="00F6155E" w:rsidP="009B0B7F">
      <w:pPr>
        <w:pStyle w:val="Bullet"/>
      </w:pPr>
      <w:r>
        <w:t>be</w:t>
      </w:r>
      <w:r w:rsidRPr="00AF656B">
        <w:t xml:space="preserve"> </w:t>
      </w:r>
      <w:r w:rsidR="00DF6D4C" w:rsidRPr="00AF656B">
        <w:t xml:space="preserve">responsible for the clinical guidelines for administering medication for an assisted death and the standard of care for assisted dying in New Zealand.  </w:t>
      </w:r>
    </w:p>
    <w:p w14:paraId="727E2059" w14:textId="77777777" w:rsidR="00DF6D4C" w:rsidRPr="00AF656B" w:rsidRDefault="00DF6D4C" w:rsidP="00DF6D4C"/>
    <w:p w14:paraId="6BABECDE" w14:textId="5A801D56" w:rsidR="00DF6D4C" w:rsidRPr="00AF656B" w:rsidRDefault="00AA0C22" w:rsidP="00DF6D4C">
      <w:r>
        <w:t>For m</w:t>
      </w:r>
      <w:r w:rsidR="00DF6D4C" w:rsidRPr="00AF656B">
        <w:t xml:space="preserve">ore information </w:t>
      </w:r>
      <w:r>
        <w:t xml:space="preserve">on </w:t>
      </w:r>
      <w:r w:rsidR="00DF6D4C" w:rsidRPr="00AF656B">
        <w:t xml:space="preserve">the SCENZ Group, including details of its current members, </w:t>
      </w:r>
      <w:r>
        <w:t xml:space="preserve">go to </w:t>
      </w:r>
      <w:r w:rsidR="00DF6D4C" w:rsidRPr="00AF656B">
        <w:rPr>
          <w:bCs/>
        </w:rPr>
        <w:t>the</w:t>
      </w:r>
      <w:r w:rsidR="00DF6D4C" w:rsidRPr="00AF656B">
        <w:rPr>
          <w:b/>
        </w:rPr>
        <w:t xml:space="preserve"> </w:t>
      </w:r>
      <w:r w:rsidR="005F3C8C" w:rsidRPr="009B0B7F">
        <w:t>SCENZ Group webpage</w:t>
      </w:r>
      <w:r w:rsidR="005F3C8C" w:rsidRPr="005F3C8C">
        <w:t xml:space="preserve">, </w:t>
      </w:r>
      <w:hyperlink r:id="rId28" w:history="1">
        <w:r w:rsidR="005F3C8C" w:rsidRPr="005F3C8C">
          <w:rPr>
            <w:rStyle w:val="Hyperlink"/>
          </w:rPr>
          <w:t>health.govt.nz/regulation-legislation/assisted-dying/statutory-roles-and-groups/scenz-group</w:t>
        </w:r>
      </w:hyperlink>
      <w:r w:rsidR="005F3C8C">
        <w:t>,</w:t>
      </w:r>
      <w:r w:rsidR="00DF6D4C" w:rsidRPr="00AF656B">
        <w:rPr>
          <w:b/>
        </w:rPr>
        <w:t xml:space="preserve"> </w:t>
      </w:r>
      <w:r w:rsidR="00DF6D4C" w:rsidRPr="00AF656B">
        <w:rPr>
          <w:bCs/>
        </w:rPr>
        <w:t>on the Ministry’s website</w:t>
      </w:r>
      <w:r w:rsidR="00DF6D4C" w:rsidRPr="00AF656B">
        <w:t xml:space="preserve">.  </w:t>
      </w:r>
    </w:p>
    <w:p w14:paraId="3DAAE846" w14:textId="77777777" w:rsidR="00DF6D4C" w:rsidRPr="00EE4F0D" w:rsidRDefault="00DF6D4C" w:rsidP="00EE4F0D">
      <w:pPr>
        <w:pStyle w:val="Heading2"/>
      </w:pPr>
      <w:bookmarkStart w:id="24" w:name="_Toc170220980"/>
      <w:bookmarkStart w:id="25" w:name="_Toc199242522"/>
      <w:bookmarkStart w:id="26" w:name="_Toc233002274"/>
      <w:r w:rsidRPr="00EE4F0D">
        <w:lastRenderedPageBreak/>
        <w:t>End of Life Review Committee</w:t>
      </w:r>
      <w:bookmarkEnd w:id="24"/>
      <w:bookmarkEnd w:id="25"/>
      <w:bookmarkEnd w:id="26"/>
    </w:p>
    <w:p w14:paraId="609DA75C" w14:textId="3EE74969" w:rsidR="00DF6D4C" w:rsidRPr="00AF656B" w:rsidRDefault="00DF6D4C" w:rsidP="00EE4F0D">
      <w:r w:rsidRPr="00AF656B">
        <w:t xml:space="preserve">The </w:t>
      </w:r>
      <w:proofErr w:type="gramStart"/>
      <w:r w:rsidRPr="00AF656B">
        <w:t>End of Life</w:t>
      </w:r>
      <w:proofErr w:type="gramEnd"/>
      <w:r w:rsidRPr="00AF656B">
        <w:t xml:space="preserve"> Review Committee</w:t>
      </w:r>
      <w:r w:rsidR="00F64EF6">
        <w:t xml:space="preserve"> (the Committee)</w:t>
      </w:r>
      <w:r w:rsidRPr="00AF656B">
        <w:t xml:space="preserve"> is responsible for considering all assisted death reports the Registrar receives under section 21(3) of the Act. </w:t>
      </w:r>
    </w:p>
    <w:p w14:paraId="1B2A5DC6" w14:textId="77777777" w:rsidR="00DF6D4C" w:rsidRPr="00AF656B" w:rsidRDefault="00DF6D4C" w:rsidP="00EE4F0D"/>
    <w:p w14:paraId="435C373E" w14:textId="08B4DE75" w:rsidR="00DF6D4C" w:rsidRPr="00AF656B" w:rsidRDefault="00DF6D4C" w:rsidP="00EE4F0D">
      <w:r w:rsidRPr="00AF656B">
        <w:t xml:space="preserve">The assisted death report is a mandatory report </w:t>
      </w:r>
      <w:r w:rsidR="00F64EF6">
        <w:t>that</w:t>
      </w:r>
      <w:r w:rsidRPr="00AF656B">
        <w:t xml:space="preserve"> the attending medical practitioner (AMP) or attending nurse practitioner (ANP)</w:t>
      </w:r>
      <w:r w:rsidR="00F64EF6">
        <w:t xml:space="preserve"> completes</w:t>
      </w:r>
      <w:r w:rsidRPr="00AF656B">
        <w:t xml:space="preserve"> after each assisted death provided in New Zealand. </w:t>
      </w:r>
    </w:p>
    <w:p w14:paraId="43C015D9" w14:textId="77777777" w:rsidR="00DF6D4C" w:rsidRPr="00AF656B" w:rsidRDefault="00DF6D4C" w:rsidP="00EE4F0D"/>
    <w:p w14:paraId="3B12F4E2" w14:textId="77777777" w:rsidR="00DF6D4C" w:rsidRPr="00AF656B" w:rsidRDefault="00DF6D4C" w:rsidP="00EE4F0D">
      <w:r w:rsidRPr="00AF656B">
        <w:t xml:space="preserve">The Committee is responsible for reviewing whether the information contained within each assisted death report shows satisfactory compliance with section 21(2) of the Act. The Committee may make recommendations for the Registrar to follow up on any information contained within the assisted death report, if it considers that the report does not show satisfactory compliance with the requirements of the Act. </w:t>
      </w:r>
    </w:p>
    <w:p w14:paraId="45217CC3" w14:textId="77777777" w:rsidR="00DF6D4C" w:rsidRPr="00AF656B" w:rsidRDefault="00DF6D4C" w:rsidP="00EE4F0D"/>
    <w:p w14:paraId="30BC18FC" w14:textId="52979E30" w:rsidR="00DF6D4C" w:rsidRPr="00AF656B" w:rsidRDefault="00DF6D4C" w:rsidP="00EE4F0D">
      <w:r w:rsidRPr="00AF656B">
        <w:t xml:space="preserve">The Registrar has not received any recommendations from the Committee </w:t>
      </w:r>
      <w:r w:rsidR="00F6155E">
        <w:t xml:space="preserve">on compliance matters </w:t>
      </w:r>
      <w:r w:rsidRPr="00AF656B">
        <w:t xml:space="preserve">for the period of this report. </w:t>
      </w:r>
    </w:p>
    <w:p w14:paraId="3B1754B6" w14:textId="77777777" w:rsidR="00DF6D4C" w:rsidRPr="00AF656B" w:rsidRDefault="00DF6D4C" w:rsidP="00EE4F0D"/>
    <w:p w14:paraId="0919A9CE" w14:textId="5DA7FD56" w:rsidR="00DF6D4C" w:rsidRPr="00AF656B" w:rsidRDefault="00D06BDD" w:rsidP="00DF6D4C">
      <w:pPr>
        <w:rPr>
          <w:rStyle w:val="Hyperlink"/>
          <w:bCs/>
        </w:rPr>
      </w:pPr>
      <w:r>
        <w:t>For m</w:t>
      </w:r>
      <w:r w:rsidR="00DF6D4C" w:rsidRPr="00AF656B">
        <w:t xml:space="preserve">ore information about the Committee (including </w:t>
      </w:r>
      <w:r w:rsidR="00F6155E">
        <w:t>its</w:t>
      </w:r>
      <w:r w:rsidR="00F6155E" w:rsidRPr="00AF656B">
        <w:t xml:space="preserve"> </w:t>
      </w:r>
      <w:r w:rsidR="00DF6D4C" w:rsidRPr="00AF656B">
        <w:t>current members)</w:t>
      </w:r>
      <w:r>
        <w:t>, go to</w:t>
      </w:r>
      <w:r w:rsidR="00DF6D4C" w:rsidRPr="00AF656B">
        <w:t xml:space="preserve"> </w:t>
      </w:r>
      <w:r w:rsidR="00DF6D4C" w:rsidRPr="00AF656B">
        <w:rPr>
          <w:bCs/>
        </w:rPr>
        <w:t>the</w:t>
      </w:r>
      <w:r w:rsidR="00DF6D4C" w:rsidRPr="00AF656B">
        <w:rPr>
          <w:b/>
        </w:rPr>
        <w:t xml:space="preserve"> </w:t>
      </w:r>
      <w:hyperlink r:id="rId29" w:history="1">
        <w:r w:rsidR="00DF6D4C" w:rsidRPr="00AF656B">
          <w:rPr>
            <w:rStyle w:val="Hyperlink"/>
          </w:rPr>
          <w:t>End of Life Review Committee webpage</w:t>
        </w:r>
      </w:hyperlink>
      <w:r w:rsidR="00DF6D4C" w:rsidRPr="00AF656B">
        <w:rPr>
          <w:b/>
        </w:rPr>
        <w:t xml:space="preserve"> </w:t>
      </w:r>
      <w:r w:rsidR="00DF6D4C" w:rsidRPr="00AF656B">
        <w:rPr>
          <w:bCs/>
        </w:rPr>
        <w:t>on the Ministry’s website</w:t>
      </w:r>
      <w:r w:rsidR="00DF6D4C" w:rsidRPr="00AF656B">
        <w:rPr>
          <w:rStyle w:val="Hyperlink"/>
          <w:bCs/>
        </w:rPr>
        <w:t>.</w:t>
      </w:r>
    </w:p>
    <w:p w14:paraId="1F416CB6" w14:textId="77777777" w:rsidR="00DF6D4C" w:rsidRPr="00AF656B" w:rsidRDefault="00DF6D4C" w:rsidP="00DF6D4C">
      <w:pPr>
        <w:pStyle w:val="Heading2"/>
      </w:pPr>
      <w:bookmarkStart w:id="27" w:name="_Toc170220981"/>
      <w:bookmarkStart w:id="28" w:name="_Toc199242523"/>
      <w:bookmarkStart w:id="29" w:name="_Toc233002275"/>
      <w:r w:rsidRPr="00AF656B">
        <w:t>Assisted Dying Secretariat</w:t>
      </w:r>
      <w:bookmarkEnd w:id="27"/>
      <w:bookmarkEnd w:id="28"/>
      <w:bookmarkEnd w:id="29"/>
      <w:r w:rsidRPr="00AF656B">
        <w:t xml:space="preserve"> </w:t>
      </w:r>
    </w:p>
    <w:p w14:paraId="2BF44734" w14:textId="6D83E83F" w:rsidR="00DF6D4C" w:rsidRPr="00AF656B" w:rsidRDefault="00DF6D4C" w:rsidP="00DF6D4C">
      <w:pPr>
        <w:rPr>
          <w:lang w:eastAsia="en-NZ"/>
        </w:rPr>
      </w:pPr>
      <w:r w:rsidRPr="00AF656B">
        <w:rPr>
          <w:lang w:eastAsia="en-NZ"/>
        </w:rPr>
        <w:t>The Assisted Dying Secretariat is part of the Regulatory Assurance team in the Ministry’s Regulat</w:t>
      </w:r>
      <w:r w:rsidR="0091777B" w:rsidRPr="00AF656B">
        <w:rPr>
          <w:lang w:eastAsia="en-NZ"/>
        </w:rPr>
        <w:t>ory Services</w:t>
      </w:r>
      <w:r w:rsidR="4FE8D699" w:rsidRPr="305AD490">
        <w:rPr>
          <w:lang w:eastAsia="en-NZ"/>
        </w:rPr>
        <w:t xml:space="preserve"> </w:t>
      </w:r>
      <w:r w:rsidRPr="00AF656B">
        <w:rPr>
          <w:rFonts w:ascii="Arial" w:hAnsi="Arial" w:cs="Arial"/>
          <w:lang w:eastAsia="en-NZ"/>
        </w:rPr>
        <w:t xml:space="preserve">– </w:t>
      </w:r>
      <w:proofErr w:type="spellStart"/>
      <w:r w:rsidRPr="00AF656B">
        <w:rPr>
          <w:lang w:eastAsia="en-NZ"/>
        </w:rPr>
        <w:t>Te</w:t>
      </w:r>
      <w:proofErr w:type="spellEnd"/>
      <w:r w:rsidRPr="00AF656B">
        <w:rPr>
          <w:lang w:eastAsia="en-NZ"/>
        </w:rPr>
        <w:t xml:space="preserve"> Pou </w:t>
      </w:r>
      <w:proofErr w:type="spellStart"/>
      <w:r w:rsidR="0091777B" w:rsidRPr="00AF656B">
        <w:rPr>
          <w:lang w:eastAsia="en-NZ"/>
        </w:rPr>
        <w:t>Tāhū</w:t>
      </w:r>
      <w:proofErr w:type="spellEnd"/>
      <w:r w:rsidRPr="00AF656B">
        <w:rPr>
          <w:lang w:eastAsia="en-NZ"/>
        </w:rPr>
        <w:t xml:space="preserve"> </w:t>
      </w:r>
      <w:r w:rsidR="0053657B">
        <w:rPr>
          <w:lang w:eastAsia="en-NZ"/>
        </w:rPr>
        <w:t>Group</w:t>
      </w:r>
      <w:r w:rsidRPr="00AF656B">
        <w:rPr>
          <w:lang w:eastAsia="en-NZ"/>
        </w:rPr>
        <w:t xml:space="preserve">. The Secretariat supports the SCENZ Group, the Committee and the Office of the Registrar. </w:t>
      </w:r>
    </w:p>
    <w:p w14:paraId="555C5B7F" w14:textId="77777777" w:rsidR="00DF6D4C" w:rsidRPr="00AF656B" w:rsidRDefault="00DF6D4C" w:rsidP="00DF6D4C">
      <w:pPr>
        <w:rPr>
          <w:lang w:eastAsia="en-NZ"/>
        </w:rPr>
      </w:pPr>
    </w:p>
    <w:p w14:paraId="532F0D86" w14:textId="3FE8696E" w:rsidR="00DF6D4C" w:rsidRPr="00AF656B" w:rsidRDefault="00DF6D4C" w:rsidP="00DF6D4C">
      <w:pPr>
        <w:rPr>
          <w:lang w:eastAsia="en-NZ"/>
        </w:rPr>
      </w:pPr>
      <w:r w:rsidRPr="00AF656B">
        <w:rPr>
          <w:lang w:eastAsia="en-NZ"/>
        </w:rPr>
        <w:t xml:space="preserve">The Regulatory Assurance team regulates and monitors the service to ensure </w:t>
      </w:r>
      <w:r w:rsidR="00F6155E">
        <w:rPr>
          <w:lang w:eastAsia="en-NZ"/>
        </w:rPr>
        <w:t xml:space="preserve">it </w:t>
      </w:r>
      <w:r w:rsidRPr="00AF656B">
        <w:rPr>
          <w:lang w:eastAsia="en-NZ"/>
        </w:rPr>
        <w:t>compli</w:t>
      </w:r>
      <w:r w:rsidR="00F6155E">
        <w:rPr>
          <w:lang w:eastAsia="en-NZ"/>
        </w:rPr>
        <w:t>es</w:t>
      </w:r>
      <w:r w:rsidRPr="00AF656B">
        <w:rPr>
          <w:lang w:eastAsia="en-NZ"/>
        </w:rPr>
        <w:t xml:space="preserve"> with the Act. The Registrar works closely with the team. </w:t>
      </w:r>
    </w:p>
    <w:p w14:paraId="4F26A738" w14:textId="19845FC6" w:rsidR="00DF6D4C" w:rsidRPr="00AF656B" w:rsidRDefault="00F6440C" w:rsidP="00DF6D4C">
      <w:pPr>
        <w:pStyle w:val="Heading2"/>
        <w:rPr>
          <w:lang w:eastAsia="en-NZ"/>
        </w:rPr>
      </w:pPr>
      <w:bookmarkStart w:id="30" w:name="_Toc170220982"/>
      <w:bookmarkStart w:id="31" w:name="_Toc199242524"/>
      <w:bookmarkStart w:id="32" w:name="_Toc233002276"/>
      <w:r w:rsidRPr="00AF656B">
        <w:rPr>
          <w:lang w:eastAsia="en-NZ"/>
        </w:rPr>
        <w:t xml:space="preserve">The </w:t>
      </w:r>
      <w:r w:rsidR="00DF6D4C" w:rsidRPr="00AF656B">
        <w:rPr>
          <w:lang w:eastAsia="en-NZ"/>
        </w:rPr>
        <w:t>Office of the Registrar</w:t>
      </w:r>
      <w:bookmarkEnd w:id="30"/>
      <w:bookmarkEnd w:id="31"/>
      <w:bookmarkEnd w:id="32"/>
    </w:p>
    <w:p w14:paraId="18E9EB82" w14:textId="77777777" w:rsidR="00DF6D4C" w:rsidRPr="00AF656B" w:rsidRDefault="00DF6D4C" w:rsidP="00DF6D4C">
      <w:pPr>
        <w:rPr>
          <w:rFonts w:eastAsiaTheme="minorEastAsia"/>
          <w:lang w:eastAsia="en-US"/>
        </w:rPr>
      </w:pPr>
      <w:r w:rsidRPr="00AF656B">
        <w:rPr>
          <w:rFonts w:eastAsiaTheme="minorEastAsia"/>
          <w:lang w:eastAsia="en-US"/>
        </w:rPr>
        <w:t xml:space="preserve">The Office of the Registrar supports the Registrar. The Office includes the Deputy Registrar and members of the Regulatory Assurance team who hold the relevant knowledge and technical skills to support the Registrar.  </w:t>
      </w:r>
    </w:p>
    <w:p w14:paraId="60FC9DBC" w14:textId="77777777" w:rsidR="00DF6D4C" w:rsidRPr="00AF656B" w:rsidRDefault="00DF6D4C" w:rsidP="00DF6D4C">
      <w:pPr>
        <w:pStyle w:val="Heading2"/>
      </w:pPr>
      <w:bookmarkStart w:id="33" w:name="_Toc199242525"/>
      <w:bookmarkStart w:id="34" w:name="_Toc233002277"/>
      <w:bookmarkStart w:id="35" w:name="_Toc170220983"/>
      <w:r w:rsidRPr="00AF656B">
        <w:t>Health New Zealand</w:t>
      </w:r>
      <w:bookmarkEnd w:id="33"/>
      <w:bookmarkEnd w:id="34"/>
      <w:r w:rsidRPr="00AF656B">
        <w:t xml:space="preserve"> </w:t>
      </w:r>
      <w:bookmarkEnd w:id="35"/>
    </w:p>
    <w:p w14:paraId="563C2863" w14:textId="4FA32BFA" w:rsidR="00DF6D4C" w:rsidRPr="00AF656B" w:rsidRDefault="00DF6D4C" w:rsidP="00DF6D4C">
      <w:r w:rsidRPr="00AF656B">
        <w:t xml:space="preserve">Health New Zealand – </w:t>
      </w:r>
      <w:proofErr w:type="spellStart"/>
      <w:r w:rsidRPr="00AF656B">
        <w:t>Te</w:t>
      </w:r>
      <w:proofErr w:type="spellEnd"/>
      <w:r w:rsidRPr="00AF656B">
        <w:t xml:space="preserve"> Whatu Ora </w:t>
      </w:r>
      <w:r w:rsidR="00F6155E">
        <w:t xml:space="preserve">(Health New Zealand) </w:t>
      </w:r>
      <w:r w:rsidRPr="00AF656B">
        <w:t xml:space="preserve">is responsible for operational aspects of health care in New Zealand, including the delivery of assisted dying services. </w:t>
      </w:r>
      <w:r w:rsidR="00D06BDD">
        <w:t>For this reason</w:t>
      </w:r>
      <w:r w:rsidRPr="00AF656B">
        <w:t xml:space="preserve">, this report does not include general information </w:t>
      </w:r>
      <w:r w:rsidR="00D06BDD">
        <w:t>on</w:t>
      </w:r>
      <w:r w:rsidRPr="00AF656B">
        <w:t xml:space="preserve"> the operational functions of assisted dying services, such as training, clinical support, service provision and data collection. </w:t>
      </w:r>
    </w:p>
    <w:p w14:paraId="759C137F" w14:textId="0A10FCBB" w:rsidR="00B33032" w:rsidRPr="00AF656B" w:rsidRDefault="00B33032" w:rsidP="009B0B7F">
      <w:pPr>
        <w:pStyle w:val="Heading1"/>
      </w:pPr>
      <w:bookmarkStart w:id="36" w:name="_Toc233002278"/>
      <w:r w:rsidRPr="00AF656B">
        <w:lastRenderedPageBreak/>
        <w:t xml:space="preserve">The </w:t>
      </w:r>
      <w:r w:rsidR="00D06BDD">
        <w:t>a</w:t>
      </w:r>
      <w:r w:rsidRPr="00AF656B">
        <w:t xml:space="preserve">ssisted </w:t>
      </w:r>
      <w:r w:rsidR="00D06BDD">
        <w:t>d</w:t>
      </w:r>
      <w:r w:rsidRPr="00AF656B">
        <w:t xml:space="preserve">ying </w:t>
      </w:r>
      <w:r w:rsidR="00D06BDD">
        <w:t>p</w:t>
      </w:r>
      <w:r w:rsidRPr="00AF656B">
        <w:t>rocess</w:t>
      </w:r>
      <w:bookmarkEnd w:id="36"/>
      <w:r w:rsidRPr="00AF656B">
        <w:t xml:space="preserve"> </w:t>
      </w:r>
    </w:p>
    <w:p w14:paraId="382C1085" w14:textId="0A4C1499" w:rsidR="003D261E" w:rsidRDefault="00067755" w:rsidP="00EE4F0D">
      <w:r>
        <w:t xml:space="preserve">Figure 1 </w:t>
      </w:r>
      <w:r w:rsidR="003D261E">
        <w:t>summarises the</w:t>
      </w:r>
      <w:r w:rsidR="00965A13" w:rsidRPr="00AF656B">
        <w:t xml:space="preserve"> </w:t>
      </w:r>
      <w:r w:rsidR="00984AD5" w:rsidRPr="00AF656B">
        <w:t xml:space="preserve">process </w:t>
      </w:r>
      <w:r w:rsidR="003D261E">
        <w:t>that</w:t>
      </w:r>
      <w:r w:rsidR="003D261E" w:rsidRPr="00AF656B">
        <w:t xml:space="preserve"> </w:t>
      </w:r>
      <w:r w:rsidR="005E0E92" w:rsidRPr="00AF656B">
        <w:t xml:space="preserve">an eligible person </w:t>
      </w:r>
      <w:r w:rsidR="003D261E">
        <w:t xml:space="preserve">needs to go through </w:t>
      </w:r>
      <w:r w:rsidR="005E0E92" w:rsidRPr="00AF656B">
        <w:t>to have an assisted death</w:t>
      </w:r>
      <w:r w:rsidR="00E850CE" w:rsidRPr="00AF656B">
        <w:t xml:space="preserve"> in New Zealand. </w:t>
      </w:r>
      <w:r w:rsidR="00904913" w:rsidRPr="00AF656B">
        <w:t xml:space="preserve">The </w:t>
      </w:r>
      <w:r w:rsidR="003D261E">
        <w:t xml:space="preserve">Act sets out the </w:t>
      </w:r>
      <w:r w:rsidR="00904913" w:rsidRPr="00AF656B">
        <w:t>full process</w:t>
      </w:r>
      <w:r w:rsidR="003D261E">
        <w:t>, which includes</w:t>
      </w:r>
      <w:r w:rsidR="00904913" w:rsidRPr="00AF656B">
        <w:t xml:space="preserve"> multiple safeguards and checks throughout. </w:t>
      </w:r>
      <w:r w:rsidR="003D261E">
        <w:t>The o</w:t>
      </w:r>
      <w:r w:rsidR="00904913" w:rsidRPr="00AF656B">
        <w:t xml:space="preserve">nly </w:t>
      </w:r>
      <w:r w:rsidR="007A27B2" w:rsidRPr="00AF656B">
        <w:t>people who</w:t>
      </w:r>
      <w:r w:rsidR="003D261E" w:rsidRPr="003D261E">
        <w:t xml:space="preserve"> </w:t>
      </w:r>
      <w:r w:rsidR="003D261E" w:rsidRPr="00AF656B">
        <w:t>can have an assisted death</w:t>
      </w:r>
      <w:r w:rsidR="007A27B2" w:rsidRPr="00AF656B">
        <w:t xml:space="preserve"> are</w:t>
      </w:r>
      <w:r w:rsidR="003D261E">
        <w:t xml:space="preserve"> those who:</w:t>
      </w:r>
    </w:p>
    <w:p w14:paraId="6CFA01E1" w14:textId="0C676F7F" w:rsidR="003D261E" w:rsidRPr="00EE4F0D" w:rsidRDefault="003D261E" w:rsidP="00EE4F0D">
      <w:pPr>
        <w:pStyle w:val="Bullet"/>
      </w:pPr>
      <w:r w:rsidRPr="00EE4F0D">
        <w:t xml:space="preserve">meet the criteria </w:t>
      </w:r>
      <w:r w:rsidR="007A27B2" w:rsidRPr="00EE4F0D">
        <w:t>to be eligible</w:t>
      </w:r>
      <w:r w:rsidR="6B46369D" w:rsidRPr="00EE4F0D">
        <w:t xml:space="preserve"> </w:t>
      </w:r>
      <w:r w:rsidRPr="00EE4F0D">
        <w:t>under the Act</w:t>
      </w:r>
    </w:p>
    <w:p w14:paraId="30D752E3" w14:textId="12251DAE" w:rsidR="003D261E" w:rsidRPr="00EE4F0D" w:rsidRDefault="003D261E" w:rsidP="00EE4F0D">
      <w:pPr>
        <w:pStyle w:val="Bullet"/>
      </w:pPr>
      <w:r w:rsidRPr="00EE4F0D">
        <w:t>are</w:t>
      </w:r>
      <w:r w:rsidR="277CD910" w:rsidRPr="00EE4F0D">
        <w:t xml:space="preserve"> </w:t>
      </w:r>
      <w:r w:rsidR="0AF23C2A" w:rsidRPr="00EE4F0D">
        <w:t>competent to make an informed decision</w:t>
      </w:r>
      <w:r w:rsidR="004B0A70" w:rsidRPr="00EE4F0D">
        <w:t xml:space="preserve"> </w:t>
      </w:r>
    </w:p>
    <w:p w14:paraId="4B9B0FB0" w14:textId="6E2CFB61" w:rsidR="00EE4521" w:rsidRPr="00EE4F0D" w:rsidRDefault="004B0A70" w:rsidP="00EE4F0D">
      <w:pPr>
        <w:pStyle w:val="Bullet"/>
      </w:pPr>
      <w:r w:rsidRPr="00EE4F0D">
        <w:t xml:space="preserve">are free </w:t>
      </w:r>
      <w:r w:rsidR="00D66336" w:rsidRPr="00EE4F0D">
        <w:t xml:space="preserve">of </w:t>
      </w:r>
      <w:r w:rsidR="000D10F7" w:rsidRPr="00EE4F0D">
        <w:t>pressure</w:t>
      </w:r>
      <w:r w:rsidR="00D66336" w:rsidRPr="00EE4F0D">
        <w:t xml:space="preserve"> from other people</w:t>
      </w:r>
      <w:r w:rsidR="6B46369D" w:rsidRPr="00EE4F0D">
        <w:t xml:space="preserve">. </w:t>
      </w:r>
    </w:p>
    <w:p w14:paraId="7A73E2BB" w14:textId="45E6EF67" w:rsidR="007A27B2" w:rsidRPr="00AF656B" w:rsidRDefault="007A27B2" w:rsidP="00EE4F0D"/>
    <w:p w14:paraId="5EFBE452" w14:textId="6490C321" w:rsidR="007A27B2" w:rsidRPr="00AF656B" w:rsidRDefault="00D66336" w:rsidP="00EE4F0D">
      <w:pPr>
        <w:rPr>
          <w:b/>
          <w:bCs/>
          <w:lang w:val="en-US"/>
        </w:rPr>
      </w:pPr>
      <w:r>
        <w:rPr>
          <w:lang w:val="en-US"/>
        </w:rPr>
        <w:t>An eligible</w:t>
      </w:r>
      <w:r w:rsidRPr="00AF656B">
        <w:rPr>
          <w:lang w:val="en-US"/>
        </w:rPr>
        <w:t xml:space="preserve"> </w:t>
      </w:r>
      <w:r w:rsidR="002A02F5" w:rsidRPr="00AF656B">
        <w:rPr>
          <w:lang w:val="en-US"/>
        </w:rPr>
        <w:t xml:space="preserve">person can stop the </w:t>
      </w:r>
      <w:r>
        <w:rPr>
          <w:lang w:val="en-US"/>
        </w:rPr>
        <w:t xml:space="preserve">assisted dying </w:t>
      </w:r>
      <w:r w:rsidR="002A02F5" w:rsidRPr="00AF656B">
        <w:rPr>
          <w:lang w:val="en-US"/>
        </w:rPr>
        <w:t>process at any time, including on their chosen date</w:t>
      </w:r>
      <w:r>
        <w:rPr>
          <w:lang w:val="en-US"/>
        </w:rPr>
        <w:t xml:space="preserve"> of assisted death</w:t>
      </w:r>
      <w:r w:rsidR="002A02F5" w:rsidRPr="00AF656B">
        <w:rPr>
          <w:lang w:val="en-US"/>
        </w:rPr>
        <w:t xml:space="preserve"> before the medication is administered. </w:t>
      </w:r>
      <w:r w:rsidR="003D261E">
        <w:rPr>
          <w:lang w:val="en-US"/>
        </w:rPr>
        <w:t>The process will also stop if</w:t>
      </w:r>
      <w:r w:rsidR="003D261E" w:rsidRPr="00AF656B">
        <w:rPr>
          <w:lang w:val="en-US"/>
        </w:rPr>
        <w:t xml:space="preserve"> </w:t>
      </w:r>
      <w:r w:rsidR="002A02F5" w:rsidRPr="00AF656B">
        <w:rPr>
          <w:lang w:val="en-US"/>
        </w:rPr>
        <w:t>a person is no longer competent</w:t>
      </w:r>
      <w:r w:rsidR="003D261E">
        <w:rPr>
          <w:lang w:val="en-US"/>
        </w:rPr>
        <w:t xml:space="preserve"> to make an informed decision</w:t>
      </w:r>
      <w:r w:rsidR="10AF6F74" w:rsidRPr="00AF656B">
        <w:rPr>
          <w:lang w:val="en-US"/>
        </w:rPr>
        <w:t>,</w:t>
      </w:r>
      <w:r w:rsidR="002A02F5" w:rsidRPr="00AF656B">
        <w:rPr>
          <w:lang w:val="en-US"/>
        </w:rPr>
        <w:t xml:space="preserve"> </w:t>
      </w:r>
      <w:r>
        <w:rPr>
          <w:lang w:val="en-US"/>
        </w:rPr>
        <w:t xml:space="preserve">or if it </w:t>
      </w:r>
      <w:r w:rsidR="000D10F7">
        <w:rPr>
          <w:lang w:val="en-US"/>
        </w:rPr>
        <w:t xml:space="preserve">is suspected </w:t>
      </w:r>
      <w:r>
        <w:rPr>
          <w:lang w:val="en-US"/>
        </w:rPr>
        <w:t xml:space="preserve">that they are under pressure from others, </w:t>
      </w:r>
      <w:r w:rsidR="002A02F5" w:rsidRPr="00AF656B">
        <w:rPr>
          <w:lang w:val="en-US"/>
        </w:rPr>
        <w:t xml:space="preserve">or </w:t>
      </w:r>
      <w:r>
        <w:rPr>
          <w:lang w:val="en-US"/>
        </w:rPr>
        <w:t xml:space="preserve">if </w:t>
      </w:r>
      <w:r w:rsidR="002A02F5" w:rsidRPr="00AF656B">
        <w:rPr>
          <w:lang w:val="en-US"/>
        </w:rPr>
        <w:t xml:space="preserve">their situation changes and they are no longer eligible. </w:t>
      </w:r>
    </w:p>
    <w:p w14:paraId="0CD1609D" w14:textId="515AF297" w:rsidR="327E2F4B" w:rsidRDefault="327E2F4B" w:rsidP="327E2F4B">
      <w:pPr>
        <w:rPr>
          <w:lang w:val="en-US"/>
        </w:rPr>
      </w:pPr>
    </w:p>
    <w:p w14:paraId="0BAF87EA" w14:textId="7A2B003C" w:rsidR="00DB050A" w:rsidRDefault="00CC2EB0">
      <w:pPr>
        <w:pStyle w:val="Figure"/>
      </w:pPr>
      <w:bookmarkStart w:id="37" w:name="_Ref231407951"/>
      <w:bookmarkStart w:id="38" w:name="_Toc233002296"/>
      <w:r>
        <w:rPr>
          <w:noProof/>
        </w:rPr>
        <w:lastRenderedPageBreak/>
        <w:drawing>
          <wp:anchor distT="0" distB="0" distL="114300" distR="114300" simplePos="0" relativeHeight="251658240" behindDoc="0" locked="0" layoutInCell="1" allowOverlap="1" wp14:anchorId="6FCE5746" wp14:editId="14D11718">
            <wp:simplePos x="0" y="0"/>
            <wp:positionH relativeFrom="column">
              <wp:posOffset>-19050</wp:posOffset>
            </wp:positionH>
            <wp:positionV relativeFrom="paragraph">
              <wp:posOffset>289560</wp:posOffset>
            </wp:positionV>
            <wp:extent cx="5614035" cy="5000625"/>
            <wp:effectExtent l="0" t="0" r="5715" b="9525"/>
            <wp:wrapSquare wrapText="bothSides"/>
            <wp:docPr id="48685530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855303" name="Picture 1">
                      <a:extLst>
                        <a:ext uri="{C183D7F6-B498-43B3-948B-1728B52AA6E4}">
                          <adec:decorative xmlns:adec="http://schemas.microsoft.com/office/drawing/2017/decorative" val="1"/>
                        </a:ext>
                      </a:extLst>
                    </pic:cNvPr>
                    <pic:cNvPicPr/>
                  </pic:nvPicPr>
                  <pic:blipFill>
                    <a:blip r:embed="rId30" cstate="print">
                      <a:extLst>
                        <a:ext uri="{28A0092B-C50C-407E-A947-70E740481C1C}">
                          <a14:useLocalDpi xmlns:a14="http://schemas.microsoft.com/office/drawing/2010/main" val="0"/>
                        </a:ext>
                      </a:extLst>
                    </a:blip>
                    <a:stretch>
                      <a:fillRect/>
                    </a:stretch>
                  </pic:blipFill>
                  <pic:spPr>
                    <a:xfrm>
                      <a:off x="0" y="0"/>
                      <a:ext cx="5614035" cy="5000625"/>
                    </a:xfrm>
                    <a:prstGeom prst="rect">
                      <a:avLst/>
                    </a:prstGeom>
                  </pic:spPr>
                </pic:pic>
              </a:graphicData>
            </a:graphic>
            <wp14:sizeRelH relativeFrom="page">
              <wp14:pctWidth>0</wp14:pctWidth>
            </wp14:sizeRelH>
            <wp14:sizeRelV relativeFrom="page">
              <wp14:pctHeight>0</wp14:pctHeight>
            </wp14:sizeRelV>
          </wp:anchor>
        </w:drawing>
      </w:r>
      <w:r w:rsidR="00D06BDD">
        <w:t xml:space="preserve">Figure </w:t>
      </w:r>
      <w:fldSimple w:instr=" SEQ Figure \* ARABIC ">
        <w:r w:rsidR="00F12FB9">
          <w:rPr>
            <w:noProof/>
          </w:rPr>
          <w:t>1</w:t>
        </w:r>
      </w:fldSimple>
      <w:bookmarkEnd w:id="37"/>
      <w:r w:rsidR="00D06BDD">
        <w:t>: The assisted dying application process</w:t>
      </w:r>
      <w:bookmarkEnd w:id="38"/>
    </w:p>
    <w:p w14:paraId="502ABB10" w14:textId="77777777" w:rsidR="003A1AB5" w:rsidRPr="003A1AB5" w:rsidRDefault="003A1AB5" w:rsidP="003A1AB5"/>
    <w:p w14:paraId="42E9ACB0" w14:textId="77777777" w:rsidR="00CC2EB0" w:rsidRDefault="00CC2EB0" w:rsidP="00DF6D4C"/>
    <w:p w14:paraId="0D12AF44" w14:textId="5ED59608" w:rsidR="004D21F0" w:rsidRPr="00AF656B" w:rsidRDefault="00DB050A" w:rsidP="00DF6D4C">
      <w:r w:rsidRPr="00AF656B">
        <w:t>For more information about the process</w:t>
      </w:r>
      <w:r w:rsidR="00D06BDD">
        <w:t>,</w:t>
      </w:r>
      <w:r w:rsidRPr="00AF656B">
        <w:t xml:space="preserve"> please </w:t>
      </w:r>
      <w:r w:rsidR="003D259E">
        <w:t>visit</w:t>
      </w:r>
      <w:r w:rsidRPr="00AF656B">
        <w:t xml:space="preserve"> </w:t>
      </w:r>
      <w:r w:rsidR="003D259E">
        <w:rPr>
          <w:rFonts w:cs="Segoe UI"/>
          <w:lang w:eastAsia="en-NZ"/>
        </w:rPr>
        <w:t xml:space="preserve">the </w:t>
      </w:r>
      <w:hyperlink r:id="rId31" w:history="1">
        <w:r w:rsidR="003D259E" w:rsidRPr="00591E8F">
          <w:rPr>
            <w:rStyle w:val="Hyperlink"/>
            <w:rFonts w:cs="Segoe UI"/>
            <w:lang w:eastAsia="en-NZ"/>
          </w:rPr>
          <w:t>End of Life Choice Act 2019</w:t>
        </w:r>
      </w:hyperlink>
      <w:r w:rsidR="003D259E">
        <w:rPr>
          <w:rFonts w:cs="Segoe UI"/>
          <w:lang w:eastAsia="en-NZ"/>
        </w:rPr>
        <w:t xml:space="preserve"> on</w:t>
      </w:r>
      <w:r w:rsidR="003D259E" w:rsidRPr="00AF656B">
        <w:rPr>
          <w:rFonts w:cs="Segoe UI"/>
          <w:lang w:eastAsia="en-NZ"/>
        </w:rPr>
        <w:t xml:space="preserve"> the </w:t>
      </w:r>
      <w:r w:rsidR="003D259E" w:rsidRPr="00613AFE">
        <w:t>New Zealand Legislation website</w:t>
      </w:r>
      <w:r w:rsidRPr="00AF656B">
        <w:t xml:space="preserve"> or the</w:t>
      </w:r>
      <w:r w:rsidR="00B97F7D">
        <w:t xml:space="preserve"> </w:t>
      </w:r>
      <w:hyperlink r:id="rId32" w:history="1">
        <w:r w:rsidR="00B97F7D" w:rsidRPr="00B97F7D">
          <w:rPr>
            <w:rStyle w:val="Hyperlink"/>
          </w:rPr>
          <w:t>assisted dying webpage</w:t>
        </w:r>
      </w:hyperlink>
      <w:r w:rsidR="00315704" w:rsidRPr="00AF656B">
        <w:t xml:space="preserve"> on the</w:t>
      </w:r>
      <w:r w:rsidR="00315704" w:rsidRPr="00B97F7D">
        <w:t xml:space="preserve"> </w:t>
      </w:r>
      <w:r w:rsidR="00B97F7D" w:rsidRPr="007969C7">
        <w:t>Health New Zealand website</w:t>
      </w:r>
      <w:r w:rsidR="00764ED6" w:rsidRPr="00B97F7D">
        <w:t>.</w:t>
      </w:r>
      <w:r w:rsidR="00764ED6" w:rsidRPr="00AF656B">
        <w:t xml:space="preserve"> </w:t>
      </w:r>
    </w:p>
    <w:p w14:paraId="665D545D" w14:textId="77777777" w:rsidR="00EE4F0D" w:rsidRDefault="00EE4F0D" w:rsidP="00EE4F0D">
      <w:pPr>
        <w:pStyle w:val="Heading1"/>
        <w:sectPr w:rsidR="00EE4F0D" w:rsidSect="00DF6D4C">
          <w:pgSz w:w="11907" w:h="16834" w:code="9"/>
          <w:pgMar w:top="1418" w:right="1701" w:bottom="1134" w:left="1843" w:header="284" w:footer="425" w:gutter="284"/>
          <w:cols w:space="720"/>
        </w:sectPr>
      </w:pPr>
      <w:bookmarkStart w:id="39" w:name="_Toc170220984"/>
      <w:bookmarkStart w:id="40" w:name="_Toc199242526"/>
    </w:p>
    <w:p w14:paraId="7B7BC00B" w14:textId="77777777" w:rsidR="00DF6D4C" w:rsidRPr="00EE4F0D" w:rsidRDefault="00DF6D4C" w:rsidP="00EE4F0D">
      <w:pPr>
        <w:pStyle w:val="Heading1"/>
        <w:spacing w:before="0"/>
      </w:pPr>
      <w:bookmarkStart w:id="41" w:name="_Toc233002279"/>
      <w:r w:rsidRPr="00EE4F0D">
        <w:lastRenderedPageBreak/>
        <w:t>Reporting and service activity</w:t>
      </w:r>
      <w:bookmarkEnd w:id="39"/>
      <w:bookmarkEnd w:id="40"/>
      <w:bookmarkEnd w:id="41"/>
    </w:p>
    <w:p w14:paraId="2C310D12" w14:textId="30BA436D" w:rsidR="00DF6D4C" w:rsidRPr="00AF656B" w:rsidRDefault="00DF6D4C" w:rsidP="00EE4F0D">
      <w:r w:rsidRPr="00AF656B">
        <w:t xml:space="preserve">The Ministry, through Health New Zealand, collects data about assisted dying services as part of its </w:t>
      </w:r>
      <w:r w:rsidR="00325C5D" w:rsidRPr="00AF656B">
        <w:t>regulation and monitoring role</w:t>
      </w:r>
      <w:r w:rsidRPr="00AF656B">
        <w:t xml:space="preserve">. Collecting this information helps </w:t>
      </w:r>
      <w:r w:rsidR="00400916">
        <w:t>us</w:t>
      </w:r>
      <w:r w:rsidRPr="00AF656B">
        <w:t xml:space="preserve"> to understand who is accessing services</w:t>
      </w:r>
      <w:r w:rsidR="00400916">
        <w:t xml:space="preserve"> and</w:t>
      </w:r>
      <w:r w:rsidR="008A1DB3" w:rsidRPr="00AF656B">
        <w:t xml:space="preserve"> </w:t>
      </w:r>
      <w:r w:rsidRPr="00AF656B">
        <w:t>how services are provided</w:t>
      </w:r>
      <w:r w:rsidR="00400916">
        <w:t>,</w:t>
      </w:r>
      <w:r w:rsidRPr="00AF656B">
        <w:t xml:space="preserve"> </w:t>
      </w:r>
      <w:r w:rsidR="15CF4423">
        <w:t xml:space="preserve">enabling </w:t>
      </w:r>
      <w:r w:rsidR="6F3BEB3F">
        <w:t>us</w:t>
      </w:r>
      <w:r w:rsidRPr="00AF656B">
        <w:t xml:space="preserve"> to report on information about assisted dying, as required by the Act. Data can provide insight into how individuals, their whānau and health practitioners experience assisted dying services. </w:t>
      </w:r>
      <w:r w:rsidR="009165C2" w:rsidRPr="00AF656B">
        <w:t>These insights support continuous service improvement and help achieve better outcomes for applicants and their whānau.</w:t>
      </w:r>
    </w:p>
    <w:p w14:paraId="325CCE81" w14:textId="77777777" w:rsidR="009165C2" w:rsidRPr="00AF656B" w:rsidRDefault="009165C2" w:rsidP="00EE4F0D"/>
    <w:p w14:paraId="70CF3138" w14:textId="13C3A806" w:rsidR="00DF6D4C" w:rsidRPr="00AF656B" w:rsidRDefault="00DF6D4C" w:rsidP="00EE4F0D">
      <w:r w:rsidRPr="00AF656B">
        <w:t xml:space="preserve">The level of detail that we can currently report is limited due to the need to protect the confidentiality of individuals </w:t>
      </w:r>
      <w:r w:rsidR="0064066F" w:rsidRPr="00AF656B">
        <w:t>accessing assisted dying services</w:t>
      </w:r>
      <w:r w:rsidR="00F20890">
        <w:t>, while numbers remain low</w:t>
      </w:r>
      <w:r w:rsidR="0064066F" w:rsidRPr="00AF656B">
        <w:t xml:space="preserve">. </w:t>
      </w:r>
      <w:r w:rsidRPr="00AF656B">
        <w:t xml:space="preserve"> </w:t>
      </w:r>
    </w:p>
    <w:p w14:paraId="1388F684" w14:textId="77777777" w:rsidR="00D53E42" w:rsidRPr="00AF656B" w:rsidRDefault="00D53E42" w:rsidP="00EE4F0D"/>
    <w:p w14:paraId="4BA2B1C1" w14:textId="5C55E4DF" w:rsidR="00DF6D4C" w:rsidRPr="00AF656B" w:rsidRDefault="24FED218" w:rsidP="00EE4F0D">
      <w:r w:rsidRPr="00AF656B">
        <w:t xml:space="preserve">The Ministry of Health has worked in collaboration with Health New Zealand to consolidate and review the data informing this report. </w:t>
      </w:r>
      <w:r w:rsidR="2A93D1FF" w:rsidRPr="00AF656B">
        <w:t>D</w:t>
      </w:r>
      <w:r w:rsidR="4C3F285A" w:rsidRPr="00AF656B">
        <w:t>ue</w:t>
      </w:r>
      <w:r w:rsidR="0002CFE1" w:rsidRPr="00AF656B">
        <w:t xml:space="preserve"> to the introduction of </w:t>
      </w:r>
      <w:r w:rsidR="2A52998E" w:rsidRPr="00AF656B">
        <w:t xml:space="preserve">a </w:t>
      </w:r>
      <w:r w:rsidR="0002CFE1" w:rsidRPr="00AF656B">
        <w:t xml:space="preserve">new </w:t>
      </w:r>
      <w:r w:rsidR="0057264D">
        <w:t>national regulatory IT</w:t>
      </w:r>
      <w:r w:rsidR="2115018F" w:rsidRPr="00AF656B">
        <w:t xml:space="preserve"> </w:t>
      </w:r>
      <w:r w:rsidR="0002CFE1" w:rsidRPr="00AF656B">
        <w:t>platform</w:t>
      </w:r>
      <w:r w:rsidR="495E1D9C" w:rsidRPr="00AF656B">
        <w:t xml:space="preserve"> </w:t>
      </w:r>
      <w:r w:rsidR="3D466AEA" w:rsidRPr="00AF656B">
        <w:t xml:space="preserve">during </w:t>
      </w:r>
      <w:r w:rsidR="006C0E49" w:rsidRPr="00AF656B">
        <w:t xml:space="preserve">the </w:t>
      </w:r>
      <w:r w:rsidR="26D5B545" w:rsidRPr="00AF656B">
        <w:t>current</w:t>
      </w:r>
      <w:r w:rsidR="2ACC169A" w:rsidRPr="00AF656B">
        <w:t xml:space="preserve"> </w:t>
      </w:r>
      <w:r w:rsidR="006C0E49" w:rsidRPr="00AF656B">
        <w:t xml:space="preserve">reporting period, </w:t>
      </w:r>
      <w:r w:rsidR="2C93D6E2" w:rsidRPr="00AF656B">
        <w:t>a</w:t>
      </w:r>
      <w:r w:rsidR="0002CFE1" w:rsidRPr="00AF656B">
        <w:t xml:space="preserve">nd </w:t>
      </w:r>
      <w:r w:rsidR="0031783A">
        <w:t>then the</w:t>
      </w:r>
      <w:r w:rsidR="0031783A" w:rsidRPr="00AF656B">
        <w:t xml:space="preserve"> </w:t>
      </w:r>
      <w:r w:rsidR="0002CFE1" w:rsidRPr="00AF656B">
        <w:t xml:space="preserve">migration of </w:t>
      </w:r>
      <w:r w:rsidR="2C93D6E2" w:rsidRPr="00AF656B">
        <w:t xml:space="preserve">data from the </w:t>
      </w:r>
      <w:r w:rsidR="644AC7EC" w:rsidRPr="00AF656B">
        <w:t xml:space="preserve">previous </w:t>
      </w:r>
      <w:r w:rsidR="2C93D6E2" w:rsidRPr="00AF656B">
        <w:t>platform</w:t>
      </w:r>
      <w:r w:rsidR="008E1221">
        <w:t xml:space="preserve"> o</w:t>
      </w:r>
      <w:r w:rsidR="008E1221" w:rsidRPr="00AF656B">
        <w:t>ver time</w:t>
      </w:r>
      <w:r w:rsidR="008E1221">
        <w:t xml:space="preserve"> the</w:t>
      </w:r>
      <w:r w:rsidR="008E1221" w:rsidRPr="00AF656B">
        <w:t xml:space="preserve"> Ministry </w:t>
      </w:r>
      <w:r w:rsidR="008E1221">
        <w:t>will continue to review</w:t>
      </w:r>
      <w:r w:rsidR="008E1221" w:rsidRPr="00AF656B">
        <w:t xml:space="preserve"> and ratif</w:t>
      </w:r>
      <w:r w:rsidR="008E1221">
        <w:t>y t</w:t>
      </w:r>
      <w:r w:rsidR="008E1221" w:rsidRPr="00AF656B">
        <w:t>his</w:t>
      </w:r>
      <w:r w:rsidR="008E1221" w:rsidRPr="00400916">
        <w:t xml:space="preserve"> </w:t>
      </w:r>
      <w:r w:rsidR="008E1221" w:rsidRPr="00AF656B">
        <w:t xml:space="preserve">information. </w:t>
      </w:r>
    </w:p>
    <w:p w14:paraId="3D5051EE" w14:textId="77777777" w:rsidR="00642DC7" w:rsidRPr="00AF656B" w:rsidRDefault="00642DC7" w:rsidP="00DF6D4C"/>
    <w:p w14:paraId="6EC7E300" w14:textId="77777777" w:rsidR="00833544" w:rsidRPr="00AF656B" w:rsidRDefault="00833544" w:rsidP="00DF6D4C"/>
    <w:p w14:paraId="444B0F8A" w14:textId="77777777" w:rsidR="00EE4F0D" w:rsidRDefault="00EE4F0D" w:rsidP="00C576A8">
      <w:pPr>
        <w:pStyle w:val="Heading1"/>
        <w:spacing w:before="0"/>
        <w:sectPr w:rsidR="00EE4F0D" w:rsidSect="00DF6D4C">
          <w:pgSz w:w="11907" w:h="16834" w:code="9"/>
          <w:pgMar w:top="1418" w:right="1701" w:bottom="1134" w:left="1843" w:header="284" w:footer="425" w:gutter="284"/>
          <w:cols w:space="720"/>
        </w:sectPr>
      </w:pPr>
    </w:p>
    <w:p w14:paraId="40B131F9" w14:textId="2014B823" w:rsidR="00C576A8" w:rsidRPr="00EE4F0D" w:rsidRDefault="00C576A8" w:rsidP="00EE4F0D">
      <w:pPr>
        <w:pStyle w:val="Heading1"/>
        <w:spacing w:before="0"/>
      </w:pPr>
      <w:bookmarkStart w:id="42" w:name="_Toc233002280"/>
      <w:r w:rsidRPr="00EE4F0D">
        <w:lastRenderedPageBreak/>
        <w:t>Key facts</w:t>
      </w:r>
      <w:bookmarkEnd w:id="42"/>
    </w:p>
    <w:p w14:paraId="5E919EAA" w14:textId="363D7632" w:rsidR="00763C27" w:rsidRPr="00EE4F0D" w:rsidRDefault="002C6E9D" w:rsidP="00EE4F0D">
      <w:pPr>
        <w:pStyle w:val="Bullet"/>
      </w:pPr>
      <w:r w:rsidRPr="00EE4F0D">
        <w:t xml:space="preserve">In the year from </w:t>
      </w:r>
      <w:r w:rsidRPr="00EE4F0D">
        <w:rPr>
          <w:rStyle w:val="eop"/>
        </w:rPr>
        <w:t xml:space="preserve">1 April 2025 and 31 March 2026, </w:t>
      </w:r>
      <w:r w:rsidR="00763C27" w:rsidRPr="00EE4F0D">
        <w:t>1,289 applications were active (made up of 1,164 new applications plus 125 ongoing from the previous year)</w:t>
      </w:r>
      <w:r w:rsidR="006C5B7B" w:rsidRPr="00EE4F0D">
        <w:t>. This is</w:t>
      </w:r>
      <w:r w:rsidR="00763C27" w:rsidRPr="00EE4F0D">
        <w:t xml:space="preserve"> a 13% increase in active applications compared with last year. </w:t>
      </w:r>
    </w:p>
    <w:p w14:paraId="09A2E145" w14:textId="1755D8B5" w:rsidR="00512DEE" w:rsidRPr="00EE4F0D" w:rsidRDefault="00512DEE" w:rsidP="00EE4F0D">
      <w:pPr>
        <w:pStyle w:val="Bullet"/>
      </w:pPr>
      <w:r w:rsidRPr="00EE4F0D">
        <w:t>306 applications ended because the person died during the process (from their underlying illness</w:t>
      </w:r>
      <w:r w:rsidR="002C6E9D" w:rsidRPr="00EE4F0D">
        <w:t xml:space="preserve"> or </w:t>
      </w:r>
      <w:r w:rsidRPr="00EE4F0D">
        <w:t xml:space="preserve">condition) </w:t>
      </w:r>
      <w:r w:rsidR="006C5B7B" w:rsidRPr="00EE4F0D">
        <w:t xml:space="preserve">– </w:t>
      </w:r>
      <w:r w:rsidRPr="00EE4F0D">
        <w:t xml:space="preserve">about 24% of </w:t>
      </w:r>
      <w:r w:rsidR="006C5B7B" w:rsidRPr="00EE4F0D">
        <w:t xml:space="preserve">the total of 1,289 </w:t>
      </w:r>
      <w:r w:rsidRPr="00EE4F0D">
        <w:t>active applications</w:t>
      </w:r>
      <w:r w:rsidR="00833544" w:rsidRPr="00EE4F0D">
        <w:t xml:space="preserve">. </w:t>
      </w:r>
    </w:p>
    <w:p w14:paraId="48A8BFAD" w14:textId="26EDAE49" w:rsidR="00512DEE" w:rsidRPr="00EE4F0D" w:rsidRDefault="00512DEE" w:rsidP="00EE4F0D">
      <w:pPr>
        <w:pStyle w:val="Bullet"/>
      </w:pPr>
      <w:r w:rsidRPr="00EE4F0D">
        <w:t>42 people withdrew (rescinded) their application</w:t>
      </w:r>
      <w:r w:rsidR="006C5B7B" w:rsidRPr="00EE4F0D">
        <w:t xml:space="preserve"> –</w:t>
      </w:r>
      <w:r w:rsidRPr="00EE4F0D">
        <w:t xml:space="preserve"> about 3% of </w:t>
      </w:r>
      <w:r w:rsidR="008B7DEB" w:rsidRPr="00EE4F0D">
        <w:t>the total</w:t>
      </w:r>
      <w:r w:rsidR="006C5B7B" w:rsidRPr="00EE4F0D">
        <w:t xml:space="preserve"> </w:t>
      </w:r>
      <w:r w:rsidRPr="00EE4F0D">
        <w:t>active applications.</w:t>
      </w:r>
    </w:p>
    <w:p w14:paraId="2C0BED13" w14:textId="74CF905B" w:rsidR="00073C4B" w:rsidRPr="00EE4F0D" w:rsidRDefault="00073C4B" w:rsidP="00EE4F0D">
      <w:pPr>
        <w:pStyle w:val="Bullet"/>
      </w:pPr>
      <w:r w:rsidRPr="00EE4F0D">
        <w:t xml:space="preserve">486 people had an assisted death </w:t>
      </w:r>
      <w:r w:rsidR="006C5B7B" w:rsidRPr="00EE4F0D">
        <w:t xml:space="preserve">– </w:t>
      </w:r>
      <w:r w:rsidRPr="00EE4F0D">
        <w:t xml:space="preserve">about 38% of </w:t>
      </w:r>
      <w:r w:rsidR="006C5B7B" w:rsidRPr="00EE4F0D">
        <w:t xml:space="preserve">the total </w:t>
      </w:r>
      <w:r w:rsidRPr="00EE4F0D">
        <w:t>active applications.</w:t>
      </w:r>
    </w:p>
    <w:p w14:paraId="6F79BB1B" w14:textId="2A45B7D7" w:rsidR="00073C4B" w:rsidRPr="00EE4F0D" w:rsidRDefault="00A31ED0" w:rsidP="00EE4F0D">
      <w:pPr>
        <w:pStyle w:val="Bullet"/>
      </w:pPr>
      <w:r w:rsidRPr="00EE4F0D">
        <w:t xml:space="preserve">Of the total number of assisted deaths during the </w:t>
      </w:r>
      <w:r w:rsidR="002C6E9D" w:rsidRPr="00EE4F0D">
        <w:t>year</w:t>
      </w:r>
      <w:r w:rsidR="000A32DF" w:rsidRPr="00EE4F0D">
        <w:t xml:space="preserve">, </w:t>
      </w:r>
      <w:r w:rsidR="00F34D9D" w:rsidRPr="00EE4F0D">
        <w:t xml:space="preserve">94.4% </w:t>
      </w:r>
      <w:r w:rsidR="002C6E9D" w:rsidRPr="00EE4F0D">
        <w:t>occurred through</w:t>
      </w:r>
      <w:r w:rsidR="008E753B" w:rsidRPr="00EE4F0D">
        <w:t xml:space="preserve"> injection by the AMP. This </w:t>
      </w:r>
      <w:r w:rsidR="006C5B7B" w:rsidRPr="00EE4F0D">
        <w:t xml:space="preserve">was also </w:t>
      </w:r>
      <w:r w:rsidR="008E753B" w:rsidRPr="00EE4F0D">
        <w:t>the most common method</w:t>
      </w:r>
      <w:r w:rsidR="006C5B7B" w:rsidRPr="00EE4F0D">
        <w:t xml:space="preserve"> in previous years</w:t>
      </w:r>
      <w:r w:rsidR="00833544" w:rsidRPr="00EE4F0D">
        <w:t xml:space="preserve">. </w:t>
      </w:r>
    </w:p>
    <w:p w14:paraId="3F3F2C21" w14:textId="77777777" w:rsidR="002418C8" w:rsidRPr="00EE4F0D" w:rsidRDefault="002418C8" w:rsidP="00EE4F0D">
      <w:pPr>
        <w:pStyle w:val="Bullet"/>
      </w:pPr>
      <w:r w:rsidRPr="00EE4F0D">
        <w:rPr>
          <w:rStyle w:val="eop"/>
        </w:rPr>
        <w:t xml:space="preserve">The number of assisted deaths between 1 April 2025 and 31 March 2026 represents 1.29% of all deaths in New Zealand over that time. </w:t>
      </w:r>
    </w:p>
    <w:p w14:paraId="1A7B21B2" w14:textId="77777777" w:rsidR="00512DEE" w:rsidRPr="00763C27" w:rsidRDefault="00512DEE" w:rsidP="00763C27">
      <w:pPr>
        <w:spacing w:line="300" w:lineRule="atLeast"/>
        <w:rPr>
          <w:rFonts w:cs="Segoe UI"/>
          <w:szCs w:val="21"/>
          <w:lang w:eastAsia="en-NZ"/>
        </w:rPr>
      </w:pPr>
    </w:p>
    <w:p w14:paraId="021F86F9" w14:textId="1153757E" w:rsidR="006856ED" w:rsidRPr="00AF656B" w:rsidRDefault="006856ED" w:rsidP="006856ED">
      <w:pPr>
        <w:sectPr w:rsidR="006856ED" w:rsidRPr="00AF656B" w:rsidSect="00DF6D4C">
          <w:pgSz w:w="11907" w:h="16834" w:code="9"/>
          <w:pgMar w:top="1418" w:right="1701" w:bottom="1134" w:left="1843" w:header="284" w:footer="425" w:gutter="284"/>
          <w:cols w:space="720"/>
        </w:sectPr>
      </w:pPr>
    </w:p>
    <w:p w14:paraId="30F49283" w14:textId="77777777" w:rsidR="00DF6D4C" w:rsidRPr="00EE4F0D" w:rsidRDefault="00DF6D4C" w:rsidP="00EE4F0D">
      <w:pPr>
        <w:pStyle w:val="Heading1"/>
        <w:spacing w:before="0"/>
      </w:pPr>
      <w:bookmarkStart w:id="43" w:name="_Toc170220985"/>
      <w:bookmarkStart w:id="44" w:name="_Toc199242527"/>
      <w:bookmarkStart w:id="45" w:name="_Toc233002281"/>
      <w:r w:rsidRPr="00EE4F0D">
        <w:lastRenderedPageBreak/>
        <w:t>Overview of assisted dying applications</w:t>
      </w:r>
      <w:bookmarkEnd w:id="43"/>
      <w:bookmarkEnd w:id="44"/>
      <w:bookmarkEnd w:id="45"/>
    </w:p>
    <w:p w14:paraId="33843B16" w14:textId="0329A038" w:rsidR="00DF6D4C" w:rsidRDefault="00DF6D4C" w:rsidP="00EE4F0D">
      <w:r w:rsidRPr="00AF656B">
        <w:t xml:space="preserve">The data </w:t>
      </w:r>
      <w:r w:rsidR="006C5B7B">
        <w:t>in this section summarises</w:t>
      </w:r>
      <w:r w:rsidRPr="00AF656B">
        <w:t xml:space="preserve"> individuals’ interactions with the assisted dying service </w:t>
      </w:r>
      <w:r w:rsidR="002C6E9D">
        <w:t xml:space="preserve">during the year </w:t>
      </w:r>
      <w:r w:rsidRPr="00AF656B">
        <w:t>from 1 April 202</w:t>
      </w:r>
      <w:r w:rsidR="00962C60" w:rsidRPr="00AF656B">
        <w:t>5</w:t>
      </w:r>
      <w:r w:rsidRPr="00AF656B">
        <w:t xml:space="preserve"> to 31 March 202</w:t>
      </w:r>
      <w:r w:rsidR="00962C60" w:rsidRPr="00AF656B">
        <w:t>6</w:t>
      </w:r>
      <w:r w:rsidRPr="00AF656B">
        <w:t xml:space="preserve">. </w:t>
      </w:r>
    </w:p>
    <w:p w14:paraId="5AC59EA4" w14:textId="77777777" w:rsidR="003966D9" w:rsidRPr="00AF656B" w:rsidRDefault="003966D9" w:rsidP="00EE4F0D"/>
    <w:p w14:paraId="6ABBDA23" w14:textId="6813B040" w:rsidR="00DF6D4C" w:rsidRDefault="4B5C6FA5" w:rsidP="00EE4F0D">
      <w:r>
        <w:t>Between 1 April 202</w:t>
      </w:r>
      <w:r w:rsidR="4958CF54">
        <w:t>5</w:t>
      </w:r>
      <w:r>
        <w:t xml:space="preserve"> and 31 March 202</w:t>
      </w:r>
      <w:r w:rsidR="4958CF54">
        <w:t>6</w:t>
      </w:r>
      <w:r>
        <w:t xml:space="preserve">, there were </w:t>
      </w:r>
      <w:r w:rsidR="69C5C327">
        <w:t>1,164</w:t>
      </w:r>
      <w:r>
        <w:t xml:space="preserve"> new formal applications for assisted dying</w:t>
      </w:r>
      <w:r w:rsidR="001E4D6C">
        <w:t xml:space="preserve"> (</w:t>
      </w:r>
      <w:r w:rsidR="002732BA">
        <w:t>Figure 2)</w:t>
      </w:r>
      <w:r>
        <w:t xml:space="preserve">. This report also contains information on </w:t>
      </w:r>
      <w:r w:rsidR="69C5C327">
        <w:t>125</w:t>
      </w:r>
      <w:r>
        <w:t xml:space="preserve"> applications that were ongoing at the end of last year’s report (for the 202</w:t>
      </w:r>
      <w:r w:rsidR="69C5C327">
        <w:t>4</w:t>
      </w:r>
      <w:r>
        <w:t>/2</w:t>
      </w:r>
      <w:r w:rsidR="69C5C327">
        <w:t>5</w:t>
      </w:r>
      <w:r>
        <w:t xml:space="preserve"> year). </w:t>
      </w:r>
      <w:r w:rsidR="001E4D6C">
        <w:t>Because of this</w:t>
      </w:r>
      <w:r>
        <w:t>, a total of 1,</w:t>
      </w:r>
      <w:r w:rsidR="64F72ABE">
        <w:t xml:space="preserve">289 </w:t>
      </w:r>
      <w:r>
        <w:t>applications were active during this 202</w:t>
      </w:r>
      <w:r w:rsidR="64F72ABE">
        <w:t>5</w:t>
      </w:r>
      <w:r>
        <w:t>/2</w:t>
      </w:r>
      <w:r w:rsidR="64F72ABE">
        <w:t>6</w:t>
      </w:r>
      <w:r>
        <w:t xml:space="preserve"> reporting period</w:t>
      </w:r>
      <w:r w:rsidR="001E4D6C">
        <w:t>. The result</w:t>
      </w:r>
      <w:r>
        <w:t xml:space="preserve"> reflect</w:t>
      </w:r>
      <w:r w:rsidR="001E4D6C">
        <w:t>s</w:t>
      </w:r>
      <w:r>
        <w:t xml:space="preserve"> an increase in active applications of </w:t>
      </w:r>
      <w:r w:rsidR="4C8D3AE3">
        <w:t>13</w:t>
      </w:r>
      <w:r>
        <w:t xml:space="preserve">% from the previous reporting period, </w:t>
      </w:r>
      <w:r w:rsidR="006A2C4F">
        <w:t>when</w:t>
      </w:r>
      <w:r>
        <w:t xml:space="preserve"> </w:t>
      </w:r>
      <w:r w:rsidR="001E4D6C">
        <w:t xml:space="preserve">a </w:t>
      </w:r>
      <w:r>
        <w:t xml:space="preserve">total </w:t>
      </w:r>
      <w:r w:rsidR="001E4D6C">
        <w:t>of 1,137</w:t>
      </w:r>
      <w:r>
        <w:t xml:space="preserve"> of applications</w:t>
      </w:r>
      <w:r w:rsidR="001E4D6C">
        <w:t xml:space="preserve"> were</w:t>
      </w:r>
      <w:r>
        <w:t xml:space="preserve"> </w:t>
      </w:r>
      <w:r w:rsidR="001E4D6C">
        <w:t>active</w:t>
      </w:r>
      <w:r>
        <w:t>.</w:t>
      </w:r>
      <w:r w:rsidR="56F96660">
        <w:t xml:space="preserve"> </w:t>
      </w:r>
    </w:p>
    <w:p w14:paraId="5E758C25" w14:textId="33374B00" w:rsidR="60D1F0A0" w:rsidRDefault="60D1F0A0" w:rsidP="60D1F0A0"/>
    <w:p w14:paraId="202507D7" w14:textId="2DBDDD7A" w:rsidR="463C75B2" w:rsidRDefault="1612F012" w:rsidP="60D1F0A0">
      <w:pPr>
        <w:pStyle w:val="Figure"/>
      </w:pPr>
      <w:bookmarkStart w:id="46" w:name="_Toc233002297"/>
      <w:r>
        <w:t xml:space="preserve">Figure </w:t>
      </w:r>
      <w:r w:rsidRPr="49D986DF">
        <w:fldChar w:fldCharType="begin"/>
      </w:r>
      <w:r>
        <w:instrText xml:space="preserve"> SEQ Figure \* ARABIC </w:instrText>
      </w:r>
      <w:r w:rsidRPr="49D986DF">
        <w:fldChar w:fldCharType="separate"/>
      </w:r>
      <w:r w:rsidRPr="49D986DF">
        <w:rPr>
          <w:noProof/>
        </w:rPr>
        <w:t>2</w:t>
      </w:r>
      <w:r w:rsidRPr="49D986DF">
        <w:rPr>
          <w:noProof/>
        </w:rPr>
        <w:fldChar w:fldCharType="end"/>
      </w:r>
      <w:r>
        <w:t xml:space="preserve">: Number of applications and assisted deaths </w:t>
      </w:r>
      <w:r w:rsidR="3D3EBDFD">
        <w:t>from</w:t>
      </w:r>
      <w:r w:rsidR="32F8436E">
        <w:t xml:space="preserve"> April to March reporting periods, </w:t>
      </w:r>
      <w:r>
        <w:t>2022–2026</w:t>
      </w:r>
      <w:bookmarkEnd w:id="46"/>
    </w:p>
    <w:p w14:paraId="1D9C7116" w14:textId="77777777" w:rsidR="00132441" w:rsidRPr="00132441" w:rsidRDefault="00132441" w:rsidP="00132441"/>
    <w:p w14:paraId="25316F47" w14:textId="6F7F399C" w:rsidR="22C9E9FE" w:rsidRDefault="06B23117" w:rsidP="60D1F0A0">
      <w:r>
        <w:rPr>
          <w:noProof/>
        </w:rPr>
        <w:drawing>
          <wp:inline distT="0" distB="0" distL="0" distR="0" wp14:anchorId="23331819" wp14:editId="43F53BFD">
            <wp:extent cx="5314950" cy="2943225"/>
            <wp:effectExtent l="0" t="0" r="0" b="0"/>
            <wp:docPr id="1547386434" name="drawi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386434" name="drawing">
                      <a:extLst>
                        <a:ext uri="{C183D7F6-B498-43B3-948B-1728B52AA6E4}">
                          <adec:decorative xmlns:adec="http://schemas.microsoft.com/office/drawing/2017/decorative" val="1"/>
                        </a:ext>
                      </a:extLst>
                    </pic:cNvPr>
                    <pic:cNvPicPr/>
                  </pic:nvPicPr>
                  <pic:blipFill>
                    <a:blip r:embed="rId33">
                      <a:extLst>
                        <a:ext uri="{28A0092B-C50C-407E-A947-70E740481C1C}">
                          <a14:useLocalDpi xmlns:a14="http://schemas.microsoft.com/office/drawing/2010/main"/>
                        </a:ext>
                      </a:extLst>
                    </a:blip>
                    <a:stretch>
                      <a:fillRect/>
                    </a:stretch>
                  </pic:blipFill>
                  <pic:spPr>
                    <a:xfrm>
                      <a:off x="0" y="0"/>
                      <a:ext cx="5314950" cy="2943225"/>
                    </a:xfrm>
                    <a:prstGeom prst="rect">
                      <a:avLst/>
                    </a:prstGeom>
                  </pic:spPr>
                </pic:pic>
              </a:graphicData>
            </a:graphic>
          </wp:inline>
        </w:drawing>
      </w:r>
    </w:p>
    <w:p w14:paraId="5AAECDC2" w14:textId="6AF05B54" w:rsidR="009A2828" w:rsidRPr="00AF656B" w:rsidRDefault="6EECBE44" w:rsidP="00132441">
      <w:pPr>
        <w:pStyle w:val="Note"/>
      </w:pPr>
      <w:r w:rsidRPr="327E2F4B">
        <w:t>Note</w:t>
      </w:r>
      <w:r w:rsidR="3F8E8047" w:rsidRPr="327E2F4B">
        <w:t>s</w:t>
      </w:r>
      <w:r w:rsidRPr="327E2F4B">
        <w:t xml:space="preserve">: </w:t>
      </w:r>
    </w:p>
    <w:p w14:paraId="127CE81D" w14:textId="0D3F21A7" w:rsidR="009A2828" w:rsidRPr="00132441" w:rsidRDefault="416D665F" w:rsidP="00132441">
      <w:pPr>
        <w:pStyle w:val="Note"/>
        <w:tabs>
          <w:tab w:val="left" w:pos="340"/>
        </w:tabs>
        <w:rPr>
          <w:szCs w:val="17"/>
        </w:rPr>
      </w:pPr>
      <w:r w:rsidRPr="00132441">
        <w:rPr>
          <w:szCs w:val="17"/>
        </w:rPr>
        <w:t xml:space="preserve">*  </w:t>
      </w:r>
      <w:r w:rsidR="009A2828" w:rsidRPr="00132441">
        <w:rPr>
          <w:szCs w:val="17"/>
        </w:rPr>
        <w:tab/>
      </w:r>
      <w:r w:rsidR="7D1F8A4B" w:rsidRPr="00132441">
        <w:rPr>
          <w:szCs w:val="17"/>
        </w:rPr>
        <w:t>Reporting period covers 1 April to 31 March the following year</w:t>
      </w:r>
    </w:p>
    <w:p w14:paraId="7E6DF241" w14:textId="49A3F7C2" w:rsidR="009A2828" w:rsidRPr="00132441" w:rsidRDefault="28C165A2" w:rsidP="00132441">
      <w:pPr>
        <w:pStyle w:val="Note"/>
        <w:tabs>
          <w:tab w:val="left" w:pos="340"/>
        </w:tabs>
        <w:rPr>
          <w:szCs w:val="17"/>
        </w:rPr>
      </w:pPr>
      <w:r w:rsidRPr="00132441">
        <w:rPr>
          <w:szCs w:val="17"/>
        </w:rPr>
        <w:t xml:space="preserve">** </w:t>
      </w:r>
      <w:r w:rsidR="009A2828" w:rsidRPr="00132441">
        <w:rPr>
          <w:szCs w:val="17"/>
        </w:rPr>
        <w:tab/>
      </w:r>
      <w:r w:rsidRPr="00132441">
        <w:rPr>
          <w:szCs w:val="17"/>
        </w:rPr>
        <w:t xml:space="preserve">Data relating to </w:t>
      </w:r>
      <w:r w:rsidR="487C341A" w:rsidRPr="00132441">
        <w:rPr>
          <w:szCs w:val="17"/>
        </w:rPr>
        <w:t>2021-</w:t>
      </w:r>
      <w:r w:rsidRPr="00132441">
        <w:rPr>
          <w:szCs w:val="17"/>
        </w:rPr>
        <w:t xml:space="preserve">2022 includes new applications and assisted deaths following the Act </w:t>
      </w:r>
      <w:r w:rsidR="009A2828" w:rsidRPr="00132441">
        <w:rPr>
          <w:szCs w:val="17"/>
        </w:rPr>
        <w:tab/>
      </w:r>
      <w:r w:rsidR="009A2828" w:rsidRPr="00132441">
        <w:rPr>
          <w:szCs w:val="17"/>
        </w:rPr>
        <w:tab/>
      </w:r>
      <w:r w:rsidRPr="00132441">
        <w:rPr>
          <w:szCs w:val="17"/>
        </w:rPr>
        <w:t>coming into</w:t>
      </w:r>
      <w:r w:rsidR="23842D43" w:rsidRPr="00132441">
        <w:rPr>
          <w:szCs w:val="17"/>
        </w:rPr>
        <w:t xml:space="preserve"> </w:t>
      </w:r>
      <w:r w:rsidRPr="00132441">
        <w:rPr>
          <w:szCs w:val="17"/>
        </w:rPr>
        <w:t>effect 7 November 2021, thereby reflecting a partial year reporting.</w:t>
      </w:r>
    </w:p>
    <w:p w14:paraId="53B4E56E" w14:textId="7669748F" w:rsidR="009A2828" w:rsidRPr="00132441" w:rsidRDefault="61D23F48" w:rsidP="00132441">
      <w:pPr>
        <w:pStyle w:val="Note"/>
        <w:tabs>
          <w:tab w:val="left" w:pos="340"/>
        </w:tabs>
        <w:rPr>
          <w:szCs w:val="17"/>
        </w:rPr>
      </w:pPr>
      <w:r w:rsidRPr="00132441">
        <w:rPr>
          <w:szCs w:val="17"/>
        </w:rPr>
        <w:t xml:space="preserve">*** </w:t>
      </w:r>
      <w:r w:rsidR="009A2828" w:rsidRPr="00132441">
        <w:rPr>
          <w:szCs w:val="17"/>
        </w:rPr>
        <w:tab/>
      </w:r>
      <w:r w:rsidR="75EBF566" w:rsidRPr="00132441">
        <w:rPr>
          <w:szCs w:val="17"/>
        </w:rPr>
        <w:t>‘</w:t>
      </w:r>
      <w:r w:rsidR="093CFDE3" w:rsidRPr="00132441">
        <w:rPr>
          <w:szCs w:val="17"/>
        </w:rPr>
        <w:t xml:space="preserve">Open applications’ refers to open applications submitted during the </w:t>
      </w:r>
      <w:r w:rsidR="54D22F6B" w:rsidRPr="00132441">
        <w:rPr>
          <w:szCs w:val="17"/>
        </w:rPr>
        <w:t xml:space="preserve">prior to the </w:t>
      </w:r>
      <w:r w:rsidR="093CFDE3" w:rsidRPr="00132441">
        <w:rPr>
          <w:szCs w:val="17"/>
        </w:rPr>
        <w:t>reporting period</w:t>
      </w:r>
    </w:p>
    <w:p w14:paraId="63E4E7D4" w14:textId="4394A6DF" w:rsidR="49D986DF" w:rsidRDefault="49D986DF"/>
    <w:p w14:paraId="517B7375" w14:textId="56408560" w:rsidR="49D986DF" w:rsidRDefault="49D986DF"/>
    <w:p w14:paraId="0A758C71" w14:textId="77777777" w:rsidR="00132441" w:rsidRDefault="00132441" w:rsidP="00DF6D4C">
      <w:r>
        <w:br w:type="page"/>
      </w:r>
    </w:p>
    <w:p w14:paraId="35E5BBB9" w14:textId="5A99796E" w:rsidR="00132441" w:rsidRPr="00AF656B" w:rsidRDefault="00DF6D4C" w:rsidP="00DF6D4C">
      <w:r w:rsidRPr="00AF656B">
        <w:lastRenderedPageBreak/>
        <w:t>As of 31 March 202</w:t>
      </w:r>
      <w:r w:rsidR="00BF7B0E" w:rsidRPr="00AF656B">
        <w:t>6</w:t>
      </w:r>
      <w:r w:rsidRPr="00AF656B">
        <w:t xml:space="preserve">, there were </w:t>
      </w:r>
      <w:r w:rsidR="006928B9" w:rsidRPr="00AF656B">
        <w:t>135</w:t>
      </w:r>
      <w:r w:rsidRPr="00AF656B">
        <w:t xml:space="preserve"> individuals still in the process of </w:t>
      </w:r>
      <w:r w:rsidR="006A2C4F">
        <w:t xml:space="preserve">being </w:t>
      </w:r>
      <w:r w:rsidRPr="00AF656B">
        <w:t>assess</w:t>
      </w:r>
      <w:r w:rsidR="006A2C4F">
        <w:t>ed</w:t>
      </w:r>
      <w:r w:rsidRPr="00AF656B">
        <w:t xml:space="preserve"> or </w:t>
      </w:r>
      <w:r w:rsidR="00F95A2B">
        <w:t xml:space="preserve">are in </w:t>
      </w:r>
      <w:r w:rsidRPr="00AF656B">
        <w:t>preparation for assisted dying, and 4</w:t>
      </w:r>
      <w:r w:rsidR="006928B9" w:rsidRPr="00AF656B">
        <w:t>86</w:t>
      </w:r>
      <w:r w:rsidRPr="00AF656B">
        <w:t xml:space="preserve"> people had an assisted death. The remaining applications had not progressed to an assisted death </w:t>
      </w:r>
      <w:r w:rsidR="00773ACA">
        <w:t>for</w:t>
      </w:r>
      <w:r w:rsidRPr="00AF656B">
        <w:t xml:space="preserve"> one of the following reasons:</w:t>
      </w:r>
    </w:p>
    <w:p w14:paraId="1F6617A6" w14:textId="77777777" w:rsidR="001E2B04" w:rsidRPr="00EE4F0D" w:rsidRDefault="00DF6D4C" w:rsidP="00EE4F0D">
      <w:pPr>
        <w:pStyle w:val="Bullet"/>
        <w:rPr>
          <w:rStyle w:val="normaltextrun"/>
        </w:rPr>
      </w:pPr>
      <w:r w:rsidRPr="00EE4F0D">
        <w:rPr>
          <w:rStyle w:val="normaltextrun"/>
        </w:rPr>
        <w:t>the application was found to not comply with the Act </w:t>
      </w:r>
    </w:p>
    <w:p w14:paraId="35B74E02" w14:textId="63AC8CF1" w:rsidR="00DF6D4C" w:rsidRPr="00EE4F0D" w:rsidRDefault="001E2B04" w:rsidP="00EE4F0D">
      <w:pPr>
        <w:pStyle w:val="Bullet"/>
        <w:rPr>
          <w:rStyle w:val="normaltextrun"/>
        </w:rPr>
      </w:pPr>
      <w:r w:rsidRPr="00EE4F0D">
        <w:rPr>
          <w:rStyle w:val="normaltextrun"/>
        </w:rPr>
        <w:t xml:space="preserve">the application </w:t>
      </w:r>
      <w:r w:rsidR="00E43B6E" w:rsidRPr="00EE4F0D">
        <w:rPr>
          <w:rStyle w:val="normaltextrun"/>
        </w:rPr>
        <w:t>stopped due to process r</w:t>
      </w:r>
      <w:r w:rsidR="00E35A3D" w:rsidRPr="00EE4F0D">
        <w:rPr>
          <w:rStyle w:val="normaltextrun"/>
        </w:rPr>
        <w:t>easons</w:t>
      </w:r>
      <w:r w:rsidR="00DF6D4C" w:rsidRPr="00EE4F0D">
        <w:rPr>
          <w:rStyle w:val="normaltextrun"/>
        </w:rPr>
        <w:t> </w:t>
      </w:r>
    </w:p>
    <w:p w14:paraId="54387658" w14:textId="1EEDD429" w:rsidR="00DF6D4C" w:rsidRPr="00EE4F0D" w:rsidRDefault="00DF6D4C" w:rsidP="00EE4F0D">
      <w:pPr>
        <w:pStyle w:val="Bullet"/>
        <w:rPr>
          <w:rStyle w:val="normaltextrun"/>
        </w:rPr>
      </w:pPr>
      <w:r w:rsidRPr="00EE4F0D">
        <w:rPr>
          <w:rStyle w:val="normaltextrun"/>
        </w:rPr>
        <w:t>the applicant withdrew their application </w:t>
      </w:r>
    </w:p>
    <w:p w14:paraId="15210316" w14:textId="70C18E14" w:rsidR="00DF6D4C" w:rsidRPr="00EE4F0D" w:rsidRDefault="00DF6D4C" w:rsidP="00EE4F0D">
      <w:pPr>
        <w:pStyle w:val="Bullet"/>
        <w:rPr>
          <w:rStyle w:val="normaltextrun"/>
        </w:rPr>
      </w:pPr>
      <w:r w:rsidRPr="00EE4F0D">
        <w:rPr>
          <w:rStyle w:val="normaltextrun"/>
        </w:rPr>
        <w:t xml:space="preserve">the applicant died </w:t>
      </w:r>
      <w:r w:rsidR="00773ACA" w:rsidRPr="00EE4F0D">
        <w:rPr>
          <w:rStyle w:val="normaltextrun"/>
        </w:rPr>
        <w:t xml:space="preserve">during </w:t>
      </w:r>
      <w:r w:rsidRPr="00EE4F0D">
        <w:rPr>
          <w:rStyle w:val="normaltextrun"/>
        </w:rPr>
        <w:t>the process, or was found</w:t>
      </w:r>
      <w:r w:rsidR="00773ACA" w:rsidRPr="00EE4F0D">
        <w:rPr>
          <w:rStyle w:val="normaltextrun"/>
        </w:rPr>
        <w:t xml:space="preserve"> to be</w:t>
      </w:r>
      <w:r w:rsidRPr="00EE4F0D">
        <w:rPr>
          <w:rStyle w:val="normaltextrun"/>
        </w:rPr>
        <w:t xml:space="preserve"> ineligible or not competent to give consent before</w:t>
      </w:r>
      <w:r w:rsidR="003A1E19" w:rsidRPr="00EE4F0D">
        <w:rPr>
          <w:rStyle w:val="normaltextrun"/>
        </w:rPr>
        <w:t xml:space="preserve"> the AMP</w:t>
      </w:r>
      <w:r w:rsidRPr="00EE4F0D">
        <w:rPr>
          <w:rStyle w:val="normaltextrun"/>
        </w:rPr>
        <w:t xml:space="preserve"> assess</w:t>
      </w:r>
      <w:r w:rsidR="003A1E19" w:rsidRPr="00EE4F0D">
        <w:rPr>
          <w:rStyle w:val="normaltextrun"/>
        </w:rPr>
        <w:t>ed them</w:t>
      </w:r>
    </w:p>
    <w:p w14:paraId="2E8012CC" w14:textId="7511EF98" w:rsidR="00DF6D4C" w:rsidRPr="00EE4F0D" w:rsidRDefault="00DF6D4C" w:rsidP="00EE4F0D">
      <w:pPr>
        <w:pStyle w:val="Bullet"/>
        <w:rPr>
          <w:rStyle w:val="normaltextrun"/>
        </w:rPr>
      </w:pPr>
      <w:r w:rsidRPr="00EE4F0D">
        <w:rPr>
          <w:rStyle w:val="normaltextrun"/>
        </w:rPr>
        <w:t>the applicant was found</w:t>
      </w:r>
      <w:r w:rsidR="003A1E19" w:rsidRPr="00EE4F0D">
        <w:rPr>
          <w:rStyle w:val="normaltextrun"/>
        </w:rPr>
        <w:t xml:space="preserve"> to be</w:t>
      </w:r>
      <w:r w:rsidRPr="00EE4F0D">
        <w:rPr>
          <w:rStyle w:val="normaltextrun"/>
        </w:rPr>
        <w:t xml:space="preserve"> ineligible or not competent to give consent at or following assessment </w:t>
      </w:r>
    </w:p>
    <w:p w14:paraId="025DF19B" w14:textId="7AB84A60" w:rsidR="00DF6D4C" w:rsidRPr="00EE4F0D" w:rsidRDefault="00DF6D4C" w:rsidP="00EE4F0D">
      <w:pPr>
        <w:pStyle w:val="Bullet"/>
        <w:rPr>
          <w:rStyle w:val="normaltextrun"/>
        </w:rPr>
      </w:pPr>
      <w:r w:rsidRPr="00EE4F0D">
        <w:rPr>
          <w:rStyle w:val="normaltextrun"/>
        </w:rPr>
        <w:t>the applicant died as a result of their underlying conditions following assessment. </w:t>
      </w:r>
    </w:p>
    <w:p w14:paraId="690A8473" w14:textId="77777777" w:rsidR="00DF6D4C" w:rsidRPr="00AF656B" w:rsidRDefault="00DF6D4C" w:rsidP="00EE4F0D">
      <w:r w:rsidRPr="00AF656B">
        <w:t> </w:t>
      </w:r>
    </w:p>
    <w:p w14:paraId="53881203" w14:textId="59109ADF" w:rsidR="00DF6D4C" w:rsidRPr="00AF656B" w:rsidRDefault="00DF6D4C" w:rsidP="00EE4F0D">
      <w:r w:rsidRPr="00AF656B">
        <w:t xml:space="preserve">As part of the assisted dying process, the AMP must ensure the person understands all their choices for end-of-life care. As a result, </w:t>
      </w:r>
      <w:r w:rsidR="00E12646">
        <w:t xml:space="preserve">on some </w:t>
      </w:r>
      <w:r w:rsidRPr="00AF656B">
        <w:t xml:space="preserve">occasions a person’s request for assisted dying led to them </w:t>
      </w:r>
      <w:r w:rsidR="00E12646">
        <w:t xml:space="preserve">to </w:t>
      </w:r>
      <w:r w:rsidRPr="00AF656B">
        <w:t>explor</w:t>
      </w:r>
      <w:r w:rsidR="00E12646">
        <w:t>e</w:t>
      </w:r>
      <w:r w:rsidRPr="00AF656B">
        <w:t xml:space="preserve"> alternative care or services, such as optimising palliative care or additional social or wrap-around supports. </w:t>
      </w:r>
      <w:r w:rsidR="00E12646">
        <w:t>Some of these people then withdrew</w:t>
      </w:r>
      <w:r w:rsidRPr="00AF656B">
        <w:t xml:space="preserve"> </w:t>
      </w:r>
      <w:r w:rsidR="00E12646">
        <w:t>(</w:t>
      </w:r>
      <w:r w:rsidRPr="00AF656B">
        <w:t>rescind</w:t>
      </w:r>
      <w:r w:rsidR="00E12646">
        <w:t>ed</w:t>
      </w:r>
      <w:r w:rsidRPr="00AF656B">
        <w:t>) their application for assisted dying. </w:t>
      </w:r>
    </w:p>
    <w:p w14:paraId="2627CC97" w14:textId="77777777" w:rsidR="00DF6D4C" w:rsidRPr="00AF656B" w:rsidRDefault="00DF6D4C" w:rsidP="00EE4F0D">
      <w:r w:rsidRPr="00AF656B">
        <w:t> </w:t>
      </w:r>
    </w:p>
    <w:p w14:paraId="5FE08BFA" w14:textId="2B67DEDC" w:rsidR="00DF6D4C" w:rsidRDefault="00DF6D4C" w:rsidP="00EE4F0D">
      <w:r w:rsidRPr="00AF656B">
        <w:t>The principal clinical advisors within Health New Zealand work with other health services, such as people’s general practitioners, to help coordinate the care or support</w:t>
      </w:r>
      <w:r w:rsidR="0091577A">
        <w:t xml:space="preserve"> of those people</w:t>
      </w:r>
      <w:r w:rsidRPr="00AF656B">
        <w:t xml:space="preserve">. In some cases, following further consultation, some people chose to withdraw their application for assisted dying </w:t>
      </w:r>
      <w:r w:rsidR="00E51E74" w:rsidRPr="00AF656B">
        <w:t xml:space="preserve">as they felt this </w:t>
      </w:r>
      <w:r w:rsidRPr="00AF656B">
        <w:t xml:space="preserve">was no longer their preferred option. For some people, just knowing they have options </w:t>
      </w:r>
      <w:r w:rsidR="006A19BD">
        <w:t xml:space="preserve">available that are </w:t>
      </w:r>
      <w:r w:rsidRPr="00AF656B">
        <w:t xml:space="preserve">within their control is comfort enough. </w:t>
      </w:r>
    </w:p>
    <w:p w14:paraId="3BE52244" w14:textId="77777777" w:rsidR="00DF6D4C" w:rsidRPr="00EE4F0D" w:rsidRDefault="00DF6D4C" w:rsidP="00EE4F0D">
      <w:pPr>
        <w:pStyle w:val="Heading2"/>
      </w:pPr>
      <w:bookmarkStart w:id="47" w:name="_Toc233002282"/>
      <w:r w:rsidRPr="00EE4F0D">
        <w:t>Timeframes for eligibility</w:t>
      </w:r>
      <w:bookmarkEnd w:id="47"/>
      <w:r w:rsidRPr="00EE4F0D">
        <w:t xml:space="preserve"> </w:t>
      </w:r>
    </w:p>
    <w:p w14:paraId="60607014" w14:textId="0657143F" w:rsidR="00DF6D4C" w:rsidRPr="00AF656B" w:rsidRDefault="00DF6D4C" w:rsidP="00EE4F0D">
      <w:r w:rsidRPr="00AF656B">
        <w:t xml:space="preserve">Assisted dying services are person-centred. The time taken from </w:t>
      </w:r>
      <w:r w:rsidR="008D75A4" w:rsidRPr="00AF656B">
        <w:t>appl</w:t>
      </w:r>
      <w:r w:rsidR="008D75A4">
        <w:t>ying</w:t>
      </w:r>
      <w:r w:rsidR="008D75A4" w:rsidRPr="00AF656B">
        <w:t xml:space="preserve"> </w:t>
      </w:r>
      <w:r w:rsidR="008D75A4">
        <w:t xml:space="preserve">for the service </w:t>
      </w:r>
      <w:r w:rsidRPr="00AF656B">
        <w:t xml:space="preserve">through to </w:t>
      </w:r>
      <w:r w:rsidR="00A5793E">
        <w:t>confirmation of</w:t>
      </w:r>
      <w:r w:rsidR="008D75A4">
        <w:t xml:space="preserve"> </w:t>
      </w:r>
      <w:r w:rsidRPr="00AF656B">
        <w:t>eligibility</w:t>
      </w:r>
      <w:r w:rsidR="00A5793E">
        <w:t xml:space="preserve"> by the AMP</w:t>
      </w:r>
      <w:r w:rsidRPr="00AF656B">
        <w:t>, and then to an assisted death, varies</w:t>
      </w:r>
      <w:r w:rsidR="00554ED5">
        <w:t>. It depends</w:t>
      </w:r>
      <w:r w:rsidRPr="00AF656B">
        <w:t xml:space="preserve"> on </w:t>
      </w:r>
      <w:r w:rsidR="00554ED5">
        <w:t xml:space="preserve">each </w:t>
      </w:r>
      <w:r w:rsidRPr="00AF656B">
        <w:t>applicant</w:t>
      </w:r>
      <w:r w:rsidR="008D75A4">
        <w:t>’</w:t>
      </w:r>
      <w:r w:rsidRPr="00AF656B">
        <w:t xml:space="preserve">s personal situation, the choices </w:t>
      </w:r>
      <w:r w:rsidR="00E42A89">
        <w:t xml:space="preserve">they make </w:t>
      </w:r>
      <w:r w:rsidRPr="00AF656B">
        <w:t xml:space="preserve">and the progression of their terminal illness. </w:t>
      </w:r>
    </w:p>
    <w:p w14:paraId="6EB8A640" w14:textId="77777777" w:rsidR="00DF6D4C" w:rsidRPr="00AF656B" w:rsidRDefault="00DF6D4C" w:rsidP="00EE4F0D"/>
    <w:p w14:paraId="3CCED02C" w14:textId="53A1116C" w:rsidR="00DF6D4C" w:rsidRPr="00AF656B" w:rsidRDefault="00DF6D4C" w:rsidP="00EE4F0D">
      <w:r w:rsidRPr="00AF656B">
        <w:t>The process from</w:t>
      </w:r>
      <w:r w:rsidR="00E42A89">
        <w:t xml:space="preserve"> when a person first applies</w:t>
      </w:r>
      <w:r w:rsidRPr="00AF656B">
        <w:t xml:space="preserve"> through to </w:t>
      </w:r>
      <w:r w:rsidR="00E42A89">
        <w:t>the decision on whether they are</w:t>
      </w:r>
      <w:r w:rsidRPr="00AF656B">
        <w:t xml:space="preserve"> eligib</w:t>
      </w:r>
      <w:r w:rsidR="00E42A89">
        <w:t>le</w:t>
      </w:r>
      <w:r w:rsidRPr="00AF656B">
        <w:t xml:space="preserve"> </w:t>
      </w:r>
      <w:r w:rsidR="002A0229" w:rsidRPr="00AF656B">
        <w:t xml:space="preserve">can </w:t>
      </w:r>
      <w:r w:rsidRPr="00AF656B">
        <w:t xml:space="preserve">take up to six weeks. </w:t>
      </w:r>
      <w:r w:rsidR="00B611C0" w:rsidRPr="00AF656B">
        <w:t>In 2025/26</w:t>
      </w:r>
      <w:r w:rsidR="00B611C0">
        <w:t>, f</w:t>
      </w:r>
      <w:r w:rsidRPr="00AF656B">
        <w:t>or those found</w:t>
      </w:r>
      <w:r w:rsidR="00F46684">
        <w:t xml:space="preserve"> to be</w:t>
      </w:r>
      <w:r w:rsidRPr="00AF656B">
        <w:t xml:space="preserve"> eligible </w:t>
      </w:r>
      <w:r w:rsidR="00F46684">
        <w:t xml:space="preserve">for the service </w:t>
      </w:r>
      <w:r w:rsidRPr="00AF656B">
        <w:t>following assessment, the average time between</w:t>
      </w:r>
      <w:r w:rsidR="00F46684">
        <w:t xml:space="preserve"> the person</w:t>
      </w:r>
      <w:r w:rsidRPr="00AF656B">
        <w:t xml:space="preserve"> formal</w:t>
      </w:r>
      <w:r w:rsidR="00F46684">
        <w:t>ly</w:t>
      </w:r>
      <w:r w:rsidRPr="00AF656B">
        <w:t xml:space="preserve"> appl</w:t>
      </w:r>
      <w:r w:rsidR="00F46684">
        <w:t>ying</w:t>
      </w:r>
      <w:r w:rsidRPr="00AF656B">
        <w:t xml:space="preserve"> and </w:t>
      </w:r>
      <w:r w:rsidR="00F46684">
        <w:t xml:space="preserve">getting </w:t>
      </w:r>
      <w:r w:rsidRPr="00AF656B">
        <w:t xml:space="preserve">notification </w:t>
      </w:r>
      <w:r w:rsidR="00F46684">
        <w:t xml:space="preserve">from the AMP that they were </w:t>
      </w:r>
      <w:r w:rsidRPr="00AF656B">
        <w:t>eligib</w:t>
      </w:r>
      <w:r w:rsidR="00F46684">
        <w:t>le</w:t>
      </w:r>
      <w:r w:rsidRPr="00AF656B">
        <w:t xml:space="preserve"> was 1</w:t>
      </w:r>
      <w:r w:rsidR="00B24845" w:rsidRPr="00AF656B">
        <w:t>5</w:t>
      </w:r>
      <w:r w:rsidRPr="00AF656B">
        <w:t xml:space="preserve"> days. After </w:t>
      </w:r>
      <w:r w:rsidR="00F46684">
        <w:t>the AMP notifies a person that they are</w:t>
      </w:r>
      <w:r w:rsidRPr="00AF656B">
        <w:t xml:space="preserve"> eligib</w:t>
      </w:r>
      <w:r w:rsidR="00F46684">
        <w:t>le</w:t>
      </w:r>
      <w:r w:rsidRPr="00AF656B">
        <w:t>, the Registrar must review the application to ensure it compli</w:t>
      </w:r>
      <w:r w:rsidR="00F46684">
        <w:t>es</w:t>
      </w:r>
      <w:r w:rsidRPr="00AF656B">
        <w:t xml:space="preserve"> with the Act before the assisted death can take place. </w:t>
      </w:r>
    </w:p>
    <w:p w14:paraId="6515099D" w14:textId="77777777" w:rsidR="00DF6D4C" w:rsidRPr="00AF656B" w:rsidRDefault="00DF6D4C" w:rsidP="00EE4F0D"/>
    <w:p w14:paraId="7569B2C2" w14:textId="3BF51117" w:rsidR="00DF6D4C" w:rsidRPr="00AF656B" w:rsidRDefault="00DF6D4C" w:rsidP="00EE4F0D">
      <w:r w:rsidRPr="00AF656B">
        <w:t>People requesting the option of assisted dying are nearing the end of their life</w:t>
      </w:r>
      <w:r w:rsidR="00F46684">
        <w:t>.</w:t>
      </w:r>
      <w:r w:rsidRPr="00AF656B">
        <w:t xml:space="preserve"> </w:t>
      </w:r>
      <w:r w:rsidR="00F46684">
        <w:t>T</w:t>
      </w:r>
      <w:r w:rsidRPr="00AF656B">
        <w:t xml:space="preserve">his may mean they feel a sense of urgency </w:t>
      </w:r>
      <w:r w:rsidR="00C361ED" w:rsidRPr="00AF656B">
        <w:t xml:space="preserve">to </w:t>
      </w:r>
      <w:r w:rsidR="00E42A89">
        <w:t>move</w:t>
      </w:r>
      <w:r w:rsidR="00E42A89" w:rsidRPr="00AF656B">
        <w:t xml:space="preserve"> </w:t>
      </w:r>
      <w:r w:rsidR="00C361ED" w:rsidRPr="00AF656B">
        <w:t>through the process</w:t>
      </w:r>
      <w:r w:rsidRPr="00AF656B">
        <w:t xml:space="preserve">. However, the processes and steps that must be followed under the Act </w:t>
      </w:r>
      <w:r w:rsidR="00C91A20" w:rsidRPr="00AF656B">
        <w:t>ensure services are delivered safely and with high quality</w:t>
      </w:r>
      <w:r w:rsidR="00F46684">
        <w:t>. For this reason,</w:t>
      </w:r>
      <w:r w:rsidR="00C91A20" w:rsidRPr="00AF656B">
        <w:t xml:space="preserve"> it is important </w:t>
      </w:r>
      <w:r w:rsidR="00F46684">
        <w:t xml:space="preserve">to follow </w:t>
      </w:r>
      <w:r w:rsidR="00C91A20" w:rsidRPr="00AF656B">
        <w:t xml:space="preserve">these processes carefully and not </w:t>
      </w:r>
      <w:r w:rsidR="00F46684">
        <w:t xml:space="preserve">to </w:t>
      </w:r>
      <w:r w:rsidR="00C91A20" w:rsidRPr="00AF656B">
        <w:t>rush</w:t>
      </w:r>
      <w:r w:rsidR="00F46684">
        <w:t xml:space="preserve"> them</w:t>
      </w:r>
      <w:r w:rsidR="00C91A20" w:rsidRPr="00AF656B">
        <w:t>.</w:t>
      </w:r>
      <w:r w:rsidRPr="00AF656B">
        <w:t xml:space="preserve"> </w:t>
      </w:r>
    </w:p>
    <w:p w14:paraId="72FBB4E2" w14:textId="2BA26374" w:rsidR="00DF6D4C" w:rsidRPr="00EE4F0D" w:rsidRDefault="00DF6D4C" w:rsidP="00EE4F0D">
      <w:pPr>
        <w:pStyle w:val="Heading2"/>
      </w:pPr>
      <w:bookmarkStart w:id="48" w:name="_Toc170220986"/>
      <w:bookmarkStart w:id="49" w:name="_Toc199242528"/>
      <w:bookmarkStart w:id="50" w:name="_Toc233002283"/>
      <w:r w:rsidRPr="00EE4F0D">
        <w:lastRenderedPageBreak/>
        <w:t>Demographic</w:t>
      </w:r>
      <w:r w:rsidR="00F12FB9" w:rsidRPr="00EE4F0D">
        <w:t xml:space="preserve"> details</w:t>
      </w:r>
      <w:r w:rsidRPr="00EE4F0D">
        <w:t xml:space="preserve"> of applicants</w:t>
      </w:r>
      <w:bookmarkEnd w:id="48"/>
      <w:bookmarkEnd w:id="49"/>
      <w:bookmarkEnd w:id="50"/>
    </w:p>
    <w:p w14:paraId="3D573E68" w14:textId="3B728C3E" w:rsidR="00DF6D4C" w:rsidRPr="00AF656B" w:rsidRDefault="00F46684" w:rsidP="00EE4F0D">
      <w:r>
        <w:t>Following</w:t>
      </w:r>
      <w:r w:rsidRPr="00AF656B">
        <w:t xml:space="preserve"> health sector standards and protocols, </w:t>
      </w:r>
      <w:r>
        <w:t>t</w:t>
      </w:r>
      <w:r w:rsidR="00DF6D4C" w:rsidRPr="00AF656B">
        <w:t>he Ministry collects information about the demographic</w:t>
      </w:r>
      <w:r>
        <w:t xml:space="preserve"> details</w:t>
      </w:r>
      <w:r w:rsidR="00DF6D4C" w:rsidRPr="00AF656B">
        <w:t xml:space="preserve"> of </w:t>
      </w:r>
      <w:r>
        <w:t xml:space="preserve">people who </w:t>
      </w:r>
      <w:r w:rsidR="00DF6D4C" w:rsidRPr="00AF656B">
        <w:t>appl</w:t>
      </w:r>
      <w:r>
        <w:t>y for</w:t>
      </w:r>
      <w:r w:rsidR="00DF6D4C" w:rsidRPr="00AF656B">
        <w:t xml:space="preserve"> the assisted dying service</w:t>
      </w:r>
      <w:r>
        <w:t>. These details include their</w:t>
      </w:r>
      <w:r w:rsidR="00DF6D4C" w:rsidRPr="00AF656B">
        <w:t xml:space="preserve"> gender and ethnicity. </w:t>
      </w:r>
    </w:p>
    <w:p w14:paraId="570202CE" w14:textId="77777777" w:rsidR="00DF6D4C" w:rsidRPr="00AF656B" w:rsidRDefault="00DF6D4C" w:rsidP="00EE4F0D">
      <w:r w:rsidRPr="00AF656B">
        <w:t> </w:t>
      </w:r>
    </w:p>
    <w:p w14:paraId="03328FAD" w14:textId="794CA36F" w:rsidR="00DF6D4C" w:rsidRPr="00AF656B" w:rsidRDefault="00DF6D4C" w:rsidP="00EE4F0D">
      <w:r w:rsidRPr="00AF656B">
        <w:t xml:space="preserve">Of the </w:t>
      </w:r>
      <w:r w:rsidR="00DA6E18" w:rsidRPr="00AF656B">
        <w:t>1,164</w:t>
      </w:r>
      <w:r w:rsidRPr="00AF656B">
        <w:t xml:space="preserve"> new applications received over the 202</w:t>
      </w:r>
      <w:r w:rsidR="00DA6E18" w:rsidRPr="00AF656B">
        <w:t>5</w:t>
      </w:r>
      <w:r w:rsidRPr="00AF656B">
        <w:t>/2</w:t>
      </w:r>
      <w:r w:rsidR="00DA6E18" w:rsidRPr="00AF656B">
        <w:t>6</w:t>
      </w:r>
      <w:r w:rsidRPr="00AF656B">
        <w:t xml:space="preserve"> year: </w:t>
      </w:r>
    </w:p>
    <w:p w14:paraId="45BE9678" w14:textId="41D3667D" w:rsidR="00DF6D4C" w:rsidRPr="00EE4F0D" w:rsidRDefault="7299BAC3" w:rsidP="00EE4F0D">
      <w:pPr>
        <w:pStyle w:val="Bullet"/>
        <w:rPr>
          <w:rStyle w:val="normaltextrun"/>
        </w:rPr>
      </w:pPr>
      <w:r w:rsidRPr="00EE4F0D">
        <w:rPr>
          <w:rStyle w:val="normaltextrun"/>
        </w:rPr>
        <w:t>81</w:t>
      </w:r>
      <w:r w:rsidR="00DF6D4C" w:rsidRPr="00EE4F0D">
        <w:rPr>
          <w:rStyle w:val="normaltextrun"/>
        </w:rPr>
        <w:t>%</w:t>
      </w:r>
      <w:r w:rsidR="00F46684" w:rsidRPr="00EE4F0D">
        <w:rPr>
          <w:rStyle w:val="normaltextrun"/>
        </w:rPr>
        <w:t xml:space="preserve"> of applicants</w:t>
      </w:r>
      <w:r w:rsidR="00DF6D4C" w:rsidRPr="00EE4F0D">
        <w:rPr>
          <w:rStyle w:val="normaltextrun"/>
        </w:rPr>
        <w:t xml:space="preserve"> identified as New Zealand European/Pākehā </w:t>
      </w:r>
    </w:p>
    <w:p w14:paraId="3B9F6365" w14:textId="02E3CEFA" w:rsidR="00DF6D4C" w:rsidRPr="00EE4F0D" w:rsidRDefault="00DF6D4C" w:rsidP="00EE4F0D">
      <w:pPr>
        <w:pStyle w:val="Bullet"/>
        <w:rPr>
          <w:rStyle w:val="normaltextrun"/>
        </w:rPr>
      </w:pPr>
      <w:r w:rsidRPr="00EE4F0D">
        <w:rPr>
          <w:rStyle w:val="normaltextrun"/>
        </w:rPr>
        <w:t>5% identified as Māori </w:t>
      </w:r>
    </w:p>
    <w:p w14:paraId="6CB4F673" w14:textId="597769C3" w:rsidR="00DF6D4C" w:rsidRPr="00EE4F0D" w:rsidRDefault="2D54034F" w:rsidP="00EE4F0D">
      <w:pPr>
        <w:pStyle w:val="Bullet"/>
        <w:rPr>
          <w:rStyle w:val="normaltextrun"/>
        </w:rPr>
      </w:pPr>
      <w:r w:rsidRPr="00EE4F0D">
        <w:rPr>
          <w:rStyle w:val="normaltextrun"/>
        </w:rPr>
        <w:t>4</w:t>
      </w:r>
      <w:r w:rsidR="44EC92AD" w:rsidRPr="00EE4F0D">
        <w:rPr>
          <w:rStyle w:val="normaltextrun"/>
        </w:rPr>
        <w:t>8</w:t>
      </w:r>
      <w:r w:rsidR="00DF6D4C" w:rsidRPr="00EE4F0D">
        <w:rPr>
          <w:rStyle w:val="normaltextrun"/>
        </w:rPr>
        <w:t>% identified as female/</w:t>
      </w:r>
      <w:proofErr w:type="spellStart"/>
      <w:r w:rsidR="00DF6D4C" w:rsidRPr="00EE4F0D">
        <w:rPr>
          <w:rStyle w:val="normaltextrun"/>
        </w:rPr>
        <w:t>wāhine</w:t>
      </w:r>
      <w:proofErr w:type="spellEnd"/>
      <w:r w:rsidR="00DF6D4C" w:rsidRPr="00EE4F0D">
        <w:rPr>
          <w:rStyle w:val="normaltextrun"/>
        </w:rPr>
        <w:t> </w:t>
      </w:r>
    </w:p>
    <w:p w14:paraId="755F9508" w14:textId="1CB29815" w:rsidR="00DF6D4C" w:rsidRPr="00EE4F0D" w:rsidRDefault="008450CB" w:rsidP="00EE4F0D">
      <w:pPr>
        <w:pStyle w:val="Bullet"/>
        <w:rPr>
          <w:rStyle w:val="normaltextrun"/>
        </w:rPr>
      </w:pPr>
      <w:r w:rsidRPr="00EE4F0D">
        <w:rPr>
          <w:rStyle w:val="normaltextrun"/>
        </w:rPr>
        <w:t>80</w:t>
      </w:r>
      <w:r w:rsidR="00DF6D4C" w:rsidRPr="00EE4F0D">
        <w:rPr>
          <w:rStyle w:val="normaltextrun"/>
        </w:rPr>
        <w:t>% were</w:t>
      </w:r>
      <w:r w:rsidR="00F46684" w:rsidRPr="00EE4F0D">
        <w:rPr>
          <w:rStyle w:val="normaltextrun"/>
        </w:rPr>
        <w:t xml:space="preserve"> aged</w:t>
      </w:r>
      <w:r w:rsidR="00DF6D4C" w:rsidRPr="00EE4F0D">
        <w:rPr>
          <w:rStyle w:val="normaltextrun"/>
        </w:rPr>
        <w:t xml:space="preserve"> 65 years or older </w:t>
      </w:r>
    </w:p>
    <w:p w14:paraId="6EE54C77" w14:textId="21044191" w:rsidR="00DF6D4C" w:rsidRPr="00EE4F0D" w:rsidRDefault="00314B9E" w:rsidP="00EE4F0D">
      <w:pPr>
        <w:pStyle w:val="Bullet"/>
        <w:rPr>
          <w:rStyle w:val="normaltextrun"/>
        </w:rPr>
      </w:pPr>
      <w:r w:rsidRPr="00EE4F0D">
        <w:rPr>
          <w:rStyle w:val="normaltextrun"/>
        </w:rPr>
        <w:t>80</w:t>
      </w:r>
      <w:r w:rsidR="00DF6D4C" w:rsidRPr="00EE4F0D">
        <w:rPr>
          <w:rStyle w:val="normaltextrun"/>
        </w:rPr>
        <w:t xml:space="preserve">% were receiving palliative care </w:t>
      </w:r>
      <w:r w:rsidR="00F46684" w:rsidRPr="00EE4F0D">
        <w:rPr>
          <w:rStyle w:val="normaltextrun"/>
        </w:rPr>
        <w:t>when they applied</w:t>
      </w:r>
    </w:p>
    <w:p w14:paraId="6DB3551C" w14:textId="54FACB2B" w:rsidR="00DF6D4C" w:rsidRPr="00EE4F0D" w:rsidRDefault="2D54034F" w:rsidP="00EE4F0D">
      <w:pPr>
        <w:pStyle w:val="Bullet"/>
        <w:rPr>
          <w:rStyle w:val="eop"/>
        </w:rPr>
      </w:pPr>
      <w:r w:rsidRPr="00EE4F0D">
        <w:rPr>
          <w:rStyle w:val="normaltextrun"/>
        </w:rPr>
        <w:t>6</w:t>
      </w:r>
      <w:r w:rsidR="12710D6C" w:rsidRPr="00EE4F0D">
        <w:rPr>
          <w:rStyle w:val="normaltextrun"/>
        </w:rPr>
        <w:t>3</w:t>
      </w:r>
      <w:r w:rsidR="00DF6D4C" w:rsidRPr="00EE4F0D">
        <w:rPr>
          <w:rStyle w:val="normaltextrun"/>
        </w:rPr>
        <w:t>% had a diagnosis of cancer.</w:t>
      </w:r>
      <w:r w:rsidR="00DF6D4C" w:rsidRPr="00EE4F0D">
        <w:rPr>
          <w:rStyle w:val="eop"/>
        </w:rPr>
        <w:t> </w:t>
      </w:r>
    </w:p>
    <w:p w14:paraId="4766E252" w14:textId="77777777" w:rsidR="00F46684" w:rsidRDefault="00F46684" w:rsidP="00EE4F0D"/>
    <w:p w14:paraId="78C7E9C5" w14:textId="1065982F" w:rsidR="00F46684" w:rsidRPr="00AF656B" w:rsidRDefault="00067755" w:rsidP="00EE4F0D">
      <w:r>
        <w:t xml:space="preserve">Table 1 </w:t>
      </w:r>
      <w:r w:rsidR="00F46684">
        <w:t xml:space="preserve">summarises the demographic data of people </w:t>
      </w:r>
      <w:r w:rsidR="00E80F05">
        <w:t>making new applications</w:t>
      </w:r>
      <w:r w:rsidR="00F46684">
        <w:t xml:space="preserve"> for </w:t>
      </w:r>
      <w:r w:rsidR="00E80F05">
        <w:t xml:space="preserve">assisted dying </w:t>
      </w:r>
      <w:r w:rsidR="00F46684">
        <w:t>service</w:t>
      </w:r>
      <w:r w:rsidR="00E80F05">
        <w:t>s in 2025/26</w:t>
      </w:r>
      <w:r w:rsidR="00F46684">
        <w:t xml:space="preserve">. </w:t>
      </w:r>
      <w:r>
        <w:t xml:space="preserve">Figure 3 </w:t>
      </w:r>
      <w:r w:rsidR="00F12FB9">
        <w:t>focuses specifically on the diagnosis of the people who applied.</w:t>
      </w:r>
    </w:p>
    <w:p w14:paraId="6B53154C" w14:textId="77777777" w:rsidR="00DF6D4C" w:rsidRPr="00AF656B" w:rsidRDefault="00DF6D4C" w:rsidP="00DF6D4C">
      <w:pPr>
        <w:rPr>
          <w:lang w:eastAsia="en-NZ"/>
        </w:rPr>
      </w:pPr>
    </w:p>
    <w:p w14:paraId="18404EC1" w14:textId="77777777" w:rsidR="00DF6D4C" w:rsidRPr="00AF656B" w:rsidRDefault="00DF6D4C" w:rsidP="00DF6D4C">
      <w:pPr>
        <w:pStyle w:val="Table"/>
        <w:sectPr w:rsidR="00DF6D4C" w:rsidRPr="00AF656B" w:rsidSect="00DF6D4C">
          <w:pgSz w:w="11907" w:h="16834" w:code="9"/>
          <w:pgMar w:top="1418" w:right="1701" w:bottom="1134" w:left="1843" w:header="284" w:footer="425" w:gutter="284"/>
          <w:cols w:space="720"/>
        </w:sectPr>
      </w:pPr>
    </w:p>
    <w:p w14:paraId="57EC4BEE" w14:textId="42278F9A" w:rsidR="00DF6D4C" w:rsidRPr="00AF656B" w:rsidRDefault="00DF6D4C" w:rsidP="00DF6D4C">
      <w:pPr>
        <w:pStyle w:val="Table"/>
        <w:rPr>
          <w:lang w:eastAsia="en-NZ"/>
        </w:rPr>
      </w:pPr>
      <w:bookmarkStart w:id="51" w:name="_Ref231746164"/>
      <w:bookmarkStart w:id="52" w:name="_Toc233002301"/>
      <w:r w:rsidRPr="00AF656B">
        <w:lastRenderedPageBreak/>
        <w:t xml:space="preserve">Table </w:t>
      </w:r>
      <w:fldSimple w:instr=" SEQ Table \* ARABIC ">
        <w:r w:rsidR="007527A2" w:rsidRPr="00AF656B">
          <w:rPr>
            <w:noProof/>
          </w:rPr>
          <w:t>1</w:t>
        </w:r>
      </w:fldSimple>
      <w:bookmarkEnd w:id="51"/>
      <w:r w:rsidRPr="00AF656B">
        <w:t xml:space="preserve">: </w:t>
      </w:r>
      <w:r w:rsidR="00E80F05">
        <w:rPr>
          <w:lang w:eastAsia="en-NZ"/>
        </w:rPr>
        <w:t>S</w:t>
      </w:r>
      <w:r w:rsidRPr="00AF656B">
        <w:rPr>
          <w:lang w:eastAsia="en-NZ"/>
        </w:rPr>
        <w:t xml:space="preserve">ummary of </w:t>
      </w:r>
      <w:r w:rsidR="00E80F05">
        <w:rPr>
          <w:lang w:eastAsia="en-NZ"/>
        </w:rPr>
        <w:t xml:space="preserve">demographic data of people making </w:t>
      </w:r>
      <w:r w:rsidRPr="00AF656B">
        <w:rPr>
          <w:lang w:eastAsia="en-NZ"/>
        </w:rPr>
        <w:t>new applications</w:t>
      </w:r>
      <w:r w:rsidR="00E80F05">
        <w:rPr>
          <w:lang w:eastAsia="en-NZ"/>
        </w:rPr>
        <w:t xml:space="preserve"> for assisted dying services</w:t>
      </w:r>
      <w:r w:rsidR="00F46684">
        <w:rPr>
          <w:lang w:eastAsia="en-NZ"/>
        </w:rPr>
        <w:t xml:space="preserve">, </w:t>
      </w:r>
      <w:r w:rsidR="00F46684" w:rsidRPr="00AF656B">
        <w:rPr>
          <w:bCs/>
        </w:rPr>
        <w:t>1</w:t>
      </w:r>
      <w:r w:rsidR="00E80F05">
        <w:rPr>
          <w:bCs/>
        </w:rPr>
        <w:t> </w:t>
      </w:r>
      <w:r w:rsidR="00F46684" w:rsidRPr="00AF656B">
        <w:rPr>
          <w:bCs/>
        </w:rPr>
        <w:t>April 2025</w:t>
      </w:r>
      <w:r w:rsidR="00F46684">
        <w:rPr>
          <w:bCs/>
        </w:rPr>
        <w:t xml:space="preserve"> </w:t>
      </w:r>
      <w:r w:rsidR="00F46684" w:rsidRPr="00AF656B">
        <w:rPr>
          <w:bCs/>
        </w:rPr>
        <w:t>–</w:t>
      </w:r>
      <w:r w:rsidR="00F46684">
        <w:rPr>
          <w:bCs/>
        </w:rPr>
        <w:t xml:space="preserve"> </w:t>
      </w:r>
      <w:r w:rsidR="00F46684" w:rsidRPr="00AF656B">
        <w:rPr>
          <w:bCs/>
        </w:rPr>
        <w:t>31 March 2026</w:t>
      </w:r>
      <w:bookmarkEnd w:id="52"/>
      <w:r w:rsidR="00F46684" w:rsidRPr="00AF656B">
        <w:rPr>
          <w:bCs/>
        </w:rPr>
        <w:t> </w:t>
      </w:r>
    </w:p>
    <w:tbl>
      <w:tblPr>
        <w:tblW w:w="80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0"/>
        <w:gridCol w:w="142"/>
        <w:gridCol w:w="2543"/>
        <w:gridCol w:w="1560"/>
        <w:gridCol w:w="1410"/>
      </w:tblGrid>
      <w:tr w:rsidR="00294EE8" w:rsidRPr="00AF656B" w14:paraId="6B9D1E42" w14:textId="77777777" w:rsidTr="005F1B0B">
        <w:trPr>
          <w:trHeight w:val="610"/>
        </w:trPr>
        <w:tc>
          <w:tcPr>
            <w:tcW w:w="2542" w:type="dxa"/>
            <w:gridSpan w:val="2"/>
            <w:tcBorders>
              <w:top w:val="nil"/>
              <w:left w:val="nil"/>
              <w:bottom w:val="nil"/>
              <w:right w:val="nil"/>
            </w:tcBorders>
            <w:shd w:val="clear" w:color="auto" w:fill="D9D9D9" w:themeFill="background1" w:themeFillShade="D9"/>
            <w:hideMark/>
          </w:tcPr>
          <w:p w14:paraId="0A7C49FE" w14:textId="131EE282" w:rsidR="00294EE8" w:rsidRPr="00AF656B" w:rsidDel="00294EE8" w:rsidRDefault="00294EE8" w:rsidP="00294EE8">
            <w:pPr>
              <w:pStyle w:val="TableText"/>
              <w:ind w:left="57"/>
              <w:rPr>
                <w:b/>
                <w:bCs/>
              </w:rPr>
            </w:pPr>
            <w:r>
              <w:rPr>
                <w:b/>
                <w:bCs/>
              </w:rPr>
              <w:t xml:space="preserve">Demographic characteristic </w:t>
            </w:r>
            <w:r w:rsidRPr="00AF656B">
              <w:rPr>
                <w:b/>
                <w:bCs/>
              </w:rPr>
              <w:t>(N = 1,164) </w:t>
            </w:r>
          </w:p>
        </w:tc>
        <w:tc>
          <w:tcPr>
            <w:tcW w:w="2543" w:type="dxa"/>
            <w:tcBorders>
              <w:top w:val="nil"/>
              <w:left w:val="nil"/>
              <w:bottom w:val="nil"/>
              <w:right w:val="nil"/>
            </w:tcBorders>
            <w:shd w:val="clear" w:color="auto" w:fill="D9D9D9" w:themeFill="background1" w:themeFillShade="D9"/>
          </w:tcPr>
          <w:p w14:paraId="23948BD9" w14:textId="623DBF86" w:rsidR="00294EE8" w:rsidRPr="00AF656B" w:rsidRDefault="00294EE8" w:rsidP="00294EE8">
            <w:pPr>
              <w:pStyle w:val="TableText"/>
              <w:ind w:left="57"/>
              <w:rPr>
                <w:b/>
                <w:bCs/>
              </w:rPr>
            </w:pPr>
          </w:p>
        </w:tc>
        <w:tc>
          <w:tcPr>
            <w:tcW w:w="1560" w:type="dxa"/>
            <w:tcBorders>
              <w:top w:val="nil"/>
              <w:left w:val="nil"/>
              <w:bottom w:val="nil"/>
              <w:right w:val="nil"/>
            </w:tcBorders>
            <w:shd w:val="clear" w:color="auto" w:fill="D9D9D9" w:themeFill="background1" w:themeFillShade="D9"/>
            <w:hideMark/>
          </w:tcPr>
          <w:p w14:paraId="14C5D488" w14:textId="77777777" w:rsidR="00294EE8" w:rsidRPr="00AF656B" w:rsidRDefault="00294EE8" w:rsidP="00D630B9">
            <w:pPr>
              <w:pStyle w:val="TableText"/>
              <w:ind w:left="57" w:right="57"/>
              <w:jc w:val="right"/>
              <w:rPr>
                <w:b/>
                <w:bCs/>
              </w:rPr>
            </w:pPr>
            <w:r w:rsidRPr="00AF656B">
              <w:rPr>
                <w:b/>
                <w:bCs/>
              </w:rPr>
              <w:t>Number of people</w:t>
            </w:r>
            <w:r w:rsidRPr="00AF656B">
              <w:rPr>
                <w:b/>
                <w:bCs/>
                <w:vertAlign w:val="superscript"/>
              </w:rPr>
              <w:t>3</w:t>
            </w:r>
            <w:r w:rsidRPr="00AF656B">
              <w:rPr>
                <w:b/>
                <w:bCs/>
              </w:rPr>
              <w:t> </w:t>
            </w:r>
          </w:p>
        </w:tc>
        <w:tc>
          <w:tcPr>
            <w:tcW w:w="1410" w:type="dxa"/>
            <w:tcBorders>
              <w:top w:val="nil"/>
              <w:left w:val="nil"/>
              <w:bottom w:val="nil"/>
              <w:right w:val="nil"/>
            </w:tcBorders>
            <w:shd w:val="clear" w:color="auto" w:fill="D9D9D9" w:themeFill="background1" w:themeFillShade="D9"/>
            <w:hideMark/>
          </w:tcPr>
          <w:p w14:paraId="047730F0" w14:textId="77777777" w:rsidR="00294EE8" w:rsidRPr="00AF656B" w:rsidRDefault="00294EE8" w:rsidP="00D630B9">
            <w:pPr>
              <w:pStyle w:val="TableText"/>
              <w:ind w:left="57" w:right="57"/>
              <w:jc w:val="right"/>
              <w:rPr>
                <w:b/>
                <w:bCs/>
              </w:rPr>
            </w:pPr>
            <w:r w:rsidRPr="00AF656B">
              <w:rPr>
                <w:b/>
                <w:bCs/>
              </w:rPr>
              <w:t>% of applications </w:t>
            </w:r>
          </w:p>
        </w:tc>
      </w:tr>
      <w:tr w:rsidR="00DF6D4C" w:rsidRPr="00AF656B" w14:paraId="40B3A84D" w14:textId="77777777" w:rsidTr="005F1B0B">
        <w:trPr>
          <w:trHeight w:val="300"/>
        </w:trPr>
        <w:tc>
          <w:tcPr>
            <w:tcW w:w="2400" w:type="dxa"/>
            <w:vMerge w:val="restart"/>
            <w:tcBorders>
              <w:top w:val="nil"/>
              <w:left w:val="nil"/>
              <w:bottom w:val="single" w:sz="6" w:space="0" w:color="A6A6A6" w:themeColor="background1" w:themeShade="A6"/>
              <w:right w:val="nil"/>
            </w:tcBorders>
            <w:hideMark/>
          </w:tcPr>
          <w:p w14:paraId="059EB73A" w14:textId="77777777" w:rsidR="00DF6D4C" w:rsidRPr="00AF656B" w:rsidRDefault="00DF6D4C" w:rsidP="00DF6D4C">
            <w:pPr>
              <w:pStyle w:val="TableText"/>
              <w:ind w:left="57"/>
              <w:rPr>
                <w:rFonts w:ascii="Times New Roman" w:hAnsi="Times New Roman"/>
                <w:sz w:val="24"/>
                <w:szCs w:val="24"/>
                <w:lang w:eastAsia="en-NZ"/>
              </w:rPr>
            </w:pPr>
            <w:r w:rsidRPr="00AF656B">
              <w:rPr>
                <w:lang w:eastAsia="en-NZ"/>
              </w:rPr>
              <w:t>Ethnic group</w:t>
            </w:r>
            <w:r w:rsidRPr="00AF656B">
              <w:rPr>
                <w:sz w:val="14"/>
                <w:szCs w:val="14"/>
                <w:vertAlign w:val="superscript"/>
                <w:lang w:eastAsia="en-NZ"/>
              </w:rPr>
              <w:t>1</w:t>
            </w:r>
            <w:r w:rsidRPr="00AF656B">
              <w:rPr>
                <w:sz w:val="14"/>
                <w:szCs w:val="14"/>
                <w:lang w:eastAsia="en-NZ"/>
              </w:rPr>
              <w:t> </w:t>
            </w:r>
          </w:p>
        </w:tc>
        <w:tc>
          <w:tcPr>
            <w:tcW w:w="2685" w:type="dxa"/>
            <w:gridSpan w:val="2"/>
            <w:tcBorders>
              <w:top w:val="nil"/>
              <w:left w:val="nil"/>
              <w:bottom w:val="single" w:sz="6" w:space="0" w:color="A6A6A6" w:themeColor="background1" w:themeShade="A6"/>
              <w:right w:val="nil"/>
            </w:tcBorders>
            <w:hideMark/>
          </w:tcPr>
          <w:p w14:paraId="34E7D941" w14:textId="77777777" w:rsidR="00DF6D4C" w:rsidRPr="00AF656B" w:rsidRDefault="00DF6D4C" w:rsidP="00DF6D4C">
            <w:pPr>
              <w:pStyle w:val="TableText"/>
              <w:ind w:left="57"/>
              <w:rPr>
                <w:rFonts w:ascii="Times New Roman" w:hAnsi="Times New Roman"/>
                <w:sz w:val="24"/>
                <w:szCs w:val="24"/>
                <w:lang w:eastAsia="en-NZ"/>
              </w:rPr>
            </w:pPr>
            <w:r w:rsidRPr="00AF656B">
              <w:rPr>
                <w:lang w:eastAsia="en-NZ"/>
              </w:rPr>
              <w:t>Māori </w:t>
            </w:r>
          </w:p>
        </w:tc>
        <w:tc>
          <w:tcPr>
            <w:tcW w:w="1560" w:type="dxa"/>
            <w:tcBorders>
              <w:top w:val="nil"/>
              <w:left w:val="nil"/>
              <w:bottom w:val="single" w:sz="6" w:space="0" w:color="A6A6A6" w:themeColor="background1" w:themeShade="A6"/>
              <w:right w:val="nil"/>
            </w:tcBorders>
          </w:tcPr>
          <w:p w14:paraId="3D865A65" w14:textId="7E479C50" w:rsidR="00DF6D4C" w:rsidRPr="00AF656B" w:rsidRDefault="00586A25" w:rsidP="005F1B0B">
            <w:pPr>
              <w:pStyle w:val="TableText"/>
              <w:ind w:left="170" w:right="113"/>
              <w:jc w:val="right"/>
              <w:rPr>
                <w:lang w:eastAsia="en-NZ"/>
              </w:rPr>
            </w:pPr>
            <w:r w:rsidRPr="00AF656B">
              <w:rPr>
                <w:lang w:eastAsia="en-NZ"/>
              </w:rPr>
              <w:t>57</w:t>
            </w:r>
          </w:p>
        </w:tc>
        <w:tc>
          <w:tcPr>
            <w:tcW w:w="1410" w:type="dxa"/>
            <w:tcBorders>
              <w:top w:val="nil"/>
              <w:left w:val="nil"/>
              <w:bottom w:val="single" w:sz="6" w:space="0" w:color="A6A6A6" w:themeColor="background1" w:themeShade="A6"/>
              <w:right w:val="nil"/>
            </w:tcBorders>
          </w:tcPr>
          <w:p w14:paraId="6646AEFA" w14:textId="24BADF16" w:rsidR="00DF6D4C" w:rsidRPr="00AF656B" w:rsidRDefault="6BEABC23" w:rsidP="005F1B0B">
            <w:pPr>
              <w:pStyle w:val="TableText"/>
              <w:ind w:left="170" w:right="113"/>
              <w:jc w:val="right"/>
              <w:rPr>
                <w:lang w:eastAsia="en-NZ"/>
              </w:rPr>
            </w:pPr>
            <w:r w:rsidRPr="00AF656B">
              <w:rPr>
                <w:lang w:eastAsia="en-NZ"/>
              </w:rPr>
              <w:t>4.90</w:t>
            </w:r>
          </w:p>
        </w:tc>
      </w:tr>
      <w:tr w:rsidR="00DF6D4C" w:rsidRPr="00AF656B" w14:paraId="05AD1475" w14:textId="77777777" w:rsidTr="005F1B0B">
        <w:trPr>
          <w:trHeight w:val="300"/>
        </w:trPr>
        <w:tc>
          <w:tcPr>
            <w:tcW w:w="0" w:type="auto"/>
            <w:vMerge/>
            <w:tcBorders>
              <w:left w:val="nil"/>
            </w:tcBorders>
            <w:vAlign w:val="center"/>
            <w:hideMark/>
          </w:tcPr>
          <w:p w14:paraId="474C7900" w14:textId="77777777" w:rsidR="00DF6D4C" w:rsidRPr="00AF656B" w:rsidRDefault="00DF6D4C" w:rsidP="00DF6D4C">
            <w:pPr>
              <w:pStyle w:val="TableText"/>
              <w:ind w:left="57"/>
              <w:rPr>
                <w:rFonts w:ascii="Times New Roman" w:hAnsi="Times New Roman"/>
                <w:sz w:val="24"/>
                <w:szCs w:val="24"/>
                <w:lang w:eastAsia="en-NZ"/>
              </w:rPr>
            </w:pPr>
          </w:p>
        </w:tc>
        <w:tc>
          <w:tcPr>
            <w:tcW w:w="2685" w:type="dxa"/>
            <w:gridSpan w:val="2"/>
            <w:tcBorders>
              <w:top w:val="single" w:sz="6" w:space="0" w:color="A6A6A6" w:themeColor="background1" w:themeShade="A6"/>
              <w:left w:val="nil"/>
              <w:bottom w:val="single" w:sz="6" w:space="0" w:color="A6A6A6" w:themeColor="background1" w:themeShade="A6"/>
              <w:right w:val="nil"/>
            </w:tcBorders>
            <w:hideMark/>
          </w:tcPr>
          <w:p w14:paraId="5BCAC579" w14:textId="77777777" w:rsidR="00DF6D4C" w:rsidRPr="00AF656B" w:rsidRDefault="00DF6D4C" w:rsidP="00DF6D4C">
            <w:pPr>
              <w:pStyle w:val="TableText"/>
              <w:ind w:left="57"/>
              <w:rPr>
                <w:rFonts w:ascii="Times New Roman" w:hAnsi="Times New Roman"/>
                <w:sz w:val="24"/>
                <w:szCs w:val="24"/>
                <w:lang w:eastAsia="en-NZ"/>
              </w:rPr>
            </w:pPr>
            <w:r w:rsidRPr="00AF656B">
              <w:rPr>
                <w:lang w:eastAsia="en-NZ"/>
              </w:rPr>
              <w:t>Pacific peoples </w:t>
            </w:r>
          </w:p>
        </w:tc>
        <w:tc>
          <w:tcPr>
            <w:tcW w:w="1560" w:type="dxa"/>
            <w:tcBorders>
              <w:top w:val="single" w:sz="6" w:space="0" w:color="A6A6A6" w:themeColor="background1" w:themeShade="A6"/>
              <w:left w:val="nil"/>
              <w:bottom w:val="single" w:sz="6" w:space="0" w:color="A6A6A6" w:themeColor="background1" w:themeShade="A6"/>
              <w:right w:val="nil"/>
            </w:tcBorders>
          </w:tcPr>
          <w:p w14:paraId="0D068FF2" w14:textId="173D9F2F" w:rsidR="00DF6D4C" w:rsidRPr="00AF656B" w:rsidRDefault="00586A25" w:rsidP="005F1B0B">
            <w:pPr>
              <w:pStyle w:val="TableText"/>
              <w:ind w:left="170" w:right="113"/>
              <w:jc w:val="right"/>
              <w:rPr>
                <w:lang w:eastAsia="en-NZ"/>
              </w:rPr>
            </w:pPr>
            <w:r w:rsidRPr="00AF656B">
              <w:rPr>
                <w:lang w:eastAsia="en-NZ"/>
              </w:rPr>
              <w:t>9</w:t>
            </w:r>
          </w:p>
        </w:tc>
        <w:tc>
          <w:tcPr>
            <w:tcW w:w="1410" w:type="dxa"/>
            <w:tcBorders>
              <w:top w:val="single" w:sz="6" w:space="0" w:color="A6A6A6" w:themeColor="background1" w:themeShade="A6"/>
              <w:left w:val="nil"/>
              <w:bottom w:val="single" w:sz="6" w:space="0" w:color="A6A6A6" w:themeColor="background1" w:themeShade="A6"/>
              <w:right w:val="nil"/>
            </w:tcBorders>
          </w:tcPr>
          <w:p w14:paraId="4FCCFA59" w14:textId="03DD41F6" w:rsidR="00DF6D4C" w:rsidRPr="00AF656B" w:rsidRDefault="06BDF563" w:rsidP="005F1B0B">
            <w:pPr>
              <w:pStyle w:val="TableText"/>
              <w:ind w:left="170" w:right="113"/>
              <w:jc w:val="right"/>
              <w:rPr>
                <w:lang w:eastAsia="en-NZ"/>
              </w:rPr>
            </w:pPr>
            <w:r w:rsidRPr="00AF656B">
              <w:rPr>
                <w:lang w:eastAsia="en-NZ"/>
              </w:rPr>
              <w:t>0.77</w:t>
            </w:r>
          </w:p>
        </w:tc>
      </w:tr>
      <w:tr w:rsidR="00DF6D4C" w:rsidRPr="00AF656B" w14:paraId="537F0CE9" w14:textId="77777777" w:rsidTr="005F1B0B">
        <w:trPr>
          <w:trHeight w:val="300"/>
        </w:trPr>
        <w:tc>
          <w:tcPr>
            <w:tcW w:w="0" w:type="auto"/>
            <w:vMerge/>
            <w:tcBorders>
              <w:left w:val="nil"/>
            </w:tcBorders>
            <w:vAlign w:val="center"/>
            <w:hideMark/>
          </w:tcPr>
          <w:p w14:paraId="5BF68419" w14:textId="77777777" w:rsidR="00DF6D4C" w:rsidRPr="00AF656B" w:rsidRDefault="00DF6D4C" w:rsidP="00DF6D4C">
            <w:pPr>
              <w:pStyle w:val="TableText"/>
              <w:ind w:left="57"/>
              <w:rPr>
                <w:rFonts w:ascii="Times New Roman" w:hAnsi="Times New Roman"/>
                <w:sz w:val="24"/>
                <w:szCs w:val="24"/>
                <w:lang w:eastAsia="en-NZ"/>
              </w:rPr>
            </w:pPr>
          </w:p>
        </w:tc>
        <w:tc>
          <w:tcPr>
            <w:tcW w:w="2685" w:type="dxa"/>
            <w:gridSpan w:val="2"/>
            <w:tcBorders>
              <w:top w:val="single" w:sz="6" w:space="0" w:color="A6A6A6" w:themeColor="background1" w:themeShade="A6"/>
              <w:left w:val="nil"/>
              <w:bottom w:val="single" w:sz="6" w:space="0" w:color="A6A6A6" w:themeColor="background1" w:themeShade="A6"/>
              <w:right w:val="nil"/>
            </w:tcBorders>
            <w:hideMark/>
          </w:tcPr>
          <w:p w14:paraId="1B36AABF" w14:textId="77777777" w:rsidR="00DF6D4C" w:rsidRPr="00AF656B" w:rsidRDefault="00DF6D4C" w:rsidP="00DF6D4C">
            <w:pPr>
              <w:pStyle w:val="TableText"/>
              <w:ind w:left="57"/>
              <w:rPr>
                <w:rFonts w:ascii="Times New Roman" w:hAnsi="Times New Roman"/>
                <w:sz w:val="24"/>
                <w:szCs w:val="24"/>
                <w:lang w:eastAsia="en-NZ"/>
              </w:rPr>
            </w:pPr>
            <w:r w:rsidRPr="00AF656B">
              <w:rPr>
                <w:lang w:eastAsia="en-NZ"/>
              </w:rPr>
              <w:t>New Zealand European/Pākehā </w:t>
            </w:r>
          </w:p>
        </w:tc>
        <w:tc>
          <w:tcPr>
            <w:tcW w:w="1560" w:type="dxa"/>
            <w:tcBorders>
              <w:top w:val="single" w:sz="6" w:space="0" w:color="A6A6A6" w:themeColor="background1" w:themeShade="A6"/>
              <w:left w:val="nil"/>
              <w:bottom w:val="single" w:sz="6" w:space="0" w:color="A6A6A6" w:themeColor="background1" w:themeShade="A6"/>
              <w:right w:val="nil"/>
            </w:tcBorders>
          </w:tcPr>
          <w:p w14:paraId="1B4117F0" w14:textId="73D11E5C" w:rsidR="00DF6D4C" w:rsidRPr="00AF656B" w:rsidRDefault="00781BDB" w:rsidP="005F1B0B">
            <w:pPr>
              <w:pStyle w:val="TableText"/>
              <w:ind w:left="170" w:right="113"/>
              <w:jc w:val="right"/>
              <w:rPr>
                <w:lang w:eastAsia="en-NZ"/>
              </w:rPr>
            </w:pPr>
            <w:r w:rsidRPr="00AF656B">
              <w:rPr>
                <w:lang w:eastAsia="en-NZ"/>
              </w:rPr>
              <w:t>944</w:t>
            </w:r>
          </w:p>
        </w:tc>
        <w:tc>
          <w:tcPr>
            <w:tcW w:w="1410" w:type="dxa"/>
            <w:tcBorders>
              <w:top w:val="single" w:sz="6" w:space="0" w:color="A6A6A6" w:themeColor="background1" w:themeShade="A6"/>
              <w:left w:val="nil"/>
              <w:bottom w:val="single" w:sz="6" w:space="0" w:color="A6A6A6" w:themeColor="background1" w:themeShade="A6"/>
              <w:right w:val="nil"/>
            </w:tcBorders>
          </w:tcPr>
          <w:p w14:paraId="2B400EA8" w14:textId="7E06A105" w:rsidR="00DF6D4C" w:rsidRPr="00AF656B" w:rsidRDefault="05C822AF" w:rsidP="005F1B0B">
            <w:pPr>
              <w:pStyle w:val="TableText"/>
              <w:ind w:left="170" w:right="113"/>
              <w:jc w:val="right"/>
              <w:rPr>
                <w:lang w:eastAsia="en-NZ"/>
              </w:rPr>
            </w:pPr>
            <w:r w:rsidRPr="00AF656B">
              <w:rPr>
                <w:lang w:eastAsia="en-NZ"/>
              </w:rPr>
              <w:t>81.10</w:t>
            </w:r>
          </w:p>
        </w:tc>
      </w:tr>
      <w:tr w:rsidR="00DF6D4C" w:rsidRPr="00AF656B" w14:paraId="04B9C863" w14:textId="77777777" w:rsidTr="005F1B0B">
        <w:trPr>
          <w:trHeight w:val="300"/>
        </w:trPr>
        <w:tc>
          <w:tcPr>
            <w:tcW w:w="0" w:type="auto"/>
            <w:vMerge/>
            <w:tcBorders>
              <w:left w:val="nil"/>
            </w:tcBorders>
            <w:vAlign w:val="center"/>
            <w:hideMark/>
          </w:tcPr>
          <w:p w14:paraId="4C1F243B" w14:textId="77777777" w:rsidR="00DF6D4C" w:rsidRPr="00AF656B" w:rsidRDefault="00DF6D4C" w:rsidP="00DF6D4C">
            <w:pPr>
              <w:pStyle w:val="TableText"/>
              <w:ind w:left="57"/>
              <w:rPr>
                <w:rFonts w:ascii="Times New Roman" w:hAnsi="Times New Roman"/>
                <w:sz w:val="24"/>
                <w:szCs w:val="24"/>
                <w:lang w:eastAsia="en-NZ"/>
              </w:rPr>
            </w:pPr>
          </w:p>
        </w:tc>
        <w:tc>
          <w:tcPr>
            <w:tcW w:w="2685" w:type="dxa"/>
            <w:gridSpan w:val="2"/>
            <w:tcBorders>
              <w:top w:val="single" w:sz="6" w:space="0" w:color="A6A6A6" w:themeColor="background1" w:themeShade="A6"/>
              <w:left w:val="nil"/>
              <w:bottom w:val="single" w:sz="6" w:space="0" w:color="A6A6A6" w:themeColor="background1" w:themeShade="A6"/>
              <w:right w:val="nil"/>
            </w:tcBorders>
            <w:hideMark/>
          </w:tcPr>
          <w:p w14:paraId="61BDC040" w14:textId="77777777" w:rsidR="00DF6D4C" w:rsidRPr="00AF656B" w:rsidRDefault="00DF6D4C" w:rsidP="00DF6D4C">
            <w:pPr>
              <w:pStyle w:val="TableText"/>
              <w:ind w:left="57"/>
              <w:rPr>
                <w:rFonts w:ascii="Times New Roman" w:hAnsi="Times New Roman"/>
                <w:sz w:val="24"/>
                <w:szCs w:val="24"/>
                <w:lang w:eastAsia="en-NZ"/>
              </w:rPr>
            </w:pPr>
            <w:r w:rsidRPr="00AF656B">
              <w:rPr>
                <w:lang w:eastAsia="en-NZ"/>
              </w:rPr>
              <w:t>Asian </w:t>
            </w:r>
          </w:p>
        </w:tc>
        <w:tc>
          <w:tcPr>
            <w:tcW w:w="1560" w:type="dxa"/>
            <w:tcBorders>
              <w:top w:val="single" w:sz="6" w:space="0" w:color="A6A6A6" w:themeColor="background1" w:themeShade="A6"/>
              <w:left w:val="nil"/>
              <w:bottom w:val="single" w:sz="6" w:space="0" w:color="A6A6A6" w:themeColor="background1" w:themeShade="A6"/>
              <w:right w:val="nil"/>
            </w:tcBorders>
          </w:tcPr>
          <w:p w14:paraId="478548C4" w14:textId="6092028E" w:rsidR="00DF6D4C" w:rsidRPr="00AF656B" w:rsidRDefault="00781BDB" w:rsidP="005F1B0B">
            <w:pPr>
              <w:pStyle w:val="TableText"/>
              <w:ind w:left="170" w:right="113"/>
              <w:jc w:val="right"/>
              <w:rPr>
                <w:lang w:eastAsia="en-NZ"/>
              </w:rPr>
            </w:pPr>
            <w:r w:rsidRPr="00AF656B">
              <w:rPr>
                <w:lang w:eastAsia="en-NZ"/>
              </w:rPr>
              <w:t>29</w:t>
            </w:r>
          </w:p>
        </w:tc>
        <w:tc>
          <w:tcPr>
            <w:tcW w:w="1410" w:type="dxa"/>
            <w:tcBorders>
              <w:top w:val="single" w:sz="6" w:space="0" w:color="A6A6A6" w:themeColor="background1" w:themeShade="A6"/>
              <w:left w:val="nil"/>
              <w:bottom w:val="single" w:sz="6" w:space="0" w:color="A6A6A6" w:themeColor="background1" w:themeShade="A6"/>
              <w:right w:val="nil"/>
            </w:tcBorders>
          </w:tcPr>
          <w:p w14:paraId="5F456829" w14:textId="66D3C156" w:rsidR="00DF6D4C" w:rsidRPr="00AF656B" w:rsidRDefault="059DE481" w:rsidP="005F1B0B">
            <w:pPr>
              <w:pStyle w:val="TableText"/>
              <w:ind w:left="170" w:right="113"/>
              <w:jc w:val="right"/>
              <w:rPr>
                <w:lang w:eastAsia="en-NZ"/>
              </w:rPr>
            </w:pPr>
            <w:r w:rsidRPr="00AF656B">
              <w:rPr>
                <w:lang w:eastAsia="en-NZ"/>
              </w:rPr>
              <w:t>2.49</w:t>
            </w:r>
          </w:p>
        </w:tc>
      </w:tr>
      <w:tr w:rsidR="00DF6D4C" w:rsidRPr="00AF656B" w14:paraId="33DCC112" w14:textId="77777777" w:rsidTr="005F1B0B">
        <w:trPr>
          <w:trHeight w:val="300"/>
        </w:trPr>
        <w:tc>
          <w:tcPr>
            <w:tcW w:w="0" w:type="auto"/>
            <w:vMerge/>
            <w:tcBorders>
              <w:left w:val="nil"/>
            </w:tcBorders>
            <w:vAlign w:val="center"/>
            <w:hideMark/>
          </w:tcPr>
          <w:p w14:paraId="6649291F" w14:textId="77777777" w:rsidR="00DF6D4C" w:rsidRPr="00AF656B" w:rsidRDefault="00DF6D4C" w:rsidP="00DF6D4C">
            <w:pPr>
              <w:pStyle w:val="TableText"/>
              <w:ind w:left="57"/>
              <w:rPr>
                <w:rFonts w:ascii="Times New Roman" w:hAnsi="Times New Roman"/>
                <w:sz w:val="24"/>
                <w:szCs w:val="24"/>
                <w:lang w:eastAsia="en-NZ"/>
              </w:rPr>
            </w:pPr>
          </w:p>
        </w:tc>
        <w:tc>
          <w:tcPr>
            <w:tcW w:w="2685" w:type="dxa"/>
            <w:gridSpan w:val="2"/>
            <w:tcBorders>
              <w:top w:val="single" w:sz="6" w:space="0" w:color="A6A6A6" w:themeColor="background1" w:themeShade="A6"/>
              <w:left w:val="nil"/>
              <w:bottom w:val="single" w:sz="6" w:space="0" w:color="A6A6A6" w:themeColor="background1" w:themeShade="A6"/>
              <w:right w:val="nil"/>
            </w:tcBorders>
            <w:hideMark/>
          </w:tcPr>
          <w:p w14:paraId="1FBB7C15" w14:textId="77777777" w:rsidR="00DF6D4C" w:rsidRPr="00AF656B" w:rsidRDefault="00DF6D4C" w:rsidP="00DF6D4C">
            <w:pPr>
              <w:pStyle w:val="TableText"/>
              <w:ind w:left="57"/>
              <w:rPr>
                <w:rFonts w:ascii="Times New Roman" w:hAnsi="Times New Roman"/>
                <w:sz w:val="24"/>
                <w:szCs w:val="24"/>
                <w:lang w:eastAsia="en-NZ"/>
              </w:rPr>
            </w:pPr>
            <w:r w:rsidRPr="00AF656B">
              <w:rPr>
                <w:lang w:eastAsia="en-NZ"/>
              </w:rPr>
              <w:t>Other </w:t>
            </w:r>
          </w:p>
        </w:tc>
        <w:tc>
          <w:tcPr>
            <w:tcW w:w="1560" w:type="dxa"/>
            <w:tcBorders>
              <w:top w:val="single" w:sz="6" w:space="0" w:color="A6A6A6" w:themeColor="background1" w:themeShade="A6"/>
              <w:left w:val="nil"/>
              <w:bottom w:val="single" w:sz="6" w:space="0" w:color="A6A6A6" w:themeColor="background1" w:themeShade="A6"/>
              <w:right w:val="nil"/>
            </w:tcBorders>
          </w:tcPr>
          <w:p w14:paraId="7693E1BB" w14:textId="5A4DE5AE" w:rsidR="00DF6D4C" w:rsidRPr="00AF656B" w:rsidRDefault="00781BDB" w:rsidP="005F1B0B">
            <w:pPr>
              <w:pStyle w:val="TableText"/>
              <w:ind w:left="170" w:right="113"/>
              <w:jc w:val="right"/>
              <w:rPr>
                <w:lang w:eastAsia="en-NZ"/>
              </w:rPr>
            </w:pPr>
            <w:r w:rsidRPr="00AF656B">
              <w:rPr>
                <w:lang w:eastAsia="en-NZ"/>
              </w:rPr>
              <w:t>154</w:t>
            </w:r>
          </w:p>
        </w:tc>
        <w:tc>
          <w:tcPr>
            <w:tcW w:w="1410" w:type="dxa"/>
            <w:tcBorders>
              <w:top w:val="single" w:sz="6" w:space="0" w:color="A6A6A6" w:themeColor="background1" w:themeShade="A6"/>
              <w:left w:val="nil"/>
              <w:bottom w:val="single" w:sz="6" w:space="0" w:color="A6A6A6" w:themeColor="background1" w:themeShade="A6"/>
              <w:right w:val="nil"/>
            </w:tcBorders>
          </w:tcPr>
          <w:p w14:paraId="2247B44D" w14:textId="2C870128" w:rsidR="00DF6D4C" w:rsidRPr="00AF656B" w:rsidRDefault="277C0A05" w:rsidP="005F1B0B">
            <w:pPr>
              <w:pStyle w:val="TableText"/>
              <w:ind w:left="170" w:right="113"/>
              <w:jc w:val="right"/>
              <w:rPr>
                <w:lang w:eastAsia="en-NZ"/>
              </w:rPr>
            </w:pPr>
            <w:r w:rsidRPr="00AF656B">
              <w:rPr>
                <w:lang w:eastAsia="en-NZ"/>
              </w:rPr>
              <w:t>13.23</w:t>
            </w:r>
          </w:p>
        </w:tc>
      </w:tr>
      <w:tr w:rsidR="00DF6D4C" w:rsidRPr="00AF656B" w14:paraId="2EEFEABB" w14:textId="77777777" w:rsidTr="005F1B0B">
        <w:trPr>
          <w:trHeight w:val="300"/>
        </w:trPr>
        <w:tc>
          <w:tcPr>
            <w:tcW w:w="0" w:type="auto"/>
            <w:vMerge/>
            <w:tcBorders>
              <w:left w:val="nil"/>
              <w:bottom w:val="single" w:sz="6" w:space="0" w:color="A6A6A6" w:themeColor="background1" w:themeShade="A6"/>
            </w:tcBorders>
            <w:vAlign w:val="center"/>
            <w:hideMark/>
          </w:tcPr>
          <w:p w14:paraId="36E793E0" w14:textId="77777777" w:rsidR="00DF6D4C" w:rsidRPr="00AF656B" w:rsidRDefault="00DF6D4C" w:rsidP="00DF6D4C">
            <w:pPr>
              <w:pStyle w:val="TableText"/>
              <w:ind w:left="57"/>
              <w:rPr>
                <w:rFonts w:ascii="Times New Roman" w:hAnsi="Times New Roman"/>
                <w:sz w:val="24"/>
                <w:szCs w:val="24"/>
                <w:lang w:eastAsia="en-NZ"/>
              </w:rPr>
            </w:pPr>
          </w:p>
        </w:tc>
        <w:tc>
          <w:tcPr>
            <w:tcW w:w="2685" w:type="dxa"/>
            <w:gridSpan w:val="2"/>
            <w:tcBorders>
              <w:top w:val="single" w:sz="6" w:space="0" w:color="A6A6A6" w:themeColor="background1" w:themeShade="A6"/>
              <w:left w:val="nil"/>
              <w:bottom w:val="single" w:sz="6" w:space="0" w:color="A6A6A6" w:themeColor="background1" w:themeShade="A6"/>
              <w:right w:val="nil"/>
            </w:tcBorders>
            <w:hideMark/>
          </w:tcPr>
          <w:p w14:paraId="6D20C506" w14:textId="77777777" w:rsidR="00DF6D4C" w:rsidRPr="00AF656B" w:rsidRDefault="00DF6D4C" w:rsidP="00DF6D4C">
            <w:pPr>
              <w:pStyle w:val="TableText"/>
              <w:ind w:left="57"/>
              <w:rPr>
                <w:rFonts w:ascii="Times New Roman" w:hAnsi="Times New Roman"/>
                <w:sz w:val="24"/>
                <w:szCs w:val="24"/>
                <w:lang w:eastAsia="en-NZ"/>
              </w:rPr>
            </w:pPr>
            <w:r w:rsidRPr="00AF656B">
              <w:rPr>
                <w:lang w:eastAsia="en-NZ"/>
              </w:rPr>
              <w:t>Not stated </w:t>
            </w:r>
          </w:p>
        </w:tc>
        <w:tc>
          <w:tcPr>
            <w:tcW w:w="1560" w:type="dxa"/>
            <w:tcBorders>
              <w:top w:val="single" w:sz="6" w:space="0" w:color="A6A6A6" w:themeColor="background1" w:themeShade="A6"/>
              <w:left w:val="nil"/>
              <w:bottom w:val="single" w:sz="6" w:space="0" w:color="A6A6A6" w:themeColor="background1" w:themeShade="A6"/>
              <w:right w:val="nil"/>
            </w:tcBorders>
          </w:tcPr>
          <w:p w14:paraId="1D33706B" w14:textId="4D2039CD" w:rsidR="00DF6D4C" w:rsidRPr="00AF656B" w:rsidRDefault="00E42A89" w:rsidP="005F1B0B">
            <w:pPr>
              <w:pStyle w:val="TableText"/>
              <w:ind w:left="170" w:right="113"/>
              <w:jc w:val="right"/>
              <w:rPr>
                <w:lang w:eastAsia="en-NZ"/>
              </w:rPr>
            </w:pPr>
            <w:r>
              <w:rPr>
                <w:lang w:eastAsia="en-NZ"/>
              </w:rPr>
              <w:t>0</w:t>
            </w:r>
          </w:p>
        </w:tc>
        <w:tc>
          <w:tcPr>
            <w:tcW w:w="1410" w:type="dxa"/>
            <w:tcBorders>
              <w:top w:val="single" w:sz="6" w:space="0" w:color="A6A6A6" w:themeColor="background1" w:themeShade="A6"/>
              <w:left w:val="nil"/>
              <w:bottom w:val="single" w:sz="6" w:space="0" w:color="A6A6A6" w:themeColor="background1" w:themeShade="A6"/>
              <w:right w:val="nil"/>
            </w:tcBorders>
          </w:tcPr>
          <w:p w14:paraId="596C6873" w14:textId="28FF98E8" w:rsidR="00DF6D4C" w:rsidRPr="00AF656B" w:rsidRDefault="00E42A89" w:rsidP="005F1B0B">
            <w:pPr>
              <w:pStyle w:val="TableText"/>
              <w:ind w:left="170" w:right="113"/>
              <w:jc w:val="right"/>
              <w:rPr>
                <w:lang w:eastAsia="en-NZ"/>
              </w:rPr>
            </w:pPr>
            <w:r>
              <w:rPr>
                <w:lang w:eastAsia="en-NZ"/>
              </w:rPr>
              <w:t>0</w:t>
            </w:r>
          </w:p>
        </w:tc>
      </w:tr>
      <w:tr w:rsidR="00DF6D4C" w:rsidRPr="00AF656B" w14:paraId="3577E50E" w14:textId="77777777" w:rsidTr="005F1B0B">
        <w:trPr>
          <w:trHeight w:val="300"/>
        </w:trPr>
        <w:tc>
          <w:tcPr>
            <w:tcW w:w="2400" w:type="dxa"/>
            <w:vMerge w:val="restart"/>
            <w:tcBorders>
              <w:top w:val="single" w:sz="6" w:space="0" w:color="A6A6A6" w:themeColor="background1" w:themeShade="A6"/>
              <w:left w:val="nil"/>
              <w:bottom w:val="single" w:sz="6" w:space="0" w:color="A6A6A6" w:themeColor="background1" w:themeShade="A6"/>
              <w:right w:val="nil"/>
            </w:tcBorders>
            <w:hideMark/>
          </w:tcPr>
          <w:p w14:paraId="450CD170" w14:textId="77777777" w:rsidR="00DF6D4C" w:rsidRPr="00AF656B" w:rsidRDefault="00DF6D4C" w:rsidP="00DF6D4C">
            <w:pPr>
              <w:pStyle w:val="TableText"/>
              <w:ind w:left="57"/>
              <w:rPr>
                <w:rFonts w:ascii="Times New Roman" w:hAnsi="Times New Roman"/>
                <w:sz w:val="24"/>
                <w:szCs w:val="24"/>
                <w:lang w:eastAsia="en-NZ"/>
              </w:rPr>
            </w:pPr>
            <w:r w:rsidRPr="00AF656B">
              <w:rPr>
                <w:lang w:eastAsia="en-NZ"/>
              </w:rPr>
              <w:t>Sex </w:t>
            </w:r>
          </w:p>
        </w:tc>
        <w:tc>
          <w:tcPr>
            <w:tcW w:w="2685" w:type="dxa"/>
            <w:gridSpan w:val="2"/>
            <w:tcBorders>
              <w:top w:val="single" w:sz="6" w:space="0" w:color="A6A6A6" w:themeColor="background1" w:themeShade="A6"/>
              <w:left w:val="nil"/>
              <w:bottom w:val="single" w:sz="6" w:space="0" w:color="A6A6A6" w:themeColor="background1" w:themeShade="A6"/>
              <w:right w:val="nil"/>
            </w:tcBorders>
            <w:hideMark/>
          </w:tcPr>
          <w:p w14:paraId="17CB96CC" w14:textId="77777777" w:rsidR="00DF6D4C" w:rsidRPr="00AF656B" w:rsidRDefault="00DF6D4C" w:rsidP="00DF6D4C">
            <w:pPr>
              <w:pStyle w:val="TableText"/>
              <w:ind w:left="57"/>
              <w:rPr>
                <w:rFonts w:ascii="Times New Roman" w:hAnsi="Times New Roman"/>
                <w:sz w:val="24"/>
                <w:szCs w:val="24"/>
                <w:lang w:eastAsia="en-NZ"/>
              </w:rPr>
            </w:pPr>
            <w:r w:rsidRPr="00AF656B">
              <w:rPr>
                <w:lang w:eastAsia="en-NZ"/>
              </w:rPr>
              <w:t>Female/</w:t>
            </w:r>
            <w:proofErr w:type="spellStart"/>
            <w:r w:rsidRPr="00AF656B">
              <w:rPr>
                <w:lang w:eastAsia="en-NZ"/>
              </w:rPr>
              <w:t>wāhine</w:t>
            </w:r>
            <w:proofErr w:type="spellEnd"/>
            <w:r w:rsidRPr="00AF656B">
              <w:rPr>
                <w:lang w:eastAsia="en-NZ"/>
              </w:rPr>
              <w:t> </w:t>
            </w:r>
          </w:p>
        </w:tc>
        <w:tc>
          <w:tcPr>
            <w:tcW w:w="1560" w:type="dxa"/>
            <w:tcBorders>
              <w:top w:val="single" w:sz="6" w:space="0" w:color="A6A6A6" w:themeColor="background1" w:themeShade="A6"/>
              <w:left w:val="nil"/>
              <w:bottom w:val="single" w:sz="6" w:space="0" w:color="A6A6A6" w:themeColor="background1" w:themeShade="A6"/>
              <w:right w:val="nil"/>
            </w:tcBorders>
          </w:tcPr>
          <w:p w14:paraId="7864D32B" w14:textId="2AC11FE7" w:rsidR="00DF6D4C" w:rsidRPr="00AF656B" w:rsidRDefault="00830A9C" w:rsidP="005F1B0B">
            <w:pPr>
              <w:pStyle w:val="TableText"/>
              <w:ind w:left="170" w:right="113"/>
              <w:jc w:val="right"/>
              <w:rPr>
                <w:lang w:eastAsia="en-NZ"/>
              </w:rPr>
            </w:pPr>
            <w:r w:rsidRPr="00AF656B">
              <w:rPr>
                <w:lang w:eastAsia="en-NZ"/>
              </w:rPr>
              <w:t>553</w:t>
            </w:r>
          </w:p>
        </w:tc>
        <w:tc>
          <w:tcPr>
            <w:tcW w:w="1410" w:type="dxa"/>
            <w:tcBorders>
              <w:top w:val="single" w:sz="6" w:space="0" w:color="A6A6A6" w:themeColor="background1" w:themeShade="A6"/>
              <w:left w:val="nil"/>
              <w:bottom w:val="single" w:sz="6" w:space="0" w:color="A6A6A6" w:themeColor="background1" w:themeShade="A6"/>
              <w:right w:val="nil"/>
            </w:tcBorders>
          </w:tcPr>
          <w:p w14:paraId="4F060843" w14:textId="3CCAA0A7" w:rsidR="00DF6D4C" w:rsidRPr="00AF656B" w:rsidRDefault="56D5B20A" w:rsidP="005F1B0B">
            <w:pPr>
              <w:pStyle w:val="TableText"/>
              <w:ind w:left="170" w:right="113"/>
              <w:jc w:val="right"/>
              <w:rPr>
                <w:lang w:eastAsia="en-NZ"/>
              </w:rPr>
            </w:pPr>
            <w:r w:rsidRPr="00AF656B">
              <w:rPr>
                <w:lang w:eastAsia="en-NZ"/>
              </w:rPr>
              <w:t>47.51</w:t>
            </w:r>
          </w:p>
        </w:tc>
      </w:tr>
      <w:tr w:rsidR="00DF6D4C" w:rsidRPr="00AF656B" w14:paraId="31189F88" w14:textId="77777777" w:rsidTr="005F1B0B">
        <w:trPr>
          <w:trHeight w:val="300"/>
        </w:trPr>
        <w:tc>
          <w:tcPr>
            <w:tcW w:w="0" w:type="auto"/>
            <w:vMerge/>
            <w:tcBorders>
              <w:left w:val="nil"/>
            </w:tcBorders>
            <w:vAlign w:val="center"/>
            <w:hideMark/>
          </w:tcPr>
          <w:p w14:paraId="539B2772" w14:textId="77777777" w:rsidR="00DF6D4C" w:rsidRPr="00AF656B" w:rsidRDefault="00DF6D4C" w:rsidP="00DF6D4C">
            <w:pPr>
              <w:pStyle w:val="TableText"/>
              <w:ind w:left="57"/>
              <w:rPr>
                <w:rFonts w:ascii="Times New Roman" w:hAnsi="Times New Roman"/>
                <w:sz w:val="24"/>
                <w:szCs w:val="24"/>
                <w:lang w:eastAsia="en-NZ"/>
              </w:rPr>
            </w:pPr>
          </w:p>
        </w:tc>
        <w:tc>
          <w:tcPr>
            <w:tcW w:w="2685" w:type="dxa"/>
            <w:gridSpan w:val="2"/>
            <w:tcBorders>
              <w:top w:val="single" w:sz="6" w:space="0" w:color="A6A6A6" w:themeColor="background1" w:themeShade="A6"/>
              <w:left w:val="nil"/>
              <w:bottom w:val="single" w:sz="6" w:space="0" w:color="A6A6A6" w:themeColor="background1" w:themeShade="A6"/>
              <w:right w:val="nil"/>
            </w:tcBorders>
            <w:hideMark/>
          </w:tcPr>
          <w:p w14:paraId="024526B2" w14:textId="77777777" w:rsidR="00DF6D4C" w:rsidRPr="00AF656B" w:rsidRDefault="00DF6D4C" w:rsidP="00DF6D4C">
            <w:pPr>
              <w:pStyle w:val="TableText"/>
              <w:ind w:left="57"/>
              <w:rPr>
                <w:rFonts w:ascii="Times New Roman" w:hAnsi="Times New Roman"/>
                <w:sz w:val="24"/>
                <w:szCs w:val="24"/>
                <w:lang w:eastAsia="en-NZ"/>
              </w:rPr>
            </w:pPr>
            <w:r w:rsidRPr="00AF656B">
              <w:rPr>
                <w:lang w:eastAsia="en-NZ"/>
              </w:rPr>
              <w:t>Male/</w:t>
            </w:r>
            <w:proofErr w:type="spellStart"/>
            <w:r w:rsidRPr="00AF656B">
              <w:rPr>
                <w:lang w:eastAsia="en-NZ"/>
              </w:rPr>
              <w:t>tāne</w:t>
            </w:r>
            <w:proofErr w:type="spellEnd"/>
            <w:r w:rsidRPr="00AF656B">
              <w:rPr>
                <w:lang w:eastAsia="en-NZ"/>
              </w:rPr>
              <w:t> </w:t>
            </w:r>
          </w:p>
        </w:tc>
        <w:tc>
          <w:tcPr>
            <w:tcW w:w="1560" w:type="dxa"/>
            <w:tcBorders>
              <w:top w:val="single" w:sz="6" w:space="0" w:color="A6A6A6" w:themeColor="background1" w:themeShade="A6"/>
              <w:left w:val="nil"/>
              <w:bottom w:val="single" w:sz="6" w:space="0" w:color="A6A6A6" w:themeColor="background1" w:themeShade="A6"/>
              <w:right w:val="nil"/>
            </w:tcBorders>
          </w:tcPr>
          <w:p w14:paraId="31EA2BD1" w14:textId="0419B037" w:rsidR="00DF6D4C" w:rsidRPr="00AF656B" w:rsidRDefault="00830A9C" w:rsidP="005F1B0B">
            <w:pPr>
              <w:pStyle w:val="TableText"/>
              <w:ind w:left="170" w:right="113"/>
              <w:jc w:val="right"/>
              <w:rPr>
                <w:lang w:eastAsia="en-NZ"/>
              </w:rPr>
            </w:pPr>
            <w:r w:rsidRPr="00AF656B">
              <w:rPr>
                <w:lang w:eastAsia="en-NZ"/>
              </w:rPr>
              <w:t>611</w:t>
            </w:r>
          </w:p>
        </w:tc>
        <w:tc>
          <w:tcPr>
            <w:tcW w:w="1410" w:type="dxa"/>
            <w:tcBorders>
              <w:top w:val="single" w:sz="6" w:space="0" w:color="A6A6A6" w:themeColor="background1" w:themeShade="A6"/>
              <w:left w:val="nil"/>
              <w:bottom w:val="single" w:sz="6" w:space="0" w:color="A6A6A6" w:themeColor="background1" w:themeShade="A6"/>
              <w:right w:val="nil"/>
            </w:tcBorders>
          </w:tcPr>
          <w:p w14:paraId="7F9FD0C2" w14:textId="685C48DA" w:rsidR="00DF6D4C" w:rsidRPr="00AF656B" w:rsidRDefault="250F341C" w:rsidP="005F1B0B">
            <w:pPr>
              <w:pStyle w:val="TableText"/>
              <w:ind w:left="170" w:right="113"/>
              <w:jc w:val="right"/>
              <w:rPr>
                <w:lang w:eastAsia="en-NZ"/>
              </w:rPr>
            </w:pPr>
            <w:r w:rsidRPr="00AF656B">
              <w:rPr>
                <w:lang w:eastAsia="en-NZ"/>
              </w:rPr>
              <w:t>52.49</w:t>
            </w:r>
          </w:p>
        </w:tc>
      </w:tr>
      <w:tr w:rsidR="00DF6D4C" w:rsidRPr="00AF656B" w14:paraId="4EC03563" w14:textId="77777777" w:rsidTr="005F1B0B">
        <w:trPr>
          <w:trHeight w:val="300"/>
        </w:trPr>
        <w:tc>
          <w:tcPr>
            <w:tcW w:w="0" w:type="auto"/>
            <w:vMerge/>
            <w:tcBorders>
              <w:left w:val="nil"/>
              <w:bottom w:val="single" w:sz="6" w:space="0" w:color="A6A6A6" w:themeColor="background1" w:themeShade="A6"/>
            </w:tcBorders>
            <w:vAlign w:val="center"/>
            <w:hideMark/>
          </w:tcPr>
          <w:p w14:paraId="18AD0464" w14:textId="77777777" w:rsidR="00DF6D4C" w:rsidRPr="00AF656B" w:rsidRDefault="00DF6D4C" w:rsidP="00DF6D4C">
            <w:pPr>
              <w:pStyle w:val="TableText"/>
              <w:ind w:left="57"/>
              <w:rPr>
                <w:rFonts w:ascii="Times New Roman" w:hAnsi="Times New Roman"/>
                <w:sz w:val="24"/>
                <w:szCs w:val="24"/>
                <w:lang w:eastAsia="en-NZ"/>
              </w:rPr>
            </w:pPr>
          </w:p>
        </w:tc>
        <w:tc>
          <w:tcPr>
            <w:tcW w:w="2685" w:type="dxa"/>
            <w:gridSpan w:val="2"/>
            <w:tcBorders>
              <w:top w:val="single" w:sz="6" w:space="0" w:color="A6A6A6" w:themeColor="background1" w:themeShade="A6"/>
              <w:left w:val="nil"/>
              <w:bottom w:val="single" w:sz="6" w:space="0" w:color="A6A6A6" w:themeColor="background1" w:themeShade="A6"/>
              <w:right w:val="nil"/>
            </w:tcBorders>
            <w:hideMark/>
          </w:tcPr>
          <w:p w14:paraId="408E3DF4" w14:textId="77777777" w:rsidR="00DF6D4C" w:rsidRPr="00AF656B" w:rsidRDefault="00DF6D4C" w:rsidP="00DF6D4C">
            <w:pPr>
              <w:pStyle w:val="TableText"/>
              <w:ind w:left="57"/>
              <w:rPr>
                <w:rFonts w:ascii="Times New Roman" w:hAnsi="Times New Roman"/>
                <w:sz w:val="24"/>
                <w:szCs w:val="24"/>
                <w:lang w:eastAsia="en-NZ"/>
              </w:rPr>
            </w:pPr>
            <w:r w:rsidRPr="00AF656B">
              <w:rPr>
                <w:lang w:eastAsia="en-NZ"/>
              </w:rPr>
              <w:t>Gender diverse </w:t>
            </w:r>
          </w:p>
        </w:tc>
        <w:tc>
          <w:tcPr>
            <w:tcW w:w="1560" w:type="dxa"/>
            <w:tcBorders>
              <w:top w:val="single" w:sz="6" w:space="0" w:color="A6A6A6" w:themeColor="background1" w:themeShade="A6"/>
              <w:left w:val="nil"/>
              <w:bottom w:val="single" w:sz="6" w:space="0" w:color="A6A6A6" w:themeColor="background1" w:themeShade="A6"/>
              <w:right w:val="nil"/>
            </w:tcBorders>
          </w:tcPr>
          <w:p w14:paraId="2BEB9A60" w14:textId="0DD18936" w:rsidR="00DF6D4C" w:rsidRPr="00AF656B" w:rsidRDefault="00830A9C" w:rsidP="005F1B0B">
            <w:pPr>
              <w:pStyle w:val="TableText"/>
              <w:ind w:left="170" w:right="113"/>
              <w:jc w:val="right"/>
              <w:rPr>
                <w:lang w:eastAsia="en-NZ"/>
              </w:rPr>
            </w:pPr>
            <w:r w:rsidRPr="00AF656B">
              <w:rPr>
                <w:lang w:eastAsia="en-NZ"/>
              </w:rPr>
              <w:t>0</w:t>
            </w:r>
          </w:p>
        </w:tc>
        <w:tc>
          <w:tcPr>
            <w:tcW w:w="1410" w:type="dxa"/>
            <w:tcBorders>
              <w:top w:val="single" w:sz="6" w:space="0" w:color="A6A6A6" w:themeColor="background1" w:themeShade="A6"/>
              <w:left w:val="nil"/>
              <w:bottom w:val="single" w:sz="6" w:space="0" w:color="A6A6A6" w:themeColor="background1" w:themeShade="A6"/>
              <w:right w:val="nil"/>
            </w:tcBorders>
          </w:tcPr>
          <w:p w14:paraId="088E1B76" w14:textId="1ED76E37" w:rsidR="00DF6D4C" w:rsidRPr="00AF656B" w:rsidRDefault="00E42A89" w:rsidP="005F1B0B">
            <w:pPr>
              <w:pStyle w:val="TableText"/>
              <w:ind w:left="170" w:right="113"/>
              <w:jc w:val="right"/>
              <w:rPr>
                <w:lang w:eastAsia="en-NZ"/>
              </w:rPr>
            </w:pPr>
            <w:r>
              <w:rPr>
                <w:lang w:eastAsia="en-NZ"/>
              </w:rPr>
              <w:t>0</w:t>
            </w:r>
          </w:p>
        </w:tc>
      </w:tr>
      <w:tr w:rsidR="00262704" w:rsidRPr="00AF656B" w14:paraId="10E8606D" w14:textId="77777777" w:rsidTr="005F1B0B">
        <w:trPr>
          <w:trHeight w:val="300"/>
        </w:trPr>
        <w:tc>
          <w:tcPr>
            <w:tcW w:w="2400" w:type="dxa"/>
            <w:vMerge w:val="restart"/>
            <w:tcBorders>
              <w:top w:val="single" w:sz="6" w:space="0" w:color="A6A6A6" w:themeColor="background1" w:themeShade="A6"/>
              <w:left w:val="nil"/>
              <w:bottom w:val="single" w:sz="6" w:space="0" w:color="A6A6A6" w:themeColor="background1" w:themeShade="A6"/>
              <w:right w:val="nil"/>
            </w:tcBorders>
            <w:hideMark/>
          </w:tcPr>
          <w:p w14:paraId="3ECD07A8" w14:textId="77777777" w:rsidR="00DF6D4C" w:rsidRPr="00AF656B" w:rsidRDefault="00DF6D4C" w:rsidP="00DF6D4C">
            <w:pPr>
              <w:pStyle w:val="TableText"/>
              <w:ind w:left="57"/>
              <w:rPr>
                <w:rFonts w:ascii="Times New Roman" w:hAnsi="Times New Roman"/>
                <w:sz w:val="24"/>
                <w:szCs w:val="24"/>
                <w:lang w:eastAsia="en-NZ"/>
              </w:rPr>
            </w:pPr>
            <w:r w:rsidRPr="00AF656B">
              <w:rPr>
                <w:lang w:eastAsia="en-NZ"/>
              </w:rPr>
              <w:t>Age group </w:t>
            </w:r>
          </w:p>
        </w:tc>
        <w:tc>
          <w:tcPr>
            <w:tcW w:w="2685" w:type="dxa"/>
            <w:gridSpan w:val="2"/>
            <w:tcBorders>
              <w:top w:val="single" w:sz="6" w:space="0" w:color="A6A6A6" w:themeColor="background1" w:themeShade="A6"/>
              <w:left w:val="nil"/>
              <w:bottom w:val="single" w:sz="6" w:space="0" w:color="A6A6A6" w:themeColor="background1" w:themeShade="A6"/>
              <w:right w:val="nil"/>
            </w:tcBorders>
            <w:hideMark/>
          </w:tcPr>
          <w:p w14:paraId="5AAB9910" w14:textId="77777777" w:rsidR="00DF6D4C" w:rsidRPr="00AF656B" w:rsidRDefault="00DF6D4C" w:rsidP="00DF6D4C">
            <w:pPr>
              <w:pStyle w:val="TableText"/>
              <w:ind w:left="57"/>
              <w:rPr>
                <w:rFonts w:ascii="Times New Roman" w:hAnsi="Times New Roman"/>
                <w:sz w:val="24"/>
                <w:szCs w:val="24"/>
                <w:lang w:eastAsia="en-NZ"/>
              </w:rPr>
            </w:pPr>
            <w:r w:rsidRPr="00AF656B">
              <w:rPr>
                <w:lang w:eastAsia="en-NZ"/>
              </w:rPr>
              <w:t>18–44 years </w:t>
            </w:r>
          </w:p>
        </w:tc>
        <w:tc>
          <w:tcPr>
            <w:tcW w:w="1560" w:type="dxa"/>
            <w:tcBorders>
              <w:top w:val="single" w:sz="6" w:space="0" w:color="A6A6A6" w:themeColor="background1" w:themeShade="A6"/>
              <w:left w:val="nil"/>
              <w:bottom w:val="single" w:sz="6" w:space="0" w:color="A6A6A6" w:themeColor="background1" w:themeShade="A6"/>
              <w:right w:val="nil"/>
            </w:tcBorders>
          </w:tcPr>
          <w:p w14:paraId="041BDD46" w14:textId="4CA2E0C9" w:rsidR="00DF6D4C" w:rsidRPr="00AF656B" w:rsidRDefault="00830A9C" w:rsidP="005F1B0B">
            <w:pPr>
              <w:pStyle w:val="TableText"/>
              <w:ind w:left="170" w:right="113"/>
              <w:jc w:val="right"/>
              <w:rPr>
                <w:lang w:eastAsia="en-NZ"/>
              </w:rPr>
            </w:pPr>
            <w:r w:rsidRPr="00AF656B">
              <w:rPr>
                <w:lang w:eastAsia="en-NZ"/>
              </w:rPr>
              <w:t>26</w:t>
            </w:r>
          </w:p>
        </w:tc>
        <w:tc>
          <w:tcPr>
            <w:tcW w:w="1410" w:type="dxa"/>
            <w:tcBorders>
              <w:top w:val="single" w:sz="6" w:space="0" w:color="A6A6A6" w:themeColor="background1" w:themeShade="A6"/>
              <w:left w:val="nil"/>
              <w:bottom w:val="single" w:sz="6" w:space="0" w:color="A6A6A6" w:themeColor="background1" w:themeShade="A6"/>
              <w:right w:val="nil"/>
            </w:tcBorders>
          </w:tcPr>
          <w:p w14:paraId="3C046D78" w14:textId="37635348" w:rsidR="00DF6D4C" w:rsidRPr="00AF656B" w:rsidRDefault="12965BD1" w:rsidP="005F1B0B">
            <w:pPr>
              <w:pStyle w:val="TableText"/>
              <w:ind w:left="170" w:right="113"/>
              <w:jc w:val="right"/>
              <w:rPr>
                <w:lang w:eastAsia="en-NZ"/>
              </w:rPr>
            </w:pPr>
            <w:r w:rsidRPr="00AF656B">
              <w:rPr>
                <w:lang w:eastAsia="en-NZ"/>
              </w:rPr>
              <w:t>2.23</w:t>
            </w:r>
          </w:p>
        </w:tc>
      </w:tr>
      <w:tr w:rsidR="00DF6D4C" w:rsidRPr="00AF656B" w14:paraId="1162D644" w14:textId="77777777" w:rsidTr="005F1B0B">
        <w:trPr>
          <w:trHeight w:val="300"/>
        </w:trPr>
        <w:tc>
          <w:tcPr>
            <w:tcW w:w="0" w:type="auto"/>
            <w:vMerge/>
            <w:tcBorders>
              <w:left w:val="nil"/>
            </w:tcBorders>
            <w:vAlign w:val="center"/>
            <w:hideMark/>
          </w:tcPr>
          <w:p w14:paraId="3DC7E22E" w14:textId="77777777" w:rsidR="00DF6D4C" w:rsidRPr="00AF656B" w:rsidRDefault="00DF6D4C" w:rsidP="00DF6D4C">
            <w:pPr>
              <w:pStyle w:val="TableText"/>
              <w:ind w:left="57"/>
              <w:rPr>
                <w:rFonts w:ascii="Times New Roman" w:hAnsi="Times New Roman"/>
                <w:sz w:val="24"/>
                <w:szCs w:val="24"/>
                <w:lang w:eastAsia="en-NZ"/>
              </w:rPr>
            </w:pPr>
          </w:p>
        </w:tc>
        <w:tc>
          <w:tcPr>
            <w:tcW w:w="2685" w:type="dxa"/>
            <w:gridSpan w:val="2"/>
            <w:tcBorders>
              <w:top w:val="single" w:sz="6" w:space="0" w:color="A6A6A6" w:themeColor="background1" w:themeShade="A6"/>
              <w:left w:val="nil"/>
              <w:bottom w:val="single" w:sz="6" w:space="0" w:color="A6A6A6" w:themeColor="background1" w:themeShade="A6"/>
              <w:right w:val="nil"/>
            </w:tcBorders>
            <w:hideMark/>
          </w:tcPr>
          <w:p w14:paraId="383CDB79" w14:textId="77777777" w:rsidR="00DF6D4C" w:rsidRPr="00AF656B" w:rsidRDefault="00DF6D4C" w:rsidP="00DF6D4C">
            <w:pPr>
              <w:pStyle w:val="TableText"/>
              <w:ind w:left="57"/>
              <w:rPr>
                <w:rFonts w:ascii="Times New Roman" w:hAnsi="Times New Roman"/>
                <w:sz w:val="24"/>
                <w:szCs w:val="24"/>
                <w:lang w:eastAsia="en-NZ"/>
              </w:rPr>
            </w:pPr>
            <w:r w:rsidRPr="00AF656B">
              <w:rPr>
                <w:lang w:eastAsia="en-NZ"/>
              </w:rPr>
              <w:t>45–64 years </w:t>
            </w:r>
          </w:p>
        </w:tc>
        <w:tc>
          <w:tcPr>
            <w:tcW w:w="1560" w:type="dxa"/>
            <w:tcBorders>
              <w:top w:val="single" w:sz="6" w:space="0" w:color="A6A6A6" w:themeColor="background1" w:themeShade="A6"/>
              <w:left w:val="nil"/>
              <w:bottom w:val="single" w:sz="6" w:space="0" w:color="A6A6A6" w:themeColor="background1" w:themeShade="A6"/>
              <w:right w:val="nil"/>
            </w:tcBorders>
          </w:tcPr>
          <w:p w14:paraId="11BC85DB" w14:textId="219E6877" w:rsidR="00DF6D4C" w:rsidRPr="00AF656B" w:rsidRDefault="00C454A7" w:rsidP="005F1B0B">
            <w:pPr>
              <w:pStyle w:val="TableText"/>
              <w:ind w:left="170" w:right="113"/>
              <w:jc w:val="right"/>
              <w:rPr>
                <w:lang w:eastAsia="en-NZ"/>
              </w:rPr>
            </w:pPr>
            <w:r w:rsidRPr="00AF656B">
              <w:rPr>
                <w:lang w:eastAsia="en-NZ"/>
              </w:rPr>
              <w:t>203</w:t>
            </w:r>
          </w:p>
        </w:tc>
        <w:tc>
          <w:tcPr>
            <w:tcW w:w="1410" w:type="dxa"/>
            <w:tcBorders>
              <w:top w:val="single" w:sz="6" w:space="0" w:color="A6A6A6" w:themeColor="background1" w:themeShade="A6"/>
              <w:left w:val="nil"/>
              <w:bottom w:val="single" w:sz="6" w:space="0" w:color="A6A6A6" w:themeColor="background1" w:themeShade="A6"/>
              <w:right w:val="nil"/>
            </w:tcBorders>
          </w:tcPr>
          <w:p w14:paraId="0867CE52" w14:textId="6C26A521" w:rsidR="00DF6D4C" w:rsidRPr="00AF656B" w:rsidRDefault="41ECFA14" w:rsidP="005F1B0B">
            <w:pPr>
              <w:pStyle w:val="TableText"/>
              <w:ind w:left="170" w:right="113"/>
              <w:jc w:val="right"/>
              <w:rPr>
                <w:lang w:eastAsia="en-NZ"/>
              </w:rPr>
            </w:pPr>
            <w:r w:rsidRPr="00AF656B">
              <w:rPr>
                <w:lang w:eastAsia="en-NZ"/>
              </w:rPr>
              <w:t>17.44</w:t>
            </w:r>
          </w:p>
        </w:tc>
      </w:tr>
      <w:tr w:rsidR="00DF6D4C" w:rsidRPr="00AF656B" w14:paraId="3531EF37" w14:textId="77777777" w:rsidTr="005F1B0B">
        <w:trPr>
          <w:trHeight w:val="300"/>
        </w:trPr>
        <w:tc>
          <w:tcPr>
            <w:tcW w:w="0" w:type="auto"/>
            <w:vMerge/>
            <w:tcBorders>
              <w:left w:val="nil"/>
            </w:tcBorders>
            <w:vAlign w:val="center"/>
            <w:hideMark/>
          </w:tcPr>
          <w:p w14:paraId="17C2A434" w14:textId="77777777" w:rsidR="00DF6D4C" w:rsidRPr="00AF656B" w:rsidRDefault="00DF6D4C" w:rsidP="00DF6D4C">
            <w:pPr>
              <w:pStyle w:val="TableText"/>
              <w:ind w:left="57"/>
              <w:rPr>
                <w:rFonts w:ascii="Times New Roman" w:hAnsi="Times New Roman"/>
                <w:sz w:val="24"/>
                <w:szCs w:val="24"/>
                <w:lang w:eastAsia="en-NZ"/>
              </w:rPr>
            </w:pPr>
          </w:p>
        </w:tc>
        <w:tc>
          <w:tcPr>
            <w:tcW w:w="2685" w:type="dxa"/>
            <w:gridSpan w:val="2"/>
            <w:tcBorders>
              <w:top w:val="single" w:sz="6" w:space="0" w:color="A6A6A6" w:themeColor="background1" w:themeShade="A6"/>
              <w:left w:val="nil"/>
              <w:bottom w:val="single" w:sz="6" w:space="0" w:color="A6A6A6" w:themeColor="background1" w:themeShade="A6"/>
              <w:right w:val="nil"/>
            </w:tcBorders>
            <w:hideMark/>
          </w:tcPr>
          <w:p w14:paraId="21222CE5" w14:textId="77777777" w:rsidR="00DF6D4C" w:rsidRPr="00AF656B" w:rsidRDefault="00DF6D4C" w:rsidP="00DF6D4C">
            <w:pPr>
              <w:pStyle w:val="TableText"/>
              <w:ind w:left="57"/>
              <w:rPr>
                <w:rFonts w:ascii="Times New Roman" w:hAnsi="Times New Roman"/>
                <w:sz w:val="24"/>
                <w:szCs w:val="24"/>
                <w:lang w:eastAsia="en-NZ"/>
              </w:rPr>
            </w:pPr>
            <w:r w:rsidRPr="00AF656B">
              <w:rPr>
                <w:lang w:eastAsia="en-NZ"/>
              </w:rPr>
              <w:t>65–84 years </w:t>
            </w:r>
          </w:p>
        </w:tc>
        <w:tc>
          <w:tcPr>
            <w:tcW w:w="1560" w:type="dxa"/>
            <w:tcBorders>
              <w:top w:val="single" w:sz="6" w:space="0" w:color="A6A6A6" w:themeColor="background1" w:themeShade="A6"/>
              <w:left w:val="nil"/>
              <w:bottom w:val="single" w:sz="6" w:space="0" w:color="A6A6A6" w:themeColor="background1" w:themeShade="A6"/>
              <w:right w:val="nil"/>
            </w:tcBorders>
          </w:tcPr>
          <w:p w14:paraId="3721040A" w14:textId="5CBA1C3E" w:rsidR="00DF6D4C" w:rsidRPr="00AF656B" w:rsidRDefault="00C454A7" w:rsidP="005F1B0B">
            <w:pPr>
              <w:pStyle w:val="TableText"/>
              <w:ind w:left="170" w:right="113"/>
              <w:jc w:val="right"/>
              <w:rPr>
                <w:lang w:eastAsia="en-NZ"/>
              </w:rPr>
            </w:pPr>
            <w:r w:rsidRPr="00AF656B">
              <w:rPr>
                <w:lang w:eastAsia="en-NZ"/>
              </w:rPr>
              <w:t>713</w:t>
            </w:r>
          </w:p>
        </w:tc>
        <w:tc>
          <w:tcPr>
            <w:tcW w:w="1410" w:type="dxa"/>
            <w:tcBorders>
              <w:top w:val="single" w:sz="6" w:space="0" w:color="A6A6A6" w:themeColor="background1" w:themeShade="A6"/>
              <w:left w:val="nil"/>
              <w:bottom w:val="single" w:sz="6" w:space="0" w:color="A6A6A6" w:themeColor="background1" w:themeShade="A6"/>
              <w:right w:val="nil"/>
            </w:tcBorders>
          </w:tcPr>
          <w:p w14:paraId="08A4CBFA" w14:textId="2A86C841" w:rsidR="00DF6D4C" w:rsidRPr="00AF656B" w:rsidRDefault="375E0ED0" w:rsidP="005F1B0B">
            <w:pPr>
              <w:pStyle w:val="TableText"/>
              <w:ind w:left="170" w:right="113"/>
              <w:jc w:val="right"/>
              <w:rPr>
                <w:lang w:eastAsia="en-NZ"/>
              </w:rPr>
            </w:pPr>
            <w:r w:rsidRPr="00AF656B">
              <w:rPr>
                <w:lang w:eastAsia="en-NZ"/>
              </w:rPr>
              <w:t>61.25</w:t>
            </w:r>
          </w:p>
        </w:tc>
      </w:tr>
      <w:tr w:rsidR="00DF6D4C" w:rsidRPr="00AF656B" w14:paraId="791B65F8" w14:textId="77777777" w:rsidTr="005F1B0B">
        <w:trPr>
          <w:trHeight w:val="300"/>
        </w:trPr>
        <w:tc>
          <w:tcPr>
            <w:tcW w:w="0" w:type="auto"/>
            <w:vMerge/>
            <w:tcBorders>
              <w:left w:val="nil"/>
              <w:bottom w:val="single" w:sz="6" w:space="0" w:color="A6A6A6" w:themeColor="background1" w:themeShade="A6"/>
            </w:tcBorders>
            <w:vAlign w:val="center"/>
            <w:hideMark/>
          </w:tcPr>
          <w:p w14:paraId="57B2F010" w14:textId="77777777" w:rsidR="00DF6D4C" w:rsidRPr="00AF656B" w:rsidRDefault="00DF6D4C" w:rsidP="00DF6D4C">
            <w:pPr>
              <w:pStyle w:val="TableText"/>
              <w:ind w:left="57"/>
              <w:rPr>
                <w:rFonts w:ascii="Times New Roman" w:hAnsi="Times New Roman"/>
                <w:sz w:val="24"/>
                <w:szCs w:val="24"/>
                <w:lang w:eastAsia="en-NZ"/>
              </w:rPr>
            </w:pPr>
          </w:p>
        </w:tc>
        <w:tc>
          <w:tcPr>
            <w:tcW w:w="2685" w:type="dxa"/>
            <w:gridSpan w:val="2"/>
            <w:tcBorders>
              <w:top w:val="single" w:sz="6" w:space="0" w:color="A6A6A6" w:themeColor="background1" w:themeShade="A6"/>
              <w:left w:val="nil"/>
              <w:bottom w:val="single" w:sz="6" w:space="0" w:color="A6A6A6" w:themeColor="background1" w:themeShade="A6"/>
              <w:right w:val="nil"/>
            </w:tcBorders>
            <w:hideMark/>
          </w:tcPr>
          <w:p w14:paraId="06B082E9" w14:textId="77777777" w:rsidR="00DF6D4C" w:rsidRPr="00AF656B" w:rsidRDefault="00DF6D4C" w:rsidP="00DF6D4C">
            <w:pPr>
              <w:pStyle w:val="TableText"/>
              <w:ind w:left="57"/>
              <w:rPr>
                <w:rFonts w:ascii="Times New Roman" w:hAnsi="Times New Roman"/>
                <w:sz w:val="24"/>
                <w:szCs w:val="24"/>
                <w:lang w:eastAsia="en-NZ"/>
              </w:rPr>
            </w:pPr>
            <w:r w:rsidRPr="00AF656B">
              <w:rPr>
                <w:lang w:eastAsia="en-NZ"/>
              </w:rPr>
              <w:t>85+ years </w:t>
            </w:r>
          </w:p>
        </w:tc>
        <w:tc>
          <w:tcPr>
            <w:tcW w:w="1560" w:type="dxa"/>
            <w:tcBorders>
              <w:top w:val="single" w:sz="6" w:space="0" w:color="A6A6A6" w:themeColor="background1" w:themeShade="A6"/>
              <w:left w:val="nil"/>
              <w:bottom w:val="single" w:sz="6" w:space="0" w:color="A6A6A6" w:themeColor="background1" w:themeShade="A6"/>
              <w:right w:val="nil"/>
            </w:tcBorders>
          </w:tcPr>
          <w:p w14:paraId="3C9AEA1B" w14:textId="71CFA4FD" w:rsidR="00DF6D4C" w:rsidRPr="00AF656B" w:rsidRDefault="00C454A7" w:rsidP="005F1B0B">
            <w:pPr>
              <w:pStyle w:val="TableText"/>
              <w:ind w:left="170" w:right="113"/>
              <w:jc w:val="right"/>
              <w:rPr>
                <w:lang w:eastAsia="en-NZ"/>
              </w:rPr>
            </w:pPr>
            <w:r w:rsidRPr="00AF656B">
              <w:rPr>
                <w:lang w:eastAsia="en-NZ"/>
              </w:rPr>
              <w:t>222</w:t>
            </w:r>
          </w:p>
        </w:tc>
        <w:tc>
          <w:tcPr>
            <w:tcW w:w="1410" w:type="dxa"/>
            <w:tcBorders>
              <w:top w:val="single" w:sz="6" w:space="0" w:color="A6A6A6" w:themeColor="background1" w:themeShade="A6"/>
              <w:left w:val="nil"/>
              <w:bottom w:val="single" w:sz="6" w:space="0" w:color="A6A6A6" w:themeColor="background1" w:themeShade="A6"/>
              <w:right w:val="nil"/>
            </w:tcBorders>
          </w:tcPr>
          <w:p w14:paraId="1E13CFE6" w14:textId="7E786E29" w:rsidR="00DF6D4C" w:rsidRPr="00AF656B" w:rsidRDefault="62EEA68A" w:rsidP="005F1B0B">
            <w:pPr>
              <w:pStyle w:val="TableText"/>
              <w:ind w:left="170" w:right="113"/>
              <w:jc w:val="right"/>
              <w:rPr>
                <w:lang w:eastAsia="en-NZ"/>
              </w:rPr>
            </w:pPr>
            <w:r w:rsidRPr="00AF656B">
              <w:rPr>
                <w:lang w:eastAsia="en-NZ"/>
              </w:rPr>
              <w:t>19.07</w:t>
            </w:r>
          </w:p>
        </w:tc>
      </w:tr>
      <w:tr w:rsidR="00DF6D4C" w:rsidRPr="00AF656B" w14:paraId="0087967F" w14:textId="77777777" w:rsidTr="005F1B0B">
        <w:trPr>
          <w:trHeight w:val="300"/>
        </w:trPr>
        <w:tc>
          <w:tcPr>
            <w:tcW w:w="2400" w:type="dxa"/>
            <w:vMerge w:val="restart"/>
            <w:tcBorders>
              <w:top w:val="single" w:sz="6" w:space="0" w:color="A6A6A6" w:themeColor="background1" w:themeShade="A6"/>
              <w:left w:val="nil"/>
              <w:bottom w:val="single" w:sz="6" w:space="0" w:color="A6A6A6" w:themeColor="background1" w:themeShade="A6"/>
              <w:right w:val="nil"/>
            </w:tcBorders>
            <w:hideMark/>
          </w:tcPr>
          <w:p w14:paraId="2B23DCDF" w14:textId="77777777" w:rsidR="00DF6D4C" w:rsidRPr="00AF656B" w:rsidRDefault="00DF6D4C" w:rsidP="00DF6D4C">
            <w:pPr>
              <w:pStyle w:val="TableText"/>
              <w:ind w:left="57"/>
              <w:rPr>
                <w:rFonts w:ascii="Times New Roman" w:hAnsi="Times New Roman"/>
                <w:sz w:val="24"/>
                <w:szCs w:val="24"/>
                <w:lang w:eastAsia="en-NZ"/>
              </w:rPr>
            </w:pPr>
            <w:r w:rsidRPr="00AF656B">
              <w:rPr>
                <w:lang w:eastAsia="en-NZ"/>
              </w:rPr>
              <w:t>Diagnosis</w:t>
            </w:r>
            <w:r w:rsidRPr="00AF656B">
              <w:rPr>
                <w:sz w:val="14"/>
                <w:szCs w:val="14"/>
                <w:vertAlign w:val="superscript"/>
                <w:lang w:eastAsia="en-NZ"/>
              </w:rPr>
              <w:t>2</w:t>
            </w:r>
            <w:r w:rsidRPr="00AF656B">
              <w:rPr>
                <w:sz w:val="14"/>
                <w:szCs w:val="14"/>
                <w:lang w:eastAsia="en-NZ"/>
              </w:rPr>
              <w:t> </w:t>
            </w:r>
          </w:p>
        </w:tc>
        <w:tc>
          <w:tcPr>
            <w:tcW w:w="2685" w:type="dxa"/>
            <w:gridSpan w:val="2"/>
            <w:tcBorders>
              <w:top w:val="single" w:sz="6" w:space="0" w:color="A6A6A6" w:themeColor="background1" w:themeShade="A6"/>
              <w:left w:val="nil"/>
              <w:bottom w:val="single" w:sz="6" w:space="0" w:color="A6A6A6" w:themeColor="background1" w:themeShade="A6"/>
              <w:right w:val="nil"/>
            </w:tcBorders>
            <w:hideMark/>
          </w:tcPr>
          <w:p w14:paraId="19DD2191" w14:textId="77777777" w:rsidR="00DF6D4C" w:rsidRPr="00AF656B" w:rsidRDefault="00DF6D4C" w:rsidP="00DF6D4C">
            <w:pPr>
              <w:pStyle w:val="TableText"/>
              <w:ind w:left="57"/>
              <w:rPr>
                <w:rFonts w:ascii="Times New Roman" w:hAnsi="Times New Roman"/>
                <w:sz w:val="24"/>
                <w:szCs w:val="24"/>
                <w:lang w:eastAsia="en-NZ"/>
              </w:rPr>
            </w:pPr>
            <w:r w:rsidRPr="00AF656B">
              <w:rPr>
                <w:lang w:eastAsia="en-NZ"/>
              </w:rPr>
              <w:t>Cancer </w:t>
            </w:r>
          </w:p>
        </w:tc>
        <w:tc>
          <w:tcPr>
            <w:tcW w:w="1560" w:type="dxa"/>
            <w:tcBorders>
              <w:top w:val="single" w:sz="6" w:space="0" w:color="A6A6A6" w:themeColor="background1" w:themeShade="A6"/>
              <w:left w:val="nil"/>
              <w:bottom w:val="single" w:sz="6" w:space="0" w:color="A6A6A6" w:themeColor="background1" w:themeShade="A6"/>
              <w:right w:val="nil"/>
            </w:tcBorders>
          </w:tcPr>
          <w:p w14:paraId="535D8740" w14:textId="1E4A83CB" w:rsidR="00DF6D4C" w:rsidRPr="00AF656B" w:rsidRDefault="00C454A7" w:rsidP="005F1B0B">
            <w:pPr>
              <w:pStyle w:val="TableText"/>
              <w:ind w:left="170" w:right="113"/>
              <w:jc w:val="right"/>
              <w:rPr>
                <w:lang w:eastAsia="en-NZ"/>
              </w:rPr>
            </w:pPr>
            <w:r w:rsidRPr="00AF656B">
              <w:rPr>
                <w:lang w:eastAsia="en-NZ"/>
              </w:rPr>
              <w:t>739</w:t>
            </w:r>
          </w:p>
        </w:tc>
        <w:tc>
          <w:tcPr>
            <w:tcW w:w="1410" w:type="dxa"/>
            <w:tcBorders>
              <w:top w:val="single" w:sz="6" w:space="0" w:color="A6A6A6" w:themeColor="background1" w:themeShade="A6"/>
              <w:left w:val="nil"/>
              <w:bottom w:val="single" w:sz="6" w:space="0" w:color="A6A6A6" w:themeColor="background1" w:themeShade="A6"/>
              <w:right w:val="nil"/>
            </w:tcBorders>
          </w:tcPr>
          <w:p w14:paraId="461A7858" w14:textId="0CC0C479" w:rsidR="00DF6D4C" w:rsidRPr="00AF656B" w:rsidRDefault="09C7BDC0" w:rsidP="005F1B0B">
            <w:pPr>
              <w:pStyle w:val="TableText"/>
              <w:ind w:left="170" w:right="113"/>
              <w:jc w:val="right"/>
              <w:rPr>
                <w:lang w:eastAsia="en-NZ"/>
              </w:rPr>
            </w:pPr>
            <w:r w:rsidRPr="00AF656B">
              <w:rPr>
                <w:lang w:eastAsia="en-NZ"/>
              </w:rPr>
              <w:t>63.49</w:t>
            </w:r>
          </w:p>
        </w:tc>
      </w:tr>
      <w:tr w:rsidR="00DF6D4C" w:rsidRPr="00AF656B" w14:paraId="217D0215" w14:textId="77777777" w:rsidTr="005F1B0B">
        <w:trPr>
          <w:trHeight w:val="300"/>
        </w:trPr>
        <w:tc>
          <w:tcPr>
            <w:tcW w:w="0" w:type="auto"/>
            <w:vMerge/>
            <w:tcBorders>
              <w:left w:val="nil"/>
            </w:tcBorders>
            <w:vAlign w:val="center"/>
            <w:hideMark/>
          </w:tcPr>
          <w:p w14:paraId="6CA54766" w14:textId="77777777" w:rsidR="00DF6D4C" w:rsidRPr="00AF656B" w:rsidRDefault="00DF6D4C" w:rsidP="00DF6D4C">
            <w:pPr>
              <w:pStyle w:val="TableText"/>
              <w:ind w:left="57"/>
              <w:rPr>
                <w:rFonts w:ascii="Times New Roman" w:hAnsi="Times New Roman"/>
                <w:sz w:val="24"/>
                <w:szCs w:val="24"/>
                <w:lang w:eastAsia="en-NZ"/>
              </w:rPr>
            </w:pPr>
          </w:p>
        </w:tc>
        <w:tc>
          <w:tcPr>
            <w:tcW w:w="2685" w:type="dxa"/>
            <w:gridSpan w:val="2"/>
            <w:tcBorders>
              <w:top w:val="single" w:sz="6" w:space="0" w:color="A6A6A6" w:themeColor="background1" w:themeShade="A6"/>
              <w:left w:val="nil"/>
              <w:bottom w:val="single" w:sz="6" w:space="0" w:color="A6A6A6" w:themeColor="background1" w:themeShade="A6"/>
              <w:right w:val="nil"/>
            </w:tcBorders>
            <w:hideMark/>
          </w:tcPr>
          <w:p w14:paraId="1BB0F5EA" w14:textId="77777777" w:rsidR="00DF6D4C" w:rsidRPr="00AF656B" w:rsidRDefault="00DF6D4C" w:rsidP="00DF6D4C">
            <w:pPr>
              <w:pStyle w:val="TableText"/>
              <w:ind w:left="57"/>
              <w:rPr>
                <w:rFonts w:ascii="Times New Roman" w:hAnsi="Times New Roman"/>
                <w:sz w:val="24"/>
                <w:szCs w:val="24"/>
                <w:lang w:eastAsia="en-NZ"/>
              </w:rPr>
            </w:pPr>
            <w:r w:rsidRPr="00AF656B">
              <w:rPr>
                <w:lang w:eastAsia="en-NZ"/>
              </w:rPr>
              <w:t>Neurological condition </w:t>
            </w:r>
          </w:p>
        </w:tc>
        <w:tc>
          <w:tcPr>
            <w:tcW w:w="1560" w:type="dxa"/>
            <w:tcBorders>
              <w:top w:val="single" w:sz="6" w:space="0" w:color="A6A6A6" w:themeColor="background1" w:themeShade="A6"/>
              <w:left w:val="nil"/>
              <w:bottom w:val="single" w:sz="6" w:space="0" w:color="A6A6A6" w:themeColor="background1" w:themeShade="A6"/>
              <w:right w:val="nil"/>
            </w:tcBorders>
          </w:tcPr>
          <w:p w14:paraId="6ED6D990" w14:textId="6C0C9249" w:rsidR="00DF6D4C" w:rsidRPr="00AF656B" w:rsidRDefault="00C454A7" w:rsidP="005F1B0B">
            <w:pPr>
              <w:pStyle w:val="TableText"/>
              <w:ind w:left="170" w:right="113"/>
              <w:jc w:val="right"/>
              <w:rPr>
                <w:lang w:eastAsia="en-NZ"/>
              </w:rPr>
            </w:pPr>
            <w:r w:rsidRPr="00AF656B">
              <w:rPr>
                <w:lang w:eastAsia="en-NZ"/>
              </w:rPr>
              <w:t>97</w:t>
            </w:r>
          </w:p>
        </w:tc>
        <w:tc>
          <w:tcPr>
            <w:tcW w:w="1410" w:type="dxa"/>
            <w:tcBorders>
              <w:top w:val="single" w:sz="6" w:space="0" w:color="A6A6A6" w:themeColor="background1" w:themeShade="A6"/>
              <w:left w:val="nil"/>
              <w:bottom w:val="single" w:sz="6" w:space="0" w:color="A6A6A6" w:themeColor="background1" w:themeShade="A6"/>
              <w:right w:val="nil"/>
            </w:tcBorders>
          </w:tcPr>
          <w:p w14:paraId="2F2E0E64" w14:textId="4F40E8D7" w:rsidR="02491741" w:rsidRPr="00AF656B" w:rsidRDefault="02491741" w:rsidP="005F1B0B">
            <w:pPr>
              <w:pStyle w:val="TableText"/>
              <w:spacing w:line="259" w:lineRule="auto"/>
              <w:ind w:left="170" w:right="113"/>
              <w:jc w:val="right"/>
              <w:rPr>
                <w:lang w:eastAsia="en-NZ"/>
              </w:rPr>
            </w:pPr>
            <w:r w:rsidRPr="00AF656B">
              <w:rPr>
                <w:lang w:eastAsia="en-NZ"/>
              </w:rPr>
              <w:t>8.33</w:t>
            </w:r>
          </w:p>
        </w:tc>
      </w:tr>
      <w:tr w:rsidR="00DF6D4C" w:rsidRPr="00AF656B" w14:paraId="77B531C7" w14:textId="77777777" w:rsidTr="005F1B0B">
        <w:trPr>
          <w:trHeight w:val="300"/>
        </w:trPr>
        <w:tc>
          <w:tcPr>
            <w:tcW w:w="0" w:type="auto"/>
            <w:vMerge/>
            <w:tcBorders>
              <w:left w:val="nil"/>
            </w:tcBorders>
            <w:vAlign w:val="center"/>
            <w:hideMark/>
          </w:tcPr>
          <w:p w14:paraId="53C5AD1B" w14:textId="77777777" w:rsidR="00DF6D4C" w:rsidRPr="00AF656B" w:rsidRDefault="00DF6D4C" w:rsidP="00DF6D4C">
            <w:pPr>
              <w:pStyle w:val="TableText"/>
              <w:ind w:left="57"/>
              <w:rPr>
                <w:rFonts w:ascii="Times New Roman" w:hAnsi="Times New Roman"/>
                <w:sz w:val="24"/>
                <w:szCs w:val="24"/>
                <w:lang w:eastAsia="en-NZ"/>
              </w:rPr>
            </w:pPr>
          </w:p>
        </w:tc>
        <w:tc>
          <w:tcPr>
            <w:tcW w:w="2685" w:type="dxa"/>
            <w:gridSpan w:val="2"/>
            <w:tcBorders>
              <w:top w:val="single" w:sz="6" w:space="0" w:color="A6A6A6" w:themeColor="background1" w:themeShade="A6"/>
              <w:left w:val="nil"/>
              <w:bottom w:val="single" w:sz="6" w:space="0" w:color="A6A6A6" w:themeColor="background1" w:themeShade="A6"/>
              <w:right w:val="nil"/>
            </w:tcBorders>
            <w:hideMark/>
          </w:tcPr>
          <w:p w14:paraId="618EB79A" w14:textId="77777777" w:rsidR="00DF6D4C" w:rsidRPr="00AF656B" w:rsidRDefault="00DF6D4C" w:rsidP="00DF6D4C">
            <w:pPr>
              <w:pStyle w:val="TableText"/>
              <w:ind w:left="57"/>
              <w:rPr>
                <w:rFonts w:ascii="Times New Roman" w:hAnsi="Times New Roman"/>
                <w:sz w:val="24"/>
                <w:szCs w:val="24"/>
                <w:lang w:eastAsia="en-NZ"/>
              </w:rPr>
            </w:pPr>
            <w:r w:rsidRPr="00AF656B">
              <w:rPr>
                <w:lang w:eastAsia="en-NZ"/>
              </w:rPr>
              <w:t>Chronic respiratory disease </w:t>
            </w:r>
          </w:p>
        </w:tc>
        <w:tc>
          <w:tcPr>
            <w:tcW w:w="1560" w:type="dxa"/>
            <w:tcBorders>
              <w:top w:val="single" w:sz="6" w:space="0" w:color="A6A6A6" w:themeColor="background1" w:themeShade="A6"/>
              <w:left w:val="nil"/>
              <w:bottom w:val="single" w:sz="6" w:space="0" w:color="A6A6A6" w:themeColor="background1" w:themeShade="A6"/>
              <w:right w:val="nil"/>
            </w:tcBorders>
          </w:tcPr>
          <w:p w14:paraId="3B268422" w14:textId="0A5771A6" w:rsidR="00DF6D4C" w:rsidRPr="00AF656B" w:rsidRDefault="00C454A7" w:rsidP="005F1B0B">
            <w:pPr>
              <w:pStyle w:val="TableText"/>
              <w:ind w:left="170" w:right="113"/>
              <w:jc w:val="right"/>
              <w:rPr>
                <w:lang w:eastAsia="en-NZ"/>
              </w:rPr>
            </w:pPr>
            <w:r w:rsidRPr="00AF656B">
              <w:rPr>
                <w:lang w:eastAsia="en-NZ"/>
              </w:rPr>
              <w:t>93</w:t>
            </w:r>
          </w:p>
        </w:tc>
        <w:tc>
          <w:tcPr>
            <w:tcW w:w="1410" w:type="dxa"/>
            <w:tcBorders>
              <w:top w:val="single" w:sz="6" w:space="0" w:color="A6A6A6" w:themeColor="background1" w:themeShade="A6"/>
              <w:left w:val="nil"/>
              <w:bottom w:val="single" w:sz="6" w:space="0" w:color="A6A6A6" w:themeColor="background1" w:themeShade="A6"/>
              <w:right w:val="nil"/>
            </w:tcBorders>
          </w:tcPr>
          <w:p w14:paraId="6CE26EEA" w14:textId="72E94D08" w:rsidR="02491741" w:rsidRPr="00AF656B" w:rsidRDefault="02491741" w:rsidP="005F1B0B">
            <w:pPr>
              <w:pStyle w:val="TableText"/>
              <w:spacing w:line="259" w:lineRule="auto"/>
              <w:ind w:left="170" w:right="113"/>
              <w:jc w:val="right"/>
              <w:rPr>
                <w:lang w:eastAsia="en-NZ"/>
              </w:rPr>
            </w:pPr>
            <w:r w:rsidRPr="00AF656B">
              <w:rPr>
                <w:lang w:eastAsia="en-NZ"/>
              </w:rPr>
              <w:t>7.99</w:t>
            </w:r>
          </w:p>
        </w:tc>
      </w:tr>
      <w:tr w:rsidR="00DF6D4C" w:rsidRPr="00AF656B" w14:paraId="1AD913EC" w14:textId="77777777" w:rsidTr="005F1B0B">
        <w:trPr>
          <w:trHeight w:val="300"/>
        </w:trPr>
        <w:tc>
          <w:tcPr>
            <w:tcW w:w="0" w:type="auto"/>
            <w:vMerge/>
            <w:tcBorders>
              <w:left w:val="nil"/>
            </w:tcBorders>
            <w:vAlign w:val="center"/>
            <w:hideMark/>
          </w:tcPr>
          <w:p w14:paraId="7D43A988" w14:textId="77777777" w:rsidR="00DF6D4C" w:rsidRPr="00AF656B" w:rsidRDefault="00DF6D4C" w:rsidP="00DF6D4C">
            <w:pPr>
              <w:pStyle w:val="TableText"/>
              <w:ind w:left="57"/>
              <w:rPr>
                <w:rFonts w:ascii="Times New Roman" w:hAnsi="Times New Roman"/>
                <w:sz w:val="24"/>
                <w:szCs w:val="24"/>
                <w:lang w:eastAsia="en-NZ"/>
              </w:rPr>
            </w:pPr>
          </w:p>
        </w:tc>
        <w:tc>
          <w:tcPr>
            <w:tcW w:w="2685" w:type="dxa"/>
            <w:gridSpan w:val="2"/>
            <w:tcBorders>
              <w:top w:val="single" w:sz="6" w:space="0" w:color="A6A6A6" w:themeColor="background1" w:themeShade="A6"/>
              <w:left w:val="nil"/>
              <w:bottom w:val="single" w:sz="6" w:space="0" w:color="A6A6A6" w:themeColor="background1" w:themeShade="A6"/>
              <w:right w:val="nil"/>
            </w:tcBorders>
            <w:hideMark/>
          </w:tcPr>
          <w:p w14:paraId="27CBCB8E" w14:textId="77777777" w:rsidR="00DF6D4C" w:rsidRPr="00AF656B" w:rsidRDefault="00DF6D4C" w:rsidP="00DF6D4C">
            <w:pPr>
              <w:pStyle w:val="TableText"/>
              <w:ind w:left="57"/>
              <w:rPr>
                <w:rFonts w:ascii="Times New Roman" w:hAnsi="Times New Roman"/>
                <w:sz w:val="24"/>
                <w:szCs w:val="24"/>
                <w:lang w:eastAsia="en-NZ"/>
              </w:rPr>
            </w:pPr>
            <w:r w:rsidRPr="00AF656B">
              <w:rPr>
                <w:lang w:eastAsia="en-NZ"/>
              </w:rPr>
              <w:t>Cardiovascular condition </w:t>
            </w:r>
          </w:p>
        </w:tc>
        <w:tc>
          <w:tcPr>
            <w:tcW w:w="1560" w:type="dxa"/>
            <w:tcBorders>
              <w:top w:val="single" w:sz="6" w:space="0" w:color="A6A6A6" w:themeColor="background1" w:themeShade="A6"/>
              <w:left w:val="nil"/>
              <w:bottom w:val="single" w:sz="6" w:space="0" w:color="A6A6A6" w:themeColor="background1" w:themeShade="A6"/>
              <w:right w:val="nil"/>
            </w:tcBorders>
          </w:tcPr>
          <w:p w14:paraId="504CD7E2" w14:textId="09C5F2AA" w:rsidR="00DF6D4C" w:rsidRPr="00AF656B" w:rsidRDefault="00C454A7" w:rsidP="005F1B0B">
            <w:pPr>
              <w:pStyle w:val="TableText"/>
              <w:ind w:left="170" w:right="113"/>
              <w:jc w:val="right"/>
              <w:rPr>
                <w:lang w:eastAsia="en-NZ"/>
              </w:rPr>
            </w:pPr>
            <w:r w:rsidRPr="00AF656B">
              <w:rPr>
                <w:lang w:eastAsia="en-NZ"/>
              </w:rPr>
              <w:t>56</w:t>
            </w:r>
          </w:p>
        </w:tc>
        <w:tc>
          <w:tcPr>
            <w:tcW w:w="1410" w:type="dxa"/>
            <w:tcBorders>
              <w:top w:val="single" w:sz="6" w:space="0" w:color="A6A6A6" w:themeColor="background1" w:themeShade="A6"/>
              <w:left w:val="nil"/>
              <w:bottom w:val="single" w:sz="6" w:space="0" w:color="A6A6A6" w:themeColor="background1" w:themeShade="A6"/>
              <w:right w:val="nil"/>
            </w:tcBorders>
          </w:tcPr>
          <w:p w14:paraId="1ADAB72A" w14:textId="719B50AE" w:rsidR="02491741" w:rsidRPr="00AF656B" w:rsidRDefault="02491741" w:rsidP="005F1B0B">
            <w:pPr>
              <w:pStyle w:val="TableText"/>
              <w:spacing w:line="259" w:lineRule="auto"/>
              <w:ind w:left="170" w:right="113"/>
              <w:jc w:val="right"/>
              <w:rPr>
                <w:lang w:eastAsia="en-NZ"/>
              </w:rPr>
            </w:pPr>
            <w:r w:rsidRPr="00AF656B">
              <w:rPr>
                <w:lang w:eastAsia="en-NZ"/>
              </w:rPr>
              <w:t>4.81</w:t>
            </w:r>
          </w:p>
        </w:tc>
      </w:tr>
      <w:tr w:rsidR="00DF6D4C" w:rsidRPr="00AF656B" w14:paraId="6805381D" w14:textId="77777777" w:rsidTr="005F1B0B">
        <w:trPr>
          <w:trHeight w:val="300"/>
        </w:trPr>
        <w:tc>
          <w:tcPr>
            <w:tcW w:w="0" w:type="auto"/>
            <w:vMerge/>
            <w:tcBorders>
              <w:left w:val="nil"/>
            </w:tcBorders>
            <w:vAlign w:val="center"/>
            <w:hideMark/>
          </w:tcPr>
          <w:p w14:paraId="14DE0E9E" w14:textId="77777777" w:rsidR="00DF6D4C" w:rsidRPr="00AF656B" w:rsidRDefault="00DF6D4C" w:rsidP="00DF6D4C">
            <w:pPr>
              <w:pStyle w:val="TableText"/>
              <w:ind w:left="57"/>
              <w:rPr>
                <w:rFonts w:ascii="Times New Roman" w:hAnsi="Times New Roman"/>
                <w:sz w:val="24"/>
                <w:szCs w:val="24"/>
                <w:lang w:eastAsia="en-NZ"/>
              </w:rPr>
            </w:pPr>
          </w:p>
        </w:tc>
        <w:tc>
          <w:tcPr>
            <w:tcW w:w="2685" w:type="dxa"/>
            <w:gridSpan w:val="2"/>
            <w:tcBorders>
              <w:top w:val="single" w:sz="6" w:space="0" w:color="A6A6A6" w:themeColor="background1" w:themeShade="A6"/>
              <w:left w:val="nil"/>
              <w:bottom w:val="single" w:sz="6" w:space="0" w:color="A6A6A6" w:themeColor="background1" w:themeShade="A6"/>
              <w:right w:val="nil"/>
            </w:tcBorders>
            <w:hideMark/>
          </w:tcPr>
          <w:p w14:paraId="25E37A9F" w14:textId="77777777" w:rsidR="00DF6D4C" w:rsidRPr="00AF656B" w:rsidRDefault="00DF6D4C" w:rsidP="00DF6D4C">
            <w:pPr>
              <w:pStyle w:val="TableText"/>
              <w:ind w:left="57"/>
              <w:rPr>
                <w:rFonts w:ascii="Times New Roman" w:hAnsi="Times New Roman"/>
                <w:sz w:val="24"/>
                <w:szCs w:val="24"/>
                <w:lang w:eastAsia="en-NZ"/>
              </w:rPr>
            </w:pPr>
            <w:r w:rsidRPr="00AF656B">
              <w:rPr>
                <w:lang w:eastAsia="en-NZ"/>
              </w:rPr>
              <w:t>Other organ failure </w:t>
            </w:r>
          </w:p>
        </w:tc>
        <w:tc>
          <w:tcPr>
            <w:tcW w:w="1560" w:type="dxa"/>
            <w:tcBorders>
              <w:top w:val="single" w:sz="6" w:space="0" w:color="A6A6A6" w:themeColor="background1" w:themeShade="A6"/>
              <w:left w:val="nil"/>
              <w:bottom w:val="single" w:sz="6" w:space="0" w:color="A6A6A6" w:themeColor="background1" w:themeShade="A6"/>
              <w:right w:val="nil"/>
            </w:tcBorders>
          </w:tcPr>
          <w:p w14:paraId="22E3FA95" w14:textId="51A4CC76" w:rsidR="00DF6D4C" w:rsidRPr="00AF656B" w:rsidRDefault="00CC241C" w:rsidP="005F1B0B">
            <w:pPr>
              <w:pStyle w:val="TableText"/>
              <w:ind w:left="170" w:right="113"/>
              <w:jc w:val="right"/>
              <w:rPr>
                <w:lang w:eastAsia="en-NZ"/>
              </w:rPr>
            </w:pPr>
            <w:r w:rsidRPr="00AF656B">
              <w:rPr>
                <w:lang w:eastAsia="en-NZ"/>
              </w:rPr>
              <w:t>31</w:t>
            </w:r>
          </w:p>
        </w:tc>
        <w:tc>
          <w:tcPr>
            <w:tcW w:w="1410" w:type="dxa"/>
            <w:tcBorders>
              <w:top w:val="single" w:sz="6" w:space="0" w:color="A6A6A6" w:themeColor="background1" w:themeShade="A6"/>
              <w:left w:val="nil"/>
              <w:bottom w:val="single" w:sz="6" w:space="0" w:color="A6A6A6" w:themeColor="background1" w:themeShade="A6"/>
              <w:right w:val="nil"/>
            </w:tcBorders>
          </w:tcPr>
          <w:p w14:paraId="016E265E" w14:textId="435AEF7E" w:rsidR="02491741" w:rsidRPr="00AF656B" w:rsidRDefault="02491741" w:rsidP="005F1B0B">
            <w:pPr>
              <w:pStyle w:val="TableText"/>
              <w:spacing w:line="259" w:lineRule="auto"/>
              <w:ind w:left="170" w:right="113"/>
              <w:jc w:val="right"/>
              <w:rPr>
                <w:lang w:eastAsia="en-NZ"/>
              </w:rPr>
            </w:pPr>
            <w:r w:rsidRPr="00AF656B">
              <w:rPr>
                <w:lang w:eastAsia="en-NZ"/>
              </w:rPr>
              <w:t>2.66</w:t>
            </w:r>
          </w:p>
        </w:tc>
      </w:tr>
      <w:tr w:rsidR="00DF6D4C" w:rsidRPr="00AF656B" w14:paraId="646A6957" w14:textId="77777777" w:rsidTr="005F1B0B">
        <w:trPr>
          <w:trHeight w:val="300"/>
        </w:trPr>
        <w:tc>
          <w:tcPr>
            <w:tcW w:w="0" w:type="auto"/>
            <w:vMerge/>
            <w:tcBorders>
              <w:left w:val="nil"/>
            </w:tcBorders>
            <w:vAlign w:val="center"/>
            <w:hideMark/>
          </w:tcPr>
          <w:p w14:paraId="2B468C06" w14:textId="77777777" w:rsidR="00DF6D4C" w:rsidRPr="00AF656B" w:rsidRDefault="00DF6D4C" w:rsidP="00DF6D4C">
            <w:pPr>
              <w:pStyle w:val="TableText"/>
              <w:ind w:left="57"/>
              <w:rPr>
                <w:rFonts w:ascii="Times New Roman" w:hAnsi="Times New Roman"/>
                <w:sz w:val="24"/>
                <w:szCs w:val="24"/>
                <w:lang w:eastAsia="en-NZ"/>
              </w:rPr>
            </w:pPr>
          </w:p>
        </w:tc>
        <w:tc>
          <w:tcPr>
            <w:tcW w:w="2685" w:type="dxa"/>
            <w:gridSpan w:val="2"/>
            <w:tcBorders>
              <w:top w:val="single" w:sz="6" w:space="0" w:color="A6A6A6" w:themeColor="background1" w:themeShade="A6"/>
              <w:left w:val="nil"/>
              <w:bottom w:val="single" w:sz="6" w:space="0" w:color="A6A6A6" w:themeColor="background1" w:themeShade="A6"/>
              <w:right w:val="nil"/>
            </w:tcBorders>
            <w:hideMark/>
          </w:tcPr>
          <w:p w14:paraId="4C7693B4" w14:textId="77777777" w:rsidR="00DF6D4C" w:rsidRPr="00AF656B" w:rsidRDefault="00DF6D4C" w:rsidP="00DF6D4C">
            <w:pPr>
              <w:pStyle w:val="TableText"/>
              <w:ind w:left="57"/>
              <w:rPr>
                <w:rFonts w:ascii="Times New Roman" w:hAnsi="Times New Roman"/>
                <w:sz w:val="24"/>
                <w:szCs w:val="24"/>
                <w:lang w:eastAsia="en-NZ"/>
              </w:rPr>
            </w:pPr>
            <w:r w:rsidRPr="00AF656B">
              <w:rPr>
                <w:lang w:eastAsia="en-NZ"/>
              </w:rPr>
              <w:t>Multiple co-morbidities </w:t>
            </w:r>
          </w:p>
        </w:tc>
        <w:tc>
          <w:tcPr>
            <w:tcW w:w="1560" w:type="dxa"/>
            <w:tcBorders>
              <w:top w:val="single" w:sz="6" w:space="0" w:color="A6A6A6" w:themeColor="background1" w:themeShade="A6"/>
              <w:left w:val="nil"/>
              <w:bottom w:val="single" w:sz="6" w:space="0" w:color="A6A6A6" w:themeColor="background1" w:themeShade="A6"/>
              <w:right w:val="nil"/>
            </w:tcBorders>
          </w:tcPr>
          <w:p w14:paraId="7C0D2BD7" w14:textId="78526FB2" w:rsidR="00DF6D4C" w:rsidRPr="00AF656B" w:rsidRDefault="00CC241C" w:rsidP="005F1B0B">
            <w:pPr>
              <w:pStyle w:val="TableText"/>
              <w:ind w:left="170" w:right="113"/>
              <w:jc w:val="right"/>
              <w:rPr>
                <w:lang w:eastAsia="en-NZ"/>
              </w:rPr>
            </w:pPr>
            <w:r w:rsidRPr="00AF656B">
              <w:rPr>
                <w:lang w:eastAsia="en-NZ"/>
              </w:rPr>
              <w:t>71</w:t>
            </w:r>
          </w:p>
        </w:tc>
        <w:tc>
          <w:tcPr>
            <w:tcW w:w="1410" w:type="dxa"/>
            <w:tcBorders>
              <w:top w:val="single" w:sz="6" w:space="0" w:color="A6A6A6" w:themeColor="background1" w:themeShade="A6"/>
              <w:left w:val="nil"/>
              <w:bottom w:val="single" w:sz="6" w:space="0" w:color="A6A6A6" w:themeColor="background1" w:themeShade="A6"/>
              <w:right w:val="nil"/>
            </w:tcBorders>
          </w:tcPr>
          <w:p w14:paraId="1061C58E" w14:textId="33C560EC" w:rsidR="02491741" w:rsidRPr="00AF656B" w:rsidRDefault="02491741" w:rsidP="005F1B0B">
            <w:pPr>
              <w:pStyle w:val="TableText"/>
              <w:spacing w:line="259" w:lineRule="auto"/>
              <w:ind w:left="170" w:right="113"/>
              <w:jc w:val="right"/>
              <w:rPr>
                <w:lang w:eastAsia="en-NZ"/>
              </w:rPr>
            </w:pPr>
            <w:r w:rsidRPr="00AF656B">
              <w:rPr>
                <w:lang w:eastAsia="en-NZ"/>
              </w:rPr>
              <w:t>6.10</w:t>
            </w:r>
          </w:p>
        </w:tc>
      </w:tr>
      <w:tr w:rsidR="00DF6D4C" w:rsidRPr="00AF656B" w14:paraId="7188FDD2" w14:textId="77777777" w:rsidTr="005F1B0B">
        <w:trPr>
          <w:trHeight w:val="300"/>
        </w:trPr>
        <w:tc>
          <w:tcPr>
            <w:tcW w:w="0" w:type="auto"/>
            <w:vMerge/>
            <w:tcBorders>
              <w:left w:val="nil"/>
              <w:bottom w:val="single" w:sz="6" w:space="0" w:color="A6A6A6" w:themeColor="background1" w:themeShade="A6"/>
            </w:tcBorders>
            <w:vAlign w:val="center"/>
            <w:hideMark/>
          </w:tcPr>
          <w:p w14:paraId="61580F90" w14:textId="77777777" w:rsidR="00DF6D4C" w:rsidRPr="00AF656B" w:rsidRDefault="00DF6D4C" w:rsidP="00DF6D4C">
            <w:pPr>
              <w:pStyle w:val="TableText"/>
              <w:ind w:left="57"/>
              <w:rPr>
                <w:rFonts w:ascii="Times New Roman" w:hAnsi="Times New Roman"/>
                <w:sz w:val="24"/>
                <w:szCs w:val="24"/>
                <w:lang w:eastAsia="en-NZ"/>
              </w:rPr>
            </w:pPr>
          </w:p>
        </w:tc>
        <w:tc>
          <w:tcPr>
            <w:tcW w:w="2685" w:type="dxa"/>
            <w:gridSpan w:val="2"/>
            <w:tcBorders>
              <w:top w:val="single" w:sz="6" w:space="0" w:color="A6A6A6" w:themeColor="background1" w:themeShade="A6"/>
              <w:left w:val="nil"/>
              <w:bottom w:val="single" w:sz="6" w:space="0" w:color="A6A6A6" w:themeColor="background1" w:themeShade="A6"/>
              <w:right w:val="nil"/>
            </w:tcBorders>
            <w:hideMark/>
          </w:tcPr>
          <w:p w14:paraId="0A59E2CE" w14:textId="77777777" w:rsidR="00DF6D4C" w:rsidRPr="00AF656B" w:rsidRDefault="00DF6D4C" w:rsidP="00DF6D4C">
            <w:pPr>
              <w:pStyle w:val="TableText"/>
              <w:ind w:left="57"/>
              <w:rPr>
                <w:rFonts w:ascii="Times New Roman" w:hAnsi="Times New Roman"/>
                <w:sz w:val="24"/>
                <w:szCs w:val="24"/>
                <w:lang w:eastAsia="en-NZ"/>
              </w:rPr>
            </w:pPr>
            <w:r w:rsidRPr="00AF656B">
              <w:rPr>
                <w:lang w:eastAsia="en-NZ"/>
              </w:rPr>
              <w:t>Not known</w:t>
            </w:r>
            <w:r w:rsidRPr="00AF656B">
              <w:rPr>
                <w:sz w:val="14"/>
                <w:szCs w:val="14"/>
                <w:vertAlign w:val="superscript"/>
                <w:lang w:eastAsia="en-NZ"/>
              </w:rPr>
              <w:t>4</w:t>
            </w:r>
            <w:r w:rsidRPr="00AF656B">
              <w:rPr>
                <w:sz w:val="14"/>
                <w:szCs w:val="14"/>
                <w:lang w:eastAsia="en-NZ"/>
              </w:rPr>
              <w:t> </w:t>
            </w:r>
          </w:p>
        </w:tc>
        <w:tc>
          <w:tcPr>
            <w:tcW w:w="1560" w:type="dxa"/>
            <w:tcBorders>
              <w:top w:val="single" w:sz="6" w:space="0" w:color="A6A6A6" w:themeColor="background1" w:themeShade="A6"/>
              <w:left w:val="nil"/>
              <w:bottom w:val="single" w:sz="6" w:space="0" w:color="A6A6A6" w:themeColor="background1" w:themeShade="A6"/>
              <w:right w:val="nil"/>
            </w:tcBorders>
          </w:tcPr>
          <w:p w14:paraId="355EA3FF" w14:textId="1353CF55" w:rsidR="00DF6D4C" w:rsidRPr="00AF656B" w:rsidRDefault="00CC241C" w:rsidP="005F1B0B">
            <w:pPr>
              <w:pStyle w:val="TableText"/>
              <w:ind w:left="170" w:right="113"/>
              <w:jc w:val="right"/>
              <w:rPr>
                <w:lang w:eastAsia="en-NZ"/>
              </w:rPr>
            </w:pPr>
            <w:r w:rsidRPr="00AF656B">
              <w:rPr>
                <w:lang w:eastAsia="en-NZ"/>
              </w:rPr>
              <w:t>135</w:t>
            </w:r>
          </w:p>
        </w:tc>
        <w:tc>
          <w:tcPr>
            <w:tcW w:w="1410" w:type="dxa"/>
            <w:tcBorders>
              <w:top w:val="single" w:sz="6" w:space="0" w:color="A6A6A6" w:themeColor="background1" w:themeShade="A6"/>
              <w:left w:val="nil"/>
              <w:bottom w:val="single" w:sz="6" w:space="0" w:color="A6A6A6" w:themeColor="background1" w:themeShade="A6"/>
              <w:right w:val="nil"/>
            </w:tcBorders>
          </w:tcPr>
          <w:p w14:paraId="1B89FE59" w14:textId="6844C415" w:rsidR="02491741" w:rsidRPr="00AF656B" w:rsidRDefault="02491741" w:rsidP="005F1B0B">
            <w:pPr>
              <w:pStyle w:val="TableText"/>
              <w:spacing w:line="259" w:lineRule="auto"/>
              <w:ind w:left="170" w:right="113"/>
              <w:jc w:val="right"/>
              <w:rPr>
                <w:lang w:eastAsia="en-NZ"/>
              </w:rPr>
            </w:pPr>
            <w:r w:rsidRPr="00AF656B">
              <w:rPr>
                <w:lang w:eastAsia="en-NZ"/>
              </w:rPr>
              <w:t xml:space="preserve">11.60 </w:t>
            </w:r>
          </w:p>
        </w:tc>
      </w:tr>
      <w:tr w:rsidR="00DF6D4C" w:rsidRPr="00AF656B" w14:paraId="616155B4" w14:textId="77777777" w:rsidTr="005F1B0B">
        <w:trPr>
          <w:trHeight w:val="300"/>
        </w:trPr>
        <w:tc>
          <w:tcPr>
            <w:tcW w:w="2400" w:type="dxa"/>
            <w:vMerge w:val="restart"/>
            <w:tcBorders>
              <w:top w:val="single" w:sz="6" w:space="0" w:color="A6A6A6" w:themeColor="background1" w:themeShade="A6"/>
              <w:left w:val="nil"/>
              <w:bottom w:val="single" w:sz="6" w:space="0" w:color="A6A6A6" w:themeColor="background1" w:themeShade="A6"/>
              <w:right w:val="nil"/>
            </w:tcBorders>
            <w:hideMark/>
          </w:tcPr>
          <w:p w14:paraId="2F7E52A8" w14:textId="5EE79208" w:rsidR="00DF6D4C" w:rsidRPr="00AF656B" w:rsidRDefault="00DF6D4C" w:rsidP="00DF6D4C">
            <w:pPr>
              <w:pStyle w:val="TableText"/>
              <w:ind w:left="57"/>
              <w:rPr>
                <w:rFonts w:ascii="Times New Roman" w:hAnsi="Times New Roman"/>
                <w:sz w:val="24"/>
                <w:szCs w:val="24"/>
                <w:lang w:eastAsia="en-NZ"/>
              </w:rPr>
            </w:pPr>
            <w:r w:rsidRPr="00AF656B">
              <w:rPr>
                <w:lang w:eastAsia="en-NZ"/>
              </w:rPr>
              <w:t>Receiving palliative care at time of application? </w:t>
            </w:r>
          </w:p>
        </w:tc>
        <w:tc>
          <w:tcPr>
            <w:tcW w:w="2685" w:type="dxa"/>
            <w:gridSpan w:val="2"/>
            <w:tcBorders>
              <w:top w:val="single" w:sz="6" w:space="0" w:color="A6A6A6" w:themeColor="background1" w:themeShade="A6"/>
              <w:left w:val="nil"/>
              <w:bottom w:val="single" w:sz="6" w:space="0" w:color="A6A6A6" w:themeColor="background1" w:themeShade="A6"/>
              <w:right w:val="nil"/>
            </w:tcBorders>
            <w:hideMark/>
          </w:tcPr>
          <w:p w14:paraId="1C35CA21" w14:textId="77777777" w:rsidR="00DF6D4C" w:rsidRPr="00AF656B" w:rsidRDefault="00DF6D4C" w:rsidP="00DF6D4C">
            <w:pPr>
              <w:pStyle w:val="TableText"/>
              <w:ind w:left="57"/>
              <w:rPr>
                <w:rFonts w:ascii="Times New Roman" w:hAnsi="Times New Roman"/>
                <w:sz w:val="24"/>
                <w:szCs w:val="24"/>
                <w:lang w:eastAsia="en-NZ"/>
              </w:rPr>
            </w:pPr>
            <w:r w:rsidRPr="00AF656B">
              <w:rPr>
                <w:lang w:eastAsia="en-NZ"/>
              </w:rPr>
              <w:t>Yes </w:t>
            </w:r>
          </w:p>
        </w:tc>
        <w:tc>
          <w:tcPr>
            <w:tcW w:w="1560" w:type="dxa"/>
            <w:tcBorders>
              <w:top w:val="single" w:sz="6" w:space="0" w:color="A6A6A6" w:themeColor="background1" w:themeShade="A6"/>
              <w:left w:val="nil"/>
              <w:bottom w:val="single" w:sz="6" w:space="0" w:color="A6A6A6" w:themeColor="background1" w:themeShade="A6"/>
              <w:right w:val="nil"/>
            </w:tcBorders>
          </w:tcPr>
          <w:p w14:paraId="56981852" w14:textId="3B081E15" w:rsidR="00DF6D4C" w:rsidRPr="00AF656B" w:rsidRDefault="00FC5289" w:rsidP="005F1B0B">
            <w:pPr>
              <w:pStyle w:val="TableText"/>
              <w:ind w:left="170" w:right="113"/>
              <w:jc w:val="right"/>
              <w:rPr>
                <w:lang w:eastAsia="en-NZ"/>
              </w:rPr>
            </w:pPr>
            <w:r w:rsidRPr="00AF656B">
              <w:rPr>
                <w:lang w:eastAsia="en-NZ"/>
              </w:rPr>
              <w:t>926</w:t>
            </w:r>
          </w:p>
        </w:tc>
        <w:tc>
          <w:tcPr>
            <w:tcW w:w="1410" w:type="dxa"/>
            <w:tcBorders>
              <w:top w:val="single" w:sz="6" w:space="0" w:color="A6A6A6" w:themeColor="background1" w:themeShade="A6"/>
              <w:left w:val="nil"/>
              <w:bottom w:val="single" w:sz="6" w:space="0" w:color="A6A6A6" w:themeColor="background1" w:themeShade="A6"/>
              <w:right w:val="nil"/>
            </w:tcBorders>
          </w:tcPr>
          <w:p w14:paraId="23E9F4CE" w14:textId="0A95D93F" w:rsidR="00DF6D4C" w:rsidRPr="00AF656B" w:rsidRDefault="6E835FCC" w:rsidP="005F1B0B">
            <w:pPr>
              <w:pStyle w:val="TableText"/>
              <w:ind w:left="170" w:right="113"/>
              <w:jc w:val="right"/>
              <w:rPr>
                <w:lang w:eastAsia="en-NZ"/>
              </w:rPr>
            </w:pPr>
            <w:r w:rsidRPr="00AF656B">
              <w:rPr>
                <w:lang w:eastAsia="en-NZ"/>
              </w:rPr>
              <w:t>79.55</w:t>
            </w:r>
          </w:p>
        </w:tc>
      </w:tr>
      <w:tr w:rsidR="00DF6D4C" w:rsidRPr="00AF656B" w14:paraId="21FD7EDE" w14:textId="77777777" w:rsidTr="005F1B0B">
        <w:trPr>
          <w:trHeight w:val="300"/>
        </w:trPr>
        <w:tc>
          <w:tcPr>
            <w:tcW w:w="0" w:type="auto"/>
            <w:vMerge/>
            <w:tcBorders>
              <w:top w:val="single" w:sz="6" w:space="0" w:color="A6A6A6" w:themeColor="background1" w:themeShade="A6"/>
              <w:left w:val="nil"/>
              <w:bottom w:val="single" w:sz="6" w:space="0" w:color="A6A6A6" w:themeColor="background1" w:themeShade="A6"/>
            </w:tcBorders>
            <w:vAlign w:val="center"/>
            <w:hideMark/>
          </w:tcPr>
          <w:p w14:paraId="6E21D68B" w14:textId="77777777" w:rsidR="00DF6D4C" w:rsidRPr="00AF656B" w:rsidRDefault="00DF6D4C" w:rsidP="00DF6D4C">
            <w:pPr>
              <w:pStyle w:val="TableText"/>
              <w:ind w:left="57"/>
              <w:rPr>
                <w:rFonts w:ascii="Times New Roman" w:hAnsi="Times New Roman"/>
                <w:sz w:val="24"/>
                <w:szCs w:val="24"/>
                <w:lang w:eastAsia="en-NZ"/>
              </w:rPr>
            </w:pPr>
          </w:p>
        </w:tc>
        <w:tc>
          <w:tcPr>
            <w:tcW w:w="2685" w:type="dxa"/>
            <w:gridSpan w:val="2"/>
            <w:tcBorders>
              <w:top w:val="single" w:sz="6" w:space="0" w:color="A6A6A6" w:themeColor="background1" w:themeShade="A6"/>
              <w:left w:val="nil"/>
              <w:bottom w:val="single" w:sz="6" w:space="0" w:color="A6A6A6" w:themeColor="background1" w:themeShade="A6"/>
              <w:right w:val="nil"/>
            </w:tcBorders>
            <w:hideMark/>
          </w:tcPr>
          <w:p w14:paraId="233091E0" w14:textId="77777777" w:rsidR="00DF6D4C" w:rsidRPr="00AF656B" w:rsidRDefault="00DF6D4C" w:rsidP="00DF6D4C">
            <w:pPr>
              <w:pStyle w:val="TableText"/>
              <w:ind w:left="57"/>
              <w:rPr>
                <w:rFonts w:ascii="Times New Roman" w:hAnsi="Times New Roman"/>
                <w:sz w:val="24"/>
                <w:szCs w:val="24"/>
                <w:lang w:eastAsia="en-NZ"/>
              </w:rPr>
            </w:pPr>
            <w:r w:rsidRPr="00AF656B">
              <w:rPr>
                <w:lang w:eastAsia="en-NZ"/>
              </w:rPr>
              <w:t>No </w:t>
            </w:r>
          </w:p>
        </w:tc>
        <w:tc>
          <w:tcPr>
            <w:tcW w:w="1560" w:type="dxa"/>
            <w:tcBorders>
              <w:top w:val="single" w:sz="6" w:space="0" w:color="A6A6A6" w:themeColor="background1" w:themeShade="A6"/>
              <w:left w:val="nil"/>
              <w:bottom w:val="single" w:sz="6" w:space="0" w:color="A6A6A6" w:themeColor="background1" w:themeShade="A6"/>
              <w:right w:val="nil"/>
            </w:tcBorders>
          </w:tcPr>
          <w:p w14:paraId="19591020" w14:textId="3FEAD83E" w:rsidR="00DF6D4C" w:rsidRPr="00AF656B" w:rsidRDefault="00FC5289" w:rsidP="005F1B0B">
            <w:pPr>
              <w:pStyle w:val="TableText"/>
              <w:ind w:left="170" w:right="113"/>
              <w:jc w:val="right"/>
              <w:rPr>
                <w:lang w:eastAsia="en-NZ"/>
              </w:rPr>
            </w:pPr>
            <w:r w:rsidRPr="00AF656B">
              <w:rPr>
                <w:lang w:eastAsia="en-NZ"/>
              </w:rPr>
              <w:t>238</w:t>
            </w:r>
          </w:p>
        </w:tc>
        <w:tc>
          <w:tcPr>
            <w:tcW w:w="1410" w:type="dxa"/>
            <w:tcBorders>
              <w:top w:val="single" w:sz="6" w:space="0" w:color="A6A6A6" w:themeColor="background1" w:themeShade="A6"/>
              <w:left w:val="nil"/>
              <w:bottom w:val="single" w:sz="6" w:space="0" w:color="A6A6A6" w:themeColor="background1" w:themeShade="A6"/>
              <w:right w:val="nil"/>
            </w:tcBorders>
          </w:tcPr>
          <w:p w14:paraId="08CC55A0" w14:textId="40BE3303" w:rsidR="00DF6D4C" w:rsidRPr="00AF656B" w:rsidRDefault="159B41DE" w:rsidP="005F1B0B">
            <w:pPr>
              <w:pStyle w:val="TableText"/>
              <w:ind w:left="170" w:right="113"/>
              <w:jc w:val="right"/>
              <w:rPr>
                <w:lang w:eastAsia="en-NZ"/>
              </w:rPr>
            </w:pPr>
            <w:r w:rsidRPr="00AF656B">
              <w:rPr>
                <w:lang w:eastAsia="en-NZ"/>
              </w:rPr>
              <w:t>20.45</w:t>
            </w:r>
          </w:p>
        </w:tc>
      </w:tr>
      <w:tr w:rsidR="00DF6D4C" w:rsidRPr="00AF656B" w14:paraId="154FF2B7" w14:textId="77777777" w:rsidTr="005F1B0B">
        <w:trPr>
          <w:trHeight w:val="300"/>
        </w:trPr>
        <w:tc>
          <w:tcPr>
            <w:tcW w:w="2400" w:type="dxa"/>
            <w:vMerge w:val="restart"/>
            <w:tcBorders>
              <w:top w:val="single" w:sz="6" w:space="0" w:color="A6A6A6" w:themeColor="background1" w:themeShade="A6"/>
              <w:left w:val="nil"/>
              <w:bottom w:val="single" w:sz="6" w:space="0" w:color="A6A6A6" w:themeColor="background1" w:themeShade="A6"/>
              <w:right w:val="nil"/>
            </w:tcBorders>
            <w:hideMark/>
          </w:tcPr>
          <w:p w14:paraId="586F74D9" w14:textId="77777777" w:rsidR="00DF6D4C" w:rsidRPr="00AF656B" w:rsidRDefault="00DF6D4C" w:rsidP="00DF6D4C">
            <w:pPr>
              <w:pStyle w:val="TableText"/>
              <w:ind w:left="57"/>
              <w:rPr>
                <w:rFonts w:ascii="Times New Roman" w:hAnsi="Times New Roman"/>
                <w:sz w:val="24"/>
                <w:szCs w:val="24"/>
                <w:lang w:eastAsia="en-NZ"/>
              </w:rPr>
            </w:pPr>
            <w:r w:rsidRPr="00AF656B">
              <w:rPr>
                <w:lang w:eastAsia="en-NZ"/>
              </w:rPr>
              <w:t>Reported a disability at time of application? </w:t>
            </w:r>
          </w:p>
        </w:tc>
        <w:tc>
          <w:tcPr>
            <w:tcW w:w="2685" w:type="dxa"/>
            <w:gridSpan w:val="2"/>
            <w:tcBorders>
              <w:top w:val="single" w:sz="6" w:space="0" w:color="A6A6A6" w:themeColor="background1" w:themeShade="A6"/>
              <w:left w:val="nil"/>
              <w:bottom w:val="single" w:sz="6" w:space="0" w:color="A6A6A6" w:themeColor="background1" w:themeShade="A6"/>
              <w:right w:val="nil"/>
            </w:tcBorders>
            <w:hideMark/>
          </w:tcPr>
          <w:p w14:paraId="46E28C30" w14:textId="77777777" w:rsidR="00DF6D4C" w:rsidRPr="00AF656B" w:rsidRDefault="00DF6D4C" w:rsidP="00DF6D4C">
            <w:pPr>
              <w:pStyle w:val="TableText"/>
              <w:ind w:left="57"/>
              <w:rPr>
                <w:rFonts w:ascii="Times New Roman" w:hAnsi="Times New Roman"/>
                <w:sz w:val="24"/>
                <w:szCs w:val="24"/>
                <w:lang w:eastAsia="en-NZ"/>
              </w:rPr>
            </w:pPr>
            <w:r w:rsidRPr="00AF656B">
              <w:rPr>
                <w:lang w:eastAsia="en-NZ"/>
              </w:rPr>
              <w:t>Yes </w:t>
            </w:r>
          </w:p>
        </w:tc>
        <w:tc>
          <w:tcPr>
            <w:tcW w:w="1560" w:type="dxa"/>
            <w:tcBorders>
              <w:top w:val="single" w:sz="6" w:space="0" w:color="A6A6A6" w:themeColor="background1" w:themeShade="A6"/>
              <w:left w:val="nil"/>
              <w:bottom w:val="single" w:sz="6" w:space="0" w:color="A6A6A6" w:themeColor="background1" w:themeShade="A6"/>
              <w:right w:val="nil"/>
            </w:tcBorders>
          </w:tcPr>
          <w:p w14:paraId="7C28E1BA" w14:textId="33E8EF20" w:rsidR="00DF6D4C" w:rsidRPr="00AF656B" w:rsidRDefault="001B62FC" w:rsidP="005F1B0B">
            <w:pPr>
              <w:pStyle w:val="TableText"/>
              <w:ind w:left="170" w:right="113"/>
              <w:jc w:val="right"/>
              <w:rPr>
                <w:lang w:eastAsia="en-NZ"/>
              </w:rPr>
            </w:pPr>
            <w:r w:rsidRPr="00AF656B">
              <w:rPr>
                <w:lang w:eastAsia="en-NZ"/>
              </w:rPr>
              <w:t>76</w:t>
            </w:r>
          </w:p>
        </w:tc>
        <w:tc>
          <w:tcPr>
            <w:tcW w:w="1410" w:type="dxa"/>
            <w:tcBorders>
              <w:top w:val="single" w:sz="6" w:space="0" w:color="A6A6A6" w:themeColor="background1" w:themeShade="A6"/>
              <w:left w:val="nil"/>
              <w:bottom w:val="single" w:sz="6" w:space="0" w:color="A6A6A6" w:themeColor="background1" w:themeShade="A6"/>
              <w:right w:val="nil"/>
            </w:tcBorders>
          </w:tcPr>
          <w:p w14:paraId="4768AA09" w14:textId="5511B39E" w:rsidR="00DF6D4C" w:rsidRPr="00AF656B" w:rsidRDefault="715C5BA2" w:rsidP="005F1B0B">
            <w:pPr>
              <w:pStyle w:val="TableText"/>
              <w:ind w:left="170" w:right="113"/>
              <w:jc w:val="right"/>
              <w:rPr>
                <w:lang w:eastAsia="en-NZ"/>
              </w:rPr>
            </w:pPr>
            <w:r w:rsidRPr="00AF656B">
              <w:rPr>
                <w:lang w:eastAsia="en-NZ"/>
              </w:rPr>
              <w:t>6.53</w:t>
            </w:r>
          </w:p>
        </w:tc>
      </w:tr>
      <w:tr w:rsidR="00DF6D4C" w:rsidRPr="00AF656B" w14:paraId="78A212EB" w14:textId="77777777" w:rsidTr="005F1B0B">
        <w:trPr>
          <w:trHeight w:val="300"/>
        </w:trPr>
        <w:tc>
          <w:tcPr>
            <w:tcW w:w="0" w:type="auto"/>
            <w:vMerge/>
            <w:tcBorders>
              <w:top w:val="single" w:sz="6" w:space="0" w:color="A6A6A6" w:themeColor="background1" w:themeShade="A6"/>
              <w:left w:val="nil"/>
              <w:bottom w:val="single" w:sz="6" w:space="0" w:color="A6A6A6" w:themeColor="background1" w:themeShade="A6"/>
            </w:tcBorders>
            <w:vAlign w:val="center"/>
            <w:hideMark/>
          </w:tcPr>
          <w:p w14:paraId="371F08FC" w14:textId="77777777" w:rsidR="00DF6D4C" w:rsidRPr="00AF656B" w:rsidRDefault="00DF6D4C" w:rsidP="00DF6D4C">
            <w:pPr>
              <w:pStyle w:val="TableText"/>
              <w:ind w:left="57"/>
              <w:rPr>
                <w:rFonts w:ascii="Times New Roman" w:hAnsi="Times New Roman"/>
                <w:sz w:val="24"/>
                <w:szCs w:val="24"/>
                <w:lang w:eastAsia="en-NZ"/>
              </w:rPr>
            </w:pPr>
          </w:p>
        </w:tc>
        <w:tc>
          <w:tcPr>
            <w:tcW w:w="2685" w:type="dxa"/>
            <w:gridSpan w:val="2"/>
            <w:tcBorders>
              <w:top w:val="single" w:sz="6" w:space="0" w:color="A6A6A6" w:themeColor="background1" w:themeShade="A6"/>
              <w:left w:val="nil"/>
              <w:bottom w:val="single" w:sz="6" w:space="0" w:color="A6A6A6" w:themeColor="background1" w:themeShade="A6"/>
              <w:right w:val="nil"/>
            </w:tcBorders>
            <w:hideMark/>
          </w:tcPr>
          <w:p w14:paraId="3CA86F5C" w14:textId="77777777" w:rsidR="00DF6D4C" w:rsidRPr="00AF656B" w:rsidRDefault="00DF6D4C" w:rsidP="00DF6D4C">
            <w:pPr>
              <w:pStyle w:val="TableText"/>
              <w:ind w:left="57"/>
              <w:rPr>
                <w:rFonts w:ascii="Times New Roman" w:hAnsi="Times New Roman"/>
                <w:sz w:val="24"/>
                <w:szCs w:val="24"/>
                <w:lang w:eastAsia="en-NZ"/>
              </w:rPr>
            </w:pPr>
            <w:r w:rsidRPr="00AF656B">
              <w:rPr>
                <w:lang w:eastAsia="en-NZ"/>
              </w:rPr>
              <w:t>No </w:t>
            </w:r>
          </w:p>
        </w:tc>
        <w:tc>
          <w:tcPr>
            <w:tcW w:w="1560" w:type="dxa"/>
            <w:tcBorders>
              <w:top w:val="single" w:sz="6" w:space="0" w:color="A6A6A6" w:themeColor="background1" w:themeShade="A6"/>
              <w:left w:val="nil"/>
              <w:bottom w:val="single" w:sz="6" w:space="0" w:color="A6A6A6" w:themeColor="background1" w:themeShade="A6"/>
              <w:right w:val="nil"/>
            </w:tcBorders>
          </w:tcPr>
          <w:p w14:paraId="24C4DEA9" w14:textId="2FAF81EE" w:rsidR="00DF6D4C" w:rsidRPr="00AF656B" w:rsidRDefault="001B62FC" w:rsidP="005F1B0B">
            <w:pPr>
              <w:pStyle w:val="TableText"/>
              <w:ind w:left="170" w:right="113"/>
              <w:jc w:val="right"/>
              <w:rPr>
                <w:lang w:eastAsia="en-NZ"/>
              </w:rPr>
            </w:pPr>
            <w:r w:rsidRPr="00AF656B">
              <w:rPr>
                <w:lang w:eastAsia="en-NZ"/>
              </w:rPr>
              <w:t>1</w:t>
            </w:r>
            <w:r w:rsidR="00294EE8">
              <w:rPr>
                <w:lang w:eastAsia="en-NZ"/>
              </w:rPr>
              <w:t>,</w:t>
            </w:r>
            <w:r w:rsidRPr="00AF656B">
              <w:rPr>
                <w:lang w:eastAsia="en-NZ"/>
              </w:rPr>
              <w:t>088</w:t>
            </w:r>
          </w:p>
        </w:tc>
        <w:tc>
          <w:tcPr>
            <w:tcW w:w="1410" w:type="dxa"/>
            <w:tcBorders>
              <w:top w:val="single" w:sz="6" w:space="0" w:color="A6A6A6" w:themeColor="background1" w:themeShade="A6"/>
              <w:left w:val="nil"/>
              <w:bottom w:val="single" w:sz="6" w:space="0" w:color="A6A6A6" w:themeColor="background1" w:themeShade="A6"/>
              <w:right w:val="nil"/>
            </w:tcBorders>
          </w:tcPr>
          <w:p w14:paraId="2F9EC2C0" w14:textId="7E1E027F" w:rsidR="00DF6D4C" w:rsidRPr="00AF656B" w:rsidRDefault="15060AAE" w:rsidP="005F1B0B">
            <w:pPr>
              <w:pStyle w:val="TableText"/>
              <w:ind w:left="170" w:right="113"/>
              <w:jc w:val="right"/>
              <w:rPr>
                <w:lang w:eastAsia="en-NZ"/>
              </w:rPr>
            </w:pPr>
            <w:r w:rsidRPr="00AF656B">
              <w:rPr>
                <w:lang w:eastAsia="en-NZ"/>
              </w:rPr>
              <w:t>93.47</w:t>
            </w:r>
          </w:p>
        </w:tc>
      </w:tr>
    </w:tbl>
    <w:p w14:paraId="75E1FBB4" w14:textId="539A5B45" w:rsidR="00DF6D4C" w:rsidRPr="00AF656B" w:rsidRDefault="00DF6D4C" w:rsidP="00DF6D4C">
      <w:pPr>
        <w:pStyle w:val="Note"/>
        <w:rPr>
          <w:lang w:eastAsia="en-NZ"/>
        </w:rPr>
      </w:pPr>
      <w:r w:rsidRPr="00AF656B">
        <w:rPr>
          <w:lang w:eastAsia="en-NZ"/>
        </w:rPr>
        <w:t>Notes: </w:t>
      </w:r>
    </w:p>
    <w:p w14:paraId="79822C1D" w14:textId="1FA940DC" w:rsidR="00DF6D4C" w:rsidRPr="00AF656B" w:rsidRDefault="00DF6D4C" w:rsidP="00DF6D4C">
      <w:pPr>
        <w:pStyle w:val="Note"/>
        <w:numPr>
          <w:ilvl w:val="0"/>
          <w:numId w:val="33"/>
        </w:numPr>
        <w:ind w:left="284" w:right="-143" w:hanging="284"/>
        <w:rPr>
          <w:lang w:eastAsia="en-NZ"/>
        </w:rPr>
      </w:pPr>
      <w:r w:rsidRPr="00AF656B">
        <w:rPr>
          <w:lang w:eastAsia="en-NZ"/>
        </w:rPr>
        <w:t>T</w:t>
      </w:r>
      <w:r w:rsidR="00294EE8">
        <w:rPr>
          <w:lang w:eastAsia="en-NZ"/>
        </w:rPr>
        <w:t>his data is based on t</w:t>
      </w:r>
      <w:r w:rsidRPr="00AF656B">
        <w:rPr>
          <w:lang w:eastAsia="en-NZ"/>
        </w:rPr>
        <w:t xml:space="preserve">otal ethnicity. This means that individuals reporting more than one ethnicity are included within each category they identify with. In the current report, individuals identifying as ‘European’ have been included within the ‘Other’ category, </w:t>
      </w:r>
      <w:r w:rsidR="00294EE8">
        <w:rPr>
          <w:lang w:eastAsia="en-NZ"/>
        </w:rPr>
        <w:t>rather than being</w:t>
      </w:r>
      <w:r w:rsidR="009A31D4">
        <w:rPr>
          <w:lang w:eastAsia="en-NZ"/>
        </w:rPr>
        <w:t xml:space="preserve"> categorised as</w:t>
      </w:r>
      <w:r w:rsidRPr="00AF656B">
        <w:rPr>
          <w:lang w:eastAsia="en-NZ"/>
        </w:rPr>
        <w:t xml:space="preserve"> New Zealand European/Pākehā. </w:t>
      </w:r>
    </w:p>
    <w:p w14:paraId="11E33AF7" w14:textId="35D0EE5C" w:rsidR="00DF6D4C" w:rsidRPr="00AF656B" w:rsidRDefault="00DF6D4C" w:rsidP="00DF6D4C">
      <w:pPr>
        <w:pStyle w:val="Note"/>
        <w:numPr>
          <w:ilvl w:val="0"/>
          <w:numId w:val="33"/>
        </w:numPr>
        <w:ind w:left="284" w:right="-143" w:hanging="284"/>
        <w:rPr>
          <w:lang w:eastAsia="en-NZ"/>
        </w:rPr>
      </w:pPr>
      <w:r w:rsidRPr="00AF656B">
        <w:rPr>
          <w:lang w:eastAsia="en-NZ"/>
        </w:rPr>
        <w:t>T</w:t>
      </w:r>
      <w:r w:rsidR="00294EE8">
        <w:rPr>
          <w:lang w:eastAsia="en-NZ"/>
        </w:rPr>
        <w:t>his data is based on t</w:t>
      </w:r>
      <w:r w:rsidRPr="00AF656B">
        <w:rPr>
          <w:lang w:eastAsia="en-NZ"/>
        </w:rPr>
        <w:t xml:space="preserve">otal diagnosis. This means that individuals presenting with </w:t>
      </w:r>
      <w:r w:rsidR="009A31D4">
        <w:rPr>
          <w:lang w:eastAsia="en-NZ"/>
        </w:rPr>
        <w:t>more than one</w:t>
      </w:r>
      <w:r w:rsidR="009A31D4" w:rsidRPr="00AF656B">
        <w:rPr>
          <w:lang w:eastAsia="en-NZ"/>
        </w:rPr>
        <w:t xml:space="preserve"> </w:t>
      </w:r>
      <w:r w:rsidRPr="00AF656B">
        <w:rPr>
          <w:lang w:eastAsia="en-NZ"/>
        </w:rPr>
        <w:t>diagnos</w:t>
      </w:r>
      <w:r w:rsidR="009A31D4">
        <w:rPr>
          <w:lang w:eastAsia="en-NZ"/>
        </w:rPr>
        <w:t>i</w:t>
      </w:r>
      <w:r w:rsidRPr="00AF656B">
        <w:rPr>
          <w:lang w:eastAsia="en-NZ"/>
        </w:rPr>
        <w:t>s are included within each diagnostic category</w:t>
      </w:r>
      <w:r w:rsidR="00294EE8">
        <w:rPr>
          <w:lang w:eastAsia="en-NZ"/>
        </w:rPr>
        <w:t xml:space="preserve"> that applies to them</w:t>
      </w:r>
      <w:r w:rsidRPr="00AF656B">
        <w:rPr>
          <w:lang w:eastAsia="en-NZ"/>
        </w:rPr>
        <w:t>. </w:t>
      </w:r>
    </w:p>
    <w:p w14:paraId="5559D4E5" w14:textId="1AB71D46" w:rsidR="00DF6D4C" w:rsidRPr="00AF656B" w:rsidRDefault="00DF6D4C" w:rsidP="00DF6D4C">
      <w:pPr>
        <w:pStyle w:val="Note"/>
        <w:numPr>
          <w:ilvl w:val="0"/>
          <w:numId w:val="33"/>
        </w:numPr>
        <w:ind w:left="284" w:right="-143" w:hanging="284"/>
        <w:rPr>
          <w:lang w:eastAsia="en-NZ"/>
        </w:rPr>
      </w:pPr>
      <w:r w:rsidRPr="00AF656B">
        <w:rPr>
          <w:lang w:eastAsia="en-NZ"/>
        </w:rPr>
        <w:t xml:space="preserve">Repeat applications are included as unique instances. This means that, in cases where an individual has submitted </w:t>
      </w:r>
      <w:r w:rsidR="009A31D4">
        <w:rPr>
          <w:lang w:eastAsia="en-NZ"/>
        </w:rPr>
        <w:t>more than one</w:t>
      </w:r>
      <w:r w:rsidR="009A31D4" w:rsidRPr="00AF656B">
        <w:rPr>
          <w:lang w:eastAsia="en-NZ"/>
        </w:rPr>
        <w:t xml:space="preserve"> </w:t>
      </w:r>
      <w:r w:rsidRPr="00AF656B">
        <w:rPr>
          <w:lang w:eastAsia="en-NZ"/>
        </w:rPr>
        <w:t>application during this period, their information appears</w:t>
      </w:r>
      <w:r w:rsidR="009A31D4">
        <w:rPr>
          <w:lang w:eastAsia="en-NZ"/>
        </w:rPr>
        <w:t xml:space="preserve"> as a separate applicant</w:t>
      </w:r>
      <w:r w:rsidRPr="00AF656B">
        <w:rPr>
          <w:lang w:eastAsia="en-NZ"/>
        </w:rPr>
        <w:t xml:space="preserve"> in the demographic data each time. </w:t>
      </w:r>
    </w:p>
    <w:p w14:paraId="724933C0" w14:textId="5B563862" w:rsidR="00DF6D4C" w:rsidRPr="00AF656B" w:rsidRDefault="00DF6D4C" w:rsidP="00DF6D4C">
      <w:pPr>
        <w:pStyle w:val="Note"/>
        <w:numPr>
          <w:ilvl w:val="0"/>
          <w:numId w:val="33"/>
        </w:numPr>
        <w:ind w:left="284" w:right="-143" w:hanging="284"/>
        <w:rPr>
          <w:lang w:eastAsia="en-NZ"/>
        </w:rPr>
      </w:pPr>
      <w:r w:rsidRPr="00AF656B">
        <w:rPr>
          <w:lang w:eastAsia="en-NZ"/>
        </w:rPr>
        <w:t>A diagnosis of ‘not known’ was recorded for individuals who had applied but ha</w:t>
      </w:r>
      <w:r w:rsidR="009A31D4">
        <w:rPr>
          <w:lang w:eastAsia="en-NZ"/>
        </w:rPr>
        <w:t>d</w:t>
      </w:r>
      <w:r w:rsidRPr="00AF656B">
        <w:rPr>
          <w:lang w:eastAsia="en-NZ"/>
        </w:rPr>
        <w:t xml:space="preserve"> not yet completed their first assessment with their AMP, as well as</w:t>
      </w:r>
      <w:r w:rsidR="00294EE8">
        <w:rPr>
          <w:lang w:eastAsia="en-NZ"/>
        </w:rPr>
        <w:t xml:space="preserve"> for</w:t>
      </w:r>
      <w:r w:rsidRPr="00AF656B">
        <w:rPr>
          <w:lang w:eastAsia="en-NZ"/>
        </w:rPr>
        <w:t xml:space="preserve"> those who withdrew their application before assessment, died before their assessment was completed, were found not eligible or not competent </w:t>
      </w:r>
      <w:r w:rsidR="00294EE8">
        <w:rPr>
          <w:lang w:eastAsia="en-NZ"/>
        </w:rPr>
        <w:t>before their</w:t>
      </w:r>
      <w:r w:rsidRPr="00AF656B">
        <w:rPr>
          <w:lang w:eastAsia="en-NZ"/>
        </w:rPr>
        <w:t xml:space="preserve"> AMP</w:t>
      </w:r>
      <w:r w:rsidR="00294EE8">
        <w:rPr>
          <w:lang w:eastAsia="en-NZ"/>
        </w:rPr>
        <w:t xml:space="preserve"> assessed them</w:t>
      </w:r>
      <w:r w:rsidRPr="00AF656B">
        <w:rPr>
          <w:lang w:eastAsia="en-NZ"/>
        </w:rPr>
        <w:t xml:space="preserve">, or were ineligible </w:t>
      </w:r>
      <w:r w:rsidR="00294EE8">
        <w:rPr>
          <w:lang w:eastAsia="en-NZ"/>
        </w:rPr>
        <w:t>because they did not have</w:t>
      </w:r>
      <w:r w:rsidRPr="00AF656B">
        <w:rPr>
          <w:lang w:eastAsia="en-NZ"/>
        </w:rPr>
        <w:t xml:space="preserve"> a terminal illness. </w:t>
      </w:r>
    </w:p>
    <w:p w14:paraId="1E1AABFE" w14:textId="77777777" w:rsidR="007C6573" w:rsidRPr="00AF656B" w:rsidRDefault="007C6573" w:rsidP="007C6573">
      <w:pPr>
        <w:rPr>
          <w:lang w:eastAsia="en-NZ"/>
        </w:rPr>
      </w:pPr>
    </w:p>
    <w:p w14:paraId="5434FE4E" w14:textId="36DF7A1B" w:rsidR="007C6573" w:rsidRDefault="007C6573" w:rsidP="00B973C8">
      <w:pPr>
        <w:pStyle w:val="Figure"/>
        <w:rPr>
          <w:bCs/>
        </w:rPr>
      </w:pPr>
      <w:bookmarkStart w:id="53" w:name="_Ref231752573"/>
      <w:bookmarkStart w:id="54" w:name="_Toc233002298"/>
      <w:r w:rsidRPr="00AF656B">
        <w:lastRenderedPageBreak/>
        <w:t>Figure</w:t>
      </w:r>
      <w:r w:rsidR="00294EE8">
        <w:t xml:space="preserve"> </w:t>
      </w:r>
      <w:fldSimple w:instr=" SEQ Figure \* ARABIC ">
        <w:r w:rsidR="00F12FB9">
          <w:rPr>
            <w:noProof/>
          </w:rPr>
          <w:t>3</w:t>
        </w:r>
      </w:fldSimple>
      <w:bookmarkEnd w:id="53"/>
      <w:r w:rsidRPr="00AF656B">
        <w:t xml:space="preserve">: </w:t>
      </w:r>
      <w:r w:rsidR="002C76EB" w:rsidRPr="00AF656B">
        <w:t>N</w:t>
      </w:r>
      <w:r w:rsidR="00F12FB9">
        <w:t>umber of n</w:t>
      </w:r>
      <w:r w:rsidR="002C76EB" w:rsidRPr="00AF656B">
        <w:t>ew application</w:t>
      </w:r>
      <w:r w:rsidR="00DF454F">
        <w:t>s</w:t>
      </w:r>
      <w:r w:rsidR="002C76EB" w:rsidRPr="00AF656B">
        <w:t xml:space="preserve"> by diagnosis</w:t>
      </w:r>
      <w:r w:rsidR="00F12FB9">
        <w:t xml:space="preserve">, </w:t>
      </w:r>
      <w:r w:rsidR="00F12FB9" w:rsidRPr="00AF656B">
        <w:rPr>
          <w:bCs/>
        </w:rPr>
        <w:t>1</w:t>
      </w:r>
      <w:r w:rsidR="00F12FB9">
        <w:rPr>
          <w:bCs/>
        </w:rPr>
        <w:t> </w:t>
      </w:r>
      <w:r w:rsidR="00F12FB9" w:rsidRPr="00AF656B">
        <w:rPr>
          <w:bCs/>
        </w:rPr>
        <w:t>April 2025</w:t>
      </w:r>
      <w:r w:rsidR="00F12FB9">
        <w:rPr>
          <w:bCs/>
        </w:rPr>
        <w:t xml:space="preserve"> </w:t>
      </w:r>
      <w:r w:rsidR="00F12FB9" w:rsidRPr="00AF656B">
        <w:rPr>
          <w:bCs/>
        </w:rPr>
        <w:t>–</w:t>
      </w:r>
      <w:r w:rsidR="00F12FB9">
        <w:rPr>
          <w:bCs/>
        </w:rPr>
        <w:t xml:space="preserve"> </w:t>
      </w:r>
      <w:r w:rsidR="00F12FB9" w:rsidRPr="00AF656B">
        <w:rPr>
          <w:bCs/>
        </w:rPr>
        <w:t>31 March 2026</w:t>
      </w:r>
      <w:bookmarkEnd w:id="54"/>
      <w:r w:rsidR="00F12FB9" w:rsidRPr="00AF656B">
        <w:rPr>
          <w:bCs/>
        </w:rPr>
        <w:t> </w:t>
      </w:r>
    </w:p>
    <w:p w14:paraId="7672229D" w14:textId="77B1CB67" w:rsidR="00132441" w:rsidRPr="00132441" w:rsidRDefault="00132441" w:rsidP="00132441">
      <w:r>
        <w:rPr>
          <w:noProof/>
        </w:rPr>
        <w:drawing>
          <wp:anchor distT="0" distB="0" distL="114300" distR="114300" simplePos="0" relativeHeight="251659264" behindDoc="1" locked="0" layoutInCell="1" allowOverlap="1" wp14:anchorId="5B20552E" wp14:editId="320B2F27">
            <wp:simplePos x="0" y="0"/>
            <wp:positionH relativeFrom="column">
              <wp:posOffset>0</wp:posOffset>
            </wp:positionH>
            <wp:positionV relativeFrom="paragraph">
              <wp:posOffset>177800</wp:posOffset>
            </wp:positionV>
            <wp:extent cx="5133340" cy="2743200"/>
            <wp:effectExtent l="0" t="0" r="0" b="0"/>
            <wp:wrapTight wrapText="bothSides">
              <wp:wrapPolygon edited="0">
                <wp:start x="0" y="0"/>
                <wp:lineTo x="0" y="21450"/>
                <wp:lineTo x="21482" y="21450"/>
                <wp:lineTo x="21482" y="0"/>
                <wp:lineTo x="0" y="0"/>
              </wp:wrapPolygon>
            </wp:wrapTight>
            <wp:docPr id="13338134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81349" name="Picture 1">
                      <a:extLst>
                        <a:ext uri="{C183D7F6-B498-43B3-948B-1728B52AA6E4}">
                          <adec:decorative xmlns:adec="http://schemas.microsoft.com/office/drawing/2017/decorative" val="1"/>
                        </a:ext>
                      </a:extLst>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133340" cy="2743200"/>
                    </a:xfrm>
                    <a:prstGeom prst="rect">
                      <a:avLst/>
                    </a:prstGeom>
                    <a:noFill/>
                  </pic:spPr>
                </pic:pic>
              </a:graphicData>
            </a:graphic>
            <wp14:sizeRelH relativeFrom="page">
              <wp14:pctWidth>0</wp14:pctWidth>
            </wp14:sizeRelH>
            <wp14:sizeRelV relativeFrom="page">
              <wp14:pctHeight>0</wp14:pctHeight>
            </wp14:sizeRelV>
          </wp:anchor>
        </w:drawing>
      </w:r>
    </w:p>
    <w:p w14:paraId="758AF32D" w14:textId="78CB6493" w:rsidR="23F4CA12" w:rsidRPr="00AF656B" w:rsidRDefault="23F4CA12" w:rsidP="23F4CA12"/>
    <w:p w14:paraId="55C97633" w14:textId="029E9020" w:rsidR="00C86407" w:rsidRPr="00C86407" w:rsidRDefault="00067755" w:rsidP="00C86407">
      <w:r>
        <w:t xml:space="preserve">Figure 4 </w:t>
      </w:r>
      <w:r w:rsidR="00C86407" w:rsidRPr="00C86407">
        <w:t xml:space="preserve">shows the distribution of new assisted dying applications by the applicant’s region of domicile for the </w:t>
      </w:r>
      <w:r w:rsidR="00DF4C49">
        <w:t xml:space="preserve">reporting period. </w:t>
      </w:r>
      <w:r w:rsidR="00C86407" w:rsidRPr="00C86407">
        <w:t xml:space="preserve">Applications were received from all regions, with the highest number recorded in the Northern region (338), followed by Midland (307) and Southern (294), while the Central region recorded the lowest number of applications (225). </w:t>
      </w:r>
    </w:p>
    <w:p w14:paraId="161DF530" w14:textId="77777777" w:rsidR="00FC7619" w:rsidRPr="00AF656B" w:rsidRDefault="00FC7619" w:rsidP="00DB1225"/>
    <w:p w14:paraId="2FC70438" w14:textId="5217D756" w:rsidR="00FC7619" w:rsidRPr="00AF656B" w:rsidRDefault="10F97547" w:rsidP="00B973C8">
      <w:pPr>
        <w:pStyle w:val="Figure"/>
      </w:pPr>
      <w:bookmarkStart w:id="55" w:name="_Ref233001951"/>
      <w:bookmarkStart w:id="56" w:name="_Toc233002299"/>
      <w:r w:rsidRPr="00AF656B">
        <w:t xml:space="preserve">Figure </w:t>
      </w:r>
      <w:fldSimple w:instr=" SEQ Figure \* ARABIC ">
        <w:r w:rsidR="00F12FB9">
          <w:rPr>
            <w:noProof/>
          </w:rPr>
          <w:t>4</w:t>
        </w:r>
      </w:fldSimple>
      <w:bookmarkEnd w:id="55"/>
      <w:r w:rsidRPr="00AF656B">
        <w:t xml:space="preserve">: </w:t>
      </w:r>
      <w:r w:rsidR="2A246881" w:rsidRPr="00AF656B">
        <w:t xml:space="preserve">Number of new applications by </w:t>
      </w:r>
      <w:r w:rsidR="00CD6C17">
        <w:t xml:space="preserve">the applicant’s </w:t>
      </w:r>
      <w:r w:rsidR="2A246881" w:rsidRPr="00AF656B">
        <w:t>region of</w:t>
      </w:r>
      <w:r w:rsidR="725CA841" w:rsidRPr="00AF656B">
        <w:t xml:space="preserve"> domicile</w:t>
      </w:r>
      <w:r w:rsidR="00CD6C17">
        <w:t xml:space="preserve">, </w:t>
      </w:r>
      <w:r w:rsidR="00CD6C17" w:rsidRPr="00AF656B">
        <w:rPr>
          <w:bCs/>
        </w:rPr>
        <w:t>1</w:t>
      </w:r>
      <w:r w:rsidR="00CD6C17">
        <w:rPr>
          <w:bCs/>
        </w:rPr>
        <w:t> </w:t>
      </w:r>
      <w:r w:rsidR="00CD6C17" w:rsidRPr="00AF656B">
        <w:rPr>
          <w:bCs/>
        </w:rPr>
        <w:t>April 2025</w:t>
      </w:r>
      <w:r w:rsidR="00CD6C17">
        <w:rPr>
          <w:bCs/>
        </w:rPr>
        <w:t xml:space="preserve"> </w:t>
      </w:r>
      <w:r w:rsidR="00CD6C17" w:rsidRPr="00AF656B">
        <w:rPr>
          <w:bCs/>
        </w:rPr>
        <w:t>–</w:t>
      </w:r>
      <w:r w:rsidR="00CD6C17">
        <w:rPr>
          <w:bCs/>
        </w:rPr>
        <w:t xml:space="preserve"> </w:t>
      </w:r>
      <w:r w:rsidR="00CD6C17" w:rsidRPr="00AF656B">
        <w:rPr>
          <w:bCs/>
        </w:rPr>
        <w:t>31 March 2026</w:t>
      </w:r>
      <w:bookmarkEnd w:id="56"/>
      <w:r w:rsidR="00CD6C17" w:rsidRPr="00AF656B">
        <w:rPr>
          <w:bCs/>
        </w:rPr>
        <w:t> </w:t>
      </w:r>
    </w:p>
    <w:p w14:paraId="6E9BA7A9" w14:textId="77777777" w:rsidR="007D0B1E" w:rsidRPr="00AF656B" w:rsidRDefault="007D0B1E" w:rsidP="00DB1225"/>
    <w:p w14:paraId="01EEDBD6" w14:textId="704ECF00" w:rsidR="007D0B1E" w:rsidRPr="00AF656B" w:rsidRDefault="6A00F6CB" w:rsidP="00DB1225">
      <w:r>
        <w:rPr>
          <w:noProof/>
        </w:rPr>
        <w:drawing>
          <wp:inline distT="0" distB="0" distL="0" distR="0" wp14:anchorId="0BC654D9" wp14:editId="721CC7A0">
            <wp:extent cx="4560203" cy="2694666"/>
            <wp:effectExtent l="0" t="0" r="0" b="0"/>
            <wp:docPr id="1556422129" name="drawi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422129" name="drawing">
                      <a:extLst>
                        <a:ext uri="{C183D7F6-B498-43B3-948B-1728B52AA6E4}">
                          <adec:decorative xmlns:adec="http://schemas.microsoft.com/office/drawing/2017/decorative" val="1"/>
                        </a:ext>
                      </a:extLst>
                    </pic:cNvPr>
                    <pic:cNvPicPr/>
                  </pic:nvPicPr>
                  <pic:blipFill>
                    <a:blip r:embed="rId35">
                      <a:extLst>
                        <a:ext uri="{28A0092B-C50C-407E-A947-70E740481C1C}">
                          <a14:useLocalDpi xmlns:a14="http://schemas.microsoft.com/office/drawing/2010/main"/>
                        </a:ext>
                      </a:extLst>
                    </a:blip>
                    <a:stretch>
                      <a:fillRect/>
                    </a:stretch>
                  </pic:blipFill>
                  <pic:spPr>
                    <a:xfrm>
                      <a:off x="0" y="0"/>
                      <a:ext cx="4560203" cy="2694666"/>
                    </a:xfrm>
                    <a:prstGeom prst="rect">
                      <a:avLst/>
                    </a:prstGeom>
                  </pic:spPr>
                </pic:pic>
              </a:graphicData>
            </a:graphic>
          </wp:inline>
        </w:drawing>
      </w:r>
    </w:p>
    <w:p w14:paraId="7610808E" w14:textId="2976A11F" w:rsidR="007D0B1E" w:rsidRPr="00AF656B" w:rsidRDefault="007D0B1E" w:rsidP="00DB1225">
      <w:pPr>
        <w:sectPr w:rsidR="007D0B1E" w:rsidRPr="00AF656B" w:rsidSect="00DF6D4C">
          <w:pgSz w:w="11907" w:h="16834" w:code="9"/>
          <w:pgMar w:top="1418" w:right="1701" w:bottom="1134" w:left="1843" w:header="284" w:footer="425" w:gutter="284"/>
          <w:cols w:space="720"/>
        </w:sectPr>
      </w:pPr>
    </w:p>
    <w:p w14:paraId="13D96CD1" w14:textId="25768755" w:rsidR="00DF6D4C" w:rsidRPr="00AF656B" w:rsidRDefault="00DF6D4C" w:rsidP="00DF6D4C">
      <w:pPr>
        <w:pStyle w:val="Heading1"/>
        <w:spacing w:before="0"/>
      </w:pPr>
      <w:bookmarkStart w:id="57" w:name="_Toc199242529"/>
      <w:bookmarkStart w:id="58" w:name="_Toc233002284"/>
      <w:r w:rsidRPr="00AF656B">
        <w:lastRenderedPageBreak/>
        <w:t>Application outcomes</w:t>
      </w:r>
      <w:bookmarkEnd w:id="57"/>
      <w:bookmarkEnd w:id="58"/>
      <w:r w:rsidRPr="00AF656B">
        <w:t xml:space="preserve"> </w:t>
      </w:r>
    </w:p>
    <w:p w14:paraId="17303C9C" w14:textId="45B765A8" w:rsidR="00DF6D4C" w:rsidRPr="005F1B0B" w:rsidRDefault="00DF6D4C" w:rsidP="005F1B0B">
      <w:pPr>
        <w:pStyle w:val="Heading2"/>
      </w:pPr>
      <w:bookmarkStart w:id="59" w:name="_Toc199242530"/>
      <w:bookmarkStart w:id="60" w:name="_Toc233002285"/>
      <w:r w:rsidRPr="005F1B0B">
        <w:t>Assessments completed during th</w:t>
      </w:r>
      <w:r w:rsidR="00957608" w:rsidRPr="005F1B0B">
        <w:t>e reporting</w:t>
      </w:r>
      <w:r w:rsidRPr="005F1B0B">
        <w:t xml:space="preserve"> period</w:t>
      </w:r>
      <w:bookmarkEnd w:id="59"/>
      <w:bookmarkEnd w:id="60"/>
      <w:r w:rsidRPr="005F1B0B">
        <w:rPr>
          <w:rStyle w:val="eop"/>
        </w:rPr>
        <w:t> </w:t>
      </w:r>
    </w:p>
    <w:p w14:paraId="3091E65E" w14:textId="61B6C48D" w:rsidR="00DF6D4C" w:rsidRPr="00AF656B" w:rsidRDefault="00DF6D4C" w:rsidP="005F1B0B">
      <w:r w:rsidRPr="00AF656B">
        <w:t>After</w:t>
      </w:r>
      <w:r w:rsidR="00957608">
        <w:t xml:space="preserve"> a person </w:t>
      </w:r>
      <w:proofErr w:type="gramStart"/>
      <w:r w:rsidR="00957608">
        <w:t>submits</w:t>
      </w:r>
      <w:r w:rsidRPr="00AF656B">
        <w:t xml:space="preserve"> an application</w:t>
      </w:r>
      <w:proofErr w:type="gramEnd"/>
      <w:r w:rsidRPr="00AF656B">
        <w:t xml:space="preserve">, an AMP makes an initial assessment. The AMP reviews the person’s eligibility against the strict criteria outlined in the Act. An independent medical practitioner (IMP) then provides an independent second assessment. </w:t>
      </w:r>
    </w:p>
    <w:p w14:paraId="683F78BE" w14:textId="77777777" w:rsidR="00DF6D4C" w:rsidRPr="00AF656B" w:rsidRDefault="00DF6D4C" w:rsidP="005F1B0B"/>
    <w:p w14:paraId="797CF3E6" w14:textId="68465CFD" w:rsidR="001F71AC" w:rsidRDefault="00DF6D4C" w:rsidP="005F1B0B">
      <w:r w:rsidRPr="00AF656B">
        <w:t>During the reporting period, AMPs assessed 1,</w:t>
      </w:r>
      <w:r w:rsidR="4D4C27BD" w:rsidRPr="00AF656B">
        <w:t>106</w:t>
      </w:r>
      <w:r w:rsidR="05909A72" w:rsidRPr="00AF656B">
        <w:t xml:space="preserve"> </w:t>
      </w:r>
      <w:r w:rsidRPr="00AF656B">
        <w:t xml:space="preserve">applications, representing an increase of </w:t>
      </w:r>
      <w:r w:rsidR="11182379" w:rsidRPr="00AF656B">
        <w:t>8</w:t>
      </w:r>
      <w:r w:rsidRPr="00AF656B">
        <w:t>% compared with the previous year’s reporting period (</w:t>
      </w:r>
      <w:r w:rsidR="2CB44CB4" w:rsidRPr="00AF656B">
        <w:t>1,027</w:t>
      </w:r>
      <w:r w:rsidRPr="00AF656B">
        <w:t xml:space="preserve"> applications). During the same period, IMPs assessed </w:t>
      </w:r>
      <w:r w:rsidR="11182379" w:rsidRPr="00AF656B">
        <w:t>832</w:t>
      </w:r>
      <w:r w:rsidRPr="00AF656B">
        <w:t xml:space="preserve"> applications</w:t>
      </w:r>
      <w:r w:rsidR="00957608">
        <w:t>, which</w:t>
      </w:r>
      <w:r w:rsidR="00A173CE">
        <w:t xml:space="preserve"> was </w:t>
      </w:r>
      <w:r w:rsidRPr="00AF656B">
        <w:t xml:space="preserve">an increase of </w:t>
      </w:r>
      <w:r w:rsidR="6D96FE7B" w:rsidRPr="00AF656B">
        <w:t>3</w:t>
      </w:r>
      <w:r w:rsidRPr="00AF656B">
        <w:t>% compared with the previous year (</w:t>
      </w:r>
      <w:r w:rsidR="674D4CDE" w:rsidRPr="00AF656B">
        <w:t>804</w:t>
      </w:r>
      <w:r w:rsidRPr="00AF656B">
        <w:t xml:space="preserve"> applications). The percentage of applications AMPs found to be eligible (</w:t>
      </w:r>
      <w:r w:rsidR="3E518DB9" w:rsidRPr="00AF656B">
        <w:t>84</w:t>
      </w:r>
      <w:r w:rsidRPr="00AF656B">
        <w:t xml:space="preserve">%) was consistent with the trend observed in the </w:t>
      </w:r>
      <w:r w:rsidR="55C8F5F8" w:rsidRPr="00AF656B">
        <w:t>th</w:t>
      </w:r>
      <w:r w:rsidR="51FFFDF8" w:rsidRPr="00AF656B">
        <w:t>re</w:t>
      </w:r>
      <w:r w:rsidR="55C8F5F8" w:rsidRPr="00AF656B">
        <w:t>e</w:t>
      </w:r>
      <w:r w:rsidRPr="00AF656B">
        <w:t xml:space="preserve"> </w:t>
      </w:r>
      <w:r w:rsidR="00957608">
        <w:t>previous</w:t>
      </w:r>
      <w:r w:rsidR="00957608" w:rsidRPr="00AF656B">
        <w:t xml:space="preserve"> </w:t>
      </w:r>
      <w:r w:rsidRPr="00AF656B">
        <w:t xml:space="preserve">years, </w:t>
      </w:r>
      <w:r w:rsidR="00957608">
        <w:t>when</w:t>
      </w:r>
      <w:r w:rsidR="00A173CE">
        <w:t xml:space="preserve"> the percentages of eligible applications were</w:t>
      </w:r>
      <w:r w:rsidRPr="00AF656B">
        <w:t xml:space="preserve"> </w:t>
      </w:r>
      <w:r w:rsidR="51C40611" w:rsidRPr="00AF656B">
        <w:t>85%</w:t>
      </w:r>
      <w:r w:rsidR="001A07A3">
        <w:t xml:space="preserve"> </w:t>
      </w:r>
      <w:r w:rsidR="00A173CE">
        <w:t xml:space="preserve">in </w:t>
      </w:r>
      <w:r w:rsidR="001A07A3">
        <w:t>2024/25</w:t>
      </w:r>
      <w:r w:rsidR="51C40611" w:rsidRPr="00AF656B">
        <w:t xml:space="preserve">, </w:t>
      </w:r>
      <w:r w:rsidR="05909A72" w:rsidRPr="00AF656B">
        <w:t>86%</w:t>
      </w:r>
      <w:r w:rsidR="001A07A3">
        <w:t xml:space="preserve"> </w:t>
      </w:r>
      <w:r w:rsidR="00A173CE">
        <w:t xml:space="preserve">in </w:t>
      </w:r>
      <w:r w:rsidR="001A07A3">
        <w:t>2023/24</w:t>
      </w:r>
      <w:r w:rsidRPr="00AF656B">
        <w:t xml:space="preserve"> and 82%</w:t>
      </w:r>
      <w:r w:rsidR="001A07A3">
        <w:t xml:space="preserve"> </w:t>
      </w:r>
      <w:r w:rsidR="00A173CE">
        <w:t xml:space="preserve">in </w:t>
      </w:r>
      <w:r w:rsidR="001A07A3">
        <w:t>2022/23</w:t>
      </w:r>
      <w:r w:rsidRPr="00AF656B">
        <w:t xml:space="preserve">. </w:t>
      </w:r>
    </w:p>
    <w:p w14:paraId="5F46C9DE" w14:textId="77777777" w:rsidR="001F71AC" w:rsidRDefault="001F71AC" w:rsidP="005F1B0B"/>
    <w:p w14:paraId="6607EDA2" w14:textId="663E6D22" w:rsidR="00DF6D4C" w:rsidRPr="00AF656B" w:rsidRDefault="0A5A4DA8" w:rsidP="005F1B0B">
      <w:r w:rsidRPr="00AF656B">
        <w:t>The</w:t>
      </w:r>
      <w:r w:rsidR="00DF6D4C" w:rsidRPr="00AF656B">
        <w:t xml:space="preserve"> percentage of applications IMPs found to be eligible (95%) </w:t>
      </w:r>
      <w:r w:rsidRPr="00AF656B">
        <w:t xml:space="preserve">was </w:t>
      </w:r>
      <w:r w:rsidR="5C951DBA" w:rsidRPr="00AF656B">
        <w:t xml:space="preserve">also </w:t>
      </w:r>
      <w:r w:rsidRPr="00AF656B">
        <w:t>comparab</w:t>
      </w:r>
      <w:r w:rsidR="3D1752B9" w:rsidRPr="00AF656B">
        <w:t>l</w:t>
      </w:r>
      <w:r w:rsidRPr="00AF656B">
        <w:t>e</w:t>
      </w:r>
      <w:r w:rsidR="00DF6D4C" w:rsidRPr="00AF656B">
        <w:t xml:space="preserve"> </w:t>
      </w:r>
      <w:r w:rsidR="00807E50">
        <w:t>with</w:t>
      </w:r>
      <w:r w:rsidR="00807E50" w:rsidRPr="00AF656B">
        <w:t xml:space="preserve"> </w:t>
      </w:r>
      <w:r w:rsidR="00DF6D4C" w:rsidRPr="00AF656B">
        <w:t xml:space="preserve">the </w:t>
      </w:r>
      <w:r w:rsidR="0DD2188F" w:rsidRPr="00AF656B">
        <w:t>three</w:t>
      </w:r>
      <w:r w:rsidR="00DF6D4C" w:rsidRPr="00AF656B">
        <w:t xml:space="preserve"> </w:t>
      </w:r>
      <w:r w:rsidR="00807E50">
        <w:t>previous</w:t>
      </w:r>
      <w:r w:rsidR="00807E50" w:rsidRPr="00AF656B">
        <w:t xml:space="preserve"> </w:t>
      </w:r>
      <w:r w:rsidR="05909A72" w:rsidRPr="00AF656B">
        <w:t>years</w:t>
      </w:r>
      <w:r w:rsidR="00A173CE">
        <w:t>:</w:t>
      </w:r>
      <w:r w:rsidR="00DF6D4C" w:rsidRPr="00AF656B">
        <w:t xml:space="preserve"> </w:t>
      </w:r>
      <w:r w:rsidR="389C5B4C" w:rsidRPr="00AF656B">
        <w:t>95%</w:t>
      </w:r>
      <w:r w:rsidR="00A173CE">
        <w:t xml:space="preserve"> in 2024/25</w:t>
      </w:r>
      <w:r w:rsidR="389C5B4C" w:rsidRPr="00AF656B">
        <w:t xml:space="preserve">, </w:t>
      </w:r>
      <w:r w:rsidR="00DF6D4C" w:rsidRPr="00AF656B">
        <w:t>97</w:t>
      </w:r>
      <w:r w:rsidR="05909A72" w:rsidRPr="00AF656B">
        <w:t>%</w:t>
      </w:r>
      <w:r w:rsidR="00A173CE">
        <w:t xml:space="preserve"> in 2023/24</w:t>
      </w:r>
      <w:r w:rsidR="00DF6D4C" w:rsidRPr="00AF656B">
        <w:t xml:space="preserve"> and 99%</w:t>
      </w:r>
      <w:r w:rsidR="00A173CE">
        <w:t xml:space="preserve"> in 20</w:t>
      </w:r>
      <w:r w:rsidR="004A14E6">
        <w:t>22/</w:t>
      </w:r>
      <w:r w:rsidR="00A173CE">
        <w:t>23</w:t>
      </w:r>
      <w:r w:rsidR="00DF6D4C" w:rsidRPr="00AF656B">
        <w:t>. We note that this figure has remained above 90% across all reporting periods. </w:t>
      </w:r>
    </w:p>
    <w:p w14:paraId="59344D2C" w14:textId="77777777" w:rsidR="00DF6D4C" w:rsidRPr="00AF656B" w:rsidRDefault="00DF6D4C" w:rsidP="005F1B0B">
      <w:r w:rsidRPr="00AF656B">
        <w:t> </w:t>
      </w:r>
    </w:p>
    <w:p w14:paraId="46816B59" w14:textId="591144F1" w:rsidR="00DF6D4C" w:rsidRPr="00AF656B" w:rsidRDefault="00DF6D4C" w:rsidP="005F1B0B">
      <w:r w:rsidRPr="00AF656B">
        <w:t xml:space="preserve">Applicants may be found ineligible at </w:t>
      </w:r>
      <w:r w:rsidR="004A14E6">
        <w:t>the AMP or IMP</w:t>
      </w:r>
      <w:r w:rsidRPr="00AF656B">
        <w:t xml:space="preserve"> assessment for a variety of reasons. Applicants may also be found to be not competent</w:t>
      </w:r>
      <w:r w:rsidR="00197B81">
        <w:t xml:space="preserve"> to give consent</w:t>
      </w:r>
      <w:r w:rsidRPr="00AF656B">
        <w:t xml:space="preserve"> at any time during their application process, including at each of these assessments. </w:t>
      </w:r>
      <w:r w:rsidR="00067755">
        <w:t xml:space="preserve">Table 2 </w:t>
      </w:r>
      <w:r w:rsidR="00197B81">
        <w:t>presents</w:t>
      </w:r>
      <w:r w:rsidR="00197B81" w:rsidRPr="00AF656B">
        <w:t xml:space="preserve"> </w:t>
      </w:r>
      <w:r w:rsidRPr="00AF656B">
        <w:t>more information on ineligibility and ‘not competent’ outcomes for the current period. </w:t>
      </w:r>
    </w:p>
    <w:p w14:paraId="6E00116B" w14:textId="77777777" w:rsidR="00DF6D4C" w:rsidRPr="00AF656B" w:rsidRDefault="00DF6D4C" w:rsidP="005F1B0B">
      <w:r w:rsidRPr="00AF656B">
        <w:t> </w:t>
      </w:r>
    </w:p>
    <w:p w14:paraId="13A918C8" w14:textId="1BB14F73" w:rsidR="005F1B0B" w:rsidRDefault="00197B81" w:rsidP="005F1B0B">
      <w:r>
        <w:t xml:space="preserve">If </w:t>
      </w:r>
      <w:r w:rsidR="00DF6D4C" w:rsidRPr="00AF656B">
        <w:t xml:space="preserve">both </w:t>
      </w:r>
      <w:r>
        <w:t xml:space="preserve">the </w:t>
      </w:r>
      <w:r w:rsidR="00DF6D4C" w:rsidRPr="00AF656B">
        <w:t>AMP and IMP assess</w:t>
      </w:r>
      <w:r>
        <w:t xml:space="preserve"> an applicant as eligible</w:t>
      </w:r>
      <w:r w:rsidR="00DF6D4C" w:rsidRPr="00AF656B">
        <w:t xml:space="preserve">, the AMP </w:t>
      </w:r>
      <w:r>
        <w:t xml:space="preserve">then </w:t>
      </w:r>
      <w:r w:rsidR="00DF6D4C" w:rsidRPr="00AF656B">
        <w:t xml:space="preserve">meets with the applicant for another discussion about eligibility and about the assisted dying process itself. At this time, some eligible applicants may be found not competent or ineligible to continue. However, as in the previous reporting period, 99% (or more) of applicants </w:t>
      </w:r>
      <w:r w:rsidR="00B73BE6">
        <w:t>considered to be</w:t>
      </w:r>
      <w:r w:rsidR="00B73BE6" w:rsidRPr="00AF656B">
        <w:t xml:space="preserve"> </w:t>
      </w:r>
      <w:r w:rsidR="00DF6D4C" w:rsidRPr="00AF656B">
        <w:t xml:space="preserve">eligible at both AMP and IMP initial assessments were </w:t>
      </w:r>
      <w:r w:rsidR="00B73BE6">
        <w:t xml:space="preserve">also </w:t>
      </w:r>
      <w:r w:rsidR="00DF6D4C" w:rsidRPr="00AF656B">
        <w:t>found to be eligible at this stage. </w:t>
      </w:r>
      <w:r w:rsidR="005F1B0B">
        <w:br w:type="page"/>
      </w:r>
    </w:p>
    <w:p w14:paraId="7C3D4D8A" w14:textId="41336CC6" w:rsidR="00DF6D4C" w:rsidRPr="00AF656B" w:rsidRDefault="00DF6D4C" w:rsidP="00DF6D4C">
      <w:pPr>
        <w:pStyle w:val="Table"/>
        <w:rPr>
          <w:rFonts w:cs="Segoe UI"/>
          <w:bCs/>
          <w:sz w:val="18"/>
          <w:szCs w:val="18"/>
          <w:lang w:eastAsia="en-NZ"/>
        </w:rPr>
      </w:pPr>
      <w:bookmarkStart w:id="61" w:name="_Ref201743027"/>
      <w:bookmarkStart w:id="62" w:name="_Toc233002302"/>
      <w:r w:rsidRPr="00AF656B">
        <w:lastRenderedPageBreak/>
        <w:t xml:space="preserve">Table </w:t>
      </w:r>
      <w:fldSimple w:instr=" SEQ Table \* ARABIC ">
        <w:r w:rsidR="007527A2" w:rsidRPr="00AF656B">
          <w:rPr>
            <w:noProof/>
          </w:rPr>
          <w:t>2</w:t>
        </w:r>
      </w:fldSimple>
      <w:bookmarkEnd w:id="61"/>
      <w:r w:rsidRPr="00AF656B">
        <w:t xml:space="preserve">: </w:t>
      </w:r>
      <w:r w:rsidRPr="00AF656B">
        <w:rPr>
          <w:rFonts w:cs="Segoe UI"/>
          <w:bCs/>
          <w:lang w:eastAsia="en-NZ"/>
        </w:rPr>
        <w:t>Assessment outcomes</w:t>
      </w:r>
      <w:r w:rsidR="001F71AC">
        <w:t xml:space="preserve">, </w:t>
      </w:r>
      <w:r w:rsidR="001F71AC" w:rsidRPr="00AF656B">
        <w:rPr>
          <w:bCs/>
        </w:rPr>
        <w:t>1</w:t>
      </w:r>
      <w:r w:rsidR="001F71AC">
        <w:rPr>
          <w:bCs/>
        </w:rPr>
        <w:t> </w:t>
      </w:r>
      <w:r w:rsidR="001F71AC" w:rsidRPr="00AF656B">
        <w:rPr>
          <w:bCs/>
        </w:rPr>
        <w:t>April 2025</w:t>
      </w:r>
      <w:r w:rsidR="001F71AC">
        <w:rPr>
          <w:bCs/>
        </w:rPr>
        <w:t xml:space="preserve"> </w:t>
      </w:r>
      <w:r w:rsidR="001F71AC" w:rsidRPr="00AF656B">
        <w:rPr>
          <w:bCs/>
        </w:rPr>
        <w:t>–</w:t>
      </w:r>
      <w:r w:rsidR="001F71AC">
        <w:rPr>
          <w:bCs/>
        </w:rPr>
        <w:t xml:space="preserve"> </w:t>
      </w:r>
      <w:r w:rsidR="001F71AC" w:rsidRPr="00AF656B">
        <w:rPr>
          <w:bCs/>
        </w:rPr>
        <w:t>31 March 2026</w:t>
      </w:r>
      <w:bookmarkEnd w:id="62"/>
      <w:r w:rsidRPr="00AF656B">
        <w:rPr>
          <w:rFonts w:cs="Segoe UI"/>
          <w:bCs/>
          <w:lang w:eastAsia="en-NZ"/>
        </w:rPr>
        <w:t> </w:t>
      </w:r>
    </w:p>
    <w:tbl>
      <w:tblPr>
        <w:tblW w:w="0" w:type="dxa"/>
        <w:tblBorders>
          <w:top w:val="single" w:sz="4" w:space="0" w:color="A6A6A6" w:themeColor="background1" w:themeShade="A6"/>
          <w:bottom w:val="single" w:sz="4" w:space="0" w:color="A6A6A6" w:themeColor="background1" w:themeShade="A6"/>
          <w:insideH w:val="single" w:sz="4" w:space="0" w:color="A6A6A6" w:themeColor="background1" w:themeShade="A6"/>
        </w:tblBorders>
        <w:tblCellMar>
          <w:left w:w="0" w:type="dxa"/>
          <w:right w:w="0" w:type="dxa"/>
        </w:tblCellMar>
        <w:tblLook w:val="04A0" w:firstRow="1" w:lastRow="0" w:firstColumn="1" w:lastColumn="0" w:noHBand="0" w:noVBand="1"/>
      </w:tblPr>
      <w:tblGrid>
        <w:gridCol w:w="2835"/>
        <w:gridCol w:w="2970"/>
        <w:gridCol w:w="2250"/>
      </w:tblGrid>
      <w:tr w:rsidR="00DF6D4C" w:rsidRPr="00AF656B" w14:paraId="40BCAD99" w14:textId="77777777" w:rsidTr="26C28BD7">
        <w:trPr>
          <w:trHeight w:val="300"/>
        </w:trPr>
        <w:tc>
          <w:tcPr>
            <w:tcW w:w="2835" w:type="dxa"/>
            <w:tcBorders>
              <w:top w:val="nil"/>
              <w:bottom w:val="nil"/>
            </w:tcBorders>
            <w:shd w:val="clear" w:color="auto" w:fill="D9D9D9" w:themeFill="background1" w:themeFillShade="D9"/>
            <w:hideMark/>
          </w:tcPr>
          <w:p w14:paraId="56D4A2B0" w14:textId="77777777" w:rsidR="00DF6D4C" w:rsidRPr="00AF656B" w:rsidRDefault="00DF6D4C" w:rsidP="00DF6D4C">
            <w:pPr>
              <w:pStyle w:val="TableText"/>
              <w:ind w:left="57" w:right="57"/>
              <w:rPr>
                <w:b/>
                <w:bCs/>
              </w:rPr>
            </w:pPr>
            <w:r w:rsidRPr="00AF656B">
              <w:rPr>
                <w:b/>
                <w:bCs/>
              </w:rPr>
              <w:t> </w:t>
            </w:r>
          </w:p>
        </w:tc>
        <w:tc>
          <w:tcPr>
            <w:tcW w:w="2970" w:type="dxa"/>
            <w:tcBorders>
              <w:top w:val="nil"/>
              <w:bottom w:val="nil"/>
            </w:tcBorders>
            <w:shd w:val="clear" w:color="auto" w:fill="D9D9D9" w:themeFill="background1" w:themeFillShade="D9"/>
            <w:hideMark/>
          </w:tcPr>
          <w:p w14:paraId="36722802" w14:textId="77777777" w:rsidR="00DF6D4C" w:rsidRPr="00AF656B" w:rsidRDefault="00DF6D4C" w:rsidP="00DF6D4C">
            <w:pPr>
              <w:pStyle w:val="TableText"/>
              <w:ind w:left="57" w:right="57"/>
              <w:rPr>
                <w:b/>
                <w:bCs/>
              </w:rPr>
            </w:pPr>
            <w:r w:rsidRPr="00AF656B">
              <w:rPr>
                <w:b/>
                <w:bCs/>
              </w:rPr>
              <w:t>Outcome of assessment </w:t>
            </w:r>
          </w:p>
        </w:tc>
        <w:tc>
          <w:tcPr>
            <w:tcW w:w="2250" w:type="dxa"/>
            <w:tcBorders>
              <w:top w:val="nil"/>
              <w:bottom w:val="nil"/>
            </w:tcBorders>
            <w:shd w:val="clear" w:color="auto" w:fill="D9D9D9" w:themeFill="background1" w:themeFillShade="D9"/>
            <w:hideMark/>
          </w:tcPr>
          <w:p w14:paraId="5475A80C" w14:textId="77777777" w:rsidR="00DF6D4C" w:rsidRPr="00AF656B" w:rsidRDefault="00DF6D4C" w:rsidP="00DF6D4C">
            <w:pPr>
              <w:pStyle w:val="TableText"/>
              <w:ind w:left="57" w:right="57"/>
              <w:rPr>
                <w:b/>
                <w:bCs/>
              </w:rPr>
            </w:pPr>
            <w:r w:rsidRPr="00AF656B">
              <w:rPr>
                <w:b/>
                <w:bCs/>
              </w:rPr>
              <w:t>Number of assessments </w:t>
            </w:r>
          </w:p>
        </w:tc>
      </w:tr>
      <w:tr w:rsidR="00DF6D4C" w:rsidRPr="00AF656B" w14:paraId="726E96F7" w14:textId="77777777" w:rsidTr="26C28BD7">
        <w:trPr>
          <w:trHeight w:val="300"/>
        </w:trPr>
        <w:tc>
          <w:tcPr>
            <w:tcW w:w="2835" w:type="dxa"/>
            <w:vMerge w:val="restart"/>
            <w:tcBorders>
              <w:top w:val="nil"/>
            </w:tcBorders>
            <w:hideMark/>
          </w:tcPr>
          <w:p w14:paraId="215CAD3C" w14:textId="77777777" w:rsidR="00DF6D4C" w:rsidRPr="00AF656B" w:rsidRDefault="00DF6D4C" w:rsidP="00DF6D4C">
            <w:pPr>
              <w:pStyle w:val="TableText"/>
              <w:ind w:left="57" w:right="57"/>
            </w:pPr>
            <w:r w:rsidRPr="00AF656B">
              <w:t>AMP assessments  </w:t>
            </w:r>
          </w:p>
          <w:p w14:paraId="7B6EAACA" w14:textId="669AF93C" w:rsidR="00DF6D4C" w:rsidRPr="00AF656B" w:rsidRDefault="00DF6D4C" w:rsidP="00DF6D4C">
            <w:pPr>
              <w:pStyle w:val="TableText"/>
              <w:ind w:left="57" w:right="57"/>
            </w:pPr>
            <w:r w:rsidRPr="00AF656B">
              <w:t xml:space="preserve">(N = </w:t>
            </w:r>
            <w:r w:rsidR="53DEA8A1" w:rsidRPr="00AF656B">
              <w:t>1</w:t>
            </w:r>
            <w:r w:rsidR="0FA1F1EC" w:rsidRPr="00AF656B">
              <w:t>,</w:t>
            </w:r>
            <w:r w:rsidR="53DEA8A1" w:rsidRPr="00AF656B">
              <w:t>106</w:t>
            </w:r>
            <w:r w:rsidRPr="00AF656B">
              <w:t>) </w:t>
            </w:r>
          </w:p>
        </w:tc>
        <w:tc>
          <w:tcPr>
            <w:tcW w:w="2970" w:type="dxa"/>
            <w:tcBorders>
              <w:top w:val="nil"/>
            </w:tcBorders>
            <w:hideMark/>
          </w:tcPr>
          <w:p w14:paraId="5F9AF8F9" w14:textId="77777777" w:rsidR="00DF6D4C" w:rsidRPr="00AF656B" w:rsidRDefault="00DF6D4C" w:rsidP="00DF6D4C">
            <w:pPr>
              <w:pStyle w:val="TableText"/>
              <w:ind w:left="57" w:right="57"/>
            </w:pPr>
            <w:r w:rsidRPr="00AF656B">
              <w:t>Eligible </w:t>
            </w:r>
          </w:p>
        </w:tc>
        <w:tc>
          <w:tcPr>
            <w:tcW w:w="2250" w:type="dxa"/>
            <w:tcBorders>
              <w:top w:val="nil"/>
            </w:tcBorders>
          </w:tcPr>
          <w:p w14:paraId="574E5062" w14:textId="43FF4343" w:rsidR="00DF6D4C" w:rsidRPr="00AF656B" w:rsidRDefault="00E05DD0" w:rsidP="00DF6D4C">
            <w:pPr>
              <w:pStyle w:val="TableText"/>
              <w:ind w:left="57" w:right="57"/>
              <w:jc w:val="right"/>
            </w:pPr>
            <w:r w:rsidRPr="00AF656B">
              <w:t>929</w:t>
            </w:r>
          </w:p>
        </w:tc>
      </w:tr>
      <w:tr w:rsidR="00DF6D4C" w:rsidRPr="00AF656B" w14:paraId="1E86B1AB" w14:textId="77777777" w:rsidTr="26C28BD7">
        <w:trPr>
          <w:trHeight w:val="300"/>
        </w:trPr>
        <w:tc>
          <w:tcPr>
            <w:tcW w:w="0" w:type="auto"/>
            <w:vMerge/>
            <w:vAlign w:val="center"/>
            <w:hideMark/>
          </w:tcPr>
          <w:p w14:paraId="17A279FE" w14:textId="77777777" w:rsidR="00DF6D4C" w:rsidRPr="00AF656B" w:rsidRDefault="00DF6D4C" w:rsidP="00DF6D4C">
            <w:pPr>
              <w:pStyle w:val="TableText"/>
              <w:ind w:left="57" w:right="57"/>
            </w:pPr>
          </w:p>
        </w:tc>
        <w:tc>
          <w:tcPr>
            <w:tcW w:w="2970" w:type="dxa"/>
            <w:hideMark/>
          </w:tcPr>
          <w:p w14:paraId="4F2ECD47" w14:textId="77777777" w:rsidR="00DF6D4C" w:rsidRPr="00AF656B" w:rsidRDefault="00DF6D4C" w:rsidP="00DF6D4C">
            <w:pPr>
              <w:pStyle w:val="TableText"/>
              <w:ind w:left="57" w:right="57"/>
            </w:pPr>
            <w:r w:rsidRPr="00AF656B">
              <w:t>Ineligible </w:t>
            </w:r>
          </w:p>
        </w:tc>
        <w:tc>
          <w:tcPr>
            <w:tcW w:w="2250" w:type="dxa"/>
          </w:tcPr>
          <w:p w14:paraId="51860BFC" w14:textId="113C663A" w:rsidR="00DF6D4C" w:rsidRPr="00AF656B" w:rsidRDefault="00E05DD0" w:rsidP="00DF6D4C">
            <w:pPr>
              <w:pStyle w:val="TableText"/>
              <w:ind w:left="57" w:right="57"/>
              <w:jc w:val="right"/>
            </w:pPr>
            <w:r w:rsidRPr="00AF656B">
              <w:t>165</w:t>
            </w:r>
          </w:p>
        </w:tc>
      </w:tr>
      <w:tr w:rsidR="00DF6D4C" w:rsidRPr="00AF656B" w14:paraId="1574BD52" w14:textId="77777777" w:rsidTr="26C28BD7">
        <w:trPr>
          <w:trHeight w:val="300"/>
        </w:trPr>
        <w:tc>
          <w:tcPr>
            <w:tcW w:w="2835" w:type="dxa"/>
            <w:tcBorders>
              <w:top w:val="nil"/>
            </w:tcBorders>
            <w:vAlign w:val="center"/>
            <w:hideMark/>
          </w:tcPr>
          <w:p w14:paraId="305AAEE9" w14:textId="77777777" w:rsidR="00DF6D4C" w:rsidRPr="00AF656B" w:rsidRDefault="00DF6D4C" w:rsidP="00DF6D4C">
            <w:pPr>
              <w:pStyle w:val="TableText"/>
              <w:ind w:left="57" w:right="57"/>
            </w:pPr>
            <w:r w:rsidRPr="00AF656B">
              <w:t> </w:t>
            </w:r>
          </w:p>
        </w:tc>
        <w:tc>
          <w:tcPr>
            <w:tcW w:w="2970" w:type="dxa"/>
            <w:hideMark/>
          </w:tcPr>
          <w:p w14:paraId="21F4E68E" w14:textId="77777777" w:rsidR="00DF6D4C" w:rsidRPr="00AF656B" w:rsidRDefault="00DF6D4C" w:rsidP="00DF6D4C">
            <w:pPr>
              <w:pStyle w:val="TableText"/>
              <w:ind w:left="57" w:right="57"/>
            </w:pPr>
            <w:r w:rsidRPr="00AF656B">
              <w:t>Not competent at assessment </w:t>
            </w:r>
          </w:p>
        </w:tc>
        <w:tc>
          <w:tcPr>
            <w:tcW w:w="2250" w:type="dxa"/>
          </w:tcPr>
          <w:p w14:paraId="4B3D9B1E" w14:textId="59482D38" w:rsidR="00DF6D4C" w:rsidRPr="00AF656B" w:rsidRDefault="00E05DD0" w:rsidP="00DF6D4C">
            <w:pPr>
              <w:pStyle w:val="TableText"/>
              <w:ind w:left="57" w:right="57"/>
              <w:jc w:val="right"/>
            </w:pPr>
            <w:r w:rsidRPr="00AF656B">
              <w:t>12</w:t>
            </w:r>
          </w:p>
        </w:tc>
      </w:tr>
      <w:tr w:rsidR="00DF6D4C" w:rsidRPr="00AF656B" w14:paraId="580B5008" w14:textId="77777777" w:rsidTr="26C28BD7">
        <w:trPr>
          <w:trHeight w:val="300"/>
        </w:trPr>
        <w:tc>
          <w:tcPr>
            <w:tcW w:w="2835" w:type="dxa"/>
            <w:vMerge w:val="restart"/>
            <w:hideMark/>
          </w:tcPr>
          <w:p w14:paraId="3A8FAA16" w14:textId="77777777" w:rsidR="00DF6D4C" w:rsidRPr="00AF656B" w:rsidRDefault="00DF6D4C" w:rsidP="00DF6D4C">
            <w:pPr>
              <w:pStyle w:val="TableText"/>
              <w:ind w:left="57" w:right="57"/>
            </w:pPr>
            <w:r w:rsidRPr="00AF656B">
              <w:t>IMP assessments  </w:t>
            </w:r>
          </w:p>
          <w:p w14:paraId="347CE9C8" w14:textId="4D8DB501" w:rsidR="00DF6D4C" w:rsidRPr="00AF656B" w:rsidRDefault="00DF6D4C" w:rsidP="00DF6D4C">
            <w:pPr>
              <w:pStyle w:val="TableText"/>
              <w:ind w:left="57" w:right="57"/>
            </w:pPr>
            <w:r w:rsidRPr="00AF656B">
              <w:t xml:space="preserve">(N = </w:t>
            </w:r>
            <w:r w:rsidR="00D05A1B" w:rsidRPr="00AF656B">
              <w:t>832</w:t>
            </w:r>
            <w:r w:rsidRPr="00AF656B">
              <w:t>) </w:t>
            </w:r>
          </w:p>
        </w:tc>
        <w:tc>
          <w:tcPr>
            <w:tcW w:w="2970" w:type="dxa"/>
            <w:hideMark/>
          </w:tcPr>
          <w:p w14:paraId="372164B0" w14:textId="77777777" w:rsidR="00DF6D4C" w:rsidRPr="00AF656B" w:rsidRDefault="00DF6D4C" w:rsidP="00DF6D4C">
            <w:pPr>
              <w:pStyle w:val="TableText"/>
              <w:ind w:left="57" w:right="57"/>
            </w:pPr>
            <w:r w:rsidRPr="00AF656B">
              <w:t>Eligible </w:t>
            </w:r>
          </w:p>
        </w:tc>
        <w:tc>
          <w:tcPr>
            <w:tcW w:w="2250" w:type="dxa"/>
          </w:tcPr>
          <w:p w14:paraId="17209546" w14:textId="50CEB990" w:rsidR="00DF6D4C" w:rsidRPr="00AF656B" w:rsidRDefault="00E05DD0" w:rsidP="00DF6D4C">
            <w:pPr>
              <w:pStyle w:val="TableText"/>
              <w:ind w:left="57" w:right="57"/>
              <w:jc w:val="right"/>
            </w:pPr>
            <w:r w:rsidRPr="00AF656B">
              <w:t>793</w:t>
            </w:r>
          </w:p>
        </w:tc>
      </w:tr>
      <w:tr w:rsidR="00DF6D4C" w:rsidRPr="00AF656B" w14:paraId="5AD17CE1" w14:textId="77777777" w:rsidTr="26C28BD7">
        <w:trPr>
          <w:trHeight w:val="300"/>
        </w:trPr>
        <w:tc>
          <w:tcPr>
            <w:tcW w:w="0" w:type="auto"/>
            <w:vMerge/>
            <w:vAlign w:val="center"/>
            <w:hideMark/>
          </w:tcPr>
          <w:p w14:paraId="450A2630" w14:textId="77777777" w:rsidR="00DF6D4C" w:rsidRPr="00AF656B" w:rsidRDefault="00DF6D4C" w:rsidP="00DF6D4C">
            <w:pPr>
              <w:pStyle w:val="TableText"/>
              <w:ind w:left="57" w:right="57"/>
            </w:pPr>
          </w:p>
        </w:tc>
        <w:tc>
          <w:tcPr>
            <w:tcW w:w="2970" w:type="dxa"/>
            <w:hideMark/>
          </w:tcPr>
          <w:p w14:paraId="3167CCC4" w14:textId="77777777" w:rsidR="00DF6D4C" w:rsidRPr="00AF656B" w:rsidRDefault="00DF6D4C" w:rsidP="00DF6D4C">
            <w:pPr>
              <w:pStyle w:val="TableText"/>
              <w:ind w:left="57" w:right="57"/>
            </w:pPr>
            <w:r w:rsidRPr="00AF656B">
              <w:t>Ineligible </w:t>
            </w:r>
          </w:p>
        </w:tc>
        <w:tc>
          <w:tcPr>
            <w:tcW w:w="2250" w:type="dxa"/>
          </w:tcPr>
          <w:p w14:paraId="7627400F" w14:textId="2A9C030A" w:rsidR="00DF6D4C" w:rsidRPr="00AF656B" w:rsidRDefault="00E05DD0" w:rsidP="00DF6D4C">
            <w:pPr>
              <w:pStyle w:val="TableText"/>
              <w:ind w:left="57" w:right="57"/>
              <w:jc w:val="right"/>
            </w:pPr>
            <w:r w:rsidRPr="00AF656B">
              <w:t>17</w:t>
            </w:r>
          </w:p>
        </w:tc>
      </w:tr>
      <w:tr w:rsidR="00DF6D4C" w:rsidRPr="00AF656B" w14:paraId="117336CB" w14:textId="77777777" w:rsidTr="26C28BD7">
        <w:trPr>
          <w:trHeight w:val="300"/>
        </w:trPr>
        <w:tc>
          <w:tcPr>
            <w:tcW w:w="2835" w:type="dxa"/>
            <w:tcBorders>
              <w:top w:val="nil"/>
              <w:bottom w:val="single" w:sz="4" w:space="0" w:color="A6A6A6" w:themeColor="background1" w:themeShade="A6"/>
            </w:tcBorders>
            <w:vAlign w:val="center"/>
            <w:hideMark/>
          </w:tcPr>
          <w:p w14:paraId="31B0A047" w14:textId="77777777" w:rsidR="00DF6D4C" w:rsidRPr="00AF656B" w:rsidRDefault="00DF6D4C" w:rsidP="00DF6D4C">
            <w:pPr>
              <w:pStyle w:val="TableText"/>
              <w:ind w:left="57" w:right="57"/>
            </w:pPr>
            <w:r w:rsidRPr="00AF656B">
              <w:t> </w:t>
            </w:r>
          </w:p>
        </w:tc>
        <w:tc>
          <w:tcPr>
            <w:tcW w:w="2970" w:type="dxa"/>
            <w:tcBorders>
              <w:bottom w:val="single" w:sz="4" w:space="0" w:color="A6A6A6" w:themeColor="background1" w:themeShade="A6"/>
            </w:tcBorders>
            <w:hideMark/>
          </w:tcPr>
          <w:p w14:paraId="600183C8" w14:textId="77777777" w:rsidR="00DF6D4C" w:rsidRPr="00AF656B" w:rsidRDefault="00DF6D4C" w:rsidP="00DF6D4C">
            <w:pPr>
              <w:pStyle w:val="TableText"/>
              <w:ind w:left="57" w:right="57"/>
            </w:pPr>
            <w:r w:rsidRPr="00AF656B">
              <w:t>Not competent at assessment </w:t>
            </w:r>
          </w:p>
        </w:tc>
        <w:tc>
          <w:tcPr>
            <w:tcW w:w="2250" w:type="dxa"/>
          </w:tcPr>
          <w:p w14:paraId="35296E24" w14:textId="6F2F8FEA" w:rsidR="00DF6D4C" w:rsidRPr="00AF656B" w:rsidRDefault="00E05DD0" w:rsidP="00DF6D4C">
            <w:pPr>
              <w:pStyle w:val="TableText"/>
              <w:ind w:left="57" w:right="57"/>
              <w:jc w:val="right"/>
            </w:pPr>
            <w:r w:rsidRPr="00AF656B">
              <w:t>22</w:t>
            </w:r>
          </w:p>
        </w:tc>
      </w:tr>
      <w:tr w:rsidR="00DF6D4C" w:rsidRPr="00AF656B" w14:paraId="5499EF18" w14:textId="77777777" w:rsidTr="26C28BD7">
        <w:trPr>
          <w:trHeight w:val="300"/>
        </w:trPr>
        <w:tc>
          <w:tcPr>
            <w:tcW w:w="2835" w:type="dxa"/>
            <w:vMerge w:val="restart"/>
            <w:tcBorders>
              <w:top w:val="single" w:sz="4" w:space="0" w:color="A6A6A6" w:themeColor="background1" w:themeShade="A6"/>
            </w:tcBorders>
            <w:hideMark/>
          </w:tcPr>
          <w:p w14:paraId="0C09C9D0" w14:textId="77777777" w:rsidR="00DF6D4C" w:rsidRPr="00AF656B" w:rsidRDefault="00DF6D4C" w:rsidP="00DF6D4C">
            <w:pPr>
              <w:pStyle w:val="TableText"/>
              <w:ind w:left="57" w:right="57"/>
            </w:pPr>
            <w:r w:rsidRPr="00AF656B">
              <w:t>Eligibility discussion following assessment </w:t>
            </w:r>
          </w:p>
          <w:p w14:paraId="6E8FEFA6" w14:textId="37A7DE21" w:rsidR="00DF6D4C" w:rsidRPr="00AF656B" w:rsidRDefault="00DF6D4C" w:rsidP="00DF6D4C">
            <w:pPr>
              <w:pStyle w:val="TableText"/>
              <w:ind w:left="57" w:right="57"/>
            </w:pPr>
            <w:r w:rsidRPr="00AF656B">
              <w:t>(N = 7</w:t>
            </w:r>
            <w:r w:rsidR="00AB08B3">
              <w:t>69</w:t>
            </w:r>
            <w:r w:rsidRPr="00AF656B">
              <w:t>) </w:t>
            </w:r>
          </w:p>
        </w:tc>
        <w:tc>
          <w:tcPr>
            <w:tcW w:w="2970" w:type="dxa"/>
            <w:tcBorders>
              <w:top w:val="single" w:sz="4" w:space="0" w:color="A6A6A6" w:themeColor="background1" w:themeShade="A6"/>
            </w:tcBorders>
            <w:hideMark/>
          </w:tcPr>
          <w:p w14:paraId="22E9B143" w14:textId="77777777" w:rsidR="00DF6D4C" w:rsidRPr="00AF656B" w:rsidRDefault="00DF6D4C" w:rsidP="00DF6D4C">
            <w:pPr>
              <w:pStyle w:val="TableText"/>
              <w:ind w:left="57" w:right="57"/>
            </w:pPr>
            <w:r w:rsidRPr="00AF656B">
              <w:t>Eligible  </w:t>
            </w:r>
          </w:p>
        </w:tc>
        <w:tc>
          <w:tcPr>
            <w:tcW w:w="2250" w:type="dxa"/>
          </w:tcPr>
          <w:p w14:paraId="7A4217DA" w14:textId="59A3A42B" w:rsidR="00DF6D4C" w:rsidRPr="00AF656B" w:rsidRDefault="00E05DD0" w:rsidP="00DF6D4C">
            <w:pPr>
              <w:pStyle w:val="TableText"/>
              <w:ind w:left="57" w:right="57"/>
              <w:jc w:val="right"/>
            </w:pPr>
            <w:r w:rsidRPr="00AF656B">
              <w:t>769</w:t>
            </w:r>
          </w:p>
        </w:tc>
      </w:tr>
      <w:tr w:rsidR="00DF6D4C" w:rsidRPr="00AF656B" w14:paraId="2D00EE37" w14:textId="77777777" w:rsidTr="26C28BD7">
        <w:trPr>
          <w:trHeight w:val="300"/>
        </w:trPr>
        <w:tc>
          <w:tcPr>
            <w:tcW w:w="0" w:type="auto"/>
            <w:vMerge/>
            <w:vAlign w:val="center"/>
            <w:hideMark/>
          </w:tcPr>
          <w:p w14:paraId="307650F3" w14:textId="77777777" w:rsidR="00DF6D4C" w:rsidRPr="00AF656B" w:rsidRDefault="00DF6D4C" w:rsidP="00DF6D4C">
            <w:pPr>
              <w:pStyle w:val="TableText"/>
              <w:ind w:left="57" w:right="57"/>
            </w:pPr>
          </w:p>
        </w:tc>
        <w:tc>
          <w:tcPr>
            <w:tcW w:w="2970" w:type="dxa"/>
            <w:hideMark/>
          </w:tcPr>
          <w:p w14:paraId="460C3CF7" w14:textId="503DE49E" w:rsidR="00DF6D4C" w:rsidRPr="00AF656B" w:rsidRDefault="003A33FA" w:rsidP="00DF6D4C">
            <w:pPr>
              <w:pStyle w:val="TableText"/>
              <w:ind w:left="57" w:right="57"/>
            </w:pPr>
            <w:r w:rsidRPr="00AF656B">
              <w:t xml:space="preserve">Ineligible </w:t>
            </w:r>
            <w:r w:rsidR="00DF6D4C" w:rsidRPr="00AF656B">
              <w:t> </w:t>
            </w:r>
          </w:p>
        </w:tc>
        <w:tc>
          <w:tcPr>
            <w:tcW w:w="2250" w:type="dxa"/>
          </w:tcPr>
          <w:p w14:paraId="5E8B9C88" w14:textId="03D2CB40" w:rsidR="00DF6D4C" w:rsidRPr="00AF656B" w:rsidRDefault="485FF8E3" w:rsidP="00DF6D4C">
            <w:pPr>
              <w:pStyle w:val="TableText"/>
              <w:ind w:left="57" w:right="57"/>
              <w:jc w:val="right"/>
            </w:pPr>
            <w:r w:rsidRPr="00AF656B">
              <w:t>0</w:t>
            </w:r>
          </w:p>
        </w:tc>
      </w:tr>
    </w:tbl>
    <w:p w14:paraId="5E0CBB1C" w14:textId="77777777" w:rsidR="00FD6E37" w:rsidRDefault="00FD6E37" w:rsidP="002E3586">
      <w:pPr>
        <w:rPr>
          <w:lang w:eastAsia="en-NZ"/>
        </w:rPr>
      </w:pPr>
    </w:p>
    <w:p w14:paraId="04BD15B9" w14:textId="4B391C4D" w:rsidR="002E3586" w:rsidRDefault="00DF6D4C" w:rsidP="002E3586">
      <w:pPr>
        <w:rPr>
          <w:lang w:eastAsia="en-NZ"/>
        </w:rPr>
      </w:pPr>
      <w:r w:rsidRPr="00AF656B">
        <w:rPr>
          <w:lang w:eastAsia="en-NZ"/>
        </w:rPr>
        <w:t xml:space="preserve">An AMP or an IMP may request an assessment from a psychiatrist </w:t>
      </w:r>
      <w:r w:rsidR="004A14E6">
        <w:rPr>
          <w:lang w:eastAsia="en-NZ"/>
        </w:rPr>
        <w:t>who is on</w:t>
      </w:r>
      <w:r w:rsidR="004A14E6" w:rsidRPr="00AF656B">
        <w:rPr>
          <w:lang w:eastAsia="en-NZ"/>
        </w:rPr>
        <w:t xml:space="preserve"> </w:t>
      </w:r>
      <w:r w:rsidRPr="00AF656B">
        <w:rPr>
          <w:lang w:eastAsia="en-NZ"/>
        </w:rPr>
        <w:t xml:space="preserve">the SCENZ </w:t>
      </w:r>
      <w:r w:rsidR="00B73BE6">
        <w:rPr>
          <w:lang w:eastAsia="en-NZ"/>
        </w:rPr>
        <w:t xml:space="preserve">Group </w:t>
      </w:r>
      <w:r w:rsidRPr="00AF656B">
        <w:rPr>
          <w:lang w:eastAsia="en-NZ"/>
        </w:rPr>
        <w:t xml:space="preserve">list </w:t>
      </w:r>
      <w:r w:rsidR="00931FDF">
        <w:rPr>
          <w:lang w:eastAsia="en-NZ"/>
        </w:rPr>
        <w:t xml:space="preserve">of psychiatrists </w:t>
      </w:r>
      <w:r w:rsidRPr="00AF656B">
        <w:rPr>
          <w:lang w:eastAsia="en-NZ"/>
        </w:rPr>
        <w:t xml:space="preserve">as to whether a particular applicant is competent to make an informed decision about assisted dying. </w:t>
      </w:r>
      <w:r w:rsidR="002E3586" w:rsidRPr="002E3586">
        <w:rPr>
          <w:lang w:eastAsia="en-NZ"/>
        </w:rPr>
        <w:t xml:space="preserve">Psychiatrists provide </w:t>
      </w:r>
      <w:r w:rsidR="00F15DD5">
        <w:rPr>
          <w:lang w:eastAsia="en-NZ"/>
        </w:rPr>
        <w:t xml:space="preserve">an </w:t>
      </w:r>
      <w:r w:rsidR="002E3586" w:rsidRPr="002E3586">
        <w:rPr>
          <w:lang w:eastAsia="en-NZ"/>
        </w:rPr>
        <w:t>independent, expert assessment</w:t>
      </w:r>
      <w:r w:rsidR="006C5013">
        <w:rPr>
          <w:lang w:eastAsia="en-NZ"/>
        </w:rPr>
        <w:t xml:space="preserve"> </w:t>
      </w:r>
      <w:r w:rsidR="002E3586" w:rsidRPr="002E3586">
        <w:rPr>
          <w:lang w:eastAsia="en-NZ"/>
        </w:rPr>
        <w:t>of a person’s decision-making capacity. They are able to identify whether any impairment is temporary or linked to a more complex mental health condition</w:t>
      </w:r>
      <w:r w:rsidR="00017290">
        <w:rPr>
          <w:lang w:eastAsia="en-NZ"/>
        </w:rPr>
        <w:t>. Their assessment</w:t>
      </w:r>
      <w:r w:rsidR="002E3586" w:rsidRPr="002E3586">
        <w:rPr>
          <w:lang w:eastAsia="en-NZ"/>
        </w:rPr>
        <w:t xml:space="preserve"> help</w:t>
      </w:r>
      <w:r w:rsidR="00017290">
        <w:rPr>
          <w:lang w:eastAsia="en-NZ"/>
        </w:rPr>
        <w:t>s to establish whether</w:t>
      </w:r>
      <w:r w:rsidR="002E3586" w:rsidRPr="002E3586">
        <w:rPr>
          <w:lang w:eastAsia="en-NZ"/>
        </w:rPr>
        <w:t xml:space="preserve"> a person seeking assisted dying can</w:t>
      </w:r>
      <w:r w:rsidR="00017290">
        <w:rPr>
          <w:lang w:eastAsia="en-NZ"/>
        </w:rPr>
        <w:t xml:space="preserve"> actually</w:t>
      </w:r>
      <w:r w:rsidR="002E3586" w:rsidRPr="002E3586">
        <w:rPr>
          <w:lang w:eastAsia="en-NZ"/>
        </w:rPr>
        <w:t xml:space="preserve"> make an informed choice. Their role supports both the protection of vulnerable individuals and respect for personal autonomy.</w:t>
      </w:r>
    </w:p>
    <w:p w14:paraId="43F604CC" w14:textId="77777777" w:rsidR="00104F72" w:rsidRPr="002E3586" w:rsidRDefault="00104F72" w:rsidP="002E3586">
      <w:pPr>
        <w:rPr>
          <w:lang w:eastAsia="en-NZ"/>
        </w:rPr>
      </w:pPr>
    </w:p>
    <w:p w14:paraId="39B403B3" w14:textId="4D5243B6" w:rsidR="009C1C66" w:rsidRDefault="00DF6D4C" w:rsidP="00DF6D4C">
      <w:pPr>
        <w:rPr>
          <w:lang w:eastAsia="en-NZ"/>
        </w:rPr>
      </w:pPr>
      <w:r w:rsidRPr="00AF656B">
        <w:rPr>
          <w:lang w:eastAsia="en-NZ"/>
        </w:rPr>
        <w:t xml:space="preserve">In the current period, psychiatrists completed </w:t>
      </w:r>
      <w:r w:rsidR="003A33FA" w:rsidRPr="00AF656B">
        <w:rPr>
          <w:lang w:eastAsia="en-NZ"/>
        </w:rPr>
        <w:t>16</w:t>
      </w:r>
      <w:r w:rsidRPr="00AF656B">
        <w:rPr>
          <w:lang w:eastAsia="en-NZ"/>
        </w:rPr>
        <w:t xml:space="preserve"> assessments. As a result, </w:t>
      </w:r>
      <w:r w:rsidR="003A33FA" w:rsidRPr="00AF656B">
        <w:rPr>
          <w:lang w:eastAsia="en-NZ"/>
        </w:rPr>
        <w:t>one individual</w:t>
      </w:r>
      <w:r w:rsidR="00A1117D" w:rsidRPr="00AF656B">
        <w:rPr>
          <w:lang w:eastAsia="en-NZ"/>
        </w:rPr>
        <w:t xml:space="preserve"> was</w:t>
      </w:r>
      <w:r w:rsidRPr="00AF656B">
        <w:rPr>
          <w:lang w:eastAsia="en-NZ"/>
        </w:rPr>
        <w:t xml:space="preserve"> determined not to be competent to make an informed decision about assisted dying</w:t>
      </w:r>
      <w:r w:rsidR="00E2533F">
        <w:rPr>
          <w:lang w:eastAsia="en-NZ"/>
        </w:rPr>
        <w:t xml:space="preserve"> </w:t>
      </w:r>
      <w:r w:rsidR="009C1C66">
        <w:rPr>
          <w:lang w:eastAsia="en-NZ"/>
        </w:rPr>
        <w:t xml:space="preserve">and their application stopped. </w:t>
      </w:r>
    </w:p>
    <w:p w14:paraId="3D10B4A8" w14:textId="77777777" w:rsidR="009C1C66" w:rsidRDefault="009C1C66" w:rsidP="00DF6D4C">
      <w:pPr>
        <w:rPr>
          <w:lang w:eastAsia="en-NZ"/>
        </w:rPr>
      </w:pPr>
    </w:p>
    <w:p w14:paraId="28D9182C" w14:textId="5A9E1018" w:rsidR="00DF6D4C" w:rsidRPr="00AF656B" w:rsidRDefault="009C1C66" w:rsidP="00DF6D4C">
      <w:pPr>
        <w:rPr>
          <w:lang w:eastAsia="en-NZ"/>
        </w:rPr>
      </w:pPr>
      <w:r>
        <w:rPr>
          <w:lang w:eastAsia="en-NZ"/>
        </w:rPr>
        <w:t xml:space="preserve">Only people who are competent can continue through the assisted dying process. </w:t>
      </w:r>
      <w:r w:rsidR="00DF6D4C" w:rsidRPr="00AF656B">
        <w:rPr>
          <w:lang w:eastAsia="en-NZ"/>
        </w:rPr>
        <w:t>   </w:t>
      </w:r>
    </w:p>
    <w:p w14:paraId="2B811AB1" w14:textId="77777777" w:rsidR="00DF6D4C" w:rsidRPr="00AF656B" w:rsidRDefault="00DF6D4C" w:rsidP="00DF6D4C">
      <w:pPr>
        <w:rPr>
          <w:lang w:eastAsia="en-NZ"/>
        </w:rPr>
      </w:pPr>
    </w:p>
    <w:p w14:paraId="12E9AF73" w14:textId="4E137B9F" w:rsidR="00DF6D4C" w:rsidRPr="00AF656B" w:rsidRDefault="00DF6D4C" w:rsidP="00DF6D4C">
      <w:r w:rsidRPr="00AF656B">
        <w:rPr>
          <w:rStyle w:val="normaltextrun"/>
          <w:rFonts w:cs="Segoe UI"/>
          <w:szCs w:val="21"/>
        </w:rPr>
        <w:t xml:space="preserve">For more information about the process for assisted dying </w:t>
      </w:r>
      <w:r w:rsidR="00272CD5">
        <w:rPr>
          <w:rStyle w:val="normaltextrun"/>
          <w:rFonts w:cs="Segoe UI"/>
          <w:szCs w:val="21"/>
        </w:rPr>
        <w:t>and</w:t>
      </w:r>
      <w:r w:rsidR="00272CD5" w:rsidRPr="00AF656B">
        <w:rPr>
          <w:rStyle w:val="normaltextrun"/>
          <w:rFonts w:cs="Segoe UI"/>
          <w:szCs w:val="21"/>
        </w:rPr>
        <w:t xml:space="preserve"> </w:t>
      </w:r>
      <w:r w:rsidRPr="00AF656B">
        <w:rPr>
          <w:rStyle w:val="normaltextrun"/>
          <w:rFonts w:cs="Segoe UI"/>
          <w:szCs w:val="21"/>
        </w:rPr>
        <w:t>the roles of the practitioners in the service, visit the Health New Zealand website</w:t>
      </w:r>
      <w:r w:rsidR="004A14E6">
        <w:rPr>
          <w:rStyle w:val="normaltextrun"/>
          <w:rFonts w:cs="Segoe UI"/>
          <w:szCs w:val="21"/>
        </w:rPr>
        <w:t xml:space="preserve"> at </w:t>
      </w:r>
      <w:hyperlink r:id="rId36" w:history="1">
        <w:r w:rsidR="004A14E6" w:rsidRPr="004A14E6">
          <w:rPr>
            <w:rStyle w:val="Hyperlink"/>
            <w:rFonts w:cs="Segoe UI"/>
            <w:szCs w:val="21"/>
          </w:rPr>
          <w:t>healthnz.govt.nz</w:t>
        </w:r>
      </w:hyperlink>
      <w:r w:rsidRPr="00AF656B">
        <w:rPr>
          <w:rStyle w:val="normaltextrun"/>
          <w:rFonts w:cs="Segoe UI"/>
          <w:szCs w:val="21"/>
        </w:rPr>
        <w:t xml:space="preserve"> and search for ‘assisted dying </w:t>
      </w:r>
      <w:proofErr w:type="gramStart"/>
      <w:r w:rsidRPr="00AF656B">
        <w:rPr>
          <w:rStyle w:val="normaltextrun"/>
          <w:rFonts w:cs="Segoe UI"/>
          <w:szCs w:val="21"/>
        </w:rPr>
        <w:t>services’</w:t>
      </w:r>
      <w:proofErr w:type="gramEnd"/>
      <w:r w:rsidRPr="00AF656B">
        <w:rPr>
          <w:rStyle w:val="normaltextrun"/>
          <w:rFonts w:cs="Segoe UI"/>
          <w:szCs w:val="21"/>
        </w:rPr>
        <w:t>.</w:t>
      </w:r>
    </w:p>
    <w:p w14:paraId="4D91686C" w14:textId="77777777" w:rsidR="00DF6D4C" w:rsidRPr="00AF656B" w:rsidRDefault="00DF6D4C" w:rsidP="00DF6D4C">
      <w:pPr>
        <w:pStyle w:val="Heading3"/>
        <w:rPr>
          <w:sz w:val="18"/>
          <w:szCs w:val="18"/>
          <w:lang w:eastAsia="en-NZ"/>
        </w:rPr>
      </w:pPr>
      <w:r w:rsidRPr="00AF656B">
        <w:rPr>
          <w:lang w:eastAsia="en-NZ"/>
        </w:rPr>
        <w:t>Ineligibility summaries</w:t>
      </w:r>
    </w:p>
    <w:p w14:paraId="5E5FD63E" w14:textId="05921770" w:rsidR="00DF6D4C" w:rsidRPr="00AF656B" w:rsidRDefault="00031E39" w:rsidP="00DF6D4C">
      <w:pPr>
        <w:textAlignment w:val="baseline"/>
        <w:rPr>
          <w:rFonts w:cs="Segoe UI"/>
          <w:szCs w:val="21"/>
          <w:lang w:eastAsia="en-NZ"/>
        </w:rPr>
      </w:pPr>
      <w:r>
        <w:rPr>
          <w:rFonts w:cs="Segoe UI"/>
          <w:szCs w:val="21"/>
          <w:lang w:eastAsia="en-NZ"/>
        </w:rPr>
        <w:t xml:space="preserve">As </w:t>
      </w:r>
      <w:r w:rsidR="00067755">
        <w:rPr>
          <w:rFonts w:cs="Segoe UI"/>
          <w:szCs w:val="21"/>
          <w:lang w:eastAsia="en-NZ"/>
        </w:rPr>
        <w:t xml:space="preserve">Table 2 </w:t>
      </w:r>
      <w:r w:rsidR="00272CD5">
        <w:rPr>
          <w:rFonts w:cs="Segoe UI"/>
          <w:szCs w:val="21"/>
          <w:lang w:eastAsia="en-NZ"/>
        </w:rPr>
        <w:t>show</w:t>
      </w:r>
      <w:r w:rsidR="004A14E6">
        <w:rPr>
          <w:rFonts w:cs="Segoe UI"/>
          <w:szCs w:val="21"/>
          <w:lang w:eastAsia="en-NZ"/>
        </w:rPr>
        <w:t>s</w:t>
      </w:r>
      <w:r>
        <w:rPr>
          <w:rFonts w:cs="Segoe UI"/>
          <w:szCs w:val="21"/>
          <w:lang w:eastAsia="en-NZ"/>
        </w:rPr>
        <w:t>, n</w:t>
      </w:r>
      <w:r w:rsidRPr="00031E39">
        <w:rPr>
          <w:rFonts w:cs="Segoe UI"/>
          <w:szCs w:val="21"/>
          <w:lang w:eastAsia="en-NZ"/>
        </w:rPr>
        <w:t xml:space="preserve">ot all applications made to the </w:t>
      </w:r>
      <w:r w:rsidR="009D4405">
        <w:rPr>
          <w:rFonts w:cs="Segoe UI"/>
          <w:szCs w:val="21"/>
          <w:lang w:eastAsia="en-NZ"/>
        </w:rPr>
        <w:t>s</w:t>
      </w:r>
      <w:r w:rsidRPr="00031E39">
        <w:rPr>
          <w:rFonts w:cs="Segoe UI"/>
          <w:szCs w:val="21"/>
          <w:lang w:eastAsia="en-NZ"/>
        </w:rPr>
        <w:t>ervice</w:t>
      </w:r>
      <w:r w:rsidR="00726639">
        <w:rPr>
          <w:rFonts w:cs="Segoe UI"/>
          <w:szCs w:val="21"/>
          <w:lang w:eastAsia="en-NZ"/>
        </w:rPr>
        <w:t xml:space="preserve"> in the reporting period</w:t>
      </w:r>
      <w:r w:rsidRPr="00031E39">
        <w:rPr>
          <w:rFonts w:cs="Segoe UI"/>
          <w:szCs w:val="21"/>
          <w:lang w:eastAsia="en-NZ"/>
        </w:rPr>
        <w:t xml:space="preserve"> led to an assisted death, as some individuals </w:t>
      </w:r>
      <w:r w:rsidR="00726639">
        <w:rPr>
          <w:rFonts w:cs="Segoe UI"/>
          <w:szCs w:val="21"/>
          <w:lang w:eastAsia="en-NZ"/>
        </w:rPr>
        <w:t>were</w:t>
      </w:r>
      <w:r w:rsidRPr="00031E39">
        <w:rPr>
          <w:rFonts w:cs="Segoe UI"/>
          <w:szCs w:val="21"/>
          <w:lang w:eastAsia="en-NZ"/>
        </w:rPr>
        <w:t xml:space="preserve"> found ineligible.</w:t>
      </w:r>
      <w:r w:rsidR="00CC5141">
        <w:rPr>
          <w:rFonts w:cs="Segoe UI"/>
          <w:szCs w:val="21"/>
          <w:lang w:eastAsia="en-NZ"/>
        </w:rPr>
        <w:t xml:space="preserve"> </w:t>
      </w:r>
      <w:r w:rsidR="00DF6D4C" w:rsidRPr="00AF656B">
        <w:rPr>
          <w:rFonts w:cs="Segoe UI"/>
          <w:szCs w:val="21"/>
          <w:lang w:eastAsia="en-NZ"/>
        </w:rPr>
        <w:t xml:space="preserve">Reasons for ineligibility </w:t>
      </w:r>
      <w:proofErr w:type="gramStart"/>
      <w:r w:rsidR="00DF6D4C" w:rsidRPr="00AF656B">
        <w:rPr>
          <w:rFonts w:cs="Segoe UI"/>
          <w:szCs w:val="21"/>
          <w:lang w:eastAsia="en-NZ"/>
        </w:rPr>
        <w:t>vary</w:t>
      </w:r>
      <w:r w:rsidR="00726639">
        <w:rPr>
          <w:rFonts w:cs="Segoe UI"/>
          <w:szCs w:val="21"/>
          <w:lang w:eastAsia="en-NZ"/>
        </w:rPr>
        <w:t>:</w:t>
      </w:r>
      <w:proofErr w:type="gramEnd"/>
      <w:r w:rsidR="00726639">
        <w:rPr>
          <w:rFonts w:cs="Segoe UI"/>
          <w:szCs w:val="21"/>
          <w:lang w:eastAsia="en-NZ"/>
        </w:rPr>
        <w:t xml:space="preserve"> they</w:t>
      </w:r>
      <w:r w:rsidR="00DF6D4C" w:rsidRPr="00AF656B">
        <w:rPr>
          <w:rFonts w:cs="Segoe UI"/>
          <w:szCs w:val="21"/>
          <w:lang w:eastAsia="en-NZ"/>
        </w:rPr>
        <w:t xml:space="preserve"> may relate to an applicant’s age, status as a New Zealand citizen/resident or considerations relating to their health and physical decline. </w:t>
      </w:r>
      <w:r w:rsidR="00726639">
        <w:rPr>
          <w:rFonts w:cs="Segoe UI"/>
          <w:szCs w:val="21"/>
          <w:lang w:eastAsia="en-NZ"/>
        </w:rPr>
        <w:t>For m</w:t>
      </w:r>
      <w:r w:rsidR="00DF6D4C" w:rsidRPr="00AF656B">
        <w:rPr>
          <w:rFonts w:cs="Segoe UI"/>
          <w:szCs w:val="21"/>
          <w:lang w:eastAsia="en-NZ"/>
        </w:rPr>
        <w:t>ore information about the eligibility criteria</w:t>
      </w:r>
      <w:r w:rsidR="00726639">
        <w:rPr>
          <w:rFonts w:cs="Segoe UI"/>
          <w:szCs w:val="21"/>
          <w:lang w:eastAsia="en-NZ"/>
        </w:rPr>
        <w:t xml:space="preserve">, visit </w:t>
      </w:r>
      <w:r w:rsidR="0070139B" w:rsidRPr="00D54A0C">
        <w:t>Health New Zealand's</w:t>
      </w:r>
      <w:r w:rsidR="00DF6D4C" w:rsidRPr="00A32127">
        <w:t xml:space="preserve"> </w:t>
      </w:r>
      <w:r w:rsidR="0070139B">
        <w:t>a</w:t>
      </w:r>
      <w:r w:rsidR="0070139B" w:rsidRPr="00A32127">
        <w:t xml:space="preserve">ssisted dying webpage </w:t>
      </w:r>
      <w:r w:rsidR="0070139B">
        <w:t>at</w:t>
      </w:r>
      <w:r w:rsidR="0070139B" w:rsidRPr="00AF656B">
        <w:rPr>
          <w:rFonts w:cs="Segoe UI"/>
          <w:szCs w:val="21"/>
          <w:lang w:eastAsia="en-NZ"/>
        </w:rPr>
        <w:t xml:space="preserve"> </w:t>
      </w:r>
      <w:hyperlink r:id="rId37" w:history="1">
        <w:r w:rsidR="00FA25B7">
          <w:rPr>
            <w:rStyle w:val="Hyperlink"/>
            <w:rFonts w:cs="Segoe UI"/>
            <w:szCs w:val="21"/>
            <w:lang w:eastAsia="en-NZ"/>
          </w:rPr>
          <w:t>healthnz.govt.nz/health-topics/conditions-treatments/death-and-dying/assisted-dying</w:t>
        </w:r>
      </w:hyperlink>
      <w:r w:rsidR="00DF6D4C" w:rsidRPr="00AF656B">
        <w:rPr>
          <w:rFonts w:cs="Segoe UI"/>
          <w:szCs w:val="21"/>
          <w:lang w:eastAsia="en-NZ"/>
        </w:rPr>
        <w:t>. </w:t>
      </w:r>
    </w:p>
    <w:p w14:paraId="06BC7B58" w14:textId="77777777" w:rsidR="00067755" w:rsidRDefault="00067755" w:rsidP="00DF6D4C">
      <w:pPr>
        <w:textAlignment w:val="baseline"/>
        <w:rPr>
          <w:rFonts w:cs="Segoe UI"/>
          <w:szCs w:val="21"/>
          <w:lang w:eastAsia="en-NZ"/>
        </w:rPr>
      </w:pPr>
    </w:p>
    <w:p w14:paraId="4192463F" w14:textId="1649D02C" w:rsidR="00DF6D4C" w:rsidRPr="00AF656B" w:rsidRDefault="00067755" w:rsidP="00DF6D4C">
      <w:pPr>
        <w:textAlignment w:val="baseline"/>
        <w:rPr>
          <w:rFonts w:cs="Segoe UI"/>
          <w:szCs w:val="21"/>
          <w:lang w:eastAsia="en-NZ"/>
        </w:rPr>
      </w:pPr>
      <w:r>
        <w:rPr>
          <w:rFonts w:cs="Segoe UI"/>
          <w:szCs w:val="21"/>
          <w:lang w:eastAsia="en-NZ"/>
        </w:rPr>
        <w:t xml:space="preserve">Table 3 </w:t>
      </w:r>
      <w:r w:rsidR="00DF6D4C" w:rsidRPr="00AF656B">
        <w:rPr>
          <w:rFonts w:cs="Segoe UI"/>
          <w:szCs w:val="21"/>
          <w:lang w:eastAsia="en-NZ"/>
        </w:rPr>
        <w:t xml:space="preserve">summarises </w:t>
      </w:r>
      <w:r w:rsidR="00272CD5">
        <w:rPr>
          <w:rFonts w:cs="Segoe UI"/>
          <w:szCs w:val="21"/>
          <w:lang w:eastAsia="en-NZ"/>
        </w:rPr>
        <w:t>the reasons why</w:t>
      </w:r>
      <w:r w:rsidR="00DF6D4C" w:rsidRPr="00AF656B">
        <w:rPr>
          <w:rFonts w:cs="Segoe UI"/>
          <w:szCs w:val="21"/>
          <w:lang w:eastAsia="en-NZ"/>
        </w:rPr>
        <w:t xml:space="preserve"> AMPs and IMPs </w:t>
      </w:r>
      <w:r w:rsidR="00272CD5">
        <w:rPr>
          <w:rFonts w:cs="Segoe UI"/>
          <w:szCs w:val="21"/>
          <w:lang w:eastAsia="en-NZ"/>
        </w:rPr>
        <w:t xml:space="preserve">decided applicants </w:t>
      </w:r>
      <w:r w:rsidR="00DF6D4C" w:rsidRPr="00AF656B">
        <w:rPr>
          <w:rFonts w:cs="Segoe UI"/>
          <w:szCs w:val="21"/>
          <w:lang w:eastAsia="en-NZ"/>
        </w:rPr>
        <w:t>in 202</w:t>
      </w:r>
      <w:r w:rsidR="006B1F00" w:rsidRPr="00AF656B">
        <w:rPr>
          <w:rFonts w:cs="Segoe UI"/>
          <w:szCs w:val="21"/>
          <w:lang w:eastAsia="en-NZ"/>
        </w:rPr>
        <w:t>5</w:t>
      </w:r>
      <w:r w:rsidR="00DF6D4C" w:rsidRPr="00AF656B">
        <w:rPr>
          <w:rFonts w:cs="Segoe UI"/>
          <w:szCs w:val="21"/>
          <w:lang w:eastAsia="en-NZ"/>
        </w:rPr>
        <w:t>/2</w:t>
      </w:r>
      <w:r w:rsidR="006B1F00" w:rsidRPr="00AF656B">
        <w:rPr>
          <w:rFonts w:cs="Segoe UI"/>
          <w:szCs w:val="21"/>
          <w:lang w:eastAsia="en-NZ"/>
        </w:rPr>
        <w:t>6</w:t>
      </w:r>
      <w:r w:rsidR="00DF6D4C" w:rsidRPr="00AF656B">
        <w:rPr>
          <w:rFonts w:cs="Segoe UI"/>
          <w:szCs w:val="21"/>
          <w:lang w:eastAsia="en-NZ"/>
        </w:rPr>
        <w:t xml:space="preserve"> </w:t>
      </w:r>
      <w:r w:rsidR="00272CD5">
        <w:rPr>
          <w:rFonts w:cs="Segoe UI"/>
          <w:szCs w:val="21"/>
          <w:lang w:eastAsia="en-NZ"/>
        </w:rPr>
        <w:t xml:space="preserve">were ineligible </w:t>
      </w:r>
      <w:r w:rsidR="00DF6D4C" w:rsidRPr="00AF656B">
        <w:rPr>
          <w:rFonts w:cs="Segoe UI"/>
          <w:szCs w:val="21"/>
          <w:lang w:eastAsia="en-NZ"/>
        </w:rPr>
        <w:t xml:space="preserve">at each stage of assessment. </w:t>
      </w:r>
      <w:r w:rsidR="00272CD5">
        <w:rPr>
          <w:rFonts w:cs="Segoe UI"/>
          <w:szCs w:val="21"/>
          <w:lang w:eastAsia="en-NZ"/>
        </w:rPr>
        <w:t>An applicant may be</w:t>
      </w:r>
      <w:r w:rsidR="00272CD5" w:rsidRPr="00AF656B">
        <w:rPr>
          <w:rFonts w:cs="Segoe UI"/>
          <w:szCs w:val="21"/>
          <w:lang w:eastAsia="en-NZ"/>
        </w:rPr>
        <w:t xml:space="preserve"> </w:t>
      </w:r>
      <w:r w:rsidR="00DF6D4C" w:rsidRPr="00AF656B">
        <w:rPr>
          <w:rFonts w:cs="Segoe UI"/>
          <w:szCs w:val="21"/>
          <w:lang w:eastAsia="en-NZ"/>
        </w:rPr>
        <w:t xml:space="preserve">found eligible at the AMP assessment stage but then ineligible at the IMP assessment stage </w:t>
      </w:r>
      <w:r w:rsidR="00272CD5">
        <w:rPr>
          <w:rFonts w:cs="Segoe UI"/>
          <w:szCs w:val="21"/>
          <w:lang w:eastAsia="en-NZ"/>
        </w:rPr>
        <w:t>for</w:t>
      </w:r>
      <w:r w:rsidR="00DF6D4C" w:rsidRPr="00AF656B">
        <w:rPr>
          <w:rFonts w:cs="Segoe UI"/>
          <w:szCs w:val="21"/>
          <w:lang w:eastAsia="en-NZ"/>
        </w:rPr>
        <w:t xml:space="preserve"> a number of reasons</w:t>
      </w:r>
      <w:r w:rsidR="0070139B">
        <w:rPr>
          <w:rFonts w:cs="Segoe UI"/>
          <w:szCs w:val="21"/>
          <w:lang w:eastAsia="en-NZ"/>
        </w:rPr>
        <w:t>. These</w:t>
      </w:r>
      <w:r w:rsidR="00DF6D4C" w:rsidRPr="00AF656B">
        <w:rPr>
          <w:rFonts w:cs="Segoe UI"/>
          <w:szCs w:val="21"/>
          <w:lang w:eastAsia="en-NZ"/>
        </w:rPr>
        <w:t xml:space="preserve"> includ</w:t>
      </w:r>
      <w:r w:rsidR="0070139B">
        <w:rPr>
          <w:rFonts w:cs="Segoe UI"/>
          <w:szCs w:val="21"/>
          <w:lang w:eastAsia="en-NZ"/>
        </w:rPr>
        <w:t>e</w:t>
      </w:r>
      <w:r w:rsidR="00DF6D4C" w:rsidRPr="00AF656B">
        <w:rPr>
          <w:rFonts w:cs="Segoe UI"/>
          <w:szCs w:val="21"/>
          <w:lang w:eastAsia="en-NZ"/>
        </w:rPr>
        <w:t xml:space="preserve"> but </w:t>
      </w:r>
      <w:r w:rsidR="0070139B">
        <w:rPr>
          <w:rFonts w:cs="Segoe UI"/>
          <w:szCs w:val="21"/>
          <w:lang w:eastAsia="en-NZ"/>
        </w:rPr>
        <w:t xml:space="preserve">are </w:t>
      </w:r>
      <w:r w:rsidR="00DF6D4C" w:rsidRPr="00AF656B">
        <w:rPr>
          <w:rFonts w:cs="Segoe UI"/>
          <w:szCs w:val="21"/>
          <w:lang w:eastAsia="en-NZ"/>
        </w:rPr>
        <w:t>not limited to a change in personal circumstances impacting eligibility and/or a change in prognosis.</w:t>
      </w:r>
    </w:p>
    <w:p w14:paraId="239DC6F7" w14:textId="77777777" w:rsidR="00DF6D4C" w:rsidRPr="00AF656B" w:rsidRDefault="00DF6D4C" w:rsidP="00DF6D4C">
      <w:pPr>
        <w:textAlignment w:val="baseline"/>
        <w:rPr>
          <w:rFonts w:cs="Segoe UI"/>
          <w:sz w:val="18"/>
          <w:szCs w:val="18"/>
          <w:lang w:eastAsia="en-NZ"/>
        </w:rPr>
      </w:pPr>
    </w:p>
    <w:p w14:paraId="2C84ADD6" w14:textId="75C26C70" w:rsidR="00DF6D4C" w:rsidRPr="00AF656B" w:rsidRDefault="00DF6D4C" w:rsidP="49D986DF">
      <w:pPr>
        <w:pStyle w:val="Table"/>
        <w:rPr>
          <w:rFonts w:cs="Segoe UI"/>
          <w:lang w:eastAsia="en-NZ"/>
        </w:rPr>
      </w:pPr>
      <w:bookmarkStart w:id="63" w:name="_Ref201743039"/>
      <w:bookmarkStart w:id="64" w:name="_Toc233002303"/>
      <w:r>
        <w:lastRenderedPageBreak/>
        <w:t xml:space="preserve">Table </w:t>
      </w:r>
      <w:r w:rsidRPr="49D986DF">
        <w:fldChar w:fldCharType="begin"/>
      </w:r>
      <w:r>
        <w:instrText xml:space="preserve"> SEQ Table \* ARABIC </w:instrText>
      </w:r>
      <w:r w:rsidRPr="49D986DF">
        <w:fldChar w:fldCharType="separate"/>
      </w:r>
      <w:r w:rsidR="007527A2" w:rsidRPr="49D986DF">
        <w:rPr>
          <w:noProof/>
        </w:rPr>
        <w:t>3</w:t>
      </w:r>
      <w:r w:rsidRPr="49D986DF">
        <w:rPr>
          <w:noProof/>
        </w:rPr>
        <w:fldChar w:fldCharType="end"/>
      </w:r>
      <w:bookmarkEnd w:id="63"/>
      <w:r>
        <w:t xml:space="preserve">: </w:t>
      </w:r>
      <w:r w:rsidR="00272CD5" w:rsidRPr="49D986DF">
        <w:rPr>
          <w:rFonts w:cs="Segoe UI"/>
          <w:lang w:eastAsia="en-NZ"/>
        </w:rPr>
        <w:t xml:space="preserve">Reasons for </w:t>
      </w:r>
      <w:r w:rsidRPr="49D986DF">
        <w:rPr>
          <w:rFonts w:cs="Segoe UI"/>
          <w:lang w:eastAsia="en-NZ"/>
        </w:rPr>
        <w:t>decisions </w:t>
      </w:r>
      <w:r w:rsidR="00272CD5" w:rsidRPr="49D986DF">
        <w:rPr>
          <w:rFonts w:cs="Segoe UI"/>
          <w:lang w:eastAsia="en-NZ"/>
        </w:rPr>
        <w:t>that applicants are ineligible at AMP and IMP assessments,</w:t>
      </w:r>
      <w:r w:rsidR="00272CD5">
        <w:t xml:space="preserve"> 1 April 2025 – 31 March 2026</w:t>
      </w:r>
      <w:r w:rsidR="00272CD5" w:rsidRPr="49D986DF">
        <w:rPr>
          <w:rFonts w:cs="Segoe UI"/>
          <w:lang w:eastAsia="en-NZ"/>
        </w:rPr>
        <w:t> </w:t>
      </w:r>
      <w:r w:rsidR="20D6D8C9" w:rsidRPr="49D986DF">
        <w:rPr>
          <w:rFonts w:cs="Segoe UI"/>
          <w:lang w:eastAsia="en-NZ"/>
        </w:rPr>
        <w:t>*</w:t>
      </w:r>
      <w:bookmarkEnd w:id="64"/>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10"/>
        <w:gridCol w:w="2115"/>
        <w:gridCol w:w="1830"/>
      </w:tblGrid>
      <w:tr w:rsidR="00DF6D4C" w:rsidRPr="00AF656B" w14:paraId="5527C94B" w14:textId="77777777" w:rsidTr="49D986DF">
        <w:trPr>
          <w:trHeight w:val="632"/>
        </w:trPr>
        <w:tc>
          <w:tcPr>
            <w:tcW w:w="4110" w:type="dxa"/>
            <w:tcBorders>
              <w:top w:val="nil"/>
              <w:left w:val="nil"/>
              <w:bottom w:val="nil"/>
              <w:right w:val="nil"/>
            </w:tcBorders>
            <w:shd w:val="clear" w:color="auto" w:fill="D9D9D9" w:themeFill="background1" w:themeFillShade="D9"/>
            <w:hideMark/>
          </w:tcPr>
          <w:p w14:paraId="790DAC87" w14:textId="20AF34DB" w:rsidR="00DF6D4C" w:rsidRPr="00AF656B" w:rsidRDefault="00DF6D4C" w:rsidP="00DF6D4C">
            <w:pPr>
              <w:pStyle w:val="TableText"/>
              <w:ind w:left="57"/>
              <w:rPr>
                <w:b/>
                <w:bCs/>
              </w:rPr>
            </w:pPr>
            <w:r w:rsidRPr="49D986DF">
              <w:rPr>
                <w:b/>
                <w:bCs/>
              </w:rPr>
              <w:t>Reason</w:t>
            </w:r>
            <w:r w:rsidR="1E16434D" w:rsidRPr="49D986DF">
              <w:rPr>
                <w:b/>
                <w:bCs/>
              </w:rPr>
              <w:t>(s) for ineligibility*</w:t>
            </w:r>
            <w:r w:rsidR="59FEFC07" w:rsidRPr="49D986DF">
              <w:rPr>
                <w:b/>
                <w:bCs/>
              </w:rPr>
              <w:t>*</w:t>
            </w:r>
          </w:p>
        </w:tc>
        <w:tc>
          <w:tcPr>
            <w:tcW w:w="2115" w:type="dxa"/>
            <w:tcBorders>
              <w:top w:val="nil"/>
              <w:left w:val="nil"/>
              <w:bottom w:val="nil"/>
              <w:right w:val="nil"/>
            </w:tcBorders>
            <w:shd w:val="clear" w:color="auto" w:fill="D9D9D9" w:themeFill="background1" w:themeFillShade="D9"/>
            <w:hideMark/>
          </w:tcPr>
          <w:p w14:paraId="1CA0A351" w14:textId="45FF1D82" w:rsidR="00DF6D4C" w:rsidRPr="00AF656B" w:rsidRDefault="00DF6D4C" w:rsidP="00DF6D4C">
            <w:pPr>
              <w:pStyle w:val="TableText"/>
              <w:ind w:right="57"/>
              <w:jc w:val="right"/>
              <w:rPr>
                <w:b/>
                <w:bCs/>
              </w:rPr>
            </w:pPr>
            <w:r w:rsidRPr="49D986DF">
              <w:rPr>
                <w:b/>
                <w:bCs/>
              </w:rPr>
              <w:t>Ineligible at AMP assessment (</w:t>
            </w:r>
            <w:r w:rsidR="55456973" w:rsidRPr="49D986DF">
              <w:rPr>
                <w:b/>
                <w:bCs/>
              </w:rPr>
              <w:t>165</w:t>
            </w:r>
            <w:r w:rsidRPr="49D986DF">
              <w:rPr>
                <w:b/>
                <w:bCs/>
              </w:rPr>
              <w:t>) </w:t>
            </w:r>
          </w:p>
        </w:tc>
        <w:tc>
          <w:tcPr>
            <w:tcW w:w="1830" w:type="dxa"/>
            <w:tcBorders>
              <w:top w:val="nil"/>
              <w:left w:val="nil"/>
              <w:bottom w:val="nil"/>
              <w:right w:val="nil"/>
            </w:tcBorders>
            <w:shd w:val="clear" w:color="auto" w:fill="D9D9D9" w:themeFill="background1" w:themeFillShade="D9"/>
            <w:hideMark/>
          </w:tcPr>
          <w:p w14:paraId="59A62008" w14:textId="20F03D87" w:rsidR="00DF6D4C" w:rsidRPr="00AF656B" w:rsidRDefault="00DF6D4C" w:rsidP="00DF6D4C">
            <w:pPr>
              <w:pStyle w:val="TableText"/>
              <w:ind w:right="57"/>
              <w:jc w:val="right"/>
              <w:rPr>
                <w:b/>
                <w:bCs/>
              </w:rPr>
            </w:pPr>
            <w:r w:rsidRPr="00AF656B">
              <w:rPr>
                <w:b/>
                <w:bCs/>
              </w:rPr>
              <w:t>Ineligible at IMP assessment (</w:t>
            </w:r>
            <w:r w:rsidR="002F1948" w:rsidRPr="00AF656B">
              <w:rPr>
                <w:b/>
                <w:bCs/>
              </w:rPr>
              <w:t>17</w:t>
            </w:r>
            <w:r w:rsidRPr="00AF656B">
              <w:rPr>
                <w:b/>
                <w:bCs/>
              </w:rPr>
              <w:t>) </w:t>
            </w:r>
          </w:p>
        </w:tc>
      </w:tr>
      <w:tr w:rsidR="00DF6D4C" w:rsidRPr="00AF656B" w14:paraId="58FF76F5" w14:textId="77777777" w:rsidTr="49D986DF">
        <w:trPr>
          <w:trHeight w:val="300"/>
        </w:trPr>
        <w:tc>
          <w:tcPr>
            <w:tcW w:w="4110" w:type="dxa"/>
            <w:tcBorders>
              <w:top w:val="nil"/>
              <w:left w:val="nil"/>
              <w:bottom w:val="single" w:sz="6" w:space="0" w:color="A6A6A6" w:themeColor="background1" w:themeShade="A6"/>
              <w:right w:val="nil"/>
            </w:tcBorders>
            <w:shd w:val="clear" w:color="auto" w:fill="FFFFFF" w:themeFill="background1"/>
            <w:hideMark/>
          </w:tcPr>
          <w:p w14:paraId="72621BC8" w14:textId="24C2F6F7" w:rsidR="00DF6D4C" w:rsidRPr="00AF656B" w:rsidRDefault="00DF6D4C" w:rsidP="00DF6D4C">
            <w:pPr>
              <w:pStyle w:val="TableText"/>
              <w:ind w:left="57"/>
            </w:pPr>
            <w:r w:rsidRPr="00AF656B">
              <w:t xml:space="preserve">Not a New Zealand citizen </w:t>
            </w:r>
            <w:r w:rsidR="0070139B">
              <w:t>or</w:t>
            </w:r>
            <w:r w:rsidRPr="00AF656B">
              <w:t xml:space="preserve"> permanent resident </w:t>
            </w:r>
          </w:p>
        </w:tc>
        <w:tc>
          <w:tcPr>
            <w:tcW w:w="2115" w:type="dxa"/>
            <w:tcBorders>
              <w:top w:val="nil"/>
              <w:left w:val="nil"/>
              <w:bottom w:val="single" w:sz="6" w:space="0" w:color="A6A6A6" w:themeColor="background1" w:themeShade="A6"/>
              <w:right w:val="nil"/>
            </w:tcBorders>
            <w:hideMark/>
          </w:tcPr>
          <w:p w14:paraId="38D0CA2F" w14:textId="24827374" w:rsidR="00DF6D4C" w:rsidRPr="00AF656B" w:rsidRDefault="002317CB" w:rsidP="00DF6D4C">
            <w:pPr>
              <w:pStyle w:val="TableText"/>
              <w:ind w:right="57"/>
              <w:jc w:val="right"/>
            </w:pPr>
            <w:r>
              <w:t>7</w:t>
            </w:r>
            <w:r w:rsidR="00DF6D4C" w:rsidRPr="00AF656B">
              <w:t xml:space="preserve"> (</w:t>
            </w:r>
            <w:r w:rsidR="009273C7">
              <w:t>4.2</w:t>
            </w:r>
            <w:r w:rsidR="00DF6D4C" w:rsidRPr="00AF656B">
              <w:t>%) </w:t>
            </w:r>
          </w:p>
        </w:tc>
        <w:tc>
          <w:tcPr>
            <w:tcW w:w="1830" w:type="dxa"/>
            <w:tcBorders>
              <w:top w:val="nil"/>
              <w:left w:val="nil"/>
              <w:bottom w:val="single" w:sz="6" w:space="0" w:color="A6A6A6" w:themeColor="background1" w:themeShade="A6"/>
              <w:right w:val="nil"/>
            </w:tcBorders>
            <w:hideMark/>
          </w:tcPr>
          <w:p w14:paraId="3CE930BC" w14:textId="3FE0B93F" w:rsidR="00DF6D4C" w:rsidRPr="00AF656B" w:rsidRDefault="406EBC13" w:rsidP="00DF6D4C">
            <w:pPr>
              <w:pStyle w:val="TableText"/>
              <w:ind w:right="57"/>
              <w:jc w:val="right"/>
            </w:pPr>
            <w:r w:rsidRPr="00AF656B">
              <w:t>0</w:t>
            </w:r>
            <w:r w:rsidR="7A934351" w:rsidRPr="00AF656B">
              <w:t xml:space="preserve"> (</w:t>
            </w:r>
            <w:r w:rsidR="48F6BD14" w:rsidRPr="00AF656B">
              <w:t>0.0</w:t>
            </w:r>
            <w:r w:rsidR="00DF6D4C" w:rsidRPr="00AF656B">
              <w:t>%) </w:t>
            </w:r>
          </w:p>
        </w:tc>
      </w:tr>
      <w:tr w:rsidR="00DF6D4C" w:rsidRPr="00AF656B" w14:paraId="78351754" w14:textId="77777777" w:rsidTr="49D986DF">
        <w:trPr>
          <w:trHeight w:val="300"/>
        </w:trPr>
        <w:tc>
          <w:tcPr>
            <w:tcW w:w="4110" w:type="dxa"/>
            <w:tcBorders>
              <w:top w:val="nil"/>
              <w:left w:val="nil"/>
              <w:bottom w:val="single" w:sz="6" w:space="0" w:color="A6A6A6" w:themeColor="background1" w:themeShade="A6"/>
              <w:right w:val="nil"/>
            </w:tcBorders>
            <w:shd w:val="clear" w:color="auto" w:fill="FFFFFF" w:themeFill="background1"/>
            <w:hideMark/>
          </w:tcPr>
          <w:p w14:paraId="5B838CF6" w14:textId="0B5EF6A8" w:rsidR="00DF6D4C" w:rsidRPr="00AF656B" w:rsidRDefault="00DF6D4C" w:rsidP="00DF6D4C">
            <w:pPr>
              <w:pStyle w:val="TableText"/>
              <w:ind w:left="57"/>
            </w:pPr>
            <w:r w:rsidRPr="00AF656B">
              <w:t xml:space="preserve">Not aged 18 </w:t>
            </w:r>
            <w:r w:rsidR="00272CD5">
              <w:t xml:space="preserve">years </w:t>
            </w:r>
            <w:r w:rsidRPr="00AF656B">
              <w:t>or over </w:t>
            </w:r>
          </w:p>
        </w:tc>
        <w:tc>
          <w:tcPr>
            <w:tcW w:w="2115" w:type="dxa"/>
            <w:tcBorders>
              <w:top w:val="nil"/>
              <w:left w:val="nil"/>
              <w:bottom w:val="single" w:sz="6" w:space="0" w:color="A6A6A6" w:themeColor="background1" w:themeShade="A6"/>
              <w:right w:val="nil"/>
            </w:tcBorders>
            <w:hideMark/>
          </w:tcPr>
          <w:p w14:paraId="60C3B226" w14:textId="77777777" w:rsidR="00DF6D4C" w:rsidRPr="00AF656B" w:rsidRDefault="00DF6D4C" w:rsidP="00DF6D4C">
            <w:pPr>
              <w:pStyle w:val="TableText"/>
              <w:ind w:right="57"/>
              <w:jc w:val="right"/>
            </w:pPr>
            <w:r w:rsidRPr="00AF656B">
              <w:t>0 (0.0%) </w:t>
            </w:r>
          </w:p>
        </w:tc>
        <w:tc>
          <w:tcPr>
            <w:tcW w:w="1830" w:type="dxa"/>
            <w:tcBorders>
              <w:top w:val="nil"/>
              <w:left w:val="nil"/>
              <w:bottom w:val="single" w:sz="6" w:space="0" w:color="A6A6A6" w:themeColor="background1" w:themeShade="A6"/>
              <w:right w:val="nil"/>
            </w:tcBorders>
            <w:hideMark/>
          </w:tcPr>
          <w:p w14:paraId="4E965483" w14:textId="77777777" w:rsidR="00DF6D4C" w:rsidRPr="00AF656B" w:rsidRDefault="00DF6D4C" w:rsidP="00DF6D4C">
            <w:pPr>
              <w:pStyle w:val="TableText"/>
              <w:ind w:right="57"/>
              <w:jc w:val="right"/>
            </w:pPr>
            <w:r w:rsidRPr="00AF656B">
              <w:t>0 (0.0%) </w:t>
            </w:r>
          </w:p>
        </w:tc>
      </w:tr>
      <w:tr w:rsidR="00DF6D4C" w:rsidRPr="00AF656B" w14:paraId="3BD0E21A" w14:textId="77777777" w:rsidTr="49D986DF">
        <w:trPr>
          <w:trHeight w:val="300"/>
        </w:trPr>
        <w:tc>
          <w:tcPr>
            <w:tcW w:w="4110" w:type="dxa"/>
            <w:tcBorders>
              <w:top w:val="nil"/>
              <w:left w:val="nil"/>
              <w:bottom w:val="single" w:sz="6" w:space="0" w:color="A6A6A6" w:themeColor="background1" w:themeShade="A6"/>
              <w:right w:val="nil"/>
            </w:tcBorders>
            <w:shd w:val="clear" w:color="auto" w:fill="FFFFFF" w:themeFill="background1"/>
            <w:hideMark/>
          </w:tcPr>
          <w:p w14:paraId="27CCE761" w14:textId="77777777" w:rsidR="00DF6D4C" w:rsidRPr="00AF656B" w:rsidRDefault="00DF6D4C" w:rsidP="00DF6D4C">
            <w:pPr>
              <w:pStyle w:val="TableText"/>
              <w:ind w:left="57"/>
            </w:pPr>
            <w:r w:rsidRPr="00AF656B">
              <w:t>Not experiencing unbearable suffering that cannot be relieved in a manner the person considers tolerable </w:t>
            </w:r>
          </w:p>
        </w:tc>
        <w:tc>
          <w:tcPr>
            <w:tcW w:w="2115" w:type="dxa"/>
            <w:tcBorders>
              <w:top w:val="nil"/>
              <w:left w:val="nil"/>
              <w:bottom w:val="single" w:sz="6" w:space="0" w:color="A6A6A6" w:themeColor="background1" w:themeShade="A6"/>
              <w:right w:val="nil"/>
            </w:tcBorders>
            <w:hideMark/>
          </w:tcPr>
          <w:p w14:paraId="7AD5436F" w14:textId="63919899" w:rsidR="00DF6D4C" w:rsidRPr="00AF656B" w:rsidRDefault="10EC0D8D" w:rsidP="00DF6D4C">
            <w:pPr>
              <w:pStyle w:val="TableText"/>
              <w:ind w:right="57"/>
              <w:jc w:val="right"/>
            </w:pPr>
            <w:r w:rsidRPr="00AF656B">
              <w:t>6</w:t>
            </w:r>
            <w:r w:rsidR="7BF7FE1B" w:rsidRPr="00AF656B">
              <w:t>5</w:t>
            </w:r>
            <w:r w:rsidR="7A934351" w:rsidRPr="00AF656B">
              <w:t xml:space="preserve"> (</w:t>
            </w:r>
            <w:r w:rsidR="582ED8B9" w:rsidRPr="00AF656B">
              <w:t>3</w:t>
            </w:r>
            <w:r w:rsidR="740EB594" w:rsidRPr="00AF656B">
              <w:t>9</w:t>
            </w:r>
            <w:r w:rsidR="582ED8B9" w:rsidRPr="00AF656B">
              <w:t>.</w:t>
            </w:r>
            <w:r w:rsidR="54C23B8D" w:rsidRPr="00AF656B">
              <w:t>4</w:t>
            </w:r>
            <w:r w:rsidR="7A934351" w:rsidRPr="00AF656B">
              <w:t>%) </w:t>
            </w:r>
          </w:p>
        </w:tc>
        <w:tc>
          <w:tcPr>
            <w:tcW w:w="1830" w:type="dxa"/>
            <w:tcBorders>
              <w:top w:val="nil"/>
              <w:left w:val="nil"/>
              <w:bottom w:val="single" w:sz="6" w:space="0" w:color="A6A6A6" w:themeColor="background1" w:themeShade="A6"/>
              <w:right w:val="nil"/>
            </w:tcBorders>
            <w:hideMark/>
          </w:tcPr>
          <w:p w14:paraId="6288F94D" w14:textId="11408E44" w:rsidR="00DF6D4C" w:rsidRPr="00AF656B" w:rsidRDefault="37F398DD" w:rsidP="00DF6D4C">
            <w:pPr>
              <w:pStyle w:val="TableText"/>
              <w:ind w:right="57"/>
              <w:jc w:val="right"/>
            </w:pPr>
            <w:r w:rsidRPr="00AF656B">
              <w:t>6</w:t>
            </w:r>
            <w:r w:rsidR="7A934351" w:rsidRPr="00AF656B">
              <w:t xml:space="preserve"> (</w:t>
            </w:r>
            <w:r w:rsidR="137F69FA" w:rsidRPr="00AF656B">
              <w:t>35.3</w:t>
            </w:r>
            <w:r w:rsidR="00DF6D4C" w:rsidRPr="00AF656B">
              <w:t>%) </w:t>
            </w:r>
          </w:p>
        </w:tc>
      </w:tr>
      <w:tr w:rsidR="00DF6D4C" w:rsidRPr="00AF656B" w14:paraId="34F95244" w14:textId="77777777" w:rsidTr="49D986DF">
        <w:trPr>
          <w:trHeight w:val="300"/>
        </w:trPr>
        <w:tc>
          <w:tcPr>
            <w:tcW w:w="4110" w:type="dxa"/>
            <w:tcBorders>
              <w:top w:val="nil"/>
              <w:left w:val="nil"/>
              <w:bottom w:val="single" w:sz="6" w:space="0" w:color="A6A6A6" w:themeColor="background1" w:themeShade="A6"/>
              <w:right w:val="nil"/>
            </w:tcBorders>
            <w:shd w:val="clear" w:color="auto" w:fill="FFFFFF" w:themeFill="background1"/>
            <w:hideMark/>
          </w:tcPr>
          <w:p w14:paraId="577EE532" w14:textId="77777777" w:rsidR="00DF6D4C" w:rsidRPr="00AF656B" w:rsidRDefault="00DF6D4C" w:rsidP="00DF6D4C">
            <w:pPr>
              <w:pStyle w:val="TableText"/>
              <w:ind w:left="57"/>
            </w:pPr>
            <w:r w:rsidRPr="00AF656B">
              <w:t>Not in an advanced state of irreversible physical decline </w:t>
            </w:r>
          </w:p>
        </w:tc>
        <w:tc>
          <w:tcPr>
            <w:tcW w:w="2115" w:type="dxa"/>
            <w:tcBorders>
              <w:top w:val="nil"/>
              <w:left w:val="nil"/>
              <w:bottom w:val="single" w:sz="6" w:space="0" w:color="A6A6A6" w:themeColor="background1" w:themeShade="A6"/>
              <w:right w:val="nil"/>
            </w:tcBorders>
            <w:hideMark/>
          </w:tcPr>
          <w:p w14:paraId="3A2BA2A1" w14:textId="41F719D5" w:rsidR="00DF6D4C" w:rsidRPr="00AF656B" w:rsidRDefault="00C42E5E" w:rsidP="00DF6D4C">
            <w:pPr>
              <w:pStyle w:val="TableText"/>
              <w:ind w:right="57"/>
              <w:jc w:val="right"/>
            </w:pPr>
            <w:r w:rsidRPr="00AF656B">
              <w:t>69</w:t>
            </w:r>
            <w:r w:rsidR="00DF6D4C" w:rsidRPr="00AF656B">
              <w:t xml:space="preserve"> (4</w:t>
            </w:r>
            <w:r w:rsidR="00D6452D" w:rsidRPr="00AF656B">
              <w:t>1</w:t>
            </w:r>
            <w:r w:rsidR="00DF6D4C" w:rsidRPr="00AF656B">
              <w:t>.</w:t>
            </w:r>
            <w:r w:rsidR="00D6452D" w:rsidRPr="00AF656B">
              <w:t>8</w:t>
            </w:r>
            <w:r w:rsidR="00DF6D4C" w:rsidRPr="00AF656B">
              <w:t>%) </w:t>
            </w:r>
          </w:p>
        </w:tc>
        <w:tc>
          <w:tcPr>
            <w:tcW w:w="1830" w:type="dxa"/>
            <w:tcBorders>
              <w:top w:val="nil"/>
              <w:left w:val="nil"/>
              <w:bottom w:val="single" w:sz="6" w:space="0" w:color="A6A6A6" w:themeColor="background1" w:themeShade="A6"/>
              <w:right w:val="nil"/>
            </w:tcBorders>
            <w:hideMark/>
          </w:tcPr>
          <w:p w14:paraId="370AD0CE" w14:textId="7882DC2B" w:rsidR="00DF6D4C" w:rsidRPr="00AF656B" w:rsidRDefault="10BD2730" w:rsidP="00DF6D4C">
            <w:pPr>
              <w:pStyle w:val="TableText"/>
              <w:ind w:right="57"/>
              <w:jc w:val="right"/>
            </w:pPr>
            <w:r w:rsidRPr="00AF656B">
              <w:t>8</w:t>
            </w:r>
            <w:r w:rsidR="7A934351" w:rsidRPr="00AF656B">
              <w:t xml:space="preserve"> (</w:t>
            </w:r>
            <w:r w:rsidR="764A6514" w:rsidRPr="00AF656B">
              <w:t>47.1</w:t>
            </w:r>
            <w:r w:rsidR="00DF6D4C" w:rsidRPr="00AF656B">
              <w:t>%) </w:t>
            </w:r>
          </w:p>
        </w:tc>
      </w:tr>
      <w:tr w:rsidR="00DF6D4C" w:rsidRPr="00AF656B" w14:paraId="20A1EE2B" w14:textId="77777777" w:rsidTr="49D986DF">
        <w:trPr>
          <w:trHeight w:val="300"/>
        </w:trPr>
        <w:tc>
          <w:tcPr>
            <w:tcW w:w="4110" w:type="dxa"/>
            <w:tcBorders>
              <w:top w:val="nil"/>
              <w:left w:val="nil"/>
              <w:bottom w:val="single" w:sz="6" w:space="0" w:color="A6A6A6" w:themeColor="background1" w:themeShade="A6"/>
              <w:right w:val="nil"/>
            </w:tcBorders>
            <w:shd w:val="clear" w:color="auto" w:fill="FFFFFF" w:themeFill="background1"/>
            <w:hideMark/>
          </w:tcPr>
          <w:p w14:paraId="5BD5D5F7" w14:textId="77777777" w:rsidR="00DF6D4C" w:rsidRPr="00AF656B" w:rsidRDefault="00DF6D4C" w:rsidP="00DF6D4C">
            <w:pPr>
              <w:pStyle w:val="TableText"/>
              <w:ind w:left="57"/>
            </w:pPr>
            <w:r w:rsidRPr="00AF656B">
              <w:t>Not suffering from a terminal illness that is likely to end their life within six months </w:t>
            </w:r>
          </w:p>
        </w:tc>
        <w:tc>
          <w:tcPr>
            <w:tcW w:w="2115" w:type="dxa"/>
            <w:tcBorders>
              <w:top w:val="nil"/>
              <w:left w:val="nil"/>
              <w:bottom w:val="single" w:sz="6" w:space="0" w:color="A6A6A6" w:themeColor="background1" w:themeShade="A6"/>
              <w:right w:val="nil"/>
            </w:tcBorders>
            <w:hideMark/>
          </w:tcPr>
          <w:p w14:paraId="357E47B6" w14:textId="519D0545" w:rsidR="00DF6D4C" w:rsidRPr="00AF656B" w:rsidRDefault="101215B0" w:rsidP="00DF6D4C">
            <w:pPr>
              <w:pStyle w:val="TableText"/>
              <w:ind w:right="57"/>
              <w:jc w:val="right"/>
            </w:pPr>
            <w:r w:rsidRPr="00AF656B">
              <w:t>1</w:t>
            </w:r>
            <w:r w:rsidR="1EB3A9E7" w:rsidRPr="00AF656B">
              <w:t>40</w:t>
            </w:r>
            <w:r w:rsidR="7A934351" w:rsidRPr="00AF656B">
              <w:t xml:space="preserve"> (8</w:t>
            </w:r>
            <w:r w:rsidR="04800C13" w:rsidRPr="00AF656B">
              <w:t>4</w:t>
            </w:r>
            <w:r w:rsidR="7A934351" w:rsidRPr="00AF656B">
              <w:t>.</w:t>
            </w:r>
            <w:r w:rsidR="420104AA" w:rsidRPr="00AF656B">
              <w:t>8</w:t>
            </w:r>
            <w:r w:rsidR="7A934351" w:rsidRPr="00AF656B">
              <w:t>%) </w:t>
            </w:r>
          </w:p>
        </w:tc>
        <w:tc>
          <w:tcPr>
            <w:tcW w:w="1830" w:type="dxa"/>
            <w:tcBorders>
              <w:top w:val="nil"/>
              <w:left w:val="nil"/>
              <w:bottom w:val="single" w:sz="6" w:space="0" w:color="A6A6A6" w:themeColor="background1" w:themeShade="A6"/>
              <w:right w:val="nil"/>
            </w:tcBorders>
            <w:hideMark/>
          </w:tcPr>
          <w:p w14:paraId="4891E8EF" w14:textId="4FBDF276" w:rsidR="00DF6D4C" w:rsidRPr="00AF656B" w:rsidRDefault="3D584CA1" w:rsidP="00DF6D4C">
            <w:pPr>
              <w:pStyle w:val="TableText"/>
              <w:ind w:right="57"/>
              <w:jc w:val="right"/>
            </w:pPr>
            <w:r w:rsidRPr="00AF656B">
              <w:t>12</w:t>
            </w:r>
            <w:r w:rsidR="7A934351" w:rsidRPr="00AF656B">
              <w:t xml:space="preserve"> (</w:t>
            </w:r>
            <w:r w:rsidR="62448065" w:rsidRPr="00AF656B">
              <w:t>70.6</w:t>
            </w:r>
            <w:r w:rsidR="00DF6D4C" w:rsidRPr="00AF656B">
              <w:t>%) </w:t>
            </w:r>
          </w:p>
        </w:tc>
      </w:tr>
    </w:tbl>
    <w:p w14:paraId="7F3ABD30" w14:textId="77777777" w:rsidR="00DF6D4C" w:rsidRPr="00AF656B" w:rsidRDefault="00DF6D4C" w:rsidP="00DF6D4C">
      <w:pPr>
        <w:pStyle w:val="Note"/>
        <w:rPr>
          <w:sz w:val="18"/>
          <w:szCs w:val="18"/>
          <w:lang w:eastAsia="en-NZ"/>
        </w:rPr>
      </w:pPr>
      <w:r w:rsidRPr="49D986DF">
        <w:rPr>
          <w:lang w:eastAsia="en-NZ"/>
        </w:rPr>
        <w:t>Notes: </w:t>
      </w:r>
    </w:p>
    <w:p w14:paraId="3326FCD5" w14:textId="57F0A27C" w:rsidR="00DF6D4C" w:rsidRPr="00AF656B" w:rsidRDefault="71B247D2" w:rsidP="00132441">
      <w:pPr>
        <w:pStyle w:val="Note"/>
        <w:tabs>
          <w:tab w:val="left" w:pos="340"/>
        </w:tabs>
        <w:rPr>
          <w:sz w:val="18"/>
          <w:szCs w:val="18"/>
          <w:lang w:eastAsia="en-NZ"/>
        </w:rPr>
      </w:pPr>
      <w:r w:rsidRPr="49D986DF">
        <w:rPr>
          <w:lang w:eastAsia="en-NZ"/>
        </w:rPr>
        <w:t>*</w:t>
      </w:r>
      <w:r w:rsidR="00DF6D4C">
        <w:tab/>
      </w:r>
      <w:r w:rsidR="00DF6D4C" w:rsidRPr="49D986DF">
        <w:rPr>
          <w:lang w:eastAsia="en-NZ"/>
        </w:rPr>
        <w:t>This table does not include cases where an applicant was found not competent at AMP</w:t>
      </w:r>
      <w:r w:rsidR="00395280" w:rsidRPr="49D986DF">
        <w:rPr>
          <w:lang w:eastAsia="en-NZ"/>
        </w:rPr>
        <w:t xml:space="preserve"> or </w:t>
      </w:r>
      <w:r w:rsidR="00DF6D4C" w:rsidRPr="49D986DF">
        <w:rPr>
          <w:lang w:eastAsia="en-NZ"/>
        </w:rPr>
        <w:t xml:space="preserve">IMP </w:t>
      </w:r>
      <w:r w:rsidR="00DF6D4C">
        <w:tab/>
      </w:r>
      <w:r w:rsidR="00DF6D4C">
        <w:tab/>
      </w:r>
      <w:r w:rsidR="00DF6D4C" w:rsidRPr="49D986DF">
        <w:rPr>
          <w:lang w:eastAsia="en-NZ"/>
        </w:rPr>
        <w:t>assessment. </w:t>
      </w:r>
    </w:p>
    <w:p w14:paraId="387BB3B5" w14:textId="0EFCF246" w:rsidR="00DF6D4C" w:rsidRPr="005F1B0B" w:rsidRDefault="1733356E" w:rsidP="00132441">
      <w:pPr>
        <w:pStyle w:val="Note"/>
        <w:tabs>
          <w:tab w:val="left" w:pos="340"/>
        </w:tabs>
        <w:ind w:left="336" w:hanging="336"/>
        <w:rPr>
          <w:lang w:eastAsia="en-NZ"/>
        </w:rPr>
      </w:pPr>
      <w:r w:rsidRPr="49D986DF">
        <w:rPr>
          <w:lang w:eastAsia="en-NZ"/>
        </w:rPr>
        <w:t>**</w:t>
      </w:r>
      <w:r w:rsidR="00DF6D4C">
        <w:rPr>
          <w:lang w:eastAsia="en-NZ"/>
        </w:rPr>
        <w:tab/>
      </w:r>
      <w:r w:rsidRPr="49D986DF">
        <w:rPr>
          <w:lang w:eastAsia="en-NZ"/>
        </w:rPr>
        <w:t>This data presents total reasons for ineligibility. Individuals found to be ineligible based on more than</w:t>
      </w:r>
      <w:r w:rsidR="00132441">
        <w:rPr>
          <w:lang w:eastAsia="en-NZ"/>
        </w:rPr>
        <w:t xml:space="preserve"> </w:t>
      </w:r>
      <w:r w:rsidRPr="49D986DF">
        <w:rPr>
          <w:lang w:eastAsia="en-NZ"/>
        </w:rPr>
        <w:t>one criterion are included separately for each observed reason. </w:t>
      </w:r>
    </w:p>
    <w:p w14:paraId="258F21DC" w14:textId="3E57E5FE" w:rsidR="00DF6D4C" w:rsidRPr="005F1B0B" w:rsidRDefault="00DF6D4C" w:rsidP="005F1B0B">
      <w:pPr>
        <w:pStyle w:val="Heading2"/>
      </w:pPr>
      <w:bookmarkStart w:id="65" w:name="_Toc233002286"/>
      <w:r w:rsidRPr="005F1B0B">
        <w:t>Applications not progressed to an assisted death</w:t>
      </w:r>
      <w:bookmarkEnd w:id="65"/>
      <w:r w:rsidRPr="005F1B0B">
        <w:t> </w:t>
      </w:r>
    </w:p>
    <w:p w14:paraId="7F12BB33" w14:textId="35BF9F77" w:rsidR="00DF6D4C" w:rsidRPr="00AF656B" w:rsidRDefault="00067755" w:rsidP="005F1B0B">
      <w:pPr>
        <w:rPr>
          <w:lang w:eastAsia="en-NZ"/>
        </w:rPr>
      </w:pPr>
      <w:r>
        <w:rPr>
          <w:lang w:eastAsia="en-NZ"/>
        </w:rPr>
        <w:t xml:space="preserve">Table 4 </w:t>
      </w:r>
      <w:r w:rsidR="00DF6D4C" w:rsidRPr="00AF656B">
        <w:rPr>
          <w:lang w:eastAsia="en-NZ"/>
        </w:rPr>
        <w:t xml:space="preserve">summarises </w:t>
      </w:r>
      <w:r w:rsidR="00970851">
        <w:rPr>
          <w:lang w:eastAsia="en-NZ"/>
        </w:rPr>
        <w:t xml:space="preserve">reasons why an </w:t>
      </w:r>
      <w:r w:rsidR="00DF6D4C" w:rsidRPr="00AF656B">
        <w:rPr>
          <w:lang w:eastAsia="en-NZ"/>
        </w:rPr>
        <w:t xml:space="preserve">applicant did not have an assisted death. </w:t>
      </w:r>
      <w:r w:rsidR="008E0CBB">
        <w:rPr>
          <w:lang w:eastAsia="en-NZ"/>
        </w:rPr>
        <w:t xml:space="preserve">It excludes </w:t>
      </w:r>
      <w:r w:rsidR="00970851">
        <w:rPr>
          <w:lang w:eastAsia="en-NZ"/>
        </w:rPr>
        <w:t>information on</w:t>
      </w:r>
      <w:r w:rsidR="00DF6D4C" w:rsidRPr="00AF656B">
        <w:rPr>
          <w:lang w:eastAsia="en-NZ"/>
        </w:rPr>
        <w:t xml:space="preserve"> applications </w:t>
      </w:r>
      <w:r w:rsidR="00970851">
        <w:rPr>
          <w:lang w:eastAsia="en-NZ"/>
        </w:rPr>
        <w:t>found to be</w:t>
      </w:r>
      <w:r w:rsidR="00DF6D4C" w:rsidRPr="00AF656B">
        <w:rPr>
          <w:lang w:eastAsia="en-NZ"/>
        </w:rPr>
        <w:t xml:space="preserve"> ineligible at the AMP or IMP assessments (</w:t>
      </w:r>
      <w:r w:rsidR="008E0CBB">
        <w:rPr>
          <w:lang w:eastAsia="en-NZ"/>
        </w:rPr>
        <w:t xml:space="preserve">for that information, </w:t>
      </w:r>
      <w:r w:rsidR="00DF6D4C" w:rsidRPr="00AF656B">
        <w:rPr>
          <w:lang w:eastAsia="en-NZ"/>
        </w:rPr>
        <w:t>see</w:t>
      </w:r>
      <w:r>
        <w:rPr>
          <w:lang w:eastAsia="en-NZ"/>
        </w:rPr>
        <w:t xml:space="preserve"> Table 3</w:t>
      </w:r>
      <w:r w:rsidR="00DF6D4C" w:rsidRPr="00AF656B">
        <w:rPr>
          <w:lang w:eastAsia="en-NZ"/>
        </w:rPr>
        <w:t xml:space="preserve">). Additionally, this table includes applications that were still open at the </w:t>
      </w:r>
      <w:r w:rsidR="00970851">
        <w:rPr>
          <w:lang w:eastAsia="en-NZ"/>
        </w:rPr>
        <w:t>end</w:t>
      </w:r>
      <w:r w:rsidR="00970851" w:rsidRPr="00AF656B">
        <w:rPr>
          <w:lang w:eastAsia="en-NZ"/>
        </w:rPr>
        <w:t xml:space="preserve"> </w:t>
      </w:r>
      <w:r w:rsidR="00DF6D4C" w:rsidRPr="00AF656B">
        <w:rPr>
          <w:lang w:eastAsia="en-NZ"/>
        </w:rPr>
        <w:t>of this reporting period</w:t>
      </w:r>
      <w:r w:rsidR="00E840A4">
        <w:rPr>
          <w:lang w:eastAsia="en-NZ"/>
        </w:rPr>
        <w:t>, meaning that their</w:t>
      </w:r>
      <w:r w:rsidR="00DF6D4C" w:rsidRPr="00AF656B">
        <w:rPr>
          <w:lang w:eastAsia="en-NZ"/>
        </w:rPr>
        <w:t xml:space="preserve"> outcome</w:t>
      </w:r>
      <w:r w:rsidR="00E840A4">
        <w:rPr>
          <w:lang w:eastAsia="en-NZ"/>
        </w:rPr>
        <w:t xml:space="preserve"> was not yet known</w:t>
      </w:r>
      <w:r w:rsidR="00DF6D4C" w:rsidRPr="00AF656B">
        <w:rPr>
          <w:lang w:eastAsia="en-NZ"/>
        </w:rPr>
        <w:t>. </w:t>
      </w:r>
    </w:p>
    <w:p w14:paraId="0CA4A245" w14:textId="77777777" w:rsidR="00DF6D4C" w:rsidRPr="00AF656B" w:rsidRDefault="00DF6D4C" w:rsidP="005F1B0B">
      <w:pPr>
        <w:rPr>
          <w:lang w:eastAsia="en-NZ"/>
        </w:rPr>
      </w:pPr>
      <w:r w:rsidRPr="00AF656B">
        <w:rPr>
          <w:lang w:eastAsia="en-NZ"/>
        </w:rPr>
        <w:t> </w:t>
      </w:r>
    </w:p>
    <w:p w14:paraId="10CD36C9" w14:textId="058440F2" w:rsidR="00842DF0" w:rsidRDefault="00970851" w:rsidP="005F1B0B">
      <w:pPr>
        <w:rPr>
          <w:lang w:eastAsia="en-NZ"/>
        </w:rPr>
      </w:pPr>
      <w:r>
        <w:rPr>
          <w:lang w:eastAsia="en-NZ"/>
        </w:rPr>
        <w:t>S</w:t>
      </w:r>
      <w:r w:rsidR="00DF6D4C" w:rsidRPr="00AF656B">
        <w:rPr>
          <w:lang w:eastAsia="en-NZ"/>
        </w:rPr>
        <w:t xml:space="preserve">everal reasons </w:t>
      </w:r>
      <w:r>
        <w:rPr>
          <w:lang w:eastAsia="en-NZ"/>
        </w:rPr>
        <w:t xml:space="preserve">can explain </w:t>
      </w:r>
      <w:r w:rsidR="00DF6D4C" w:rsidRPr="00AF656B">
        <w:rPr>
          <w:lang w:eastAsia="en-NZ"/>
        </w:rPr>
        <w:t xml:space="preserve">why an individual may not continue their application to an assisted death. These include </w:t>
      </w:r>
      <w:r>
        <w:rPr>
          <w:lang w:eastAsia="en-NZ"/>
        </w:rPr>
        <w:t>that the person</w:t>
      </w:r>
      <w:r w:rsidR="00842DF0">
        <w:rPr>
          <w:lang w:eastAsia="en-NZ"/>
        </w:rPr>
        <w:t>:</w:t>
      </w:r>
    </w:p>
    <w:p w14:paraId="731FB84E" w14:textId="4B8180F8" w:rsidR="00842DF0" w:rsidRDefault="00970851" w:rsidP="005F1B0B">
      <w:pPr>
        <w:pStyle w:val="Bullet"/>
        <w:rPr>
          <w:lang w:eastAsia="en-NZ"/>
        </w:rPr>
      </w:pPr>
      <w:r>
        <w:rPr>
          <w:lang w:eastAsia="en-NZ"/>
        </w:rPr>
        <w:t>is</w:t>
      </w:r>
      <w:r w:rsidRPr="00AF656B">
        <w:rPr>
          <w:lang w:eastAsia="en-NZ"/>
        </w:rPr>
        <w:t xml:space="preserve"> </w:t>
      </w:r>
      <w:r w:rsidR="00DF6D4C" w:rsidRPr="00AF656B">
        <w:rPr>
          <w:lang w:eastAsia="en-NZ"/>
        </w:rPr>
        <w:t>found ineligible following a previous eligible outcome or becom</w:t>
      </w:r>
      <w:r>
        <w:rPr>
          <w:lang w:eastAsia="en-NZ"/>
        </w:rPr>
        <w:t>es</w:t>
      </w:r>
      <w:r w:rsidR="00DF6D4C" w:rsidRPr="00AF656B">
        <w:rPr>
          <w:lang w:eastAsia="en-NZ"/>
        </w:rPr>
        <w:t xml:space="preserve"> unable to make an informed decision </w:t>
      </w:r>
      <w:r>
        <w:rPr>
          <w:lang w:eastAsia="en-NZ"/>
        </w:rPr>
        <w:t>or</w:t>
      </w:r>
      <w:r w:rsidRPr="00AF656B">
        <w:rPr>
          <w:lang w:eastAsia="en-NZ"/>
        </w:rPr>
        <w:t xml:space="preserve"> </w:t>
      </w:r>
      <w:r w:rsidR="00DF6D4C" w:rsidRPr="00AF656B">
        <w:rPr>
          <w:lang w:eastAsia="en-NZ"/>
        </w:rPr>
        <w:t>give their consent</w:t>
      </w:r>
    </w:p>
    <w:p w14:paraId="483FEF5B" w14:textId="6F3A0406" w:rsidR="00842DF0" w:rsidRDefault="00DF6D4C" w:rsidP="005F1B0B">
      <w:pPr>
        <w:pStyle w:val="Bullet"/>
        <w:rPr>
          <w:lang w:eastAsia="en-NZ"/>
        </w:rPr>
      </w:pPr>
      <w:r w:rsidRPr="00AF656B">
        <w:rPr>
          <w:lang w:eastAsia="en-NZ"/>
        </w:rPr>
        <w:t>withdraw</w:t>
      </w:r>
      <w:r w:rsidR="00842DF0">
        <w:rPr>
          <w:lang w:eastAsia="en-NZ"/>
        </w:rPr>
        <w:t>s</w:t>
      </w:r>
      <w:r w:rsidRPr="00AF656B">
        <w:rPr>
          <w:lang w:eastAsia="en-NZ"/>
        </w:rPr>
        <w:t xml:space="preserve"> their application</w:t>
      </w:r>
    </w:p>
    <w:p w14:paraId="669F5442" w14:textId="45B2365B" w:rsidR="00842DF0" w:rsidRDefault="00DF6D4C" w:rsidP="005F1B0B">
      <w:pPr>
        <w:pStyle w:val="Bullet"/>
        <w:rPr>
          <w:lang w:eastAsia="en-NZ"/>
        </w:rPr>
      </w:pPr>
      <w:r w:rsidRPr="00AF656B">
        <w:rPr>
          <w:lang w:eastAsia="en-NZ"/>
        </w:rPr>
        <w:t>die</w:t>
      </w:r>
      <w:r w:rsidR="00842DF0">
        <w:rPr>
          <w:lang w:eastAsia="en-NZ"/>
        </w:rPr>
        <w:t>s</w:t>
      </w:r>
      <w:r w:rsidRPr="00AF656B">
        <w:rPr>
          <w:lang w:eastAsia="en-NZ"/>
        </w:rPr>
        <w:t xml:space="preserve"> of an underlying condition </w:t>
      </w:r>
      <w:r w:rsidR="00842DF0">
        <w:rPr>
          <w:lang w:eastAsia="en-NZ"/>
        </w:rPr>
        <w:t>or</w:t>
      </w:r>
      <w:r w:rsidR="00842DF0" w:rsidRPr="00AF656B">
        <w:rPr>
          <w:lang w:eastAsia="en-NZ"/>
        </w:rPr>
        <w:t xml:space="preserve"> </w:t>
      </w:r>
      <w:r w:rsidRPr="00AF656B">
        <w:rPr>
          <w:lang w:eastAsia="en-NZ"/>
        </w:rPr>
        <w:t>terminal illness at any point during the application process or before their scheduled assisted death.</w:t>
      </w:r>
      <w:r w:rsidR="00ED1209">
        <w:rPr>
          <w:lang w:eastAsia="en-NZ"/>
        </w:rPr>
        <w:t xml:space="preserve"> </w:t>
      </w:r>
    </w:p>
    <w:p w14:paraId="3FD52934" w14:textId="77777777" w:rsidR="00842DF0" w:rsidRDefault="00842DF0" w:rsidP="005F1B0B">
      <w:pPr>
        <w:rPr>
          <w:lang w:eastAsia="en-NZ"/>
        </w:rPr>
      </w:pPr>
    </w:p>
    <w:p w14:paraId="22F1E598" w14:textId="56A6027E" w:rsidR="00DF6D4C" w:rsidRPr="00AF656B" w:rsidRDefault="00B62C0A" w:rsidP="005F1B0B">
      <w:pPr>
        <w:rPr>
          <w:lang w:eastAsia="en-NZ"/>
        </w:rPr>
      </w:pPr>
      <w:r>
        <w:rPr>
          <w:lang w:eastAsia="en-NZ"/>
        </w:rPr>
        <w:t>In addition,</w:t>
      </w:r>
      <w:r w:rsidR="00ED1209">
        <w:rPr>
          <w:lang w:eastAsia="en-NZ"/>
        </w:rPr>
        <w:t xml:space="preserve"> </w:t>
      </w:r>
      <w:r w:rsidR="00B8483C">
        <w:rPr>
          <w:lang w:eastAsia="en-NZ"/>
        </w:rPr>
        <w:t>where</w:t>
      </w:r>
      <w:r w:rsidR="00E840A4">
        <w:rPr>
          <w:lang w:eastAsia="en-NZ"/>
        </w:rPr>
        <w:t xml:space="preserve"> it is suspected that an applicant is experiencing</w:t>
      </w:r>
      <w:r w:rsidR="00B8483C">
        <w:rPr>
          <w:lang w:eastAsia="en-NZ"/>
        </w:rPr>
        <w:t xml:space="preserve"> pressure or coercion</w:t>
      </w:r>
      <w:r>
        <w:rPr>
          <w:lang w:eastAsia="en-NZ"/>
        </w:rPr>
        <w:t>,</w:t>
      </w:r>
      <w:r w:rsidR="00B8483C">
        <w:rPr>
          <w:lang w:eastAsia="en-NZ"/>
        </w:rPr>
        <w:t xml:space="preserve"> the </w:t>
      </w:r>
      <w:r>
        <w:rPr>
          <w:lang w:eastAsia="en-NZ"/>
        </w:rPr>
        <w:t xml:space="preserve">Act </w:t>
      </w:r>
      <w:r w:rsidR="00B8483C">
        <w:rPr>
          <w:lang w:eastAsia="en-NZ"/>
        </w:rPr>
        <w:t xml:space="preserve">requires that the application be stopped. </w:t>
      </w:r>
      <w:r>
        <w:rPr>
          <w:lang w:eastAsia="en-NZ"/>
        </w:rPr>
        <w:t>However, no such cases were identified in this reporting period.</w:t>
      </w:r>
    </w:p>
    <w:p w14:paraId="3501B85C" w14:textId="77777777" w:rsidR="00DF6D4C" w:rsidRPr="00AF656B" w:rsidRDefault="00DF6D4C" w:rsidP="005F1B0B">
      <w:pPr>
        <w:rPr>
          <w:lang w:eastAsia="en-NZ"/>
        </w:rPr>
      </w:pPr>
    </w:p>
    <w:p w14:paraId="3E5FE973" w14:textId="043A64E8" w:rsidR="00481275" w:rsidRDefault="0067772B" w:rsidP="005F1B0B">
      <w:pPr>
        <w:rPr>
          <w:lang w:eastAsia="en-NZ"/>
        </w:rPr>
      </w:pPr>
      <w:r>
        <w:rPr>
          <w:lang w:eastAsia="en-NZ"/>
        </w:rPr>
        <w:t>Compliance</w:t>
      </w:r>
      <w:r w:rsidR="00DE1E21" w:rsidRPr="00DE1E21">
        <w:rPr>
          <w:lang w:eastAsia="en-NZ"/>
        </w:rPr>
        <w:t xml:space="preserve"> reviews are a key safeguard under the Act. Given the complexity of </w:t>
      </w:r>
      <w:r w:rsidR="00B62C0A">
        <w:rPr>
          <w:lang w:eastAsia="en-NZ"/>
        </w:rPr>
        <w:t>AMP and IMP</w:t>
      </w:r>
      <w:r w:rsidR="00B62C0A" w:rsidRPr="00DE1E21">
        <w:rPr>
          <w:lang w:eastAsia="en-NZ"/>
        </w:rPr>
        <w:t xml:space="preserve"> </w:t>
      </w:r>
      <w:r w:rsidR="00DE1E21" w:rsidRPr="00DE1E21">
        <w:rPr>
          <w:lang w:eastAsia="en-NZ"/>
        </w:rPr>
        <w:t>assessments</w:t>
      </w:r>
      <w:r w:rsidR="00361BE6">
        <w:rPr>
          <w:lang w:eastAsia="en-NZ"/>
        </w:rPr>
        <w:t xml:space="preserve">, </w:t>
      </w:r>
      <w:r w:rsidR="00DE1E21" w:rsidRPr="00DE1E21">
        <w:rPr>
          <w:lang w:eastAsia="en-NZ"/>
        </w:rPr>
        <w:t xml:space="preserve">a thorough review </w:t>
      </w:r>
      <w:r w:rsidR="0003359C">
        <w:rPr>
          <w:lang w:eastAsia="en-NZ"/>
        </w:rPr>
        <w:t xml:space="preserve">– </w:t>
      </w:r>
      <w:r w:rsidR="003E48AC">
        <w:rPr>
          <w:lang w:eastAsia="en-NZ"/>
        </w:rPr>
        <w:t>including</w:t>
      </w:r>
      <w:r w:rsidR="00A70465">
        <w:rPr>
          <w:lang w:eastAsia="en-NZ"/>
        </w:rPr>
        <w:t xml:space="preserve"> of any</w:t>
      </w:r>
      <w:r w:rsidR="0003359C">
        <w:rPr>
          <w:lang w:eastAsia="en-NZ"/>
        </w:rPr>
        <w:t xml:space="preserve"> supporting documentation</w:t>
      </w:r>
      <w:r w:rsidR="00361BE6">
        <w:rPr>
          <w:lang w:eastAsia="en-NZ"/>
        </w:rPr>
        <w:t xml:space="preserve"> - </w:t>
      </w:r>
      <w:r w:rsidR="00DE1E21" w:rsidRPr="00DE1E21">
        <w:rPr>
          <w:lang w:eastAsia="en-NZ"/>
        </w:rPr>
        <w:t>is required to determine whether an application meets legislative requirements.</w:t>
      </w:r>
      <w:r>
        <w:rPr>
          <w:lang w:eastAsia="en-NZ"/>
        </w:rPr>
        <w:t xml:space="preserve"> </w:t>
      </w:r>
      <w:r w:rsidR="00C93B28">
        <w:rPr>
          <w:lang w:eastAsia="en-NZ"/>
        </w:rPr>
        <w:t>A</w:t>
      </w:r>
      <w:r w:rsidR="001F5BB8">
        <w:rPr>
          <w:lang w:eastAsia="en-NZ"/>
        </w:rPr>
        <w:t xml:space="preserve"> compliance review</w:t>
      </w:r>
      <w:r w:rsidR="00483312">
        <w:rPr>
          <w:lang w:eastAsia="en-NZ"/>
        </w:rPr>
        <w:t xml:space="preserve"> may find </w:t>
      </w:r>
      <w:r w:rsidR="001F5BB8">
        <w:rPr>
          <w:lang w:eastAsia="en-NZ"/>
        </w:rPr>
        <w:t>a</w:t>
      </w:r>
      <w:r w:rsidR="00F525BC">
        <w:rPr>
          <w:lang w:eastAsia="en-NZ"/>
        </w:rPr>
        <w:t>n</w:t>
      </w:r>
      <w:r w:rsidRPr="00DE1E21">
        <w:rPr>
          <w:lang w:eastAsia="en-NZ"/>
        </w:rPr>
        <w:t xml:space="preserve"> application </w:t>
      </w:r>
      <w:r w:rsidR="00483312">
        <w:rPr>
          <w:lang w:eastAsia="en-NZ"/>
        </w:rPr>
        <w:t>does not comply</w:t>
      </w:r>
      <w:r w:rsidRPr="00DE1E21">
        <w:rPr>
          <w:lang w:eastAsia="en-NZ"/>
        </w:rPr>
        <w:t xml:space="preserve"> with the Act</w:t>
      </w:r>
      <w:r w:rsidR="00121D9F">
        <w:rPr>
          <w:lang w:eastAsia="en-NZ"/>
        </w:rPr>
        <w:t xml:space="preserve">. </w:t>
      </w:r>
      <w:r w:rsidR="00A427EF">
        <w:rPr>
          <w:lang w:eastAsia="en-NZ"/>
        </w:rPr>
        <w:t>A</w:t>
      </w:r>
      <w:r w:rsidR="00E3738B">
        <w:rPr>
          <w:lang w:eastAsia="en-NZ"/>
        </w:rPr>
        <w:t xml:space="preserve">n assisted death </w:t>
      </w:r>
      <w:r w:rsidR="00AE6056">
        <w:rPr>
          <w:lang w:eastAsia="en-NZ"/>
        </w:rPr>
        <w:t>cannot</w:t>
      </w:r>
      <w:r w:rsidR="00E3738B">
        <w:rPr>
          <w:lang w:eastAsia="en-NZ"/>
        </w:rPr>
        <w:t xml:space="preserve"> proceed </w:t>
      </w:r>
      <w:r w:rsidR="00483312">
        <w:rPr>
          <w:lang w:eastAsia="en-NZ"/>
        </w:rPr>
        <w:t xml:space="preserve">unless the Registrar confirms </w:t>
      </w:r>
      <w:r w:rsidR="00AE6056">
        <w:rPr>
          <w:lang w:eastAsia="en-NZ"/>
        </w:rPr>
        <w:t>compliance</w:t>
      </w:r>
      <w:r w:rsidR="00A427EF">
        <w:rPr>
          <w:lang w:eastAsia="en-NZ"/>
        </w:rPr>
        <w:t xml:space="preserve">. </w:t>
      </w:r>
    </w:p>
    <w:p w14:paraId="1E0A677B" w14:textId="634CCFD0" w:rsidR="00DF6D4C" w:rsidRPr="00AF656B" w:rsidRDefault="00DF6D4C" w:rsidP="005F1B0B">
      <w:pPr>
        <w:rPr>
          <w:lang w:eastAsia="en-NZ"/>
        </w:rPr>
      </w:pPr>
      <w:r w:rsidRPr="00AF656B">
        <w:rPr>
          <w:lang w:eastAsia="en-NZ"/>
        </w:rPr>
        <w:lastRenderedPageBreak/>
        <w:t>The number of people dying from their underlying terminal illness during the assessment process indicat</w:t>
      </w:r>
      <w:r w:rsidR="00483312">
        <w:rPr>
          <w:lang w:eastAsia="en-NZ"/>
        </w:rPr>
        <w:t>es</w:t>
      </w:r>
      <w:r w:rsidRPr="00AF656B">
        <w:rPr>
          <w:lang w:eastAsia="en-NZ"/>
        </w:rPr>
        <w:t xml:space="preserve"> how close to the end of life some applicants are, </w:t>
      </w:r>
      <w:r w:rsidR="00483312">
        <w:rPr>
          <w:lang w:eastAsia="en-NZ"/>
        </w:rPr>
        <w:t>rather than re</w:t>
      </w:r>
      <w:r w:rsidR="008E0CBB">
        <w:rPr>
          <w:lang w:eastAsia="en-NZ"/>
        </w:rPr>
        <w:t>f</w:t>
      </w:r>
      <w:r w:rsidR="00483312">
        <w:rPr>
          <w:lang w:eastAsia="en-NZ"/>
        </w:rPr>
        <w:t>lecting</w:t>
      </w:r>
      <w:r w:rsidRPr="00AF656B">
        <w:rPr>
          <w:lang w:eastAsia="en-NZ"/>
        </w:rPr>
        <w:t xml:space="preserve"> significant delays in accessing services. </w:t>
      </w:r>
    </w:p>
    <w:p w14:paraId="06AEA84E" w14:textId="77777777" w:rsidR="00DF6D4C" w:rsidRPr="00AF656B" w:rsidRDefault="00DF6D4C" w:rsidP="00DF6D4C"/>
    <w:p w14:paraId="1A8DA01E" w14:textId="1F5FDDD0" w:rsidR="00DF6D4C" w:rsidRPr="00AF656B" w:rsidRDefault="00DF6D4C" w:rsidP="00DF6D4C">
      <w:pPr>
        <w:pStyle w:val="Table"/>
      </w:pPr>
      <w:bookmarkStart w:id="66" w:name="_Ref201743047"/>
      <w:bookmarkStart w:id="67" w:name="_Toc233002304"/>
      <w:r w:rsidRPr="00AF656B">
        <w:t xml:space="preserve">Table </w:t>
      </w:r>
      <w:fldSimple w:instr=" SEQ Table \* ARABIC ">
        <w:r w:rsidR="007527A2" w:rsidRPr="00AF656B">
          <w:rPr>
            <w:noProof/>
          </w:rPr>
          <w:t>4</w:t>
        </w:r>
      </w:fldSimple>
      <w:bookmarkEnd w:id="66"/>
      <w:r w:rsidRPr="00AF656B">
        <w:t xml:space="preserve">: </w:t>
      </w:r>
      <w:r w:rsidR="00483312">
        <w:t>Application</w:t>
      </w:r>
      <w:r w:rsidR="00483312" w:rsidRPr="00AF656B">
        <w:t xml:space="preserve"> </w:t>
      </w:r>
      <w:r w:rsidRPr="00AF656B">
        <w:t>outcomes </w:t>
      </w:r>
      <w:r w:rsidR="008E0CBB">
        <w:t xml:space="preserve">where applicant did not have an assisted death (excluding cases where AMP or IMP assessment found them to be ineligible), </w:t>
      </w:r>
      <w:r w:rsidR="008E0CBB" w:rsidRPr="00AF656B">
        <w:rPr>
          <w:bCs/>
        </w:rPr>
        <w:t>1</w:t>
      </w:r>
      <w:r w:rsidR="008E0CBB">
        <w:rPr>
          <w:bCs/>
        </w:rPr>
        <w:t> </w:t>
      </w:r>
      <w:r w:rsidR="008E0CBB" w:rsidRPr="00AF656B">
        <w:rPr>
          <w:bCs/>
        </w:rPr>
        <w:t>April</w:t>
      </w:r>
      <w:r w:rsidR="00E840A4">
        <w:rPr>
          <w:bCs/>
        </w:rPr>
        <w:t> </w:t>
      </w:r>
      <w:r w:rsidR="008E0CBB" w:rsidRPr="00AF656B">
        <w:rPr>
          <w:bCs/>
        </w:rPr>
        <w:t>2025</w:t>
      </w:r>
      <w:r w:rsidR="008E0CBB">
        <w:rPr>
          <w:bCs/>
        </w:rPr>
        <w:t xml:space="preserve"> </w:t>
      </w:r>
      <w:r w:rsidR="008E0CBB" w:rsidRPr="00AF656B">
        <w:rPr>
          <w:bCs/>
        </w:rPr>
        <w:t>–</w:t>
      </w:r>
      <w:r w:rsidR="008E0CBB">
        <w:rPr>
          <w:bCs/>
        </w:rPr>
        <w:t xml:space="preserve"> </w:t>
      </w:r>
      <w:r w:rsidR="008E0CBB" w:rsidRPr="00AF656B">
        <w:rPr>
          <w:bCs/>
        </w:rPr>
        <w:t>31 March 2026</w:t>
      </w:r>
      <w:bookmarkEnd w:id="67"/>
    </w:p>
    <w:tbl>
      <w:tblPr>
        <w:tblW w:w="80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0"/>
        <w:gridCol w:w="5100"/>
        <w:gridCol w:w="2295"/>
      </w:tblGrid>
      <w:tr w:rsidR="00DF6D4C" w:rsidRPr="00AF656B" w14:paraId="5F2FAD5F" w14:textId="77777777" w:rsidTr="00CE3ED7">
        <w:trPr>
          <w:trHeight w:val="300"/>
        </w:trPr>
        <w:tc>
          <w:tcPr>
            <w:tcW w:w="660" w:type="dxa"/>
            <w:tcBorders>
              <w:top w:val="nil"/>
              <w:left w:val="nil"/>
              <w:bottom w:val="nil"/>
              <w:right w:val="nil"/>
            </w:tcBorders>
            <w:shd w:val="clear" w:color="auto" w:fill="D9D9D9" w:themeFill="background1" w:themeFillShade="D9"/>
            <w:vAlign w:val="center"/>
            <w:hideMark/>
          </w:tcPr>
          <w:p w14:paraId="46445A77" w14:textId="77777777" w:rsidR="00DF6D4C" w:rsidRPr="00AF656B" w:rsidRDefault="00DF6D4C" w:rsidP="005F1B0B">
            <w:pPr>
              <w:pStyle w:val="TableText"/>
              <w:rPr>
                <w:rFonts w:ascii="Times New Roman" w:hAnsi="Times New Roman"/>
                <w:sz w:val="24"/>
                <w:szCs w:val="24"/>
                <w:lang w:eastAsia="en-NZ"/>
              </w:rPr>
            </w:pPr>
            <w:r w:rsidRPr="00AF656B">
              <w:rPr>
                <w:lang w:eastAsia="en-NZ"/>
              </w:rPr>
              <w:t> </w:t>
            </w:r>
          </w:p>
        </w:tc>
        <w:tc>
          <w:tcPr>
            <w:tcW w:w="5100" w:type="dxa"/>
            <w:tcBorders>
              <w:top w:val="nil"/>
              <w:left w:val="nil"/>
              <w:bottom w:val="nil"/>
              <w:right w:val="nil"/>
            </w:tcBorders>
            <w:shd w:val="clear" w:color="auto" w:fill="D9D9D9" w:themeFill="background1" w:themeFillShade="D9"/>
            <w:vAlign w:val="center"/>
            <w:hideMark/>
          </w:tcPr>
          <w:p w14:paraId="474F7094" w14:textId="77777777" w:rsidR="00DF6D4C" w:rsidRPr="00AF656B" w:rsidRDefault="00DF6D4C" w:rsidP="005F1B0B">
            <w:pPr>
              <w:pStyle w:val="TableText"/>
              <w:rPr>
                <w:rFonts w:ascii="Times New Roman" w:hAnsi="Times New Roman"/>
                <w:sz w:val="24"/>
                <w:szCs w:val="24"/>
                <w:lang w:eastAsia="en-NZ"/>
              </w:rPr>
            </w:pPr>
            <w:r w:rsidRPr="00AF656B">
              <w:rPr>
                <w:b/>
                <w:bCs/>
                <w:lang w:eastAsia="en-NZ"/>
              </w:rPr>
              <w:t>Outcome type</w:t>
            </w:r>
            <w:r w:rsidRPr="00AF656B">
              <w:rPr>
                <w:lang w:eastAsia="en-NZ"/>
              </w:rPr>
              <w:t> </w:t>
            </w:r>
          </w:p>
        </w:tc>
        <w:tc>
          <w:tcPr>
            <w:tcW w:w="2295" w:type="dxa"/>
            <w:tcBorders>
              <w:top w:val="nil"/>
              <w:left w:val="nil"/>
              <w:bottom w:val="nil"/>
              <w:right w:val="nil"/>
            </w:tcBorders>
            <w:shd w:val="clear" w:color="auto" w:fill="D9D9D9" w:themeFill="background1" w:themeFillShade="D9"/>
            <w:hideMark/>
          </w:tcPr>
          <w:p w14:paraId="4D9EC671" w14:textId="77777777" w:rsidR="00DF6D4C" w:rsidRPr="00AF656B" w:rsidRDefault="00DF6D4C" w:rsidP="005F1B0B">
            <w:pPr>
              <w:pStyle w:val="TableText"/>
              <w:ind w:right="57"/>
              <w:jc w:val="right"/>
              <w:rPr>
                <w:rFonts w:ascii="Times New Roman" w:hAnsi="Times New Roman"/>
                <w:sz w:val="24"/>
                <w:szCs w:val="24"/>
                <w:lang w:eastAsia="en-NZ"/>
              </w:rPr>
            </w:pPr>
            <w:r w:rsidRPr="00AF656B">
              <w:rPr>
                <w:b/>
                <w:bCs/>
                <w:lang w:eastAsia="en-NZ"/>
              </w:rPr>
              <w:t>Number of applications</w:t>
            </w:r>
            <w:r w:rsidRPr="00AF656B">
              <w:rPr>
                <w:lang w:eastAsia="en-NZ"/>
              </w:rPr>
              <w:t> </w:t>
            </w:r>
          </w:p>
        </w:tc>
      </w:tr>
      <w:tr w:rsidR="00DF6D4C" w:rsidRPr="00AF656B" w14:paraId="440E244D" w14:textId="77777777" w:rsidTr="00CE3ED7">
        <w:trPr>
          <w:trHeight w:val="300"/>
        </w:trPr>
        <w:tc>
          <w:tcPr>
            <w:tcW w:w="5760" w:type="dxa"/>
            <w:gridSpan w:val="2"/>
            <w:tcBorders>
              <w:top w:val="nil"/>
              <w:left w:val="nil"/>
              <w:bottom w:val="single" w:sz="6" w:space="0" w:color="A6A6A6" w:themeColor="background1" w:themeShade="A6"/>
              <w:right w:val="nil"/>
            </w:tcBorders>
            <w:hideMark/>
          </w:tcPr>
          <w:p w14:paraId="431B0AED" w14:textId="77777777" w:rsidR="00DF6D4C" w:rsidRPr="00AF656B" w:rsidRDefault="00DF6D4C" w:rsidP="005F1B0B">
            <w:pPr>
              <w:spacing w:before="60" w:after="60"/>
              <w:textAlignment w:val="baseline"/>
              <w:rPr>
                <w:rFonts w:cs="Segoe UI"/>
                <w:b/>
                <w:sz w:val="18"/>
                <w:szCs w:val="18"/>
                <w:lang w:eastAsia="en-NZ"/>
              </w:rPr>
            </w:pPr>
            <w:r w:rsidRPr="00AF656B">
              <w:rPr>
                <w:rFonts w:cs="Segoe UI"/>
                <w:b/>
                <w:bCs/>
                <w:sz w:val="18"/>
                <w:szCs w:val="18"/>
                <w:lang w:eastAsia="en-NZ"/>
              </w:rPr>
              <w:t>Closed application outcomes not continuing to AMP assessment</w:t>
            </w:r>
            <w:r w:rsidRPr="00AF656B">
              <w:rPr>
                <w:rFonts w:cs="Segoe UI"/>
                <w:b/>
                <w:sz w:val="18"/>
                <w:szCs w:val="18"/>
                <w:lang w:eastAsia="en-NZ"/>
              </w:rPr>
              <w:t> </w:t>
            </w:r>
          </w:p>
        </w:tc>
        <w:tc>
          <w:tcPr>
            <w:tcW w:w="2295" w:type="dxa"/>
            <w:tcBorders>
              <w:top w:val="nil"/>
              <w:left w:val="nil"/>
              <w:bottom w:val="single" w:sz="6" w:space="0" w:color="A6A6A6" w:themeColor="background1" w:themeShade="A6"/>
              <w:right w:val="nil"/>
            </w:tcBorders>
            <w:hideMark/>
          </w:tcPr>
          <w:p w14:paraId="7F7EF1C6" w14:textId="77777777" w:rsidR="00DF6D4C" w:rsidRPr="00AF656B" w:rsidRDefault="00DF6D4C" w:rsidP="005F1B0B">
            <w:pPr>
              <w:spacing w:before="60" w:after="60"/>
              <w:ind w:right="57"/>
              <w:jc w:val="right"/>
              <w:textAlignment w:val="baseline"/>
              <w:rPr>
                <w:rFonts w:ascii="Times New Roman" w:hAnsi="Times New Roman"/>
                <w:sz w:val="24"/>
                <w:szCs w:val="24"/>
                <w:lang w:eastAsia="en-NZ"/>
              </w:rPr>
            </w:pPr>
            <w:r w:rsidRPr="00AF656B">
              <w:rPr>
                <w:rFonts w:cs="Segoe UI"/>
                <w:sz w:val="18"/>
                <w:szCs w:val="18"/>
                <w:lang w:eastAsia="en-NZ"/>
              </w:rPr>
              <w:t> </w:t>
            </w:r>
          </w:p>
        </w:tc>
      </w:tr>
      <w:tr w:rsidR="00DF6D4C" w:rsidRPr="00AF656B" w14:paraId="1ED01114" w14:textId="77777777" w:rsidTr="00CE3ED7">
        <w:trPr>
          <w:trHeight w:val="503"/>
        </w:trPr>
        <w:tc>
          <w:tcPr>
            <w:tcW w:w="660" w:type="dxa"/>
            <w:tcBorders>
              <w:top w:val="nil"/>
              <w:left w:val="nil"/>
              <w:bottom w:val="single" w:sz="6" w:space="0" w:color="A6A6A6" w:themeColor="background1" w:themeShade="A6"/>
              <w:right w:val="nil"/>
            </w:tcBorders>
            <w:vAlign w:val="center"/>
            <w:hideMark/>
          </w:tcPr>
          <w:p w14:paraId="6D93830C" w14:textId="77777777" w:rsidR="00DF6D4C" w:rsidRPr="00AF656B" w:rsidRDefault="00DF6D4C" w:rsidP="005F1B0B">
            <w:pPr>
              <w:spacing w:before="60" w:after="60"/>
              <w:textAlignment w:val="baseline"/>
              <w:rPr>
                <w:rFonts w:ascii="Times New Roman" w:hAnsi="Times New Roman"/>
                <w:sz w:val="24"/>
                <w:szCs w:val="24"/>
                <w:lang w:eastAsia="en-NZ"/>
              </w:rPr>
            </w:pPr>
            <w:r w:rsidRPr="00AF656B">
              <w:rPr>
                <w:rFonts w:cs="Segoe UI"/>
                <w:sz w:val="18"/>
                <w:szCs w:val="18"/>
                <w:lang w:eastAsia="en-NZ"/>
              </w:rPr>
              <w:t> </w:t>
            </w:r>
          </w:p>
        </w:tc>
        <w:tc>
          <w:tcPr>
            <w:tcW w:w="5100" w:type="dxa"/>
            <w:tcBorders>
              <w:top w:val="nil"/>
              <w:left w:val="nil"/>
              <w:bottom w:val="single" w:sz="6" w:space="0" w:color="A6A6A6" w:themeColor="background1" w:themeShade="A6"/>
              <w:right w:val="nil"/>
            </w:tcBorders>
            <w:hideMark/>
          </w:tcPr>
          <w:p w14:paraId="4F1764D6" w14:textId="3BCD34C7" w:rsidR="00DF6D4C" w:rsidRPr="00AF656B" w:rsidRDefault="00DF6D4C" w:rsidP="005F1B0B">
            <w:pPr>
              <w:spacing w:before="60" w:after="60"/>
              <w:textAlignment w:val="baseline"/>
              <w:rPr>
                <w:rFonts w:cs="Segoe UI"/>
                <w:sz w:val="18"/>
                <w:szCs w:val="18"/>
                <w:lang w:eastAsia="en-NZ"/>
              </w:rPr>
            </w:pPr>
            <w:r w:rsidRPr="00AF656B">
              <w:rPr>
                <w:rFonts w:cs="Segoe UI"/>
                <w:sz w:val="18"/>
                <w:szCs w:val="18"/>
                <w:lang w:eastAsia="en-NZ"/>
              </w:rPr>
              <w:t>Died in process, found not competent or found not eligible before</w:t>
            </w:r>
            <w:r w:rsidR="008E0CBB" w:rsidRPr="00AF656B">
              <w:rPr>
                <w:rFonts w:cs="Segoe UI"/>
                <w:sz w:val="18"/>
                <w:szCs w:val="18"/>
                <w:lang w:eastAsia="en-NZ"/>
              </w:rPr>
              <w:t xml:space="preserve"> AMP</w:t>
            </w:r>
            <w:r w:rsidRPr="00AF656B">
              <w:rPr>
                <w:rFonts w:cs="Segoe UI"/>
                <w:sz w:val="18"/>
                <w:szCs w:val="18"/>
                <w:lang w:eastAsia="en-NZ"/>
              </w:rPr>
              <w:t xml:space="preserve"> assessment</w:t>
            </w:r>
            <w:r w:rsidR="00946A21" w:rsidRPr="00AF656B">
              <w:rPr>
                <w:rFonts w:cs="Segoe UI"/>
                <w:sz w:val="18"/>
                <w:szCs w:val="18"/>
                <w:lang w:eastAsia="en-NZ"/>
              </w:rPr>
              <w:t xml:space="preserve">, </w:t>
            </w:r>
            <w:r w:rsidR="12B021DF" w:rsidRPr="00AF656B">
              <w:rPr>
                <w:rFonts w:cs="Segoe UI"/>
                <w:sz w:val="18"/>
                <w:szCs w:val="18"/>
                <w:lang w:eastAsia="en-NZ"/>
              </w:rPr>
              <w:t>or did not consent to proceed with their application</w:t>
            </w:r>
          </w:p>
        </w:tc>
        <w:tc>
          <w:tcPr>
            <w:tcW w:w="2295" w:type="dxa"/>
            <w:tcBorders>
              <w:top w:val="nil"/>
              <w:left w:val="nil"/>
              <w:bottom w:val="single" w:sz="6" w:space="0" w:color="A6A6A6" w:themeColor="background1" w:themeShade="A6"/>
              <w:right w:val="nil"/>
            </w:tcBorders>
            <w:hideMark/>
          </w:tcPr>
          <w:p w14:paraId="4F843AC9" w14:textId="2F48F9A7" w:rsidR="00DF6D4C" w:rsidRPr="00AF656B" w:rsidRDefault="006B1F00" w:rsidP="005F1B0B">
            <w:pPr>
              <w:spacing w:before="60" w:after="60"/>
              <w:ind w:right="57"/>
              <w:jc w:val="right"/>
              <w:textAlignment w:val="baseline"/>
              <w:rPr>
                <w:rFonts w:ascii="Times New Roman" w:hAnsi="Times New Roman"/>
                <w:sz w:val="24"/>
                <w:szCs w:val="24"/>
                <w:lang w:eastAsia="en-NZ"/>
              </w:rPr>
            </w:pPr>
            <w:r w:rsidRPr="00AF656B">
              <w:rPr>
                <w:rFonts w:cs="Segoe UI"/>
                <w:sz w:val="18"/>
                <w:szCs w:val="18"/>
                <w:lang w:eastAsia="en-NZ"/>
              </w:rPr>
              <w:t>60</w:t>
            </w:r>
            <w:r w:rsidR="00DF6D4C" w:rsidRPr="00AF656B">
              <w:rPr>
                <w:rFonts w:cs="Segoe UI"/>
                <w:sz w:val="18"/>
                <w:szCs w:val="18"/>
                <w:lang w:eastAsia="en-NZ"/>
              </w:rPr>
              <w:t> </w:t>
            </w:r>
          </w:p>
        </w:tc>
      </w:tr>
      <w:tr w:rsidR="00DF6D4C" w:rsidRPr="00AF656B" w14:paraId="4DCB52BA" w14:textId="77777777" w:rsidTr="00CE3ED7">
        <w:trPr>
          <w:trHeight w:val="300"/>
        </w:trPr>
        <w:tc>
          <w:tcPr>
            <w:tcW w:w="5760" w:type="dxa"/>
            <w:gridSpan w:val="2"/>
            <w:tcBorders>
              <w:top w:val="nil"/>
              <w:left w:val="nil"/>
              <w:bottom w:val="single" w:sz="6" w:space="0" w:color="A6A6A6" w:themeColor="background1" w:themeShade="A6"/>
              <w:right w:val="nil"/>
            </w:tcBorders>
            <w:hideMark/>
          </w:tcPr>
          <w:p w14:paraId="2F2C00DC" w14:textId="77777777" w:rsidR="00DF6D4C" w:rsidRPr="00AF656B" w:rsidRDefault="00DF6D4C" w:rsidP="005F1B0B">
            <w:pPr>
              <w:spacing w:before="60" w:after="60"/>
              <w:textAlignment w:val="baseline"/>
              <w:rPr>
                <w:rFonts w:cs="Segoe UI"/>
                <w:b/>
                <w:sz w:val="18"/>
                <w:szCs w:val="18"/>
                <w:lang w:eastAsia="en-NZ"/>
              </w:rPr>
            </w:pPr>
            <w:r w:rsidRPr="00AF656B">
              <w:rPr>
                <w:rFonts w:cs="Segoe UI"/>
                <w:b/>
                <w:bCs/>
                <w:sz w:val="18"/>
                <w:szCs w:val="18"/>
                <w:lang w:eastAsia="en-NZ"/>
              </w:rPr>
              <w:t>Further application outcomes not progressing to assisted death during this reporting period</w:t>
            </w:r>
            <w:r w:rsidRPr="00AF656B">
              <w:rPr>
                <w:rFonts w:cs="Segoe UI"/>
                <w:b/>
                <w:sz w:val="18"/>
                <w:szCs w:val="18"/>
                <w:lang w:eastAsia="en-NZ"/>
              </w:rPr>
              <w:t> </w:t>
            </w:r>
          </w:p>
        </w:tc>
        <w:tc>
          <w:tcPr>
            <w:tcW w:w="2295" w:type="dxa"/>
            <w:tcBorders>
              <w:top w:val="nil"/>
              <w:left w:val="nil"/>
              <w:bottom w:val="single" w:sz="6" w:space="0" w:color="A6A6A6" w:themeColor="background1" w:themeShade="A6"/>
              <w:right w:val="nil"/>
            </w:tcBorders>
            <w:hideMark/>
          </w:tcPr>
          <w:p w14:paraId="4629D488" w14:textId="77777777" w:rsidR="00DF6D4C" w:rsidRPr="00AF656B" w:rsidRDefault="00DF6D4C" w:rsidP="005F1B0B">
            <w:pPr>
              <w:spacing w:before="60" w:after="60"/>
              <w:ind w:right="57"/>
              <w:jc w:val="right"/>
              <w:textAlignment w:val="baseline"/>
              <w:rPr>
                <w:rFonts w:ascii="Times New Roman" w:hAnsi="Times New Roman"/>
                <w:sz w:val="24"/>
                <w:szCs w:val="24"/>
                <w:lang w:eastAsia="en-NZ"/>
              </w:rPr>
            </w:pPr>
            <w:r w:rsidRPr="00AF656B">
              <w:rPr>
                <w:rFonts w:cs="Segoe UI"/>
                <w:sz w:val="18"/>
                <w:szCs w:val="18"/>
                <w:lang w:eastAsia="en-NZ"/>
              </w:rPr>
              <w:t> </w:t>
            </w:r>
          </w:p>
        </w:tc>
      </w:tr>
      <w:tr w:rsidR="00DF6D4C" w:rsidRPr="00AF656B" w14:paraId="14700613" w14:textId="77777777" w:rsidTr="00CE3ED7">
        <w:trPr>
          <w:trHeight w:val="300"/>
        </w:trPr>
        <w:tc>
          <w:tcPr>
            <w:tcW w:w="660" w:type="dxa"/>
            <w:tcBorders>
              <w:top w:val="nil"/>
              <w:left w:val="nil"/>
              <w:bottom w:val="single" w:sz="6" w:space="0" w:color="A6A6A6" w:themeColor="background1" w:themeShade="A6"/>
              <w:right w:val="nil"/>
            </w:tcBorders>
            <w:vAlign w:val="center"/>
            <w:hideMark/>
          </w:tcPr>
          <w:p w14:paraId="0C3183F0" w14:textId="77777777" w:rsidR="00DF6D4C" w:rsidRPr="00AF656B" w:rsidRDefault="00DF6D4C" w:rsidP="005F1B0B">
            <w:pPr>
              <w:spacing w:before="60" w:after="60"/>
              <w:textAlignment w:val="baseline"/>
              <w:rPr>
                <w:rFonts w:ascii="Times New Roman" w:hAnsi="Times New Roman"/>
                <w:sz w:val="24"/>
                <w:szCs w:val="24"/>
                <w:lang w:eastAsia="en-NZ"/>
              </w:rPr>
            </w:pPr>
            <w:r w:rsidRPr="00AF656B">
              <w:rPr>
                <w:rFonts w:cs="Segoe UI"/>
                <w:sz w:val="18"/>
                <w:szCs w:val="18"/>
                <w:lang w:eastAsia="en-NZ"/>
              </w:rPr>
              <w:t> </w:t>
            </w:r>
          </w:p>
        </w:tc>
        <w:tc>
          <w:tcPr>
            <w:tcW w:w="5100" w:type="dxa"/>
            <w:tcBorders>
              <w:top w:val="nil"/>
              <w:left w:val="nil"/>
              <w:bottom w:val="single" w:sz="6" w:space="0" w:color="A6A6A6" w:themeColor="background1" w:themeShade="A6"/>
              <w:right w:val="nil"/>
            </w:tcBorders>
            <w:hideMark/>
          </w:tcPr>
          <w:p w14:paraId="629F43E9" w14:textId="77777777" w:rsidR="00DF6D4C" w:rsidRPr="00AF656B" w:rsidRDefault="00DF6D4C" w:rsidP="005F1B0B">
            <w:pPr>
              <w:spacing w:before="60" w:after="60"/>
              <w:textAlignment w:val="baseline"/>
              <w:rPr>
                <w:rFonts w:cs="Segoe UI"/>
                <w:sz w:val="18"/>
                <w:szCs w:val="18"/>
                <w:lang w:eastAsia="en-NZ"/>
              </w:rPr>
            </w:pPr>
            <w:r w:rsidRPr="00AF656B">
              <w:rPr>
                <w:rFonts w:cs="Segoe UI"/>
                <w:sz w:val="18"/>
                <w:szCs w:val="18"/>
                <w:lang w:eastAsia="en-NZ"/>
              </w:rPr>
              <w:t>Died in process </w:t>
            </w:r>
          </w:p>
        </w:tc>
        <w:tc>
          <w:tcPr>
            <w:tcW w:w="2295" w:type="dxa"/>
            <w:tcBorders>
              <w:top w:val="nil"/>
              <w:left w:val="nil"/>
              <w:bottom w:val="single" w:sz="6" w:space="0" w:color="A6A6A6" w:themeColor="background1" w:themeShade="A6"/>
              <w:right w:val="nil"/>
            </w:tcBorders>
            <w:hideMark/>
          </w:tcPr>
          <w:p w14:paraId="12FD248E" w14:textId="02643792" w:rsidR="00DF6D4C" w:rsidRPr="00AF656B" w:rsidRDefault="001062AF" w:rsidP="005F1B0B">
            <w:pPr>
              <w:spacing w:before="60" w:after="60"/>
              <w:ind w:right="57"/>
              <w:jc w:val="right"/>
              <w:textAlignment w:val="baseline"/>
              <w:rPr>
                <w:rFonts w:ascii="Times New Roman" w:hAnsi="Times New Roman"/>
                <w:sz w:val="24"/>
                <w:szCs w:val="24"/>
                <w:lang w:eastAsia="en-NZ"/>
              </w:rPr>
            </w:pPr>
            <w:r w:rsidRPr="00AF656B">
              <w:rPr>
                <w:rFonts w:cs="Segoe UI"/>
                <w:sz w:val="18"/>
                <w:szCs w:val="18"/>
                <w:lang w:eastAsia="en-NZ"/>
              </w:rPr>
              <w:t>306</w:t>
            </w:r>
            <w:r w:rsidR="00DF6D4C" w:rsidRPr="00AF656B">
              <w:rPr>
                <w:rFonts w:cs="Segoe UI"/>
                <w:sz w:val="18"/>
                <w:szCs w:val="18"/>
                <w:lang w:eastAsia="en-NZ"/>
              </w:rPr>
              <w:t> </w:t>
            </w:r>
          </w:p>
        </w:tc>
      </w:tr>
      <w:tr w:rsidR="00DF6D4C" w:rsidRPr="00AF656B" w14:paraId="347B167B" w14:textId="77777777" w:rsidTr="00CE3ED7">
        <w:trPr>
          <w:trHeight w:val="300"/>
        </w:trPr>
        <w:tc>
          <w:tcPr>
            <w:tcW w:w="660" w:type="dxa"/>
            <w:tcBorders>
              <w:top w:val="single" w:sz="6" w:space="0" w:color="A6A6A6" w:themeColor="background1" w:themeShade="A6"/>
              <w:left w:val="nil"/>
              <w:bottom w:val="single" w:sz="6" w:space="0" w:color="A6A6A6" w:themeColor="background1" w:themeShade="A6"/>
              <w:right w:val="nil"/>
            </w:tcBorders>
            <w:vAlign w:val="center"/>
            <w:hideMark/>
          </w:tcPr>
          <w:p w14:paraId="28A5BA01" w14:textId="77777777" w:rsidR="00DF6D4C" w:rsidRPr="00AF656B" w:rsidRDefault="00DF6D4C" w:rsidP="005F1B0B">
            <w:pPr>
              <w:spacing w:before="60" w:after="60"/>
              <w:textAlignment w:val="baseline"/>
              <w:rPr>
                <w:rFonts w:ascii="Times New Roman" w:hAnsi="Times New Roman"/>
                <w:sz w:val="24"/>
                <w:szCs w:val="24"/>
                <w:lang w:eastAsia="en-NZ"/>
              </w:rPr>
            </w:pPr>
            <w:r w:rsidRPr="00AF656B">
              <w:rPr>
                <w:rFonts w:cs="Segoe UI"/>
                <w:sz w:val="18"/>
                <w:szCs w:val="18"/>
                <w:lang w:eastAsia="en-NZ"/>
              </w:rPr>
              <w:t> </w:t>
            </w:r>
          </w:p>
        </w:tc>
        <w:tc>
          <w:tcPr>
            <w:tcW w:w="5100" w:type="dxa"/>
            <w:tcBorders>
              <w:top w:val="single" w:sz="6" w:space="0" w:color="A6A6A6" w:themeColor="background1" w:themeShade="A6"/>
              <w:left w:val="nil"/>
              <w:bottom w:val="single" w:sz="6" w:space="0" w:color="A6A6A6" w:themeColor="background1" w:themeShade="A6"/>
              <w:right w:val="nil"/>
            </w:tcBorders>
            <w:hideMark/>
          </w:tcPr>
          <w:p w14:paraId="78DD8D8E" w14:textId="77777777" w:rsidR="00DF6D4C" w:rsidRPr="00AF656B" w:rsidRDefault="00DF6D4C" w:rsidP="005F1B0B">
            <w:pPr>
              <w:spacing w:before="60" w:after="60"/>
              <w:textAlignment w:val="baseline"/>
              <w:rPr>
                <w:rFonts w:cs="Segoe UI"/>
                <w:sz w:val="18"/>
                <w:szCs w:val="18"/>
                <w:lang w:eastAsia="en-NZ"/>
              </w:rPr>
            </w:pPr>
            <w:r w:rsidRPr="00AF656B">
              <w:rPr>
                <w:rFonts w:cs="Segoe UI"/>
                <w:sz w:val="18"/>
                <w:szCs w:val="18"/>
                <w:lang w:eastAsia="en-NZ"/>
              </w:rPr>
              <w:t>Lost competence </w:t>
            </w:r>
          </w:p>
        </w:tc>
        <w:tc>
          <w:tcPr>
            <w:tcW w:w="2295" w:type="dxa"/>
            <w:tcBorders>
              <w:top w:val="single" w:sz="6" w:space="0" w:color="A6A6A6" w:themeColor="background1" w:themeShade="A6"/>
              <w:left w:val="nil"/>
              <w:bottom w:val="single" w:sz="6" w:space="0" w:color="A6A6A6" w:themeColor="background1" w:themeShade="A6"/>
              <w:right w:val="nil"/>
            </w:tcBorders>
            <w:hideMark/>
          </w:tcPr>
          <w:p w14:paraId="668C6E94" w14:textId="48CC0049" w:rsidR="00DF6D4C" w:rsidRPr="00AF656B" w:rsidRDefault="778DAF62" w:rsidP="005F1B0B">
            <w:pPr>
              <w:spacing w:before="60" w:after="60"/>
              <w:ind w:right="57"/>
              <w:jc w:val="right"/>
              <w:textAlignment w:val="baseline"/>
              <w:rPr>
                <w:rFonts w:ascii="Times New Roman" w:hAnsi="Times New Roman"/>
                <w:sz w:val="24"/>
                <w:szCs w:val="24"/>
                <w:lang w:eastAsia="en-NZ"/>
              </w:rPr>
            </w:pPr>
            <w:r w:rsidRPr="00AF656B">
              <w:rPr>
                <w:rFonts w:cs="Segoe UI"/>
                <w:sz w:val="18"/>
                <w:szCs w:val="18"/>
                <w:lang w:eastAsia="en-NZ"/>
              </w:rPr>
              <w:t>1</w:t>
            </w:r>
            <w:r w:rsidR="4B319ED4" w:rsidRPr="00AF656B">
              <w:rPr>
                <w:rFonts w:cs="Segoe UI"/>
                <w:sz w:val="18"/>
                <w:szCs w:val="18"/>
                <w:lang w:eastAsia="en-NZ"/>
              </w:rPr>
              <w:t>7</w:t>
            </w:r>
            <w:r w:rsidR="00DF6D4C" w:rsidRPr="00AF656B">
              <w:rPr>
                <w:rFonts w:cs="Segoe UI"/>
                <w:sz w:val="18"/>
                <w:szCs w:val="18"/>
                <w:lang w:eastAsia="en-NZ"/>
              </w:rPr>
              <w:t> </w:t>
            </w:r>
          </w:p>
        </w:tc>
      </w:tr>
      <w:tr w:rsidR="00DF6D4C" w:rsidRPr="00AF656B" w14:paraId="1640E59F" w14:textId="77777777" w:rsidTr="00CE3ED7">
        <w:trPr>
          <w:trHeight w:val="300"/>
        </w:trPr>
        <w:tc>
          <w:tcPr>
            <w:tcW w:w="660" w:type="dxa"/>
            <w:tcBorders>
              <w:top w:val="single" w:sz="6" w:space="0" w:color="A6A6A6" w:themeColor="background1" w:themeShade="A6"/>
              <w:left w:val="nil"/>
              <w:bottom w:val="single" w:sz="6" w:space="0" w:color="A6A6A6" w:themeColor="background1" w:themeShade="A6"/>
              <w:right w:val="nil"/>
            </w:tcBorders>
            <w:vAlign w:val="center"/>
            <w:hideMark/>
          </w:tcPr>
          <w:p w14:paraId="711A4A0B" w14:textId="77777777" w:rsidR="00DF6D4C" w:rsidRPr="00AF656B" w:rsidRDefault="00DF6D4C" w:rsidP="005F1B0B">
            <w:pPr>
              <w:spacing w:before="60" w:after="60"/>
              <w:textAlignment w:val="baseline"/>
              <w:rPr>
                <w:rFonts w:ascii="Times New Roman" w:hAnsi="Times New Roman"/>
                <w:sz w:val="24"/>
                <w:szCs w:val="24"/>
                <w:lang w:eastAsia="en-NZ"/>
              </w:rPr>
            </w:pPr>
            <w:r w:rsidRPr="00AF656B">
              <w:rPr>
                <w:rFonts w:cs="Segoe UI"/>
                <w:sz w:val="18"/>
                <w:szCs w:val="18"/>
                <w:lang w:eastAsia="en-NZ"/>
              </w:rPr>
              <w:t> </w:t>
            </w:r>
          </w:p>
        </w:tc>
        <w:tc>
          <w:tcPr>
            <w:tcW w:w="5100" w:type="dxa"/>
            <w:tcBorders>
              <w:top w:val="single" w:sz="6" w:space="0" w:color="A6A6A6" w:themeColor="background1" w:themeShade="A6"/>
              <w:left w:val="nil"/>
              <w:bottom w:val="single" w:sz="6" w:space="0" w:color="A6A6A6" w:themeColor="background1" w:themeShade="A6"/>
              <w:right w:val="nil"/>
            </w:tcBorders>
            <w:hideMark/>
          </w:tcPr>
          <w:p w14:paraId="18976E47" w14:textId="77777777" w:rsidR="00DF6D4C" w:rsidRPr="00AF656B" w:rsidRDefault="00DF6D4C" w:rsidP="005F1B0B">
            <w:pPr>
              <w:spacing w:before="60" w:after="60"/>
              <w:textAlignment w:val="baseline"/>
              <w:rPr>
                <w:rFonts w:cs="Segoe UI"/>
                <w:sz w:val="18"/>
                <w:szCs w:val="18"/>
                <w:lang w:eastAsia="en-NZ"/>
              </w:rPr>
            </w:pPr>
            <w:r w:rsidRPr="00AF656B">
              <w:rPr>
                <w:rFonts w:cs="Segoe UI"/>
                <w:sz w:val="18"/>
                <w:szCs w:val="18"/>
                <w:lang w:eastAsia="en-NZ"/>
              </w:rPr>
              <w:t>Lost eligibility </w:t>
            </w:r>
          </w:p>
        </w:tc>
        <w:tc>
          <w:tcPr>
            <w:tcW w:w="2295" w:type="dxa"/>
            <w:tcBorders>
              <w:top w:val="single" w:sz="6" w:space="0" w:color="A6A6A6" w:themeColor="background1" w:themeShade="A6"/>
              <w:left w:val="nil"/>
              <w:bottom w:val="single" w:sz="6" w:space="0" w:color="A6A6A6" w:themeColor="background1" w:themeShade="A6"/>
              <w:right w:val="nil"/>
            </w:tcBorders>
            <w:hideMark/>
          </w:tcPr>
          <w:p w14:paraId="046E4B06" w14:textId="2A631F32" w:rsidR="00DF6D4C" w:rsidRPr="00AF656B" w:rsidRDefault="001062AF" w:rsidP="005F1B0B">
            <w:pPr>
              <w:spacing w:before="60" w:after="60"/>
              <w:ind w:right="57"/>
              <w:jc w:val="right"/>
              <w:textAlignment w:val="baseline"/>
              <w:rPr>
                <w:rFonts w:ascii="Times New Roman" w:hAnsi="Times New Roman"/>
                <w:sz w:val="24"/>
                <w:szCs w:val="24"/>
                <w:lang w:eastAsia="en-NZ"/>
              </w:rPr>
            </w:pPr>
            <w:r w:rsidRPr="00AF656B">
              <w:rPr>
                <w:rFonts w:cs="Segoe UI"/>
                <w:sz w:val="18"/>
                <w:szCs w:val="18"/>
                <w:lang w:eastAsia="en-NZ"/>
              </w:rPr>
              <w:t>14</w:t>
            </w:r>
            <w:r w:rsidR="00DF6D4C" w:rsidRPr="00AF656B">
              <w:rPr>
                <w:rFonts w:cs="Segoe UI"/>
                <w:sz w:val="18"/>
                <w:szCs w:val="18"/>
                <w:lang w:eastAsia="en-NZ"/>
              </w:rPr>
              <w:t> </w:t>
            </w:r>
          </w:p>
        </w:tc>
      </w:tr>
      <w:tr w:rsidR="00DF6D4C" w:rsidRPr="00AF656B" w14:paraId="062252B2" w14:textId="77777777" w:rsidTr="00CE3ED7">
        <w:trPr>
          <w:trHeight w:val="300"/>
        </w:trPr>
        <w:tc>
          <w:tcPr>
            <w:tcW w:w="660" w:type="dxa"/>
            <w:tcBorders>
              <w:top w:val="single" w:sz="6" w:space="0" w:color="A6A6A6" w:themeColor="background1" w:themeShade="A6"/>
              <w:left w:val="nil"/>
              <w:bottom w:val="single" w:sz="6" w:space="0" w:color="A6A6A6" w:themeColor="background1" w:themeShade="A6"/>
              <w:right w:val="nil"/>
            </w:tcBorders>
            <w:vAlign w:val="center"/>
            <w:hideMark/>
          </w:tcPr>
          <w:p w14:paraId="52B5C054" w14:textId="77777777" w:rsidR="00DF6D4C" w:rsidRPr="00AF656B" w:rsidRDefault="00DF6D4C" w:rsidP="005F1B0B">
            <w:pPr>
              <w:spacing w:before="60" w:after="60"/>
              <w:textAlignment w:val="baseline"/>
              <w:rPr>
                <w:rFonts w:ascii="Times New Roman" w:hAnsi="Times New Roman"/>
                <w:sz w:val="24"/>
                <w:szCs w:val="24"/>
                <w:lang w:eastAsia="en-NZ"/>
              </w:rPr>
            </w:pPr>
            <w:r w:rsidRPr="00AF656B">
              <w:rPr>
                <w:rFonts w:cs="Segoe UI"/>
                <w:sz w:val="18"/>
                <w:szCs w:val="18"/>
                <w:lang w:eastAsia="en-NZ"/>
              </w:rPr>
              <w:t> </w:t>
            </w:r>
          </w:p>
        </w:tc>
        <w:tc>
          <w:tcPr>
            <w:tcW w:w="5100" w:type="dxa"/>
            <w:tcBorders>
              <w:top w:val="single" w:sz="6" w:space="0" w:color="A6A6A6" w:themeColor="background1" w:themeShade="A6"/>
              <w:left w:val="nil"/>
              <w:bottom w:val="single" w:sz="6" w:space="0" w:color="A6A6A6" w:themeColor="background1" w:themeShade="A6"/>
              <w:right w:val="nil"/>
            </w:tcBorders>
            <w:hideMark/>
          </w:tcPr>
          <w:p w14:paraId="21A03FDE" w14:textId="77777777" w:rsidR="00DF6D4C" w:rsidRPr="00AF656B" w:rsidRDefault="00DF6D4C" w:rsidP="005F1B0B">
            <w:pPr>
              <w:spacing w:before="60" w:after="60"/>
              <w:textAlignment w:val="baseline"/>
              <w:rPr>
                <w:rFonts w:cs="Segoe UI"/>
                <w:sz w:val="18"/>
                <w:szCs w:val="18"/>
                <w:lang w:eastAsia="en-NZ"/>
              </w:rPr>
            </w:pPr>
            <w:r w:rsidRPr="00AF656B">
              <w:rPr>
                <w:rFonts w:cs="Segoe UI"/>
                <w:sz w:val="18"/>
                <w:szCs w:val="18"/>
                <w:lang w:eastAsia="en-NZ"/>
              </w:rPr>
              <w:t>Decided to withdraw </w:t>
            </w:r>
          </w:p>
        </w:tc>
        <w:tc>
          <w:tcPr>
            <w:tcW w:w="2295" w:type="dxa"/>
            <w:tcBorders>
              <w:top w:val="single" w:sz="6" w:space="0" w:color="A6A6A6" w:themeColor="background1" w:themeShade="A6"/>
              <w:left w:val="nil"/>
              <w:bottom w:val="single" w:sz="6" w:space="0" w:color="A6A6A6" w:themeColor="background1" w:themeShade="A6"/>
              <w:right w:val="nil"/>
            </w:tcBorders>
            <w:hideMark/>
          </w:tcPr>
          <w:p w14:paraId="1BBEE9F6" w14:textId="409C9E4E" w:rsidR="00DF6D4C" w:rsidRPr="00AF656B" w:rsidRDefault="001062AF" w:rsidP="005F1B0B">
            <w:pPr>
              <w:spacing w:before="60" w:after="60"/>
              <w:ind w:right="57"/>
              <w:jc w:val="right"/>
              <w:textAlignment w:val="baseline"/>
              <w:rPr>
                <w:rFonts w:ascii="Times New Roman" w:hAnsi="Times New Roman"/>
                <w:sz w:val="24"/>
                <w:szCs w:val="24"/>
                <w:lang w:eastAsia="en-NZ"/>
              </w:rPr>
            </w:pPr>
            <w:r w:rsidRPr="00AF656B">
              <w:rPr>
                <w:rFonts w:cs="Segoe UI"/>
                <w:sz w:val="18"/>
                <w:szCs w:val="18"/>
                <w:lang w:eastAsia="en-NZ"/>
              </w:rPr>
              <w:t>42</w:t>
            </w:r>
            <w:r w:rsidR="00DF6D4C" w:rsidRPr="00AF656B">
              <w:rPr>
                <w:rFonts w:cs="Segoe UI"/>
                <w:sz w:val="18"/>
                <w:szCs w:val="18"/>
                <w:lang w:eastAsia="en-NZ"/>
              </w:rPr>
              <w:t> </w:t>
            </w:r>
          </w:p>
        </w:tc>
      </w:tr>
      <w:tr w:rsidR="401C06C9" w:rsidRPr="00AF656B" w14:paraId="2B0DAC04" w14:textId="77777777" w:rsidTr="00CE3ED7">
        <w:trPr>
          <w:trHeight w:val="300"/>
        </w:trPr>
        <w:tc>
          <w:tcPr>
            <w:tcW w:w="660" w:type="dxa"/>
            <w:tcBorders>
              <w:top w:val="single" w:sz="6" w:space="0" w:color="A6A6A6" w:themeColor="background1" w:themeShade="A6"/>
              <w:left w:val="nil"/>
              <w:bottom w:val="single" w:sz="6" w:space="0" w:color="A6A6A6" w:themeColor="background1" w:themeShade="A6"/>
              <w:right w:val="nil"/>
            </w:tcBorders>
            <w:vAlign w:val="center"/>
            <w:hideMark/>
          </w:tcPr>
          <w:p w14:paraId="738A7C51" w14:textId="3AF8575D" w:rsidR="401C06C9" w:rsidRPr="00AF656B" w:rsidRDefault="401C06C9" w:rsidP="005F1B0B">
            <w:pPr>
              <w:spacing w:before="60" w:after="60"/>
              <w:rPr>
                <w:rFonts w:cs="Segoe UI"/>
                <w:sz w:val="18"/>
                <w:szCs w:val="18"/>
                <w:lang w:eastAsia="en-NZ"/>
              </w:rPr>
            </w:pPr>
          </w:p>
        </w:tc>
        <w:tc>
          <w:tcPr>
            <w:tcW w:w="5100" w:type="dxa"/>
            <w:tcBorders>
              <w:top w:val="single" w:sz="6" w:space="0" w:color="A6A6A6" w:themeColor="background1" w:themeShade="A6"/>
              <w:left w:val="nil"/>
              <w:bottom w:val="single" w:sz="6" w:space="0" w:color="A6A6A6" w:themeColor="background1" w:themeShade="A6"/>
              <w:right w:val="nil"/>
            </w:tcBorders>
            <w:hideMark/>
          </w:tcPr>
          <w:p w14:paraId="6A477E3B" w14:textId="4A6E8352" w:rsidR="758C9456" w:rsidRPr="00AF656B" w:rsidRDefault="758C9456" w:rsidP="005F1B0B">
            <w:pPr>
              <w:spacing w:before="60" w:after="60"/>
              <w:rPr>
                <w:rFonts w:cs="Segoe UI"/>
                <w:sz w:val="18"/>
                <w:szCs w:val="18"/>
                <w:lang w:eastAsia="en-NZ"/>
              </w:rPr>
            </w:pPr>
            <w:r w:rsidRPr="00AF656B">
              <w:rPr>
                <w:rFonts w:cs="Segoe UI"/>
                <w:sz w:val="18"/>
                <w:szCs w:val="18"/>
                <w:lang w:eastAsia="en-NZ"/>
              </w:rPr>
              <w:t xml:space="preserve">Application stopped </w:t>
            </w:r>
            <w:r w:rsidR="008E0CBB">
              <w:rPr>
                <w:rFonts w:cs="Segoe UI"/>
                <w:sz w:val="18"/>
                <w:szCs w:val="18"/>
                <w:lang w:eastAsia="en-NZ"/>
              </w:rPr>
              <w:t>for</w:t>
            </w:r>
            <w:r w:rsidRPr="00AF656B">
              <w:rPr>
                <w:rFonts w:cs="Segoe UI"/>
                <w:sz w:val="18"/>
                <w:szCs w:val="18"/>
                <w:lang w:eastAsia="en-NZ"/>
              </w:rPr>
              <w:t xml:space="preserve"> process </w:t>
            </w:r>
            <w:r w:rsidR="00E43B6E">
              <w:rPr>
                <w:rFonts w:cs="Segoe UI"/>
                <w:sz w:val="18"/>
                <w:szCs w:val="18"/>
                <w:lang w:eastAsia="en-NZ"/>
              </w:rPr>
              <w:t>reasons</w:t>
            </w:r>
            <w:r w:rsidRPr="00AF656B">
              <w:rPr>
                <w:rFonts w:cs="Segoe UI"/>
                <w:sz w:val="18"/>
                <w:szCs w:val="18"/>
                <w:lang w:eastAsia="en-NZ"/>
              </w:rPr>
              <w:t xml:space="preserve"> </w:t>
            </w:r>
          </w:p>
        </w:tc>
        <w:tc>
          <w:tcPr>
            <w:tcW w:w="2295" w:type="dxa"/>
            <w:tcBorders>
              <w:top w:val="single" w:sz="6" w:space="0" w:color="A6A6A6" w:themeColor="background1" w:themeShade="A6"/>
              <w:left w:val="nil"/>
              <w:bottom w:val="single" w:sz="6" w:space="0" w:color="A6A6A6" w:themeColor="background1" w:themeShade="A6"/>
              <w:right w:val="nil"/>
            </w:tcBorders>
            <w:hideMark/>
          </w:tcPr>
          <w:p w14:paraId="7794462E" w14:textId="26DE3CE4" w:rsidR="08801CD7" w:rsidRPr="00AF656B" w:rsidRDefault="08801CD7" w:rsidP="005F1B0B">
            <w:pPr>
              <w:spacing w:before="60" w:after="60" w:line="259" w:lineRule="auto"/>
              <w:ind w:right="57"/>
              <w:jc w:val="right"/>
              <w:rPr>
                <w:rFonts w:cs="Segoe UI"/>
                <w:sz w:val="18"/>
                <w:szCs w:val="18"/>
                <w:lang w:eastAsia="en-NZ"/>
              </w:rPr>
            </w:pPr>
            <w:r w:rsidRPr="00AF656B">
              <w:rPr>
                <w:rFonts w:cs="Segoe UI"/>
                <w:sz w:val="18"/>
                <w:szCs w:val="18"/>
                <w:lang w:eastAsia="en-NZ"/>
              </w:rPr>
              <w:t>4</w:t>
            </w:r>
            <w:r w:rsidR="005F1B0B" w:rsidRPr="00AF656B">
              <w:rPr>
                <w:rFonts w:cs="Segoe UI"/>
                <w:sz w:val="18"/>
                <w:szCs w:val="18"/>
                <w:lang w:eastAsia="en-NZ"/>
              </w:rPr>
              <w:t> </w:t>
            </w:r>
            <w:r w:rsidR="005F1B0B">
              <w:rPr>
                <w:rFonts w:cs="Segoe UI"/>
                <w:sz w:val="18"/>
                <w:szCs w:val="18"/>
                <w:lang w:eastAsia="en-NZ"/>
              </w:rPr>
              <w:t xml:space="preserve"> </w:t>
            </w:r>
            <w:r w:rsidR="00FC2386">
              <w:rPr>
                <w:rFonts w:cs="Segoe UI"/>
                <w:sz w:val="18"/>
                <w:szCs w:val="18"/>
                <w:lang w:eastAsia="en-NZ"/>
              </w:rPr>
              <w:t xml:space="preserve"> </w:t>
            </w:r>
          </w:p>
        </w:tc>
      </w:tr>
      <w:tr w:rsidR="00DF6D4C" w:rsidRPr="00AF656B" w14:paraId="44D5D0D9" w14:textId="77777777" w:rsidTr="00CE3ED7">
        <w:trPr>
          <w:trHeight w:val="300"/>
        </w:trPr>
        <w:tc>
          <w:tcPr>
            <w:tcW w:w="660" w:type="dxa"/>
            <w:tcBorders>
              <w:top w:val="single" w:sz="6" w:space="0" w:color="A6A6A6" w:themeColor="background1" w:themeShade="A6"/>
              <w:left w:val="nil"/>
              <w:bottom w:val="single" w:sz="6" w:space="0" w:color="A6A6A6" w:themeColor="background1" w:themeShade="A6"/>
              <w:right w:val="nil"/>
            </w:tcBorders>
            <w:vAlign w:val="center"/>
            <w:hideMark/>
          </w:tcPr>
          <w:p w14:paraId="6DCB1F59" w14:textId="77777777" w:rsidR="00DF6D4C" w:rsidRPr="00AF656B" w:rsidRDefault="00DF6D4C" w:rsidP="005F1B0B">
            <w:pPr>
              <w:spacing w:before="60" w:after="60"/>
              <w:textAlignment w:val="baseline"/>
              <w:rPr>
                <w:rFonts w:ascii="Times New Roman" w:hAnsi="Times New Roman"/>
                <w:sz w:val="24"/>
                <w:szCs w:val="24"/>
                <w:lang w:eastAsia="en-NZ"/>
              </w:rPr>
            </w:pPr>
            <w:r w:rsidRPr="00AF656B">
              <w:rPr>
                <w:rFonts w:cs="Segoe UI"/>
                <w:sz w:val="18"/>
                <w:szCs w:val="18"/>
                <w:lang w:eastAsia="en-NZ"/>
              </w:rPr>
              <w:t> </w:t>
            </w:r>
          </w:p>
        </w:tc>
        <w:tc>
          <w:tcPr>
            <w:tcW w:w="5100" w:type="dxa"/>
            <w:tcBorders>
              <w:top w:val="single" w:sz="6" w:space="0" w:color="A6A6A6" w:themeColor="background1" w:themeShade="A6"/>
              <w:left w:val="nil"/>
              <w:bottom w:val="single" w:sz="6" w:space="0" w:color="A6A6A6" w:themeColor="background1" w:themeShade="A6"/>
              <w:right w:val="nil"/>
            </w:tcBorders>
            <w:hideMark/>
          </w:tcPr>
          <w:p w14:paraId="247E8B60" w14:textId="34608B5A" w:rsidR="00DF6D4C" w:rsidRPr="00AF656B" w:rsidRDefault="00483312" w:rsidP="005F1B0B">
            <w:pPr>
              <w:spacing w:before="60" w:after="60"/>
              <w:textAlignment w:val="baseline"/>
              <w:rPr>
                <w:rFonts w:cs="Segoe UI"/>
                <w:sz w:val="18"/>
                <w:szCs w:val="18"/>
                <w:lang w:eastAsia="en-NZ"/>
              </w:rPr>
            </w:pPr>
            <w:r w:rsidRPr="00AF656B">
              <w:rPr>
                <w:rFonts w:cs="Segoe UI"/>
                <w:sz w:val="18"/>
                <w:szCs w:val="18"/>
                <w:lang w:eastAsia="en-NZ"/>
              </w:rPr>
              <w:t>Registrar (assisted dying)</w:t>
            </w:r>
            <w:r>
              <w:rPr>
                <w:rFonts w:cs="Segoe UI"/>
                <w:sz w:val="18"/>
                <w:szCs w:val="18"/>
                <w:lang w:eastAsia="en-NZ"/>
              </w:rPr>
              <w:t xml:space="preserve"> </w:t>
            </w:r>
            <w:r w:rsidR="00DF6D4C" w:rsidRPr="00AF656B">
              <w:rPr>
                <w:rFonts w:cs="Segoe UI"/>
                <w:sz w:val="18"/>
                <w:szCs w:val="18"/>
                <w:lang w:eastAsia="en-NZ"/>
              </w:rPr>
              <w:t>found</w:t>
            </w:r>
            <w:r w:rsidRPr="00AF656B">
              <w:rPr>
                <w:rFonts w:cs="Segoe UI"/>
                <w:sz w:val="18"/>
                <w:szCs w:val="18"/>
                <w:lang w:eastAsia="en-NZ"/>
              </w:rPr>
              <w:t xml:space="preserve"> </w:t>
            </w:r>
            <w:r>
              <w:rPr>
                <w:rFonts w:cs="Segoe UI"/>
                <w:sz w:val="18"/>
                <w:szCs w:val="18"/>
                <w:lang w:eastAsia="en-NZ"/>
              </w:rPr>
              <w:t>a</w:t>
            </w:r>
            <w:r w:rsidRPr="00AF656B">
              <w:rPr>
                <w:rFonts w:cs="Segoe UI"/>
                <w:sz w:val="18"/>
                <w:szCs w:val="18"/>
                <w:lang w:eastAsia="en-NZ"/>
              </w:rPr>
              <w:t>pplication</w:t>
            </w:r>
            <w:r w:rsidR="00DF6D4C" w:rsidRPr="00AF656B">
              <w:rPr>
                <w:rFonts w:cs="Segoe UI"/>
                <w:sz w:val="18"/>
                <w:szCs w:val="18"/>
                <w:lang w:eastAsia="en-NZ"/>
              </w:rPr>
              <w:t xml:space="preserve"> </w:t>
            </w:r>
            <w:r>
              <w:rPr>
                <w:rFonts w:cs="Segoe UI"/>
                <w:sz w:val="18"/>
                <w:szCs w:val="18"/>
                <w:lang w:eastAsia="en-NZ"/>
              </w:rPr>
              <w:t>was</w:t>
            </w:r>
            <w:r w:rsidR="00DF6D4C" w:rsidRPr="00AF656B">
              <w:rPr>
                <w:rFonts w:cs="Segoe UI"/>
                <w:sz w:val="18"/>
                <w:szCs w:val="18"/>
                <w:lang w:eastAsia="en-NZ"/>
              </w:rPr>
              <w:t xml:space="preserve"> not compliant with the Act at compliance review</w:t>
            </w:r>
          </w:p>
        </w:tc>
        <w:tc>
          <w:tcPr>
            <w:tcW w:w="2295" w:type="dxa"/>
            <w:tcBorders>
              <w:top w:val="single" w:sz="6" w:space="0" w:color="A6A6A6" w:themeColor="background1" w:themeShade="A6"/>
              <w:left w:val="nil"/>
              <w:bottom w:val="single" w:sz="6" w:space="0" w:color="A6A6A6" w:themeColor="background1" w:themeShade="A6"/>
              <w:right w:val="nil"/>
            </w:tcBorders>
            <w:hideMark/>
          </w:tcPr>
          <w:p w14:paraId="25B5A709" w14:textId="55E3D6D6" w:rsidR="00DF6D4C" w:rsidRPr="00AF656B" w:rsidRDefault="001062AF" w:rsidP="005F1B0B">
            <w:pPr>
              <w:spacing w:before="60" w:after="60"/>
              <w:ind w:right="57"/>
              <w:jc w:val="right"/>
              <w:textAlignment w:val="baseline"/>
              <w:rPr>
                <w:rFonts w:ascii="Times New Roman" w:hAnsi="Times New Roman"/>
                <w:sz w:val="24"/>
                <w:szCs w:val="24"/>
                <w:lang w:eastAsia="en-NZ"/>
              </w:rPr>
            </w:pPr>
            <w:r w:rsidRPr="00AF656B">
              <w:rPr>
                <w:rFonts w:cs="Segoe UI"/>
                <w:sz w:val="18"/>
                <w:szCs w:val="18"/>
                <w:lang w:eastAsia="en-NZ"/>
              </w:rPr>
              <w:t>6</w:t>
            </w:r>
            <w:r w:rsidR="00DF6D4C" w:rsidRPr="00AF656B">
              <w:rPr>
                <w:rFonts w:cs="Segoe UI"/>
                <w:sz w:val="18"/>
                <w:szCs w:val="18"/>
                <w:lang w:eastAsia="en-NZ"/>
              </w:rPr>
              <w:t> </w:t>
            </w:r>
          </w:p>
        </w:tc>
      </w:tr>
      <w:tr w:rsidR="00DF6D4C" w:rsidRPr="00AF656B" w14:paraId="3B96FF3F" w14:textId="77777777" w:rsidTr="00CE3ED7">
        <w:trPr>
          <w:trHeight w:val="300"/>
        </w:trPr>
        <w:tc>
          <w:tcPr>
            <w:tcW w:w="660" w:type="dxa"/>
            <w:tcBorders>
              <w:top w:val="single" w:sz="6" w:space="0" w:color="A6A6A6" w:themeColor="background1" w:themeShade="A6"/>
              <w:left w:val="nil"/>
              <w:bottom w:val="single" w:sz="6" w:space="0" w:color="A6A6A6" w:themeColor="background1" w:themeShade="A6"/>
              <w:right w:val="nil"/>
            </w:tcBorders>
            <w:vAlign w:val="center"/>
            <w:hideMark/>
          </w:tcPr>
          <w:p w14:paraId="59B9E0BC" w14:textId="77777777" w:rsidR="00DF6D4C" w:rsidRPr="00AF656B" w:rsidRDefault="00DF6D4C" w:rsidP="005F1B0B">
            <w:pPr>
              <w:spacing w:before="60" w:after="60"/>
              <w:textAlignment w:val="baseline"/>
              <w:rPr>
                <w:rFonts w:ascii="Times New Roman" w:hAnsi="Times New Roman"/>
                <w:sz w:val="24"/>
                <w:szCs w:val="24"/>
                <w:lang w:eastAsia="en-NZ"/>
              </w:rPr>
            </w:pPr>
            <w:r w:rsidRPr="00AF656B">
              <w:rPr>
                <w:rFonts w:cs="Segoe UI"/>
                <w:sz w:val="18"/>
                <w:szCs w:val="18"/>
                <w:lang w:eastAsia="en-NZ"/>
              </w:rPr>
              <w:t> </w:t>
            </w:r>
          </w:p>
        </w:tc>
        <w:tc>
          <w:tcPr>
            <w:tcW w:w="5100" w:type="dxa"/>
            <w:tcBorders>
              <w:top w:val="single" w:sz="6" w:space="0" w:color="A6A6A6" w:themeColor="background1" w:themeShade="A6"/>
              <w:left w:val="nil"/>
              <w:bottom w:val="single" w:sz="6" w:space="0" w:color="A6A6A6" w:themeColor="background1" w:themeShade="A6"/>
              <w:right w:val="nil"/>
            </w:tcBorders>
            <w:hideMark/>
          </w:tcPr>
          <w:p w14:paraId="4AEF6636" w14:textId="77777777" w:rsidR="00DF6D4C" w:rsidRPr="00AF656B" w:rsidRDefault="00DF6D4C" w:rsidP="005F1B0B">
            <w:pPr>
              <w:spacing w:before="60" w:after="60"/>
              <w:textAlignment w:val="baseline"/>
              <w:rPr>
                <w:rFonts w:cs="Segoe UI"/>
                <w:sz w:val="18"/>
                <w:szCs w:val="18"/>
                <w:lang w:eastAsia="en-NZ"/>
              </w:rPr>
            </w:pPr>
            <w:r w:rsidRPr="00AF656B">
              <w:rPr>
                <w:rFonts w:cs="Segoe UI"/>
                <w:sz w:val="18"/>
                <w:szCs w:val="18"/>
                <w:lang w:eastAsia="en-NZ"/>
              </w:rPr>
              <w:t>Application still open at the time of this reporting period </w:t>
            </w:r>
          </w:p>
        </w:tc>
        <w:tc>
          <w:tcPr>
            <w:tcW w:w="2295" w:type="dxa"/>
            <w:tcBorders>
              <w:top w:val="single" w:sz="6" w:space="0" w:color="A6A6A6" w:themeColor="background1" w:themeShade="A6"/>
              <w:left w:val="nil"/>
              <w:bottom w:val="single" w:sz="6" w:space="0" w:color="A6A6A6" w:themeColor="background1" w:themeShade="A6"/>
              <w:right w:val="nil"/>
            </w:tcBorders>
            <w:hideMark/>
          </w:tcPr>
          <w:p w14:paraId="5D30FE42" w14:textId="0A2AE92D" w:rsidR="00DF6D4C" w:rsidRPr="00AF656B" w:rsidRDefault="001062AF" w:rsidP="005F1B0B">
            <w:pPr>
              <w:spacing w:before="60" w:after="60"/>
              <w:ind w:right="57"/>
              <w:jc w:val="right"/>
              <w:textAlignment w:val="baseline"/>
              <w:rPr>
                <w:rFonts w:ascii="Times New Roman" w:hAnsi="Times New Roman"/>
                <w:sz w:val="24"/>
                <w:szCs w:val="24"/>
                <w:lang w:eastAsia="en-NZ"/>
              </w:rPr>
            </w:pPr>
            <w:r w:rsidRPr="00AF656B">
              <w:rPr>
                <w:rFonts w:cs="Segoe UI"/>
                <w:sz w:val="18"/>
                <w:szCs w:val="18"/>
                <w:lang w:eastAsia="en-NZ"/>
              </w:rPr>
              <w:t>135</w:t>
            </w:r>
            <w:r w:rsidR="00DF6D4C" w:rsidRPr="00AF656B">
              <w:rPr>
                <w:rFonts w:cs="Segoe UI"/>
                <w:sz w:val="18"/>
                <w:szCs w:val="18"/>
                <w:lang w:eastAsia="en-NZ"/>
              </w:rPr>
              <w:t> </w:t>
            </w:r>
          </w:p>
        </w:tc>
      </w:tr>
    </w:tbl>
    <w:p w14:paraId="50D47C35" w14:textId="4B57653B" w:rsidR="004B74F2" w:rsidRPr="00AF656B" w:rsidRDefault="00DF6D4C" w:rsidP="00DF6D4C">
      <w:pPr>
        <w:rPr>
          <w:rFonts w:cs="Segoe UI"/>
          <w:sz w:val="18"/>
          <w:szCs w:val="18"/>
          <w:lang w:eastAsia="en-NZ"/>
        </w:rPr>
        <w:sectPr w:rsidR="004B74F2" w:rsidRPr="00AF656B" w:rsidSect="00DF6D4C">
          <w:pgSz w:w="11907" w:h="16834" w:code="9"/>
          <w:pgMar w:top="1418" w:right="1701" w:bottom="1134" w:left="1843" w:header="284" w:footer="425" w:gutter="284"/>
          <w:cols w:space="720"/>
        </w:sectPr>
      </w:pPr>
      <w:r w:rsidRPr="6F40007F">
        <w:rPr>
          <w:rFonts w:cs="Segoe UI"/>
          <w:lang w:eastAsia="en-NZ"/>
        </w:rPr>
        <w:t> </w:t>
      </w:r>
    </w:p>
    <w:p w14:paraId="75D9CEC7" w14:textId="52C74E81" w:rsidR="004B74F2" w:rsidRPr="00AF656B" w:rsidRDefault="004B74F2" w:rsidP="004B74F2">
      <w:pPr>
        <w:pStyle w:val="Heading1"/>
        <w:spacing w:before="0"/>
      </w:pPr>
      <w:bookmarkStart w:id="68" w:name="_Toc170220987"/>
      <w:bookmarkStart w:id="69" w:name="_Toc199242531"/>
      <w:bookmarkStart w:id="70" w:name="_Toc233002287"/>
      <w:r w:rsidRPr="00AF656B">
        <w:lastRenderedPageBreak/>
        <w:t>Assisted deaths</w:t>
      </w:r>
      <w:bookmarkEnd w:id="68"/>
      <w:bookmarkEnd w:id="69"/>
      <w:bookmarkEnd w:id="70"/>
      <w:r w:rsidRPr="00AF656B">
        <w:t xml:space="preserve"> </w:t>
      </w:r>
    </w:p>
    <w:p w14:paraId="3FDE93AA" w14:textId="3DBD0C78" w:rsidR="004B74F2" w:rsidRPr="00AF656B" w:rsidRDefault="004B74F2" w:rsidP="004B74F2">
      <w:pPr>
        <w:rPr>
          <w:rStyle w:val="normaltextrun"/>
        </w:rPr>
      </w:pPr>
      <w:r w:rsidRPr="00AF656B">
        <w:rPr>
          <w:rStyle w:val="normaltextrun"/>
          <w:rFonts w:cs="Segoe UI"/>
          <w:szCs w:val="21"/>
        </w:rPr>
        <w:t>Between 1 April 202</w:t>
      </w:r>
      <w:r w:rsidR="00BB0183" w:rsidRPr="00AF656B">
        <w:rPr>
          <w:rStyle w:val="normaltextrun"/>
          <w:rFonts w:cs="Segoe UI"/>
          <w:szCs w:val="21"/>
        </w:rPr>
        <w:t>5</w:t>
      </w:r>
      <w:r w:rsidRPr="00AF656B">
        <w:rPr>
          <w:rStyle w:val="normaltextrun"/>
          <w:rFonts w:cs="Segoe UI"/>
          <w:szCs w:val="21"/>
        </w:rPr>
        <w:t xml:space="preserve"> and 31 March 202</w:t>
      </w:r>
      <w:r w:rsidR="00BB0183" w:rsidRPr="00AF656B">
        <w:rPr>
          <w:rStyle w:val="normaltextrun"/>
          <w:rFonts w:cs="Segoe UI"/>
          <w:szCs w:val="21"/>
        </w:rPr>
        <w:t>6</w:t>
      </w:r>
      <w:r w:rsidRPr="00AF656B">
        <w:rPr>
          <w:rStyle w:val="normaltextrun"/>
          <w:rFonts w:cs="Segoe UI"/>
          <w:szCs w:val="21"/>
        </w:rPr>
        <w:t xml:space="preserve">, a total of </w:t>
      </w:r>
      <w:r w:rsidR="00BB0183" w:rsidRPr="00AF656B">
        <w:rPr>
          <w:rStyle w:val="normaltextrun"/>
          <w:rFonts w:cs="Segoe UI"/>
          <w:szCs w:val="21"/>
        </w:rPr>
        <w:t>486</w:t>
      </w:r>
      <w:r w:rsidRPr="00AF656B">
        <w:rPr>
          <w:rStyle w:val="normaltextrun"/>
          <w:rFonts w:cs="Segoe UI"/>
          <w:szCs w:val="21"/>
        </w:rPr>
        <w:t xml:space="preserve"> people had an assisted death</w:t>
      </w:r>
      <w:r w:rsidR="00F97EF7">
        <w:rPr>
          <w:rStyle w:val="normaltextrun"/>
          <w:rFonts w:cs="Segoe UI"/>
          <w:szCs w:val="21"/>
        </w:rPr>
        <w:t>. This number represents</w:t>
      </w:r>
      <w:r w:rsidRPr="00AF656B">
        <w:rPr>
          <w:rStyle w:val="normaltextrun"/>
          <w:rFonts w:cs="Segoe UI"/>
          <w:szCs w:val="21"/>
        </w:rPr>
        <w:t xml:space="preserve"> </w:t>
      </w:r>
      <w:r w:rsidR="005A3273" w:rsidRPr="00AF656B">
        <w:rPr>
          <w:rStyle w:val="normaltextrun"/>
          <w:rFonts w:cs="Segoe UI"/>
          <w:szCs w:val="21"/>
        </w:rPr>
        <w:t>38</w:t>
      </w:r>
      <w:r w:rsidRPr="00AF656B">
        <w:rPr>
          <w:rStyle w:val="normaltextrun"/>
          <w:rFonts w:cs="Segoe UI"/>
          <w:szCs w:val="21"/>
        </w:rPr>
        <w:t xml:space="preserve">% of </w:t>
      </w:r>
      <w:r w:rsidR="00CC4C38">
        <w:rPr>
          <w:rStyle w:val="normaltextrun"/>
          <w:rFonts w:cs="Segoe UI"/>
          <w:szCs w:val="21"/>
        </w:rPr>
        <w:t xml:space="preserve">all </w:t>
      </w:r>
      <w:r w:rsidRPr="00AF656B">
        <w:rPr>
          <w:rStyle w:val="normaltextrun"/>
          <w:rFonts w:cs="Segoe UI"/>
          <w:szCs w:val="21"/>
        </w:rPr>
        <w:t xml:space="preserve">active applications during this reporting period. </w:t>
      </w:r>
      <w:r w:rsidR="00F97EF7">
        <w:rPr>
          <w:rStyle w:val="normaltextrun"/>
          <w:rFonts w:cs="Segoe UI"/>
          <w:szCs w:val="21"/>
        </w:rPr>
        <w:t>The percen</w:t>
      </w:r>
      <w:r w:rsidR="00743B48">
        <w:rPr>
          <w:rStyle w:val="normaltextrun"/>
          <w:rFonts w:cs="Segoe UI"/>
          <w:szCs w:val="21"/>
        </w:rPr>
        <w:t>t</w:t>
      </w:r>
      <w:r w:rsidR="00F97EF7">
        <w:rPr>
          <w:rStyle w:val="normaltextrun"/>
          <w:rFonts w:cs="Segoe UI"/>
          <w:szCs w:val="21"/>
        </w:rPr>
        <w:t>age has decreased</w:t>
      </w:r>
      <w:r w:rsidRPr="00AF656B">
        <w:rPr>
          <w:rStyle w:val="normaltextrun"/>
          <w:rFonts w:cs="Segoe UI"/>
          <w:szCs w:val="21"/>
        </w:rPr>
        <w:t xml:space="preserve"> slight</w:t>
      </w:r>
      <w:r w:rsidR="00F97EF7">
        <w:rPr>
          <w:rStyle w:val="normaltextrun"/>
          <w:rFonts w:cs="Segoe UI"/>
          <w:szCs w:val="21"/>
        </w:rPr>
        <w:t>ly from</w:t>
      </w:r>
      <w:r w:rsidRPr="00AF656B">
        <w:rPr>
          <w:rStyle w:val="normaltextrun"/>
          <w:rFonts w:cs="Segoe UI"/>
          <w:szCs w:val="21"/>
        </w:rPr>
        <w:t xml:space="preserve"> the </w:t>
      </w:r>
      <w:r w:rsidR="00F97EF7">
        <w:rPr>
          <w:rStyle w:val="normaltextrun"/>
          <w:rFonts w:cs="Segoe UI"/>
          <w:szCs w:val="21"/>
        </w:rPr>
        <w:t xml:space="preserve">previous </w:t>
      </w:r>
      <w:r w:rsidRPr="00AF656B">
        <w:rPr>
          <w:rStyle w:val="normaltextrun"/>
          <w:rFonts w:cs="Segoe UI"/>
          <w:szCs w:val="21"/>
        </w:rPr>
        <w:t xml:space="preserve">year, when </w:t>
      </w:r>
      <w:r w:rsidR="005A3273" w:rsidRPr="00AF656B">
        <w:rPr>
          <w:rStyle w:val="normaltextrun"/>
          <w:rFonts w:cs="Segoe UI"/>
          <w:szCs w:val="21"/>
        </w:rPr>
        <w:t>42</w:t>
      </w:r>
      <w:r w:rsidRPr="00AF656B">
        <w:rPr>
          <w:rStyle w:val="normaltextrun"/>
          <w:rFonts w:cs="Segoe UI"/>
          <w:szCs w:val="21"/>
        </w:rPr>
        <w:t>% of active applications resulted in an assisted death</w:t>
      </w:r>
      <w:r w:rsidR="005A3273" w:rsidRPr="00AF656B">
        <w:rPr>
          <w:rStyle w:val="normaltextrun"/>
          <w:rFonts w:cs="Segoe UI"/>
          <w:szCs w:val="21"/>
        </w:rPr>
        <w:t xml:space="preserve">. </w:t>
      </w:r>
    </w:p>
    <w:p w14:paraId="58D3C5D6" w14:textId="77777777" w:rsidR="004B74F2" w:rsidRPr="00AF656B" w:rsidRDefault="004B74F2" w:rsidP="004B74F2">
      <w:pPr>
        <w:rPr>
          <w:rStyle w:val="normaltextrun"/>
        </w:rPr>
      </w:pPr>
    </w:p>
    <w:p w14:paraId="4F597DDB" w14:textId="2222F0C3" w:rsidR="004B74F2" w:rsidRPr="00AF656B" w:rsidRDefault="004B74F2" w:rsidP="004B74F2">
      <w:pPr>
        <w:rPr>
          <w:sz w:val="18"/>
          <w:szCs w:val="18"/>
        </w:rPr>
      </w:pPr>
      <w:r w:rsidRPr="00AF656B">
        <w:rPr>
          <w:rStyle w:val="eop"/>
          <w:rFonts w:cs="Segoe UI"/>
        </w:rPr>
        <w:t>The number of assisted deaths between 1 April 202</w:t>
      </w:r>
      <w:r w:rsidR="005A3273" w:rsidRPr="00AF656B">
        <w:rPr>
          <w:rStyle w:val="eop"/>
          <w:rFonts w:cs="Segoe UI"/>
        </w:rPr>
        <w:t>5</w:t>
      </w:r>
      <w:r w:rsidRPr="00AF656B">
        <w:rPr>
          <w:rStyle w:val="eop"/>
          <w:rFonts w:cs="Segoe UI"/>
        </w:rPr>
        <w:t xml:space="preserve"> and 31 March 202</w:t>
      </w:r>
      <w:r w:rsidR="005A3273" w:rsidRPr="00AF656B">
        <w:rPr>
          <w:rStyle w:val="eop"/>
          <w:rFonts w:cs="Segoe UI"/>
        </w:rPr>
        <w:t>6</w:t>
      </w:r>
      <w:r w:rsidRPr="00AF656B">
        <w:rPr>
          <w:rStyle w:val="eop"/>
          <w:rFonts w:cs="Segoe UI"/>
        </w:rPr>
        <w:t xml:space="preserve"> represents 1.</w:t>
      </w:r>
      <w:r w:rsidR="38DC3B0E" w:rsidRPr="00AF656B">
        <w:rPr>
          <w:rStyle w:val="eop"/>
          <w:rFonts w:cs="Segoe UI"/>
        </w:rPr>
        <w:t>2</w:t>
      </w:r>
      <w:r w:rsidR="5DF46FCF" w:rsidRPr="00AF656B">
        <w:rPr>
          <w:rStyle w:val="eop"/>
          <w:rFonts w:cs="Segoe UI"/>
        </w:rPr>
        <w:t>9</w:t>
      </w:r>
      <w:r w:rsidRPr="00AF656B">
        <w:rPr>
          <w:rStyle w:val="eop"/>
          <w:rFonts w:cs="Segoe UI"/>
        </w:rPr>
        <w:t xml:space="preserve">% of all deaths in New Zealand over that time. </w:t>
      </w:r>
    </w:p>
    <w:p w14:paraId="373E0F9A" w14:textId="77777777" w:rsidR="004B74F2" w:rsidRPr="00AF656B" w:rsidRDefault="004B74F2" w:rsidP="004B74F2">
      <w:pPr>
        <w:rPr>
          <w:sz w:val="18"/>
          <w:szCs w:val="18"/>
        </w:rPr>
      </w:pPr>
      <w:r w:rsidRPr="00AF656B">
        <w:rPr>
          <w:rStyle w:val="eop"/>
          <w:rFonts w:cs="Segoe UI"/>
          <w:szCs w:val="21"/>
        </w:rPr>
        <w:t> </w:t>
      </w:r>
    </w:p>
    <w:p w14:paraId="62E96700" w14:textId="33CCB64F" w:rsidR="004B74F2" w:rsidRPr="00AF656B" w:rsidRDefault="00743B48" w:rsidP="004B74F2">
      <w:pPr>
        <w:rPr>
          <w:sz w:val="18"/>
          <w:szCs w:val="18"/>
        </w:rPr>
      </w:pPr>
      <w:r>
        <w:rPr>
          <w:rStyle w:val="normaltextrun"/>
          <w:rFonts w:cs="Segoe UI"/>
          <w:szCs w:val="21"/>
        </w:rPr>
        <w:t>P</w:t>
      </w:r>
      <w:r w:rsidR="007F6233">
        <w:rPr>
          <w:rStyle w:val="normaltextrun"/>
          <w:rFonts w:cs="Segoe UI"/>
          <w:szCs w:val="21"/>
        </w:rPr>
        <w:t>eople</w:t>
      </w:r>
      <w:r w:rsidR="004B74F2" w:rsidRPr="00AF656B">
        <w:rPr>
          <w:rStyle w:val="normaltextrun"/>
          <w:rFonts w:cs="Segoe UI"/>
          <w:szCs w:val="21"/>
        </w:rPr>
        <w:t xml:space="preserve"> having an assisted death</w:t>
      </w:r>
      <w:r w:rsidR="006724D1">
        <w:rPr>
          <w:rStyle w:val="normaltextrun"/>
          <w:rFonts w:cs="Segoe UI"/>
          <w:szCs w:val="21"/>
        </w:rPr>
        <w:t xml:space="preserve"> work with their AMP to </w:t>
      </w:r>
      <w:r w:rsidR="004B74F2" w:rsidRPr="00AF656B">
        <w:rPr>
          <w:rStyle w:val="normaltextrun"/>
          <w:rFonts w:cs="Segoe UI"/>
          <w:szCs w:val="21"/>
        </w:rPr>
        <w:t>ensure the experience is personal to them</w:t>
      </w:r>
      <w:r>
        <w:rPr>
          <w:rStyle w:val="normaltextrun"/>
          <w:rFonts w:cs="Segoe UI"/>
          <w:szCs w:val="21"/>
        </w:rPr>
        <w:t xml:space="preserve"> and</w:t>
      </w:r>
      <w:r w:rsidR="004619CD">
        <w:rPr>
          <w:rStyle w:val="normaltextrun"/>
          <w:rFonts w:cs="Segoe UI"/>
          <w:szCs w:val="21"/>
        </w:rPr>
        <w:t xml:space="preserve"> </w:t>
      </w:r>
      <w:r w:rsidR="004B74F2" w:rsidRPr="00AF656B">
        <w:rPr>
          <w:rStyle w:val="normaltextrun"/>
          <w:rFonts w:cs="Segoe UI"/>
          <w:szCs w:val="21"/>
        </w:rPr>
        <w:t>their whānau</w:t>
      </w:r>
      <w:r w:rsidR="004619CD">
        <w:rPr>
          <w:rStyle w:val="normaltextrun"/>
          <w:rFonts w:cs="Segoe UI"/>
          <w:szCs w:val="21"/>
        </w:rPr>
        <w:t xml:space="preserve"> and </w:t>
      </w:r>
      <w:r>
        <w:rPr>
          <w:rStyle w:val="normaltextrun"/>
          <w:rFonts w:cs="Segoe UI"/>
          <w:szCs w:val="21"/>
        </w:rPr>
        <w:t xml:space="preserve">fits </w:t>
      </w:r>
      <w:r w:rsidR="004619CD">
        <w:rPr>
          <w:rStyle w:val="normaltextrun"/>
          <w:rFonts w:cs="Segoe UI"/>
          <w:szCs w:val="21"/>
        </w:rPr>
        <w:t xml:space="preserve">with their wishes. </w:t>
      </w:r>
      <w:r w:rsidR="004B74F2" w:rsidRPr="00AF656B">
        <w:rPr>
          <w:rStyle w:val="normaltextrun"/>
          <w:rFonts w:cs="Segoe UI"/>
          <w:szCs w:val="21"/>
        </w:rPr>
        <w:t xml:space="preserve">Some people choose to include cultural or spiritual practices, such as </w:t>
      </w:r>
      <w:proofErr w:type="spellStart"/>
      <w:r w:rsidR="004B74F2" w:rsidRPr="00AF656B">
        <w:rPr>
          <w:rStyle w:val="normaltextrun"/>
          <w:rFonts w:cs="Segoe UI"/>
          <w:szCs w:val="21"/>
        </w:rPr>
        <w:t>karakia</w:t>
      </w:r>
      <w:proofErr w:type="spellEnd"/>
      <w:r w:rsidR="004B74F2" w:rsidRPr="00AF656B">
        <w:rPr>
          <w:rStyle w:val="normaltextrun"/>
          <w:rFonts w:cs="Segoe UI"/>
          <w:szCs w:val="21"/>
        </w:rPr>
        <w:t xml:space="preserve"> or prayer, before or </w:t>
      </w:r>
      <w:r w:rsidR="00CC4C38">
        <w:rPr>
          <w:rStyle w:val="normaltextrun"/>
          <w:rFonts w:cs="Segoe UI"/>
          <w:szCs w:val="21"/>
        </w:rPr>
        <w:t>while</w:t>
      </w:r>
      <w:r w:rsidR="00CC4C38" w:rsidRPr="00AF656B">
        <w:rPr>
          <w:rStyle w:val="normaltextrun"/>
          <w:rFonts w:cs="Segoe UI"/>
          <w:szCs w:val="21"/>
        </w:rPr>
        <w:t xml:space="preserve"> </w:t>
      </w:r>
      <w:r w:rsidR="004B74F2" w:rsidRPr="00AF656B">
        <w:rPr>
          <w:rStyle w:val="normaltextrun"/>
          <w:rFonts w:cs="Segoe UI"/>
          <w:szCs w:val="21"/>
        </w:rPr>
        <w:t xml:space="preserve">the </w:t>
      </w:r>
      <w:r w:rsidR="004D212A">
        <w:rPr>
          <w:rStyle w:val="normaltextrun"/>
          <w:rFonts w:cs="Segoe UI"/>
          <w:szCs w:val="21"/>
        </w:rPr>
        <w:t xml:space="preserve">assisted dying </w:t>
      </w:r>
      <w:r w:rsidR="004B74F2" w:rsidRPr="00AF656B">
        <w:rPr>
          <w:rStyle w:val="normaltextrun"/>
          <w:rFonts w:cs="Segoe UI"/>
          <w:szCs w:val="21"/>
        </w:rPr>
        <w:t>medication</w:t>
      </w:r>
      <w:r w:rsidR="00CC4C38">
        <w:rPr>
          <w:rStyle w:val="normaltextrun"/>
          <w:rFonts w:cs="Segoe UI"/>
          <w:szCs w:val="21"/>
        </w:rPr>
        <w:t xml:space="preserve"> is administered</w:t>
      </w:r>
      <w:r w:rsidR="004B74F2" w:rsidRPr="00AF656B">
        <w:rPr>
          <w:rStyle w:val="normaltextrun"/>
          <w:rFonts w:cs="Segoe UI"/>
          <w:szCs w:val="21"/>
        </w:rPr>
        <w:t>; others choose to play music that is significant to them. People also choose who they would like to be present</w:t>
      </w:r>
      <w:r w:rsidR="004D212A">
        <w:rPr>
          <w:rStyle w:val="normaltextrun"/>
          <w:rFonts w:cs="Segoe UI"/>
          <w:szCs w:val="21"/>
        </w:rPr>
        <w:t xml:space="preserve"> during the process</w:t>
      </w:r>
      <w:r w:rsidR="004B74F2" w:rsidRPr="00AF656B">
        <w:rPr>
          <w:rStyle w:val="normaltextrun"/>
          <w:rFonts w:cs="Segoe UI"/>
          <w:szCs w:val="21"/>
        </w:rPr>
        <w:t>,</w:t>
      </w:r>
      <w:r w:rsidR="00E840A4">
        <w:rPr>
          <w:rStyle w:val="normaltextrun"/>
          <w:rFonts w:cs="Segoe UI"/>
          <w:szCs w:val="21"/>
        </w:rPr>
        <w:t xml:space="preserve"> which may</w:t>
      </w:r>
      <w:r w:rsidR="004B74F2" w:rsidRPr="00AF656B">
        <w:rPr>
          <w:rStyle w:val="normaltextrun"/>
          <w:rFonts w:cs="Segoe UI"/>
          <w:szCs w:val="21"/>
        </w:rPr>
        <w:t xml:space="preserve"> includ</w:t>
      </w:r>
      <w:r w:rsidR="00E840A4">
        <w:rPr>
          <w:rStyle w:val="normaltextrun"/>
          <w:rFonts w:cs="Segoe UI"/>
          <w:szCs w:val="21"/>
        </w:rPr>
        <w:t>e</w:t>
      </w:r>
      <w:r w:rsidR="004B74F2" w:rsidRPr="00AF656B">
        <w:rPr>
          <w:rStyle w:val="normaltextrun"/>
          <w:rFonts w:cs="Segoe UI"/>
          <w:szCs w:val="21"/>
        </w:rPr>
        <w:t xml:space="preserve"> whānau, friends and pets, and where their death will occur. </w:t>
      </w:r>
      <w:r w:rsidR="004B74F2" w:rsidRPr="00AF656B">
        <w:rPr>
          <w:rStyle w:val="eop"/>
          <w:rFonts w:cs="Segoe UI"/>
          <w:szCs w:val="21"/>
        </w:rPr>
        <w:t> </w:t>
      </w:r>
    </w:p>
    <w:p w14:paraId="2F2165F5" w14:textId="77777777" w:rsidR="004B74F2" w:rsidRPr="00AF656B" w:rsidRDefault="004B74F2" w:rsidP="004B74F2">
      <w:pPr>
        <w:rPr>
          <w:sz w:val="18"/>
          <w:szCs w:val="18"/>
        </w:rPr>
      </w:pPr>
      <w:r w:rsidRPr="00AF656B">
        <w:rPr>
          <w:rStyle w:val="eop"/>
          <w:rFonts w:cs="Segoe UI"/>
          <w:szCs w:val="21"/>
        </w:rPr>
        <w:t> </w:t>
      </w:r>
    </w:p>
    <w:p w14:paraId="2F51449E" w14:textId="70E06F5F" w:rsidR="004B74F2" w:rsidRPr="00AF656B" w:rsidRDefault="004B74F2" w:rsidP="004B74F2">
      <w:pPr>
        <w:rPr>
          <w:rStyle w:val="eop"/>
          <w:rFonts w:cs="Segoe UI"/>
          <w:szCs w:val="21"/>
        </w:rPr>
      </w:pPr>
      <w:r w:rsidRPr="00AF656B">
        <w:rPr>
          <w:rStyle w:val="normaltextrun"/>
          <w:rFonts w:cs="Segoe UI"/>
          <w:szCs w:val="21"/>
        </w:rPr>
        <w:t xml:space="preserve">Health practitioners are encouraged to discuss these choices with people </w:t>
      </w:r>
      <w:r w:rsidR="004D212A">
        <w:rPr>
          <w:rStyle w:val="normaltextrun"/>
          <w:rFonts w:cs="Segoe UI"/>
          <w:szCs w:val="21"/>
        </w:rPr>
        <w:t>so</w:t>
      </w:r>
      <w:r w:rsidRPr="00AF656B">
        <w:rPr>
          <w:rStyle w:val="normaltextrun"/>
          <w:rFonts w:cs="Segoe UI"/>
          <w:szCs w:val="21"/>
        </w:rPr>
        <w:t xml:space="preserve"> that the service provided is responsive to their cultural, spiritual and social needs. </w:t>
      </w:r>
      <w:r w:rsidR="004D212A">
        <w:rPr>
          <w:rStyle w:val="normaltextrun"/>
          <w:rFonts w:cs="Segoe UI"/>
          <w:szCs w:val="21"/>
        </w:rPr>
        <w:t xml:space="preserve">Health New Zealand’s </w:t>
      </w:r>
      <w:r w:rsidR="004D212A" w:rsidRPr="00AF656B">
        <w:rPr>
          <w:rStyle w:val="normaltextrun"/>
          <w:rFonts w:cs="Segoe UI"/>
          <w:szCs w:val="21"/>
        </w:rPr>
        <w:t xml:space="preserve">health practitioner training </w:t>
      </w:r>
      <w:r w:rsidR="004D212A">
        <w:rPr>
          <w:rStyle w:val="normaltextrun"/>
          <w:rFonts w:cs="Segoe UI"/>
          <w:szCs w:val="21"/>
        </w:rPr>
        <w:t>includes r</w:t>
      </w:r>
      <w:r w:rsidRPr="00AF656B">
        <w:rPr>
          <w:rStyle w:val="normaltextrun"/>
          <w:rFonts w:cs="Segoe UI"/>
          <w:szCs w:val="21"/>
        </w:rPr>
        <w:t>esources provided to support these conversations.</w:t>
      </w:r>
      <w:r w:rsidRPr="00AF656B">
        <w:rPr>
          <w:rStyle w:val="eop"/>
          <w:rFonts w:cs="Segoe UI"/>
          <w:szCs w:val="21"/>
        </w:rPr>
        <w:t> </w:t>
      </w:r>
    </w:p>
    <w:p w14:paraId="5BC2285B" w14:textId="77777777" w:rsidR="004B74F2" w:rsidRPr="00AF656B" w:rsidRDefault="004B74F2" w:rsidP="004B74F2">
      <w:pPr>
        <w:rPr>
          <w:rStyle w:val="eop"/>
          <w:rFonts w:cs="Segoe UI"/>
          <w:szCs w:val="21"/>
        </w:rPr>
      </w:pPr>
    </w:p>
    <w:p w14:paraId="4293056C" w14:textId="77777777" w:rsidR="004B74F2" w:rsidRPr="00AF656B" w:rsidRDefault="004B74F2" w:rsidP="004B74F2">
      <w:pPr>
        <w:rPr>
          <w:sz w:val="18"/>
          <w:szCs w:val="18"/>
        </w:rPr>
      </w:pPr>
      <w:r w:rsidRPr="00AF656B">
        <w:t xml:space="preserve">With consent from the person seeking an assisted death, AMPs may bring a support person with them when they administer the medication. </w:t>
      </w:r>
    </w:p>
    <w:p w14:paraId="1D43DC53" w14:textId="77777777" w:rsidR="004B74F2" w:rsidRPr="00AF656B" w:rsidRDefault="004B74F2" w:rsidP="004B74F2">
      <w:pPr>
        <w:pStyle w:val="Heading2"/>
      </w:pPr>
      <w:bookmarkStart w:id="71" w:name="_Toc103606334"/>
      <w:bookmarkStart w:id="72" w:name="_Toc104460684"/>
      <w:bookmarkStart w:id="73" w:name="_Toc170220988"/>
      <w:bookmarkStart w:id="74" w:name="_Toc199242532"/>
      <w:bookmarkStart w:id="75" w:name="_Toc233002288"/>
      <w:r w:rsidRPr="00AF656B">
        <w:t>Locations of assisted deaths</w:t>
      </w:r>
      <w:bookmarkEnd w:id="71"/>
      <w:bookmarkEnd w:id="72"/>
      <w:bookmarkEnd w:id="73"/>
      <w:bookmarkEnd w:id="74"/>
      <w:bookmarkEnd w:id="75"/>
      <w:r w:rsidRPr="00AF656B">
        <w:t xml:space="preserve"> </w:t>
      </w:r>
    </w:p>
    <w:p w14:paraId="4F6818B2" w14:textId="42BBC220" w:rsidR="004B74F2" w:rsidRPr="00AF656B" w:rsidRDefault="004B74F2" w:rsidP="004B74F2">
      <w:r w:rsidRPr="00AF656B">
        <w:t xml:space="preserve">As in </w:t>
      </w:r>
      <w:r w:rsidR="004D212A">
        <w:t>previous</w:t>
      </w:r>
      <w:r w:rsidR="004D212A" w:rsidRPr="00AF656B">
        <w:t xml:space="preserve"> </w:t>
      </w:r>
      <w:r w:rsidRPr="00AF656B">
        <w:t>years,</w:t>
      </w:r>
      <w:r w:rsidR="00A15046">
        <w:t xml:space="preserve"> most</w:t>
      </w:r>
      <w:r w:rsidRPr="00AF656B">
        <w:t xml:space="preserve"> assisted deaths </w:t>
      </w:r>
      <w:r w:rsidR="00A15046" w:rsidRPr="00AF656B">
        <w:t>in 2025/26</w:t>
      </w:r>
      <w:r w:rsidR="00A15046">
        <w:t xml:space="preserve"> </w:t>
      </w:r>
      <w:r w:rsidRPr="00AF656B">
        <w:t xml:space="preserve">took place in people’s homes or another private residence. </w:t>
      </w:r>
    </w:p>
    <w:p w14:paraId="67883582" w14:textId="77777777" w:rsidR="004B74F2" w:rsidRPr="00AF656B" w:rsidRDefault="004B74F2" w:rsidP="004B74F2"/>
    <w:p w14:paraId="2C303A48" w14:textId="142F224C" w:rsidR="004B74F2" w:rsidRPr="00AF656B" w:rsidRDefault="00A15046" w:rsidP="004B74F2">
      <w:r>
        <w:t>As</w:t>
      </w:r>
      <w:r w:rsidR="00067755">
        <w:t xml:space="preserve"> Figure 5 </w:t>
      </w:r>
      <w:r>
        <w:t>shows</w:t>
      </w:r>
      <w:r w:rsidRPr="00AF656B">
        <w:t>, by location</w:t>
      </w:r>
      <w:r>
        <w:t>, o</w:t>
      </w:r>
      <w:r w:rsidR="004B74F2" w:rsidRPr="00AF656B">
        <w:t>f the total number of assisted deaths that took place in 202</w:t>
      </w:r>
      <w:r w:rsidR="00384EC7">
        <w:t>5</w:t>
      </w:r>
      <w:r w:rsidR="004B74F2" w:rsidRPr="00AF656B">
        <w:t>/2</w:t>
      </w:r>
      <w:r w:rsidR="00384EC7">
        <w:t>6</w:t>
      </w:r>
      <w:r w:rsidR="004B74F2" w:rsidRPr="00AF656B">
        <w:t>: </w:t>
      </w:r>
    </w:p>
    <w:p w14:paraId="5138A3DD" w14:textId="1D4348C5" w:rsidR="004B74F2" w:rsidRPr="005F1B0B" w:rsidRDefault="004B74F2" w:rsidP="005F1B0B">
      <w:pPr>
        <w:pStyle w:val="Bullet"/>
        <w:rPr>
          <w:rStyle w:val="normaltextrun"/>
        </w:rPr>
      </w:pPr>
      <w:r w:rsidRPr="005F1B0B">
        <w:rPr>
          <w:rStyle w:val="normaltextrun"/>
        </w:rPr>
        <w:t>6</w:t>
      </w:r>
      <w:r w:rsidR="00922C2D" w:rsidRPr="005F1B0B">
        <w:rPr>
          <w:rStyle w:val="normaltextrun"/>
        </w:rPr>
        <w:t>9</w:t>
      </w:r>
      <w:r w:rsidRPr="005F1B0B">
        <w:rPr>
          <w:rStyle w:val="normaltextrun"/>
        </w:rPr>
        <w:t>.</w:t>
      </w:r>
      <w:r w:rsidR="00955C56" w:rsidRPr="005F1B0B">
        <w:rPr>
          <w:rStyle w:val="normaltextrun"/>
        </w:rPr>
        <w:t>8</w:t>
      </w:r>
      <w:r w:rsidRPr="005F1B0B">
        <w:rPr>
          <w:rStyle w:val="normaltextrun"/>
        </w:rPr>
        <w:t>% took place at a private residence or another private property </w:t>
      </w:r>
    </w:p>
    <w:p w14:paraId="04F3289C" w14:textId="176FB804" w:rsidR="004B74F2" w:rsidRPr="005F1B0B" w:rsidRDefault="00BB0183" w:rsidP="005F1B0B">
      <w:pPr>
        <w:pStyle w:val="Bullet"/>
        <w:rPr>
          <w:rStyle w:val="normaltextrun"/>
        </w:rPr>
      </w:pPr>
      <w:r w:rsidRPr="005F1B0B">
        <w:rPr>
          <w:rStyle w:val="normaltextrun"/>
        </w:rPr>
        <w:t>19.5</w:t>
      </w:r>
      <w:r w:rsidR="004B74F2" w:rsidRPr="005F1B0B">
        <w:rPr>
          <w:rStyle w:val="normaltextrun"/>
        </w:rPr>
        <w:t>% took place in an aged care facility </w:t>
      </w:r>
    </w:p>
    <w:p w14:paraId="7F699B8B" w14:textId="10DA4DA7" w:rsidR="004B74F2" w:rsidRPr="005F1B0B" w:rsidRDefault="00BB0183" w:rsidP="005F1B0B">
      <w:pPr>
        <w:pStyle w:val="Bullet"/>
        <w:rPr>
          <w:rStyle w:val="normaltextrun"/>
        </w:rPr>
      </w:pPr>
      <w:r w:rsidRPr="005F1B0B">
        <w:rPr>
          <w:rStyle w:val="normaltextrun"/>
        </w:rPr>
        <w:t>7.2</w:t>
      </w:r>
      <w:r w:rsidR="004B74F2" w:rsidRPr="005F1B0B">
        <w:rPr>
          <w:rStyle w:val="normaltextrun"/>
        </w:rPr>
        <w:t>% took place at a hospital  </w:t>
      </w:r>
    </w:p>
    <w:p w14:paraId="11813084" w14:textId="7C6E19E1" w:rsidR="004B74F2" w:rsidRPr="005F1B0B" w:rsidRDefault="004B74F2" w:rsidP="005F1B0B">
      <w:pPr>
        <w:pStyle w:val="Bullet"/>
        <w:rPr>
          <w:rStyle w:val="normaltextrun"/>
        </w:rPr>
      </w:pPr>
      <w:r w:rsidRPr="005F1B0B">
        <w:rPr>
          <w:rStyle w:val="normaltextrun"/>
        </w:rPr>
        <w:t>3.</w:t>
      </w:r>
      <w:r w:rsidR="00BB0183" w:rsidRPr="005F1B0B">
        <w:rPr>
          <w:rStyle w:val="normaltextrun"/>
        </w:rPr>
        <w:t>5</w:t>
      </w:r>
      <w:r w:rsidRPr="005F1B0B">
        <w:rPr>
          <w:rStyle w:val="normaltextrun"/>
        </w:rPr>
        <w:t>% took place in a hospice facility</w:t>
      </w:r>
      <w:r w:rsidR="00A15046" w:rsidRPr="005F1B0B">
        <w:rPr>
          <w:rStyle w:val="normaltextrun"/>
        </w:rPr>
        <w:t>.</w:t>
      </w:r>
    </w:p>
    <w:p w14:paraId="4D1957E0" w14:textId="77777777" w:rsidR="004B74F2" w:rsidRPr="00AF656B" w:rsidRDefault="004B74F2" w:rsidP="00DF6D4C"/>
    <w:p w14:paraId="096C75B2" w14:textId="77777777" w:rsidR="004B74F2" w:rsidRPr="00AF656B" w:rsidRDefault="004B74F2" w:rsidP="00DF6D4C"/>
    <w:p w14:paraId="374E4850" w14:textId="0C070481" w:rsidR="006D12BE" w:rsidRPr="00AF656B" w:rsidRDefault="006D12BE" w:rsidP="006D12BE">
      <w:pPr>
        <w:pStyle w:val="Figure"/>
      </w:pPr>
      <w:bookmarkStart w:id="76" w:name="_Ref231911099"/>
      <w:bookmarkStart w:id="77" w:name="_Toc106611899"/>
      <w:bookmarkStart w:id="78" w:name="_Toc170220996"/>
      <w:bookmarkStart w:id="79" w:name="_Toc233002300"/>
      <w:r>
        <w:lastRenderedPageBreak/>
        <w:t xml:space="preserve">Figure </w:t>
      </w:r>
      <w:r w:rsidRPr="5AB9EE6E">
        <w:fldChar w:fldCharType="begin"/>
      </w:r>
      <w:r>
        <w:instrText xml:space="preserve"> SEQ Figure \* ARABIC </w:instrText>
      </w:r>
      <w:r w:rsidRPr="5AB9EE6E">
        <w:fldChar w:fldCharType="separate"/>
      </w:r>
      <w:r w:rsidR="00F12FB9" w:rsidRPr="5AB9EE6E">
        <w:rPr>
          <w:noProof/>
        </w:rPr>
        <w:t>5</w:t>
      </w:r>
      <w:r w:rsidRPr="5AB9EE6E">
        <w:rPr>
          <w:noProof/>
        </w:rPr>
        <w:fldChar w:fldCharType="end"/>
      </w:r>
      <w:bookmarkEnd w:id="76"/>
      <w:r>
        <w:t xml:space="preserve">: </w:t>
      </w:r>
      <w:r w:rsidR="00A15046">
        <w:t>Number of a</w:t>
      </w:r>
      <w:r>
        <w:t>ssisted deaths by location</w:t>
      </w:r>
      <w:bookmarkEnd w:id="77"/>
      <w:bookmarkEnd w:id="78"/>
      <w:r w:rsidR="00A15046">
        <w:t>, 1 April 2025 – 31 March 2026</w:t>
      </w:r>
      <w:bookmarkEnd w:id="79"/>
      <w:r w:rsidR="00A15046">
        <w:t> </w:t>
      </w:r>
    </w:p>
    <w:p w14:paraId="5138EBF2" w14:textId="10541EC8" w:rsidR="006D12BE" w:rsidRPr="00AF656B" w:rsidRDefault="32664513" w:rsidP="49D986DF">
      <w:r>
        <w:rPr>
          <w:noProof/>
        </w:rPr>
        <w:drawing>
          <wp:inline distT="0" distB="0" distL="0" distR="0" wp14:anchorId="6A227E57" wp14:editId="55234ADF">
            <wp:extent cx="5314950" cy="2924175"/>
            <wp:effectExtent l="0" t="0" r="0" b="0"/>
            <wp:docPr id="2069674426" name="drawi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674426" name="drawing">
                      <a:extLst>
                        <a:ext uri="{C183D7F6-B498-43B3-948B-1728B52AA6E4}">
                          <adec:decorative xmlns:adec="http://schemas.microsoft.com/office/drawing/2017/decorative" val="1"/>
                        </a:ext>
                      </a:extLst>
                    </pic:cNvPr>
                    <pic:cNvPicPr/>
                  </pic:nvPicPr>
                  <pic:blipFill>
                    <a:blip r:embed="rId38">
                      <a:extLst>
                        <a:ext uri="{28A0092B-C50C-407E-A947-70E740481C1C}">
                          <a14:useLocalDpi xmlns:a14="http://schemas.microsoft.com/office/drawing/2010/main"/>
                        </a:ext>
                      </a:extLst>
                    </a:blip>
                    <a:stretch>
                      <a:fillRect/>
                    </a:stretch>
                  </pic:blipFill>
                  <pic:spPr>
                    <a:xfrm>
                      <a:off x="0" y="0"/>
                      <a:ext cx="5314950" cy="2924175"/>
                    </a:xfrm>
                    <a:prstGeom prst="rect">
                      <a:avLst/>
                    </a:prstGeom>
                  </pic:spPr>
                </pic:pic>
              </a:graphicData>
            </a:graphic>
          </wp:inline>
        </w:drawing>
      </w:r>
    </w:p>
    <w:p w14:paraId="0FC07650" w14:textId="77777777" w:rsidR="006D12BE" w:rsidRPr="00AF656B" w:rsidRDefault="006D12BE" w:rsidP="006D12BE">
      <w:pPr>
        <w:pStyle w:val="Heading2"/>
      </w:pPr>
      <w:bookmarkStart w:id="80" w:name="_Toc103606335"/>
      <w:bookmarkStart w:id="81" w:name="_Toc104460685"/>
      <w:bookmarkStart w:id="82" w:name="_Toc170220989"/>
      <w:bookmarkStart w:id="83" w:name="_Toc199242533"/>
      <w:bookmarkStart w:id="84" w:name="_Toc233002289"/>
      <w:r w:rsidRPr="00AF656B">
        <w:t>Method of administration</w:t>
      </w:r>
      <w:bookmarkEnd w:id="80"/>
      <w:bookmarkEnd w:id="81"/>
      <w:bookmarkEnd w:id="82"/>
      <w:bookmarkEnd w:id="83"/>
      <w:bookmarkEnd w:id="84"/>
      <w:r w:rsidRPr="00AF656B">
        <w:t xml:space="preserve"> </w:t>
      </w:r>
    </w:p>
    <w:p w14:paraId="658794E8" w14:textId="329B4EB4" w:rsidR="006D12BE" w:rsidRPr="00AF656B" w:rsidRDefault="006D12BE" w:rsidP="005F1B0B">
      <w:pPr>
        <w:rPr>
          <w:rStyle w:val="normaltextrun"/>
          <w:rFonts w:cs="Segoe UI"/>
          <w:szCs w:val="21"/>
        </w:rPr>
      </w:pPr>
      <w:r w:rsidRPr="00AF656B">
        <w:rPr>
          <w:rStyle w:val="normaltextrun"/>
          <w:rFonts w:cs="Segoe UI"/>
          <w:szCs w:val="21"/>
        </w:rPr>
        <w:t xml:space="preserve">Under the Act, there are four options for </w:t>
      </w:r>
      <w:r w:rsidR="00E840A4">
        <w:rPr>
          <w:rStyle w:val="normaltextrun"/>
          <w:rFonts w:cs="Segoe UI"/>
          <w:szCs w:val="21"/>
        </w:rPr>
        <w:t xml:space="preserve">the method of </w:t>
      </w:r>
      <w:r w:rsidRPr="00AF656B">
        <w:rPr>
          <w:rStyle w:val="normaltextrun"/>
          <w:rFonts w:cs="Segoe UI"/>
          <w:szCs w:val="21"/>
        </w:rPr>
        <w:t xml:space="preserve">administering the assisted dying medication. The AMP provides the person with advice on each option, and the person then selects their preferred option. </w:t>
      </w:r>
    </w:p>
    <w:p w14:paraId="1D686AD0" w14:textId="77777777" w:rsidR="006D12BE" w:rsidRPr="00AF656B" w:rsidRDefault="006D12BE" w:rsidP="005F1B0B">
      <w:pPr>
        <w:rPr>
          <w:rStyle w:val="normaltextrun"/>
          <w:rFonts w:cs="Segoe UI"/>
          <w:szCs w:val="21"/>
        </w:rPr>
      </w:pPr>
    </w:p>
    <w:p w14:paraId="49D681EE" w14:textId="01C60C19" w:rsidR="006D12BE" w:rsidRPr="00AF656B" w:rsidRDefault="006D12BE" w:rsidP="005F1B0B">
      <w:pPr>
        <w:rPr>
          <w:color w:val="000000"/>
        </w:rPr>
      </w:pPr>
      <w:r w:rsidRPr="00AF656B">
        <w:rPr>
          <w:color w:val="000000" w:themeColor="text1"/>
          <w:lang w:val="en-GB"/>
        </w:rPr>
        <w:t xml:space="preserve">On the day of the assisted death, the AMP confirms whether the person wishes to proceed and the method they have chosen. </w:t>
      </w:r>
      <w:r w:rsidR="00A15046">
        <w:rPr>
          <w:color w:val="000000" w:themeColor="text1"/>
          <w:lang w:val="en-GB"/>
        </w:rPr>
        <w:t>T</w:t>
      </w:r>
      <w:r w:rsidRPr="00AF656B">
        <w:rPr>
          <w:color w:val="000000" w:themeColor="text1"/>
          <w:lang w:val="en-GB"/>
        </w:rPr>
        <w:t xml:space="preserve">he </w:t>
      </w:r>
      <w:r w:rsidR="00A15046">
        <w:rPr>
          <w:color w:val="000000" w:themeColor="text1"/>
          <w:lang w:val="en-GB"/>
        </w:rPr>
        <w:t>way that</w:t>
      </w:r>
      <w:r w:rsidRPr="00AF656B">
        <w:rPr>
          <w:color w:val="000000" w:themeColor="text1"/>
          <w:lang w:val="en-GB"/>
        </w:rPr>
        <w:t xml:space="preserve"> the person’s disease </w:t>
      </w:r>
      <w:r w:rsidR="00A15046">
        <w:rPr>
          <w:color w:val="000000" w:themeColor="text1"/>
          <w:lang w:val="en-GB"/>
        </w:rPr>
        <w:t xml:space="preserve">has </w:t>
      </w:r>
      <w:r w:rsidRPr="00AF656B">
        <w:rPr>
          <w:color w:val="000000" w:themeColor="text1"/>
          <w:lang w:val="en-GB"/>
        </w:rPr>
        <w:t>progress</w:t>
      </w:r>
      <w:r w:rsidR="00A15046">
        <w:rPr>
          <w:color w:val="000000" w:themeColor="text1"/>
          <w:lang w:val="en-GB"/>
        </w:rPr>
        <w:t>ed may mean that</w:t>
      </w:r>
      <w:r w:rsidRPr="00AF656B">
        <w:rPr>
          <w:color w:val="000000" w:themeColor="text1"/>
          <w:lang w:val="en-GB"/>
        </w:rPr>
        <w:t xml:space="preserve"> it </w:t>
      </w:r>
      <w:r w:rsidR="00A15046">
        <w:rPr>
          <w:color w:val="000000" w:themeColor="text1"/>
          <w:lang w:val="en-GB"/>
        </w:rPr>
        <w:t>is</w:t>
      </w:r>
      <w:r w:rsidR="00A15046" w:rsidRPr="00AF656B">
        <w:rPr>
          <w:color w:val="000000" w:themeColor="text1"/>
          <w:lang w:val="en-GB"/>
        </w:rPr>
        <w:t xml:space="preserve"> </w:t>
      </w:r>
      <w:r w:rsidRPr="00AF656B">
        <w:rPr>
          <w:color w:val="000000" w:themeColor="text1"/>
          <w:lang w:val="en-GB"/>
        </w:rPr>
        <w:t xml:space="preserve">no longer possible </w:t>
      </w:r>
      <w:r w:rsidR="00A15046">
        <w:rPr>
          <w:color w:val="000000" w:themeColor="text1"/>
          <w:lang w:val="en-GB"/>
        </w:rPr>
        <w:t>to use</w:t>
      </w:r>
      <w:r w:rsidR="00A15046" w:rsidRPr="00AF656B">
        <w:rPr>
          <w:color w:val="000000" w:themeColor="text1"/>
          <w:lang w:val="en-GB"/>
        </w:rPr>
        <w:t xml:space="preserve"> </w:t>
      </w:r>
      <w:r w:rsidRPr="00AF656B">
        <w:rPr>
          <w:color w:val="000000" w:themeColor="text1"/>
          <w:lang w:val="en-GB"/>
        </w:rPr>
        <w:t>the</w:t>
      </w:r>
      <w:r w:rsidR="00A15046">
        <w:rPr>
          <w:color w:val="000000" w:themeColor="text1"/>
          <w:lang w:val="en-GB"/>
        </w:rPr>
        <w:t xml:space="preserve"> method they</w:t>
      </w:r>
      <w:r w:rsidRPr="00AF656B">
        <w:rPr>
          <w:color w:val="000000" w:themeColor="text1"/>
          <w:lang w:val="en-GB"/>
        </w:rPr>
        <w:t xml:space="preserve"> initially chose. I</w:t>
      </w:r>
      <w:r w:rsidR="00A15046">
        <w:rPr>
          <w:color w:val="000000" w:themeColor="text1"/>
          <w:lang w:val="en-GB"/>
        </w:rPr>
        <w:t>f</w:t>
      </w:r>
      <w:r w:rsidRPr="00AF656B">
        <w:rPr>
          <w:color w:val="000000" w:themeColor="text1"/>
          <w:lang w:val="en-GB"/>
        </w:rPr>
        <w:t xml:space="preserve"> this</w:t>
      </w:r>
      <w:r w:rsidR="00A15046">
        <w:rPr>
          <w:color w:val="000000" w:themeColor="text1"/>
          <w:lang w:val="en-GB"/>
        </w:rPr>
        <w:t xml:space="preserve"> is the</w:t>
      </w:r>
      <w:r w:rsidRPr="00AF656B">
        <w:rPr>
          <w:color w:val="000000" w:themeColor="text1"/>
          <w:lang w:val="en-GB"/>
        </w:rPr>
        <w:t xml:space="preserve"> case, with the person’s consent, a backup method will be used instead. It is also possible that the person simply changes their mind</w:t>
      </w:r>
      <w:r w:rsidR="00A15046">
        <w:rPr>
          <w:color w:val="000000" w:themeColor="text1"/>
          <w:lang w:val="en-GB"/>
        </w:rPr>
        <w:t xml:space="preserve"> about following through with assisted dying at this point</w:t>
      </w:r>
      <w:r w:rsidRPr="00AF656B">
        <w:rPr>
          <w:color w:val="000000" w:themeColor="text1"/>
          <w:lang w:val="en-GB"/>
        </w:rPr>
        <w:t>. </w:t>
      </w:r>
      <w:r w:rsidRPr="00AF656B">
        <w:rPr>
          <w:color w:val="000000" w:themeColor="text1"/>
        </w:rPr>
        <w:t> </w:t>
      </w:r>
    </w:p>
    <w:p w14:paraId="45437588" w14:textId="77777777" w:rsidR="006D12BE" w:rsidRPr="00AF656B" w:rsidRDefault="006D12BE" w:rsidP="005F1B0B">
      <w:pPr>
        <w:rPr>
          <w:rStyle w:val="normaltextrun"/>
          <w:rFonts w:cs="Segoe UI"/>
          <w:szCs w:val="21"/>
        </w:rPr>
      </w:pPr>
    </w:p>
    <w:p w14:paraId="4800B5BA" w14:textId="28B057A7" w:rsidR="006D12BE" w:rsidRPr="00AF656B" w:rsidRDefault="006D12BE" w:rsidP="005F1B0B">
      <w:pPr>
        <w:rPr>
          <w:rStyle w:val="normaltextrun"/>
        </w:rPr>
      </w:pPr>
      <w:r w:rsidRPr="00AF656B">
        <w:rPr>
          <w:rStyle w:val="normaltextrun"/>
          <w:rFonts w:cs="Segoe UI"/>
          <w:szCs w:val="21"/>
        </w:rPr>
        <w:t>For the 4</w:t>
      </w:r>
      <w:r w:rsidR="003D0351" w:rsidRPr="00AF656B">
        <w:rPr>
          <w:rStyle w:val="normaltextrun"/>
          <w:rFonts w:cs="Segoe UI"/>
          <w:szCs w:val="21"/>
        </w:rPr>
        <w:t>86</w:t>
      </w:r>
      <w:r w:rsidRPr="00AF656B">
        <w:rPr>
          <w:rStyle w:val="normaltextrun"/>
          <w:rFonts w:cs="Segoe UI"/>
          <w:szCs w:val="21"/>
        </w:rPr>
        <w:t xml:space="preserve"> assisted deaths that took place between 1 April 202</w:t>
      </w:r>
      <w:r w:rsidR="003D0351" w:rsidRPr="00AF656B">
        <w:rPr>
          <w:rStyle w:val="normaltextrun"/>
          <w:rFonts w:cs="Segoe UI"/>
          <w:szCs w:val="21"/>
        </w:rPr>
        <w:t>5</w:t>
      </w:r>
      <w:r w:rsidRPr="00AF656B">
        <w:rPr>
          <w:rStyle w:val="normaltextrun"/>
          <w:rFonts w:cs="Segoe UI"/>
          <w:szCs w:val="21"/>
        </w:rPr>
        <w:t xml:space="preserve"> and 31 March 202</w:t>
      </w:r>
      <w:r w:rsidR="003D0351" w:rsidRPr="00AF656B">
        <w:rPr>
          <w:rStyle w:val="normaltextrun"/>
          <w:rFonts w:cs="Segoe UI"/>
          <w:szCs w:val="21"/>
        </w:rPr>
        <w:t>6</w:t>
      </w:r>
      <w:r w:rsidRPr="00AF656B">
        <w:rPr>
          <w:rStyle w:val="normaltextrun"/>
          <w:rFonts w:cs="Segoe UI"/>
          <w:szCs w:val="21"/>
        </w:rPr>
        <w:t>: </w:t>
      </w:r>
      <w:r w:rsidRPr="00AF656B">
        <w:rPr>
          <w:rStyle w:val="normaltextrun"/>
        </w:rPr>
        <w:t> </w:t>
      </w:r>
    </w:p>
    <w:p w14:paraId="5E4879CF" w14:textId="61DE3BEA" w:rsidR="006D12BE" w:rsidRPr="005F1B0B" w:rsidRDefault="00450994" w:rsidP="005F1B0B">
      <w:pPr>
        <w:pStyle w:val="Bullet"/>
        <w:rPr>
          <w:rStyle w:val="normaltextrun"/>
        </w:rPr>
      </w:pPr>
      <w:r w:rsidRPr="005F1B0B">
        <w:rPr>
          <w:rStyle w:val="normaltextrun"/>
        </w:rPr>
        <w:t>25</w:t>
      </w:r>
      <w:r w:rsidR="006D12BE" w:rsidRPr="005F1B0B">
        <w:rPr>
          <w:rStyle w:val="normaltextrun"/>
        </w:rPr>
        <w:t xml:space="preserve"> people chose ingestion, triggered by the person </w:t>
      </w:r>
    </w:p>
    <w:p w14:paraId="1D75E0DA" w14:textId="720A02E8" w:rsidR="006D12BE" w:rsidRPr="005F1B0B" w:rsidRDefault="004D2C8C" w:rsidP="005F1B0B">
      <w:pPr>
        <w:pStyle w:val="Bullet"/>
        <w:rPr>
          <w:rStyle w:val="normaltextrun"/>
        </w:rPr>
      </w:pPr>
      <w:r w:rsidRPr="005F1B0B">
        <w:rPr>
          <w:rStyle w:val="normaltextrun"/>
        </w:rPr>
        <w:t>one</w:t>
      </w:r>
      <w:r w:rsidR="006D12BE" w:rsidRPr="005F1B0B">
        <w:rPr>
          <w:rStyle w:val="normaltextrun"/>
        </w:rPr>
        <w:t xml:space="preserve"> </w:t>
      </w:r>
      <w:r w:rsidR="00102709" w:rsidRPr="005F1B0B">
        <w:rPr>
          <w:rStyle w:val="normaltextrun"/>
        </w:rPr>
        <w:t xml:space="preserve">person </w:t>
      </w:r>
      <w:r w:rsidR="006D12BE" w:rsidRPr="005F1B0B">
        <w:rPr>
          <w:rStyle w:val="normaltextrun"/>
        </w:rPr>
        <w:t>chose intravenous delivery, triggered by the person </w:t>
      </w:r>
    </w:p>
    <w:p w14:paraId="4E3FDF30" w14:textId="3DF833F6" w:rsidR="006D12BE" w:rsidRPr="005F1B0B" w:rsidRDefault="004D2C8C" w:rsidP="005F1B0B">
      <w:pPr>
        <w:pStyle w:val="Bullet"/>
        <w:rPr>
          <w:rStyle w:val="normaltextrun"/>
        </w:rPr>
      </w:pPr>
      <w:r w:rsidRPr="005F1B0B">
        <w:rPr>
          <w:rStyle w:val="normaltextrun"/>
        </w:rPr>
        <w:t>one</w:t>
      </w:r>
      <w:r w:rsidR="006D12BE" w:rsidRPr="005F1B0B">
        <w:rPr>
          <w:rStyle w:val="normaltextrun"/>
        </w:rPr>
        <w:t xml:space="preserve"> </w:t>
      </w:r>
      <w:r w:rsidR="00102709" w:rsidRPr="005F1B0B">
        <w:rPr>
          <w:rStyle w:val="normaltextrun"/>
        </w:rPr>
        <w:t xml:space="preserve">person </w:t>
      </w:r>
      <w:r w:rsidR="006D12BE" w:rsidRPr="005F1B0B">
        <w:rPr>
          <w:rStyle w:val="normaltextrun"/>
        </w:rPr>
        <w:t>chose ingestion through a tube, triggered by the AMP or ANP </w:t>
      </w:r>
    </w:p>
    <w:p w14:paraId="03622608" w14:textId="2F7F98EA" w:rsidR="006D12BE" w:rsidRPr="005F1B0B" w:rsidRDefault="00450994" w:rsidP="005F1B0B">
      <w:pPr>
        <w:pStyle w:val="Bullet"/>
      </w:pPr>
      <w:r w:rsidRPr="005F1B0B">
        <w:rPr>
          <w:rStyle w:val="normaltextrun"/>
        </w:rPr>
        <w:t>459</w:t>
      </w:r>
      <w:r w:rsidR="006D12BE" w:rsidRPr="005F1B0B">
        <w:rPr>
          <w:rStyle w:val="normaltextrun"/>
        </w:rPr>
        <w:t xml:space="preserve"> people chose injection, administered by the AMP/ANP.</w:t>
      </w:r>
      <w:r w:rsidR="006D12BE" w:rsidRPr="005F1B0B">
        <w:rPr>
          <w:rStyle w:val="eop"/>
        </w:rPr>
        <w:t> </w:t>
      </w:r>
    </w:p>
    <w:p w14:paraId="6759C277" w14:textId="77777777" w:rsidR="006D12BE" w:rsidRPr="00AF656B" w:rsidRDefault="006D12BE" w:rsidP="006D12BE">
      <w:pPr>
        <w:rPr>
          <w:color w:val="000000" w:themeColor="text1"/>
          <w:lang w:val="en-GB"/>
        </w:rPr>
      </w:pPr>
      <w:r w:rsidRPr="00AF656B">
        <w:rPr>
          <w:color w:val="000000" w:themeColor="text1"/>
          <w:lang w:val="en-GB"/>
        </w:rPr>
        <w:t> </w:t>
      </w:r>
    </w:p>
    <w:p w14:paraId="73B88E85" w14:textId="4C44853C" w:rsidR="00433623" w:rsidRPr="00AF656B" w:rsidRDefault="004C26F6" w:rsidP="006D12BE">
      <w:pPr>
        <w:rPr>
          <w:color w:val="000000" w:themeColor="text1"/>
          <w:lang w:val="en-GB"/>
        </w:rPr>
      </w:pPr>
      <w:r>
        <w:rPr>
          <w:color w:val="000000" w:themeColor="text1"/>
          <w:lang w:val="en-GB"/>
        </w:rPr>
        <w:t>E</w:t>
      </w:r>
      <w:r w:rsidR="006D12BE" w:rsidRPr="00AF656B">
        <w:rPr>
          <w:color w:val="000000" w:themeColor="text1"/>
          <w:lang w:val="en-GB"/>
        </w:rPr>
        <w:t>ach medication method</w:t>
      </w:r>
      <w:r>
        <w:rPr>
          <w:color w:val="000000" w:themeColor="text1"/>
          <w:lang w:val="en-GB"/>
        </w:rPr>
        <w:t xml:space="preserve"> has</w:t>
      </w:r>
      <w:r w:rsidR="006D12BE" w:rsidRPr="00AF656B">
        <w:rPr>
          <w:color w:val="000000" w:themeColor="text1"/>
          <w:lang w:val="en-GB"/>
        </w:rPr>
        <w:t xml:space="preserve"> a standard administration protocol to ensure consistent, safe and </w:t>
      </w:r>
      <w:r>
        <w:rPr>
          <w:color w:val="000000" w:themeColor="text1"/>
          <w:lang w:val="en-GB"/>
        </w:rPr>
        <w:t>high-</w:t>
      </w:r>
      <w:r w:rsidR="006D12BE" w:rsidRPr="00AF656B">
        <w:rPr>
          <w:color w:val="000000" w:themeColor="text1"/>
          <w:lang w:val="en-GB"/>
        </w:rPr>
        <w:t xml:space="preserve">quality services. </w:t>
      </w:r>
      <w:r w:rsidR="00433623" w:rsidRPr="00AF656B">
        <w:rPr>
          <w:color w:val="000000" w:themeColor="text1"/>
          <w:lang w:val="en-GB"/>
        </w:rPr>
        <w:t>The details of the protocol are only provided to the health practitioners involved in the assisted dying service.  </w:t>
      </w:r>
    </w:p>
    <w:p w14:paraId="63E18569" w14:textId="77777777" w:rsidR="00433623" w:rsidRPr="00AF656B" w:rsidRDefault="00433623" w:rsidP="006D12BE">
      <w:pPr>
        <w:rPr>
          <w:color w:val="000000" w:themeColor="text1"/>
          <w:lang w:val="en-GB"/>
        </w:rPr>
      </w:pPr>
    </w:p>
    <w:p w14:paraId="79864CF5" w14:textId="0FCC116C" w:rsidR="006D12BE" w:rsidRPr="00AF656B" w:rsidRDefault="006D12BE" w:rsidP="006D12BE">
      <w:pPr>
        <w:rPr>
          <w:color w:val="000000" w:themeColor="text1"/>
          <w:lang w:val="en-GB"/>
        </w:rPr>
      </w:pPr>
      <w:r w:rsidRPr="00AF656B">
        <w:rPr>
          <w:color w:val="000000" w:themeColor="text1"/>
          <w:lang w:val="en-GB"/>
        </w:rPr>
        <w:t>As of 31 March 202</w:t>
      </w:r>
      <w:r w:rsidR="00433623" w:rsidRPr="00AF656B">
        <w:rPr>
          <w:color w:val="000000" w:themeColor="text1"/>
          <w:lang w:val="en-GB"/>
        </w:rPr>
        <w:t>6</w:t>
      </w:r>
      <w:r w:rsidRPr="00AF656B">
        <w:rPr>
          <w:color w:val="000000" w:themeColor="text1"/>
          <w:lang w:val="en-GB"/>
        </w:rPr>
        <w:t>, no major complications related to the administration of the medication</w:t>
      </w:r>
      <w:r w:rsidR="004C26F6">
        <w:rPr>
          <w:color w:val="000000" w:themeColor="text1"/>
          <w:lang w:val="en-GB"/>
        </w:rPr>
        <w:t xml:space="preserve"> have arisen</w:t>
      </w:r>
      <w:r w:rsidRPr="00AF656B">
        <w:rPr>
          <w:color w:val="000000" w:themeColor="text1"/>
          <w:lang w:val="en-GB"/>
        </w:rPr>
        <w:t xml:space="preserve">, and all deaths have occurred within expected timeframes. </w:t>
      </w:r>
    </w:p>
    <w:p w14:paraId="111C594A" w14:textId="77777777" w:rsidR="006D12BE" w:rsidRPr="00AF656B" w:rsidRDefault="006D12BE" w:rsidP="00DF6D4C">
      <w:pPr>
        <w:rPr>
          <w:color w:val="000000" w:themeColor="text1"/>
          <w:lang w:val="en-GB"/>
        </w:rPr>
        <w:sectPr w:rsidR="006D12BE" w:rsidRPr="00AF656B" w:rsidSect="00DF6D4C">
          <w:pgSz w:w="11907" w:h="16834" w:code="9"/>
          <w:pgMar w:top="1418" w:right="1701" w:bottom="1134" w:left="1843" w:header="284" w:footer="425" w:gutter="284"/>
          <w:cols w:space="720"/>
        </w:sectPr>
      </w:pPr>
    </w:p>
    <w:p w14:paraId="3EFD63F6" w14:textId="77777777" w:rsidR="006D12BE" w:rsidRPr="00AF656B" w:rsidRDefault="006D12BE" w:rsidP="006D12BE">
      <w:pPr>
        <w:pStyle w:val="Heading1"/>
        <w:spacing w:before="0"/>
      </w:pPr>
      <w:bookmarkStart w:id="85" w:name="_Toc199242534"/>
      <w:bookmarkStart w:id="86" w:name="_Toc233002290"/>
      <w:r w:rsidRPr="00AF656B">
        <w:lastRenderedPageBreak/>
        <w:t>The assisted dying workforce</w:t>
      </w:r>
      <w:bookmarkEnd w:id="85"/>
      <w:bookmarkEnd w:id="86"/>
      <w:r w:rsidRPr="00AF656B">
        <w:t xml:space="preserve"> </w:t>
      </w:r>
    </w:p>
    <w:p w14:paraId="19F0AE49" w14:textId="2584D707" w:rsidR="006D12BE" w:rsidRPr="00AF656B" w:rsidRDefault="006D12BE" w:rsidP="006D12BE">
      <w:r w:rsidRPr="00AF656B">
        <w:t xml:space="preserve">The assisted dying workforce is essential to the delivery of assisted dying services in New Zealand. The workforce consists of health practitioners providing services to their own patients or </w:t>
      </w:r>
      <w:r w:rsidR="0044344A" w:rsidRPr="00AF656B">
        <w:t xml:space="preserve">in the role of </w:t>
      </w:r>
      <w:r w:rsidRPr="00AF656B">
        <w:t>replacement AMP, IMP</w:t>
      </w:r>
      <w:r w:rsidR="0044344A" w:rsidRPr="00AF656B">
        <w:t xml:space="preserve">, </w:t>
      </w:r>
      <w:r w:rsidRPr="00AF656B">
        <w:t xml:space="preserve">ANP </w:t>
      </w:r>
      <w:r w:rsidR="0044344A" w:rsidRPr="00AF656B">
        <w:t xml:space="preserve">or </w:t>
      </w:r>
      <w:r w:rsidRPr="00AF656B">
        <w:t>psychiatrist</w:t>
      </w:r>
      <w:r w:rsidR="00275BED" w:rsidRPr="00AF656B">
        <w:t xml:space="preserve"> on</w:t>
      </w:r>
      <w:r w:rsidRPr="00AF656B">
        <w:t xml:space="preserve"> the SCENZ</w:t>
      </w:r>
      <w:r w:rsidR="00B73BE6">
        <w:t xml:space="preserve"> Group</w:t>
      </w:r>
      <w:r w:rsidRPr="00AF656B">
        <w:t xml:space="preserve"> list</w:t>
      </w:r>
      <w:r w:rsidR="00CE10ED">
        <w:t>s</w:t>
      </w:r>
      <w:r w:rsidRPr="00AF656B">
        <w:t xml:space="preserve">. </w:t>
      </w:r>
    </w:p>
    <w:p w14:paraId="415AD8CC" w14:textId="77777777" w:rsidR="006D12BE" w:rsidRPr="00AF656B" w:rsidRDefault="006D12BE" w:rsidP="006D12BE"/>
    <w:p w14:paraId="553BDF60" w14:textId="14998B74" w:rsidR="006D12BE" w:rsidRPr="00AF656B" w:rsidRDefault="006D12BE" w:rsidP="006D12BE">
      <w:r w:rsidRPr="00AF656B">
        <w:t xml:space="preserve">Any health practitioner may conscientiously object to providing assisted dying services under the Act. However, </w:t>
      </w:r>
      <w:r w:rsidR="00CE10ED">
        <w:t>all</w:t>
      </w:r>
      <w:r w:rsidRPr="00AF656B">
        <w:t xml:space="preserve"> practitioners must be aware of and understand</w:t>
      </w:r>
      <w:r w:rsidR="00CE10ED" w:rsidRPr="00CE10ED">
        <w:t xml:space="preserve"> </w:t>
      </w:r>
      <w:r w:rsidR="00CE10ED" w:rsidRPr="00AF656B">
        <w:t>important legal obligations under the Act</w:t>
      </w:r>
      <w:r w:rsidRPr="00AF656B">
        <w:t xml:space="preserve">. </w:t>
      </w:r>
    </w:p>
    <w:p w14:paraId="74F55AD6" w14:textId="77777777" w:rsidR="006D12BE" w:rsidRPr="00AF656B" w:rsidRDefault="006D12BE" w:rsidP="006D12BE"/>
    <w:p w14:paraId="03AAB257" w14:textId="77777777" w:rsidR="006D12BE" w:rsidRPr="00AF656B" w:rsidRDefault="006D12BE" w:rsidP="006D12BE">
      <w:r w:rsidRPr="00AF656B">
        <w:t xml:space="preserve">Health New Zealand provides training and guidance on assisted dying (including on how to respond when a person raises assisted dying) for all health practitioners. </w:t>
      </w:r>
    </w:p>
    <w:p w14:paraId="46886AFA" w14:textId="3F54D3CA" w:rsidR="006D12BE" w:rsidRPr="00AF656B" w:rsidRDefault="006D12BE" w:rsidP="006D12BE">
      <w:pPr>
        <w:pStyle w:val="Heading2"/>
      </w:pPr>
      <w:bookmarkStart w:id="87" w:name="_Toc199242535"/>
      <w:bookmarkStart w:id="88" w:name="_Toc233002291"/>
      <w:r w:rsidRPr="00AF656B">
        <w:t xml:space="preserve">Practitioners on the SCENZ </w:t>
      </w:r>
      <w:r w:rsidR="00B73BE6">
        <w:t xml:space="preserve">Group </w:t>
      </w:r>
      <w:r w:rsidRPr="00AF656B">
        <w:t>list</w:t>
      </w:r>
      <w:bookmarkEnd w:id="87"/>
      <w:r w:rsidR="00017290">
        <w:t>s</w:t>
      </w:r>
      <w:bookmarkEnd w:id="88"/>
      <w:r w:rsidRPr="00AF656B">
        <w:t xml:space="preserve"> </w:t>
      </w:r>
    </w:p>
    <w:p w14:paraId="7A7CDB93" w14:textId="6B4DCCEC" w:rsidR="006D12BE" w:rsidRPr="00AF656B" w:rsidRDefault="006D12BE" w:rsidP="006D12BE">
      <w:pPr>
        <w:rPr>
          <w:rFonts w:eastAsia="Calibri"/>
        </w:rPr>
      </w:pPr>
      <w:r w:rsidRPr="00AF656B">
        <w:t xml:space="preserve">Under the Act, one of the responsibilities of the SCENZ Group is to maintain lists of health professionals who are willing to deliver assisted dying services. </w:t>
      </w:r>
      <w:r w:rsidR="00E81030" w:rsidRPr="00AF656B">
        <w:t xml:space="preserve">This workforce is critical to ensuring people can access assisted dying, particularly where their usual health practitioner does not provide the service or where they do not feel comfortable </w:t>
      </w:r>
      <w:r w:rsidR="0057483F" w:rsidRPr="00AF656B">
        <w:t xml:space="preserve">to </w:t>
      </w:r>
      <w:r w:rsidR="00BF14BB" w:rsidRPr="00AF656B">
        <w:t>raise the subject with th</w:t>
      </w:r>
      <w:r w:rsidR="009C2AD0">
        <w:t>is health practitioner</w:t>
      </w:r>
      <w:r w:rsidR="00E81030" w:rsidRPr="00AF656B">
        <w:t>.</w:t>
      </w:r>
    </w:p>
    <w:p w14:paraId="52290A99" w14:textId="77777777" w:rsidR="00D47BD5" w:rsidRPr="00AF656B" w:rsidRDefault="00D47BD5" w:rsidP="006D12BE"/>
    <w:p w14:paraId="507A396F" w14:textId="7EE7D24B" w:rsidR="00D47BD5" w:rsidRPr="00AF656B" w:rsidRDefault="009C2AD0" w:rsidP="00D47BD5">
      <w:r>
        <w:t xml:space="preserve">When a person asks for an assisted death, </w:t>
      </w:r>
      <w:r w:rsidR="00FB2F10">
        <w:t xml:space="preserve">the service seeks a </w:t>
      </w:r>
      <w:r>
        <w:t>p</w:t>
      </w:r>
      <w:r w:rsidR="00D47BD5" w:rsidRPr="00AF656B">
        <w:t>ractitioner</w:t>
      </w:r>
      <w:r w:rsidR="00FB2F10">
        <w:t xml:space="preserve"> located </w:t>
      </w:r>
      <w:r w:rsidR="00D47BD5" w:rsidRPr="00AF656B">
        <w:t>as close to th</w:t>
      </w:r>
      <w:r w:rsidR="00FB2F10">
        <w:t>at person</w:t>
      </w:r>
      <w:r w:rsidR="00D47BD5" w:rsidRPr="00AF656B">
        <w:t xml:space="preserve"> as possible. If a practitioner is not available in the</w:t>
      </w:r>
      <w:r w:rsidR="00FB2F10">
        <w:t xml:space="preserve"> person’s</w:t>
      </w:r>
      <w:r w:rsidR="00D47BD5" w:rsidRPr="00AF656B">
        <w:t xml:space="preserve"> area, an approved practitioner will travel to the</w:t>
      </w:r>
      <w:r w:rsidR="00FB2F10">
        <w:t xml:space="preserve"> person’s</w:t>
      </w:r>
      <w:r w:rsidR="00D47BD5" w:rsidRPr="00AF656B">
        <w:t xml:space="preserve"> location. Practitioners may come from anywhere in New Zealand. </w:t>
      </w:r>
    </w:p>
    <w:p w14:paraId="7BFA26E5" w14:textId="77777777" w:rsidR="00D47BD5" w:rsidRPr="00AF656B" w:rsidRDefault="00D47BD5" w:rsidP="00D47BD5"/>
    <w:p w14:paraId="4468ECAD" w14:textId="7A98C43E" w:rsidR="00D47BD5" w:rsidRPr="00AF656B" w:rsidRDefault="00D47BD5" w:rsidP="006D12BE">
      <w:r w:rsidRPr="00AF656B">
        <w:t xml:space="preserve">Audio-visual consultations may also be used, where appropriate.  </w:t>
      </w:r>
    </w:p>
    <w:p w14:paraId="23007FAE" w14:textId="77777777" w:rsidR="006D12BE" w:rsidRPr="00AF656B" w:rsidRDefault="006D12BE" w:rsidP="006D12BE"/>
    <w:p w14:paraId="652EF1A1" w14:textId="55EB912E" w:rsidR="006D12BE" w:rsidRPr="00AF656B" w:rsidRDefault="00067755" w:rsidP="006D12BE">
      <w:pPr>
        <w:rPr>
          <w:rStyle w:val="normaltextrun"/>
          <w:rFonts w:cs="Segoe UI"/>
          <w:color w:val="000000" w:themeColor="text1"/>
        </w:rPr>
      </w:pPr>
      <w:r>
        <w:rPr>
          <w:rStyle w:val="normaltextrun"/>
          <w:rFonts w:cs="Segoe UI"/>
          <w:color w:val="000000" w:themeColor="text1"/>
        </w:rPr>
        <w:t xml:space="preserve">Table 5 </w:t>
      </w:r>
      <w:r w:rsidR="006D12BE" w:rsidRPr="00AF656B">
        <w:rPr>
          <w:rStyle w:val="normaltextrun"/>
          <w:rFonts w:cs="Segoe UI"/>
          <w:color w:val="000000" w:themeColor="text1"/>
        </w:rPr>
        <w:t>summarises</w:t>
      </w:r>
      <w:r w:rsidR="00FB2F10">
        <w:rPr>
          <w:rStyle w:val="normaltextrun"/>
          <w:rFonts w:cs="Segoe UI"/>
          <w:color w:val="000000" w:themeColor="text1"/>
        </w:rPr>
        <w:t xml:space="preserve"> the number of</w:t>
      </w:r>
      <w:r w:rsidR="006D12BE" w:rsidRPr="00AF656B">
        <w:rPr>
          <w:rStyle w:val="normaltextrun"/>
          <w:rFonts w:cs="Segoe UI"/>
          <w:color w:val="000000" w:themeColor="text1"/>
        </w:rPr>
        <w:t xml:space="preserve"> practitioners on the SCENZ Group lists </w:t>
      </w:r>
      <w:r w:rsidR="00FB2F10">
        <w:rPr>
          <w:rStyle w:val="normaltextrun"/>
          <w:rFonts w:cs="Segoe UI"/>
          <w:color w:val="000000" w:themeColor="text1"/>
        </w:rPr>
        <w:t>in each</w:t>
      </w:r>
      <w:r w:rsidR="00FB2F10" w:rsidRPr="00AF656B">
        <w:rPr>
          <w:rStyle w:val="normaltextrun"/>
          <w:rFonts w:cs="Segoe UI"/>
          <w:color w:val="000000" w:themeColor="text1"/>
        </w:rPr>
        <w:t xml:space="preserve"> </w:t>
      </w:r>
      <w:r w:rsidR="006D12BE" w:rsidRPr="00AF656B">
        <w:rPr>
          <w:rStyle w:val="normaltextrun"/>
          <w:rFonts w:cs="Segoe UI"/>
          <w:color w:val="000000" w:themeColor="text1"/>
        </w:rPr>
        <w:t>Health New Zealand region. This includes health practitioners available to perform the AMP, IMP</w:t>
      </w:r>
      <w:r w:rsidR="002B060E" w:rsidRPr="00AF656B">
        <w:rPr>
          <w:rStyle w:val="normaltextrun"/>
          <w:rFonts w:cs="Segoe UI"/>
          <w:color w:val="000000" w:themeColor="text1"/>
        </w:rPr>
        <w:t>,</w:t>
      </w:r>
      <w:r w:rsidR="006D12BE" w:rsidRPr="00AF656B">
        <w:rPr>
          <w:rStyle w:val="normaltextrun"/>
          <w:rFonts w:cs="Segoe UI"/>
          <w:color w:val="000000" w:themeColor="text1"/>
        </w:rPr>
        <w:t xml:space="preserve"> ANP and psychiatrist roles exclusively, as well as those available to provide services as either an AMP or an IMP. </w:t>
      </w:r>
      <w:r w:rsidR="002D74B7">
        <w:rPr>
          <w:rStyle w:val="normaltextrun"/>
          <w:rFonts w:cs="Segoe UI"/>
          <w:color w:val="000000" w:themeColor="text1"/>
        </w:rPr>
        <w:t xml:space="preserve">It does not include the number of practitioners </w:t>
      </w:r>
      <w:r w:rsidR="003328BC">
        <w:rPr>
          <w:rStyle w:val="normaltextrun"/>
          <w:rFonts w:cs="Segoe UI"/>
          <w:color w:val="000000" w:themeColor="text1"/>
        </w:rPr>
        <w:t xml:space="preserve">who have not applied to be on the SCENZ lists but who are </w:t>
      </w:r>
      <w:r w:rsidR="002D74B7">
        <w:rPr>
          <w:rStyle w:val="normaltextrun"/>
          <w:rFonts w:cs="Segoe UI"/>
          <w:color w:val="000000" w:themeColor="text1"/>
        </w:rPr>
        <w:t>providing services to their own patients</w:t>
      </w:r>
      <w:r w:rsidR="003328BC">
        <w:rPr>
          <w:rStyle w:val="normaltextrun"/>
          <w:rFonts w:cs="Segoe UI"/>
          <w:color w:val="000000" w:themeColor="text1"/>
        </w:rPr>
        <w:t xml:space="preserve">. </w:t>
      </w:r>
    </w:p>
    <w:p w14:paraId="7F3F7521" w14:textId="77777777" w:rsidR="007A6AD1" w:rsidRPr="00AF656B" w:rsidRDefault="007A6AD1" w:rsidP="006D12BE">
      <w:pPr>
        <w:rPr>
          <w:rStyle w:val="normaltextrun"/>
          <w:rFonts w:cs="Segoe UI"/>
          <w:color w:val="000000" w:themeColor="text1"/>
        </w:rPr>
      </w:pPr>
    </w:p>
    <w:p w14:paraId="2BA707B0" w14:textId="3E284479" w:rsidR="00FE40CC" w:rsidRPr="00AF656B" w:rsidRDefault="0BDF4FB4" w:rsidP="006D12BE">
      <w:r>
        <w:t>F</w:t>
      </w:r>
      <w:r w:rsidR="15120F82">
        <w:t>ollowing</w:t>
      </w:r>
      <w:r w:rsidR="007C49FC" w:rsidRPr="00AF656B">
        <w:t xml:space="preserve"> the introduction of the new regulatory IT platform and </w:t>
      </w:r>
      <w:r w:rsidR="000D73CE" w:rsidRPr="00AF656B">
        <w:t>as part of the</w:t>
      </w:r>
      <w:r w:rsidR="00FB2F10">
        <w:t>ir</w:t>
      </w:r>
      <w:r w:rsidR="000D73CE" w:rsidRPr="00AF656B">
        <w:t xml:space="preserve"> ongoing maintenance</w:t>
      </w:r>
      <w:r w:rsidR="00FB2F10">
        <w:t>,</w:t>
      </w:r>
      <w:r w:rsidR="000D73CE" w:rsidRPr="00AF656B">
        <w:t xml:space="preserve"> the </w:t>
      </w:r>
      <w:r w:rsidR="00A31B3D" w:rsidRPr="00AF656B">
        <w:t xml:space="preserve">SCENZ </w:t>
      </w:r>
      <w:r w:rsidR="00017290">
        <w:t xml:space="preserve">Group </w:t>
      </w:r>
      <w:r w:rsidR="00A31B3D" w:rsidRPr="00AF656B">
        <w:t>list</w:t>
      </w:r>
      <w:r w:rsidR="00017290">
        <w:t>s</w:t>
      </w:r>
      <w:r w:rsidR="005F608C" w:rsidRPr="00AF656B">
        <w:t xml:space="preserve"> </w:t>
      </w:r>
      <w:r w:rsidR="003E2930" w:rsidRPr="00AF656B">
        <w:t>were revised</w:t>
      </w:r>
      <w:r w:rsidR="007B56D5">
        <w:t xml:space="preserve"> and </w:t>
      </w:r>
      <w:r w:rsidR="00B92C90">
        <w:t>practitioners</w:t>
      </w:r>
      <w:r w:rsidR="007B56D5">
        <w:t xml:space="preserve"> who were no longer willing or able to provide services </w:t>
      </w:r>
      <w:r w:rsidR="00205CB8">
        <w:t xml:space="preserve">were </w:t>
      </w:r>
      <w:r w:rsidR="003C4BCA">
        <w:t>removed.</w:t>
      </w:r>
      <w:r w:rsidR="003E2930" w:rsidRPr="00AF656B">
        <w:t xml:space="preserve"> </w:t>
      </w:r>
      <w:r w:rsidR="00693106">
        <w:t xml:space="preserve">Some </w:t>
      </w:r>
      <w:r w:rsidR="00FE40CC" w:rsidRPr="00AF656B">
        <w:t xml:space="preserve">practitioners </w:t>
      </w:r>
      <w:r w:rsidR="00FB2F10">
        <w:t xml:space="preserve">who </w:t>
      </w:r>
      <w:r w:rsidR="00FE40CC" w:rsidRPr="00AF656B">
        <w:t>were on the list have never provided the service</w:t>
      </w:r>
      <w:r w:rsidR="00FB2F10" w:rsidRPr="00FB2F10">
        <w:t xml:space="preserve"> </w:t>
      </w:r>
      <w:r w:rsidR="00FB2F10" w:rsidRPr="00AF656B">
        <w:t>for a variety of reasons</w:t>
      </w:r>
      <w:r w:rsidR="00FE40CC" w:rsidRPr="00AF656B">
        <w:t xml:space="preserve"> or have not provided the service for </w:t>
      </w:r>
      <w:r w:rsidR="00FB2F10">
        <w:t xml:space="preserve">a </w:t>
      </w:r>
      <w:r w:rsidR="00FE40CC" w:rsidRPr="00AF656B">
        <w:t xml:space="preserve">considerable time. This may be due to retirement, work </w:t>
      </w:r>
      <w:r w:rsidR="00FE40CC" w:rsidRPr="00AF656B">
        <w:lastRenderedPageBreak/>
        <w:t xml:space="preserve">pressures in </w:t>
      </w:r>
      <w:r w:rsidR="00072FE5">
        <w:t>other employment</w:t>
      </w:r>
      <w:r w:rsidR="00FE40CC" w:rsidRPr="00AF656B">
        <w:t>, moving overseas or another undisclosed reason.</w:t>
      </w:r>
      <w:r w:rsidR="00FB2F10">
        <w:t xml:space="preserve"> </w:t>
      </w:r>
      <w:r w:rsidR="00D0455B" w:rsidRPr="00AF656B">
        <w:t>As a result</w:t>
      </w:r>
      <w:r w:rsidR="004D626D">
        <w:t xml:space="preserve"> of the revision</w:t>
      </w:r>
      <w:r w:rsidR="00D0455B" w:rsidRPr="00AF656B">
        <w:t xml:space="preserve">, </w:t>
      </w:r>
      <w:r w:rsidR="00FB2F10">
        <w:t xml:space="preserve">fewer </w:t>
      </w:r>
      <w:r w:rsidR="00D0455B" w:rsidRPr="00AF656B">
        <w:t xml:space="preserve">practitioners </w:t>
      </w:r>
      <w:r w:rsidR="00FB2F10">
        <w:t xml:space="preserve">are </w:t>
      </w:r>
      <w:r w:rsidR="004E020F">
        <w:t xml:space="preserve">on the lists </w:t>
      </w:r>
      <w:r w:rsidR="00FB2F10">
        <w:t xml:space="preserve">than </w:t>
      </w:r>
      <w:r w:rsidR="00D0455B" w:rsidRPr="00AF656B">
        <w:t>last year.</w:t>
      </w:r>
      <w:r w:rsidR="00273FDB">
        <w:t xml:space="preserve"> </w:t>
      </w:r>
      <w:r w:rsidR="002C62F2">
        <w:t xml:space="preserve">However, the number of practitioners actively involved in the service has remained stable. </w:t>
      </w:r>
      <w:r w:rsidR="00273FDB" w:rsidRPr="00273FDB">
        <w:t>We continue to receive applications from practitioners to join the list</w:t>
      </w:r>
      <w:r w:rsidR="00FD0A88">
        <w:t>s for</w:t>
      </w:r>
      <w:r w:rsidR="00273FDB" w:rsidRPr="00273FDB">
        <w:t xml:space="preserve"> provid</w:t>
      </w:r>
      <w:r w:rsidR="00FD0A88">
        <w:t>ing</w:t>
      </w:r>
      <w:r w:rsidR="00273FDB" w:rsidRPr="00273FDB">
        <w:t xml:space="preserve"> assisted dying services.</w:t>
      </w:r>
    </w:p>
    <w:p w14:paraId="54F888E6" w14:textId="77777777" w:rsidR="006D12BE" w:rsidRPr="00AF656B" w:rsidRDefault="006D12BE" w:rsidP="006D12BE">
      <w:pPr>
        <w:rPr>
          <w:rFonts w:cs="Segoe UI"/>
        </w:rPr>
      </w:pPr>
    </w:p>
    <w:p w14:paraId="30528188" w14:textId="7024DA05" w:rsidR="006D12BE" w:rsidRPr="00AF656B" w:rsidRDefault="0E27A74B" w:rsidP="006D12BE">
      <w:pPr>
        <w:pStyle w:val="Table"/>
      </w:pPr>
      <w:bookmarkStart w:id="89" w:name="_Ref201743065"/>
      <w:bookmarkStart w:id="90" w:name="_Toc233002305"/>
      <w:r>
        <w:t xml:space="preserve">Table </w:t>
      </w:r>
      <w:r w:rsidR="006D12BE" w:rsidRPr="2DD0953D">
        <w:fldChar w:fldCharType="begin"/>
      </w:r>
      <w:r w:rsidR="006D12BE">
        <w:instrText xml:space="preserve"> SEQ Table \* ARABIC </w:instrText>
      </w:r>
      <w:r w:rsidR="006D12BE" w:rsidRPr="2DD0953D">
        <w:fldChar w:fldCharType="separate"/>
      </w:r>
      <w:r w:rsidR="67EFE471" w:rsidRPr="2DD0953D">
        <w:rPr>
          <w:noProof/>
        </w:rPr>
        <w:t>5</w:t>
      </w:r>
      <w:r w:rsidR="006D12BE" w:rsidRPr="2DD0953D">
        <w:rPr>
          <w:noProof/>
        </w:rPr>
        <w:fldChar w:fldCharType="end"/>
      </w:r>
      <w:bookmarkEnd w:id="89"/>
      <w:r>
        <w:t xml:space="preserve">: </w:t>
      </w:r>
      <w:r w:rsidR="009C3294">
        <w:t>Number of h</w:t>
      </w:r>
      <w:r>
        <w:t>ealth practitioners on the SCENZ Group lists across Health New Zealand regions</w:t>
      </w:r>
      <w:r w:rsidR="0035016D">
        <w:t>,</w:t>
      </w:r>
      <w:r w:rsidR="4BC97652">
        <w:t xml:space="preserve"> as </w:t>
      </w:r>
      <w:proofErr w:type="gramStart"/>
      <w:r w:rsidR="4BC97652">
        <w:t>at</w:t>
      </w:r>
      <w:proofErr w:type="gramEnd"/>
      <w:r w:rsidR="4BC97652">
        <w:t xml:space="preserve"> 1</w:t>
      </w:r>
      <w:r w:rsidR="3FACBFC7">
        <w:t>4</w:t>
      </w:r>
      <w:r w:rsidR="4BC97652">
        <w:t xml:space="preserve"> May 2026</w:t>
      </w:r>
      <w:bookmarkEnd w:id="90"/>
    </w:p>
    <w:tbl>
      <w:tblPr>
        <w:tblStyle w:val="TableGrid"/>
        <w:tblW w:w="0" w:type="auto"/>
        <w:tblBorders>
          <w:top w:val="single" w:sz="4" w:space="0" w:color="A6A6A6" w:themeColor="background1" w:themeShade="A6"/>
          <w:left w:val="none" w:sz="0" w:space="0" w:color="auto"/>
          <w:bottom w:val="single" w:sz="4" w:space="0" w:color="A6A6A6" w:themeColor="background1" w:themeShade="A6"/>
          <w:right w:val="none" w:sz="0" w:space="0" w:color="auto"/>
          <w:insideH w:val="single" w:sz="4" w:space="0" w:color="A6A6A6" w:themeColor="background1" w:themeShade="A6"/>
          <w:insideV w:val="none" w:sz="0" w:space="0" w:color="auto"/>
        </w:tblBorders>
        <w:tblLook w:val="04A0" w:firstRow="1" w:lastRow="0" w:firstColumn="1" w:lastColumn="0" w:noHBand="0" w:noVBand="1"/>
      </w:tblPr>
      <w:tblGrid>
        <w:gridCol w:w="1696"/>
        <w:gridCol w:w="1195"/>
        <w:gridCol w:w="1196"/>
        <w:gridCol w:w="1195"/>
        <w:gridCol w:w="1196"/>
        <w:gridCol w:w="1196"/>
      </w:tblGrid>
      <w:tr w:rsidR="006D12BE" w:rsidRPr="00AF656B" w14:paraId="33C25EE1" w14:textId="77777777" w:rsidTr="005F1B0B">
        <w:tc>
          <w:tcPr>
            <w:tcW w:w="1696" w:type="dxa"/>
            <w:tcBorders>
              <w:top w:val="nil"/>
              <w:bottom w:val="nil"/>
            </w:tcBorders>
            <w:shd w:val="clear" w:color="auto" w:fill="D9D9D9" w:themeFill="background1" w:themeFillShade="D9"/>
          </w:tcPr>
          <w:p w14:paraId="6840147F" w14:textId="77777777" w:rsidR="006D12BE" w:rsidRPr="00AF656B" w:rsidRDefault="006D12BE" w:rsidP="006D12BE">
            <w:pPr>
              <w:pStyle w:val="TableText"/>
              <w:rPr>
                <w:b/>
                <w:bCs/>
              </w:rPr>
            </w:pPr>
            <w:r w:rsidRPr="00AF656B">
              <w:rPr>
                <w:b/>
                <w:bCs/>
              </w:rPr>
              <w:t>Region</w:t>
            </w:r>
          </w:p>
        </w:tc>
        <w:tc>
          <w:tcPr>
            <w:tcW w:w="1195" w:type="dxa"/>
            <w:tcBorders>
              <w:top w:val="nil"/>
              <w:bottom w:val="nil"/>
            </w:tcBorders>
            <w:shd w:val="clear" w:color="auto" w:fill="D9D9D9" w:themeFill="background1" w:themeFillShade="D9"/>
          </w:tcPr>
          <w:p w14:paraId="7D5F4105" w14:textId="77777777" w:rsidR="006D12BE" w:rsidRPr="00AF656B" w:rsidRDefault="006D12BE" w:rsidP="00D630B9">
            <w:pPr>
              <w:pStyle w:val="TableText"/>
              <w:rPr>
                <w:b/>
                <w:bCs/>
              </w:rPr>
            </w:pPr>
            <w:r w:rsidRPr="00AF656B">
              <w:rPr>
                <w:b/>
                <w:bCs/>
              </w:rPr>
              <w:t>AMP</w:t>
            </w:r>
          </w:p>
        </w:tc>
        <w:tc>
          <w:tcPr>
            <w:tcW w:w="1196" w:type="dxa"/>
            <w:tcBorders>
              <w:top w:val="nil"/>
              <w:bottom w:val="nil"/>
            </w:tcBorders>
            <w:shd w:val="clear" w:color="auto" w:fill="D9D9D9" w:themeFill="background1" w:themeFillShade="D9"/>
          </w:tcPr>
          <w:p w14:paraId="4A4E6ACE" w14:textId="77777777" w:rsidR="006D12BE" w:rsidRPr="00AF656B" w:rsidRDefault="006D12BE" w:rsidP="00D630B9">
            <w:pPr>
              <w:pStyle w:val="TableText"/>
              <w:rPr>
                <w:b/>
                <w:bCs/>
              </w:rPr>
            </w:pPr>
            <w:r w:rsidRPr="00AF656B">
              <w:rPr>
                <w:b/>
                <w:bCs/>
              </w:rPr>
              <w:t>IMP</w:t>
            </w:r>
          </w:p>
        </w:tc>
        <w:tc>
          <w:tcPr>
            <w:tcW w:w="1195" w:type="dxa"/>
            <w:tcBorders>
              <w:top w:val="nil"/>
              <w:bottom w:val="nil"/>
            </w:tcBorders>
            <w:shd w:val="clear" w:color="auto" w:fill="D9D9D9" w:themeFill="background1" w:themeFillShade="D9"/>
          </w:tcPr>
          <w:p w14:paraId="3D6442C5" w14:textId="77777777" w:rsidR="006D12BE" w:rsidRPr="00AF656B" w:rsidRDefault="006D12BE" w:rsidP="00D630B9">
            <w:pPr>
              <w:pStyle w:val="TableText"/>
              <w:rPr>
                <w:b/>
                <w:bCs/>
              </w:rPr>
            </w:pPr>
            <w:r w:rsidRPr="00AF656B">
              <w:rPr>
                <w:b/>
                <w:bCs/>
              </w:rPr>
              <w:t>AMP and IMP</w:t>
            </w:r>
          </w:p>
        </w:tc>
        <w:tc>
          <w:tcPr>
            <w:tcW w:w="1196" w:type="dxa"/>
            <w:tcBorders>
              <w:top w:val="nil"/>
              <w:bottom w:val="nil"/>
            </w:tcBorders>
            <w:shd w:val="clear" w:color="auto" w:fill="D9D9D9" w:themeFill="background1" w:themeFillShade="D9"/>
          </w:tcPr>
          <w:p w14:paraId="4A62428D" w14:textId="77777777" w:rsidR="006D12BE" w:rsidRPr="00AF656B" w:rsidRDefault="006D12BE" w:rsidP="00D630B9">
            <w:pPr>
              <w:pStyle w:val="TableText"/>
              <w:rPr>
                <w:b/>
                <w:bCs/>
              </w:rPr>
            </w:pPr>
            <w:r w:rsidRPr="00AF656B">
              <w:rPr>
                <w:b/>
                <w:bCs/>
              </w:rPr>
              <w:t>ANP</w:t>
            </w:r>
          </w:p>
        </w:tc>
        <w:tc>
          <w:tcPr>
            <w:tcW w:w="1196" w:type="dxa"/>
            <w:tcBorders>
              <w:top w:val="nil"/>
              <w:bottom w:val="nil"/>
            </w:tcBorders>
            <w:shd w:val="clear" w:color="auto" w:fill="D9D9D9" w:themeFill="background1" w:themeFillShade="D9"/>
          </w:tcPr>
          <w:p w14:paraId="36A003E6" w14:textId="77777777" w:rsidR="006D12BE" w:rsidRPr="00AF656B" w:rsidRDefault="006D12BE" w:rsidP="00D630B9">
            <w:pPr>
              <w:pStyle w:val="TableText"/>
              <w:rPr>
                <w:b/>
                <w:bCs/>
              </w:rPr>
            </w:pPr>
            <w:r w:rsidRPr="00AF656B">
              <w:rPr>
                <w:b/>
                <w:bCs/>
              </w:rPr>
              <w:t>Psychiatrist</w:t>
            </w:r>
          </w:p>
        </w:tc>
      </w:tr>
      <w:tr w:rsidR="006D12BE" w:rsidRPr="00AF656B" w14:paraId="39D31F75" w14:textId="77777777" w:rsidTr="005F1B0B">
        <w:trPr>
          <w:trHeight w:val="227"/>
        </w:trPr>
        <w:tc>
          <w:tcPr>
            <w:tcW w:w="1696" w:type="dxa"/>
            <w:tcBorders>
              <w:top w:val="nil"/>
            </w:tcBorders>
          </w:tcPr>
          <w:p w14:paraId="42BEACCA" w14:textId="77777777" w:rsidR="006D12BE" w:rsidRPr="00AF656B" w:rsidRDefault="006D12BE" w:rsidP="006D12BE">
            <w:pPr>
              <w:pStyle w:val="TableText"/>
            </w:pPr>
            <w:r w:rsidRPr="00AF656B">
              <w:t>Northern</w:t>
            </w:r>
          </w:p>
        </w:tc>
        <w:tc>
          <w:tcPr>
            <w:tcW w:w="1195" w:type="dxa"/>
            <w:tcBorders>
              <w:top w:val="nil"/>
            </w:tcBorders>
          </w:tcPr>
          <w:p w14:paraId="27F78D10" w14:textId="7854C77D" w:rsidR="006D12BE" w:rsidRPr="00AF656B" w:rsidRDefault="1C12A5E5" w:rsidP="00D630B9">
            <w:pPr>
              <w:pStyle w:val="TableText"/>
            </w:pPr>
            <w:r>
              <w:t>2</w:t>
            </w:r>
          </w:p>
        </w:tc>
        <w:tc>
          <w:tcPr>
            <w:tcW w:w="1196" w:type="dxa"/>
            <w:tcBorders>
              <w:top w:val="nil"/>
            </w:tcBorders>
          </w:tcPr>
          <w:p w14:paraId="5EEB63D2" w14:textId="7FDD2A06" w:rsidR="006D12BE" w:rsidRPr="00AF656B" w:rsidRDefault="1C12A5E5" w:rsidP="00D630B9">
            <w:pPr>
              <w:pStyle w:val="TableText"/>
            </w:pPr>
            <w:r>
              <w:t>5</w:t>
            </w:r>
          </w:p>
        </w:tc>
        <w:tc>
          <w:tcPr>
            <w:tcW w:w="1195" w:type="dxa"/>
            <w:tcBorders>
              <w:top w:val="nil"/>
            </w:tcBorders>
          </w:tcPr>
          <w:p w14:paraId="0761544C" w14:textId="74A100CC" w:rsidR="006D12BE" w:rsidRPr="00AF656B" w:rsidRDefault="7F760167" w:rsidP="00D630B9">
            <w:pPr>
              <w:pStyle w:val="TableText"/>
            </w:pPr>
            <w:r w:rsidRPr="00AF656B">
              <w:t>16</w:t>
            </w:r>
          </w:p>
        </w:tc>
        <w:tc>
          <w:tcPr>
            <w:tcW w:w="1196" w:type="dxa"/>
            <w:tcBorders>
              <w:top w:val="nil"/>
            </w:tcBorders>
          </w:tcPr>
          <w:p w14:paraId="3BEB9564" w14:textId="13E7A8A2" w:rsidR="006D12BE" w:rsidRPr="00AF656B" w:rsidRDefault="7F760167" w:rsidP="00D630B9">
            <w:pPr>
              <w:pStyle w:val="TableText"/>
            </w:pPr>
            <w:r w:rsidRPr="00AF656B">
              <w:t>2</w:t>
            </w:r>
          </w:p>
        </w:tc>
        <w:tc>
          <w:tcPr>
            <w:tcW w:w="1196" w:type="dxa"/>
            <w:tcBorders>
              <w:top w:val="nil"/>
            </w:tcBorders>
          </w:tcPr>
          <w:p w14:paraId="57CEF67E" w14:textId="5D8C4122" w:rsidR="006D12BE" w:rsidRPr="00AF656B" w:rsidRDefault="6A49CC7E" w:rsidP="00D630B9">
            <w:pPr>
              <w:pStyle w:val="TableText"/>
            </w:pPr>
            <w:r w:rsidRPr="00AF656B">
              <w:t>1</w:t>
            </w:r>
          </w:p>
        </w:tc>
      </w:tr>
      <w:tr w:rsidR="006D12BE" w:rsidRPr="00AF656B" w14:paraId="161041A9" w14:textId="77777777" w:rsidTr="005F1B0B">
        <w:tc>
          <w:tcPr>
            <w:tcW w:w="1696" w:type="dxa"/>
          </w:tcPr>
          <w:p w14:paraId="736AA39E" w14:textId="71E9DAA6" w:rsidR="006D12BE" w:rsidRPr="00AF656B" w:rsidRDefault="004D626D" w:rsidP="006D12BE">
            <w:pPr>
              <w:pStyle w:val="TableText"/>
            </w:pPr>
            <w:r>
              <w:t>Midland</w:t>
            </w:r>
          </w:p>
        </w:tc>
        <w:tc>
          <w:tcPr>
            <w:tcW w:w="1195" w:type="dxa"/>
          </w:tcPr>
          <w:p w14:paraId="5D13D59D" w14:textId="37258D5A" w:rsidR="006D12BE" w:rsidRPr="00AF656B" w:rsidRDefault="05C33177" w:rsidP="00D630B9">
            <w:pPr>
              <w:pStyle w:val="TableText"/>
            </w:pPr>
            <w:r w:rsidRPr="00AF656B">
              <w:t>1</w:t>
            </w:r>
          </w:p>
        </w:tc>
        <w:tc>
          <w:tcPr>
            <w:tcW w:w="1196" w:type="dxa"/>
          </w:tcPr>
          <w:p w14:paraId="5CF6D38E" w14:textId="0485E415" w:rsidR="006D12BE" w:rsidRPr="00AF656B" w:rsidRDefault="05C33177" w:rsidP="00D630B9">
            <w:pPr>
              <w:pStyle w:val="TableText"/>
            </w:pPr>
            <w:r w:rsidRPr="00AF656B">
              <w:t>6</w:t>
            </w:r>
          </w:p>
        </w:tc>
        <w:tc>
          <w:tcPr>
            <w:tcW w:w="1195" w:type="dxa"/>
          </w:tcPr>
          <w:p w14:paraId="041EE188" w14:textId="79DDF8EA" w:rsidR="006D12BE" w:rsidRPr="00AF656B" w:rsidRDefault="301BAB99" w:rsidP="00D630B9">
            <w:pPr>
              <w:pStyle w:val="TableText"/>
            </w:pPr>
            <w:r>
              <w:t>1</w:t>
            </w:r>
            <w:r w:rsidR="60173170">
              <w:t>6</w:t>
            </w:r>
          </w:p>
        </w:tc>
        <w:tc>
          <w:tcPr>
            <w:tcW w:w="1196" w:type="dxa"/>
          </w:tcPr>
          <w:p w14:paraId="2FBEC3F2" w14:textId="2AF9F4E7" w:rsidR="006D12BE" w:rsidRPr="00AF656B" w:rsidRDefault="653848A4" w:rsidP="00D630B9">
            <w:pPr>
              <w:pStyle w:val="TableText"/>
            </w:pPr>
            <w:r w:rsidRPr="00AF656B">
              <w:t>4</w:t>
            </w:r>
          </w:p>
        </w:tc>
        <w:tc>
          <w:tcPr>
            <w:tcW w:w="1196" w:type="dxa"/>
          </w:tcPr>
          <w:p w14:paraId="446FF4D4" w14:textId="1D3B3483" w:rsidR="006D12BE" w:rsidRPr="00AF656B" w:rsidRDefault="0AEC5D9E" w:rsidP="00D630B9">
            <w:pPr>
              <w:pStyle w:val="TableText"/>
            </w:pPr>
            <w:r w:rsidRPr="00AF656B">
              <w:t>0</w:t>
            </w:r>
          </w:p>
        </w:tc>
      </w:tr>
      <w:tr w:rsidR="006D12BE" w:rsidRPr="00AF656B" w14:paraId="7D6C6F99" w14:textId="77777777" w:rsidTr="005F1B0B">
        <w:tc>
          <w:tcPr>
            <w:tcW w:w="1696" w:type="dxa"/>
          </w:tcPr>
          <w:p w14:paraId="08B39F4E" w14:textId="77777777" w:rsidR="006D12BE" w:rsidRPr="00AF656B" w:rsidRDefault="006D12BE" w:rsidP="006D12BE">
            <w:pPr>
              <w:pStyle w:val="TableText"/>
            </w:pPr>
            <w:r w:rsidRPr="00AF656B">
              <w:t>Central</w:t>
            </w:r>
          </w:p>
        </w:tc>
        <w:tc>
          <w:tcPr>
            <w:tcW w:w="1195" w:type="dxa"/>
          </w:tcPr>
          <w:p w14:paraId="6DF31B92" w14:textId="0FC30609" w:rsidR="006D12BE" w:rsidRPr="00AF656B" w:rsidRDefault="6389CDA8" w:rsidP="00D630B9">
            <w:pPr>
              <w:pStyle w:val="TableText"/>
            </w:pPr>
            <w:r>
              <w:t>4</w:t>
            </w:r>
          </w:p>
        </w:tc>
        <w:tc>
          <w:tcPr>
            <w:tcW w:w="1196" w:type="dxa"/>
          </w:tcPr>
          <w:p w14:paraId="22759EA3" w14:textId="4E0A1420" w:rsidR="006D12BE" w:rsidRPr="00AF656B" w:rsidRDefault="7A48CC9B" w:rsidP="00D630B9">
            <w:pPr>
              <w:pStyle w:val="TableText"/>
            </w:pPr>
            <w:r w:rsidRPr="00AF656B">
              <w:t>0</w:t>
            </w:r>
          </w:p>
        </w:tc>
        <w:tc>
          <w:tcPr>
            <w:tcW w:w="1195" w:type="dxa"/>
          </w:tcPr>
          <w:p w14:paraId="15538A97" w14:textId="196D1941" w:rsidR="006D12BE" w:rsidRPr="00AF656B" w:rsidRDefault="7A48CC9B" w:rsidP="00D630B9">
            <w:pPr>
              <w:pStyle w:val="TableText"/>
            </w:pPr>
            <w:r w:rsidRPr="00AF656B">
              <w:t>16</w:t>
            </w:r>
          </w:p>
        </w:tc>
        <w:tc>
          <w:tcPr>
            <w:tcW w:w="1196" w:type="dxa"/>
          </w:tcPr>
          <w:p w14:paraId="40F87F3F" w14:textId="2E0DC3CF" w:rsidR="006D12BE" w:rsidRPr="00AF656B" w:rsidRDefault="7A48CC9B" w:rsidP="00D630B9">
            <w:pPr>
              <w:pStyle w:val="TableText"/>
            </w:pPr>
            <w:r w:rsidRPr="00AF656B">
              <w:t>1</w:t>
            </w:r>
          </w:p>
        </w:tc>
        <w:tc>
          <w:tcPr>
            <w:tcW w:w="1196" w:type="dxa"/>
          </w:tcPr>
          <w:p w14:paraId="18367D2A" w14:textId="4C9AABBA" w:rsidR="006D12BE" w:rsidRPr="00AF656B" w:rsidRDefault="2FD8E114" w:rsidP="00D630B9">
            <w:pPr>
              <w:pStyle w:val="TableText"/>
            </w:pPr>
            <w:r w:rsidRPr="00AF656B">
              <w:t>0</w:t>
            </w:r>
          </w:p>
        </w:tc>
      </w:tr>
      <w:tr w:rsidR="006D12BE" w:rsidRPr="00AF656B" w14:paraId="23ABE3A9" w14:textId="77777777" w:rsidTr="005F1B0B">
        <w:tc>
          <w:tcPr>
            <w:tcW w:w="1696" w:type="dxa"/>
          </w:tcPr>
          <w:p w14:paraId="44023B64" w14:textId="275B2A22" w:rsidR="006D12BE" w:rsidRPr="00AF656B" w:rsidRDefault="004D626D" w:rsidP="006D12BE">
            <w:pPr>
              <w:pStyle w:val="TableText"/>
            </w:pPr>
            <w:r>
              <w:t>Southern</w:t>
            </w:r>
          </w:p>
        </w:tc>
        <w:tc>
          <w:tcPr>
            <w:tcW w:w="1195" w:type="dxa"/>
          </w:tcPr>
          <w:p w14:paraId="24AD3A14" w14:textId="3376FCDB" w:rsidR="006D12BE" w:rsidRPr="00AF656B" w:rsidRDefault="2100FDA4" w:rsidP="00D630B9">
            <w:pPr>
              <w:pStyle w:val="TableText"/>
            </w:pPr>
            <w:r w:rsidRPr="00AF656B">
              <w:t>2</w:t>
            </w:r>
          </w:p>
        </w:tc>
        <w:tc>
          <w:tcPr>
            <w:tcW w:w="1196" w:type="dxa"/>
          </w:tcPr>
          <w:p w14:paraId="2499E76F" w14:textId="08650077" w:rsidR="006D12BE" w:rsidRPr="00AF656B" w:rsidRDefault="2100FDA4" w:rsidP="00D630B9">
            <w:pPr>
              <w:pStyle w:val="TableText"/>
            </w:pPr>
            <w:r w:rsidRPr="00AF656B">
              <w:t>3</w:t>
            </w:r>
          </w:p>
        </w:tc>
        <w:tc>
          <w:tcPr>
            <w:tcW w:w="1195" w:type="dxa"/>
          </w:tcPr>
          <w:p w14:paraId="3F5062D1" w14:textId="338317A6" w:rsidR="006D12BE" w:rsidRPr="00AF656B" w:rsidRDefault="13F597D6" w:rsidP="00D630B9">
            <w:pPr>
              <w:pStyle w:val="TableText"/>
            </w:pPr>
            <w:r>
              <w:t>28</w:t>
            </w:r>
          </w:p>
        </w:tc>
        <w:tc>
          <w:tcPr>
            <w:tcW w:w="1196" w:type="dxa"/>
          </w:tcPr>
          <w:p w14:paraId="09EBCF6F" w14:textId="7A69716A" w:rsidR="006D12BE" w:rsidRPr="00AF656B" w:rsidRDefault="2100FDA4" w:rsidP="00D630B9">
            <w:pPr>
              <w:pStyle w:val="TableText"/>
            </w:pPr>
            <w:r w:rsidRPr="00AF656B">
              <w:t>5</w:t>
            </w:r>
          </w:p>
        </w:tc>
        <w:tc>
          <w:tcPr>
            <w:tcW w:w="1196" w:type="dxa"/>
          </w:tcPr>
          <w:p w14:paraId="36819131" w14:textId="54E41F41" w:rsidR="006D12BE" w:rsidRPr="00AF656B" w:rsidRDefault="2FD8E114" w:rsidP="00D630B9">
            <w:pPr>
              <w:pStyle w:val="TableText"/>
            </w:pPr>
            <w:r w:rsidRPr="00AF656B">
              <w:t>2</w:t>
            </w:r>
          </w:p>
        </w:tc>
      </w:tr>
      <w:tr w:rsidR="2DD0953D" w14:paraId="6DE66864" w14:textId="77777777" w:rsidTr="005F1B0B">
        <w:trPr>
          <w:trHeight w:val="300"/>
        </w:trPr>
        <w:tc>
          <w:tcPr>
            <w:tcW w:w="1696" w:type="dxa"/>
          </w:tcPr>
          <w:p w14:paraId="4F0D7F38" w14:textId="23528AF4" w:rsidR="0F057665" w:rsidRDefault="0F057665" w:rsidP="2DD0953D">
            <w:pPr>
              <w:pStyle w:val="TableText"/>
            </w:pPr>
            <w:r>
              <w:t>No district indicated</w:t>
            </w:r>
          </w:p>
        </w:tc>
        <w:tc>
          <w:tcPr>
            <w:tcW w:w="1195" w:type="dxa"/>
          </w:tcPr>
          <w:p w14:paraId="43E196FE" w14:textId="3F1869DF" w:rsidR="6B8A9857" w:rsidRDefault="6B8A9857" w:rsidP="2DD0953D">
            <w:pPr>
              <w:pStyle w:val="TableText"/>
            </w:pPr>
            <w:r>
              <w:t>0</w:t>
            </w:r>
          </w:p>
        </w:tc>
        <w:tc>
          <w:tcPr>
            <w:tcW w:w="1196" w:type="dxa"/>
          </w:tcPr>
          <w:p w14:paraId="30379F2B" w14:textId="76AD6F9E" w:rsidR="6B8A9857" w:rsidRDefault="6B8A9857" w:rsidP="2DD0953D">
            <w:pPr>
              <w:pStyle w:val="TableText"/>
            </w:pPr>
            <w:r>
              <w:t>1</w:t>
            </w:r>
          </w:p>
        </w:tc>
        <w:tc>
          <w:tcPr>
            <w:tcW w:w="1195" w:type="dxa"/>
          </w:tcPr>
          <w:p w14:paraId="7AEC4E3F" w14:textId="367FBFC4" w:rsidR="38415680" w:rsidRDefault="38415680" w:rsidP="2DD0953D">
            <w:pPr>
              <w:pStyle w:val="TableText"/>
            </w:pPr>
            <w:r>
              <w:t>6</w:t>
            </w:r>
          </w:p>
        </w:tc>
        <w:tc>
          <w:tcPr>
            <w:tcW w:w="1196" w:type="dxa"/>
          </w:tcPr>
          <w:p w14:paraId="3C8F8445" w14:textId="0A601738" w:rsidR="6B8A9857" w:rsidRDefault="6B8A9857" w:rsidP="2DD0953D">
            <w:pPr>
              <w:pStyle w:val="TableText"/>
            </w:pPr>
            <w:r>
              <w:t>0</w:t>
            </w:r>
          </w:p>
        </w:tc>
        <w:tc>
          <w:tcPr>
            <w:tcW w:w="1196" w:type="dxa"/>
          </w:tcPr>
          <w:p w14:paraId="7EE4BE48" w14:textId="6C3F2E02" w:rsidR="6B8A9857" w:rsidRDefault="6B8A9857" w:rsidP="2DD0953D">
            <w:pPr>
              <w:pStyle w:val="TableText"/>
            </w:pPr>
            <w:r>
              <w:t>0</w:t>
            </w:r>
          </w:p>
        </w:tc>
      </w:tr>
      <w:tr w:rsidR="009C3294" w:rsidRPr="004D626D" w14:paraId="4F36B3F3" w14:textId="77777777" w:rsidTr="005F1B0B">
        <w:trPr>
          <w:trHeight w:val="300"/>
        </w:trPr>
        <w:tc>
          <w:tcPr>
            <w:tcW w:w="1696" w:type="dxa"/>
          </w:tcPr>
          <w:p w14:paraId="5EFCDAFD" w14:textId="67EB475D" w:rsidR="009C3294" w:rsidRPr="007553B3" w:rsidRDefault="009C3294" w:rsidP="2DD0953D">
            <w:pPr>
              <w:pStyle w:val="TableText"/>
              <w:rPr>
                <w:b/>
                <w:bCs/>
              </w:rPr>
            </w:pPr>
            <w:r w:rsidRPr="007553B3">
              <w:rPr>
                <w:b/>
                <w:bCs/>
                <w:szCs w:val="18"/>
              </w:rPr>
              <w:t>Total (121)</w:t>
            </w:r>
          </w:p>
        </w:tc>
        <w:tc>
          <w:tcPr>
            <w:tcW w:w="1195" w:type="dxa"/>
          </w:tcPr>
          <w:p w14:paraId="256A1359" w14:textId="1A280F23" w:rsidR="009C3294" w:rsidRPr="007553B3" w:rsidRDefault="009C3294" w:rsidP="2DD0953D">
            <w:pPr>
              <w:pStyle w:val="TableText"/>
              <w:rPr>
                <w:b/>
                <w:bCs/>
              </w:rPr>
            </w:pPr>
            <w:r w:rsidRPr="007553B3">
              <w:rPr>
                <w:b/>
                <w:bCs/>
                <w:szCs w:val="18"/>
              </w:rPr>
              <w:t>9</w:t>
            </w:r>
          </w:p>
        </w:tc>
        <w:tc>
          <w:tcPr>
            <w:tcW w:w="1196" w:type="dxa"/>
          </w:tcPr>
          <w:p w14:paraId="71750556" w14:textId="39A2EBE3" w:rsidR="009C3294" w:rsidRPr="007553B3" w:rsidRDefault="009C3294" w:rsidP="2DD0953D">
            <w:pPr>
              <w:pStyle w:val="TableText"/>
              <w:rPr>
                <w:b/>
                <w:bCs/>
              </w:rPr>
            </w:pPr>
            <w:r w:rsidRPr="007553B3">
              <w:rPr>
                <w:b/>
                <w:bCs/>
                <w:szCs w:val="18"/>
              </w:rPr>
              <w:t>15</w:t>
            </w:r>
          </w:p>
        </w:tc>
        <w:tc>
          <w:tcPr>
            <w:tcW w:w="1195" w:type="dxa"/>
          </w:tcPr>
          <w:p w14:paraId="315AA370" w14:textId="40437F34" w:rsidR="009C3294" w:rsidRPr="007553B3" w:rsidDel="009C3294" w:rsidRDefault="009C3294" w:rsidP="2DD0953D">
            <w:pPr>
              <w:pStyle w:val="TableText"/>
              <w:rPr>
                <w:b/>
                <w:bCs/>
              </w:rPr>
            </w:pPr>
            <w:r w:rsidRPr="007553B3">
              <w:rPr>
                <w:b/>
                <w:bCs/>
                <w:szCs w:val="18"/>
              </w:rPr>
              <w:t>82</w:t>
            </w:r>
          </w:p>
        </w:tc>
        <w:tc>
          <w:tcPr>
            <w:tcW w:w="1196" w:type="dxa"/>
          </w:tcPr>
          <w:p w14:paraId="7D3CC871" w14:textId="38ACB700" w:rsidR="009C3294" w:rsidRPr="007553B3" w:rsidRDefault="009C3294" w:rsidP="2DD0953D">
            <w:pPr>
              <w:pStyle w:val="TableText"/>
              <w:rPr>
                <w:b/>
                <w:bCs/>
              </w:rPr>
            </w:pPr>
            <w:r w:rsidRPr="007553B3">
              <w:rPr>
                <w:b/>
                <w:bCs/>
                <w:szCs w:val="18"/>
              </w:rPr>
              <w:t>12</w:t>
            </w:r>
          </w:p>
        </w:tc>
        <w:tc>
          <w:tcPr>
            <w:tcW w:w="1196" w:type="dxa"/>
          </w:tcPr>
          <w:p w14:paraId="1FE27F34" w14:textId="4978BAA6" w:rsidR="009C3294" w:rsidRPr="007553B3" w:rsidRDefault="009C3294" w:rsidP="2DD0953D">
            <w:pPr>
              <w:pStyle w:val="TableText"/>
              <w:rPr>
                <w:b/>
                <w:bCs/>
              </w:rPr>
            </w:pPr>
            <w:r w:rsidRPr="007553B3">
              <w:rPr>
                <w:b/>
                <w:bCs/>
                <w:szCs w:val="18"/>
              </w:rPr>
              <w:t>3</w:t>
            </w:r>
          </w:p>
        </w:tc>
      </w:tr>
    </w:tbl>
    <w:p w14:paraId="6B167E05" w14:textId="77777777" w:rsidR="00D47BD5" w:rsidRPr="00AF656B" w:rsidRDefault="00D47BD5" w:rsidP="006D12BE"/>
    <w:p w14:paraId="0BD84EB6" w14:textId="102D3FBD" w:rsidR="006D12BE" w:rsidRPr="00AF656B" w:rsidRDefault="009C3294" w:rsidP="006D12BE">
      <w:r>
        <w:t>F</w:t>
      </w:r>
      <w:r w:rsidR="006D12BE" w:rsidRPr="00AF656B">
        <w:t xml:space="preserve">or health practitioners who are interested in providing assisted dying services and would like to </w:t>
      </w:r>
      <w:r w:rsidR="006D12BE" w:rsidRPr="00AF656B">
        <w:rPr>
          <w:bCs/>
        </w:rPr>
        <w:t xml:space="preserve">register </w:t>
      </w:r>
      <w:r>
        <w:rPr>
          <w:bCs/>
        </w:rPr>
        <w:t>on</w:t>
      </w:r>
      <w:r w:rsidR="006D12BE" w:rsidRPr="00AF656B">
        <w:rPr>
          <w:bCs/>
        </w:rPr>
        <w:t xml:space="preserve"> an assisted dying practitioner list</w:t>
      </w:r>
      <w:r>
        <w:rPr>
          <w:bCs/>
        </w:rPr>
        <w:t>, information</w:t>
      </w:r>
      <w:r w:rsidR="006D12BE" w:rsidRPr="00AF656B">
        <w:rPr>
          <w:bCs/>
        </w:rPr>
        <w:t xml:space="preserve"> is available</w:t>
      </w:r>
      <w:r>
        <w:t xml:space="preserve"> at </w:t>
      </w:r>
      <w:hyperlink r:id="rId39" w:history="1">
        <w:r w:rsidRPr="009D6A9E">
          <w:rPr>
            <w:rStyle w:val="Hyperlink"/>
          </w:rPr>
          <w:t>health.govt.nz/regulation-legislation/assisted-dying/resources-for-health-professionals/register-for-an-assisted-dying-practitioner-list</w:t>
        </w:r>
      </w:hyperlink>
      <w:r w:rsidR="004D626D" w:rsidRPr="00AF656B">
        <w:rPr>
          <w:bCs/>
        </w:rPr>
        <w:t xml:space="preserve"> on</w:t>
      </w:r>
      <w:r w:rsidR="004D626D" w:rsidRPr="00AF656B">
        <w:rPr>
          <w:b/>
        </w:rPr>
        <w:t xml:space="preserve"> </w:t>
      </w:r>
      <w:r w:rsidR="004D626D" w:rsidRPr="00243978">
        <w:t>the Ministry’s website</w:t>
      </w:r>
      <w:r w:rsidR="006D12BE" w:rsidRPr="00AF656B">
        <w:rPr>
          <w:bCs/>
        </w:rPr>
        <w:t>.</w:t>
      </w:r>
      <w:r w:rsidR="006D12BE" w:rsidRPr="00AF656B">
        <w:rPr>
          <w:b/>
        </w:rPr>
        <w:t xml:space="preserve"> </w:t>
      </w:r>
    </w:p>
    <w:p w14:paraId="11CCC66F" w14:textId="77777777" w:rsidR="006D12BE" w:rsidRPr="00AF656B" w:rsidRDefault="006D12BE" w:rsidP="00DF6D4C">
      <w:pPr>
        <w:rPr>
          <w:color w:val="000000" w:themeColor="text1"/>
          <w:lang w:val="en-GB"/>
        </w:rPr>
      </w:pPr>
    </w:p>
    <w:p w14:paraId="33F083EB" w14:textId="77777777" w:rsidR="006D12BE" w:rsidRPr="00AF656B" w:rsidRDefault="006D12BE" w:rsidP="00DF6D4C">
      <w:pPr>
        <w:rPr>
          <w:color w:val="000000" w:themeColor="text1"/>
          <w:lang w:val="en-GB"/>
        </w:rPr>
      </w:pPr>
    </w:p>
    <w:p w14:paraId="31F5846E" w14:textId="77777777" w:rsidR="006D12BE" w:rsidRPr="00AF656B" w:rsidRDefault="006D12BE" w:rsidP="00DF6D4C">
      <w:pPr>
        <w:rPr>
          <w:color w:val="000000" w:themeColor="text1"/>
          <w:lang w:val="en-GB"/>
        </w:rPr>
        <w:sectPr w:rsidR="006D12BE" w:rsidRPr="00AF656B" w:rsidSect="00DF6D4C">
          <w:pgSz w:w="11907" w:h="16834" w:code="9"/>
          <w:pgMar w:top="1418" w:right="1701" w:bottom="1134" w:left="1843" w:header="284" w:footer="425" w:gutter="284"/>
          <w:cols w:space="720"/>
        </w:sectPr>
      </w:pPr>
    </w:p>
    <w:p w14:paraId="32E64575" w14:textId="77777777" w:rsidR="006D12BE" w:rsidRPr="00AF656B" w:rsidRDefault="006D12BE" w:rsidP="006D12BE">
      <w:pPr>
        <w:pStyle w:val="Heading1"/>
        <w:spacing w:before="0"/>
      </w:pPr>
      <w:bookmarkStart w:id="91" w:name="_Toc199242536"/>
      <w:bookmarkStart w:id="92" w:name="_Toc233002292"/>
      <w:r w:rsidRPr="00AF656B">
        <w:lastRenderedPageBreak/>
        <w:t>Feedback, complaints and queries</w:t>
      </w:r>
      <w:bookmarkEnd w:id="91"/>
      <w:bookmarkEnd w:id="92"/>
    </w:p>
    <w:p w14:paraId="470356A5" w14:textId="77777777" w:rsidR="006D12BE" w:rsidRPr="00AF656B" w:rsidRDefault="006D12BE" w:rsidP="006D12BE">
      <w:pPr>
        <w:pStyle w:val="Heading2"/>
      </w:pPr>
      <w:bookmarkStart w:id="93" w:name="_Toc170220993"/>
      <w:bookmarkStart w:id="94" w:name="_Toc199242537"/>
      <w:bookmarkStart w:id="95" w:name="_Toc233002293"/>
      <w:bookmarkStart w:id="96" w:name="_Hlk167870088"/>
      <w:r w:rsidRPr="00AF656B">
        <w:t>Feedback</w:t>
      </w:r>
      <w:bookmarkEnd w:id="93"/>
      <w:bookmarkEnd w:id="94"/>
      <w:bookmarkEnd w:id="95"/>
    </w:p>
    <w:bookmarkEnd w:id="96"/>
    <w:p w14:paraId="47CFE070" w14:textId="31D61DC7" w:rsidR="00CC0E21" w:rsidRPr="00AF656B" w:rsidRDefault="006D12BE" w:rsidP="00CC0E21">
      <w:pPr>
        <w:rPr>
          <w:rFonts w:cs="Segoe UI"/>
        </w:rPr>
      </w:pPr>
      <w:r w:rsidRPr="00AF656B">
        <w:rPr>
          <w:rFonts w:cs="Segoe UI"/>
        </w:rPr>
        <w:t>Feedback is critical to improving the quality, safety and equity of assisted dying services</w:t>
      </w:r>
      <w:r w:rsidR="00CB62F1">
        <w:rPr>
          <w:rFonts w:cs="Segoe UI"/>
        </w:rPr>
        <w:t>. T</w:t>
      </w:r>
      <w:r w:rsidR="00CC0E21" w:rsidRPr="00AF656B">
        <w:rPr>
          <w:rFonts w:cs="Segoe UI"/>
        </w:rPr>
        <w:t>he Ministry remains committed to receiving feedback to support these improvements.</w:t>
      </w:r>
    </w:p>
    <w:p w14:paraId="6F01A8D7" w14:textId="0CE20B26" w:rsidR="006D12BE" w:rsidRPr="00AF656B" w:rsidRDefault="006D12BE" w:rsidP="006D12BE">
      <w:pPr>
        <w:rPr>
          <w:rFonts w:cs="Segoe UI"/>
        </w:rPr>
      </w:pPr>
    </w:p>
    <w:p w14:paraId="1117242E" w14:textId="29DAA53B" w:rsidR="006D12BE" w:rsidRDefault="006D12BE" w:rsidP="006D12BE">
      <w:pPr>
        <w:rPr>
          <w:rFonts w:cs="Segoe UI"/>
        </w:rPr>
      </w:pPr>
      <w:r w:rsidRPr="00AF656B">
        <w:t xml:space="preserve">We </w:t>
      </w:r>
      <w:r w:rsidR="00CA2302">
        <w:t xml:space="preserve">actively </w:t>
      </w:r>
      <w:r w:rsidRPr="00AF656B">
        <w:t>encourage individuals and their families</w:t>
      </w:r>
      <w:r w:rsidR="00CB62F1">
        <w:t xml:space="preserve"> and </w:t>
      </w:r>
      <w:r w:rsidRPr="00AF656B">
        <w:t xml:space="preserve">whānau to </w:t>
      </w:r>
      <w:r w:rsidR="00EE3D07" w:rsidRPr="00AF656B">
        <w:t>share</w:t>
      </w:r>
      <w:r w:rsidRPr="00AF656B">
        <w:t xml:space="preserve"> their experience with the assisted dying service</w:t>
      </w:r>
      <w:r w:rsidR="004771DD">
        <w:t xml:space="preserve"> across a number of formats</w:t>
      </w:r>
      <w:r w:rsidR="0087305B">
        <w:t xml:space="preserve">. </w:t>
      </w:r>
      <w:r w:rsidR="00CB62F1">
        <w:t>For m</w:t>
      </w:r>
      <w:r w:rsidRPr="00AF656B">
        <w:rPr>
          <w:rFonts w:cs="Segoe UI"/>
        </w:rPr>
        <w:t xml:space="preserve">ore information about how to </w:t>
      </w:r>
      <w:r w:rsidRPr="00AF656B">
        <w:rPr>
          <w:rFonts w:cs="Segoe UI"/>
          <w:bCs/>
        </w:rPr>
        <w:t>give feedback and how to make a complaint about assisted dying services</w:t>
      </w:r>
      <w:r w:rsidR="00CB62F1">
        <w:rPr>
          <w:rFonts w:cs="Segoe UI"/>
        </w:rPr>
        <w:t xml:space="preserve">, </w:t>
      </w:r>
      <w:r w:rsidR="00726639">
        <w:rPr>
          <w:rFonts w:cs="Segoe UI"/>
        </w:rPr>
        <w:t>visit</w:t>
      </w:r>
      <w:r w:rsidR="00CB62F1">
        <w:rPr>
          <w:rFonts w:cs="Segoe UI"/>
        </w:rPr>
        <w:t xml:space="preserve"> </w:t>
      </w:r>
      <w:hyperlink r:id="rId40" w:history="1">
        <w:r w:rsidR="00CB62F1" w:rsidRPr="009D6A9E">
          <w:rPr>
            <w:rStyle w:val="Hyperlink"/>
            <w:rFonts w:cs="Segoe UI"/>
          </w:rPr>
          <w:t>health.govt.nz/regulation-legislation/assisted-dying/give-feedback-or-make-a-complaint</w:t>
        </w:r>
      </w:hyperlink>
      <w:r w:rsidR="00CB62F1">
        <w:rPr>
          <w:rFonts w:cs="Segoe UI"/>
        </w:rPr>
        <w:t xml:space="preserve"> o</w:t>
      </w:r>
      <w:r w:rsidR="00CB62F1" w:rsidRPr="0027030F">
        <w:t>n</w:t>
      </w:r>
      <w:r w:rsidRPr="0027030F">
        <w:t xml:space="preserve"> </w:t>
      </w:r>
      <w:r w:rsidR="0027030F" w:rsidRPr="001F04FC">
        <w:t>the Ministry’s website</w:t>
      </w:r>
      <w:r w:rsidRPr="0027030F">
        <w:t>.</w:t>
      </w:r>
      <w:r w:rsidRPr="00AF656B">
        <w:rPr>
          <w:rFonts w:cs="Segoe UI"/>
        </w:rPr>
        <w:t xml:space="preserve"> </w:t>
      </w:r>
    </w:p>
    <w:p w14:paraId="6DADCBFE" w14:textId="77777777" w:rsidR="0087305B" w:rsidRDefault="0087305B" w:rsidP="006D12BE">
      <w:pPr>
        <w:rPr>
          <w:rFonts w:cs="Segoe UI"/>
        </w:rPr>
      </w:pPr>
    </w:p>
    <w:p w14:paraId="3AD818B9" w14:textId="0868A668" w:rsidR="0087305B" w:rsidRPr="00AF656B" w:rsidRDefault="0087305B" w:rsidP="0087305B">
      <w:pPr>
        <w:rPr>
          <w:rFonts w:cs="Segoe UI"/>
        </w:rPr>
      </w:pPr>
      <w:r w:rsidRPr="00AF656B">
        <w:rPr>
          <w:rFonts w:cs="Segoe UI"/>
        </w:rPr>
        <w:t>We are aware of the sensitive nature of this topic</w:t>
      </w:r>
      <w:r w:rsidR="0027030F">
        <w:rPr>
          <w:rFonts w:cs="Segoe UI"/>
        </w:rPr>
        <w:t>. For this reason,</w:t>
      </w:r>
      <w:r w:rsidRPr="00AF656B">
        <w:rPr>
          <w:rFonts w:cs="Segoe UI"/>
        </w:rPr>
        <w:t xml:space="preserve"> upholding the emotional wellbeing and the privacy of anyone who shares their feedback is a priority. </w:t>
      </w:r>
    </w:p>
    <w:p w14:paraId="3FD3BA93" w14:textId="77777777" w:rsidR="006D12BE" w:rsidRPr="00AF656B" w:rsidRDefault="006D12BE" w:rsidP="006D12BE">
      <w:pPr>
        <w:pStyle w:val="Heading2"/>
      </w:pPr>
      <w:bookmarkStart w:id="97" w:name="_Toc170220994"/>
      <w:bookmarkStart w:id="98" w:name="_Toc199242538"/>
      <w:bookmarkStart w:id="99" w:name="_Toc233002294"/>
      <w:r w:rsidRPr="00AF656B">
        <w:t>Complaints</w:t>
      </w:r>
      <w:bookmarkEnd w:id="97"/>
      <w:bookmarkEnd w:id="98"/>
      <w:bookmarkEnd w:id="99"/>
    </w:p>
    <w:p w14:paraId="38A96648" w14:textId="1B46D2A2" w:rsidR="006D12BE" w:rsidRPr="00AF656B" w:rsidRDefault="006D12BE" w:rsidP="006D12BE">
      <w:pPr>
        <w:rPr>
          <w:rFonts w:cs="Segoe UI"/>
        </w:rPr>
      </w:pPr>
      <w:r w:rsidRPr="00AF656B">
        <w:t xml:space="preserve">The Registrar and the Secretariat keep a central record of all complaints </w:t>
      </w:r>
      <w:r w:rsidR="001F04FC">
        <w:t>related to</w:t>
      </w:r>
      <w:r w:rsidR="00D836B7">
        <w:t xml:space="preserve"> </w:t>
      </w:r>
      <w:r w:rsidRPr="00AF656B">
        <w:t xml:space="preserve">the Act. </w:t>
      </w:r>
      <w:r w:rsidRPr="00AF656B">
        <w:rPr>
          <w:rFonts w:cs="Segoe UI"/>
        </w:rPr>
        <w:t xml:space="preserve">The Registrar also receives details of complaints about the </w:t>
      </w:r>
      <w:r w:rsidR="0027030F">
        <w:rPr>
          <w:rFonts w:cs="Segoe UI"/>
        </w:rPr>
        <w:t>s</w:t>
      </w:r>
      <w:r w:rsidRPr="00AF656B">
        <w:rPr>
          <w:rFonts w:cs="Segoe UI"/>
        </w:rPr>
        <w:t>ervice made to the HDC, authorities such as professional bodies and councils</w:t>
      </w:r>
      <w:r w:rsidR="0027030F">
        <w:rPr>
          <w:rFonts w:cs="Segoe UI"/>
        </w:rPr>
        <w:t>,</w:t>
      </w:r>
      <w:r w:rsidRPr="00AF656B">
        <w:rPr>
          <w:rFonts w:cs="Segoe UI"/>
        </w:rPr>
        <w:t xml:space="preserve"> and the New Zealand Police under section 28 of the Act. Health New Zealand notifies the Registrar of operational complaints. </w:t>
      </w:r>
    </w:p>
    <w:p w14:paraId="55C59991" w14:textId="77777777" w:rsidR="006D12BE" w:rsidRPr="00AF656B" w:rsidRDefault="006D12BE" w:rsidP="006D12BE">
      <w:pPr>
        <w:rPr>
          <w:rFonts w:cs="Segoe UI"/>
        </w:rPr>
      </w:pPr>
    </w:p>
    <w:p w14:paraId="18A13F79" w14:textId="10134C23" w:rsidR="006D12BE" w:rsidRPr="00AF656B" w:rsidRDefault="006D12BE" w:rsidP="006D12BE">
      <w:pPr>
        <w:rPr>
          <w:rFonts w:cs="Segoe UI"/>
        </w:rPr>
      </w:pPr>
      <w:r w:rsidRPr="00AF656B">
        <w:rPr>
          <w:rFonts w:cs="Segoe UI"/>
        </w:rPr>
        <w:t>The Nursing Council of New Zealand</w:t>
      </w:r>
      <w:r w:rsidR="00505FA5" w:rsidRPr="00AF656B">
        <w:rPr>
          <w:rFonts w:cs="Segoe UI"/>
        </w:rPr>
        <w:t>, the Medical Council of New Zealand</w:t>
      </w:r>
      <w:r w:rsidRPr="00AF656B">
        <w:rPr>
          <w:rFonts w:cs="Segoe UI"/>
        </w:rPr>
        <w:t xml:space="preserve"> and the New Zealand Police did not receive any complaints in relation to assisted dying services under the Act during the </w:t>
      </w:r>
      <w:r w:rsidR="0027030F">
        <w:rPr>
          <w:rFonts w:cs="Segoe UI"/>
        </w:rPr>
        <w:t xml:space="preserve">current </w:t>
      </w:r>
      <w:r w:rsidRPr="00AF656B">
        <w:rPr>
          <w:rFonts w:cs="Segoe UI"/>
        </w:rPr>
        <w:t xml:space="preserve">reporting period. </w:t>
      </w:r>
    </w:p>
    <w:p w14:paraId="27A1540A" w14:textId="7321CF15" w:rsidR="006D12BE" w:rsidRPr="00AF656B" w:rsidRDefault="006D12BE" w:rsidP="006D12BE">
      <w:pPr>
        <w:rPr>
          <w:rFonts w:cs="Segoe UI"/>
        </w:rPr>
      </w:pPr>
    </w:p>
    <w:p w14:paraId="21655B06" w14:textId="4D4CC672" w:rsidR="006D12BE" w:rsidRPr="00AF656B" w:rsidRDefault="006D12BE" w:rsidP="006D12BE">
      <w:r w:rsidRPr="00AF656B">
        <w:rPr>
          <w:rFonts w:cs="Segoe UI"/>
        </w:rPr>
        <w:t xml:space="preserve">The tables </w:t>
      </w:r>
      <w:r w:rsidR="00D67099">
        <w:rPr>
          <w:rFonts w:cs="Segoe UI"/>
        </w:rPr>
        <w:t>that follow</w:t>
      </w:r>
      <w:r w:rsidR="00D67099" w:rsidRPr="00AF656B">
        <w:rPr>
          <w:rFonts w:cs="Segoe UI"/>
        </w:rPr>
        <w:t xml:space="preserve"> </w:t>
      </w:r>
      <w:r w:rsidRPr="00AF656B">
        <w:rPr>
          <w:rFonts w:cs="Segoe UI"/>
        </w:rPr>
        <w:t xml:space="preserve">contain a summary of all complaints </w:t>
      </w:r>
      <w:r w:rsidR="0027030F">
        <w:rPr>
          <w:rFonts w:cs="Segoe UI"/>
        </w:rPr>
        <w:t>that</w:t>
      </w:r>
      <w:r w:rsidRPr="00AF656B">
        <w:rPr>
          <w:rFonts w:cs="Segoe UI"/>
        </w:rPr>
        <w:t xml:space="preserve"> the Registrar and the Secretariat within the Ministry of Health (</w:t>
      </w:r>
      <w:r w:rsidR="00067755">
        <w:rPr>
          <w:rFonts w:cs="Segoe UI"/>
        </w:rPr>
        <w:t>Table 6</w:t>
      </w:r>
      <w:r w:rsidRPr="00AF656B">
        <w:rPr>
          <w:rFonts w:cs="Segoe UI"/>
        </w:rPr>
        <w:t>)</w:t>
      </w:r>
      <w:r w:rsidR="00505FA5" w:rsidRPr="00AF656B">
        <w:rPr>
          <w:rFonts w:cs="Segoe UI"/>
        </w:rPr>
        <w:t xml:space="preserve"> and </w:t>
      </w:r>
      <w:r w:rsidRPr="00AF656B">
        <w:rPr>
          <w:rFonts w:cs="Segoe UI"/>
        </w:rPr>
        <w:t>the HDC (</w:t>
      </w:r>
      <w:r w:rsidR="00067755">
        <w:rPr>
          <w:rFonts w:cs="Segoe UI"/>
        </w:rPr>
        <w:t>Table 7</w:t>
      </w:r>
      <w:r w:rsidRPr="00AF656B">
        <w:rPr>
          <w:rFonts w:cs="Segoe UI"/>
        </w:rPr>
        <w:t xml:space="preserve">) </w:t>
      </w:r>
      <w:r w:rsidR="0027030F" w:rsidRPr="00AF656B">
        <w:rPr>
          <w:rFonts w:cs="Segoe UI"/>
        </w:rPr>
        <w:t xml:space="preserve">received </w:t>
      </w:r>
      <w:r w:rsidRPr="00AF656B">
        <w:t>between 1 April 202</w:t>
      </w:r>
      <w:r w:rsidR="00505FA5" w:rsidRPr="00AF656B">
        <w:t>5</w:t>
      </w:r>
      <w:r w:rsidRPr="00AF656B">
        <w:t xml:space="preserve"> and 31 March 202</w:t>
      </w:r>
      <w:r w:rsidR="00505FA5" w:rsidRPr="00AF656B">
        <w:t>6</w:t>
      </w:r>
      <w:r w:rsidRPr="00AF656B">
        <w:t xml:space="preserve">. </w:t>
      </w:r>
    </w:p>
    <w:p w14:paraId="08298F8F" w14:textId="77777777" w:rsidR="006D12BE" w:rsidRPr="00AF656B" w:rsidRDefault="006D12BE" w:rsidP="006D12BE">
      <w:pPr>
        <w:sectPr w:rsidR="006D12BE" w:rsidRPr="00AF656B" w:rsidSect="00DF6D4C">
          <w:pgSz w:w="11907" w:h="16834" w:code="9"/>
          <w:pgMar w:top="1418" w:right="1701" w:bottom="1134" w:left="1843" w:header="284" w:footer="425" w:gutter="284"/>
          <w:cols w:space="720"/>
        </w:sectPr>
      </w:pPr>
    </w:p>
    <w:p w14:paraId="4245DFD7" w14:textId="58C21922" w:rsidR="006D12BE" w:rsidRPr="00AF656B" w:rsidRDefault="006D12BE" w:rsidP="006D12BE">
      <w:pPr>
        <w:pStyle w:val="Table"/>
        <w:spacing w:before="0"/>
        <w:rPr>
          <w:rFonts w:cstheme="minorHAnsi"/>
          <w:color w:val="FFFFFF" w:themeColor="background1"/>
        </w:rPr>
      </w:pPr>
      <w:bookmarkStart w:id="100" w:name="_Ref201743074"/>
      <w:bookmarkStart w:id="101" w:name="_Toc233002306"/>
      <w:r w:rsidRPr="00AF656B">
        <w:lastRenderedPageBreak/>
        <w:t xml:space="preserve">Table </w:t>
      </w:r>
      <w:fldSimple w:instr=" SEQ Table \* ARABIC ">
        <w:r w:rsidR="007527A2" w:rsidRPr="00AF656B">
          <w:rPr>
            <w:noProof/>
          </w:rPr>
          <w:t>6</w:t>
        </w:r>
      </w:fldSimple>
      <w:bookmarkEnd w:id="100"/>
      <w:r w:rsidRPr="00AF656B">
        <w:t xml:space="preserve">: Complaints </w:t>
      </w:r>
      <w:r w:rsidR="0027030F">
        <w:t>that</w:t>
      </w:r>
      <w:r w:rsidRPr="00AF656B">
        <w:t xml:space="preserve"> the Ministry</w:t>
      </w:r>
      <w:r w:rsidRPr="00AF656B">
        <w:rPr>
          <w:rFonts w:cstheme="minorHAnsi"/>
        </w:rPr>
        <w:t xml:space="preserve"> of Health</w:t>
      </w:r>
      <w:r w:rsidR="0027030F">
        <w:rPr>
          <w:rFonts w:cstheme="minorHAnsi"/>
        </w:rPr>
        <w:t xml:space="preserve"> and Registrar</w:t>
      </w:r>
      <w:r w:rsidR="0027030F" w:rsidRPr="0027030F">
        <w:t xml:space="preserve"> </w:t>
      </w:r>
      <w:r w:rsidR="0027030F" w:rsidRPr="00AF656B">
        <w:t>received</w:t>
      </w:r>
      <w:r w:rsidR="0027030F">
        <w:t xml:space="preserve"> about assisted dying services and actions taken</w:t>
      </w:r>
      <w:r w:rsidR="0027030F">
        <w:rPr>
          <w:rFonts w:cstheme="minorHAnsi"/>
        </w:rPr>
        <w:t>,</w:t>
      </w:r>
      <w:r w:rsidR="0027030F" w:rsidRPr="0027030F">
        <w:t xml:space="preserve"> </w:t>
      </w:r>
      <w:r w:rsidR="0027030F" w:rsidRPr="00AF656B">
        <w:t xml:space="preserve">1 April 2025 </w:t>
      </w:r>
      <w:r w:rsidR="003F5842">
        <w:t>–</w:t>
      </w:r>
      <w:r w:rsidR="0027030F" w:rsidRPr="00AF656B">
        <w:t xml:space="preserve"> 31 March 2026</w:t>
      </w:r>
      <w:bookmarkEnd w:id="101"/>
      <w:r w:rsidRPr="00AF656B">
        <w:rPr>
          <w:rFonts w:cstheme="minorHAnsi"/>
        </w:rPr>
        <w:t xml:space="preserve"> </w:t>
      </w:r>
    </w:p>
    <w:tbl>
      <w:tblPr>
        <w:tblStyle w:val="TableGrid"/>
        <w:tblW w:w="822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260"/>
        <w:gridCol w:w="1458"/>
        <w:gridCol w:w="1358"/>
        <w:gridCol w:w="1985"/>
        <w:gridCol w:w="2161"/>
      </w:tblGrid>
      <w:tr w:rsidR="00C25440" w:rsidRPr="00AF656B" w14:paraId="4921656C" w14:textId="77777777" w:rsidTr="00C25440">
        <w:trPr>
          <w:trHeight w:val="20"/>
          <w:tblHeader/>
        </w:trPr>
        <w:tc>
          <w:tcPr>
            <w:tcW w:w="1260" w:type="dxa"/>
            <w:tcBorders>
              <w:top w:val="nil"/>
              <w:left w:val="nil"/>
              <w:bottom w:val="nil"/>
              <w:right w:val="nil"/>
            </w:tcBorders>
            <w:shd w:val="clear" w:color="auto" w:fill="D9D9D9" w:themeFill="background1" w:themeFillShade="D9"/>
          </w:tcPr>
          <w:p w14:paraId="0DA918C5" w14:textId="77777777" w:rsidR="006D12BE" w:rsidRPr="00AF656B" w:rsidRDefault="006D12BE" w:rsidP="00C84F52">
            <w:pPr>
              <w:pStyle w:val="TableText"/>
              <w:rPr>
                <w:b/>
                <w:bCs/>
              </w:rPr>
            </w:pPr>
            <w:r w:rsidRPr="00AF656B">
              <w:rPr>
                <w:b/>
                <w:bCs/>
              </w:rPr>
              <w:t>Date received</w:t>
            </w:r>
          </w:p>
        </w:tc>
        <w:tc>
          <w:tcPr>
            <w:tcW w:w="1458" w:type="dxa"/>
            <w:tcBorders>
              <w:top w:val="nil"/>
              <w:left w:val="nil"/>
              <w:bottom w:val="nil"/>
              <w:right w:val="nil"/>
            </w:tcBorders>
            <w:shd w:val="clear" w:color="auto" w:fill="D9D9D9" w:themeFill="background1" w:themeFillShade="D9"/>
          </w:tcPr>
          <w:p w14:paraId="2B27F2FE" w14:textId="77777777" w:rsidR="006D12BE" w:rsidRPr="00AF656B" w:rsidRDefault="006D12BE" w:rsidP="00C84F52">
            <w:pPr>
              <w:pStyle w:val="TableText"/>
              <w:rPr>
                <w:b/>
                <w:bCs/>
              </w:rPr>
            </w:pPr>
            <w:r w:rsidRPr="00AF656B">
              <w:rPr>
                <w:b/>
                <w:bCs/>
              </w:rPr>
              <w:t>Complainant</w:t>
            </w:r>
          </w:p>
        </w:tc>
        <w:tc>
          <w:tcPr>
            <w:tcW w:w="1358" w:type="dxa"/>
            <w:tcBorders>
              <w:top w:val="nil"/>
              <w:left w:val="nil"/>
              <w:bottom w:val="nil"/>
              <w:right w:val="nil"/>
            </w:tcBorders>
            <w:shd w:val="clear" w:color="auto" w:fill="D9D9D9" w:themeFill="background1" w:themeFillShade="D9"/>
          </w:tcPr>
          <w:p w14:paraId="36A1C14E" w14:textId="77777777" w:rsidR="006D12BE" w:rsidRPr="00AF656B" w:rsidRDefault="006D12BE" w:rsidP="00C84F52">
            <w:pPr>
              <w:pStyle w:val="TableText"/>
              <w:rPr>
                <w:b/>
                <w:bCs/>
              </w:rPr>
            </w:pPr>
            <w:r w:rsidRPr="00AF656B">
              <w:rPr>
                <w:b/>
                <w:bCs/>
              </w:rPr>
              <w:t xml:space="preserve">Referred by another agency? </w:t>
            </w:r>
          </w:p>
        </w:tc>
        <w:tc>
          <w:tcPr>
            <w:tcW w:w="1985" w:type="dxa"/>
            <w:tcBorders>
              <w:top w:val="nil"/>
              <w:left w:val="nil"/>
              <w:bottom w:val="nil"/>
              <w:right w:val="nil"/>
            </w:tcBorders>
            <w:shd w:val="clear" w:color="auto" w:fill="D9D9D9" w:themeFill="background1" w:themeFillShade="D9"/>
          </w:tcPr>
          <w:p w14:paraId="7681AEAA" w14:textId="77777777" w:rsidR="006D12BE" w:rsidRPr="00AF656B" w:rsidRDefault="006D12BE" w:rsidP="00C84F52">
            <w:pPr>
              <w:pStyle w:val="TableText"/>
              <w:rPr>
                <w:b/>
                <w:bCs/>
              </w:rPr>
            </w:pPr>
            <w:r w:rsidRPr="00AF656B">
              <w:rPr>
                <w:b/>
                <w:bCs/>
              </w:rPr>
              <w:t>Description of complaint</w:t>
            </w:r>
          </w:p>
        </w:tc>
        <w:tc>
          <w:tcPr>
            <w:tcW w:w="2161" w:type="dxa"/>
            <w:tcBorders>
              <w:top w:val="nil"/>
              <w:left w:val="nil"/>
              <w:bottom w:val="nil"/>
              <w:right w:val="nil"/>
            </w:tcBorders>
            <w:shd w:val="clear" w:color="auto" w:fill="D9D9D9" w:themeFill="background1" w:themeFillShade="D9"/>
          </w:tcPr>
          <w:p w14:paraId="6816AE16" w14:textId="77777777" w:rsidR="006D12BE" w:rsidRPr="00AF656B" w:rsidRDefault="006D12BE" w:rsidP="00C84F52">
            <w:pPr>
              <w:pStyle w:val="TableText"/>
              <w:rPr>
                <w:b/>
                <w:bCs/>
              </w:rPr>
            </w:pPr>
            <w:r w:rsidRPr="00AF656B">
              <w:rPr>
                <w:b/>
                <w:bCs/>
              </w:rPr>
              <w:t>Action(s) taken</w:t>
            </w:r>
          </w:p>
        </w:tc>
      </w:tr>
      <w:tr w:rsidR="00C25440" w:rsidRPr="00AF656B" w14:paraId="66BB23F7" w14:textId="77777777" w:rsidTr="005F1B0B">
        <w:trPr>
          <w:trHeight w:val="20"/>
        </w:trPr>
        <w:tc>
          <w:tcPr>
            <w:tcW w:w="1260" w:type="dxa"/>
            <w:tcBorders>
              <w:top w:val="nil"/>
              <w:left w:val="nil"/>
              <w:bottom w:val="single" w:sz="4" w:space="0" w:color="A6A6A6" w:themeColor="background1" w:themeShade="A6"/>
              <w:right w:val="nil"/>
            </w:tcBorders>
          </w:tcPr>
          <w:p w14:paraId="213CBB80" w14:textId="689384F5" w:rsidR="006D12BE" w:rsidRPr="005F1B0B" w:rsidRDefault="006D12BE" w:rsidP="005F1B0B">
            <w:pPr>
              <w:pStyle w:val="TableText"/>
            </w:pPr>
            <w:r w:rsidRPr="005F1B0B">
              <w:t>April 202</w:t>
            </w:r>
            <w:r w:rsidR="00482408" w:rsidRPr="005F1B0B">
              <w:t>5</w:t>
            </w:r>
          </w:p>
        </w:tc>
        <w:tc>
          <w:tcPr>
            <w:tcW w:w="1458" w:type="dxa"/>
            <w:tcBorders>
              <w:top w:val="nil"/>
              <w:left w:val="nil"/>
              <w:bottom w:val="single" w:sz="4" w:space="0" w:color="A6A6A6" w:themeColor="background1" w:themeShade="A6"/>
              <w:right w:val="nil"/>
            </w:tcBorders>
          </w:tcPr>
          <w:p w14:paraId="31F1DA1E" w14:textId="40D229B2" w:rsidR="006D12BE" w:rsidRPr="005F1B0B" w:rsidRDefault="00482408" w:rsidP="005F1B0B">
            <w:pPr>
              <w:pStyle w:val="TableText"/>
            </w:pPr>
            <w:r w:rsidRPr="005F1B0B">
              <w:t xml:space="preserve">Facility </w:t>
            </w:r>
          </w:p>
        </w:tc>
        <w:tc>
          <w:tcPr>
            <w:tcW w:w="1358" w:type="dxa"/>
            <w:tcBorders>
              <w:top w:val="nil"/>
              <w:left w:val="nil"/>
              <w:bottom w:val="single" w:sz="4" w:space="0" w:color="A6A6A6" w:themeColor="background1" w:themeShade="A6"/>
              <w:right w:val="nil"/>
            </w:tcBorders>
          </w:tcPr>
          <w:p w14:paraId="264988B7" w14:textId="1B4FB5A4" w:rsidR="006D12BE" w:rsidRPr="005F1B0B" w:rsidRDefault="00482408" w:rsidP="005F1B0B">
            <w:pPr>
              <w:pStyle w:val="TableText"/>
            </w:pPr>
            <w:r w:rsidRPr="005F1B0B">
              <w:t>No</w:t>
            </w:r>
            <w:r w:rsidR="006D12BE" w:rsidRPr="005F1B0B">
              <w:t xml:space="preserve"> </w:t>
            </w:r>
          </w:p>
        </w:tc>
        <w:tc>
          <w:tcPr>
            <w:tcW w:w="1985" w:type="dxa"/>
            <w:tcBorders>
              <w:top w:val="nil"/>
              <w:left w:val="nil"/>
              <w:bottom w:val="single" w:sz="4" w:space="0" w:color="A6A6A6" w:themeColor="background1" w:themeShade="A6"/>
              <w:right w:val="nil"/>
            </w:tcBorders>
          </w:tcPr>
          <w:p w14:paraId="6E0EA9D2" w14:textId="1418F435" w:rsidR="006D12BE" w:rsidRPr="005F1B0B" w:rsidRDefault="006E3DCB" w:rsidP="005F1B0B">
            <w:pPr>
              <w:pStyle w:val="TableText"/>
            </w:pPr>
            <w:r w:rsidRPr="005F1B0B">
              <w:t>Concerns about the competence of a person having an assisted death within the facility</w:t>
            </w:r>
          </w:p>
        </w:tc>
        <w:tc>
          <w:tcPr>
            <w:tcW w:w="2161" w:type="dxa"/>
            <w:tcBorders>
              <w:top w:val="nil"/>
              <w:left w:val="nil"/>
              <w:bottom w:val="single" w:sz="4" w:space="0" w:color="A6A6A6" w:themeColor="background1" w:themeShade="A6"/>
              <w:right w:val="nil"/>
            </w:tcBorders>
          </w:tcPr>
          <w:p w14:paraId="4395D938" w14:textId="7C678C5C" w:rsidR="006D12BE" w:rsidRPr="005F1B0B" w:rsidRDefault="0027030F" w:rsidP="005F1B0B">
            <w:pPr>
              <w:pStyle w:val="TableText"/>
            </w:pPr>
            <w:r w:rsidRPr="005F1B0B">
              <w:t>Registrar reviewed a</w:t>
            </w:r>
            <w:r w:rsidR="008A6C5A" w:rsidRPr="005F1B0B">
              <w:t xml:space="preserve">pplication </w:t>
            </w:r>
            <w:r w:rsidRPr="005F1B0B">
              <w:t xml:space="preserve">and confirmed </w:t>
            </w:r>
            <w:r w:rsidR="00C65BF5" w:rsidRPr="005F1B0B">
              <w:t>compliance with the Act</w:t>
            </w:r>
            <w:r w:rsidRPr="005F1B0B">
              <w:t>; c</w:t>
            </w:r>
            <w:r w:rsidR="00D22B08" w:rsidRPr="005F1B0B">
              <w:t>omplaint closed</w:t>
            </w:r>
          </w:p>
        </w:tc>
      </w:tr>
      <w:tr w:rsidR="00C25440" w:rsidRPr="00AF656B" w14:paraId="6D17D319" w14:textId="77777777" w:rsidTr="005F1B0B">
        <w:trPr>
          <w:trHeight w:val="20"/>
        </w:trPr>
        <w:tc>
          <w:tcPr>
            <w:tcW w:w="1260" w:type="dxa"/>
            <w:tcBorders>
              <w:top w:val="single" w:sz="4" w:space="0" w:color="A6A6A6" w:themeColor="background1" w:themeShade="A6"/>
              <w:left w:val="nil"/>
              <w:bottom w:val="single" w:sz="4" w:space="0" w:color="A6A6A6" w:themeColor="background1" w:themeShade="A6"/>
              <w:right w:val="nil"/>
            </w:tcBorders>
          </w:tcPr>
          <w:p w14:paraId="345FA6C7" w14:textId="0E2B7774" w:rsidR="006D12BE" w:rsidRPr="005F1B0B" w:rsidRDefault="006E3DCB" w:rsidP="005F1B0B">
            <w:pPr>
              <w:pStyle w:val="TableText"/>
            </w:pPr>
            <w:r w:rsidRPr="005F1B0B">
              <w:t>November 2025</w:t>
            </w:r>
          </w:p>
        </w:tc>
        <w:tc>
          <w:tcPr>
            <w:tcW w:w="1458" w:type="dxa"/>
            <w:tcBorders>
              <w:top w:val="single" w:sz="4" w:space="0" w:color="A6A6A6" w:themeColor="background1" w:themeShade="A6"/>
              <w:left w:val="nil"/>
              <w:bottom w:val="single" w:sz="4" w:space="0" w:color="A6A6A6" w:themeColor="background1" w:themeShade="A6"/>
              <w:right w:val="nil"/>
            </w:tcBorders>
          </w:tcPr>
          <w:p w14:paraId="548DF749" w14:textId="22AD6305" w:rsidR="006D12BE" w:rsidRPr="005F1B0B" w:rsidRDefault="006E3DCB" w:rsidP="005F1B0B">
            <w:pPr>
              <w:pStyle w:val="TableText"/>
            </w:pPr>
            <w:r w:rsidRPr="005F1B0B">
              <w:t xml:space="preserve">The </w:t>
            </w:r>
            <w:proofErr w:type="gramStart"/>
            <w:r w:rsidRPr="005F1B0B">
              <w:t>End of Life</w:t>
            </w:r>
            <w:proofErr w:type="gramEnd"/>
            <w:r w:rsidRPr="005F1B0B">
              <w:t xml:space="preserve"> Choice Review Committee </w:t>
            </w:r>
            <w:r w:rsidR="00E41FE1" w:rsidRPr="005F1B0B">
              <w:t>(the Committee)</w:t>
            </w:r>
          </w:p>
        </w:tc>
        <w:tc>
          <w:tcPr>
            <w:tcW w:w="1358" w:type="dxa"/>
            <w:tcBorders>
              <w:top w:val="single" w:sz="4" w:space="0" w:color="A6A6A6" w:themeColor="background1" w:themeShade="A6"/>
              <w:left w:val="nil"/>
              <w:bottom w:val="single" w:sz="4" w:space="0" w:color="A6A6A6" w:themeColor="background1" w:themeShade="A6"/>
              <w:right w:val="nil"/>
            </w:tcBorders>
          </w:tcPr>
          <w:p w14:paraId="655480F0" w14:textId="77777777" w:rsidR="006D12BE" w:rsidRPr="005F1B0B" w:rsidRDefault="006D12BE" w:rsidP="005F1B0B">
            <w:pPr>
              <w:pStyle w:val="TableText"/>
            </w:pPr>
            <w:r w:rsidRPr="005F1B0B">
              <w:t>No</w:t>
            </w:r>
          </w:p>
        </w:tc>
        <w:tc>
          <w:tcPr>
            <w:tcW w:w="1985" w:type="dxa"/>
            <w:tcBorders>
              <w:top w:val="single" w:sz="4" w:space="0" w:color="A6A6A6" w:themeColor="background1" w:themeShade="A6"/>
              <w:left w:val="nil"/>
              <w:bottom w:val="single" w:sz="4" w:space="0" w:color="A6A6A6" w:themeColor="background1" w:themeShade="A6"/>
              <w:right w:val="nil"/>
            </w:tcBorders>
          </w:tcPr>
          <w:p w14:paraId="75E353B9" w14:textId="30158812" w:rsidR="006D12BE" w:rsidRPr="005F1B0B" w:rsidRDefault="0027030F" w:rsidP="005F1B0B">
            <w:pPr>
              <w:pStyle w:val="TableText"/>
            </w:pPr>
            <w:r w:rsidRPr="005F1B0B">
              <w:t>C</w:t>
            </w:r>
            <w:r w:rsidR="00E41FE1" w:rsidRPr="005F1B0B">
              <w:t xml:space="preserve">oncerns </w:t>
            </w:r>
            <w:r w:rsidRPr="005F1B0B">
              <w:t>that an assisted dying practitioner had provided</w:t>
            </w:r>
            <w:r w:rsidR="0058638A" w:rsidRPr="005F1B0B">
              <w:t xml:space="preserve"> </w:t>
            </w:r>
            <w:r w:rsidR="00E41FE1" w:rsidRPr="005F1B0B">
              <w:t>incomplete</w:t>
            </w:r>
            <w:r w:rsidRPr="005F1B0B">
              <w:t xml:space="preserve"> </w:t>
            </w:r>
            <w:r w:rsidR="00E41FE1" w:rsidRPr="005F1B0B">
              <w:t>death report forms</w:t>
            </w:r>
            <w:r w:rsidR="001F04FC" w:rsidRPr="005F1B0B">
              <w:t xml:space="preserve">. </w:t>
            </w:r>
          </w:p>
        </w:tc>
        <w:tc>
          <w:tcPr>
            <w:tcW w:w="2161" w:type="dxa"/>
            <w:tcBorders>
              <w:top w:val="single" w:sz="4" w:space="0" w:color="A6A6A6" w:themeColor="background1" w:themeShade="A6"/>
              <w:left w:val="nil"/>
              <w:bottom w:val="single" w:sz="4" w:space="0" w:color="A6A6A6" w:themeColor="background1" w:themeShade="A6"/>
              <w:right w:val="nil"/>
            </w:tcBorders>
          </w:tcPr>
          <w:p w14:paraId="69AB563A" w14:textId="31D377B9" w:rsidR="006D12BE" w:rsidRPr="005F1B0B" w:rsidRDefault="00EA3F03" w:rsidP="005F1B0B">
            <w:pPr>
              <w:pStyle w:val="TableText"/>
            </w:pPr>
            <w:r w:rsidRPr="005F1B0B">
              <w:t>Registrar spoke with the practitioner</w:t>
            </w:r>
            <w:r w:rsidR="0027030F" w:rsidRPr="005F1B0B">
              <w:t xml:space="preserve"> and</w:t>
            </w:r>
            <w:r w:rsidRPr="005F1B0B">
              <w:t xml:space="preserve"> reminded </w:t>
            </w:r>
            <w:r w:rsidR="0027030F" w:rsidRPr="005F1B0B">
              <w:t xml:space="preserve">them </w:t>
            </w:r>
            <w:r w:rsidRPr="005F1B0B">
              <w:t xml:space="preserve">of their obligations under the Act and </w:t>
            </w:r>
            <w:r w:rsidR="0027030F" w:rsidRPr="005F1B0B">
              <w:t>the prac</w:t>
            </w:r>
            <w:r w:rsidR="000E0CDB" w:rsidRPr="005F1B0B">
              <w:t>t</w:t>
            </w:r>
            <w:r w:rsidR="0027030F" w:rsidRPr="005F1B0B">
              <w:t xml:space="preserve">itioner promptly completed </w:t>
            </w:r>
            <w:r w:rsidRPr="005F1B0B">
              <w:t>the incomplete forms</w:t>
            </w:r>
            <w:r w:rsidR="0027030F" w:rsidRPr="005F1B0B">
              <w:t>;</w:t>
            </w:r>
            <w:r w:rsidRPr="005F1B0B">
              <w:t xml:space="preserve"> </w:t>
            </w:r>
            <w:r w:rsidR="0027030F" w:rsidRPr="005F1B0B">
              <w:t>c</w:t>
            </w:r>
            <w:r w:rsidRPr="005F1B0B">
              <w:t>omplaint closed</w:t>
            </w:r>
          </w:p>
        </w:tc>
      </w:tr>
    </w:tbl>
    <w:p w14:paraId="597DDB6D" w14:textId="77777777" w:rsidR="006D12BE" w:rsidRPr="00AF656B" w:rsidRDefault="006D12BE" w:rsidP="006D12BE">
      <w:pPr>
        <w:pStyle w:val="Table"/>
        <w:sectPr w:rsidR="006D12BE" w:rsidRPr="00AF656B" w:rsidSect="00C84F52">
          <w:pgSz w:w="11907" w:h="16834" w:code="9"/>
          <w:pgMar w:top="1418" w:right="1701" w:bottom="1134" w:left="1843" w:header="284" w:footer="425" w:gutter="284"/>
          <w:cols w:space="720"/>
        </w:sectPr>
      </w:pPr>
      <w:bookmarkStart w:id="102" w:name="_Toc170221001"/>
    </w:p>
    <w:p w14:paraId="2B979FA5" w14:textId="33FEBDE6" w:rsidR="006D12BE" w:rsidRPr="00AF656B" w:rsidRDefault="006D12BE" w:rsidP="006D12BE">
      <w:pPr>
        <w:pStyle w:val="Table"/>
      </w:pPr>
      <w:bookmarkStart w:id="103" w:name="_Ref201743080"/>
      <w:bookmarkStart w:id="104" w:name="_Toc233002307"/>
      <w:r w:rsidRPr="00AF656B">
        <w:lastRenderedPageBreak/>
        <w:t xml:space="preserve">Table </w:t>
      </w:r>
      <w:fldSimple w:instr=" SEQ Table \* ARABIC ">
        <w:r w:rsidR="007527A2" w:rsidRPr="00AF656B">
          <w:rPr>
            <w:noProof/>
          </w:rPr>
          <w:t>7</w:t>
        </w:r>
      </w:fldSimple>
      <w:bookmarkEnd w:id="103"/>
      <w:r w:rsidRPr="00AF656B">
        <w:t>: Complaints</w:t>
      </w:r>
      <w:r w:rsidR="0027030F">
        <w:t xml:space="preserve"> that</w:t>
      </w:r>
      <w:r w:rsidRPr="00AF656B">
        <w:t xml:space="preserve"> the Health and Disability Commissioner </w:t>
      </w:r>
      <w:r w:rsidR="0027030F">
        <w:t xml:space="preserve">received about assisted dying services and actions taken, </w:t>
      </w:r>
      <w:r w:rsidR="0027030F" w:rsidRPr="00AF656B">
        <w:t xml:space="preserve">1 April 2025 </w:t>
      </w:r>
      <w:r w:rsidR="003F5842">
        <w:t>–</w:t>
      </w:r>
      <w:r w:rsidR="0027030F" w:rsidRPr="00AF656B">
        <w:t xml:space="preserve"> 31 March 2026</w:t>
      </w:r>
      <w:bookmarkEnd w:id="104"/>
    </w:p>
    <w:tbl>
      <w:tblPr>
        <w:tblStyle w:val="TableGrid"/>
        <w:tblpPr w:leftFromText="180" w:rightFromText="180" w:vertAnchor="text" w:tblpY="1"/>
        <w:tblOverlap w:val="never"/>
        <w:tblW w:w="822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474"/>
        <w:gridCol w:w="1701"/>
        <w:gridCol w:w="2835"/>
        <w:gridCol w:w="2212"/>
      </w:tblGrid>
      <w:tr w:rsidR="006D12BE" w:rsidRPr="00AF656B" w14:paraId="54B03DBA" w14:textId="77777777" w:rsidTr="00D630B9">
        <w:trPr>
          <w:tblHeader/>
        </w:trPr>
        <w:tc>
          <w:tcPr>
            <w:tcW w:w="1474" w:type="dxa"/>
            <w:tcBorders>
              <w:top w:val="nil"/>
              <w:left w:val="nil"/>
              <w:bottom w:val="nil"/>
              <w:right w:val="nil"/>
            </w:tcBorders>
            <w:shd w:val="clear" w:color="auto" w:fill="D9D9D9" w:themeFill="background1" w:themeFillShade="D9"/>
          </w:tcPr>
          <w:p w14:paraId="72D44445" w14:textId="77777777" w:rsidR="006D12BE" w:rsidRPr="00AF656B" w:rsidRDefault="006D12BE" w:rsidP="006D12BE">
            <w:pPr>
              <w:pStyle w:val="TableText"/>
              <w:rPr>
                <w:b/>
                <w:bCs/>
              </w:rPr>
            </w:pPr>
            <w:r w:rsidRPr="00AF656B">
              <w:rPr>
                <w:b/>
                <w:bCs/>
              </w:rPr>
              <w:t>Date received</w:t>
            </w:r>
          </w:p>
        </w:tc>
        <w:tc>
          <w:tcPr>
            <w:tcW w:w="1701" w:type="dxa"/>
            <w:tcBorders>
              <w:top w:val="nil"/>
              <w:left w:val="nil"/>
              <w:bottom w:val="nil"/>
              <w:right w:val="nil"/>
            </w:tcBorders>
            <w:shd w:val="clear" w:color="auto" w:fill="D9D9D9" w:themeFill="background1" w:themeFillShade="D9"/>
          </w:tcPr>
          <w:p w14:paraId="544C0845" w14:textId="77777777" w:rsidR="006D12BE" w:rsidRPr="00AF656B" w:rsidRDefault="006D12BE" w:rsidP="006D12BE">
            <w:pPr>
              <w:pStyle w:val="TableText"/>
              <w:rPr>
                <w:b/>
                <w:bCs/>
              </w:rPr>
            </w:pPr>
            <w:r w:rsidRPr="00AF656B">
              <w:rPr>
                <w:b/>
                <w:bCs/>
              </w:rPr>
              <w:t>Referred by another agency?</w:t>
            </w:r>
          </w:p>
        </w:tc>
        <w:tc>
          <w:tcPr>
            <w:tcW w:w="2835" w:type="dxa"/>
            <w:tcBorders>
              <w:top w:val="nil"/>
              <w:left w:val="nil"/>
              <w:bottom w:val="nil"/>
              <w:right w:val="nil"/>
            </w:tcBorders>
            <w:shd w:val="clear" w:color="auto" w:fill="D9D9D9" w:themeFill="background1" w:themeFillShade="D9"/>
          </w:tcPr>
          <w:p w14:paraId="03E62CFD" w14:textId="77777777" w:rsidR="006D12BE" w:rsidRPr="00AF656B" w:rsidRDefault="006D12BE" w:rsidP="006D12BE">
            <w:pPr>
              <w:pStyle w:val="TableText"/>
              <w:rPr>
                <w:b/>
                <w:bCs/>
              </w:rPr>
            </w:pPr>
            <w:r w:rsidRPr="00AF656B">
              <w:rPr>
                <w:b/>
                <w:bCs/>
              </w:rPr>
              <w:t>Description of complaint</w:t>
            </w:r>
          </w:p>
        </w:tc>
        <w:tc>
          <w:tcPr>
            <w:tcW w:w="2212" w:type="dxa"/>
            <w:tcBorders>
              <w:top w:val="nil"/>
              <w:left w:val="nil"/>
              <w:bottom w:val="nil"/>
              <w:right w:val="nil"/>
            </w:tcBorders>
            <w:shd w:val="clear" w:color="auto" w:fill="D9D9D9" w:themeFill="background1" w:themeFillShade="D9"/>
          </w:tcPr>
          <w:p w14:paraId="3058AB4C" w14:textId="77777777" w:rsidR="006D12BE" w:rsidRPr="00AF656B" w:rsidRDefault="006D12BE" w:rsidP="006D12BE">
            <w:pPr>
              <w:pStyle w:val="TableText"/>
              <w:ind w:right="-1098"/>
              <w:rPr>
                <w:b/>
                <w:bCs/>
              </w:rPr>
            </w:pPr>
            <w:r w:rsidRPr="00AF656B">
              <w:rPr>
                <w:b/>
                <w:bCs/>
              </w:rPr>
              <w:t>Action(s) taken</w:t>
            </w:r>
          </w:p>
        </w:tc>
      </w:tr>
      <w:tr w:rsidR="00C70172" w:rsidRPr="00AF656B" w14:paraId="26544D5E" w14:textId="77777777" w:rsidTr="00D630B9">
        <w:tc>
          <w:tcPr>
            <w:tcW w:w="1474" w:type="dxa"/>
            <w:tcBorders>
              <w:top w:val="nil"/>
              <w:left w:val="nil"/>
              <w:bottom w:val="single" w:sz="4" w:space="0" w:color="A6A6A6" w:themeColor="background1" w:themeShade="A6"/>
              <w:right w:val="nil"/>
            </w:tcBorders>
          </w:tcPr>
          <w:p w14:paraId="083CEE7A" w14:textId="2B58EAAB" w:rsidR="00C70172" w:rsidRPr="00AF656B" w:rsidRDefault="00C70172" w:rsidP="00C70172">
            <w:pPr>
              <w:pStyle w:val="TableText"/>
            </w:pPr>
            <w:r w:rsidRPr="00AF656B">
              <w:t>September 2025</w:t>
            </w:r>
          </w:p>
        </w:tc>
        <w:tc>
          <w:tcPr>
            <w:tcW w:w="1701" w:type="dxa"/>
            <w:tcBorders>
              <w:top w:val="nil"/>
              <w:left w:val="nil"/>
              <w:bottom w:val="single" w:sz="4" w:space="0" w:color="A6A6A6" w:themeColor="background1" w:themeShade="A6"/>
              <w:right w:val="nil"/>
            </w:tcBorders>
          </w:tcPr>
          <w:p w14:paraId="249572FF" w14:textId="6699745E" w:rsidR="00C70172" w:rsidRPr="00AF656B" w:rsidRDefault="00C70172" w:rsidP="00C70172">
            <w:pPr>
              <w:pStyle w:val="TableText"/>
            </w:pPr>
            <w:r w:rsidRPr="00AF656B">
              <w:t>No</w:t>
            </w:r>
          </w:p>
        </w:tc>
        <w:tc>
          <w:tcPr>
            <w:tcW w:w="2835" w:type="dxa"/>
            <w:tcBorders>
              <w:top w:val="nil"/>
              <w:left w:val="nil"/>
              <w:bottom w:val="single" w:sz="4" w:space="0" w:color="A6A6A6" w:themeColor="background1" w:themeShade="A6"/>
              <w:right w:val="nil"/>
            </w:tcBorders>
          </w:tcPr>
          <w:p w14:paraId="14696EB7" w14:textId="4DD2494C" w:rsidR="00C70172" w:rsidRPr="00AF656B" w:rsidRDefault="00C70172" w:rsidP="00C70172">
            <w:pPr>
              <w:pStyle w:val="TableText"/>
              <w:rPr>
                <w:rFonts w:cs="Segoe UI"/>
                <w:szCs w:val="18"/>
              </w:rPr>
            </w:pPr>
            <w:r w:rsidRPr="00AF656B">
              <w:t>The complainant raised a range of issues around the management of a family member’s cancer diagnosis and care</w:t>
            </w:r>
            <w:r w:rsidR="009C6193">
              <w:t>, and</w:t>
            </w:r>
            <w:r w:rsidRPr="00AF656B">
              <w:t xml:space="preserve"> also noted concerns about the lack of support for bereaved families in relation to </w:t>
            </w:r>
            <w:r w:rsidR="009C6193">
              <w:t>a</w:t>
            </w:r>
            <w:r w:rsidRPr="00AF656B">
              <w:t xml:space="preserve">ssisted </w:t>
            </w:r>
            <w:r w:rsidR="009C6193">
              <w:t>d</w:t>
            </w:r>
            <w:r w:rsidRPr="00AF656B">
              <w:t>ying</w:t>
            </w:r>
          </w:p>
        </w:tc>
        <w:tc>
          <w:tcPr>
            <w:tcW w:w="2212" w:type="dxa"/>
            <w:tcBorders>
              <w:top w:val="nil"/>
              <w:left w:val="nil"/>
              <w:bottom w:val="single" w:sz="4" w:space="0" w:color="A6A6A6" w:themeColor="background1" w:themeShade="A6"/>
              <w:right w:val="nil"/>
            </w:tcBorders>
          </w:tcPr>
          <w:p w14:paraId="75F293E8" w14:textId="1752C812" w:rsidR="00C70172" w:rsidRPr="00AF656B" w:rsidRDefault="00C70172" w:rsidP="00C70172">
            <w:pPr>
              <w:pStyle w:val="TableText"/>
            </w:pPr>
            <w:r w:rsidRPr="00AF656B">
              <w:t>HDC referred the concerns raised about a gap in support for families to Health New Zealand and the Ministry of Health</w:t>
            </w:r>
          </w:p>
          <w:p w14:paraId="2BFE1D3C" w14:textId="029176A3" w:rsidR="00C70172" w:rsidRPr="00AF656B" w:rsidRDefault="00C70172" w:rsidP="00C70172">
            <w:pPr>
              <w:pStyle w:val="TableText"/>
            </w:pPr>
            <w:r w:rsidRPr="00AF656B">
              <w:t>Issues relat</w:t>
            </w:r>
            <w:r w:rsidR="009C6193">
              <w:t>ed</w:t>
            </w:r>
            <w:r w:rsidRPr="00AF656B">
              <w:t xml:space="preserve"> to cancer care were referred to the Advocacy Service to facilitate resolution</w:t>
            </w:r>
          </w:p>
          <w:p w14:paraId="76C437B7" w14:textId="22DDBF2F" w:rsidR="00C70172" w:rsidRPr="00AF656B" w:rsidRDefault="00C70172" w:rsidP="00C70172">
            <w:pPr>
              <w:pStyle w:val="TableText"/>
            </w:pPr>
            <w:r w:rsidRPr="00AF656B">
              <w:t>C</w:t>
            </w:r>
            <w:r w:rsidR="009C6193">
              <w:t>omplaint c</w:t>
            </w:r>
            <w:r w:rsidRPr="00AF656B">
              <w:t xml:space="preserve">losed – </w:t>
            </w:r>
            <w:r w:rsidR="009C6193">
              <w:t>r</w:t>
            </w:r>
            <w:r w:rsidRPr="00AF656B">
              <w:t xml:space="preserve">eferred to Advocacy Service </w:t>
            </w:r>
          </w:p>
          <w:p w14:paraId="48ACC026" w14:textId="77A5841F" w:rsidR="00C70172" w:rsidRPr="00AF656B" w:rsidRDefault="009C6193" w:rsidP="00C70172">
            <w:pPr>
              <w:pStyle w:val="TableText"/>
              <w:rPr>
                <w:rFonts w:cs="Segoe UI"/>
                <w:szCs w:val="18"/>
              </w:rPr>
            </w:pPr>
            <w:r>
              <w:t>Complaint r</w:t>
            </w:r>
            <w:r w:rsidR="00C70172" w:rsidRPr="00AF656B">
              <w:t>e-opened February 2026 (see</w:t>
            </w:r>
            <w:r w:rsidR="00C2541E">
              <w:t xml:space="preserve"> </w:t>
            </w:r>
            <w:r>
              <w:t xml:space="preserve">February 2026 </w:t>
            </w:r>
            <w:r w:rsidR="00C70172" w:rsidRPr="00AF656B">
              <w:t>below)</w:t>
            </w:r>
          </w:p>
        </w:tc>
      </w:tr>
      <w:tr w:rsidR="00C70172" w:rsidRPr="00AF656B" w14:paraId="3F1ABEE9" w14:textId="77777777" w:rsidTr="00D630B9">
        <w:tc>
          <w:tcPr>
            <w:tcW w:w="1474" w:type="dxa"/>
            <w:tcBorders>
              <w:top w:val="single" w:sz="4" w:space="0" w:color="A6A6A6" w:themeColor="background1" w:themeShade="A6"/>
              <w:left w:val="nil"/>
              <w:bottom w:val="single" w:sz="4" w:space="0" w:color="A6A6A6" w:themeColor="background1" w:themeShade="A6"/>
              <w:right w:val="nil"/>
            </w:tcBorders>
          </w:tcPr>
          <w:p w14:paraId="0B28E7A4" w14:textId="0D2F6376" w:rsidR="00C70172" w:rsidRPr="00AF656B" w:rsidRDefault="00C70172" w:rsidP="00C70172">
            <w:pPr>
              <w:pStyle w:val="TableText"/>
            </w:pPr>
            <w:r w:rsidRPr="00AF656B">
              <w:t>September 2025</w:t>
            </w:r>
          </w:p>
        </w:tc>
        <w:tc>
          <w:tcPr>
            <w:tcW w:w="1701" w:type="dxa"/>
            <w:tcBorders>
              <w:top w:val="single" w:sz="4" w:space="0" w:color="A6A6A6" w:themeColor="background1" w:themeShade="A6"/>
              <w:left w:val="nil"/>
              <w:bottom w:val="single" w:sz="4" w:space="0" w:color="A6A6A6" w:themeColor="background1" w:themeShade="A6"/>
              <w:right w:val="nil"/>
            </w:tcBorders>
          </w:tcPr>
          <w:p w14:paraId="3B4B45E9" w14:textId="28122C31" w:rsidR="00C70172" w:rsidRPr="00AF656B" w:rsidRDefault="00C70172" w:rsidP="00C70172">
            <w:pPr>
              <w:pStyle w:val="TableText"/>
            </w:pPr>
            <w:r w:rsidRPr="00AF656B">
              <w:t>No</w:t>
            </w:r>
          </w:p>
        </w:tc>
        <w:tc>
          <w:tcPr>
            <w:tcW w:w="2835" w:type="dxa"/>
            <w:tcBorders>
              <w:top w:val="single" w:sz="4" w:space="0" w:color="A6A6A6" w:themeColor="background1" w:themeShade="A6"/>
              <w:left w:val="nil"/>
              <w:bottom w:val="single" w:sz="4" w:space="0" w:color="A6A6A6" w:themeColor="background1" w:themeShade="A6"/>
              <w:right w:val="nil"/>
            </w:tcBorders>
          </w:tcPr>
          <w:p w14:paraId="51C5D27C" w14:textId="499A5907" w:rsidR="00C70172" w:rsidRPr="00AF656B" w:rsidRDefault="00C70172" w:rsidP="00C70172">
            <w:pPr>
              <w:pStyle w:val="TableText"/>
              <w:rPr>
                <w:rFonts w:cs="Segoe UI"/>
                <w:szCs w:val="18"/>
              </w:rPr>
            </w:pPr>
            <w:r w:rsidRPr="00AF656B">
              <w:t xml:space="preserve">The complainant raised concerns about not being eligible to receive </w:t>
            </w:r>
            <w:r w:rsidR="009C6193">
              <w:t>a</w:t>
            </w:r>
            <w:r w:rsidRPr="00AF656B">
              <w:t xml:space="preserve">ssisted </w:t>
            </w:r>
            <w:r w:rsidR="009C6193">
              <w:t>d</w:t>
            </w:r>
            <w:r w:rsidRPr="00AF656B">
              <w:t xml:space="preserve">ying </w:t>
            </w:r>
            <w:r w:rsidR="009C6193">
              <w:t>s</w:t>
            </w:r>
            <w:r w:rsidRPr="00AF656B">
              <w:t>ervices</w:t>
            </w:r>
          </w:p>
        </w:tc>
        <w:tc>
          <w:tcPr>
            <w:tcW w:w="2212" w:type="dxa"/>
            <w:tcBorders>
              <w:top w:val="single" w:sz="4" w:space="0" w:color="A6A6A6" w:themeColor="background1" w:themeShade="A6"/>
              <w:left w:val="nil"/>
              <w:bottom w:val="single" w:sz="4" w:space="0" w:color="A6A6A6" w:themeColor="background1" w:themeShade="A6"/>
              <w:right w:val="nil"/>
            </w:tcBorders>
          </w:tcPr>
          <w:p w14:paraId="11492B9C" w14:textId="220BE8FA" w:rsidR="00C70172" w:rsidRPr="00AF656B" w:rsidRDefault="00C70172" w:rsidP="00C70172">
            <w:pPr>
              <w:pStyle w:val="TableText"/>
              <w:rPr>
                <w:rFonts w:cs="Segoe UI"/>
                <w:szCs w:val="18"/>
              </w:rPr>
            </w:pPr>
            <w:r w:rsidRPr="00AF656B">
              <w:t xml:space="preserve">Closed – </w:t>
            </w:r>
            <w:r w:rsidR="009C6193">
              <w:t>n</w:t>
            </w:r>
            <w:r w:rsidRPr="00AF656B">
              <w:t>o further action</w:t>
            </w:r>
          </w:p>
        </w:tc>
      </w:tr>
      <w:tr w:rsidR="00C70172" w:rsidRPr="00AF656B" w14:paraId="3756A6AA" w14:textId="77777777" w:rsidTr="00D630B9">
        <w:tc>
          <w:tcPr>
            <w:tcW w:w="1474" w:type="dxa"/>
            <w:tcBorders>
              <w:top w:val="single" w:sz="4" w:space="0" w:color="A6A6A6" w:themeColor="background1" w:themeShade="A6"/>
              <w:left w:val="nil"/>
              <w:bottom w:val="single" w:sz="4" w:space="0" w:color="A6A6A6" w:themeColor="background1" w:themeShade="A6"/>
              <w:right w:val="nil"/>
            </w:tcBorders>
          </w:tcPr>
          <w:p w14:paraId="001AD62D" w14:textId="6E076853" w:rsidR="00C70172" w:rsidRPr="00AF656B" w:rsidRDefault="00C70172" w:rsidP="00C70172">
            <w:pPr>
              <w:pStyle w:val="TableText"/>
            </w:pPr>
            <w:r w:rsidRPr="00AF656B">
              <w:t>October 2025</w:t>
            </w:r>
          </w:p>
        </w:tc>
        <w:tc>
          <w:tcPr>
            <w:tcW w:w="1701" w:type="dxa"/>
            <w:tcBorders>
              <w:top w:val="single" w:sz="4" w:space="0" w:color="A6A6A6" w:themeColor="background1" w:themeShade="A6"/>
              <w:left w:val="nil"/>
              <w:bottom w:val="single" w:sz="4" w:space="0" w:color="A6A6A6" w:themeColor="background1" w:themeShade="A6"/>
              <w:right w:val="nil"/>
            </w:tcBorders>
          </w:tcPr>
          <w:p w14:paraId="2097348C" w14:textId="5C3618CF" w:rsidR="00C70172" w:rsidRPr="00AF656B" w:rsidRDefault="00C70172" w:rsidP="00C70172">
            <w:pPr>
              <w:pStyle w:val="TableText"/>
            </w:pPr>
            <w:r w:rsidRPr="00AF656B">
              <w:t>No</w:t>
            </w:r>
          </w:p>
        </w:tc>
        <w:tc>
          <w:tcPr>
            <w:tcW w:w="2835" w:type="dxa"/>
            <w:tcBorders>
              <w:top w:val="single" w:sz="4" w:space="0" w:color="A6A6A6" w:themeColor="background1" w:themeShade="A6"/>
              <w:left w:val="nil"/>
              <w:bottom w:val="single" w:sz="4" w:space="0" w:color="A6A6A6" w:themeColor="background1" w:themeShade="A6"/>
              <w:right w:val="nil"/>
            </w:tcBorders>
          </w:tcPr>
          <w:p w14:paraId="63C79B2D" w14:textId="04DE883B" w:rsidR="00C70172" w:rsidRPr="00AF656B" w:rsidRDefault="00C70172" w:rsidP="00C70172">
            <w:pPr>
              <w:pStyle w:val="TableText"/>
              <w:rPr>
                <w:rFonts w:cs="Segoe UI"/>
                <w:szCs w:val="18"/>
              </w:rPr>
            </w:pPr>
            <w:r w:rsidRPr="00AF656B">
              <w:t xml:space="preserve">This complainant primarily focused on issues with the consumer’s pain management. However, they also raised a concern that a counsellor had raised </w:t>
            </w:r>
            <w:r w:rsidR="009C6193">
              <w:t>a</w:t>
            </w:r>
            <w:r w:rsidRPr="00AF656B">
              <w:t xml:space="preserve">ssisted </w:t>
            </w:r>
            <w:r w:rsidR="009C6193">
              <w:t>d</w:t>
            </w:r>
            <w:r w:rsidRPr="00AF656B">
              <w:t>ying options with them</w:t>
            </w:r>
          </w:p>
        </w:tc>
        <w:tc>
          <w:tcPr>
            <w:tcW w:w="2212" w:type="dxa"/>
            <w:tcBorders>
              <w:top w:val="single" w:sz="4" w:space="0" w:color="A6A6A6" w:themeColor="background1" w:themeShade="A6"/>
              <w:left w:val="nil"/>
              <w:bottom w:val="single" w:sz="4" w:space="0" w:color="A6A6A6" w:themeColor="background1" w:themeShade="A6"/>
              <w:right w:val="nil"/>
            </w:tcBorders>
          </w:tcPr>
          <w:p w14:paraId="7B98FE09" w14:textId="681CFB99" w:rsidR="00C70172" w:rsidRPr="00AF656B" w:rsidRDefault="00C70172" w:rsidP="00C70172">
            <w:pPr>
              <w:pStyle w:val="TableText"/>
              <w:rPr>
                <w:rFonts w:cs="Segoe UI"/>
                <w:szCs w:val="18"/>
              </w:rPr>
            </w:pPr>
            <w:r w:rsidRPr="00AF656B">
              <w:t>Ongoing at the time of this report</w:t>
            </w:r>
          </w:p>
        </w:tc>
      </w:tr>
      <w:tr w:rsidR="00C70172" w:rsidRPr="00AF656B" w14:paraId="61038261" w14:textId="77777777" w:rsidTr="00D630B9">
        <w:tc>
          <w:tcPr>
            <w:tcW w:w="1474" w:type="dxa"/>
            <w:tcBorders>
              <w:top w:val="single" w:sz="4" w:space="0" w:color="A6A6A6" w:themeColor="background1" w:themeShade="A6"/>
              <w:left w:val="nil"/>
              <w:bottom w:val="single" w:sz="4" w:space="0" w:color="A6A6A6" w:themeColor="background1" w:themeShade="A6"/>
              <w:right w:val="nil"/>
            </w:tcBorders>
          </w:tcPr>
          <w:p w14:paraId="1244AA4B" w14:textId="2D3A3CC7" w:rsidR="00C70172" w:rsidRPr="00AF656B" w:rsidRDefault="00C70172" w:rsidP="00C70172">
            <w:pPr>
              <w:pStyle w:val="TableText"/>
            </w:pPr>
            <w:r w:rsidRPr="00AF656B">
              <w:t>February 2026</w:t>
            </w:r>
          </w:p>
        </w:tc>
        <w:tc>
          <w:tcPr>
            <w:tcW w:w="1701" w:type="dxa"/>
            <w:tcBorders>
              <w:top w:val="single" w:sz="4" w:space="0" w:color="A6A6A6" w:themeColor="background1" w:themeShade="A6"/>
              <w:left w:val="nil"/>
              <w:bottom w:val="single" w:sz="4" w:space="0" w:color="A6A6A6" w:themeColor="background1" w:themeShade="A6"/>
              <w:right w:val="nil"/>
            </w:tcBorders>
          </w:tcPr>
          <w:p w14:paraId="6F45AD40" w14:textId="2262A234" w:rsidR="00C70172" w:rsidRPr="00AF656B" w:rsidRDefault="00C70172" w:rsidP="00C70172">
            <w:pPr>
              <w:pStyle w:val="TableText"/>
            </w:pPr>
            <w:r w:rsidRPr="00AF656B">
              <w:t>No</w:t>
            </w:r>
          </w:p>
        </w:tc>
        <w:tc>
          <w:tcPr>
            <w:tcW w:w="2835" w:type="dxa"/>
            <w:tcBorders>
              <w:top w:val="single" w:sz="4" w:space="0" w:color="A6A6A6" w:themeColor="background1" w:themeShade="A6"/>
              <w:left w:val="nil"/>
              <w:bottom w:val="single" w:sz="4" w:space="0" w:color="A6A6A6" w:themeColor="background1" w:themeShade="A6"/>
              <w:right w:val="nil"/>
            </w:tcBorders>
          </w:tcPr>
          <w:p w14:paraId="1EB61D4C" w14:textId="144043DD" w:rsidR="00C70172" w:rsidRPr="00AF656B" w:rsidRDefault="009C6193" w:rsidP="00C70172">
            <w:pPr>
              <w:pStyle w:val="TableText"/>
            </w:pPr>
            <w:r w:rsidRPr="00AF656B">
              <w:t xml:space="preserve">HDC </w:t>
            </w:r>
            <w:r w:rsidR="00C70172" w:rsidRPr="00AF656B">
              <w:t>re-opened</w:t>
            </w:r>
            <w:r>
              <w:t xml:space="preserve"> c</w:t>
            </w:r>
            <w:r w:rsidRPr="00AF656B">
              <w:t xml:space="preserve">omplaint </w:t>
            </w:r>
            <w:r w:rsidR="00C70172" w:rsidRPr="00AF656B">
              <w:t>after resolution not reached with assistance from Advocacy Service</w:t>
            </w:r>
          </w:p>
          <w:p w14:paraId="5F145E51" w14:textId="26AD56F7" w:rsidR="00C70172" w:rsidRPr="00AF656B" w:rsidRDefault="00C70172" w:rsidP="00C70172">
            <w:pPr>
              <w:pStyle w:val="TableText"/>
              <w:rPr>
                <w:rFonts w:cs="Segoe UI"/>
                <w:szCs w:val="18"/>
              </w:rPr>
            </w:pPr>
            <w:r w:rsidRPr="00AF656B">
              <w:t xml:space="preserve">The complainant’s unresolved concerns primarily relate to the management of a family member’s cancer diagnosis and care. She also noted her concerns about the lack of support for bereaved families in relation to </w:t>
            </w:r>
            <w:r w:rsidR="009C6193">
              <w:t>a</w:t>
            </w:r>
            <w:r w:rsidRPr="00AF656B">
              <w:t xml:space="preserve">ssisted </w:t>
            </w:r>
            <w:r w:rsidR="009C6193">
              <w:t>d</w:t>
            </w:r>
            <w:r w:rsidRPr="00AF656B">
              <w:t>ying</w:t>
            </w:r>
          </w:p>
        </w:tc>
        <w:tc>
          <w:tcPr>
            <w:tcW w:w="2212" w:type="dxa"/>
            <w:tcBorders>
              <w:top w:val="single" w:sz="4" w:space="0" w:color="A6A6A6" w:themeColor="background1" w:themeShade="A6"/>
              <w:left w:val="nil"/>
              <w:bottom w:val="single" w:sz="4" w:space="0" w:color="A6A6A6" w:themeColor="background1" w:themeShade="A6"/>
              <w:right w:val="nil"/>
            </w:tcBorders>
          </w:tcPr>
          <w:p w14:paraId="192CA6B1" w14:textId="62EE1712" w:rsidR="00C70172" w:rsidRPr="00AF656B" w:rsidRDefault="006300DC" w:rsidP="00C70172">
            <w:pPr>
              <w:pStyle w:val="TableText"/>
              <w:rPr>
                <w:rFonts w:cs="Segoe UI"/>
                <w:szCs w:val="18"/>
              </w:rPr>
            </w:pPr>
            <w:r w:rsidRPr="00AF656B">
              <w:t>Ongoing at the time of this report</w:t>
            </w:r>
          </w:p>
        </w:tc>
      </w:tr>
    </w:tbl>
    <w:p w14:paraId="5EADB846" w14:textId="77777777" w:rsidR="006D12BE" w:rsidRPr="00AF656B" w:rsidRDefault="006D12BE" w:rsidP="006D12BE">
      <w:pPr>
        <w:pStyle w:val="Table"/>
      </w:pPr>
    </w:p>
    <w:p w14:paraId="1BB6C9AC" w14:textId="77777777" w:rsidR="006D12BE" w:rsidRPr="00AF656B" w:rsidRDefault="006D12BE" w:rsidP="006D12BE">
      <w:pPr>
        <w:pStyle w:val="Table"/>
        <w:sectPr w:rsidR="006D12BE" w:rsidRPr="00AF656B" w:rsidSect="00C84F52">
          <w:pgSz w:w="11907" w:h="16834" w:code="9"/>
          <w:pgMar w:top="1418" w:right="1701" w:bottom="1134" w:left="1843" w:header="284" w:footer="425" w:gutter="284"/>
          <w:cols w:space="720"/>
        </w:sectPr>
      </w:pPr>
    </w:p>
    <w:p w14:paraId="2B1A4269" w14:textId="68278FF9" w:rsidR="006D12BE" w:rsidRPr="00AF656B" w:rsidRDefault="006D12BE" w:rsidP="00D630B9">
      <w:pPr>
        <w:pStyle w:val="Heading2"/>
        <w:spacing w:before="0"/>
      </w:pPr>
      <w:bookmarkStart w:id="105" w:name="_Toc170220995"/>
      <w:bookmarkStart w:id="106" w:name="_Toc199242539"/>
      <w:bookmarkStart w:id="107" w:name="_Toc233002295"/>
      <w:bookmarkEnd w:id="102"/>
      <w:r w:rsidRPr="00AF656B">
        <w:lastRenderedPageBreak/>
        <w:t>Queries</w:t>
      </w:r>
      <w:bookmarkEnd w:id="105"/>
      <w:bookmarkEnd w:id="106"/>
      <w:bookmarkEnd w:id="107"/>
      <w:r w:rsidRPr="00AF656B">
        <w:t xml:space="preserve"> </w:t>
      </w:r>
    </w:p>
    <w:p w14:paraId="08789C95" w14:textId="2622F6E3" w:rsidR="009C6193" w:rsidRDefault="006D12BE" w:rsidP="006D12BE">
      <w:pPr>
        <w:rPr>
          <w:bCs/>
        </w:rPr>
      </w:pPr>
      <w:r w:rsidRPr="00AF656B">
        <w:t xml:space="preserve">There is ongoing public interest in assisted dying, beyond people accessing or providing the service. The Ministry is committed to being open and transparent about matters of public interest and routinely </w:t>
      </w:r>
      <w:r w:rsidRPr="00AF656B">
        <w:rPr>
          <w:bCs/>
        </w:rPr>
        <w:t xml:space="preserve">publishes responses to </w:t>
      </w:r>
      <w:r w:rsidR="009C6193">
        <w:rPr>
          <w:bCs/>
        </w:rPr>
        <w:t>Official Information Act 1982</w:t>
      </w:r>
      <w:r w:rsidR="009C6193" w:rsidRPr="00AF656B">
        <w:rPr>
          <w:bCs/>
        </w:rPr>
        <w:t xml:space="preserve"> </w:t>
      </w:r>
      <w:r w:rsidRPr="00AF656B">
        <w:rPr>
          <w:bCs/>
        </w:rPr>
        <w:t>requests on its</w:t>
      </w:r>
      <w:r w:rsidRPr="00AF656B">
        <w:rPr>
          <w:b/>
        </w:rPr>
        <w:t xml:space="preserve"> </w:t>
      </w:r>
      <w:r w:rsidR="00C84D42" w:rsidRPr="00EC0B55">
        <w:t>website</w:t>
      </w:r>
      <w:r w:rsidRPr="00AF656B">
        <w:rPr>
          <w:bCs/>
        </w:rPr>
        <w:t xml:space="preserve">. </w:t>
      </w:r>
      <w:r w:rsidR="00C84D42">
        <w:rPr>
          <w:bCs/>
        </w:rPr>
        <w:t xml:space="preserve">For updates, </w:t>
      </w:r>
      <w:r w:rsidR="00726639">
        <w:rPr>
          <w:bCs/>
        </w:rPr>
        <w:t>visit</w:t>
      </w:r>
      <w:r w:rsidR="00C84D42">
        <w:rPr>
          <w:bCs/>
        </w:rPr>
        <w:t xml:space="preserve"> </w:t>
      </w:r>
      <w:hyperlink r:id="rId41" w:history="1">
        <w:r w:rsidR="00C84D42" w:rsidRPr="0062593B">
          <w:rPr>
            <w:rStyle w:val="Hyperlink"/>
            <w:bCs/>
          </w:rPr>
          <w:t>health.govt.nz/information-releases</w:t>
        </w:r>
      </w:hyperlink>
      <w:r w:rsidR="00726639" w:rsidRPr="00726639">
        <w:rPr>
          <w:bCs/>
        </w:rPr>
        <w:t xml:space="preserve"> </w:t>
      </w:r>
      <w:r w:rsidR="00726639">
        <w:rPr>
          <w:bCs/>
        </w:rPr>
        <w:t>on</w:t>
      </w:r>
      <w:r w:rsidR="00726639" w:rsidRPr="00AF656B">
        <w:rPr>
          <w:bCs/>
        </w:rPr>
        <w:t xml:space="preserve"> the </w:t>
      </w:r>
      <w:r w:rsidR="00726639" w:rsidRPr="001B4A45">
        <w:t>Ministry’s website</w:t>
      </w:r>
      <w:r w:rsidR="00C84D42">
        <w:rPr>
          <w:bCs/>
        </w:rPr>
        <w:t xml:space="preserve"> and search for ‘assisted dying’.</w:t>
      </w:r>
    </w:p>
    <w:p w14:paraId="448A486E" w14:textId="77777777" w:rsidR="009C6193" w:rsidRDefault="009C6193" w:rsidP="006D12BE">
      <w:pPr>
        <w:rPr>
          <w:bCs/>
        </w:rPr>
      </w:pPr>
    </w:p>
    <w:p w14:paraId="7F83946F" w14:textId="1E0E3BBB" w:rsidR="006D12BE" w:rsidRDefault="001A528C" w:rsidP="006D12BE">
      <w:r>
        <w:rPr>
          <w:bCs/>
        </w:rPr>
        <w:t>For a</w:t>
      </w:r>
      <w:r w:rsidR="00B92411" w:rsidRPr="00AF656B">
        <w:rPr>
          <w:bCs/>
        </w:rPr>
        <w:t xml:space="preserve">dvice </w:t>
      </w:r>
      <w:r>
        <w:rPr>
          <w:bCs/>
        </w:rPr>
        <w:t xml:space="preserve">to </w:t>
      </w:r>
      <w:r w:rsidR="00B92411" w:rsidRPr="00AF656B">
        <w:rPr>
          <w:bCs/>
        </w:rPr>
        <w:t xml:space="preserve">media </w:t>
      </w:r>
      <w:r>
        <w:rPr>
          <w:bCs/>
        </w:rPr>
        <w:t xml:space="preserve">on </w:t>
      </w:r>
      <w:r w:rsidR="00B92411" w:rsidRPr="00AF656B">
        <w:rPr>
          <w:bCs/>
        </w:rPr>
        <w:t>reporting on assisted dying</w:t>
      </w:r>
      <w:r>
        <w:rPr>
          <w:bCs/>
        </w:rPr>
        <w:t xml:space="preserve">, see </w:t>
      </w:r>
      <w:hyperlink r:id="rId42" w:history="1">
        <w:r w:rsidR="00C84D42" w:rsidRPr="00C84D42">
          <w:rPr>
            <w:rStyle w:val="Hyperlink"/>
            <w:bCs/>
          </w:rPr>
          <w:t>health.govt.nz/regulation-legislation/assisted-dying/advice-for-media-reporting-on-assisted-dying</w:t>
        </w:r>
      </w:hyperlink>
      <w:r>
        <w:rPr>
          <w:bCs/>
        </w:rPr>
        <w:t xml:space="preserve"> on</w:t>
      </w:r>
      <w:r w:rsidR="00B92411" w:rsidRPr="00AF656B">
        <w:rPr>
          <w:bCs/>
        </w:rPr>
        <w:t xml:space="preserve"> the </w:t>
      </w:r>
      <w:r w:rsidRPr="00EC0B55">
        <w:t>Ministry’s website</w:t>
      </w:r>
      <w:r w:rsidR="00B92411" w:rsidRPr="00AF656B">
        <w:rPr>
          <w:bCs/>
        </w:rPr>
        <w:t>.</w:t>
      </w:r>
      <w:r w:rsidR="00B92411">
        <w:rPr>
          <w:bCs/>
        </w:rPr>
        <w:t xml:space="preserve"> </w:t>
      </w:r>
    </w:p>
    <w:p w14:paraId="75E25D28" w14:textId="77777777" w:rsidR="006D12BE" w:rsidRDefault="006D12BE" w:rsidP="006D12BE"/>
    <w:p w14:paraId="257AA30B" w14:textId="77777777" w:rsidR="000027DD" w:rsidRDefault="000027DD" w:rsidP="00C84F52"/>
    <w:sectPr w:rsidR="000027DD" w:rsidSect="00DF6D4C">
      <w:pgSz w:w="11907" w:h="16834" w:code="9"/>
      <w:pgMar w:top="1418" w:right="1701" w:bottom="1134" w:left="1843" w:header="284" w:footer="425" w:gutter="28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9561C" w14:textId="77777777" w:rsidR="00974B5D" w:rsidRDefault="00974B5D">
      <w:r>
        <w:separator/>
      </w:r>
    </w:p>
    <w:p w14:paraId="15693C74" w14:textId="77777777" w:rsidR="00974B5D" w:rsidRDefault="00974B5D"/>
  </w:endnote>
  <w:endnote w:type="continuationSeparator" w:id="0">
    <w:p w14:paraId="30980205" w14:textId="77777777" w:rsidR="00974B5D" w:rsidRDefault="00974B5D">
      <w:r>
        <w:continuationSeparator/>
      </w:r>
    </w:p>
    <w:p w14:paraId="529250F5" w14:textId="77777777" w:rsidR="00974B5D" w:rsidRDefault="00974B5D"/>
  </w:endnote>
  <w:endnote w:type="continuationNotice" w:id="1">
    <w:p w14:paraId="64A59BD3" w14:textId="77777777" w:rsidR="00974B5D" w:rsidRDefault="00974B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Mäori">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emibold">
    <w:panose1 w:val="020B0702040204020203"/>
    <w:charset w:val="00"/>
    <w:family w:val="swiss"/>
    <w:pitch w:val="variable"/>
    <w:sig w:usb0="E4002EFF" w:usb1="C000E47F" w:usb2="00000009" w:usb3="00000000" w:csb0="000001FF" w:csb1="00000000"/>
  </w:font>
  <w:font w:name="Segoe UI Black">
    <w:panose1 w:val="020B0A02040204020203"/>
    <w:charset w:val="00"/>
    <w:family w:val="swiss"/>
    <w:pitch w:val="variable"/>
    <w:sig w:usb0="E00002FF" w:usb1="4000E47F" w:usb2="00000021" w:usb3="00000000" w:csb0="0000019F" w:csb1="00000000"/>
  </w:font>
  <w:font w:name="Georgia">
    <w:panose1 w:val="02040502050405020303"/>
    <w:charset w:val="00"/>
    <w:family w:val="roman"/>
    <w:pitch w:val="variable"/>
    <w:sig w:usb0="00000287" w:usb1="00000000" w:usb2="00000000" w:usb3="00000000" w:csb0="0000009F" w:csb1="00000000"/>
  </w:font>
  <w:font w:name="Segoe UI Light">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D2B3D" w14:textId="4982E1BC" w:rsidR="00750F1D" w:rsidRPr="00581136" w:rsidRDefault="00750F1D" w:rsidP="005A79E5">
    <w:pPr>
      <w:pStyle w:val="Footer"/>
      <w:pBdr>
        <w:bottom w:val="single" w:sz="4" w:space="1" w:color="auto"/>
      </w:pBdr>
      <w:tabs>
        <w:tab w:val="right" w:pos="9639"/>
      </w:tabs>
      <w:rPr>
        <w:b/>
      </w:rPr>
    </w:pPr>
    <w:r w:rsidRPr="00581136">
      <w:rPr>
        <w:b/>
      </w:rPr>
      <w:t>Released 20</w:t>
    </w:r>
    <w:r>
      <w:rPr>
        <w:b/>
      </w:rPr>
      <w:t>2</w:t>
    </w:r>
    <w:r w:rsidR="00A23EFF">
      <w:rPr>
        <w:b/>
      </w:rPr>
      <w:t>6</w:t>
    </w:r>
    <w:r w:rsidRPr="00581136">
      <w:rPr>
        <w:b/>
      </w:rPr>
      <w:tab/>
      <w:t>health.govt.nz</w:t>
    </w:r>
  </w:p>
  <w:p w14:paraId="69508A1D" w14:textId="77777777" w:rsidR="00750F1D" w:rsidRPr="005A79E5" w:rsidRDefault="00750F1D">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DDA70" w14:textId="77777777" w:rsidR="00C84F52" w:rsidRDefault="00C84F52" w:rsidP="004D6689">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B0E96" w14:textId="77777777" w:rsidR="00C84F52" w:rsidRDefault="00C84F5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8789"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09"/>
      <w:gridCol w:w="8080"/>
    </w:tblGrid>
    <w:tr w:rsidR="00C84F52" w14:paraId="4C3A3BF7" w14:textId="77777777" w:rsidTr="00D662F8">
      <w:trPr>
        <w:cantSplit/>
      </w:trPr>
      <w:tc>
        <w:tcPr>
          <w:tcW w:w="709" w:type="dxa"/>
          <w:vAlign w:val="center"/>
        </w:tcPr>
        <w:p w14:paraId="28F87ED7" w14:textId="77777777" w:rsidR="00C84F52" w:rsidRPr="00931466" w:rsidRDefault="00C84F52" w:rsidP="0043478F">
          <w:pPr>
            <w:pStyle w:val="Footer"/>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Pr>
              <w:rStyle w:val="PageNumber"/>
              <w:noProof/>
            </w:rPr>
            <w:t>vi</w:t>
          </w:r>
          <w:r w:rsidRPr="00931466">
            <w:rPr>
              <w:rStyle w:val="PageNumber"/>
            </w:rPr>
            <w:fldChar w:fldCharType="end"/>
          </w:r>
        </w:p>
      </w:tc>
      <w:tc>
        <w:tcPr>
          <w:tcW w:w="8080" w:type="dxa"/>
          <w:vAlign w:val="center"/>
        </w:tcPr>
        <w:p w14:paraId="410DD330" w14:textId="21105A8D" w:rsidR="00D630B9" w:rsidRDefault="00D630B9" w:rsidP="00D630B9">
          <w:pPr>
            <w:pStyle w:val="RectoFooter"/>
            <w:jc w:val="left"/>
          </w:pPr>
          <w:r>
            <w:t>NGĀ RATONGA MATE WHAKAAHURU - ASSISTED DYING SERVICE</w:t>
          </w:r>
        </w:p>
        <w:p w14:paraId="6026D159" w14:textId="6CC9DE6A" w:rsidR="00C84F52" w:rsidRDefault="00D630B9" w:rsidP="00D630B9">
          <w:pPr>
            <w:pStyle w:val="RectoFooter"/>
            <w:jc w:val="left"/>
          </w:pPr>
          <w:r>
            <w:t xml:space="preserve">Registrar (assisted dying) Annual Report to the Minister of Health </w:t>
          </w:r>
        </w:p>
      </w:tc>
    </w:tr>
  </w:tbl>
  <w:p w14:paraId="711B5D80" w14:textId="77777777" w:rsidR="00C84F52" w:rsidRPr="00571223" w:rsidRDefault="00C84F52" w:rsidP="00571223">
    <w:pPr>
      <w:pStyle w:val="VersoFooter"/>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080"/>
      <w:gridCol w:w="709"/>
    </w:tblGrid>
    <w:tr w:rsidR="00C84F52" w14:paraId="58AAB149" w14:textId="77777777" w:rsidTr="00D662F8">
      <w:trPr>
        <w:cantSplit/>
      </w:trPr>
      <w:tc>
        <w:tcPr>
          <w:tcW w:w="8080" w:type="dxa"/>
          <w:vAlign w:val="center"/>
        </w:tcPr>
        <w:p w14:paraId="6258158C" w14:textId="77777777" w:rsidR="00C84F52" w:rsidRDefault="00C84F52" w:rsidP="00DF6D4C">
          <w:pPr>
            <w:pStyle w:val="RectoFooter"/>
          </w:pPr>
          <w:r>
            <w:t>NGĀ RATONGA MATE WHAKAAHURU - ASSISTED DYING SERVICE</w:t>
          </w:r>
        </w:p>
        <w:p w14:paraId="20E2F0CC" w14:textId="62CE61DF" w:rsidR="00C84F52" w:rsidRDefault="00C84F52" w:rsidP="00DF6D4C">
          <w:pPr>
            <w:pStyle w:val="RectoFooter"/>
          </w:pPr>
          <w:r>
            <w:t xml:space="preserve">Registrar (assisted dying) Annual Report to the Minister of Health </w:t>
          </w:r>
        </w:p>
      </w:tc>
      <w:tc>
        <w:tcPr>
          <w:tcW w:w="709" w:type="dxa"/>
          <w:vAlign w:val="center"/>
        </w:tcPr>
        <w:p w14:paraId="3D3C9847" w14:textId="77777777" w:rsidR="00C84F52" w:rsidRPr="00931466" w:rsidRDefault="00C84F52" w:rsidP="00931466">
          <w:pPr>
            <w:pStyle w:val="Footer"/>
            <w:jc w:val="right"/>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Pr>
              <w:rStyle w:val="PageNumber"/>
              <w:noProof/>
            </w:rPr>
            <w:t>v</w:t>
          </w:r>
          <w:r w:rsidRPr="00931466">
            <w:rPr>
              <w:rStyle w:val="PageNumber"/>
            </w:rPr>
            <w:fldChar w:fldCharType="end"/>
          </w:r>
        </w:p>
      </w:tc>
    </w:tr>
  </w:tbl>
  <w:p w14:paraId="27602107" w14:textId="77777777" w:rsidR="00C84F52" w:rsidRPr="00581EB8" w:rsidRDefault="00C84F52" w:rsidP="00581EB8">
    <w:pPr>
      <w:pStyle w:val="Footer"/>
      <w:rPr>
        <w:sz w:val="2"/>
        <w:szCs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74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5"/>
      <w:gridCol w:w="9072"/>
    </w:tblGrid>
    <w:tr w:rsidR="00C84F52" w14:paraId="7E34FA6B" w14:textId="77777777" w:rsidTr="00D662F8">
      <w:trPr>
        <w:cantSplit/>
      </w:trPr>
      <w:tc>
        <w:tcPr>
          <w:tcW w:w="675" w:type="dxa"/>
          <w:vAlign w:val="center"/>
        </w:tcPr>
        <w:p w14:paraId="6281C317" w14:textId="77777777" w:rsidR="00C84F52" w:rsidRPr="00931466" w:rsidRDefault="00C84F52" w:rsidP="0043478F">
          <w:pPr>
            <w:pStyle w:val="Footer"/>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Pr>
              <w:rStyle w:val="PageNumber"/>
              <w:noProof/>
            </w:rPr>
            <w:t>2</w:t>
          </w:r>
          <w:r w:rsidRPr="00931466">
            <w:rPr>
              <w:rStyle w:val="PageNumber"/>
            </w:rPr>
            <w:fldChar w:fldCharType="end"/>
          </w:r>
        </w:p>
      </w:tc>
      <w:tc>
        <w:tcPr>
          <w:tcW w:w="9072" w:type="dxa"/>
          <w:vAlign w:val="center"/>
        </w:tcPr>
        <w:p w14:paraId="23EA865E" w14:textId="708E4B1C" w:rsidR="00C84F52" w:rsidRDefault="00C84F52" w:rsidP="00DF6D4C">
          <w:pPr>
            <w:pStyle w:val="RectoFooter"/>
            <w:jc w:val="left"/>
          </w:pPr>
          <w:r>
            <w:t xml:space="preserve">NGĀ RATONGA MATE WHAKAAHURU </w:t>
          </w:r>
          <w:r w:rsidR="00A15046">
            <w:t xml:space="preserve">– </w:t>
          </w:r>
          <w:r>
            <w:t>ASSISTED DYING SERVICE</w:t>
          </w:r>
        </w:p>
        <w:p w14:paraId="27262A64" w14:textId="40455106" w:rsidR="00C84F52" w:rsidRDefault="00C84F52" w:rsidP="00DF6D4C">
          <w:pPr>
            <w:pStyle w:val="RectoFooter"/>
            <w:jc w:val="left"/>
          </w:pPr>
          <w:r>
            <w:t xml:space="preserve">REGISTRAR (ASSISTED DYING) ANNUAL REPORT TO THE MINISTER OF HEALTH </w:t>
          </w:r>
        </w:p>
      </w:tc>
    </w:tr>
  </w:tbl>
  <w:p w14:paraId="5177CEA2" w14:textId="77777777" w:rsidR="00C84F52" w:rsidRPr="00571223" w:rsidRDefault="00C84F52" w:rsidP="00571223">
    <w:pPr>
      <w:pStyle w:val="VersoFooter"/>
      <w:rPr>
        <w:sz w:val="2"/>
        <w:szCs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080"/>
      <w:gridCol w:w="709"/>
    </w:tblGrid>
    <w:tr w:rsidR="00C84F52" w14:paraId="47337729" w14:textId="77777777" w:rsidTr="00D662F8">
      <w:trPr>
        <w:cantSplit/>
      </w:trPr>
      <w:tc>
        <w:tcPr>
          <w:tcW w:w="8080" w:type="dxa"/>
          <w:vAlign w:val="center"/>
        </w:tcPr>
        <w:p w14:paraId="4A2D0173" w14:textId="77777777" w:rsidR="00C84F52" w:rsidRDefault="00C84F52" w:rsidP="00DF6D4C">
          <w:pPr>
            <w:pStyle w:val="RectoFooter"/>
          </w:pPr>
          <w:r>
            <w:t>NGĀ RATONGA MATE WHAKAAHURU - ASSISTED DYING SERVICE</w:t>
          </w:r>
        </w:p>
        <w:p w14:paraId="1A33CBD1" w14:textId="7676FEB4" w:rsidR="00C84F52" w:rsidRDefault="00C84F52" w:rsidP="00DF6D4C">
          <w:pPr>
            <w:pStyle w:val="RectoFooter"/>
          </w:pPr>
          <w:r>
            <w:t xml:space="preserve">Registrar (assisted dying) Annual Report to the Minister of Health </w:t>
          </w:r>
        </w:p>
      </w:tc>
      <w:tc>
        <w:tcPr>
          <w:tcW w:w="709" w:type="dxa"/>
          <w:vAlign w:val="center"/>
        </w:tcPr>
        <w:p w14:paraId="501EC334" w14:textId="77777777" w:rsidR="00C84F52" w:rsidRPr="00931466" w:rsidRDefault="00C84F52" w:rsidP="00931466">
          <w:pPr>
            <w:pStyle w:val="Footer"/>
            <w:jc w:val="right"/>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Pr>
              <w:rStyle w:val="PageNumber"/>
              <w:noProof/>
            </w:rPr>
            <w:t>1</w:t>
          </w:r>
          <w:r w:rsidRPr="00931466">
            <w:rPr>
              <w:rStyle w:val="PageNumber"/>
            </w:rPr>
            <w:fldChar w:fldCharType="end"/>
          </w:r>
        </w:p>
      </w:tc>
    </w:tr>
  </w:tbl>
  <w:p w14:paraId="1C6F2E7F" w14:textId="77777777" w:rsidR="00C84F52" w:rsidRPr="00581EB8" w:rsidRDefault="00C84F52" w:rsidP="00581EB8">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2E25A" w14:textId="77777777" w:rsidR="00974B5D" w:rsidRPr="00A26E6B" w:rsidRDefault="00974B5D" w:rsidP="00A26E6B"/>
  </w:footnote>
  <w:footnote w:type="continuationSeparator" w:id="0">
    <w:p w14:paraId="11D2B384" w14:textId="77777777" w:rsidR="00974B5D" w:rsidRDefault="00974B5D">
      <w:r>
        <w:continuationSeparator/>
      </w:r>
    </w:p>
    <w:p w14:paraId="5B3D89D8" w14:textId="77777777" w:rsidR="00974B5D" w:rsidRDefault="00974B5D"/>
  </w:footnote>
  <w:footnote w:type="continuationNotice" w:id="1">
    <w:p w14:paraId="7DB81E6A" w14:textId="77777777" w:rsidR="00974B5D" w:rsidRDefault="00974B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210"/>
      <w:gridCol w:w="4429"/>
    </w:tblGrid>
    <w:tr w:rsidR="00750F1D" w14:paraId="66817858" w14:textId="77777777" w:rsidTr="008F2B72">
      <w:trPr>
        <w:cantSplit/>
      </w:trPr>
      <w:tc>
        <w:tcPr>
          <w:tcW w:w="5210" w:type="dxa"/>
          <w:vAlign w:val="center"/>
        </w:tcPr>
        <w:p w14:paraId="1D445B90" w14:textId="44F07118" w:rsidR="00750F1D" w:rsidRDefault="00750F1D" w:rsidP="00B26F0F">
          <w:pPr>
            <w:pStyle w:val="Header"/>
          </w:pPr>
        </w:p>
      </w:tc>
      <w:tc>
        <w:tcPr>
          <w:tcW w:w="4429" w:type="dxa"/>
          <w:vAlign w:val="center"/>
        </w:tcPr>
        <w:p w14:paraId="6279676C" w14:textId="572F7810" w:rsidR="00750F1D" w:rsidRDefault="00750F1D" w:rsidP="00C84F52">
          <w:pPr>
            <w:pStyle w:val="Header"/>
            <w:jc w:val="right"/>
          </w:pPr>
        </w:p>
      </w:tc>
    </w:tr>
  </w:tbl>
  <w:p w14:paraId="0FF2A735" w14:textId="77777777" w:rsidR="00750F1D" w:rsidRDefault="00750F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FCE38" w14:textId="77777777" w:rsidR="00750F1D" w:rsidRDefault="00750F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22E4F" w14:textId="77777777" w:rsidR="00C84F52" w:rsidRDefault="00C84F52" w:rsidP="00533B9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117B0" w14:textId="77777777" w:rsidR="00C84F52" w:rsidRDefault="00C84F52" w:rsidP="0090019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3EC00" w14:textId="77777777" w:rsidR="00C84F52" w:rsidRDefault="00C84F5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FF8C56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E1B55"/>
    <w:multiLevelType w:val="singleLevel"/>
    <w:tmpl w:val="1A46536C"/>
    <w:lvl w:ilvl="0">
      <w:start w:val="1"/>
      <w:numFmt w:val="bullet"/>
      <w:pStyle w:val="TableBullet"/>
      <w:lvlText w:val=""/>
      <w:lvlJc w:val="left"/>
      <w:pPr>
        <w:tabs>
          <w:tab w:val="num" w:pos="284"/>
        </w:tabs>
        <w:ind w:left="284" w:hanging="284"/>
      </w:pPr>
      <w:rPr>
        <w:rFonts w:ascii="Symbol" w:hAnsi="Symbol" w:hint="default"/>
        <w:sz w:val="16"/>
        <w:szCs w:val="16"/>
      </w:rPr>
    </w:lvl>
  </w:abstractNum>
  <w:abstractNum w:abstractNumId="2" w15:restartNumberingAfterBreak="0">
    <w:nsid w:val="052041F9"/>
    <w:multiLevelType w:val="hybridMultilevel"/>
    <w:tmpl w:val="ABAC7CB8"/>
    <w:lvl w:ilvl="0" w:tplc="614058B0">
      <w:start w:val="1"/>
      <w:numFmt w:val="decimal"/>
      <w:lvlText w:val="%1."/>
      <w:lvlJc w:val="left"/>
      <w:pPr>
        <w:ind w:left="840" w:hanging="360"/>
      </w:pPr>
      <w:rPr>
        <w:rFonts w:hint="default"/>
      </w:rPr>
    </w:lvl>
    <w:lvl w:ilvl="1" w:tplc="14090019">
      <w:start w:val="1"/>
      <w:numFmt w:val="lowerLetter"/>
      <w:lvlText w:val="%2."/>
      <w:lvlJc w:val="left"/>
      <w:pPr>
        <w:ind w:left="1560" w:hanging="360"/>
      </w:pPr>
    </w:lvl>
    <w:lvl w:ilvl="2" w:tplc="1409001B">
      <w:start w:val="1"/>
      <w:numFmt w:val="lowerRoman"/>
      <w:lvlText w:val="%3."/>
      <w:lvlJc w:val="right"/>
      <w:pPr>
        <w:ind w:left="2280" w:hanging="180"/>
      </w:pPr>
    </w:lvl>
    <w:lvl w:ilvl="3" w:tplc="1409000F" w:tentative="1">
      <w:start w:val="1"/>
      <w:numFmt w:val="decimal"/>
      <w:lvlText w:val="%4."/>
      <w:lvlJc w:val="left"/>
      <w:pPr>
        <w:ind w:left="3000" w:hanging="360"/>
      </w:pPr>
    </w:lvl>
    <w:lvl w:ilvl="4" w:tplc="14090019" w:tentative="1">
      <w:start w:val="1"/>
      <w:numFmt w:val="lowerLetter"/>
      <w:lvlText w:val="%5."/>
      <w:lvlJc w:val="left"/>
      <w:pPr>
        <w:ind w:left="3720" w:hanging="360"/>
      </w:pPr>
    </w:lvl>
    <w:lvl w:ilvl="5" w:tplc="1409001B" w:tentative="1">
      <w:start w:val="1"/>
      <w:numFmt w:val="lowerRoman"/>
      <w:lvlText w:val="%6."/>
      <w:lvlJc w:val="right"/>
      <w:pPr>
        <w:ind w:left="4440" w:hanging="180"/>
      </w:pPr>
    </w:lvl>
    <w:lvl w:ilvl="6" w:tplc="1409000F" w:tentative="1">
      <w:start w:val="1"/>
      <w:numFmt w:val="decimal"/>
      <w:lvlText w:val="%7."/>
      <w:lvlJc w:val="left"/>
      <w:pPr>
        <w:ind w:left="5160" w:hanging="360"/>
      </w:pPr>
    </w:lvl>
    <w:lvl w:ilvl="7" w:tplc="14090019" w:tentative="1">
      <w:start w:val="1"/>
      <w:numFmt w:val="lowerLetter"/>
      <w:lvlText w:val="%8."/>
      <w:lvlJc w:val="left"/>
      <w:pPr>
        <w:ind w:left="5880" w:hanging="360"/>
      </w:pPr>
    </w:lvl>
    <w:lvl w:ilvl="8" w:tplc="1409001B" w:tentative="1">
      <w:start w:val="1"/>
      <w:numFmt w:val="lowerRoman"/>
      <w:lvlText w:val="%9."/>
      <w:lvlJc w:val="right"/>
      <w:pPr>
        <w:ind w:left="6600" w:hanging="180"/>
      </w:pPr>
    </w:lvl>
  </w:abstractNum>
  <w:abstractNum w:abstractNumId="3" w15:restartNumberingAfterBreak="0">
    <w:nsid w:val="07BA0EC1"/>
    <w:multiLevelType w:val="hybridMultilevel"/>
    <w:tmpl w:val="0FDE2E92"/>
    <w:lvl w:ilvl="0" w:tplc="9B36D550">
      <w:numFmt w:val="bullet"/>
      <w:lvlText w:val="•"/>
      <w:lvlJc w:val="left"/>
      <w:pPr>
        <w:ind w:left="720" w:hanging="36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F487000"/>
    <w:multiLevelType w:val="hybridMultilevel"/>
    <w:tmpl w:val="D1508736"/>
    <w:lvl w:ilvl="0" w:tplc="14090001">
      <w:start w:val="1"/>
      <w:numFmt w:val="bullet"/>
      <w:lvlText w:val=""/>
      <w:lvlJc w:val="left"/>
      <w:pPr>
        <w:ind w:left="1800" w:hanging="360"/>
      </w:pPr>
      <w:rPr>
        <w:rFonts w:ascii="Symbol" w:hAnsi="Symbol" w:hint="default"/>
      </w:rPr>
    </w:lvl>
    <w:lvl w:ilvl="1" w:tplc="14090003" w:tentative="1">
      <w:start w:val="1"/>
      <w:numFmt w:val="bullet"/>
      <w:lvlText w:val="o"/>
      <w:lvlJc w:val="left"/>
      <w:pPr>
        <w:ind w:left="2520" w:hanging="360"/>
      </w:pPr>
      <w:rPr>
        <w:rFonts w:ascii="Courier New" w:hAnsi="Courier New" w:cs="Courier New" w:hint="default"/>
      </w:rPr>
    </w:lvl>
    <w:lvl w:ilvl="2" w:tplc="14090005" w:tentative="1">
      <w:start w:val="1"/>
      <w:numFmt w:val="bullet"/>
      <w:lvlText w:val=""/>
      <w:lvlJc w:val="left"/>
      <w:pPr>
        <w:ind w:left="3240" w:hanging="360"/>
      </w:pPr>
      <w:rPr>
        <w:rFonts w:ascii="Wingdings" w:hAnsi="Wingdings" w:hint="default"/>
      </w:rPr>
    </w:lvl>
    <w:lvl w:ilvl="3" w:tplc="14090001" w:tentative="1">
      <w:start w:val="1"/>
      <w:numFmt w:val="bullet"/>
      <w:lvlText w:val=""/>
      <w:lvlJc w:val="left"/>
      <w:pPr>
        <w:ind w:left="3960" w:hanging="360"/>
      </w:pPr>
      <w:rPr>
        <w:rFonts w:ascii="Symbol" w:hAnsi="Symbol" w:hint="default"/>
      </w:rPr>
    </w:lvl>
    <w:lvl w:ilvl="4" w:tplc="14090003" w:tentative="1">
      <w:start w:val="1"/>
      <w:numFmt w:val="bullet"/>
      <w:lvlText w:val="o"/>
      <w:lvlJc w:val="left"/>
      <w:pPr>
        <w:ind w:left="4680" w:hanging="360"/>
      </w:pPr>
      <w:rPr>
        <w:rFonts w:ascii="Courier New" w:hAnsi="Courier New" w:cs="Courier New" w:hint="default"/>
      </w:rPr>
    </w:lvl>
    <w:lvl w:ilvl="5" w:tplc="14090005" w:tentative="1">
      <w:start w:val="1"/>
      <w:numFmt w:val="bullet"/>
      <w:lvlText w:val=""/>
      <w:lvlJc w:val="left"/>
      <w:pPr>
        <w:ind w:left="5400" w:hanging="360"/>
      </w:pPr>
      <w:rPr>
        <w:rFonts w:ascii="Wingdings" w:hAnsi="Wingdings" w:hint="default"/>
      </w:rPr>
    </w:lvl>
    <w:lvl w:ilvl="6" w:tplc="14090001" w:tentative="1">
      <w:start w:val="1"/>
      <w:numFmt w:val="bullet"/>
      <w:lvlText w:val=""/>
      <w:lvlJc w:val="left"/>
      <w:pPr>
        <w:ind w:left="6120" w:hanging="360"/>
      </w:pPr>
      <w:rPr>
        <w:rFonts w:ascii="Symbol" w:hAnsi="Symbol" w:hint="default"/>
      </w:rPr>
    </w:lvl>
    <w:lvl w:ilvl="7" w:tplc="14090003" w:tentative="1">
      <w:start w:val="1"/>
      <w:numFmt w:val="bullet"/>
      <w:lvlText w:val="o"/>
      <w:lvlJc w:val="left"/>
      <w:pPr>
        <w:ind w:left="6840" w:hanging="360"/>
      </w:pPr>
      <w:rPr>
        <w:rFonts w:ascii="Courier New" w:hAnsi="Courier New" w:cs="Courier New" w:hint="default"/>
      </w:rPr>
    </w:lvl>
    <w:lvl w:ilvl="8" w:tplc="14090005" w:tentative="1">
      <w:start w:val="1"/>
      <w:numFmt w:val="bullet"/>
      <w:lvlText w:val=""/>
      <w:lvlJc w:val="left"/>
      <w:pPr>
        <w:ind w:left="7560" w:hanging="360"/>
      </w:pPr>
      <w:rPr>
        <w:rFonts w:ascii="Wingdings" w:hAnsi="Wingdings" w:hint="default"/>
      </w:rPr>
    </w:lvl>
  </w:abstractNum>
  <w:abstractNum w:abstractNumId="5" w15:restartNumberingAfterBreak="0">
    <w:nsid w:val="11023BAD"/>
    <w:multiLevelType w:val="hybridMultilevel"/>
    <w:tmpl w:val="4830DBB8"/>
    <w:lvl w:ilvl="0" w:tplc="AEE29EB8">
      <w:start w:val="1"/>
      <w:numFmt w:val="bullet"/>
      <w:lvlText w:val="•"/>
      <w:lvlJc w:val="left"/>
      <w:pPr>
        <w:ind w:left="246" w:hanging="134"/>
      </w:pPr>
      <w:rPr>
        <w:rFonts w:ascii="Arial Unicode MS" w:eastAsia="Arial Unicode MS" w:hAnsi="Arial Unicode MS" w:hint="default"/>
        <w:w w:val="107"/>
        <w:sz w:val="21"/>
        <w:szCs w:val="21"/>
      </w:rPr>
    </w:lvl>
    <w:lvl w:ilvl="1" w:tplc="A89C032A">
      <w:start w:val="1"/>
      <w:numFmt w:val="bullet"/>
      <w:lvlText w:val="•"/>
      <w:lvlJc w:val="left"/>
      <w:pPr>
        <w:ind w:left="464" w:hanging="134"/>
      </w:pPr>
      <w:rPr>
        <w:rFonts w:hint="default"/>
      </w:rPr>
    </w:lvl>
    <w:lvl w:ilvl="2" w:tplc="AFB65F98">
      <w:start w:val="1"/>
      <w:numFmt w:val="bullet"/>
      <w:lvlText w:val="•"/>
      <w:lvlJc w:val="left"/>
      <w:pPr>
        <w:ind w:left="682" w:hanging="134"/>
      </w:pPr>
      <w:rPr>
        <w:rFonts w:hint="default"/>
      </w:rPr>
    </w:lvl>
    <w:lvl w:ilvl="3" w:tplc="A148FA04">
      <w:start w:val="1"/>
      <w:numFmt w:val="bullet"/>
      <w:lvlText w:val="•"/>
      <w:lvlJc w:val="left"/>
      <w:pPr>
        <w:ind w:left="900" w:hanging="134"/>
      </w:pPr>
      <w:rPr>
        <w:rFonts w:hint="default"/>
      </w:rPr>
    </w:lvl>
    <w:lvl w:ilvl="4" w:tplc="F490CA92">
      <w:start w:val="1"/>
      <w:numFmt w:val="bullet"/>
      <w:lvlText w:val="•"/>
      <w:lvlJc w:val="left"/>
      <w:pPr>
        <w:ind w:left="1118" w:hanging="134"/>
      </w:pPr>
      <w:rPr>
        <w:rFonts w:hint="default"/>
      </w:rPr>
    </w:lvl>
    <w:lvl w:ilvl="5" w:tplc="B9903E90">
      <w:start w:val="1"/>
      <w:numFmt w:val="bullet"/>
      <w:lvlText w:val="•"/>
      <w:lvlJc w:val="left"/>
      <w:pPr>
        <w:ind w:left="1336" w:hanging="134"/>
      </w:pPr>
      <w:rPr>
        <w:rFonts w:hint="default"/>
      </w:rPr>
    </w:lvl>
    <w:lvl w:ilvl="6" w:tplc="811ED8BC">
      <w:start w:val="1"/>
      <w:numFmt w:val="bullet"/>
      <w:lvlText w:val="•"/>
      <w:lvlJc w:val="left"/>
      <w:pPr>
        <w:ind w:left="1554" w:hanging="134"/>
      </w:pPr>
      <w:rPr>
        <w:rFonts w:hint="default"/>
      </w:rPr>
    </w:lvl>
    <w:lvl w:ilvl="7" w:tplc="20BC151E">
      <w:start w:val="1"/>
      <w:numFmt w:val="bullet"/>
      <w:lvlText w:val="•"/>
      <w:lvlJc w:val="left"/>
      <w:pPr>
        <w:ind w:left="1771" w:hanging="134"/>
      </w:pPr>
      <w:rPr>
        <w:rFonts w:hint="default"/>
      </w:rPr>
    </w:lvl>
    <w:lvl w:ilvl="8" w:tplc="80AA897C">
      <w:start w:val="1"/>
      <w:numFmt w:val="bullet"/>
      <w:lvlText w:val="•"/>
      <w:lvlJc w:val="left"/>
      <w:pPr>
        <w:ind w:left="1989" w:hanging="134"/>
      </w:pPr>
      <w:rPr>
        <w:rFonts w:hint="default"/>
      </w:rPr>
    </w:lvl>
  </w:abstractNum>
  <w:abstractNum w:abstractNumId="6" w15:restartNumberingAfterBreak="0">
    <w:nsid w:val="1915754A"/>
    <w:multiLevelType w:val="hybridMultilevel"/>
    <w:tmpl w:val="BE16CB2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A6C6694"/>
    <w:multiLevelType w:val="hybridMultilevel"/>
    <w:tmpl w:val="27DA59F2"/>
    <w:lvl w:ilvl="0" w:tplc="F6EEA218">
      <w:start w:val="1"/>
      <w:numFmt w:val="bullet"/>
      <w:lvlText w:val="•"/>
      <w:lvlJc w:val="left"/>
      <w:pPr>
        <w:ind w:left="559" w:hanging="134"/>
      </w:pPr>
      <w:rPr>
        <w:rFonts w:ascii="Lucida Sans Unicode" w:eastAsia="Lucida Sans Unicode" w:hAnsi="Lucida Sans Unicode" w:hint="default"/>
        <w:w w:val="59"/>
        <w:sz w:val="21"/>
        <w:szCs w:val="21"/>
      </w:rPr>
    </w:lvl>
    <w:lvl w:ilvl="1" w:tplc="002E3EAE">
      <w:start w:val="1"/>
      <w:numFmt w:val="bullet"/>
      <w:lvlText w:val="•"/>
      <w:lvlJc w:val="left"/>
      <w:pPr>
        <w:ind w:left="808" w:hanging="134"/>
      </w:pPr>
      <w:rPr>
        <w:rFonts w:hint="default"/>
      </w:rPr>
    </w:lvl>
    <w:lvl w:ilvl="2" w:tplc="2D64B7B0">
      <w:start w:val="1"/>
      <w:numFmt w:val="bullet"/>
      <w:lvlText w:val="•"/>
      <w:lvlJc w:val="left"/>
      <w:pPr>
        <w:ind w:left="1057" w:hanging="134"/>
      </w:pPr>
      <w:rPr>
        <w:rFonts w:hint="default"/>
      </w:rPr>
    </w:lvl>
    <w:lvl w:ilvl="3" w:tplc="82F22056">
      <w:start w:val="1"/>
      <w:numFmt w:val="bullet"/>
      <w:lvlText w:val="•"/>
      <w:lvlJc w:val="left"/>
      <w:pPr>
        <w:ind w:left="1306" w:hanging="134"/>
      </w:pPr>
      <w:rPr>
        <w:rFonts w:hint="default"/>
      </w:rPr>
    </w:lvl>
    <w:lvl w:ilvl="4" w:tplc="D920647A">
      <w:start w:val="1"/>
      <w:numFmt w:val="bullet"/>
      <w:lvlText w:val="•"/>
      <w:lvlJc w:val="left"/>
      <w:pPr>
        <w:ind w:left="1556" w:hanging="134"/>
      </w:pPr>
      <w:rPr>
        <w:rFonts w:hint="default"/>
      </w:rPr>
    </w:lvl>
    <w:lvl w:ilvl="5" w:tplc="24E6088C">
      <w:start w:val="1"/>
      <w:numFmt w:val="bullet"/>
      <w:lvlText w:val="•"/>
      <w:lvlJc w:val="left"/>
      <w:pPr>
        <w:ind w:left="1805" w:hanging="134"/>
      </w:pPr>
      <w:rPr>
        <w:rFonts w:hint="default"/>
      </w:rPr>
    </w:lvl>
    <w:lvl w:ilvl="6" w:tplc="273217BC">
      <w:start w:val="1"/>
      <w:numFmt w:val="bullet"/>
      <w:lvlText w:val="•"/>
      <w:lvlJc w:val="left"/>
      <w:pPr>
        <w:ind w:left="2054" w:hanging="134"/>
      </w:pPr>
      <w:rPr>
        <w:rFonts w:hint="default"/>
      </w:rPr>
    </w:lvl>
    <w:lvl w:ilvl="7" w:tplc="FCFE4A4A">
      <w:start w:val="1"/>
      <w:numFmt w:val="bullet"/>
      <w:lvlText w:val="•"/>
      <w:lvlJc w:val="left"/>
      <w:pPr>
        <w:ind w:left="2303" w:hanging="134"/>
      </w:pPr>
      <w:rPr>
        <w:rFonts w:hint="default"/>
      </w:rPr>
    </w:lvl>
    <w:lvl w:ilvl="8" w:tplc="47085256">
      <w:start w:val="1"/>
      <w:numFmt w:val="bullet"/>
      <w:lvlText w:val="•"/>
      <w:lvlJc w:val="left"/>
      <w:pPr>
        <w:ind w:left="2552" w:hanging="134"/>
      </w:pPr>
      <w:rPr>
        <w:rFonts w:hint="default"/>
      </w:rPr>
    </w:lvl>
  </w:abstractNum>
  <w:abstractNum w:abstractNumId="8" w15:restartNumberingAfterBreak="0">
    <w:nsid w:val="1AD22446"/>
    <w:multiLevelType w:val="hybridMultilevel"/>
    <w:tmpl w:val="82B0314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BF65D06"/>
    <w:multiLevelType w:val="hybridMultilevel"/>
    <w:tmpl w:val="0C0C9346"/>
    <w:lvl w:ilvl="0" w:tplc="1409000F">
      <w:start w:val="1"/>
      <w:numFmt w:val="decimal"/>
      <w:lvlText w:val="%1."/>
      <w:lvlJc w:val="left"/>
      <w:pPr>
        <w:ind w:left="360" w:hanging="360"/>
      </w:p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0" w15:restartNumberingAfterBreak="0">
    <w:nsid w:val="1E2C3CC1"/>
    <w:multiLevelType w:val="hybridMultilevel"/>
    <w:tmpl w:val="EEF8345E"/>
    <w:lvl w:ilvl="0" w:tplc="5B960B98">
      <w:start w:val="1"/>
      <w:numFmt w:val="bullet"/>
      <w:lvlText w:val="•"/>
      <w:lvlJc w:val="left"/>
      <w:pPr>
        <w:ind w:left="1984" w:hanging="284"/>
      </w:pPr>
      <w:rPr>
        <w:rFonts w:ascii="Lucida Sans Unicode" w:eastAsia="Lucida Sans Unicode" w:hAnsi="Lucida Sans Unicode" w:hint="default"/>
        <w:w w:val="59"/>
        <w:sz w:val="21"/>
        <w:szCs w:val="21"/>
      </w:rPr>
    </w:lvl>
    <w:lvl w:ilvl="1" w:tplc="3A3EAE6C">
      <w:start w:val="1"/>
      <w:numFmt w:val="bullet"/>
      <w:lvlText w:val="•"/>
      <w:lvlJc w:val="left"/>
      <w:pPr>
        <w:ind w:left="2808" w:hanging="284"/>
      </w:pPr>
      <w:rPr>
        <w:rFonts w:hint="default"/>
      </w:rPr>
    </w:lvl>
    <w:lvl w:ilvl="2" w:tplc="0E4E143C">
      <w:start w:val="1"/>
      <w:numFmt w:val="bullet"/>
      <w:lvlText w:val="•"/>
      <w:lvlJc w:val="left"/>
      <w:pPr>
        <w:ind w:left="3632" w:hanging="284"/>
      </w:pPr>
      <w:rPr>
        <w:rFonts w:hint="default"/>
      </w:rPr>
    </w:lvl>
    <w:lvl w:ilvl="3" w:tplc="B79A0BDC">
      <w:start w:val="1"/>
      <w:numFmt w:val="bullet"/>
      <w:lvlText w:val="•"/>
      <w:lvlJc w:val="left"/>
      <w:pPr>
        <w:ind w:left="4456" w:hanging="284"/>
      </w:pPr>
      <w:rPr>
        <w:rFonts w:hint="default"/>
      </w:rPr>
    </w:lvl>
    <w:lvl w:ilvl="4" w:tplc="53B018D4">
      <w:start w:val="1"/>
      <w:numFmt w:val="bullet"/>
      <w:lvlText w:val="•"/>
      <w:lvlJc w:val="left"/>
      <w:pPr>
        <w:ind w:left="5280" w:hanging="284"/>
      </w:pPr>
      <w:rPr>
        <w:rFonts w:hint="default"/>
      </w:rPr>
    </w:lvl>
    <w:lvl w:ilvl="5" w:tplc="E0EC6604">
      <w:start w:val="1"/>
      <w:numFmt w:val="bullet"/>
      <w:lvlText w:val="•"/>
      <w:lvlJc w:val="left"/>
      <w:pPr>
        <w:ind w:left="6104" w:hanging="284"/>
      </w:pPr>
      <w:rPr>
        <w:rFonts w:hint="default"/>
      </w:rPr>
    </w:lvl>
    <w:lvl w:ilvl="6" w:tplc="400A10A6">
      <w:start w:val="1"/>
      <w:numFmt w:val="bullet"/>
      <w:lvlText w:val="•"/>
      <w:lvlJc w:val="left"/>
      <w:pPr>
        <w:ind w:left="6929" w:hanging="284"/>
      </w:pPr>
      <w:rPr>
        <w:rFonts w:hint="default"/>
      </w:rPr>
    </w:lvl>
    <w:lvl w:ilvl="7" w:tplc="153C0546">
      <w:start w:val="1"/>
      <w:numFmt w:val="bullet"/>
      <w:lvlText w:val="•"/>
      <w:lvlJc w:val="left"/>
      <w:pPr>
        <w:ind w:left="7753" w:hanging="284"/>
      </w:pPr>
      <w:rPr>
        <w:rFonts w:hint="default"/>
      </w:rPr>
    </w:lvl>
    <w:lvl w:ilvl="8" w:tplc="90B4C0C6">
      <w:start w:val="1"/>
      <w:numFmt w:val="bullet"/>
      <w:lvlText w:val="•"/>
      <w:lvlJc w:val="left"/>
      <w:pPr>
        <w:ind w:left="8577" w:hanging="284"/>
      </w:pPr>
      <w:rPr>
        <w:rFonts w:hint="default"/>
      </w:rPr>
    </w:lvl>
  </w:abstractNum>
  <w:abstractNum w:abstractNumId="11" w15:restartNumberingAfterBreak="0">
    <w:nsid w:val="23DC7796"/>
    <w:multiLevelType w:val="multilevel"/>
    <w:tmpl w:val="38243F0A"/>
    <w:lvl w:ilvl="0">
      <w:start w:val="1"/>
      <w:numFmt w:val="decimal"/>
      <w:pStyle w:val="Number"/>
      <w:lvlText w:val="%1."/>
      <w:lvlJc w:val="left"/>
      <w:pPr>
        <w:ind w:left="567" w:hanging="567"/>
      </w:pPr>
      <w:rPr>
        <w:rFonts w:hint="default"/>
      </w:rPr>
    </w:lvl>
    <w:lvl w:ilvl="1">
      <w:start w:val="1"/>
      <w:numFmt w:val="lowerLetter"/>
      <w:pStyle w:val="Letter"/>
      <w:lvlText w:val="%2)"/>
      <w:lvlJc w:val="left"/>
      <w:pPr>
        <w:ind w:left="1134" w:hanging="567"/>
      </w:pPr>
      <w:rPr>
        <w:rFonts w:hint="default"/>
      </w:rPr>
    </w:lvl>
    <w:lvl w:ilvl="2">
      <w:start w:val="1"/>
      <w:numFmt w:val="lowerRoman"/>
      <w:pStyle w:val="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6B82D6F"/>
    <w:multiLevelType w:val="hybridMultilevel"/>
    <w:tmpl w:val="6C186060"/>
    <w:lvl w:ilvl="0" w:tplc="C15451FC">
      <w:start w:val="1"/>
      <w:numFmt w:val="bullet"/>
      <w:lvlText w:val="•"/>
      <w:lvlJc w:val="left"/>
      <w:pPr>
        <w:ind w:left="2267" w:hanging="284"/>
      </w:pPr>
      <w:rPr>
        <w:rFonts w:ascii="Lucida Sans Unicode" w:eastAsia="Lucida Sans Unicode" w:hAnsi="Lucida Sans Unicode" w:hint="default"/>
        <w:w w:val="59"/>
        <w:sz w:val="21"/>
        <w:szCs w:val="21"/>
      </w:rPr>
    </w:lvl>
    <w:lvl w:ilvl="1" w:tplc="C2804FC4">
      <w:start w:val="1"/>
      <w:numFmt w:val="bullet"/>
      <w:lvlText w:val="•"/>
      <w:lvlJc w:val="left"/>
      <w:pPr>
        <w:ind w:left="3231" w:hanging="284"/>
      </w:pPr>
      <w:rPr>
        <w:rFonts w:hint="default"/>
      </w:rPr>
    </w:lvl>
    <w:lvl w:ilvl="2" w:tplc="7B56FBF2">
      <w:start w:val="1"/>
      <w:numFmt w:val="bullet"/>
      <w:lvlText w:val="•"/>
      <w:lvlJc w:val="left"/>
      <w:pPr>
        <w:ind w:left="4195" w:hanging="284"/>
      </w:pPr>
      <w:rPr>
        <w:rFonts w:hint="default"/>
      </w:rPr>
    </w:lvl>
    <w:lvl w:ilvl="3" w:tplc="FF5C1366">
      <w:start w:val="1"/>
      <w:numFmt w:val="bullet"/>
      <w:lvlText w:val="•"/>
      <w:lvlJc w:val="left"/>
      <w:pPr>
        <w:ind w:left="5159" w:hanging="284"/>
      </w:pPr>
      <w:rPr>
        <w:rFonts w:hint="default"/>
      </w:rPr>
    </w:lvl>
    <w:lvl w:ilvl="4" w:tplc="B2CA8238">
      <w:start w:val="1"/>
      <w:numFmt w:val="bullet"/>
      <w:lvlText w:val="•"/>
      <w:lvlJc w:val="left"/>
      <w:pPr>
        <w:ind w:left="6122" w:hanging="284"/>
      </w:pPr>
      <w:rPr>
        <w:rFonts w:hint="default"/>
      </w:rPr>
    </w:lvl>
    <w:lvl w:ilvl="5" w:tplc="3378E1CC">
      <w:start w:val="1"/>
      <w:numFmt w:val="bullet"/>
      <w:lvlText w:val="•"/>
      <w:lvlJc w:val="left"/>
      <w:pPr>
        <w:ind w:left="7086" w:hanging="284"/>
      </w:pPr>
      <w:rPr>
        <w:rFonts w:hint="default"/>
      </w:rPr>
    </w:lvl>
    <w:lvl w:ilvl="6" w:tplc="DDFA6B44">
      <w:start w:val="1"/>
      <w:numFmt w:val="bullet"/>
      <w:lvlText w:val="•"/>
      <w:lvlJc w:val="left"/>
      <w:pPr>
        <w:ind w:left="8050" w:hanging="284"/>
      </w:pPr>
      <w:rPr>
        <w:rFonts w:hint="default"/>
      </w:rPr>
    </w:lvl>
    <w:lvl w:ilvl="7" w:tplc="7CA08396">
      <w:start w:val="1"/>
      <w:numFmt w:val="bullet"/>
      <w:lvlText w:val="•"/>
      <w:lvlJc w:val="left"/>
      <w:pPr>
        <w:ind w:left="9014" w:hanging="284"/>
      </w:pPr>
      <w:rPr>
        <w:rFonts w:hint="default"/>
      </w:rPr>
    </w:lvl>
    <w:lvl w:ilvl="8" w:tplc="A386EF5E">
      <w:start w:val="1"/>
      <w:numFmt w:val="bullet"/>
      <w:lvlText w:val="•"/>
      <w:lvlJc w:val="left"/>
      <w:pPr>
        <w:ind w:left="9977" w:hanging="284"/>
      </w:pPr>
      <w:rPr>
        <w:rFonts w:hint="default"/>
      </w:rPr>
    </w:lvl>
  </w:abstractNum>
  <w:abstractNum w:abstractNumId="13" w15:restartNumberingAfterBreak="0">
    <w:nsid w:val="28F57520"/>
    <w:multiLevelType w:val="singleLevel"/>
    <w:tmpl w:val="F3FE0FEA"/>
    <w:lvl w:ilvl="0">
      <w:start w:val="1"/>
      <w:numFmt w:val="bullet"/>
      <w:lvlText w:val="–"/>
      <w:lvlJc w:val="left"/>
      <w:pPr>
        <w:tabs>
          <w:tab w:val="num" w:pos="644"/>
        </w:tabs>
        <w:ind w:left="567" w:hanging="283"/>
      </w:pPr>
      <w:rPr>
        <w:rFonts w:ascii="Times New Roman" w:hAnsi="Times New Roman" w:hint="default"/>
        <w:sz w:val="20"/>
      </w:rPr>
    </w:lvl>
  </w:abstractNum>
  <w:abstractNum w:abstractNumId="14" w15:restartNumberingAfterBreak="0">
    <w:nsid w:val="2D94347D"/>
    <w:multiLevelType w:val="hybridMultilevel"/>
    <w:tmpl w:val="CDC0E688"/>
    <w:lvl w:ilvl="0" w:tplc="AAE49842">
      <w:start w:val="1"/>
      <w:numFmt w:val="bullet"/>
      <w:lvlText w:val="•"/>
      <w:lvlJc w:val="left"/>
      <w:pPr>
        <w:ind w:left="1984" w:hanging="284"/>
      </w:pPr>
      <w:rPr>
        <w:rFonts w:ascii="Lucida Sans Unicode" w:eastAsia="Lucida Sans Unicode" w:hAnsi="Lucida Sans Unicode" w:hint="default"/>
        <w:w w:val="59"/>
        <w:sz w:val="21"/>
        <w:szCs w:val="21"/>
      </w:rPr>
    </w:lvl>
    <w:lvl w:ilvl="1" w:tplc="A3103622">
      <w:start w:val="1"/>
      <w:numFmt w:val="bullet"/>
      <w:lvlText w:val="•"/>
      <w:lvlJc w:val="left"/>
      <w:pPr>
        <w:ind w:left="2808" w:hanging="284"/>
      </w:pPr>
      <w:rPr>
        <w:rFonts w:hint="default"/>
      </w:rPr>
    </w:lvl>
    <w:lvl w:ilvl="2" w:tplc="2CC6F326">
      <w:start w:val="1"/>
      <w:numFmt w:val="bullet"/>
      <w:lvlText w:val="•"/>
      <w:lvlJc w:val="left"/>
      <w:pPr>
        <w:ind w:left="3632" w:hanging="284"/>
      </w:pPr>
      <w:rPr>
        <w:rFonts w:hint="default"/>
      </w:rPr>
    </w:lvl>
    <w:lvl w:ilvl="3" w:tplc="C026F318">
      <w:start w:val="1"/>
      <w:numFmt w:val="bullet"/>
      <w:lvlText w:val="•"/>
      <w:lvlJc w:val="left"/>
      <w:pPr>
        <w:ind w:left="4456" w:hanging="284"/>
      </w:pPr>
      <w:rPr>
        <w:rFonts w:hint="default"/>
      </w:rPr>
    </w:lvl>
    <w:lvl w:ilvl="4" w:tplc="8E1C6BD0">
      <w:start w:val="1"/>
      <w:numFmt w:val="bullet"/>
      <w:lvlText w:val="•"/>
      <w:lvlJc w:val="left"/>
      <w:pPr>
        <w:ind w:left="5280" w:hanging="284"/>
      </w:pPr>
      <w:rPr>
        <w:rFonts w:hint="default"/>
      </w:rPr>
    </w:lvl>
    <w:lvl w:ilvl="5" w:tplc="96EA3796">
      <w:start w:val="1"/>
      <w:numFmt w:val="bullet"/>
      <w:lvlText w:val="•"/>
      <w:lvlJc w:val="left"/>
      <w:pPr>
        <w:ind w:left="6104" w:hanging="284"/>
      </w:pPr>
      <w:rPr>
        <w:rFonts w:hint="default"/>
      </w:rPr>
    </w:lvl>
    <w:lvl w:ilvl="6" w:tplc="DF52DE2A">
      <w:start w:val="1"/>
      <w:numFmt w:val="bullet"/>
      <w:lvlText w:val="•"/>
      <w:lvlJc w:val="left"/>
      <w:pPr>
        <w:ind w:left="6929" w:hanging="284"/>
      </w:pPr>
      <w:rPr>
        <w:rFonts w:hint="default"/>
      </w:rPr>
    </w:lvl>
    <w:lvl w:ilvl="7" w:tplc="7D3E5354">
      <w:start w:val="1"/>
      <w:numFmt w:val="bullet"/>
      <w:lvlText w:val="•"/>
      <w:lvlJc w:val="left"/>
      <w:pPr>
        <w:ind w:left="7753" w:hanging="284"/>
      </w:pPr>
      <w:rPr>
        <w:rFonts w:hint="default"/>
      </w:rPr>
    </w:lvl>
    <w:lvl w:ilvl="8" w:tplc="0FE8A7AA">
      <w:start w:val="1"/>
      <w:numFmt w:val="bullet"/>
      <w:lvlText w:val="•"/>
      <w:lvlJc w:val="left"/>
      <w:pPr>
        <w:ind w:left="8577" w:hanging="284"/>
      </w:pPr>
      <w:rPr>
        <w:rFonts w:hint="default"/>
      </w:rPr>
    </w:lvl>
  </w:abstractNum>
  <w:abstractNum w:abstractNumId="15" w15:restartNumberingAfterBreak="0">
    <w:nsid w:val="31430E4A"/>
    <w:multiLevelType w:val="hybridMultilevel"/>
    <w:tmpl w:val="C4BE4BD4"/>
    <w:lvl w:ilvl="0" w:tplc="54ACCB78">
      <w:start w:val="1"/>
      <w:numFmt w:val="bullet"/>
      <w:lvlText w:val="•"/>
      <w:lvlJc w:val="left"/>
      <w:pPr>
        <w:ind w:left="623" w:hanging="284"/>
      </w:pPr>
      <w:rPr>
        <w:rFonts w:ascii="Arial Unicode MS" w:eastAsia="Arial Unicode MS" w:hAnsi="Arial Unicode MS" w:hint="default"/>
        <w:color w:val="FFFFFF"/>
        <w:w w:val="107"/>
        <w:sz w:val="21"/>
        <w:szCs w:val="21"/>
      </w:rPr>
    </w:lvl>
    <w:lvl w:ilvl="1" w:tplc="6EE81F12">
      <w:start w:val="1"/>
      <w:numFmt w:val="bullet"/>
      <w:lvlText w:val="•"/>
      <w:lvlJc w:val="left"/>
      <w:pPr>
        <w:ind w:left="926" w:hanging="284"/>
      </w:pPr>
      <w:rPr>
        <w:rFonts w:hint="default"/>
      </w:rPr>
    </w:lvl>
    <w:lvl w:ilvl="2" w:tplc="3D880680">
      <w:start w:val="1"/>
      <w:numFmt w:val="bullet"/>
      <w:lvlText w:val="•"/>
      <w:lvlJc w:val="left"/>
      <w:pPr>
        <w:ind w:left="1230" w:hanging="284"/>
      </w:pPr>
      <w:rPr>
        <w:rFonts w:hint="default"/>
      </w:rPr>
    </w:lvl>
    <w:lvl w:ilvl="3" w:tplc="B010C610">
      <w:start w:val="1"/>
      <w:numFmt w:val="bullet"/>
      <w:lvlText w:val="•"/>
      <w:lvlJc w:val="left"/>
      <w:pPr>
        <w:ind w:left="1533" w:hanging="284"/>
      </w:pPr>
      <w:rPr>
        <w:rFonts w:hint="default"/>
      </w:rPr>
    </w:lvl>
    <w:lvl w:ilvl="4" w:tplc="E6120074">
      <w:start w:val="1"/>
      <w:numFmt w:val="bullet"/>
      <w:lvlText w:val="•"/>
      <w:lvlJc w:val="left"/>
      <w:pPr>
        <w:ind w:left="1836" w:hanging="284"/>
      </w:pPr>
      <w:rPr>
        <w:rFonts w:hint="default"/>
      </w:rPr>
    </w:lvl>
    <w:lvl w:ilvl="5" w:tplc="CBC8627C">
      <w:start w:val="1"/>
      <w:numFmt w:val="bullet"/>
      <w:lvlText w:val="•"/>
      <w:lvlJc w:val="left"/>
      <w:pPr>
        <w:ind w:left="2140" w:hanging="284"/>
      </w:pPr>
      <w:rPr>
        <w:rFonts w:hint="default"/>
      </w:rPr>
    </w:lvl>
    <w:lvl w:ilvl="6" w:tplc="B9380D56">
      <w:start w:val="1"/>
      <w:numFmt w:val="bullet"/>
      <w:lvlText w:val="•"/>
      <w:lvlJc w:val="left"/>
      <w:pPr>
        <w:ind w:left="2443" w:hanging="284"/>
      </w:pPr>
      <w:rPr>
        <w:rFonts w:hint="default"/>
      </w:rPr>
    </w:lvl>
    <w:lvl w:ilvl="7" w:tplc="21BEC842">
      <w:start w:val="1"/>
      <w:numFmt w:val="bullet"/>
      <w:lvlText w:val="•"/>
      <w:lvlJc w:val="left"/>
      <w:pPr>
        <w:ind w:left="2746" w:hanging="284"/>
      </w:pPr>
      <w:rPr>
        <w:rFonts w:hint="default"/>
      </w:rPr>
    </w:lvl>
    <w:lvl w:ilvl="8" w:tplc="43B03AC2">
      <w:start w:val="1"/>
      <w:numFmt w:val="bullet"/>
      <w:lvlText w:val="•"/>
      <w:lvlJc w:val="left"/>
      <w:pPr>
        <w:ind w:left="3050" w:hanging="284"/>
      </w:pPr>
      <w:rPr>
        <w:rFonts w:hint="default"/>
      </w:rPr>
    </w:lvl>
  </w:abstractNum>
  <w:abstractNum w:abstractNumId="16" w15:restartNumberingAfterBreak="0">
    <w:nsid w:val="3CA71F78"/>
    <w:multiLevelType w:val="hybridMultilevel"/>
    <w:tmpl w:val="0D76E58A"/>
    <w:lvl w:ilvl="0" w:tplc="33A80CE8">
      <w:start w:val="1"/>
      <w:numFmt w:val="bullet"/>
      <w:pStyle w:val="Dash"/>
      <w:lvlText w:val="–"/>
      <w:lvlJc w:val="left"/>
      <w:pPr>
        <w:tabs>
          <w:tab w:val="num" w:pos="567"/>
        </w:tabs>
        <w:ind w:left="567" w:hanging="283"/>
      </w:pPr>
      <w:rPr>
        <w:rFonts w:ascii="Arial" w:hAnsi="Arial" w:hint="default"/>
        <w:b w:val="0"/>
        <w:i w:val="0"/>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00E20E8"/>
    <w:multiLevelType w:val="hybridMultilevel"/>
    <w:tmpl w:val="FD9CE56E"/>
    <w:lvl w:ilvl="0" w:tplc="84F4142A">
      <w:start w:val="1"/>
      <w:numFmt w:val="bullet"/>
      <w:pStyle w:val="TableDash"/>
      <w:lvlText w:val="–"/>
      <w:lvlJc w:val="left"/>
      <w:pPr>
        <w:tabs>
          <w:tab w:val="num" w:pos="567"/>
        </w:tabs>
        <w:ind w:left="567" w:hanging="283"/>
      </w:pPr>
      <w:rPr>
        <w:rFonts w:ascii="Arial Mäori" w:hAnsi="Arial Mäori"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806D55"/>
    <w:multiLevelType w:val="hybridMultilevel"/>
    <w:tmpl w:val="2F58AD2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9" w15:restartNumberingAfterBreak="0">
    <w:nsid w:val="4AFB4939"/>
    <w:multiLevelType w:val="hybridMultilevel"/>
    <w:tmpl w:val="B560C9E0"/>
    <w:lvl w:ilvl="0" w:tplc="5358D1F4">
      <w:start w:val="1"/>
      <w:numFmt w:val="bullet"/>
      <w:lvlText w:val="–"/>
      <w:lvlJc w:val="left"/>
      <w:pPr>
        <w:ind w:left="701" w:hanging="284"/>
      </w:pPr>
      <w:rPr>
        <w:rFonts w:ascii="Arial Black" w:eastAsia="Arial Black" w:hAnsi="Arial Black" w:hint="default"/>
        <w:b/>
        <w:bCs/>
        <w:sz w:val="21"/>
        <w:szCs w:val="21"/>
      </w:rPr>
    </w:lvl>
    <w:lvl w:ilvl="1" w:tplc="2D0A247C">
      <w:start w:val="1"/>
      <w:numFmt w:val="bullet"/>
      <w:lvlText w:val="•"/>
      <w:lvlJc w:val="left"/>
      <w:pPr>
        <w:ind w:left="1149" w:hanging="284"/>
      </w:pPr>
      <w:rPr>
        <w:rFonts w:hint="default"/>
      </w:rPr>
    </w:lvl>
    <w:lvl w:ilvl="2" w:tplc="014E8A48">
      <w:start w:val="1"/>
      <w:numFmt w:val="bullet"/>
      <w:lvlText w:val="•"/>
      <w:lvlJc w:val="left"/>
      <w:pPr>
        <w:ind w:left="1596" w:hanging="284"/>
      </w:pPr>
      <w:rPr>
        <w:rFonts w:hint="default"/>
      </w:rPr>
    </w:lvl>
    <w:lvl w:ilvl="3" w:tplc="62E68792">
      <w:start w:val="1"/>
      <w:numFmt w:val="bullet"/>
      <w:lvlText w:val="•"/>
      <w:lvlJc w:val="left"/>
      <w:pPr>
        <w:ind w:left="2044" w:hanging="284"/>
      </w:pPr>
      <w:rPr>
        <w:rFonts w:hint="default"/>
      </w:rPr>
    </w:lvl>
    <w:lvl w:ilvl="4" w:tplc="6BC03800">
      <w:start w:val="1"/>
      <w:numFmt w:val="bullet"/>
      <w:lvlText w:val="•"/>
      <w:lvlJc w:val="left"/>
      <w:pPr>
        <w:ind w:left="2492" w:hanging="284"/>
      </w:pPr>
      <w:rPr>
        <w:rFonts w:hint="default"/>
      </w:rPr>
    </w:lvl>
    <w:lvl w:ilvl="5" w:tplc="D62CF1AE">
      <w:start w:val="1"/>
      <w:numFmt w:val="bullet"/>
      <w:lvlText w:val="•"/>
      <w:lvlJc w:val="left"/>
      <w:pPr>
        <w:ind w:left="2940" w:hanging="284"/>
      </w:pPr>
      <w:rPr>
        <w:rFonts w:hint="default"/>
      </w:rPr>
    </w:lvl>
    <w:lvl w:ilvl="6" w:tplc="4AF656FE">
      <w:start w:val="1"/>
      <w:numFmt w:val="bullet"/>
      <w:lvlText w:val="•"/>
      <w:lvlJc w:val="left"/>
      <w:pPr>
        <w:ind w:left="3388" w:hanging="284"/>
      </w:pPr>
      <w:rPr>
        <w:rFonts w:hint="default"/>
      </w:rPr>
    </w:lvl>
    <w:lvl w:ilvl="7" w:tplc="B11C28E0">
      <w:start w:val="1"/>
      <w:numFmt w:val="bullet"/>
      <w:lvlText w:val="•"/>
      <w:lvlJc w:val="left"/>
      <w:pPr>
        <w:ind w:left="3836" w:hanging="284"/>
      </w:pPr>
      <w:rPr>
        <w:rFonts w:hint="default"/>
      </w:rPr>
    </w:lvl>
    <w:lvl w:ilvl="8" w:tplc="A2F2C1E6">
      <w:start w:val="1"/>
      <w:numFmt w:val="bullet"/>
      <w:lvlText w:val="•"/>
      <w:lvlJc w:val="left"/>
      <w:pPr>
        <w:ind w:left="4284" w:hanging="284"/>
      </w:pPr>
      <w:rPr>
        <w:rFonts w:hint="default"/>
      </w:rPr>
    </w:lvl>
  </w:abstractNum>
  <w:abstractNum w:abstractNumId="20" w15:restartNumberingAfterBreak="0">
    <w:nsid w:val="4D6856C8"/>
    <w:multiLevelType w:val="hybridMultilevel"/>
    <w:tmpl w:val="0338F8C0"/>
    <w:lvl w:ilvl="0" w:tplc="73FE36DE">
      <w:start w:val="1"/>
      <w:numFmt w:val="bullet"/>
      <w:lvlText w:val="•"/>
      <w:lvlJc w:val="left"/>
      <w:pPr>
        <w:ind w:left="245" w:hanging="134"/>
      </w:pPr>
      <w:rPr>
        <w:rFonts w:ascii="Arial Unicode MS" w:eastAsia="Arial Unicode MS" w:hAnsi="Arial Unicode MS" w:hint="default"/>
        <w:w w:val="107"/>
        <w:sz w:val="21"/>
        <w:szCs w:val="21"/>
      </w:rPr>
    </w:lvl>
    <w:lvl w:ilvl="1" w:tplc="3F32CFCA">
      <w:start w:val="1"/>
      <w:numFmt w:val="bullet"/>
      <w:lvlText w:val="•"/>
      <w:lvlJc w:val="left"/>
      <w:pPr>
        <w:ind w:left="494" w:hanging="134"/>
      </w:pPr>
      <w:rPr>
        <w:rFonts w:hint="default"/>
      </w:rPr>
    </w:lvl>
    <w:lvl w:ilvl="2" w:tplc="025CEB60">
      <w:start w:val="1"/>
      <w:numFmt w:val="bullet"/>
      <w:lvlText w:val="•"/>
      <w:lvlJc w:val="left"/>
      <w:pPr>
        <w:ind w:left="743" w:hanging="134"/>
      </w:pPr>
      <w:rPr>
        <w:rFonts w:hint="default"/>
      </w:rPr>
    </w:lvl>
    <w:lvl w:ilvl="3" w:tplc="5E0EC12A">
      <w:start w:val="1"/>
      <w:numFmt w:val="bullet"/>
      <w:lvlText w:val="•"/>
      <w:lvlJc w:val="left"/>
      <w:pPr>
        <w:ind w:left="993" w:hanging="134"/>
      </w:pPr>
      <w:rPr>
        <w:rFonts w:hint="default"/>
      </w:rPr>
    </w:lvl>
    <w:lvl w:ilvl="4" w:tplc="E8B04864">
      <w:start w:val="1"/>
      <w:numFmt w:val="bullet"/>
      <w:lvlText w:val="•"/>
      <w:lvlJc w:val="left"/>
      <w:pPr>
        <w:ind w:left="1242" w:hanging="134"/>
      </w:pPr>
      <w:rPr>
        <w:rFonts w:hint="default"/>
      </w:rPr>
    </w:lvl>
    <w:lvl w:ilvl="5" w:tplc="7EF0585E">
      <w:start w:val="1"/>
      <w:numFmt w:val="bullet"/>
      <w:lvlText w:val="•"/>
      <w:lvlJc w:val="left"/>
      <w:pPr>
        <w:ind w:left="1491" w:hanging="134"/>
      </w:pPr>
      <w:rPr>
        <w:rFonts w:hint="default"/>
      </w:rPr>
    </w:lvl>
    <w:lvl w:ilvl="6" w:tplc="7EC6F446">
      <w:start w:val="1"/>
      <w:numFmt w:val="bullet"/>
      <w:lvlText w:val="•"/>
      <w:lvlJc w:val="left"/>
      <w:pPr>
        <w:ind w:left="1740" w:hanging="134"/>
      </w:pPr>
      <w:rPr>
        <w:rFonts w:hint="default"/>
      </w:rPr>
    </w:lvl>
    <w:lvl w:ilvl="7" w:tplc="B4E0707E">
      <w:start w:val="1"/>
      <w:numFmt w:val="bullet"/>
      <w:lvlText w:val="•"/>
      <w:lvlJc w:val="left"/>
      <w:pPr>
        <w:ind w:left="1989" w:hanging="134"/>
      </w:pPr>
      <w:rPr>
        <w:rFonts w:hint="default"/>
      </w:rPr>
    </w:lvl>
    <w:lvl w:ilvl="8" w:tplc="30DCDC0C">
      <w:start w:val="1"/>
      <w:numFmt w:val="bullet"/>
      <w:lvlText w:val="•"/>
      <w:lvlJc w:val="left"/>
      <w:pPr>
        <w:ind w:left="2239" w:hanging="134"/>
      </w:pPr>
      <w:rPr>
        <w:rFonts w:hint="default"/>
      </w:rPr>
    </w:lvl>
  </w:abstractNum>
  <w:abstractNum w:abstractNumId="21" w15:restartNumberingAfterBreak="0">
    <w:nsid w:val="53760B41"/>
    <w:multiLevelType w:val="hybridMultilevel"/>
    <w:tmpl w:val="0E66C920"/>
    <w:lvl w:ilvl="0" w:tplc="70528C76">
      <w:numFmt w:val="bullet"/>
      <w:lvlText w:val="-"/>
      <w:lvlJc w:val="left"/>
      <w:pPr>
        <w:ind w:left="720" w:hanging="360"/>
      </w:pPr>
      <w:rPr>
        <w:rFonts w:ascii="Segoe UI" w:eastAsia="Calibri" w:hAnsi="Segoe UI" w:cs="Segoe U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5B09314A"/>
    <w:multiLevelType w:val="multilevel"/>
    <w:tmpl w:val="7720957A"/>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4."/>
      <w:lvlJc w:val="left"/>
      <w:pPr>
        <w:ind w:left="567" w:hanging="567"/>
      </w:pPr>
      <w:rPr>
        <w:rFonts w:hint="default"/>
      </w:rPr>
    </w:lvl>
    <w:lvl w:ilvl="4">
      <w:start w:val="1"/>
      <w:numFmt w:val="lowerLetter"/>
      <w:lvlText w:val="%5)"/>
      <w:lvlJc w:val="left"/>
      <w:pPr>
        <w:tabs>
          <w:tab w:val="num" w:pos="1134"/>
        </w:tabs>
        <w:ind w:left="1134"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C724B65"/>
    <w:multiLevelType w:val="hybridMultilevel"/>
    <w:tmpl w:val="46E4FFEE"/>
    <w:lvl w:ilvl="0" w:tplc="EB0A854E">
      <w:start w:val="1"/>
      <w:numFmt w:val="bullet"/>
      <w:lvlText w:val="•"/>
      <w:lvlJc w:val="left"/>
      <w:pPr>
        <w:ind w:left="559" w:hanging="134"/>
      </w:pPr>
      <w:rPr>
        <w:rFonts w:ascii="Arial Unicode MS" w:eastAsia="Arial Unicode MS" w:hAnsi="Arial Unicode MS" w:hint="default"/>
        <w:w w:val="107"/>
        <w:sz w:val="21"/>
        <w:szCs w:val="21"/>
      </w:rPr>
    </w:lvl>
    <w:lvl w:ilvl="1" w:tplc="85E65D22">
      <w:start w:val="1"/>
      <w:numFmt w:val="bullet"/>
      <w:lvlText w:val="•"/>
      <w:lvlJc w:val="left"/>
      <w:pPr>
        <w:ind w:left="808" w:hanging="134"/>
      </w:pPr>
      <w:rPr>
        <w:rFonts w:hint="default"/>
      </w:rPr>
    </w:lvl>
    <w:lvl w:ilvl="2" w:tplc="69460D26">
      <w:start w:val="1"/>
      <w:numFmt w:val="bullet"/>
      <w:lvlText w:val="•"/>
      <w:lvlJc w:val="left"/>
      <w:pPr>
        <w:ind w:left="1058" w:hanging="134"/>
      </w:pPr>
      <w:rPr>
        <w:rFonts w:hint="default"/>
      </w:rPr>
    </w:lvl>
    <w:lvl w:ilvl="3" w:tplc="CD6AEA72">
      <w:start w:val="1"/>
      <w:numFmt w:val="bullet"/>
      <w:lvlText w:val="•"/>
      <w:lvlJc w:val="left"/>
      <w:pPr>
        <w:ind w:left="1307" w:hanging="134"/>
      </w:pPr>
      <w:rPr>
        <w:rFonts w:hint="default"/>
      </w:rPr>
    </w:lvl>
    <w:lvl w:ilvl="4" w:tplc="DCE6E408">
      <w:start w:val="1"/>
      <w:numFmt w:val="bullet"/>
      <w:lvlText w:val="•"/>
      <w:lvlJc w:val="left"/>
      <w:pPr>
        <w:ind w:left="1556" w:hanging="134"/>
      </w:pPr>
      <w:rPr>
        <w:rFonts w:hint="default"/>
      </w:rPr>
    </w:lvl>
    <w:lvl w:ilvl="5" w:tplc="C3182234">
      <w:start w:val="1"/>
      <w:numFmt w:val="bullet"/>
      <w:lvlText w:val="•"/>
      <w:lvlJc w:val="left"/>
      <w:pPr>
        <w:ind w:left="1805" w:hanging="134"/>
      </w:pPr>
      <w:rPr>
        <w:rFonts w:hint="default"/>
      </w:rPr>
    </w:lvl>
    <w:lvl w:ilvl="6" w:tplc="85C2C604">
      <w:start w:val="1"/>
      <w:numFmt w:val="bullet"/>
      <w:lvlText w:val="•"/>
      <w:lvlJc w:val="left"/>
      <w:pPr>
        <w:ind w:left="2054" w:hanging="134"/>
      </w:pPr>
      <w:rPr>
        <w:rFonts w:hint="default"/>
      </w:rPr>
    </w:lvl>
    <w:lvl w:ilvl="7" w:tplc="3B5A4DA6">
      <w:start w:val="1"/>
      <w:numFmt w:val="bullet"/>
      <w:lvlText w:val="•"/>
      <w:lvlJc w:val="left"/>
      <w:pPr>
        <w:ind w:left="2303" w:hanging="134"/>
      </w:pPr>
      <w:rPr>
        <w:rFonts w:hint="default"/>
      </w:rPr>
    </w:lvl>
    <w:lvl w:ilvl="8" w:tplc="37AAE036">
      <w:start w:val="1"/>
      <w:numFmt w:val="bullet"/>
      <w:lvlText w:val="•"/>
      <w:lvlJc w:val="left"/>
      <w:pPr>
        <w:ind w:left="2552" w:hanging="134"/>
      </w:pPr>
      <w:rPr>
        <w:rFonts w:hint="default"/>
      </w:rPr>
    </w:lvl>
  </w:abstractNum>
  <w:abstractNum w:abstractNumId="24" w15:restartNumberingAfterBreak="0">
    <w:nsid w:val="5D9A15C3"/>
    <w:multiLevelType w:val="hybridMultilevel"/>
    <w:tmpl w:val="1E9823CC"/>
    <w:lvl w:ilvl="0" w:tplc="AA18F162">
      <w:start w:val="1"/>
      <w:numFmt w:val="bullet"/>
      <w:lvlText w:val="•"/>
      <w:lvlJc w:val="left"/>
      <w:pPr>
        <w:ind w:left="245" w:hanging="134"/>
      </w:pPr>
      <w:rPr>
        <w:rFonts w:ascii="Arial Unicode MS" w:eastAsia="Arial Unicode MS" w:hAnsi="Arial Unicode MS" w:hint="default"/>
        <w:w w:val="107"/>
        <w:sz w:val="21"/>
        <w:szCs w:val="21"/>
      </w:rPr>
    </w:lvl>
    <w:lvl w:ilvl="1" w:tplc="D886110C">
      <w:start w:val="1"/>
      <w:numFmt w:val="bullet"/>
      <w:lvlText w:val="•"/>
      <w:lvlJc w:val="left"/>
      <w:pPr>
        <w:ind w:left="494" w:hanging="134"/>
      </w:pPr>
      <w:rPr>
        <w:rFonts w:hint="default"/>
      </w:rPr>
    </w:lvl>
    <w:lvl w:ilvl="2" w:tplc="5C048F26">
      <w:start w:val="1"/>
      <w:numFmt w:val="bullet"/>
      <w:lvlText w:val="•"/>
      <w:lvlJc w:val="left"/>
      <w:pPr>
        <w:ind w:left="744" w:hanging="134"/>
      </w:pPr>
      <w:rPr>
        <w:rFonts w:hint="default"/>
      </w:rPr>
    </w:lvl>
    <w:lvl w:ilvl="3" w:tplc="44DACB5A">
      <w:start w:val="1"/>
      <w:numFmt w:val="bullet"/>
      <w:lvlText w:val="•"/>
      <w:lvlJc w:val="left"/>
      <w:pPr>
        <w:ind w:left="993" w:hanging="134"/>
      </w:pPr>
      <w:rPr>
        <w:rFonts w:hint="default"/>
      </w:rPr>
    </w:lvl>
    <w:lvl w:ilvl="4" w:tplc="B8B465F0">
      <w:start w:val="1"/>
      <w:numFmt w:val="bullet"/>
      <w:lvlText w:val="•"/>
      <w:lvlJc w:val="left"/>
      <w:pPr>
        <w:ind w:left="1242" w:hanging="134"/>
      </w:pPr>
      <w:rPr>
        <w:rFonts w:hint="default"/>
      </w:rPr>
    </w:lvl>
    <w:lvl w:ilvl="5" w:tplc="1FDCA722">
      <w:start w:val="1"/>
      <w:numFmt w:val="bullet"/>
      <w:lvlText w:val="•"/>
      <w:lvlJc w:val="left"/>
      <w:pPr>
        <w:ind w:left="1491" w:hanging="134"/>
      </w:pPr>
      <w:rPr>
        <w:rFonts w:hint="default"/>
      </w:rPr>
    </w:lvl>
    <w:lvl w:ilvl="6" w:tplc="62501116">
      <w:start w:val="1"/>
      <w:numFmt w:val="bullet"/>
      <w:lvlText w:val="•"/>
      <w:lvlJc w:val="left"/>
      <w:pPr>
        <w:ind w:left="1740" w:hanging="134"/>
      </w:pPr>
      <w:rPr>
        <w:rFonts w:hint="default"/>
      </w:rPr>
    </w:lvl>
    <w:lvl w:ilvl="7" w:tplc="EA9AA01C">
      <w:start w:val="1"/>
      <w:numFmt w:val="bullet"/>
      <w:lvlText w:val="•"/>
      <w:lvlJc w:val="left"/>
      <w:pPr>
        <w:ind w:left="1989" w:hanging="134"/>
      </w:pPr>
      <w:rPr>
        <w:rFonts w:hint="default"/>
      </w:rPr>
    </w:lvl>
    <w:lvl w:ilvl="8" w:tplc="005E787C">
      <w:start w:val="1"/>
      <w:numFmt w:val="bullet"/>
      <w:lvlText w:val="•"/>
      <w:lvlJc w:val="left"/>
      <w:pPr>
        <w:ind w:left="2239" w:hanging="134"/>
      </w:pPr>
      <w:rPr>
        <w:rFonts w:hint="default"/>
      </w:rPr>
    </w:lvl>
  </w:abstractNum>
  <w:abstractNum w:abstractNumId="25" w15:restartNumberingAfterBreak="0">
    <w:nsid w:val="62BD47ED"/>
    <w:multiLevelType w:val="hybridMultilevel"/>
    <w:tmpl w:val="29FACF2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688D2C9E"/>
    <w:multiLevelType w:val="singleLevel"/>
    <w:tmpl w:val="976C8326"/>
    <w:lvl w:ilvl="0">
      <w:start w:val="1"/>
      <w:numFmt w:val="bullet"/>
      <w:lvlText w:val=""/>
      <w:lvlJc w:val="left"/>
      <w:pPr>
        <w:tabs>
          <w:tab w:val="num" w:pos="360"/>
        </w:tabs>
        <w:ind w:left="284" w:hanging="284"/>
      </w:pPr>
      <w:rPr>
        <w:rFonts w:ascii="Symbol" w:hAnsi="Symbol" w:hint="default"/>
        <w:sz w:val="18"/>
      </w:rPr>
    </w:lvl>
  </w:abstractNum>
  <w:abstractNum w:abstractNumId="27" w15:restartNumberingAfterBreak="0">
    <w:nsid w:val="6A493BA7"/>
    <w:multiLevelType w:val="hybridMultilevel"/>
    <w:tmpl w:val="54A49246"/>
    <w:lvl w:ilvl="0" w:tplc="32401D94">
      <w:start w:val="1"/>
      <w:numFmt w:val="bullet"/>
      <w:lvlText w:val="–"/>
      <w:lvlJc w:val="left"/>
      <w:pPr>
        <w:ind w:left="701" w:hanging="284"/>
      </w:pPr>
      <w:rPr>
        <w:rFonts w:ascii="Arial Black" w:eastAsia="Arial Black" w:hAnsi="Arial Black" w:hint="default"/>
        <w:b/>
        <w:bCs/>
        <w:sz w:val="21"/>
        <w:szCs w:val="21"/>
      </w:rPr>
    </w:lvl>
    <w:lvl w:ilvl="1" w:tplc="2702D4F0">
      <w:start w:val="1"/>
      <w:numFmt w:val="bullet"/>
      <w:lvlText w:val="•"/>
      <w:lvlJc w:val="left"/>
      <w:pPr>
        <w:ind w:left="1149" w:hanging="284"/>
      </w:pPr>
      <w:rPr>
        <w:rFonts w:hint="default"/>
      </w:rPr>
    </w:lvl>
    <w:lvl w:ilvl="2" w:tplc="7E12EC3E">
      <w:start w:val="1"/>
      <w:numFmt w:val="bullet"/>
      <w:lvlText w:val="•"/>
      <w:lvlJc w:val="left"/>
      <w:pPr>
        <w:ind w:left="1596" w:hanging="284"/>
      </w:pPr>
      <w:rPr>
        <w:rFonts w:hint="default"/>
      </w:rPr>
    </w:lvl>
    <w:lvl w:ilvl="3" w:tplc="8AE0534C">
      <w:start w:val="1"/>
      <w:numFmt w:val="bullet"/>
      <w:lvlText w:val="•"/>
      <w:lvlJc w:val="left"/>
      <w:pPr>
        <w:ind w:left="2044" w:hanging="284"/>
      </w:pPr>
      <w:rPr>
        <w:rFonts w:hint="default"/>
      </w:rPr>
    </w:lvl>
    <w:lvl w:ilvl="4" w:tplc="23967D3A">
      <w:start w:val="1"/>
      <w:numFmt w:val="bullet"/>
      <w:lvlText w:val="•"/>
      <w:lvlJc w:val="left"/>
      <w:pPr>
        <w:ind w:left="2492" w:hanging="284"/>
      </w:pPr>
      <w:rPr>
        <w:rFonts w:hint="default"/>
      </w:rPr>
    </w:lvl>
    <w:lvl w:ilvl="5" w:tplc="A1105360">
      <w:start w:val="1"/>
      <w:numFmt w:val="bullet"/>
      <w:lvlText w:val="•"/>
      <w:lvlJc w:val="left"/>
      <w:pPr>
        <w:ind w:left="2940" w:hanging="284"/>
      </w:pPr>
      <w:rPr>
        <w:rFonts w:hint="default"/>
      </w:rPr>
    </w:lvl>
    <w:lvl w:ilvl="6" w:tplc="1D5A8006">
      <w:start w:val="1"/>
      <w:numFmt w:val="bullet"/>
      <w:lvlText w:val="•"/>
      <w:lvlJc w:val="left"/>
      <w:pPr>
        <w:ind w:left="3388" w:hanging="284"/>
      </w:pPr>
      <w:rPr>
        <w:rFonts w:hint="default"/>
      </w:rPr>
    </w:lvl>
    <w:lvl w:ilvl="7" w:tplc="CAD8527E">
      <w:start w:val="1"/>
      <w:numFmt w:val="bullet"/>
      <w:lvlText w:val="•"/>
      <w:lvlJc w:val="left"/>
      <w:pPr>
        <w:ind w:left="3836" w:hanging="284"/>
      </w:pPr>
      <w:rPr>
        <w:rFonts w:hint="default"/>
      </w:rPr>
    </w:lvl>
    <w:lvl w:ilvl="8" w:tplc="2DAA237C">
      <w:start w:val="1"/>
      <w:numFmt w:val="bullet"/>
      <w:lvlText w:val="•"/>
      <w:lvlJc w:val="left"/>
      <w:pPr>
        <w:ind w:left="4284" w:hanging="284"/>
      </w:pPr>
      <w:rPr>
        <w:rFonts w:hint="default"/>
      </w:rPr>
    </w:lvl>
  </w:abstractNum>
  <w:abstractNum w:abstractNumId="28" w15:restartNumberingAfterBreak="0">
    <w:nsid w:val="6A871412"/>
    <w:multiLevelType w:val="hybridMultilevel"/>
    <w:tmpl w:val="679EAFA2"/>
    <w:lvl w:ilvl="0" w:tplc="59822F40">
      <w:start w:val="1"/>
      <w:numFmt w:val="bullet"/>
      <w:lvlText w:val="•"/>
      <w:lvlJc w:val="left"/>
      <w:pPr>
        <w:ind w:left="1984" w:hanging="284"/>
      </w:pPr>
      <w:rPr>
        <w:rFonts w:ascii="Lucida Sans Unicode" w:eastAsia="Lucida Sans Unicode" w:hAnsi="Lucida Sans Unicode" w:hint="default"/>
        <w:w w:val="59"/>
        <w:sz w:val="21"/>
        <w:szCs w:val="21"/>
      </w:rPr>
    </w:lvl>
    <w:lvl w:ilvl="1" w:tplc="0298ED54">
      <w:start w:val="1"/>
      <w:numFmt w:val="bullet"/>
      <w:lvlText w:val="•"/>
      <w:lvlJc w:val="left"/>
      <w:pPr>
        <w:ind w:left="2808" w:hanging="284"/>
      </w:pPr>
      <w:rPr>
        <w:rFonts w:hint="default"/>
      </w:rPr>
    </w:lvl>
    <w:lvl w:ilvl="2" w:tplc="3ACE3B56">
      <w:start w:val="1"/>
      <w:numFmt w:val="bullet"/>
      <w:lvlText w:val="•"/>
      <w:lvlJc w:val="left"/>
      <w:pPr>
        <w:ind w:left="3632" w:hanging="284"/>
      </w:pPr>
      <w:rPr>
        <w:rFonts w:hint="default"/>
      </w:rPr>
    </w:lvl>
    <w:lvl w:ilvl="3" w:tplc="AA96C0BE">
      <w:start w:val="1"/>
      <w:numFmt w:val="bullet"/>
      <w:lvlText w:val="•"/>
      <w:lvlJc w:val="left"/>
      <w:pPr>
        <w:ind w:left="4456" w:hanging="284"/>
      </w:pPr>
      <w:rPr>
        <w:rFonts w:hint="default"/>
      </w:rPr>
    </w:lvl>
    <w:lvl w:ilvl="4" w:tplc="CA98A634">
      <w:start w:val="1"/>
      <w:numFmt w:val="bullet"/>
      <w:lvlText w:val="•"/>
      <w:lvlJc w:val="left"/>
      <w:pPr>
        <w:ind w:left="5280" w:hanging="284"/>
      </w:pPr>
      <w:rPr>
        <w:rFonts w:hint="default"/>
      </w:rPr>
    </w:lvl>
    <w:lvl w:ilvl="5" w:tplc="AA4A5076">
      <w:start w:val="1"/>
      <w:numFmt w:val="bullet"/>
      <w:lvlText w:val="•"/>
      <w:lvlJc w:val="left"/>
      <w:pPr>
        <w:ind w:left="6104" w:hanging="284"/>
      </w:pPr>
      <w:rPr>
        <w:rFonts w:hint="default"/>
      </w:rPr>
    </w:lvl>
    <w:lvl w:ilvl="6" w:tplc="44422EEC">
      <w:start w:val="1"/>
      <w:numFmt w:val="bullet"/>
      <w:lvlText w:val="•"/>
      <w:lvlJc w:val="left"/>
      <w:pPr>
        <w:ind w:left="6929" w:hanging="284"/>
      </w:pPr>
      <w:rPr>
        <w:rFonts w:hint="default"/>
      </w:rPr>
    </w:lvl>
    <w:lvl w:ilvl="7" w:tplc="91644454">
      <w:start w:val="1"/>
      <w:numFmt w:val="bullet"/>
      <w:lvlText w:val="•"/>
      <w:lvlJc w:val="left"/>
      <w:pPr>
        <w:ind w:left="7753" w:hanging="284"/>
      </w:pPr>
      <w:rPr>
        <w:rFonts w:hint="default"/>
      </w:rPr>
    </w:lvl>
    <w:lvl w:ilvl="8" w:tplc="99B2DCF6">
      <w:start w:val="1"/>
      <w:numFmt w:val="bullet"/>
      <w:lvlText w:val="•"/>
      <w:lvlJc w:val="left"/>
      <w:pPr>
        <w:ind w:left="8577" w:hanging="284"/>
      </w:pPr>
      <w:rPr>
        <w:rFonts w:hint="default"/>
      </w:rPr>
    </w:lvl>
  </w:abstractNum>
  <w:abstractNum w:abstractNumId="29" w15:restartNumberingAfterBreak="0">
    <w:nsid w:val="6AB61074"/>
    <w:multiLevelType w:val="hybridMultilevel"/>
    <w:tmpl w:val="E9D8A206"/>
    <w:lvl w:ilvl="0" w:tplc="32DEC6B8">
      <w:start w:val="1"/>
      <w:numFmt w:val="bullet"/>
      <w:lvlText w:val="–"/>
      <w:lvlJc w:val="left"/>
      <w:pPr>
        <w:ind w:left="662" w:hanging="284"/>
      </w:pPr>
      <w:rPr>
        <w:rFonts w:ascii="Arial Black" w:eastAsia="Arial Black" w:hAnsi="Arial Black" w:hint="default"/>
        <w:b/>
        <w:bCs/>
        <w:sz w:val="21"/>
        <w:szCs w:val="21"/>
      </w:rPr>
    </w:lvl>
    <w:lvl w:ilvl="1" w:tplc="040C801C">
      <w:start w:val="1"/>
      <w:numFmt w:val="bullet"/>
      <w:lvlText w:val="•"/>
      <w:lvlJc w:val="left"/>
      <w:pPr>
        <w:ind w:left="1109" w:hanging="284"/>
      </w:pPr>
      <w:rPr>
        <w:rFonts w:hint="default"/>
      </w:rPr>
    </w:lvl>
    <w:lvl w:ilvl="2" w:tplc="1250F1EE">
      <w:start w:val="1"/>
      <w:numFmt w:val="bullet"/>
      <w:lvlText w:val="•"/>
      <w:lvlJc w:val="left"/>
      <w:pPr>
        <w:ind w:left="1557" w:hanging="284"/>
      </w:pPr>
      <w:rPr>
        <w:rFonts w:hint="default"/>
      </w:rPr>
    </w:lvl>
    <w:lvl w:ilvl="3" w:tplc="EED03DEA">
      <w:start w:val="1"/>
      <w:numFmt w:val="bullet"/>
      <w:lvlText w:val="•"/>
      <w:lvlJc w:val="left"/>
      <w:pPr>
        <w:ind w:left="2005" w:hanging="284"/>
      </w:pPr>
      <w:rPr>
        <w:rFonts w:hint="default"/>
      </w:rPr>
    </w:lvl>
    <w:lvl w:ilvl="4" w:tplc="C2526822">
      <w:start w:val="1"/>
      <w:numFmt w:val="bullet"/>
      <w:lvlText w:val="•"/>
      <w:lvlJc w:val="left"/>
      <w:pPr>
        <w:ind w:left="2453" w:hanging="284"/>
      </w:pPr>
      <w:rPr>
        <w:rFonts w:hint="default"/>
      </w:rPr>
    </w:lvl>
    <w:lvl w:ilvl="5" w:tplc="3B98B002">
      <w:start w:val="1"/>
      <w:numFmt w:val="bullet"/>
      <w:lvlText w:val="•"/>
      <w:lvlJc w:val="left"/>
      <w:pPr>
        <w:ind w:left="2901" w:hanging="284"/>
      </w:pPr>
      <w:rPr>
        <w:rFonts w:hint="default"/>
      </w:rPr>
    </w:lvl>
    <w:lvl w:ilvl="6" w:tplc="E2B4B88C">
      <w:start w:val="1"/>
      <w:numFmt w:val="bullet"/>
      <w:lvlText w:val="•"/>
      <w:lvlJc w:val="left"/>
      <w:pPr>
        <w:ind w:left="3349" w:hanging="284"/>
      </w:pPr>
      <w:rPr>
        <w:rFonts w:hint="default"/>
      </w:rPr>
    </w:lvl>
    <w:lvl w:ilvl="7" w:tplc="716A8E58">
      <w:start w:val="1"/>
      <w:numFmt w:val="bullet"/>
      <w:lvlText w:val="•"/>
      <w:lvlJc w:val="left"/>
      <w:pPr>
        <w:ind w:left="3797" w:hanging="284"/>
      </w:pPr>
      <w:rPr>
        <w:rFonts w:hint="default"/>
      </w:rPr>
    </w:lvl>
    <w:lvl w:ilvl="8" w:tplc="31BAFC90">
      <w:start w:val="1"/>
      <w:numFmt w:val="bullet"/>
      <w:lvlText w:val="•"/>
      <w:lvlJc w:val="left"/>
      <w:pPr>
        <w:ind w:left="4245" w:hanging="284"/>
      </w:pPr>
      <w:rPr>
        <w:rFonts w:hint="default"/>
      </w:rPr>
    </w:lvl>
  </w:abstractNum>
  <w:abstractNum w:abstractNumId="30" w15:restartNumberingAfterBreak="0">
    <w:nsid w:val="6BC24E46"/>
    <w:multiLevelType w:val="hybridMultilevel"/>
    <w:tmpl w:val="20F249D2"/>
    <w:lvl w:ilvl="0" w:tplc="1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61C54D3"/>
    <w:multiLevelType w:val="hybridMultilevel"/>
    <w:tmpl w:val="6F1E4EBE"/>
    <w:lvl w:ilvl="0" w:tplc="14090001">
      <w:start w:val="1"/>
      <w:numFmt w:val="bullet"/>
      <w:lvlText w:val=""/>
      <w:lvlJc w:val="left"/>
      <w:pPr>
        <w:tabs>
          <w:tab w:val="num" w:pos="360"/>
        </w:tabs>
        <w:ind w:left="360" w:hanging="360"/>
      </w:pPr>
      <w:rPr>
        <w:rFonts w:ascii="Symbol" w:hAnsi="Symbol" w:hint="default"/>
      </w:rPr>
    </w:lvl>
    <w:lvl w:ilvl="1" w:tplc="1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790B609F"/>
    <w:multiLevelType w:val="hybridMultilevel"/>
    <w:tmpl w:val="DADE0218"/>
    <w:lvl w:ilvl="0" w:tplc="B80C461A">
      <w:start w:val="1"/>
      <w:numFmt w:val="bullet"/>
      <w:lvlText w:val="•"/>
      <w:lvlJc w:val="left"/>
      <w:pPr>
        <w:ind w:left="587" w:hanging="284"/>
      </w:pPr>
      <w:rPr>
        <w:rFonts w:ascii="Lucida Sans Unicode" w:eastAsia="Lucida Sans Unicode" w:hAnsi="Lucida Sans Unicode" w:hint="default"/>
        <w:w w:val="59"/>
        <w:sz w:val="21"/>
        <w:szCs w:val="21"/>
      </w:rPr>
    </w:lvl>
    <w:lvl w:ilvl="1" w:tplc="DA12774A">
      <w:start w:val="1"/>
      <w:numFmt w:val="bullet"/>
      <w:lvlText w:val="•"/>
      <w:lvlJc w:val="left"/>
      <w:pPr>
        <w:ind w:left="2267" w:hanging="284"/>
      </w:pPr>
      <w:rPr>
        <w:rFonts w:ascii="Lucida Sans Unicode" w:eastAsia="Lucida Sans Unicode" w:hAnsi="Lucida Sans Unicode" w:hint="default"/>
        <w:w w:val="59"/>
        <w:sz w:val="21"/>
        <w:szCs w:val="21"/>
      </w:rPr>
    </w:lvl>
    <w:lvl w:ilvl="2" w:tplc="C6E244EC">
      <w:start w:val="1"/>
      <w:numFmt w:val="bullet"/>
      <w:lvlText w:val="•"/>
      <w:lvlJc w:val="left"/>
      <w:pPr>
        <w:ind w:left="2689" w:hanging="284"/>
      </w:pPr>
      <w:rPr>
        <w:rFonts w:hint="default"/>
      </w:rPr>
    </w:lvl>
    <w:lvl w:ilvl="3" w:tplc="8ADA74DA">
      <w:start w:val="1"/>
      <w:numFmt w:val="bullet"/>
      <w:lvlText w:val="•"/>
      <w:lvlJc w:val="left"/>
      <w:pPr>
        <w:ind w:left="3111" w:hanging="284"/>
      </w:pPr>
      <w:rPr>
        <w:rFonts w:hint="default"/>
      </w:rPr>
    </w:lvl>
    <w:lvl w:ilvl="4" w:tplc="4FC0E628">
      <w:start w:val="1"/>
      <w:numFmt w:val="bullet"/>
      <w:lvlText w:val="•"/>
      <w:lvlJc w:val="left"/>
      <w:pPr>
        <w:ind w:left="3532" w:hanging="284"/>
      </w:pPr>
      <w:rPr>
        <w:rFonts w:hint="default"/>
      </w:rPr>
    </w:lvl>
    <w:lvl w:ilvl="5" w:tplc="531CD59C">
      <w:start w:val="1"/>
      <w:numFmt w:val="bullet"/>
      <w:lvlText w:val="•"/>
      <w:lvlJc w:val="left"/>
      <w:pPr>
        <w:ind w:left="3954" w:hanging="284"/>
      </w:pPr>
      <w:rPr>
        <w:rFonts w:hint="default"/>
      </w:rPr>
    </w:lvl>
    <w:lvl w:ilvl="6" w:tplc="53CAE810">
      <w:start w:val="1"/>
      <w:numFmt w:val="bullet"/>
      <w:lvlText w:val="•"/>
      <w:lvlJc w:val="left"/>
      <w:pPr>
        <w:ind w:left="4376" w:hanging="284"/>
      </w:pPr>
      <w:rPr>
        <w:rFonts w:hint="default"/>
      </w:rPr>
    </w:lvl>
    <w:lvl w:ilvl="7" w:tplc="4F583E0A">
      <w:start w:val="1"/>
      <w:numFmt w:val="bullet"/>
      <w:lvlText w:val="•"/>
      <w:lvlJc w:val="left"/>
      <w:pPr>
        <w:ind w:left="4798" w:hanging="284"/>
      </w:pPr>
      <w:rPr>
        <w:rFonts w:hint="default"/>
      </w:rPr>
    </w:lvl>
    <w:lvl w:ilvl="8" w:tplc="4E8A9C6C">
      <w:start w:val="1"/>
      <w:numFmt w:val="bullet"/>
      <w:lvlText w:val="•"/>
      <w:lvlJc w:val="left"/>
      <w:pPr>
        <w:ind w:left="5219" w:hanging="284"/>
      </w:pPr>
      <w:rPr>
        <w:rFonts w:hint="default"/>
      </w:rPr>
    </w:lvl>
  </w:abstractNum>
  <w:abstractNum w:abstractNumId="33" w15:restartNumberingAfterBreak="0">
    <w:nsid w:val="79630B23"/>
    <w:multiLevelType w:val="hybridMultilevel"/>
    <w:tmpl w:val="3676AC0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A46122C"/>
    <w:multiLevelType w:val="hybridMultilevel"/>
    <w:tmpl w:val="5888C120"/>
    <w:lvl w:ilvl="0" w:tplc="14090017">
      <w:start w:val="1"/>
      <w:numFmt w:val="lowerLetter"/>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5" w15:restartNumberingAfterBreak="0">
    <w:nsid w:val="7C1218D3"/>
    <w:multiLevelType w:val="singleLevel"/>
    <w:tmpl w:val="B224B1E2"/>
    <w:lvl w:ilvl="0">
      <w:start w:val="1"/>
      <w:numFmt w:val="bullet"/>
      <w:pStyle w:val="Bullet"/>
      <w:lvlText w:val=""/>
      <w:lvlJc w:val="left"/>
      <w:pPr>
        <w:tabs>
          <w:tab w:val="num" w:pos="284"/>
        </w:tabs>
        <w:ind w:left="284" w:hanging="284"/>
      </w:pPr>
      <w:rPr>
        <w:rFonts w:ascii="Symbol" w:hAnsi="Symbol" w:hint="default"/>
        <w:sz w:val="18"/>
      </w:rPr>
    </w:lvl>
  </w:abstractNum>
  <w:abstractNum w:abstractNumId="36" w15:restartNumberingAfterBreak="0">
    <w:nsid w:val="7C970E9C"/>
    <w:multiLevelType w:val="hybridMultilevel"/>
    <w:tmpl w:val="4384984A"/>
    <w:lvl w:ilvl="0" w:tplc="C93A288C">
      <w:start w:val="1"/>
      <w:numFmt w:val="bullet"/>
      <w:lvlText w:val="•"/>
      <w:lvlJc w:val="left"/>
      <w:pPr>
        <w:ind w:left="246" w:hanging="134"/>
      </w:pPr>
      <w:rPr>
        <w:rFonts w:ascii="Arial Unicode MS" w:eastAsia="Arial Unicode MS" w:hAnsi="Arial Unicode MS" w:hint="default"/>
        <w:w w:val="107"/>
        <w:sz w:val="21"/>
        <w:szCs w:val="21"/>
      </w:rPr>
    </w:lvl>
    <w:lvl w:ilvl="1" w:tplc="DA5E0414">
      <w:start w:val="1"/>
      <w:numFmt w:val="bullet"/>
      <w:lvlText w:val="•"/>
      <w:lvlJc w:val="left"/>
      <w:pPr>
        <w:ind w:left="464" w:hanging="134"/>
      </w:pPr>
      <w:rPr>
        <w:rFonts w:hint="default"/>
      </w:rPr>
    </w:lvl>
    <w:lvl w:ilvl="2" w:tplc="E29E55C8">
      <w:start w:val="1"/>
      <w:numFmt w:val="bullet"/>
      <w:lvlText w:val="•"/>
      <w:lvlJc w:val="left"/>
      <w:pPr>
        <w:ind w:left="682" w:hanging="134"/>
      </w:pPr>
      <w:rPr>
        <w:rFonts w:hint="default"/>
      </w:rPr>
    </w:lvl>
    <w:lvl w:ilvl="3" w:tplc="38AA3A8C">
      <w:start w:val="1"/>
      <w:numFmt w:val="bullet"/>
      <w:lvlText w:val="•"/>
      <w:lvlJc w:val="left"/>
      <w:pPr>
        <w:ind w:left="900" w:hanging="134"/>
      </w:pPr>
      <w:rPr>
        <w:rFonts w:hint="default"/>
      </w:rPr>
    </w:lvl>
    <w:lvl w:ilvl="4" w:tplc="6280268C">
      <w:start w:val="1"/>
      <w:numFmt w:val="bullet"/>
      <w:lvlText w:val="•"/>
      <w:lvlJc w:val="left"/>
      <w:pPr>
        <w:ind w:left="1118" w:hanging="134"/>
      </w:pPr>
      <w:rPr>
        <w:rFonts w:hint="default"/>
      </w:rPr>
    </w:lvl>
    <w:lvl w:ilvl="5" w:tplc="41CA4FC0">
      <w:start w:val="1"/>
      <w:numFmt w:val="bullet"/>
      <w:lvlText w:val="•"/>
      <w:lvlJc w:val="left"/>
      <w:pPr>
        <w:ind w:left="1336" w:hanging="134"/>
      </w:pPr>
      <w:rPr>
        <w:rFonts w:hint="default"/>
      </w:rPr>
    </w:lvl>
    <w:lvl w:ilvl="6" w:tplc="F828CB0C">
      <w:start w:val="1"/>
      <w:numFmt w:val="bullet"/>
      <w:lvlText w:val="•"/>
      <w:lvlJc w:val="left"/>
      <w:pPr>
        <w:ind w:left="1554" w:hanging="134"/>
      </w:pPr>
      <w:rPr>
        <w:rFonts w:hint="default"/>
      </w:rPr>
    </w:lvl>
    <w:lvl w:ilvl="7" w:tplc="21BEBEB6">
      <w:start w:val="1"/>
      <w:numFmt w:val="bullet"/>
      <w:lvlText w:val="•"/>
      <w:lvlJc w:val="left"/>
      <w:pPr>
        <w:ind w:left="1771" w:hanging="134"/>
      </w:pPr>
      <w:rPr>
        <w:rFonts w:hint="default"/>
      </w:rPr>
    </w:lvl>
    <w:lvl w:ilvl="8" w:tplc="D11CBA8E">
      <w:start w:val="1"/>
      <w:numFmt w:val="bullet"/>
      <w:lvlText w:val="•"/>
      <w:lvlJc w:val="left"/>
      <w:pPr>
        <w:ind w:left="1989" w:hanging="134"/>
      </w:pPr>
      <w:rPr>
        <w:rFonts w:hint="default"/>
      </w:rPr>
    </w:lvl>
  </w:abstractNum>
  <w:abstractNum w:abstractNumId="37" w15:restartNumberingAfterBreak="0">
    <w:nsid w:val="7CC72B21"/>
    <w:multiLevelType w:val="multilevel"/>
    <w:tmpl w:val="273EF2D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8" w15:restartNumberingAfterBreak="0">
    <w:nsid w:val="7D4D4B81"/>
    <w:multiLevelType w:val="hybridMultilevel"/>
    <w:tmpl w:val="B0D6A59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663970075">
    <w:abstractNumId w:val="35"/>
  </w:num>
  <w:num w:numId="2" w16cid:durableId="1465663324">
    <w:abstractNumId w:val="26"/>
  </w:num>
  <w:num w:numId="3" w16cid:durableId="782306860">
    <w:abstractNumId w:val="16"/>
  </w:num>
  <w:num w:numId="4" w16cid:durableId="440689421">
    <w:abstractNumId w:val="17"/>
  </w:num>
  <w:num w:numId="5" w16cid:durableId="1301839675">
    <w:abstractNumId w:val="1"/>
  </w:num>
  <w:num w:numId="6" w16cid:durableId="1477607087">
    <w:abstractNumId w:val="37"/>
  </w:num>
  <w:num w:numId="7" w16cid:durableId="1330449831">
    <w:abstractNumId w:val="13"/>
  </w:num>
  <w:num w:numId="8" w16cid:durableId="1009327739">
    <w:abstractNumId w:val="3"/>
  </w:num>
  <w:num w:numId="9" w16cid:durableId="1413232896">
    <w:abstractNumId w:val="34"/>
  </w:num>
  <w:num w:numId="10" w16cid:durableId="932402241">
    <w:abstractNumId w:val="2"/>
  </w:num>
  <w:num w:numId="11" w16cid:durableId="919601626">
    <w:abstractNumId w:val="31"/>
  </w:num>
  <w:num w:numId="12" w16cid:durableId="304895330">
    <w:abstractNumId w:val="4"/>
  </w:num>
  <w:num w:numId="13" w16cid:durableId="1898976386">
    <w:abstractNumId w:val="8"/>
  </w:num>
  <w:num w:numId="14" w16cid:durableId="1095007632">
    <w:abstractNumId w:val="6"/>
  </w:num>
  <w:num w:numId="15" w16cid:durableId="1362784062">
    <w:abstractNumId w:val="9"/>
  </w:num>
  <w:num w:numId="16" w16cid:durableId="407776927">
    <w:abstractNumId w:val="22"/>
  </w:num>
  <w:num w:numId="17" w16cid:durableId="1633943747">
    <w:abstractNumId w:val="11"/>
  </w:num>
  <w:num w:numId="18" w16cid:durableId="1878272939">
    <w:abstractNumId w:val="28"/>
  </w:num>
  <w:num w:numId="19" w16cid:durableId="332225427">
    <w:abstractNumId w:val="12"/>
  </w:num>
  <w:num w:numId="20" w16cid:durableId="531378177">
    <w:abstractNumId w:val="20"/>
  </w:num>
  <w:num w:numId="21" w16cid:durableId="162287340">
    <w:abstractNumId w:val="7"/>
  </w:num>
  <w:num w:numId="22" w16cid:durableId="617033440">
    <w:abstractNumId w:val="5"/>
  </w:num>
  <w:num w:numId="23" w16cid:durableId="1158302739">
    <w:abstractNumId w:val="24"/>
  </w:num>
  <w:num w:numId="24" w16cid:durableId="758133547">
    <w:abstractNumId w:val="23"/>
  </w:num>
  <w:num w:numId="25" w16cid:durableId="629483811">
    <w:abstractNumId w:val="36"/>
  </w:num>
  <w:num w:numId="26" w16cid:durableId="631256060">
    <w:abstractNumId w:val="14"/>
  </w:num>
  <w:num w:numId="27" w16cid:durableId="33122581">
    <w:abstractNumId w:val="29"/>
  </w:num>
  <w:num w:numId="28" w16cid:durableId="1019618745">
    <w:abstractNumId w:val="27"/>
  </w:num>
  <w:num w:numId="29" w16cid:durableId="1162814191">
    <w:abstractNumId w:val="19"/>
  </w:num>
  <w:num w:numId="30" w16cid:durableId="1994991762">
    <w:abstractNumId w:val="10"/>
  </w:num>
  <w:num w:numId="31" w16cid:durableId="689255899">
    <w:abstractNumId w:val="32"/>
  </w:num>
  <w:num w:numId="32" w16cid:durableId="1893693110">
    <w:abstractNumId w:val="15"/>
  </w:num>
  <w:num w:numId="33" w16cid:durableId="1856267199">
    <w:abstractNumId w:val="38"/>
  </w:num>
  <w:num w:numId="34" w16cid:durableId="2133749319">
    <w:abstractNumId w:val="33"/>
  </w:num>
  <w:num w:numId="35" w16cid:durableId="691078101">
    <w:abstractNumId w:val="25"/>
  </w:num>
  <w:num w:numId="36" w16cid:durableId="1234243040">
    <w:abstractNumId w:val="18"/>
  </w:num>
  <w:num w:numId="37" w16cid:durableId="259065900">
    <w:abstractNumId w:val="21"/>
  </w:num>
  <w:num w:numId="38" w16cid:durableId="433599074">
    <w:abstractNumId w:val="30"/>
  </w:num>
  <w:num w:numId="39" w16cid:durableId="1779180420">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evenAndOddHeaders/>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8EB"/>
    <w:rsid w:val="0000130B"/>
    <w:rsid w:val="000025B8"/>
    <w:rsid w:val="000027D2"/>
    <w:rsid w:val="000027DD"/>
    <w:rsid w:val="00002973"/>
    <w:rsid w:val="00005B20"/>
    <w:rsid w:val="00005BB5"/>
    <w:rsid w:val="00010D82"/>
    <w:rsid w:val="0001192C"/>
    <w:rsid w:val="00012E03"/>
    <w:rsid w:val="000136E8"/>
    <w:rsid w:val="00017290"/>
    <w:rsid w:val="0002120E"/>
    <w:rsid w:val="0002592A"/>
    <w:rsid w:val="00025A6F"/>
    <w:rsid w:val="0002618D"/>
    <w:rsid w:val="00027FE3"/>
    <w:rsid w:val="0002CFE1"/>
    <w:rsid w:val="00030B26"/>
    <w:rsid w:val="00030E84"/>
    <w:rsid w:val="00031E39"/>
    <w:rsid w:val="00032C0A"/>
    <w:rsid w:val="0003359C"/>
    <w:rsid w:val="00035257"/>
    <w:rsid w:val="00035D68"/>
    <w:rsid w:val="00041BD4"/>
    <w:rsid w:val="00043DDC"/>
    <w:rsid w:val="00053568"/>
    <w:rsid w:val="00054ACD"/>
    <w:rsid w:val="00054B44"/>
    <w:rsid w:val="000555DE"/>
    <w:rsid w:val="00056236"/>
    <w:rsid w:val="0005688E"/>
    <w:rsid w:val="00056F82"/>
    <w:rsid w:val="000576D6"/>
    <w:rsid w:val="000619D2"/>
    <w:rsid w:val="0006228D"/>
    <w:rsid w:val="0006427E"/>
    <w:rsid w:val="00067755"/>
    <w:rsid w:val="00072BD6"/>
    <w:rsid w:val="00072FE5"/>
    <w:rsid w:val="00073C4B"/>
    <w:rsid w:val="00073C4E"/>
    <w:rsid w:val="0007583A"/>
    <w:rsid w:val="00075B78"/>
    <w:rsid w:val="000763E9"/>
    <w:rsid w:val="00082CD6"/>
    <w:rsid w:val="0008437D"/>
    <w:rsid w:val="00085AFE"/>
    <w:rsid w:val="00091372"/>
    <w:rsid w:val="00094800"/>
    <w:rsid w:val="000A1CA3"/>
    <w:rsid w:val="000A32DF"/>
    <w:rsid w:val="000A41ED"/>
    <w:rsid w:val="000A4DC5"/>
    <w:rsid w:val="000B0730"/>
    <w:rsid w:val="000B0FA8"/>
    <w:rsid w:val="000B1FA5"/>
    <w:rsid w:val="000B3BF0"/>
    <w:rsid w:val="000B4F40"/>
    <w:rsid w:val="000B71B1"/>
    <w:rsid w:val="000C583A"/>
    <w:rsid w:val="000C5C0D"/>
    <w:rsid w:val="000C5EA9"/>
    <w:rsid w:val="000C76AA"/>
    <w:rsid w:val="000C7BD2"/>
    <w:rsid w:val="000D0B16"/>
    <w:rsid w:val="000D10F7"/>
    <w:rsid w:val="000D19F4"/>
    <w:rsid w:val="000D1EA9"/>
    <w:rsid w:val="000D2D25"/>
    <w:rsid w:val="000D469B"/>
    <w:rsid w:val="000D58DD"/>
    <w:rsid w:val="000D6BFC"/>
    <w:rsid w:val="000D6C03"/>
    <w:rsid w:val="000D73CE"/>
    <w:rsid w:val="000E0CDB"/>
    <w:rsid w:val="000E11FB"/>
    <w:rsid w:val="000E3713"/>
    <w:rsid w:val="000E4A79"/>
    <w:rsid w:val="000E6627"/>
    <w:rsid w:val="000E6C82"/>
    <w:rsid w:val="000F0518"/>
    <w:rsid w:val="000F0AD4"/>
    <w:rsid w:val="000F1CAE"/>
    <w:rsid w:val="000F2AE2"/>
    <w:rsid w:val="000F2BFF"/>
    <w:rsid w:val="00101411"/>
    <w:rsid w:val="001018C2"/>
    <w:rsid w:val="00102063"/>
    <w:rsid w:val="00102709"/>
    <w:rsid w:val="00102CC6"/>
    <w:rsid w:val="00104F72"/>
    <w:rsid w:val="0010541C"/>
    <w:rsid w:val="001062AF"/>
    <w:rsid w:val="00106F93"/>
    <w:rsid w:val="00111D50"/>
    <w:rsid w:val="00111F35"/>
    <w:rsid w:val="00112F1D"/>
    <w:rsid w:val="00113B8E"/>
    <w:rsid w:val="001163B1"/>
    <w:rsid w:val="0012053C"/>
    <w:rsid w:val="00120C72"/>
    <w:rsid w:val="001214FF"/>
    <w:rsid w:val="00121D9F"/>
    <w:rsid w:val="00122363"/>
    <w:rsid w:val="0012746A"/>
    <w:rsid w:val="001312A9"/>
    <w:rsid w:val="00132441"/>
    <w:rsid w:val="00132A91"/>
    <w:rsid w:val="00133BC3"/>
    <w:rsid w:val="001342C7"/>
    <w:rsid w:val="0013585C"/>
    <w:rsid w:val="00136BC6"/>
    <w:rsid w:val="00142261"/>
    <w:rsid w:val="00142954"/>
    <w:rsid w:val="00142F08"/>
    <w:rsid w:val="00145413"/>
    <w:rsid w:val="001460E0"/>
    <w:rsid w:val="00146F6C"/>
    <w:rsid w:val="001472F0"/>
    <w:rsid w:val="00147F71"/>
    <w:rsid w:val="001508D1"/>
    <w:rsid w:val="00150A6E"/>
    <w:rsid w:val="001511BD"/>
    <w:rsid w:val="001512F0"/>
    <w:rsid w:val="0015282C"/>
    <w:rsid w:val="00152D52"/>
    <w:rsid w:val="001604E7"/>
    <w:rsid w:val="00160C22"/>
    <w:rsid w:val="0016304B"/>
    <w:rsid w:val="0016468A"/>
    <w:rsid w:val="00173EEF"/>
    <w:rsid w:val="00176590"/>
    <w:rsid w:val="00177266"/>
    <w:rsid w:val="00182BFE"/>
    <w:rsid w:val="0018319D"/>
    <w:rsid w:val="001840DD"/>
    <w:rsid w:val="00184545"/>
    <w:rsid w:val="0018662D"/>
    <w:rsid w:val="001876CB"/>
    <w:rsid w:val="00190755"/>
    <w:rsid w:val="001911C3"/>
    <w:rsid w:val="001939A3"/>
    <w:rsid w:val="00193C08"/>
    <w:rsid w:val="001967B8"/>
    <w:rsid w:val="00196EBE"/>
    <w:rsid w:val="00197427"/>
    <w:rsid w:val="00197B81"/>
    <w:rsid w:val="001A07A3"/>
    <w:rsid w:val="001A0FF6"/>
    <w:rsid w:val="001A21B4"/>
    <w:rsid w:val="001A2311"/>
    <w:rsid w:val="001A528C"/>
    <w:rsid w:val="001A5CF5"/>
    <w:rsid w:val="001A5D18"/>
    <w:rsid w:val="001A6516"/>
    <w:rsid w:val="001A73EE"/>
    <w:rsid w:val="001A75E1"/>
    <w:rsid w:val="001B190A"/>
    <w:rsid w:val="001B39D2"/>
    <w:rsid w:val="001B4BF8"/>
    <w:rsid w:val="001B4FA5"/>
    <w:rsid w:val="001B62FC"/>
    <w:rsid w:val="001B6A57"/>
    <w:rsid w:val="001C04E3"/>
    <w:rsid w:val="001C04EB"/>
    <w:rsid w:val="001C09F4"/>
    <w:rsid w:val="001C4326"/>
    <w:rsid w:val="001C4B6D"/>
    <w:rsid w:val="001C505B"/>
    <w:rsid w:val="001C665E"/>
    <w:rsid w:val="001C69F2"/>
    <w:rsid w:val="001D052C"/>
    <w:rsid w:val="001D085E"/>
    <w:rsid w:val="001D08DF"/>
    <w:rsid w:val="001D0C6B"/>
    <w:rsid w:val="001D0D2D"/>
    <w:rsid w:val="001D2DE9"/>
    <w:rsid w:val="001D3541"/>
    <w:rsid w:val="001D3E4E"/>
    <w:rsid w:val="001D41C3"/>
    <w:rsid w:val="001E0C1D"/>
    <w:rsid w:val="001E1074"/>
    <w:rsid w:val="001E1A79"/>
    <w:rsid w:val="001E254A"/>
    <w:rsid w:val="001E2B04"/>
    <w:rsid w:val="001E2EE3"/>
    <w:rsid w:val="001E2F21"/>
    <w:rsid w:val="001E4412"/>
    <w:rsid w:val="001E4D6C"/>
    <w:rsid w:val="001E6825"/>
    <w:rsid w:val="001E7386"/>
    <w:rsid w:val="001E7E99"/>
    <w:rsid w:val="001F04FC"/>
    <w:rsid w:val="001F3DF3"/>
    <w:rsid w:val="001F45A7"/>
    <w:rsid w:val="001F5517"/>
    <w:rsid w:val="001F5918"/>
    <w:rsid w:val="001F5BB8"/>
    <w:rsid w:val="001F71AC"/>
    <w:rsid w:val="00201A01"/>
    <w:rsid w:val="00202154"/>
    <w:rsid w:val="0020430F"/>
    <w:rsid w:val="0020596B"/>
    <w:rsid w:val="00205CB8"/>
    <w:rsid w:val="00206DC1"/>
    <w:rsid w:val="0020754B"/>
    <w:rsid w:val="002104D3"/>
    <w:rsid w:val="00210EED"/>
    <w:rsid w:val="00212265"/>
    <w:rsid w:val="002126B0"/>
    <w:rsid w:val="00213831"/>
    <w:rsid w:val="00213A33"/>
    <w:rsid w:val="002140DD"/>
    <w:rsid w:val="00216368"/>
    <w:rsid w:val="0021763B"/>
    <w:rsid w:val="0021778A"/>
    <w:rsid w:val="00220719"/>
    <w:rsid w:val="00221006"/>
    <w:rsid w:val="00222B36"/>
    <w:rsid w:val="00222DD5"/>
    <w:rsid w:val="00223C6A"/>
    <w:rsid w:val="0022644C"/>
    <w:rsid w:val="00226554"/>
    <w:rsid w:val="00226F18"/>
    <w:rsid w:val="002303C9"/>
    <w:rsid w:val="0023115A"/>
    <w:rsid w:val="002317CB"/>
    <w:rsid w:val="00233C92"/>
    <w:rsid w:val="00235407"/>
    <w:rsid w:val="002369C8"/>
    <w:rsid w:val="002418C8"/>
    <w:rsid w:val="002429D3"/>
    <w:rsid w:val="00242E6E"/>
    <w:rsid w:val="00243823"/>
    <w:rsid w:val="002443A5"/>
    <w:rsid w:val="00244C3B"/>
    <w:rsid w:val="00245818"/>
    <w:rsid w:val="00246DB1"/>
    <w:rsid w:val="00247211"/>
    <w:rsid w:val="002476B5"/>
    <w:rsid w:val="002520CC"/>
    <w:rsid w:val="00252B81"/>
    <w:rsid w:val="00253308"/>
    <w:rsid w:val="00253ECF"/>
    <w:rsid w:val="0025421E"/>
    <w:rsid w:val="002546A1"/>
    <w:rsid w:val="002546AE"/>
    <w:rsid w:val="002549DA"/>
    <w:rsid w:val="00254FD7"/>
    <w:rsid w:val="00256DD7"/>
    <w:rsid w:val="002600A6"/>
    <w:rsid w:val="00260DF5"/>
    <w:rsid w:val="00262704"/>
    <w:rsid w:val="002628F4"/>
    <w:rsid w:val="00263630"/>
    <w:rsid w:val="00267166"/>
    <w:rsid w:val="0027030F"/>
    <w:rsid w:val="00270994"/>
    <w:rsid w:val="002709A6"/>
    <w:rsid w:val="0027296A"/>
    <w:rsid w:val="00272CD5"/>
    <w:rsid w:val="0027306E"/>
    <w:rsid w:val="002732BA"/>
    <w:rsid w:val="00273FDB"/>
    <w:rsid w:val="00275BED"/>
    <w:rsid w:val="00275D08"/>
    <w:rsid w:val="002775CB"/>
    <w:rsid w:val="002805AC"/>
    <w:rsid w:val="002818DA"/>
    <w:rsid w:val="00282D05"/>
    <w:rsid w:val="00285511"/>
    <w:rsid w:val="002858E3"/>
    <w:rsid w:val="00286A2A"/>
    <w:rsid w:val="0029190A"/>
    <w:rsid w:val="00291BDB"/>
    <w:rsid w:val="00291E51"/>
    <w:rsid w:val="002923B3"/>
    <w:rsid w:val="00292C5A"/>
    <w:rsid w:val="00294EE8"/>
    <w:rsid w:val="00294F3A"/>
    <w:rsid w:val="00295241"/>
    <w:rsid w:val="00295382"/>
    <w:rsid w:val="0029583A"/>
    <w:rsid w:val="0029747B"/>
    <w:rsid w:val="002A0229"/>
    <w:rsid w:val="002A02F5"/>
    <w:rsid w:val="002A3943"/>
    <w:rsid w:val="002A4DFC"/>
    <w:rsid w:val="002A560E"/>
    <w:rsid w:val="002A5AD4"/>
    <w:rsid w:val="002A7C9D"/>
    <w:rsid w:val="002B047D"/>
    <w:rsid w:val="002B060E"/>
    <w:rsid w:val="002B0C1D"/>
    <w:rsid w:val="002B0C33"/>
    <w:rsid w:val="002B375F"/>
    <w:rsid w:val="002B5C18"/>
    <w:rsid w:val="002B732B"/>
    <w:rsid w:val="002B76A7"/>
    <w:rsid w:val="002C177D"/>
    <w:rsid w:val="002C2219"/>
    <w:rsid w:val="002C2552"/>
    <w:rsid w:val="002C380A"/>
    <w:rsid w:val="002C4954"/>
    <w:rsid w:val="002C577F"/>
    <w:rsid w:val="002C5DA8"/>
    <w:rsid w:val="002C5E98"/>
    <w:rsid w:val="002C62F2"/>
    <w:rsid w:val="002C6E9D"/>
    <w:rsid w:val="002C76EB"/>
    <w:rsid w:val="002D0DF2"/>
    <w:rsid w:val="002D23BD"/>
    <w:rsid w:val="002D564C"/>
    <w:rsid w:val="002D6417"/>
    <w:rsid w:val="002D74B7"/>
    <w:rsid w:val="002D7F29"/>
    <w:rsid w:val="002E0212"/>
    <w:rsid w:val="002E042A"/>
    <w:rsid w:val="002E0B47"/>
    <w:rsid w:val="002E14C8"/>
    <w:rsid w:val="002E3586"/>
    <w:rsid w:val="002E7FCB"/>
    <w:rsid w:val="002F158A"/>
    <w:rsid w:val="002F1948"/>
    <w:rsid w:val="002F4685"/>
    <w:rsid w:val="002F4AEF"/>
    <w:rsid w:val="002F5102"/>
    <w:rsid w:val="002F7213"/>
    <w:rsid w:val="003008B7"/>
    <w:rsid w:val="00300F84"/>
    <w:rsid w:val="0030382F"/>
    <w:rsid w:val="0030408D"/>
    <w:rsid w:val="0030418B"/>
    <w:rsid w:val="00304208"/>
    <w:rsid w:val="003060E4"/>
    <w:rsid w:val="00307113"/>
    <w:rsid w:val="003127C7"/>
    <w:rsid w:val="00314B9E"/>
    <w:rsid w:val="00314F3A"/>
    <w:rsid w:val="00315459"/>
    <w:rsid w:val="00315704"/>
    <w:rsid w:val="003160E7"/>
    <w:rsid w:val="0031739E"/>
    <w:rsid w:val="0031783A"/>
    <w:rsid w:val="0032092F"/>
    <w:rsid w:val="003235A0"/>
    <w:rsid w:val="003236C0"/>
    <w:rsid w:val="00323A9A"/>
    <w:rsid w:val="00324903"/>
    <w:rsid w:val="00325682"/>
    <w:rsid w:val="00325C5D"/>
    <w:rsid w:val="003268E7"/>
    <w:rsid w:val="00326F48"/>
    <w:rsid w:val="00327511"/>
    <w:rsid w:val="00327D79"/>
    <w:rsid w:val="003309CA"/>
    <w:rsid w:val="00332043"/>
    <w:rsid w:val="0033210F"/>
    <w:rsid w:val="003325AB"/>
    <w:rsid w:val="003328BC"/>
    <w:rsid w:val="00332B25"/>
    <w:rsid w:val="003332D1"/>
    <w:rsid w:val="0033347B"/>
    <w:rsid w:val="0033412B"/>
    <w:rsid w:val="00334282"/>
    <w:rsid w:val="0033620D"/>
    <w:rsid w:val="00341161"/>
    <w:rsid w:val="00342FF0"/>
    <w:rsid w:val="00343365"/>
    <w:rsid w:val="003445F4"/>
    <w:rsid w:val="00346CEC"/>
    <w:rsid w:val="0035016D"/>
    <w:rsid w:val="00353501"/>
    <w:rsid w:val="00353734"/>
    <w:rsid w:val="003551C4"/>
    <w:rsid w:val="00355C13"/>
    <w:rsid w:val="003606F8"/>
    <w:rsid w:val="00360F5C"/>
    <w:rsid w:val="00361BE6"/>
    <w:rsid w:val="00361E04"/>
    <w:rsid w:val="00363C40"/>
    <w:rsid w:val="003648EF"/>
    <w:rsid w:val="00366D57"/>
    <w:rsid w:val="003673E6"/>
    <w:rsid w:val="00372047"/>
    <w:rsid w:val="0037372D"/>
    <w:rsid w:val="00374F38"/>
    <w:rsid w:val="00375089"/>
    <w:rsid w:val="00375636"/>
    <w:rsid w:val="00376606"/>
    <w:rsid w:val="00377264"/>
    <w:rsid w:val="003777D5"/>
    <w:rsid w:val="003779D2"/>
    <w:rsid w:val="00380965"/>
    <w:rsid w:val="00381CC2"/>
    <w:rsid w:val="003834A2"/>
    <w:rsid w:val="00384EC7"/>
    <w:rsid w:val="00385E38"/>
    <w:rsid w:val="003920C8"/>
    <w:rsid w:val="0039399C"/>
    <w:rsid w:val="00395280"/>
    <w:rsid w:val="003963FC"/>
    <w:rsid w:val="003966D9"/>
    <w:rsid w:val="00396BAA"/>
    <w:rsid w:val="00397E11"/>
    <w:rsid w:val="003A00CB"/>
    <w:rsid w:val="003A1AB5"/>
    <w:rsid w:val="003A1E19"/>
    <w:rsid w:val="003A26A5"/>
    <w:rsid w:val="003A33FA"/>
    <w:rsid w:val="003A3761"/>
    <w:rsid w:val="003A434C"/>
    <w:rsid w:val="003A4BB9"/>
    <w:rsid w:val="003A512D"/>
    <w:rsid w:val="003A5520"/>
    <w:rsid w:val="003A5FEA"/>
    <w:rsid w:val="003B06D7"/>
    <w:rsid w:val="003B121F"/>
    <w:rsid w:val="003B1D10"/>
    <w:rsid w:val="003B765D"/>
    <w:rsid w:val="003C114E"/>
    <w:rsid w:val="003C21B9"/>
    <w:rsid w:val="003C4BCA"/>
    <w:rsid w:val="003C6D1A"/>
    <w:rsid w:val="003C76D4"/>
    <w:rsid w:val="003CAC0E"/>
    <w:rsid w:val="003D0351"/>
    <w:rsid w:val="003D137D"/>
    <w:rsid w:val="003D259E"/>
    <w:rsid w:val="003D25E9"/>
    <w:rsid w:val="003D261E"/>
    <w:rsid w:val="003D2CC5"/>
    <w:rsid w:val="003D3B9A"/>
    <w:rsid w:val="003D3CD6"/>
    <w:rsid w:val="003D4AAA"/>
    <w:rsid w:val="003D4DE7"/>
    <w:rsid w:val="003D566F"/>
    <w:rsid w:val="003D7765"/>
    <w:rsid w:val="003D7779"/>
    <w:rsid w:val="003E04C1"/>
    <w:rsid w:val="003E0887"/>
    <w:rsid w:val="003E2930"/>
    <w:rsid w:val="003E43C2"/>
    <w:rsid w:val="003E48AC"/>
    <w:rsid w:val="003E6BFC"/>
    <w:rsid w:val="003E731A"/>
    <w:rsid w:val="003E74C8"/>
    <w:rsid w:val="003E7C46"/>
    <w:rsid w:val="003F1FA3"/>
    <w:rsid w:val="003F2106"/>
    <w:rsid w:val="003F28E3"/>
    <w:rsid w:val="003F5207"/>
    <w:rsid w:val="003F52A7"/>
    <w:rsid w:val="003F534A"/>
    <w:rsid w:val="003F5842"/>
    <w:rsid w:val="003F6FE1"/>
    <w:rsid w:val="003F7013"/>
    <w:rsid w:val="00400916"/>
    <w:rsid w:val="0040240C"/>
    <w:rsid w:val="004026CB"/>
    <w:rsid w:val="004052A4"/>
    <w:rsid w:val="0040561C"/>
    <w:rsid w:val="00405AC8"/>
    <w:rsid w:val="004076FC"/>
    <w:rsid w:val="00407912"/>
    <w:rsid w:val="00412BAA"/>
    <w:rsid w:val="00413021"/>
    <w:rsid w:val="00414A2F"/>
    <w:rsid w:val="00415D7C"/>
    <w:rsid w:val="00416E57"/>
    <w:rsid w:val="00421A3A"/>
    <w:rsid w:val="0042656C"/>
    <w:rsid w:val="004301C6"/>
    <w:rsid w:val="0043320C"/>
    <w:rsid w:val="00433623"/>
    <w:rsid w:val="0043478F"/>
    <w:rsid w:val="0043602B"/>
    <w:rsid w:val="004361D0"/>
    <w:rsid w:val="0043648A"/>
    <w:rsid w:val="00436CFE"/>
    <w:rsid w:val="00437DF5"/>
    <w:rsid w:val="0044079F"/>
    <w:rsid w:val="00440BE0"/>
    <w:rsid w:val="0044148B"/>
    <w:rsid w:val="00441626"/>
    <w:rsid w:val="00442C1C"/>
    <w:rsid w:val="0044344A"/>
    <w:rsid w:val="00444242"/>
    <w:rsid w:val="0044496C"/>
    <w:rsid w:val="0044584B"/>
    <w:rsid w:val="00445B7F"/>
    <w:rsid w:val="004460D6"/>
    <w:rsid w:val="00447CB7"/>
    <w:rsid w:val="00450994"/>
    <w:rsid w:val="00452A3D"/>
    <w:rsid w:val="0045343F"/>
    <w:rsid w:val="004536AE"/>
    <w:rsid w:val="0045478F"/>
    <w:rsid w:val="004548C7"/>
    <w:rsid w:val="00455B75"/>
    <w:rsid w:val="00455CC9"/>
    <w:rsid w:val="0045711E"/>
    <w:rsid w:val="00460826"/>
    <w:rsid w:val="00460EA7"/>
    <w:rsid w:val="0046195B"/>
    <w:rsid w:val="004619CD"/>
    <w:rsid w:val="00461EDB"/>
    <w:rsid w:val="0046362D"/>
    <w:rsid w:val="00464A71"/>
    <w:rsid w:val="0046596D"/>
    <w:rsid w:val="00466993"/>
    <w:rsid w:val="00467906"/>
    <w:rsid w:val="004679D7"/>
    <w:rsid w:val="004712DF"/>
    <w:rsid w:val="004735BB"/>
    <w:rsid w:val="00473A79"/>
    <w:rsid w:val="00473AF2"/>
    <w:rsid w:val="004746A7"/>
    <w:rsid w:val="00474ED4"/>
    <w:rsid w:val="00475453"/>
    <w:rsid w:val="004764EE"/>
    <w:rsid w:val="004765B6"/>
    <w:rsid w:val="0047664F"/>
    <w:rsid w:val="004771DD"/>
    <w:rsid w:val="00477A6F"/>
    <w:rsid w:val="0048062B"/>
    <w:rsid w:val="00481275"/>
    <w:rsid w:val="00482408"/>
    <w:rsid w:val="004828FA"/>
    <w:rsid w:val="00483312"/>
    <w:rsid w:val="00483450"/>
    <w:rsid w:val="004852F3"/>
    <w:rsid w:val="00486379"/>
    <w:rsid w:val="00486568"/>
    <w:rsid w:val="00487C04"/>
    <w:rsid w:val="004907E1"/>
    <w:rsid w:val="00491ED9"/>
    <w:rsid w:val="00494090"/>
    <w:rsid w:val="004951CD"/>
    <w:rsid w:val="00495C27"/>
    <w:rsid w:val="00497AAF"/>
    <w:rsid w:val="004A035B"/>
    <w:rsid w:val="004A0445"/>
    <w:rsid w:val="004A14E6"/>
    <w:rsid w:val="004A1E75"/>
    <w:rsid w:val="004A2108"/>
    <w:rsid w:val="004A29BC"/>
    <w:rsid w:val="004A38D7"/>
    <w:rsid w:val="004A7177"/>
    <w:rsid w:val="004A778C"/>
    <w:rsid w:val="004B079F"/>
    <w:rsid w:val="004B0A70"/>
    <w:rsid w:val="004B0EB7"/>
    <w:rsid w:val="004B25E1"/>
    <w:rsid w:val="004B2F22"/>
    <w:rsid w:val="004B43AB"/>
    <w:rsid w:val="004B45AB"/>
    <w:rsid w:val="004B48C7"/>
    <w:rsid w:val="004B4E68"/>
    <w:rsid w:val="004B74F2"/>
    <w:rsid w:val="004C0D22"/>
    <w:rsid w:val="004C240D"/>
    <w:rsid w:val="004C26F6"/>
    <w:rsid w:val="004C29D8"/>
    <w:rsid w:val="004C2E6A"/>
    <w:rsid w:val="004C48C4"/>
    <w:rsid w:val="004C4E6B"/>
    <w:rsid w:val="004C64B8"/>
    <w:rsid w:val="004C7E8A"/>
    <w:rsid w:val="004D212A"/>
    <w:rsid w:val="004D21F0"/>
    <w:rsid w:val="004D2A2D"/>
    <w:rsid w:val="004D2C8C"/>
    <w:rsid w:val="004D479F"/>
    <w:rsid w:val="004D626D"/>
    <w:rsid w:val="004D6689"/>
    <w:rsid w:val="004D6C1D"/>
    <w:rsid w:val="004E020F"/>
    <w:rsid w:val="004E1D1D"/>
    <w:rsid w:val="004E1DED"/>
    <w:rsid w:val="004E2504"/>
    <w:rsid w:val="004E42B3"/>
    <w:rsid w:val="004E55EB"/>
    <w:rsid w:val="004E7AC8"/>
    <w:rsid w:val="004F004A"/>
    <w:rsid w:val="004F0C94"/>
    <w:rsid w:val="004F5655"/>
    <w:rsid w:val="004F5D26"/>
    <w:rsid w:val="004F617E"/>
    <w:rsid w:val="004F73ED"/>
    <w:rsid w:val="004F7FA1"/>
    <w:rsid w:val="00500DC8"/>
    <w:rsid w:val="005019AE"/>
    <w:rsid w:val="00501ADE"/>
    <w:rsid w:val="00503749"/>
    <w:rsid w:val="00504CF4"/>
    <w:rsid w:val="00505FA5"/>
    <w:rsid w:val="0050635B"/>
    <w:rsid w:val="005070B2"/>
    <w:rsid w:val="005119E0"/>
    <w:rsid w:val="00512DEE"/>
    <w:rsid w:val="00513CA4"/>
    <w:rsid w:val="005144BE"/>
    <w:rsid w:val="005149AD"/>
    <w:rsid w:val="005150A0"/>
    <w:rsid w:val="005151C2"/>
    <w:rsid w:val="00515731"/>
    <w:rsid w:val="00523AF0"/>
    <w:rsid w:val="00527A4E"/>
    <w:rsid w:val="00530938"/>
    <w:rsid w:val="00530DE7"/>
    <w:rsid w:val="0053199F"/>
    <w:rsid w:val="00531AA5"/>
    <w:rsid w:val="00531E12"/>
    <w:rsid w:val="00533B90"/>
    <w:rsid w:val="00535099"/>
    <w:rsid w:val="0053657B"/>
    <w:rsid w:val="005410F8"/>
    <w:rsid w:val="0054265B"/>
    <w:rsid w:val="00542C20"/>
    <w:rsid w:val="005448EC"/>
    <w:rsid w:val="00544C58"/>
    <w:rsid w:val="00545963"/>
    <w:rsid w:val="0054641A"/>
    <w:rsid w:val="00550256"/>
    <w:rsid w:val="00551120"/>
    <w:rsid w:val="00552468"/>
    <w:rsid w:val="00553165"/>
    <w:rsid w:val="00553958"/>
    <w:rsid w:val="00553A3C"/>
    <w:rsid w:val="00554ED5"/>
    <w:rsid w:val="00554F80"/>
    <w:rsid w:val="00556412"/>
    <w:rsid w:val="00556BB7"/>
    <w:rsid w:val="00556D2B"/>
    <w:rsid w:val="0055763D"/>
    <w:rsid w:val="00557D4E"/>
    <w:rsid w:val="00560960"/>
    <w:rsid w:val="00561516"/>
    <w:rsid w:val="005621F2"/>
    <w:rsid w:val="00565DDB"/>
    <w:rsid w:val="005665FD"/>
    <w:rsid w:val="005673BC"/>
    <w:rsid w:val="00567B58"/>
    <w:rsid w:val="0057041E"/>
    <w:rsid w:val="00571223"/>
    <w:rsid w:val="00571F09"/>
    <w:rsid w:val="0057233F"/>
    <w:rsid w:val="0057264D"/>
    <w:rsid w:val="0057483F"/>
    <w:rsid w:val="005763E0"/>
    <w:rsid w:val="00576856"/>
    <w:rsid w:val="00576F0C"/>
    <w:rsid w:val="00581136"/>
    <w:rsid w:val="00581EB8"/>
    <w:rsid w:val="00582384"/>
    <w:rsid w:val="00583F3A"/>
    <w:rsid w:val="0058449F"/>
    <w:rsid w:val="0058638A"/>
    <w:rsid w:val="00586A25"/>
    <w:rsid w:val="005901E6"/>
    <w:rsid w:val="005908C6"/>
    <w:rsid w:val="00591816"/>
    <w:rsid w:val="00591E8F"/>
    <w:rsid w:val="00591EC6"/>
    <w:rsid w:val="0059243C"/>
    <w:rsid w:val="00594074"/>
    <w:rsid w:val="00594918"/>
    <w:rsid w:val="00597328"/>
    <w:rsid w:val="00597C1B"/>
    <w:rsid w:val="005A1081"/>
    <w:rsid w:val="005A1309"/>
    <w:rsid w:val="005A21AB"/>
    <w:rsid w:val="005A27CA"/>
    <w:rsid w:val="005A3273"/>
    <w:rsid w:val="005A3542"/>
    <w:rsid w:val="005A43BD"/>
    <w:rsid w:val="005A58E7"/>
    <w:rsid w:val="005A5B4E"/>
    <w:rsid w:val="005A79E5"/>
    <w:rsid w:val="005B3372"/>
    <w:rsid w:val="005B4EE7"/>
    <w:rsid w:val="005B53DD"/>
    <w:rsid w:val="005B5984"/>
    <w:rsid w:val="005C2518"/>
    <w:rsid w:val="005C4452"/>
    <w:rsid w:val="005C5F6D"/>
    <w:rsid w:val="005D034C"/>
    <w:rsid w:val="005D0B86"/>
    <w:rsid w:val="005D12EA"/>
    <w:rsid w:val="005D1A77"/>
    <w:rsid w:val="005D2559"/>
    <w:rsid w:val="005D3CD8"/>
    <w:rsid w:val="005D3D4A"/>
    <w:rsid w:val="005D4268"/>
    <w:rsid w:val="005D6CF4"/>
    <w:rsid w:val="005D78C6"/>
    <w:rsid w:val="005E0E92"/>
    <w:rsid w:val="005E1D04"/>
    <w:rsid w:val="005E226E"/>
    <w:rsid w:val="005E22F1"/>
    <w:rsid w:val="005E2636"/>
    <w:rsid w:val="005E2FDD"/>
    <w:rsid w:val="005E4E43"/>
    <w:rsid w:val="005E5A5F"/>
    <w:rsid w:val="005E6B50"/>
    <w:rsid w:val="005E784C"/>
    <w:rsid w:val="005F00BB"/>
    <w:rsid w:val="005F04B9"/>
    <w:rsid w:val="005F1B0B"/>
    <w:rsid w:val="005F3C8C"/>
    <w:rsid w:val="005F41A8"/>
    <w:rsid w:val="005F5963"/>
    <w:rsid w:val="005F608C"/>
    <w:rsid w:val="005F77FC"/>
    <w:rsid w:val="0060060B"/>
    <w:rsid w:val="006015D7"/>
    <w:rsid w:val="00601B21"/>
    <w:rsid w:val="00602CEC"/>
    <w:rsid w:val="006041F0"/>
    <w:rsid w:val="00605C6D"/>
    <w:rsid w:val="00610978"/>
    <w:rsid w:val="006120CA"/>
    <w:rsid w:val="0061431F"/>
    <w:rsid w:val="006157D7"/>
    <w:rsid w:val="006175E7"/>
    <w:rsid w:val="0062282F"/>
    <w:rsid w:val="0062365D"/>
    <w:rsid w:val="00623E1D"/>
    <w:rsid w:val="00624174"/>
    <w:rsid w:val="0062593B"/>
    <w:rsid w:val="00626CF8"/>
    <w:rsid w:val="00627973"/>
    <w:rsid w:val="006300DC"/>
    <w:rsid w:val="006314AF"/>
    <w:rsid w:val="0063159C"/>
    <w:rsid w:val="00634ED8"/>
    <w:rsid w:val="006358E1"/>
    <w:rsid w:val="00635C37"/>
    <w:rsid w:val="00636D7D"/>
    <w:rsid w:val="00637408"/>
    <w:rsid w:val="006403E7"/>
    <w:rsid w:val="0064066F"/>
    <w:rsid w:val="00641ADC"/>
    <w:rsid w:val="00642868"/>
    <w:rsid w:val="00642DC7"/>
    <w:rsid w:val="006462DC"/>
    <w:rsid w:val="00647AFE"/>
    <w:rsid w:val="006512BC"/>
    <w:rsid w:val="006516A0"/>
    <w:rsid w:val="00651CC6"/>
    <w:rsid w:val="00652215"/>
    <w:rsid w:val="0065247B"/>
    <w:rsid w:val="00653294"/>
    <w:rsid w:val="00653A5A"/>
    <w:rsid w:val="00654A19"/>
    <w:rsid w:val="00654CF5"/>
    <w:rsid w:val="006554AC"/>
    <w:rsid w:val="006558F3"/>
    <w:rsid w:val="00655D2D"/>
    <w:rsid w:val="00655E0E"/>
    <w:rsid w:val="00656D1F"/>
    <w:rsid w:val="006575F4"/>
    <w:rsid w:val="006578FF"/>
    <w:rsid w:val="006579E6"/>
    <w:rsid w:val="00657F90"/>
    <w:rsid w:val="00660682"/>
    <w:rsid w:val="00660F74"/>
    <w:rsid w:val="00663A61"/>
    <w:rsid w:val="00663EDC"/>
    <w:rsid w:val="00664C21"/>
    <w:rsid w:val="00665BE5"/>
    <w:rsid w:val="00665C8D"/>
    <w:rsid w:val="00667E20"/>
    <w:rsid w:val="00671078"/>
    <w:rsid w:val="00671F59"/>
    <w:rsid w:val="006724D1"/>
    <w:rsid w:val="0067273E"/>
    <w:rsid w:val="006758CA"/>
    <w:rsid w:val="0067649B"/>
    <w:rsid w:val="00676626"/>
    <w:rsid w:val="0067720E"/>
    <w:rsid w:val="0067772B"/>
    <w:rsid w:val="00680A04"/>
    <w:rsid w:val="00680FA4"/>
    <w:rsid w:val="00681487"/>
    <w:rsid w:val="00684473"/>
    <w:rsid w:val="006856ED"/>
    <w:rsid w:val="00686D80"/>
    <w:rsid w:val="006873E9"/>
    <w:rsid w:val="006874AE"/>
    <w:rsid w:val="00690BB4"/>
    <w:rsid w:val="006928B9"/>
    <w:rsid w:val="00693106"/>
    <w:rsid w:val="006947F3"/>
    <w:rsid w:val="00694895"/>
    <w:rsid w:val="00697E2E"/>
    <w:rsid w:val="006A0E84"/>
    <w:rsid w:val="006A19BD"/>
    <w:rsid w:val="006A25A2"/>
    <w:rsid w:val="006A2C4F"/>
    <w:rsid w:val="006A2F5A"/>
    <w:rsid w:val="006A3B87"/>
    <w:rsid w:val="006A4D11"/>
    <w:rsid w:val="006A4EE1"/>
    <w:rsid w:val="006A530E"/>
    <w:rsid w:val="006B076A"/>
    <w:rsid w:val="006B0A25"/>
    <w:rsid w:val="006B0E73"/>
    <w:rsid w:val="006B0F92"/>
    <w:rsid w:val="006B1E3D"/>
    <w:rsid w:val="006B1F00"/>
    <w:rsid w:val="006B28BF"/>
    <w:rsid w:val="006B46EF"/>
    <w:rsid w:val="006B4A4D"/>
    <w:rsid w:val="006B5695"/>
    <w:rsid w:val="006B7B2E"/>
    <w:rsid w:val="006C0E49"/>
    <w:rsid w:val="006C38A0"/>
    <w:rsid w:val="006C5013"/>
    <w:rsid w:val="006C5134"/>
    <w:rsid w:val="006C537A"/>
    <w:rsid w:val="006C5B7B"/>
    <w:rsid w:val="006C737A"/>
    <w:rsid w:val="006C78EB"/>
    <w:rsid w:val="006C7BFE"/>
    <w:rsid w:val="006C7DA4"/>
    <w:rsid w:val="006D12BE"/>
    <w:rsid w:val="006D1660"/>
    <w:rsid w:val="006D1DBB"/>
    <w:rsid w:val="006D5DDB"/>
    <w:rsid w:val="006D63E5"/>
    <w:rsid w:val="006E0FF9"/>
    <w:rsid w:val="006E13C1"/>
    <w:rsid w:val="006E1753"/>
    <w:rsid w:val="006E201E"/>
    <w:rsid w:val="006E2063"/>
    <w:rsid w:val="006E259D"/>
    <w:rsid w:val="006E2B9A"/>
    <w:rsid w:val="006E2EC7"/>
    <w:rsid w:val="006E2FB4"/>
    <w:rsid w:val="006E3911"/>
    <w:rsid w:val="006E3DCB"/>
    <w:rsid w:val="006E4B0E"/>
    <w:rsid w:val="006E7704"/>
    <w:rsid w:val="006E7A2A"/>
    <w:rsid w:val="006F0198"/>
    <w:rsid w:val="006F1B67"/>
    <w:rsid w:val="006F38B5"/>
    <w:rsid w:val="006F3984"/>
    <w:rsid w:val="006F3C54"/>
    <w:rsid w:val="006F40B8"/>
    <w:rsid w:val="006F4671"/>
    <w:rsid w:val="006F4CF5"/>
    <w:rsid w:val="006F4D9C"/>
    <w:rsid w:val="006F500E"/>
    <w:rsid w:val="0070091D"/>
    <w:rsid w:val="0070139B"/>
    <w:rsid w:val="00701E9D"/>
    <w:rsid w:val="00702854"/>
    <w:rsid w:val="00705604"/>
    <w:rsid w:val="007061DB"/>
    <w:rsid w:val="007064EC"/>
    <w:rsid w:val="00706C72"/>
    <w:rsid w:val="007107B0"/>
    <w:rsid w:val="00712DB9"/>
    <w:rsid w:val="00712E62"/>
    <w:rsid w:val="0071741C"/>
    <w:rsid w:val="007214F2"/>
    <w:rsid w:val="007227F1"/>
    <w:rsid w:val="00726639"/>
    <w:rsid w:val="00726E00"/>
    <w:rsid w:val="00727B63"/>
    <w:rsid w:val="00727CB1"/>
    <w:rsid w:val="007323E1"/>
    <w:rsid w:val="00737555"/>
    <w:rsid w:val="00741F3E"/>
    <w:rsid w:val="00742B90"/>
    <w:rsid w:val="00742E3B"/>
    <w:rsid w:val="00743B48"/>
    <w:rsid w:val="00743D84"/>
    <w:rsid w:val="0074434D"/>
    <w:rsid w:val="00744537"/>
    <w:rsid w:val="00747308"/>
    <w:rsid w:val="0074764A"/>
    <w:rsid w:val="00750F1D"/>
    <w:rsid w:val="00751182"/>
    <w:rsid w:val="007527A2"/>
    <w:rsid w:val="007553B3"/>
    <w:rsid w:val="00755969"/>
    <w:rsid w:val="00756DD8"/>
    <w:rsid w:val="007570C4"/>
    <w:rsid w:val="007605B8"/>
    <w:rsid w:val="00761BF3"/>
    <w:rsid w:val="00762CA9"/>
    <w:rsid w:val="00762DA4"/>
    <w:rsid w:val="00763C27"/>
    <w:rsid w:val="00764ED6"/>
    <w:rsid w:val="007711B2"/>
    <w:rsid w:val="00771B1E"/>
    <w:rsid w:val="0077229A"/>
    <w:rsid w:val="00773558"/>
    <w:rsid w:val="00773ACA"/>
    <w:rsid w:val="00773C95"/>
    <w:rsid w:val="0077780A"/>
    <w:rsid w:val="0078171E"/>
    <w:rsid w:val="00781BDB"/>
    <w:rsid w:val="00781C8A"/>
    <w:rsid w:val="00786244"/>
    <w:rsid w:val="007863F3"/>
    <w:rsid w:val="0078658E"/>
    <w:rsid w:val="0078E589"/>
    <w:rsid w:val="0079097A"/>
    <w:rsid w:val="0079152C"/>
    <w:rsid w:val="00791886"/>
    <w:rsid w:val="00791E1C"/>
    <w:rsid w:val="00792092"/>
    <w:rsid w:val="007920E2"/>
    <w:rsid w:val="00793142"/>
    <w:rsid w:val="0079407A"/>
    <w:rsid w:val="007945BB"/>
    <w:rsid w:val="0079566E"/>
    <w:rsid w:val="007959DB"/>
    <w:rsid w:val="00795B34"/>
    <w:rsid w:val="00795BE0"/>
    <w:rsid w:val="007969C7"/>
    <w:rsid w:val="0079724C"/>
    <w:rsid w:val="007A067F"/>
    <w:rsid w:val="007A0C49"/>
    <w:rsid w:val="007A27B2"/>
    <w:rsid w:val="007A2BFC"/>
    <w:rsid w:val="007A37C0"/>
    <w:rsid w:val="007A4772"/>
    <w:rsid w:val="007A532A"/>
    <w:rsid w:val="007A61A8"/>
    <w:rsid w:val="007A6AD1"/>
    <w:rsid w:val="007B1770"/>
    <w:rsid w:val="007B1A78"/>
    <w:rsid w:val="007B2CFC"/>
    <w:rsid w:val="007B4D3E"/>
    <w:rsid w:val="007B56D5"/>
    <w:rsid w:val="007B6DAE"/>
    <w:rsid w:val="007B7C70"/>
    <w:rsid w:val="007B7DEB"/>
    <w:rsid w:val="007C0449"/>
    <w:rsid w:val="007C132A"/>
    <w:rsid w:val="007C2D1E"/>
    <w:rsid w:val="007C3E20"/>
    <w:rsid w:val="007C49FC"/>
    <w:rsid w:val="007C4ECA"/>
    <w:rsid w:val="007C5B65"/>
    <w:rsid w:val="007C6177"/>
    <w:rsid w:val="007C6573"/>
    <w:rsid w:val="007C75A1"/>
    <w:rsid w:val="007C7F99"/>
    <w:rsid w:val="007D0B1E"/>
    <w:rsid w:val="007D1B11"/>
    <w:rsid w:val="007D2151"/>
    <w:rsid w:val="007D3B90"/>
    <w:rsid w:val="007D42CC"/>
    <w:rsid w:val="007D580E"/>
    <w:rsid w:val="007D5C6A"/>
    <w:rsid w:val="007D5DE4"/>
    <w:rsid w:val="007D702A"/>
    <w:rsid w:val="007D7C3A"/>
    <w:rsid w:val="007E0777"/>
    <w:rsid w:val="007E1341"/>
    <w:rsid w:val="007E1B41"/>
    <w:rsid w:val="007E1EC4"/>
    <w:rsid w:val="007E30B9"/>
    <w:rsid w:val="007E3DB6"/>
    <w:rsid w:val="007E74F1"/>
    <w:rsid w:val="007E7E60"/>
    <w:rsid w:val="007F0F0C"/>
    <w:rsid w:val="007F1288"/>
    <w:rsid w:val="007F5A0F"/>
    <w:rsid w:val="007F611E"/>
    <w:rsid w:val="007F6233"/>
    <w:rsid w:val="007F65F8"/>
    <w:rsid w:val="00800A8A"/>
    <w:rsid w:val="0080155C"/>
    <w:rsid w:val="00803856"/>
    <w:rsid w:val="00804C7B"/>
    <w:rsid w:val="00805202"/>
    <w:rsid w:val="008052E1"/>
    <w:rsid w:val="00807E50"/>
    <w:rsid w:val="00815765"/>
    <w:rsid w:val="0081708D"/>
    <w:rsid w:val="008205F6"/>
    <w:rsid w:val="008210B1"/>
    <w:rsid w:val="00821491"/>
    <w:rsid w:val="00822F2C"/>
    <w:rsid w:val="008237AD"/>
    <w:rsid w:val="00823DEE"/>
    <w:rsid w:val="0082424E"/>
    <w:rsid w:val="00824265"/>
    <w:rsid w:val="00825658"/>
    <w:rsid w:val="008305E8"/>
    <w:rsid w:val="00830A9C"/>
    <w:rsid w:val="00833544"/>
    <w:rsid w:val="00833CAF"/>
    <w:rsid w:val="00833DFE"/>
    <w:rsid w:val="00834F69"/>
    <w:rsid w:val="00835D27"/>
    <w:rsid w:val="00836165"/>
    <w:rsid w:val="008361BA"/>
    <w:rsid w:val="008372D9"/>
    <w:rsid w:val="00840A01"/>
    <w:rsid w:val="00841C1C"/>
    <w:rsid w:val="00842AEF"/>
    <w:rsid w:val="00842DF0"/>
    <w:rsid w:val="00844806"/>
    <w:rsid w:val="008450CB"/>
    <w:rsid w:val="0084640C"/>
    <w:rsid w:val="0085327F"/>
    <w:rsid w:val="008544DC"/>
    <w:rsid w:val="00855773"/>
    <w:rsid w:val="00855B86"/>
    <w:rsid w:val="00856088"/>
    <w:rsid w:val="00860826"/>
    <w:rsid w:val="00860E21"/>
    <w:rsid w:val="00861392"/>
    <w:rsid w:val="00863117"/>
    <w:rsid w:val="0086388B"/>
    <w:rsid w:val="008639B9"/>
    <w:rsid w:val="008642E5"/>
    <w:rsid w:val="00864488"/>
    <w:rsid w:val="00865435"/>
    <w:rsid w:val="008673F3"/>
    <w:rsid w:val="00870A36"/>
    <w:rsid w:val="008718C8"/>
    <w:rsid w:val="00872C84"/>
    <w:rsid w:val="00872D93"/>
    <w:rsid w:val="0087305B"/>
    <w:rsid w:val="008733FA"/>
    <w:rsid w:val="00874C35"/>
    <w:rsid w:val="00875800"/>
    <w:rsid w:val="00875A37"/>
    <w:rsid w:val="00875A91"/>
    <w:rsid w:val="008771FF"/>
    <w:rsid w:val="008778FE"/>
    <w:rsid w:val="00880470"/>
    <w:rsid w:val="00880D94"/>
    <w:rsid w:val="0088175A"/>
    <w:rsid w:val="008865CA"/>
    <w:rsid w:val="00886F64"/>
    <w:rsid w:val="0089017B"/>
    <w:rsid w:val="008924DE"/>
    <w:rsid w:val="00892758"/>
    <w:rsid w:val="00892C05"/>
    <w:rsid w:val="008955BA"/>
    <w:rsid w:val="00895735"/>
    <w:rsid w:val="00895DB2"/>
    <w:rsid w:val="00896E6A"/>
    <w:rsid w:val="008975D4"/>
    <w:rsid w:val="008A05FB"/>
    <w:rsid w:val="008A0855"/>
    <w:rsid w:val="008A0EFD"/>
    <w:rsid w:val="008A1DB3"/>
    <w:rsid w:val="008A3755"/>
    <w:rsid w:val="008A390A"/>
    <w:rsid w:val="008A4030"/>
    <w:rsid w:val="008A4FBF"/>
    <w:rsid w:val="008A5A1E"/>
    <w:rsid w:val="008A5CBD"/>
    <w:rsid w:val="008A6C5A"/>
    <w:rsid w:val="008A73FA"/>
    <w:rsid w:val="008A7553"/>
    <w:rsid w:val="008B058D"/>
    <w:rsid w:val="008B0832"/>
    <w:rsid w:val="008B0944"/>
    <w:rsid w:val="008B19DC"/>
    <w:rsid w:val="008B264F"/>
    <w:rsid w:val="008B367D"/>
    <w:rsid w:val="008B6829"/>
    <w:rsid w:val="008B6F83"/>
    <w:rsid w:val="008B71BB"/>
    <w:rsid w:val="008B7812"/>
    <w:rsid w:val="008B7DEB"/>
    <w:rsid w:val="008B7FD8"/>
    <w:rsid w:val="008C1108"/>
    <w:rsid w:val="008C2973"/>
    <w:rsid w:val="008C30D4"/>
    <w:rsid w:val="008C6324"/>
    <w:rsid w:val="008C64C4"/>
    <w:rsid w:val="008C7CA1"/>
    <w:rsid w:val="008D2CDD"/>
    <w:rsid w:val="008D74D5"/>
    <w:rsid w:val="008D75A4"/>
    <w:rsid w:val="008E0CBB"/>
    <w:rsid w:val="008E0ECA"/>
    <w:rsid w:val="008E0ED1"/>
    <w:rsid w:val="008E1221"/>
    <w:rsid w:val="008E15D3"/>
    <w:rsid w:val="008E1BA9"/>
    <w:rsid w:val="008E3A07"/>
    <w:rsid w:val="008E537B"/>
    <w:rsid w:val="008E753B"/>
    <w:rsid w:val="008E7BB1"/>
    <w:rsid w:val="008F01E3"/>
    <w:rsid w:val="008F09C4"/>
    <w:rsid w:val="008F29BE"/>
    <w:rsid w:val="008F2A20"/>
    <w:rsid w:val="008F2B72"/>
    <w:rsid w:val="008F3F0A"/>
    <w:rsid w:val="008F4AE5"/>
    <w:rsid w:val="008F51EB"/>
    <w:rsid w:val="008F6A98"/>
    <w:rsid w:val="00900197"/>
    <w:rsid w:val="00901A0E"/>
    <w:rsid w:val="0090201A"/>
    <w:rsid w:val="00902349"/>
    <w:rsid w:val="00902F55"/>
    <w:rsid w:val="009037B2"/>
    <w:rsid w:val="00904913"/>
    <w:rsid w:val="00905746"/>
    <w:rsid w:val="009057BC"/>
    <w:rsid w:val="0090582B"/>
    <w:rsid w:val="009060C0"/>
    <w:rsid w:val="0091149C"/>
    <w:rsid w:val="009114A2"/>
    <w:rsid w:val="009133F5"/>
    <w:rsid w:val="00913AAE"/>
    <w:rsid w:val="009143BA"/>
    <w:rsid w:val="0091577A"/>
    <w:rsid w:val="009165C2"/>
    <w:rsid w:val="00916779"/>
    <w:rsid w:val="0091756F"/>
    <w:rsid w:val="0091777B"/>
    <w:rsid w:val="00917F28"/>
    <w:rsid w:val="00920A27"/>
    <w:rsid w:val="00920A3B"/>
    <w:rsid w:val="00921051"/>
    <w:rsid w:val="00921216"/>
    <w:rsid w:val="009216CC"/>
    <w:rsid w:val="00922C2D"/>
    <w:rsid w:val="00922D0C"/>
    <w:rsid w:val="00926083"/>
    <w:rsid w:val="00926F3E"/>
    <w:rsid w:val="00926FD5"/>
    <w:rsid w:val="009273C7"/>
    <w:rsid w:val="0093009E"/>
    <w:rsid w:val="00930776"/>
    <w:rsid w:val="00930D08"/>
    <w:rsid w:val="00931466"/>
    <w:rsid w:val="00931FDF"/>
    <w:rsid w:val="00932D69"/>
    <w:rsid w:val="00933582"/>
    <w:rsid w:val="00933F9B"/>
    <w:rsid w:val="009344CD"/>
    <w:rsid w:val="00935589"/>
    <w:rsid w:val="00935EA8"/>
    <w:rsid w:val="00936048"/>
    <w:rsid w:val="00936116"/>
    <w:rsid w:val="0093689B"/>
    <w:rsid w:val="009370D0"/>
    <w:rsid w:val="00941428"/>
    <w:rsid w:val="009432A5"/>
    <w:rsid w:val="00944647"/>
    <w:rsid w:val="009469A1"/>
    <w:rsid w:val="00946A21"/>
    <w:rsid w:val="00946D17"/>
    <w:rsid w:val="00950E8E"/>
    <w:rsid w:val="00952892"/>
    <w:rsid w:val="009532F7"/>
    <w:rsid w:val="0095565C"/>
    <w:rsid w:val="00955C56"/>
    <w:rsid w:val="00957608"/>
    <w:rsid w:val="00960E64"/>
    <w:rsid w:val="00962694"/>
    <w:rsid w:val="00962C60"/>
    <w:rsid w:val="0096489B"/>
    <w:rsid w:val="00964AB6"/>
    <w:rsid w:val="00964ADA"/>
    <w:rsid w:val="009651B4"/>
    <w:rsid w:val="00965427"/>
    <w:rsid w:val="00965A13"/>
    <w:rsid w:val="00966626"/>
    <w:rsid w:val="00966F9A"/>
    <w:rsid w:val="00970783"/>
    <w:rsid w:val="00970851"/>
    <w:rsid w:val="00971C11"/>
    <w:rsid w:val="009723D1"/>
    <w:rsid w:val="009726A7"/>
    <w:rsid w:val="0097289B"/>
    <w:rsid w:val="00974B5D"/>
    <w:rsid w:val="00977B8A"/>
    <w:rsid w:val="00982619"/>
    <w:rsid w:val="009826FE"/>
    <w:rsid w:val="00982971"/>
    <w:rsid w:val="009845AD"/>
    <w:rsid w:val="00984835"/>
    <w:rsid w:val="00984AD5"/>
    <w:rsid w:val="009857AA"/>
    <w:rsid w:val="0098639B"/>
    <w:rsid w:val="00991580"/>
    <w:rsid w:val="009933EF"/>
    <w:rsid w:val="00995BA0"/>
    <w:rsid w:val="00996976"/>
    <w:rsid w:val="009A1F27"/>
    <w:rsid w:val="009A2828"/>
    <w:rsid w:val="009A3149"/>
    <w:rsid w:val="009A31D4"/>
    <w:rsid w:val="009A418B"/>
    <w:rsid w:val="009A426F"/>
    <w:rsid w:val="009A42D5"/>
    <w:rsid w:val="009A4391"/>
    <w:rsid w:val="009A4473"/>
    <w:rsid w:val="009A5DB5"/>
    <w:rsid w:val="009A6FFA"/>
    <w:rsid w:val="009A7EE7"/>
    <w:rsid w:val="009B05C9"/>
    <w:rsid w:val="009B08AB"/>
    <w:rsid w:val="009B0B7F"/>
    <w:rsid w:val="009B1118"/>
    <w:rsid w:val="009B1AEF"/>
    <w:rsid w:val="009B286C"/>
    <w:rsid w:val="009B3D8B"/>
    <w:rsid w:val="009B43FC"/>
    <w:rsid w:val="009C151C"/>
    <w:rsid w:val="009C1C66"/>
    <w:rsid w:val="009C2AD0"/>
    <w:rsid w:val="009C2AFF"/>
    <w:rsid w:val="009C3294"/>
    <w:rsid w:val="009C3872"/>
    <w:rsid w:val="009C39AA"/>
    <w:rsid w:val="009C39FE"/>
    <w:rsid w:val="009C3E03"/>
    <w:rsid w:val="009C440A"/>
    <w:rsid w:val="009C4F59"/>
    <w:rsid w:val="009C5B88"/>
    <w:rsid w:val="009C6193"/>
    <w:rsid w:val="009C720A"/>
    <w:rsid w:val="009C73E7"/>
    <w:rsid w:val="009D4405"/>
    <w:rsid w:val="009D5125"/>
    <w:rsid w:val="009D60B8"/>
    <w:rsid w:val="009D7D4B"/>
    <w:rsid w:val="009D7D8F"/>
    <w:rsid w:val="009E2237"/>
    <w:rsid w:val="009E36ED"/>
    <w:rsid w:val="009E3C8C"/>
    <w:rsid w:val="009E63ED"/>
    <w:rsid w:val="009E6B77"/>
    <w:rsid w:val="009E7D5E"/>
    <w:rsid w:val="009F0956"/>
    <w:rsid w:val="009F1787"/>
    <w:rsid w:val="009F460A"/>
    <w:rsid w:val="009F6A29"/>
    <w:rsid w:val="00A00641"/>
    <w:rsid w:val="00A03D45"/>
    <w:rsid w:val="00A043FB"/>
    <w:rsid w:val="00A06BE4"/>
    <w:rsid w:val="00A0729C"/>
    <w:rsid w:val="00A07779"/>
    <w:rsid w:val="00A1117D"/>
    <w:rsid w:val="00A1166A"/>
    <w:rsid w:val="00A12D9E"/>
    <w:rsid w:val="00A1472D"/>
    <w:rsid w:val="00A14D6C"/>
    <w:rsid w:val="00A15046"/>
    <w:rsid w:val="00A1590B"/>
    <w:rsid w:val="00A1705B"/>
    <w:rsid w:val="00A173CE"/>
    <w:rsid w:val="00A20B2E"/>
    <w:rsid w:val="00A23EFF"/>
    <w:rsid w:val="00A24B5C"/>
    <w:rsid w:val="00A24F33"/>
    <w:rsid w:val="00A25069"/>
    <w:rsid w:val="00A254E8"/>
    <w:rsid w:val="00A26E6B"/>
    <w:rsid w:val="00A2770B"/>
    <w:rsid w:val="00A30587"/>
    <w:rsid w:val="00A3068F"/>
    <w:rsid w:val="00A30841"/>
    <w:rsid w:val="00A3145B"/>
    <w:rsid w:val="00A31B3D"/>
    <w:rsid w:val="00A31ED0"/>
    <w:rsid w:val="00A32127"/>
    <w:rsid w:val="00A322CE"/>
    <w:rsid w:val="00A32E34"/>
    <w:rsid w:val="00A339D0"/>
    <w:rsid w:val="00A3645E"/>
    <w:rsid w:val="00A372DD"/>
    <w:rsid w:val="00A3874E"/>
    <w:rsid w:val="00A41002"/>
    <w:rsid w:val="00A4201A"/>
    <w:rsid w:val="00A425AF"/>
    <w:rsid w:val="00A427EF"/>
    <w:rsid w:val="00A42831"/>
    <w:rsid w:val="00A42CA2"/>
    <w:rsid w:val="00A43EB4"/>
    <w:rsid w:val="00A469BF"/>
    <w:rsid w:val="00A47112"/>
    <w:rsid w:val="00A5465D"/>
    <w:rsid w:val="00A55315"/>
    <w:rsid w:val="00A553CE"/>
    <w:rsid w:val="00A55768"/>
    <w:rsid w:val="00A5677A"/>
    <w:rsid w:val="00A56DCC"/>
    <w:rsid w:val="00A56FEA"/>
    <w:rsid w:val="00A5793E"/>
    <w:rsid w:val="00A57EDE"/>
    <w:rsid w:val="00A625E8"/>
    <w:rsid w:val="00A63DFF"/>
    <w:rsid w:val="00A64246"/>
    <w:rsid w:val="00A6490D"/>
    <w:rsid w:val="00A6515C"/>
    <w:rsid w:val="00A6567F"/>
    <w:rsid w:val="00A65723"/>
    <w:rsid w:val="00A67575"/>
    <w:rsid w:val="00A70465"/>
    <w:rsid w:val="00A7415D"/>
    <w:rsid w:val="00A75D24"/>
    <w:rsid w:val="00A75FD1"/>
    <w:rsid w:val="00A80363"/>
    <w:rsid w:val="00A8079B"/>
    <w:rsid w:val="00A80939"/>
    <w:rsid w:val="00A80EB1"/>
    <w:rsid w:val="00A831AB"/>
    <w:rsid w:val="00A83DED"/>
    <w:rsid w:val="00A83E9D"/>
    <w:rsid w:val="00A83FE1"/>
    <w:rsid w:val="00A86160"/>
    <w:rsid w:val="00A865C1"/>
    <w:rsid w:val="00A873B2"/>
    <w:rsid w:val="00A87C05"/>
    <w:rsid w:val="00A9169D"/>
    <w:rsid w:val="00A91CC4"/>
    <w:rsid w:val="00A920C2"/>
    <w:rsid w:val="00A95818"/>
    <w:rsid w:val="00A97196"/>
    <w:rsid w:val="00A97270"/>
    <w:rsid w:val="00A97EF6"/>
    <w:rsid w:val="00AA0C22"/>
    <w:rsid w:val="00AA17F4"/>
    <w:rsid w:val="00AA1A5D"/>
    <w:rsid w:val="00AA240C"/>
    <w:rsid w:val="00AA27C3"/>
    <w:rsid w:val="00AB08B3"/>
    <w:rsid w:val="00AB1171"/>
    <w:rsid w:val="00AB16C8"/>
    <w:rsid w:val="00AB5237"/>
    <w:rsid w:val="00AB6B7E"/>
    <w:rsid w:val="00AB7832"/>
    <w:rsid w:val="00AB7966"/>
    <w:rsid w:val="00AC101C"/>
    <w:rsid w:val="00AC262D"/>
    <w:rsid w:val="00AC3DC7"/>
    <w:rsid w:val="00AC5342"/>
    <w:rsid w:val="00AC542D"/>
    <w:rsid w:val="00AC56E1"/>
    <w:rsid w:val="00AC5C02"/>
    <w:rsid w:val="00AD0518"/>
    <w:rsid w:val="00AD06F4"/>
    <w:rsid w:val="00AD1FD1"/>
    <w:rsid w:val="00AD4CF1"/>
    <w:rsid w:val="00AD5988"/>
    <w:rsid w:val="00AD6293"/>
    <w:rsid w:val="00AD6BA4"/>
    <w:rsid w:val="00AD6D69"/>
    <w:rsid w:val="00AE1D61"/>
    <w:rsid w:val="00AE1D8A"/>
    <w:rsid w:val="00AE3412"/>
    <w:rsid w:val="00AE3B6C"/>
    <w:rsid w:val="00AE54BA"/>
    <w:rsid w:val="00AE6056"/>
    <w:rsid w:val="00AF0A5E"/>
    <w:rsid w:val="00AF0BA6"/>
    <w:rsid w:val="00AF1BA8"/>
    <w:rsid w:val="00AF1DE1"/>
    <w:rsid w:val="00AF392A"/>
    <w:rsid w:val="00AF4529"/>
    <w:rsid w:val="00AF656B"/>
    <w:rsid w:val="00AF6E09"/>
    <w:rsid w:val="00AF7800"/>
    <w:rsid w:val="00B00147"/>
    <w:rsid w:val="00B00CF5"/>
    <w:rsid w:val="00B028B8"/>
    <w:rsid w:val="00B03E49"/>
    <w:rsid w:val="00B064FF"/>
    <w:rsid w:val="00B072E0"/>
    <w:rsid w:val="00B1007E"/>
    <w:rsid w:val="00B103C2"/>
    <w:rsid w:val="00B10BF1"/>
    <w:rsid w:val="00B12D08"/>
    <w:rsid w:val="00B16BC4"/>
    <w:rsid w:val="00B17DC5"/>
    <w:rsid w:val="00B2073F"/>
    <w:rsid w:val="00B2392B"/>
    <w:rsid w:val="00B24845"/>
    <w:rsid w:val="00B24D97"/>
    <w:rsid w:val="00B25359"/>
    <w:rsid w:val="00B253F6"/>
    <w:rsid w:val="00B25696"/>
    <w:rsid w:val="00B26675"/>
    <w:rsid w:val="00B26F0F"/>
    <w:rsid w:val="00B305DB"/>
    <w:rsid w:val="00B31521"/>
    <w:rsid w:val="00B31AB5"/>
    <w:rsid w:val="00B31BD4"/>
    <w:rsid w:val="00B325A6"/>
    <w:rsid w:val="00B32E5C"/>
    <w:rsid w:val="00B33032"/>
    <w:rsid w:val="00B33115"/>
    <w:rsid w:val="00B332F8"/>
    <w:rsid w:val="00B34492"/>
    <w:rsid w:val="00B3492B"/>
    <w:rsid w:val="00B34971"/>
    <w:rsid w:val="00B35C57"/>
    <w:rsid w:val="00B37B92"/>
    <w:rsid w:val="00B422F2"/>
    <w:rsid w:val="00B42EA9"/>
    <w:rsid w:val="00B440F8"/>
    <w:rsid w:val="00B4646F"/>
    <w:rsid w:val="00B47E80"/>
    <w:rsid w:val="00B5103C"/>
    <w:rsid w:val="00B52BE9"/>
    <w:rsid w:val="00B533F4"/>
    <w:rsid w:val="00B542A6"/>
    <w:rsid w:val="00B5498A"/>
    <w:rsid w:val="00B55C7D"/>
    <w:rsid w:val="00B578EB"/>
    <w:rsid w:val="00B611C0"/>
    <w:rsid w:val="00B62C0A"/>
    <w:rsid w:val="00B63038"/>
    <w:rsid w:val="00B64BD8"/>
    <w:rsid w:val="00B676E0"/>
    <w:rsid w:val="00B701D1"/>
    <w:rsid w:val="00B70371"/>
    <w:rsid w:val="00B706C0"/>
    <w:rsid w:val="00B709C1"/>
    <w:rsid w:val="00B71F17"/>
    <w:rsid w:val="00B73AF2"/>
    <w:rsid w:val="00B73BE6"/>
    <w:rsid w:val="00B7551A"/>
    <w:rsid w:val="00B75DC2"/>
    <w:rsid w:val="00B76AF0"/>
    <w:rsid w:val="00B773F1"/>
    <w:rsid w:val="00B80BAF"/>
    <w:rsid w:val="00B8483C"/>
    <w:rsid w:val="00B868C2"/>
    <w:rsid w:val="00B86AB1"/>
    <w:rsid w:val="00B902FA"/>
    <w:rsid w:val="00B92411"/>
    <w:rsid w:val="00B92C90"/>
    <w:rsid w:val="00B94C4B"/>
    <w:rsid w:val="00B94F50"/>
    <w:rsid w:val="00B96844"/>
    <w:rsid w:val="00B973C8"/>
    <w:rsid w:val="00B97F07"/>
    <w:rsid w:val="00B97F7D"/>
    <w:rsid w:val="00BA37AA"/>
    <w:rsid w:val="00BA4791"/>
    <w:rsid w:val="00BA4CAA"/>
    <w:rsid w:val="00BA7EBA"/>
    <w:rsid w:val="00BB0183"/>
    <w:rsid w:val="00BB0988"/>
    <w:rsid w:val="00BB22FB"/>
    <w:rsid w:val="00BB2A06"/>
    <w:rsid w:val="00BB2BEB"/>
    <w:rsid w:val="00BB2CBB"/>
    <w:rsid w:val="00BB4198"/>
    <w:rsid w:val="00BB47A1"/>
    <w:rsid w:val="00BB5205"/>
    <w:rsid w:val="00BB5862"/>
    <w:rsid w:val="00BB821E"/>
    <w:rsid w:val="00BC03EE"/>
    <w:rsid w:val="00BC092A"/>
    <w:rsid w:val="00BC2A18"/>
    <w:rsid w:val="00BC4436"/>
    <w:rsid w:val="00BC53FD"/>
    <w:rsid w:val="00BC5796"/>
    <w:rsid w:val="00BC59F1"/>
    <w:rsid w:val="00BC5B73"/>
    <w:rsid w:val="00BC6716"/>
    <w:rsid w:val="00BC69AB"/>
    <w:rsid w:val="00BC7D42"/>
    <w:rsid w:val="00BD110A"/>
    <w:rsid w:val="00BD308A"/>
    <w:rsid w:val="00BD4236"/>
    <w:rsid w:val="00BD4276"/>
    <w:rsid w:val="00BD55E2"/>
    <w:rsid w:val="00BD5D63"/>
    <w:rsid w:val="00BD6D60"/>
    <w:rsid w:val="00BE1182"/>
    <w:rsid w:val="00BE1E16"/>
    <w:rsid w:val="00BF0FBB"/>
    <w:rsid w:val="00BF14BB"/>
    <w:rsid w:val="00BF1A59"/>
    <w:rsid w:val="00BF3A1E"/>
    <w:rsid w:val="00BF3DE1"/>
    <w:rsid w:val="00BF4843"/>
    <w:rsid w:val="00BF5205"/>
    <w:rsid w:val="00BF62F1"/>
    <w:rsid w:val="00BF6E4B"/>
    <w:rsid w:val="00BF74B3"/>
    <w:rsid w:val="00BF7B0E"/>
    <w:rsid w:val="00C03364"/>
    <w:rsid w:val="00C0403F"/>
    <w:rsid w:val="00C0427E"/>
    <w:rsid w:val="00C04786"/>
    <w:rsid w:val="00C05132"/>
    <w:rsid w:val="00C1008A"/>
    <w:rsid w:val="00C105F1"/>
    <w:rsid w:val="00C1129F"/>
    <w:rsid w:val="00C12508"/>
    <w:rsid w:val="00C12A6B"/>
    <w:rsid w:val="00C14D64"/>
    <w:rsid w:val="00C1615D"/>
    <w:rsid w:val="00C16D15"/>
    <w:rsid w:val="00C17C82"/>
    <w:rsid w:val="00C201EC"/>
    <w:rsid w:val="00C21352"/>
    <w:rsid w:val="00C22417"/>
    <w:rsid w:val="00C228D3"/>
    <w:rsid w:val="00C2344E"/>
    <w:rsid w:val="00C23728"/>
    <w:rsid w:val="00C24099"/>
    <w:rsid w:val="00C24C00"/>
    <w:rsid w:val="00C2541E"/>
    <w:rsid w:val="00C25440"/>
    <w:rsid w:val="00C3026C"/>
    <w:rsid w:val="00C313A9"/>
    <w:rsid w:val="00C32BFC"/>
    <w:rsid w:val="00C361ED"/>
    <w:rsid w:val="00C37E3D"/>
    <w:rsid w:val="00C37FFC"/>
    <w:rsid w:val="00C40B37"/>
    <w:rsid w:val="00C41F05"/>
    <w:rsid w:val="00C41FDD"/>
    <w:rsid w:val="00C42E5E"/>
    <w:rsid w:val="00C441CF"/>
    <w:rsid w:val="00C44AE5"/>
    <w:rsid w:val="00C44B8D"/>
    <w:rsid w:val="00C454A7"/>
    <w:rsid w:val="00C45AA2"/>
    <w:rsid w:val="00C46419"/>
    <w:rsid w:val="00C4792C"/>
    <w:rsid w:val="00C47A57"/>
    <w:rsid w:val="00C47B4C"/>
    <w:rsid w:val="00C536AC"/>
    <w:rsid w:val="00C54F55"/>
    <w:rsid w:val="00C55BEF"/>
    <w:rsid w:val="00C576A8"/>
    <w:rsid w:val="00C601AF"/>
    <w:rsid w:val="00C61A63"/>
    <w:rsid w:val="00C627C9"/>
    <w:rsid w:val="00C62DBB"/>
    <w:rsid w:val="00C62F66"/>
    <w:rsid w:val="00C64A89"/>
    <w:rsid w:val="00C65BF5"/>
    <w:rsid w:val="00C66296"/>
    <w:rsid w:val="00C67709"/>
    <w:rsid w:val="00C67AAE"/>
    <w:rsid w:val="00C70172"/>
    <w:rsid w:val="00C706FE"/>
    <w:rsid w:val="00C70974"/>
    <w:rsid w:val="00C7394D"/>
    <w:rsid w:val="00C74472"/>
    <w:rsid w:val="00C77282"/>
    <w:rsid w:val="00C8073A"/>
    <w:rsid w:val="00C84D42"/>
    <w:rsid w:val="00C84DE5"/>
    <w:rsid w:val="00C84F52"/>
    <w:rsid w:val="00C85C44"/>
    <w:rsid w:val="00C85E88"/>
    <w:rsid w:val="00C86248"/>
    <w:rsid w:val="00C86407"/>
    <w:rsid w:val="00C87454"/>
    <w:rsid w:val="00C87F35"/>
    <w:rsid w:val="00C90053"/>
    <w:rsid w:val="00C90B31"/>
    <w:rsid w:val="00C917A3"/>
    <w:rsid w:val="00C91A20"/>
    <w:rsid w:val="00C934D9"/>
    <w:rsid w:val="00C93B28"/>
    <w:rsid w:val="00C94027"/>
    <w:rsid w:val="00C94311"/>
    <w:rsid w:val="00C94E36"/>
    <w:rsid w:val="00CA0625"/>
    <w:rsid w:val="00CA0D6F"/>
    <w:rsid w:val="00CA2302"/>
    <w:rsid w:val="00CA2A6E"/>
    <w:rsid w:val="00CA4C33"/>
    <w:rsid w:val="00CA5B4B"/>
    <w:rsid w:val="00CA6F4A"/>
    <w:rsid w:val="00CA78A3"/>
    <w:rsid w:val="00CB29A0"/>
    <w:rsid w:val="00CB52DA"/>
    <w:rsid w:val="00CB62F1"/>
    <w:rsid w:val="00CB6427"/>
    <w:rsid w:val="00CB7121"/>
    <w:rsid w:val="00CC0E21"/>
    <w:rsid w:val="00CC0FBE"/>
    <w:rsid w:val="00CC111F"/>
    <w:rsid w:val="00CC20E1"/>
    <w:rsid w:val="00CC241C"/>
    <w:rsid w:val="00CC2EB0"/>
    <w:rsid w:val="00CC3181"/>
    <w:rsid w:val="00CC3CFF"/>
    <w:rsid w:val="00CC4C38"/>
    <w:rsid w:val="00CC5141"/>
    <w:rsid w:val="00CC62E3"/>
    <w:rsid w:val="00CC6F15"/>
    <w:rsid w:val="00CD011C"/>
    <w:rsid w:val="00CD2119"/>
    <w:rsid w:val="00CD237A"/>
    <w:rsid w:val="00CD36AC"/>
    <w:rsid w:val="00CD44F5"/>
    <w:rsid w:val="00CD5A10"/>
    <w:rsid w:val="00CD6480"/>
    <w:rsid w:val="00CD6C17"/>
    <w:rsid w:val="00CD7E1C"/>
    <w:rsid w:val="00CE07CE"/>
    <w:rsid w:val="00CE10ED"/>
    <w:rsid w:val="00CE13A3"/>
    <w:rsid w:val="00CE36BC"/>
    <w:rsid w:val="00CE38AD"/>
    <w:rsid w:val="00CE3ED7"/>
    <w:rsid w:val="00CE5684"/>
    <w:rsid w:val="00CE56FA"/>
    <w:rsid w:val="00CE5E90"/>
    <w:rsid w:val="00CE645D"/>
    <w:rsid w:val="00CF0813"/>
    <w:rsid w:val="00CF1747"/>
    <w:rsid w:val="00CF41BF"/>
    <w:rsid w:val="00CF5D5A"/>
    <w:rsid w:val="00CF60ED"/>
    <w:rsid w:val="00CF6CEF"/>
    <w:rsid w:val="00CF7942"/>
    <w:rsid w:val="00D03C5C"/>
    <w:rsid w:val="00D03CEE"/>
    <w:rsid w:val="00D0455B"/>
    <w:rsid w:val="00D05A1B"/>
    <w:rsid w:val="00D05D74"/>
    <w:rsid w:val="00D05E07"/>
    <w:rsid w:val="00D06AE5"/>
    <w:rsid w:val="00D06BDD"/>
    <w:rsid w:val="00D07DF0"/>
    <w:rsid w:val="00D1435F"/>
    <w:rsid w:val="00D16F3C"/>
    <w:rsid w:val="00D2062F"/>
    <w:rsid w:val="00D20C59"/>
    <w:rsid w:val="00D21905"/>
    <w:rsid w:val="00D22B08"/>
    <w:rsid w:val="00D23323"/>
    <w:rsid w:val="00D2392A"/>
    <w:rsid w:val="00D25FFE"/>
    <w:rsid w:val="00D26FA1"/>
    <w:rsid w:val="00D27218"/>
    <w:rsid w:val="00D31DC0"/>
    <w:rsid w:val="00D32867"/>
    <w:rsid w:val="00D329F6"/>
    <w:rsid w:val="00D32AFC"/>
    <w:rsid w:val="00D356A3"/>
    <w:rsid w:val="00D356C9"/>
    <w:rsid w:val="00D36CF1"/>
    <w:rsid w:val="00D37D80"/>
    <w:rsid w:val="00D40B1C"/>
    <w:rsid w:val="00D41CFF"/>
    <w:rsid w:val="00D4476F"/>
    <w:rsid w:val="00D473AF"/>
    <w:rsid w:val="00D474B6"/>
    <w:rsid w:val="00D47BD5"/>
    <w:rsid w:val="00D50573"/>
    <w:rsid w:val="00D53E42"/>
    <w:rsid w:val="00D54D50"/>
    <w:rsid w:val="00D55BC2"/>
    <w:rsid w:val="00D560B4"/>
    <w:rsid w:val="00D61B6B"/>
    <w:rsid w:val="00D630B9"/>
    <w:rsid w:val="00D6452D"/>
    <w:rsid w:val="00D646EC"/>
    <w:rsid w:val="00D662F8"/>
    <w:rsid w:val="00D66336"/>
    <w:rsid w:val="00D66797"/>
    <w:rsid w:val="00D67099"/>
    <w:rsid w:val="00D7074B"/>
    <w:rsid w:val="00D7087C"/>
    <w:rsid w:val="00D70C3C"/>
    <w:rsid w:val="00D71DF7"/>
    <w:rsid w:val="00D72141"/>
    <w:rsid w:val="00D7239F"/>
    <w:rsid w:val="00D72BE5"/>
    <w:rsid w:val="00D731AD"/>
    <w:rsid w:val="00D73E1A"/>
    <w:rsid w:val="00D81462"/>
    <w:rsid w:val="00D82F26"/>
    <w:rsid w:val="00D83189"/>
    <w:rsid w:val="00D836B7"/>
    <w:rsid w:val="00D85096"/>
    <w:rsid w:val="00D863D0"/>
    <w:rsid w:val="00D86B00"/>
    <w:rsid w:val="00D86FB9"/>
    <w:rsid w:val="00D87C87"/>
    <w:rsid w:val="00D90BB4"/>
    <w:rsid w:val="00D90E07"/>
    <w:rsid w:val="00D90EF0"/>
    <w:rsid w:val="00D91D86"/>
    <w:rsid w:val="00D91F8E"/>
    <w:rsid w:val="00D92108"/>
    <w:rsid w:val="00D932C2"/>
    <w:rsid w:val="00D94068"/>
    <w:rsid w:val="00D94FFA"/>
    <w:rsid w:val="00DA6E18"/>
    <w:rsid w:val="00DA7A72"/>
    <w:rsid w:val="00DB050A"/>
    <w:rsid w:val="00DB1225"/>
    <w:rsid w:val="00DB39CF"/>
    <w:rsid w:val="00DB3E40"/>
    <w:rsid w:val="00DB7256"/>
    <w:rsid w:val="00DC026C"/>
    <w:rsid w:val="00DC0401"/>
    <w:rsid w:val="00DC20BD"/>
    <w:rsid w:val="00DC331E"/>
    <w:rsid w:val="00DC33D1"/>
    <w:rsid w:val="00DC4D6E"/>
    <w:rsid w:val="00DC69D9"/>
    <w:rsid w:val="00DD0BCD"/>
    <w:rsid w:val="00DD2649"/>
    <w:rsid w:val="00DD441F"/>
    <w:rsid w:val="00DD447A"/>
    <w:rsid w:val="00DD44F6"/>
    <w:rsid w:val="00DE1E21"/>
    <w:rsid w:val="00DE2E21"/>
    <w:rsid w:val="00DE39B8"/>
    <w:rsid w:val="00DE3B20"/>
    <w:rsid w:val="00DE64F9"/>
    <w:rsid w:val="00DE6C94"/>
    <w:rsid w:val="00DE6FD7"/>
    <w:rsid w:val="00DF0114"/>
    <w:rsid w:val="00DF0815"/>
    <w:rsid w:val="00DF0D4B"/>
    <w:rsid w:val="00DF16A1"/>
    <w:rsid w:val="00DF2314"/>
    <w:rsid w:val="00DF454F"/>
    <w:rsid w:val="00DF4C49"/>
    <w:rsid w:val="00DF54B4"/>
    <w:rsid w:val="00DF6D4C"/>
    <w:rsid w:val="00E00287"/>
    <w:rsid w:val="00E01A7F"/>
    <w:rsid w:val="00E05DD0"/>
    <w:rsid w:val="00E12646"/>
    <w:rsid w:val="00E1331C"/>
    <w:rsid w:val="00E155FA"/>
    <w:rsid w:val="00E16978"/>
    <w:rsid w:val="00E16EB8"/>
    <w:rsid w:val="00E17A3A"/>
    <w:rsid w:val="00E22A66"/>
    <w:rsid w:val="00E23271"/>
    <w:rsid w:val="00E2411B"/>
    <w:rsid w:val="00E24CC0"/>
    <w:rsid w:val="00E24F80"/>
    <w:rsid w:val="00E2533F"/>
    <w:rsid w:val="00E259F3"/>
    <w:rsid w:val="00E259FF"/>
    <w:rsid w:val="00E270FD"/>
    <w:rsid w:val="00E30263"/>
    <w:rsid w:val="00E30985"/>
    <w:rsid w:val="00E30E11"/>
    <w:rsid w:val="00E3161C"/>
    <w:rsid w:val="00E33238"/>
    <w:rsid w:val="00E33FA2"/>
    <w:rsid w:val="00E359CA"/>
    <w:rsid w:val="00E35A3D"/>
    <w:rsid w:val="00E3738B"/>
    <w:rsid w:val="00E376B7"/>
    <w:rsid w:val="00E37767"/>
    <w:rsid w:val="00E40BF3"/>
    <w:rsid w:val="00E4120E"/>
    <w:rsid w:val="00E41759"/>
    <w:rsid w:val="00E41B85"/>
    <w:rsid w:val="00E41FE1"/>
    <w:rsid w:val="00E42A89"/>
    <w:rsid w:val="00E42F5D"/>
    <w:rsid w:val="00E43B6E"/>
    <w:rsid w:val="00E43C20"/>
    <w:rsid w:val="00E4486C"/>
    <w:rsid w:val="00E44C3A"/>
    <w:rsid w:val="00E45853"/>
    <w:rsid w:val="00E460B6"/>
    <w:rsid w:val="00E4659D"/>
    <w:rsid w:val="00E50589"/>
    <w:rsid w:val="00E51129"/>
    <w:rsid w:val="00E511D5"/>
    <w:rsid w:val="00E51E74"/>
    <w:rsid w:val="00E51FAE"/>
    <w:rsid w:val="00E52697"/>
    <w:rsid w:val="00E53A9F"/>
    <w:rsid w:val="00E56915"/>
    <w:rsid w:val="00E60249"/>
    <w:rsid w:val="00E60781"/>
    <w:rsid w:val="00E63E70"/>
    <w:rsid w:val="00E65269"/>
    <w:rsid w:val="00E67335"/>
    <w:rsid w:val="00E72296"/>
    <w:rsid w:val="00E72DEA"/>
    <w:rsid w:val="00E75808"/>
    <w:rsid w:val="00E75E00"/>
    <w:rsid w:val="00E76777"/>
    <w:rsid w:val="00E76D66"/>
    <w:rsid w:val="00E77BBD"/>
    <w:rsid w:val="00E80291"/>
    <w:rsid w:val="00E8088A"/>
    <w:rsid w:val="00E80E5D"/>
    <w:rsid w:val="00E80F05"/>
    <w:rsid w:val="00E81030"/>
    <w:rsid w:val="00E81DA8"/>
    <w:rsid w:val="00E82B1B"/>
    <w:rsid w:val="00E840A4"/>
    <w:rsid w:val="00E8467B"/>
    <w:rsid w:val="00E850CE"/>
    <w:rsid w:val="00E87DCE"/>
    <w:rsid w:val="00E92030"/>
    <w:rsid w:val="00E931D6"/>
    <w:rsid w:val="00E933DA"/>
    <w:rsid w:val="00E93DF0"/>
    <w:rsid w:val="00E94EA2"/>
    <w:rsid w:val="00EA1F72"/>
    <w:rsid w:val="00EA22FF"/>
    <w:rsid w:val="00EA27EC"/>
    <w:rsid w:val="00EA3B39"/>
    <w:rsid w:val="00EA3F03"/>
    <w:rsid w:val="00EA46FB"/>
    <w:rsid w:val="00EA47BB"/>
    <w:rsid w:val="00EA5973"/>
    <w:rsid w:val="00EA5FA1"/>
    <w:rsid w:val="00EA608C"/>
    <w:rsid w:val="00EA6639"/>
    <w:rsid w:val="00EA796A"/>
    <w:rsid w:val="00EB1856"/>
    <w:rsid w:val="00EB5306"/>
    <w:rsid w:val="00EC0B55"/>
    <w:rsid w:val="00EC4ECE"/>
    <w:rsid w:val="00EC50CE"/>
    <w:rsid w:val="00EC5B34"/>
    <w:rsid w:val="00EC6E2C"/>
    <w:rsid w:val="00ED021E"/>
    <w:rsid w:val="00ED1209"/>
    <w:rsid w:val="00ED323C"/>
    <w:rsid w:val="00ED4EA0"/>
    <w:rsid w:val="00ED5DC8"/>
    <w:rsid w:val="00EE1FD7"/>
    <w:rsid w:val="00EE2212"/>
    <w:rsid w:val="00EE2D5C"/>
    <w:rsid w:val="00EE3D07"/>
    <w:rsid w:val="00EE4521"/>
    <w:rsid w:val="00EE452F"/>
    <w:rsid w:val="00EE4ADE"/>
    <w:rsid w:val="00EE4DE8"/>
    <w:rsid w:val="00EE4F0D"/>
    <w:rsid w:val="00EE5CB7"/>
    <w:rsid w:val="00EE605A"/>
    <w:rsid w:val="00EE7E8F"/>
    <w:rsid w:val="00EF0B24"/>
    <w:rsid w:val="00EF0C7A"/>
    <w:rsid w:val="00EF212A"/>
    <w:rsid w:val="00EF445F"/>
    <w:rsid w:val="00EF5D74"/>
    <w:rsid w:val="00EF6502"/>
    <w:rsid w:val="00EF6B98"/>
    <w:rsid w:val="00F01B91"/>
    <w:rsid w:val="00F024FE"/>
    <w:rsid w:val="00F02BFE"/>
    <w:rsid w:val="00F05276"/>
    <w:rsid w:val="00F05AD4"/>
    <w:rsid w:val="00F067DC"/>
    <w:rsid w:val="00F07462"/>
    <w:rsid w:val="00F07F16"/>
    <w:rsid w:val="00F1086E"/>
    <w:rsid w:val="00F10EB6"/>
    <w:rsid w:val="00F11BA1"/>
    <w:rsid w:val="00F129B8"/>
    <w:rsid w:val="00F12FB9"/>
    <w:rsid w:val="00F13F07"/>
    <w:rsid w:val="00F140B2"/>
    <w:rsid w:val="00F15DD5"/>
    <w:rsid w:val="00F17DF3"/>
    <w:rsid w:val="00F20890"/>
    <w:rsid w:val="00F20D27"/>
    <w:rsid w:val="00F21D62"/>
    <w:rsid w:val="00F21F63"/>
    <w:rsid w:val="00F229E2"/>
    <w:rsid w:val="00F255D1"/>
    <w:rsid w:val="00F2593F"/>
    <w:rsid w:val="00F25970"/>
    <w:rsid w:val="00F262D8"/>
    <w:rsid w:val="00F27ABE"/>
    <w:rsid w:val="00F27F32"/>
    <w:rsid w:val="00F27FE6"/>
    <w:rsid w:val="00F30856"/>
    <w:rsid w:val="00F30862"/>
    <w:rsid w:val="00F311A9"/>
    <w:rsid w:val="00F329F0"/>
    <w:rsid w:val="00F34D9D"/>
    <w:rsid w:val="00F35A44"/>
    <w:rsid w:val="00F40100"/>
    <w:rsid w:val="00F40568"/>
    <w:rsid w:val="00F40B17"/>
    <w:rsid w:val="00F4486E"/>
    <w:rsid w:val="00F46684"/>
    <w:rsid w:val="00F46E2E"/>
    <w:rsid w:val="00F47695"/>
    <w:rsid w:val="00F50292"/>
    <w:rsid w:val="00F5079C"/>
    <w:rsid w:val="00F5180D"/>
    <w:rsid w:val="00F525BC"/>
    <w:rsid w:val="00F52F6B"/>
    <w:rsid w:val="00F53169"/>
    <w:rsid w:val="00F54051"/>
    <w:rsid w:val="00F5420D"/>
    <w:rsid w:val="00F60852"/>
    <w:rsid w:val="00F6155E"/>
    <w:rsid w:val="00F63781"/>
    <w:rsid w:val="00F6440C"/>
    <w:rsid w:val="00F64EF6"/>
    <w:rsid w:val="00F67496"/>
    <w:rsid w:val="00F709D0"/>
    <w:rsid w:val="00F71B68"/>
    <w:rsid w:val="00F735A0"/>
    <w:rsid w:val="00F76077"/>
    <w:rsid w:val="00F76DB7"/>
    <w:rsid w:val="00F7708B"/>
    <w:rsid w:val="00F801BA"/>
    <w:rsid w:val="00F83716"/>
    <w:rsid w:val="00F8486E"/>
    <w:rsid w:val="00F86442"/>
    <w:rsid w:val="00F91105"/>
    <w:rsid w:val="00F91754"/>
    <w:rsid w:val="00F9303D"/>
    <w:rsid w:val="00F9366A"/>
    <w:rsid w:val="00F936AA"/>
    <w:rsid w:val="00F945CA"/>
    <w:rsid w:val="00F946C9"/>
    <w:rsid w:val="00F95080"/>
    <w:rsid w:val="00F95A2B"/>
    <w:rsid w:val="00F97EF7"/>
    <w:rsid w:val="00FA01A2"/>
    <w:rsid w:val="00FA0575"/>
    <w:rsid w:val="00FA06C7"/>
    <w:rsid w:val="00FA0EA5"/>
    <w:rsid w:val="00FA1C17"/>
    <w:rsid w:val="00FA25B7"/>
    <w:rsid w:val="00FA2C9B"/>
    <w:rsid w:val="00FA5E62"/>
    <w:rsid w:val="00FA74EE"/>
    <w:rsid w:val="00FB038F"/>
    <w:rsid w:val="00FB1B95"/>
    <w:rsid w:val="00FB2994"/>
    <w:rsid w:val="00FB2F10"/>
    <w:rsid w:val="00FB38AC"/>
    <w:rsid w:val="00FB7EFE"/>
    <w:rsid w:val="00FC2386"/>
    <w:rsid w:val="00FC260A"/>
    <w:rsid w:val="00FC3053"/>
    <w:rsid w:val="00FC3711"/>
    <w:rsid w:val="00FC46E7"/>
    <w:rsid w:val="00FC4E49"/>
    <w:rsid w:val="00FC527B"/>
    <w:rsid w:val="00FC5289"/>
    <w:rsid w:val="00FC58F1"/>
    <w:rsid w:val="00FC5D25"/>
    <w:rsid w:val="00FC692D"/>
    <w:rsid w:val="00FC7619"/>
    <w:rsid w:val="00FD0A88"/>
    <w:rsid w:val="00FD0D7E"/>
    <w:rsid w:val="00FD149E"/>
    <w:rsid w:val="00FD2605"/>
    <w:rsid w:val="00FD2A03"/>
    <w:rsid w:val="00FD4FFB"/>
    <w:rsid w:val="00FD6E37"/>
    <w:rsid w:val="00FE0150"/>
    <w:rsid w:val="00FE04D1"/>
    <w:rsid w:val="00FE2477"/>
    <w:rsid w:val="00FE2BC0"/>
    <w:rsid w:val="00FE2E3B"/>
    <w:rsid w:val="00FE4099"/>
    <w:rsid w:val="00FE40CC"/>
    <w:rsid w:val="00FE6E13"/>
    <w:rsid w:val="00FE78E4"/>
    <w:rsid w:val="00FF0040"/>
    <w:rsid w:val="00FF15F6"/>
    <w:rsid w:val="00FF1F00"/>
    <w:rsid w:val="00FF210B"/>
    <w:rsid w:val="00FF22F8"/>
    <w:rsid w:val="00FF2B6D"/>
    <w:rsid w:val="00FF3A27"/>
    <w:rsid w:val="00FF44C5"/>
    <w:rsid w:val="00FF527C"/>
    <w:rsid w:val="00FF568D"/>
    <w:rsid w:val="00FF5ABC"/>
    <w:rsid w:val="00FF65CD"/>
    <w:rsid w:val="00FF6AA3"/>
    <w:rsid w:val="01BDC1F0"/>
    <w:rsid w:val="01F301DB"/>
    <w:rsid w:val="0241E606"/>
    <w:rsid w:val="02491741"/>
    <w:rsid w:val="025AD9DB"/>
    <w:rsid w:val="02656914"/>
    <w:rsid w:val="02943695"/>
    <w:rsid w:val="03836579"/>
    <w:rsid w:val="0392374F"/>
    <w:rsid w:val="0416DB65"/>
    <w:rsid w:val="044789AD"/>
    <w:rsid w:val="04800C13"/>
    <w:rsid w:val="04AC3AD4"/>
    <w:rsid w:val="04B70776"/>
    <w:rsid w:val="04D939EA"/>
    <w:rsid w:val="04DD9420"/>
    <w:rsid w:val="04F6B61F"/>
    <w:rsid w:val="05020D4A"/>
    <w:rsid w:val="05251C2B"/>
    <w:rsid w:val="05909A72"/>
    <w:rsid w:val="059DE481"/>
    <w:rsid w:val="05C33177"/>
    <w:rsid w:val="05C822AF"/>
    <w:rsid w:val="060B9350"/>
    <w:rsid w:val="0674C4AB"/>
    <w:rsid w:val="06B23117"/>
    <w:rsid w:val="06BDF563"/>
    <w:rsid w:val="07193FD5"/>
    <w:rsid w:val="078D89C9"/>
    <w:rsid w:val="07E1FDC0"/>
    <w:rsid w:val="07F1B21E"/>
    <w:rsid w:val="087E172A"/>
    <w:rsid w:val="08801CD7"/>
    <w:rsid w:val="08A00442"/>
    <w:rsid w:val="08C1FA06"/>
    <w:rsid w:val="08D959D8"/>
    <w:rsid w:val="0925FB82"/>
    <w:rsid w:val="093CFDE3"/>
    <w:rsid w:val="09489B55"/>
    <w:rsid w:val="099CEEE5"/>
    <w:rsid w:val="09C7BDC0"/>
    <w:rsid w:val="09F2F8B9"/>
    <w:rsid w:val="0A5A4DA8"/>
    <w:rsid w:val="0A671CF6"/>
    <w:rsid w:val="0A851687"/>
    <w:rsid w:val="0AEC2850"/>
    <w:rsid w:val="0AEC5D9E"/>
    <w:rsid w:val="0AF23C2A"/>
    <w:rsid w:val="0B1CAACB"/>
    <w:rsid w:val="0B1E83BB"/>
    <w:rsid w:val="0B32B902"/>
    <w:rsid w:val="0B995E61"/>
    <w:rsid w:val="0BDF4FB4"/>
    <w:rsid w:val="0C7D3283"/>
    <w:rsid w:val="0C9DEA13"/>
    <w:rsid w:val="0CA126B2"/>
    <w:rsid w:val="0D36E7CF"/>
    <w:rsid w:val="0D4972B1"/>
    <w:rsid w:val="0D59BF62"/>
    <w:rsid w:val="0D63BF56"/>
    <w:rsid w:val="0DA13AEE"/>
    <w:rsid w:val="0DD20149"/>
    <w:rsid w:val="0DD2188F"/>
    <w:rsid w:val="0E27A74B"/>
    <w:rsid w:val="0E657AFE"/>
    <w:rsid w:val="0ED70C3E"/>
    <w:rsid w:val="0EEDB226"/>
    <w:rsid w:val="0EF6E678"/>
    <w:rsid w:val="0F057665"/>
    <w:rsid w:val="0F46158B"/>
    <w:rsid w:val="0F634089"/>
    <w:rsid w:val="0FA1F1EC"/>
    <w:rsid w:val="0FC38637"/>
    <w:rsid w:val="0FDD6B38"/>
    <w:rsid w:val="1010AFF7"/>
    <w:rsid w:val="101215B0"/>
    <w:rsid w:val="1019C936"/>
    <w:rsid w:val="103B27B2"/>
    <w:rsid w:val="1095B745"/>
    <w:rsid w:val="10AA38AB"/>
    <w:rsid w:val="10AF6F74"/>
    <w:rsid w:val="10BD2730"/>
    <w:rsid w:val="10E17718"/>
    <w:rsid w:val="10EC0D8D"/>
    <w:rsid w:val="10F97547"/>
    <w:rsid w:val="1106BB0C"/>
    <w:rsid w:val="11148AB0"/>
    <w:rsid w:val="11182379"/>
    <w:rsid w:val="113983C4"/>
    <w:rsid w:val="113B25FB"/>
    <w:rsid w:val="11616B85"/>
    <w:rsid w:val="118C7199"/>
    <w:rsid w:val="11BABB5E"/>
    <w:rsid w:val="1219040D"/>
    <w:rsid w:val="123AE4E6"/>
    <w:rsid w:val="126343EB"/>
    <w:rsid w:val="12710D6C"/>
    <w:rsid w:val="1284BCC1"/>
    <w:rsid w:val="12965BD1"/>
    <w:rsid w:val="12B021DF"/>
    <w:rsid w:val="131698E1"/>
    <w:rsid w:val="13487250"/>
    <w:rsid w:val="137F69FA"/>
    <w:rsid w:val="13E5E7FF"/>
    <w:rsid w:val="13F597D6"/>
    <w:rsid w:val="14368868"/>
    <w:rsid w:val="149B9C86"/>
    <w:rsid w:val="14A4E9F1"/>
    <w:rsid w:val="14A582A1"/>
    <w:rsid w:val="14B0F644"/>
    <w:rsid w:val="14B7D3F8"/>
    <w:rsid w:val="14C7531B"/>
    <w:rsid w:val="15060AAE"/>
    <w:rsid w:val="15120F82"/>
    <w:rsid w:val="1549BC95"/>
    <w:rsid w:val="159B41DE"/>
    <w:rsid w:val="15CF4423"/>
    <w:rsid w:val="1612F012"/>
    <w:rsid w:val="161850E4"/>
    <w:rsid w:val="162BF490"/>
    <w:rsid w:val="164FAA18"/>
    <w:rsid w:val="165A84BE"/>
    <w:rsid w:val="16F356C2"/>
    <w:rsid w:val="17295CB5"/>
    <w:rsid w:val="1733356E"/>
    <w:rsid w:val="1750D9A5"/>
    <w:rsid w:val="17621FE1"/>
    <w:rsid w:val="17704095"/>
    <w:rsid w:val="17C2D392"/>
    <w:rsid w:val="17D3C6BC"/>
    <w:rsid w:val="17F9F223"/>
    <w:rsid w:val="184072BF"/>
    <w:rsid w:val="18826FCC"/>
    <w:rsid w:val="18A6A17F"/>
    <w:rsid w:val="18C0D39A"/>
    <w:rsid w:val="19018901"/>
    <w:rsid w:val="1905EB42"/>
    <w:rsid w:val="19413132"/>
    <w:rsid w:val="198FF71D"/>
    <w:rsid w:val="19B91211"/>
    <w:rsid w:val="1A0AB069"/>
    <w:rsid w:val="1A7C2702"/>
    <w:rsid w:val="1AAB866C"/>
    <w:rsid w:val="1AC0C2F2"/>
    <w:rsid w:val="1ADF8397"/>
    <w:rsid w:val="1B5E9FCD"/>
    <w:rsid w:val="1B7CFA91"/>
    <w:rsid w:val="1B8071CA"/>
    <w:rsid w:val="1BB06DB0"/>
    <w:rsid w:val="1BB4196B"/>
    <w:rsid w:val="1BB5D6C7"/>
    <w:rsid w:val="1BBB4D6D"/>
    <w:rsid w:val="1BFAC686"/>
    <w:rsid w:val="1C047CB1"/>
    <w:rsid w:val="1C12A5E5"/>
    <w:rsid w:val="1C82747A"/>
    <w:rsid w:val="1C942E22"/>
    <w:rsid w:val="1CF2A128"/>
    <w:rsid w:val="1CF2E3E0"/>
    <w:rsid w:val="1D34AF45"/>
    <w:rsid w:val="1D51DB0A"/>
    <w:rsid w:val="1DAC32B2"/>
    <w:rsid w:val="1E16434D"/>
    <w:rsid w:val="1E99E26D"/>
    <w:rsid w:val="1EB3A9E7"/>
    <w:rsid w:val="1EE44ED1"/>
    <w:rsid w:val="1F1C2F51"/>
    <w:rsid w:val="1F292A5C"/>
    <w:rsid w:val="1F5A4BD6"/>
    <w:rsid w:val="1FA2F4CD"/>
    <w:rsid w:val="1FE3F20D"/>
    <w:rsid w:val="2011338E"/>
    <w:rsid w:val="20D6D8C9"/>
    <w:rsid w:val="20FAFD8F"/>
    <w:rsid w:val="2100FDA4"/>
    <w:rsid w:val="2107601E"/>
    <w:rsid w:val="2115018F"/>
    <w:rsid w:val="2163D1ED"/>
    <w:rsid w:val="21894B16"/>
    <w:rsid w:val="21E4906A"/>
    <w:rsid w:val="222C9226"/>
    <w:rsid w:val="227DB489"/>
    <w:rsid w:val="22C9E9FE"/>
    <w:rsid w:val="22CB2E54"/>
    <w:rsid w:val="22EDB6E1"/>
    <w:rsid w:val="2302124A"/>
    <w:rsid w:val="2314BF69"/>
    <w:rsid w:val="233133B9"/>
    <w:rsid w:val="2351C8A8"/>
    <w:rsid w:val="23707F1B"/>
    <w:rsid w:val="2373C664"/>
    <w:rsid w:val="23842D43"/>
    <w:rsid w:val="23A2D46B"/>
    <w:rsid w:val="23C3EDC9"/>
    <w:rsid w:val="23D5210E"/>
    <w:rsid w:val="23F4CA12"/>
    <w:rsid w:val="23FCEC08"/>
    <w:rsid w:val="245D991B"/>
    <w:rsid w:val="246402B3"/>
    <w:rsid w:val="249A8267"/>
    <w:rsid w:val="24FED218"/>
    <w:rsid w:val="250F341C"/>
    <w:rsid w:val="25D55596"/>
    <w:rsid w:val="25E9B6B2"/>
    <w:rsid w:val="2672B5CC"/>
    <w:rsid w:val="267F8088"/>
    <w:rsid w:val="268F4413"/>
    <w:rsid w:val="26C28BD7"/>
    <w:rsid w:val="26CB6D1C"/>
    <w:rsid w:val="26D5B545"/>
    <w:rsid w:val="26DE4B35"/>
    <w:rsid w:val="26EB6472"/>
    <w:rsid w:val="277C0A05"/>
    <w:rsid w:val="277CD910"/>
    <w:rsid w:val="2780E2FD"/>
    <w:rsid w:val="278153A5"/>
    <w:rsid w:val="27A337AB"/>
    <w:rsid w:val="27D1A587"/>
    <w:rsid w:val="281BCD38"/>
    <w:rsid w:val="284DECD1"/>
    <w:rsid w:val="2858FFBC"/>
    <w:rsid w:val="286FCA0A"/>
    <w:rsid w:val="28A8AB0D"/>
    <w:rsid w:val="28C165A2"/>
    <w:rsid w:val="29678840"/>
    <w:rsid w:val="29A451AF"/>
    <w:rsid w:val="29A910E2"/>
    <w:rsid w:val="29ADD4F3"/>
    <w:rsid w:val="29C5BE25"/>
    <w:rsid w:val="29F68E85"/>
    <w:rsid w:val="2A246881"/>
    <w:rsid w:val="2A52998E"/>
    <w:rsid w:val="2A816F7B"/>
    <w:rsid w:val="2A93D1FF"/>
    <w:rsid w:val="2ACC169A"/>
    <w:rsid w:val="2B2D0F9B"/>
    <w:rsid w:val="2B3D0B4C"/>
    <w:rsid w:val="2B60B615"/>
    <w:rsid w:val="2B96FD34"/>
    <w:rsid w:val="2B9B989A"/>
    <w:rsid w:val="2BDDB60D"/>
    <w:rsid w:val="2BED48B7"/>
    <w:rsid w:val="2BF2D06F"/>
    <w:rsid w:val="2C341653"/>
    <w:rsid w:val="2C4444CB"/>
    <w:rsid w:val="2C8AB0AC"/>
    <w:rsid w:val="2C92D428"/>
    <w:rsid w:val="2C92E9E1"/>
    <w:rsid w:val="2C93D6E2"/>
    <w:rsid w:val="2C952D76"/>
    <w:rsid w:val="2CB44CB4"/>
    <w:rsid w:val="2CDC23E3"/>
    <w:rsid w:val="2CE2E613"/>
    <w:rsid w:val="2D54034F"/>
    <w:rsid w:val="2D739EBD"/>
    <w:rsid w:val="2D8E7420"/>
    <w:rsid w:val="2DB2F6A0"/>
    <w:rsid w:val="2DBD0F3B"/>
    <w:rsid w:val="2DBF7B73"/>
    <w:rsid w:val="2DD0953D"/>
    <w:rsid w:val="2DE74AE9"/>
    <w:rsid w:val="2DFFC7CC"/>
    <w:rsid w:val="2E327985"/>
    <w:rsid w:val="2E422254"/>
    <w:rsid w:val="2E60496C"/>
    <w:rsid w:val="2EEF8203"/>
    <w:rsid w:val="2F46676F"/>
    <w:rsid w:val="2F46B8BF"/>
    <w:rsid w:val="2FC6A982"/>
    <w:rsid w:val="2FD8E114"/>
    <w:rsid w:val="2FF5AFA0"/>
    <w:rsid w:val="301BAB99"/>
    <w:rsid w:val="303630CF"/>
    <w:rsid w:val="305AD490"/>
    <w:rsid w:val="3061B1F8"/>
    <w:rsid w:val="30E0F6D3"/>
    <w:rsid w:val="30ECF532"/>
    <w:rsid w:val="3141A4F6"/>
    <w:rsid w:val="314EEE49"/>
    <w:rsid w:val="3154B6EA"/>
    <w:rsid w:val="317E9267"/>
    <w:rsid w:val="319ACEB1"/>
    <w:rsid w:val="31AC6999"/>
    <w:rsid w:val="322CCBAA"/>
    <w:rsid w:val="32664513"/>
    <w:rsid w:val="32770B91"/>
    <w:rsid w:val="327E2F4B"/>
    <w:rsid w:val="328767E9"/>
    <w:rsid w:val="329FA675"/>
    <w:rsid w:val="32F8436E"/>
    <w:rsid w:val="3308566E"/>
    <w:rsid w:val="334542CD"/>
    <w:rsid w:val="33BADA7B"/>
    <w:rsid w:val="33C352E9"/>
    <w:rsid w:val="340B0277"/>
    <w:rsid w:val="346DBBE0"/>
    <w:rsid w:val="34B61692"/>
    <w:rsid w:val="34CC868D"/>
    <w:rsid w:val="34D72750"/>
    <w:rsid w:val="34F21684"/>
    <w:rsid w:val="35894B72"/>
    <w:rsid w:val="360C123A"/>
    <w:rsid w:val="3680090F"/>
    <w:rsid w:val="369BBDD0"/>
    <w:rsid w:val="371E0E37"/>
    <w:rsid w:val="375B83A3"/>
    <w:rsid w:val="375E0ED0"/>
    <w:rsid w:val="37F398DD"/>
    <w:rsid w:val="38415680"/>
    <w:rsid w:val="385A1AC7"/>
    <w:rsid w:val="38658F81"/>
    <w:rsid w:val="3896A5CB"/>
    <w:rsid w:val="389C5B4C"/>
    <w:rsid w:val="38DC3B0E"/>
    <w:rsid w:val="38E7E502"/>
    <w:rsid w:val="38FBF5C0"/>
    <w:rsid w:val="3A2914F3"/>
    <w:rsid w:val="3A2B0278"/>
    <w:rsid w:val="3A35CE5B"/>
    <w:rsid w:val="3A62557D"/>
    <w:rsid w:val="3A77FFD9"/>
    <w:rsid w:val="3AB82827"/>
    <w:rsid w:val="3B96539C"/>
    <w:rsid w:val="3BA57318"/>
    <w:rsid w:val="3BE0815D"/>
    <w:rsid w:val="3C70C6BA"/>
    <w:rsid w:val="3C87BFC3"/>
    <w:rsid w:val="3C9C8B87"/>
    <w:rsid w:val="3CA13D99"/>
    <w:rsid w:val="3D040690"/>
    <w:rsid w:val="3D07787A"/>
    <w:rsid w:val="3D1752B9"/>
    <w:rsid w:val="3D1E1F97"/>
    <w:rsid w:val="3D2F6990"/>
    <w:rsid w:val="3D3EBDFD"/>
    <w:rsid w:val="3D466AEA"/>
    <w:rsid w:val="3D55D946"/>
    <w:rsid w:val="3D584CA1"/>
    <w:rsid w:val="3D8F88AA"/>
    <w:rsid w:val="3DC8D990"/>
    <w:rsid w:val="3DE24781"/>
    <w:rsid w:val="3DE5E31C"/>
    <w:rsid w:val="3E3AC5D2"/>
    <w:rsid w:val="3E3F91E2"/>
    <w:rsid w:val="3E4C4FFF"/>
    <w:rsid w:val="3E518DB9"/>
    <w:rsid w:val="3E5D1E0F"/>
    <w:rsid w:val="3E5D8BD1"/>
    <w:rsid w:val="3E74DEF0"/>
    <w:rsid w:val="3E7B9D40"/>
    <w:rsid w:val="3EBC862B"/>
    <w:rsid w:val="3EBCC349"/>
    <w:rsid w:val="3EFF01B6"/>
    <w:rsid w:val="3F7FA1F6"/>
    <w:rsid w:val="3F833C2E"/>
    <w:rsid w:val="3F8E8047"/>
    <w:rsid w:val="3F9925B9"/>
    <w:rsid w:val="3F9F5D27"/>
    <w:rsid w:val="3FACBFC7"/>
    <w:rsid w:val="3FED7864"/>
    <w:rsid w:val="3FF3EEA0"/>
    <w:rsid w:val="401C06C9"/>
    <w:rsid w:val="40241B47"/>
    <w:rsid w:val="4056D2CF"/>
    <w:rsid w:val="406EBC13"/>
    <w:rsid w:val="40A98E8C"/>
    <w:rsid w:val="40B459C8"/>
    <w:rsid w:val="40C08FC5"/>
    <w:rsid w:val="40D3B599"/>
    <w:rsid w:val="40E05192"/>
    <w:rsid w:val="4101A90F"/>
    <w:rsid w:val="411F2575"/>
    <w:rsid w:val="4150BFBE"/>
    <w:rsid w:val="416D665F"/>
    <w:rsid w:val="4177CBE2"/>
    <w:rsid w:val="41B3A0AD"/>
    <w:rsid w:val="41CAEB6B"/>
    <w:rsid w:val="41E313EA"/>
    <w:rsid w:val="41EBBB55"/>
    <w:rsid w:val="41ECFA14"/>
    <w:rsid w:val="420104AA"/>
    <w:rsid w:val="428F0C32"/>
    <w:rsid w:val="42CABA7B"/>
    <w:rsid w:val="432E8F63"/>
    <w:rsid w:val="43339A6B"/>
    <w:rsid w:val="436CC71F"/>
    <w:rsid w:val="43B8BE70"/>
    <w:rsid w:val="43BE7FA0"/>
    <w:rsid w:val="43CF7285"/>
    <w:rsid w:val="43E81999"/>
    <w:rsid w:val="43EE385E"/>
    <w:rsid w:val="441258D1"/>
    <w:rsid w:val="448A8D41"/>
    <w:rsid w:val="44AA11CB"/>
    <w:rsid w:val="44E610D5"/>
    <w:rsid w:val="44EC92AD"/>
    <w:rsid w:val="450E89DE"/>
    <w:rsid w:val="454F130D"/>
    <w:rsid w:val="45C24DCC"/>
    <w:rsid w:val="45D0895F"/>
    <w:rsid w:val="45FF0E21"/>
    <w:rsid w:val="46133278"/>
    <w:rsid w:val="461D6E1E"/>
    <w:rsid w:val="4629A140"/>
    <w:rsid w:val="463C75B2"/>
    <w:rsid w:val="46A9BA4B"/>
    <w:rsid w:val="46C78519"/>
    <w:rsid w:val="46D56E75"/>
    <w:rsid w:val="46EDEF2A"/>
    <w:rsid w:val="471C79F6"/>
    <w:rsid w:val="4728CEA0"/>
    <w:rsid w:val="474FDD45"/>
    <w:rsid w:val="47936BEC"/>
    <w:rsid w:val="47FA92CD"/>
    <w:rsid w:val="481B9B04"/>
    <w:rsid w:val="485FF8E3"/>
    <w:rsid w:val="487C341A"/>
    <w:rsid w:val="48805EAE"/>
    <w:rsid w:val="488DDDEA"/>
    <w:rsid w:val="48F6BD14"/>
    <w:rsid w:val="48F95B93"/>
    <w:rsid w:val="4916776A"/>
    <w:rsid w:val="49427EBD"/>
    <w:rsid w:val="4958CF54"/>
    <w:rsid w:val="495E1D9C"/>
    <w:rsid w:val="49D986DF"/>
    <w:rsid w:val="4A03295F"/>
    <w:rsid w:val="4A04B5F7"/>
    <w:rsid w:val="4B271A5A"/>
    <w:rsid w:val="4B319ED4"/>
    <w:rsid w:val="4B39CF21"/>
    <w:rsid w:val="4B5C6FA5"/>
    <w:rsid w:val="4B6132CF"/>
    <w:rsid w:val="4BB0716B"/>
    <w:rsid w:val="4BC8CFD7"/>
    <w:rsid w:val="4BC97652"/>
    <w:rsid w:val="4BD4CDCA"/>
    <w:rsid w:val="4C3F285A"/>
    <w:rsid w:val="4C8D3AE3"/>
    <w:rsid w:val="4CA4F509"/>
    <w:rsid w:val="4CA92C3F"/>
    <w:rsid w:val="4CB22FE0"/>
    <w:rsid w:val="4CB5D989"/>
    <w:rsid w:val="4CB64E20"/>
    <w:rsid w:val="4D0357C8"/>
    <w:rsid w:val="4D4C27BD"/>
    <w:rsid w:val="4DB9E536"/>
    <w:rsid w:val="4DE29554"/>
    <w:rsid w:val="4DE6C534"/>
    <w:rsid w:val="4E2B4767"/>
    <w:rsid w:val="4E968083"/>
    <w:rsid w:val="4EBBFCA1"/>
    <w:rsid w:val="4F0FF9D1"/>
    <w:rsid w:val="4F135A71"/>
    <w:rsid w:val="4F6C6F3A"/>
    <w:rsid w:val="4FE8D699"/>
    <w:rsid w:val="50801AE2"/>
    <w:rsid w:val="50A7DBB0"/>
    <w:rsid w:val="50F2A359"/>
    <w:rsid w:val="510FC1D9"/>
    <w:rsid w:val="511557D5"/>
    <w:rsid w:val="51A5E647"/>
    <w:rsid w:val="51C40611"/>
    <w:rsid w:val="51FFFDF8"/>
    <w:rsid w:val="523EC0A6"/>
    <w:rsid w:val="5261FCA4"/>
    <w:rsid w:val="52726E47"/>
    <w:rsid w:val="52C90C55"/>
    <w:rsid w:val="52DD30B1"/>
    <w:rsid w:val="53171524"/>
    <w:rsid w:val="534AA8AA"/>
    <w:rsid w:val="536B46A5"/>
    <w:rsid w:val="5376B36B"/>
    <w:rsid w:val="53DEA8A1"/>
    <w:rsid w:val="54244D73"/>
    <w:rsid w:val="542CDC6D"/>
    <w:rsid w:val="5452BAE2"/>
    <w:rsid w:val="546DB998"/>
    <w:rsid w:val="547AE718"/>
    <w:rsid w:val="54844CD4"/>
    <w:rsid w:val="54B921B2"/>
    <w:rsid w:val="54C23B8D"/>
    <w:rsid w:val="54C2F663"/>
    <w:rsid w:val="54CA9A38"/>
    <w:rsid w:val="54D22F6B"/>
    <w:rsid w:val="54F017AF"/>
    <w:rsid w:val="550BF45B"/>
    <w:rsid w:val="551BFB75"/>
    <w:rsid w:val="55456973"/>
    <w:rsid w:val="55766061"/>
    <w:rsid w:val="55943B27"/>
    <w:rsid w:val="55A579FD"/>
    <w:rsid w:val="55C8F5F8"/>
    <w:rsid w:val="55FBB9EA"/>
    <w:rsid w:val="5672617D"/>
    <w:rsid w:val="569E2B04"/>
    <w:rsid w:val="56AD1FF6"/>
    <w:rsid w:val="56D5B20A"/>
    <w:rsid w:val="56F96660"/>
    <w:rsid w:val="5737620E"/>
    <w:rsid w:val="5776547F"/>
    <w:rsid w:val="578F72A5"/>
    <w:rsid w:val="57D76CA9"/>
    <w:rsid w:val="582ED8B9"/>
    <w:rsid w:val="583C20AA"/>
    <w:rsid w:val="58A51BF7"/>
    <w:rsid w:val="58EAE9F7"/>
    <w:rsid w:val="596E58BF"/>
    <w:rsid w:val="59AA353E"/>
    <w:rsid w:val="59EC8C1C"/>
    <w:rsid w:val="59F10AC6"/>
    <w:rsid w:val="59FBCF68"/>
    <w:rsid w:val="59FEFC07"/>
    <w:rsid w:val="5A13214E"/>
    <w:rsid w:val="5A19B37B"/>
    <w:rsid w:val="5A5B7763"/>
    <w:rsid w:val="5A998730"/>
    <w:rsid w:val="5AAC5F24"/>
    <w:rsid w:val="5AB9EE6E"/>
    <w:rsid w:val="5B258077"/>
    <w:rsid w:val="5BD105ED"/>
    <w:rsid w:val="5C031A55"/>
    <w:rsid w:val="5C0724DC"/>
    <w:rsid w:val="5C0B60CE"/>
    <w:rsid w:val="5C10E501"/>
    <w:rsid w:val="5C53975E"/>
    <w:rsid w:val="5C903279"/>
    <w:rsid w:val="5C951DBA"/>
    <w:rsid w:val="5CAA087E"/>
    <w:rsid w:val="5CCF78E5"/>
    <w:rsid w:val="5CD21026"/>
    <w:rsid w:val="5CDEC990"/>
    <w:rsid w:val="5D035B6F"/>
    <w:rsid w:val="5D24C605"/>
    <w:rsid w:val="5D3C3D08"/>
    <w:rsid w:val="5D81C2AC"/>
    <w:rsid w:val="5D89527D"/>
    <w:rsid w:val="5D93B56A"/>
    <w:rsid w:val="5DF46FCF"/>
    <w:rsid w:val="5DFF740D"/>
    <w:rsid w:val="5DFFAE59"/>
    <w:rsid w:val="5E12273B"/>
    <w:rsid w:val="5E15A664"/>
    <w:rsid w:val="5E3F4734"/>
    <w:rsid w:val="5E43A01B"/>
    <w:rsid w:val="5E778715"/>
    <w:rsid w:val="5E970F5A"/>
    <w:rsid w:val="5F44548A"/>
    <w:rsid w:val="5F4D706B"/>
    <w:rsid w:val="60173170"/>
    <w:rsid w:val="60800F60"/>
    <w:rsid w:val="60953997"/>
    <w:rsid w:val="609F3522"/>
    <w:rsid w:val="60D1F0A0"/>
    <w:rsid w:val="612A59A0"/>
    <w:rsid w:val="616F762E"/>
    <w:rsid w:val="6190726F"/>
    <w:rsid w:val="61A671EA"/>
    <w:rsid w:val="61BB8CC0"/>
    <w:rsid w:val="61D23F48"/>
    <w:rsid w:val="61E13EB4"/>
    <w:rsid w:val="61F00428"/>
    <w:rsid w:val="62448065"/>
    <w:rsid w:val="6244EDDF"/>
    <w:rsid w:val="62A44EBF"/>
    <w:rsid w:val="62B75EF1"/>
    <w:rsid w:val="62C7213F"/>
    <w:rsid w:val="62E93B14"/>
    <w:rsid w:val="62EEA68A"/>
    <w:rsid w:val="62F3B8C5"/>
    <w:rsid w:val="6354DE25"/>
    <w:rsid w:val="6389CDA8"/>
    <w:rsid w:val="63D92E9D"/>
    <w:rsid w:val="642B947A"/>
    <w:rsid w:val="644AC7EC"/>
    <w:rsid w:val="6469B38A"/>
    <w:rsid w:val="646F2508"/>
    <w:rsid w:val="647E69A3"/>
    <w:rsid w:val="64A27D83"/>
    <w:rsid w:val="64F72ABE"/>
    <w:rsid w:val="64F87912"/>
    <w:rsid w:val="653848A4"/>
    <w:rsid w:val="65409F6A"/>
    <w:rsid w:val="65A395EF"/>
    <w:rsid w:val="6613694A"/>
    <w:rsid w:val="6639C3D0"/>
    <w:rsid w:val="6661EF9A"/>
    <w:rsid w:val="66F2FB23"/>
    <w:rsid w:val="674D4CDE"/>
    <w:rsid w:val="674F7DD1"/>
    <w:rsid w:val="67C76E61"/>
    <w:rsid w:val="67E0E8F6"/>
    <w:rsid w:val="67EFE471"/>
    <w:rsid w:val="6821C755"/>
    <w:rsid w:val="68B08815"/>
    <w:rsid w:val="68D4B567"/>
    <w:rsid w:val="68DEC907"/>
    <w:rsid w:val="692F235F"/>
    <w:rsid w:val="69C5C327"/>
    <w:rsid w:val="6A00F6CB"/>
    <w:rsid w:val="6A49CC7E"/>
    <w:rsid w:val="6AF86BB8"/>
    <w:rsid w:val="6B21F83A"/>
    <w:rsid w:val="6B46369D"/>
    <w:rsid w:val="6B5FA96B"/>
    <w:rsid w:val="6B7A64AC"/>
    <w:rsid w:val="6B8240E3"/>
    <w:rsid w:val="6B8A9857"/>
    <w:rsid w:val="6B9B905C"/>
    <w:rsid w:val="6BEABC23"/>
    <w:rsid w:val="6BF823B2"/>
    <w:rsid w:val="6C0034B8"/>
    <w:rsid w:val="6C19F4E8"/>
    <w:rsid w:val="6C509134"/>
    <w:rsid w:val="6C53DD62"/>
    <w:rsid w:val="6C6E8052"/>
    <w:rsid w:val="6C7A08A3"/>
    <w:rsid w:val="6C8EEE8A"/>
    <w:rsid w:val="6CB4D792"/>
    <w:rsid w:val="6CC0D9BB"/>
    <w:rsid w:val="6D85CE73"/>
    <w:rsid w:val="6D96FE7B"/>
    <w:rsid w:val="6DB23696"/>
    <w:rsid w:val="6E37E47B"/>
    <w:rsid w:val="6E835FCC"/>
    <w:rsid w:val="6E8F9064"/>
    <w:rsid w:val="6EC67C3A"/>
    <w:rsid w:val="6EECBE44"/>
    <w:rsid w:val="6EFD7217"/>
    <w:rsid w:val="6F3BEB3F"/>
    <w:rsid w:val="6F40007F"/>
    <w:rsid w:val="6FA6ABA4"/>
    <w:rsid w:val="703A0B50"/>
    <w:rsid w:val="70441F86"/>
    <w:rsid w:val="7063AAA9"/>
    <w:rsid w:val="70772098"/>
    <w:rsid w:val="70E78B2A"/>
    <w:rsid w:val="7123EF58"/>
    <w:rsid w:val="712E071B"/>
    <w:rsid w:val="715C5BA2"/>
    <w:rsid w:val="71A7A06F"/>
    <w:rsid w:val="71B247D2"/>
    <w:rsid w:val="71D9EF8A"/>
    <w:rsid w:val="71F4C47B"/>
    <w:rsid w:val="72423765"/>
    <w:rsid w:val="7255F2DE"/>
    <w:rsid w:val="725CA841"/>
    <w:rsid w:val="7299BAC3"/>
    <w:rsid w:val="72B54CB7"/>
    <w:rsid w:val="73261593"/>
    <w:rsid w:val="73A5D862"/>
    <w:rsid w:val="73D13239"/>
    <w:rsid w:val="73E61E8E"/>
    <w:rsid w:val="73E667C0"/>
    <w:rsid w:val="740EB594"/>
    <w:rsid w:val="7417ACDD"/>
    <w:rsid w:val="74ACD188"/>
    <w:rsid w:val="74AFAD3B"/>
    <w:rsid w:val="74E42C01"/>
    <w:rsid w:val="75309F04"/>
    <w:rsid w:val="7583EE9E"/>
    <w:rsid w:val="758C9456"/>
    <w:rsid w:val="759ACD3C"/>
    <w:rsid w:val="75EBF566"/>
    <w:rsid w:val="763C74F3"/>
    <w:rsid w:val="764A6514"/>
    <w:rsid w:val="76D3A981"/>
    <w:rsid w:val="76D79E9B"/>
    <w:rsid w:val="771E0939"/>
    <w:rsid w:val="771EE0A4"/>
    <w:rsid w:val="7781E81B"/>
    <w:rsid w:val="778DAF62"/>
    <w:rsid w:val="779B4B6C"/>
    <w:rsid w:val="78DB9C4A"/>
    <w:rsid w:val="791D9C74"/>
    <w:rsid w:val="79225DA1"/>
    <w:rsid w:val="797942D3"/>
    <w:rsid w:val="79B43DF5"/>
    <w:rsid w:val="7A15146C"/>
    <w:rsid w:val="7A318422"/>
    <w:rsid w:val="7A48CC9B"/>
    <w:rsid w:val="7A934351"/>
    <w:rsid w:val="7A953A30"/>
    <w:rsid w:val="7AF867D7"/>
    <w:rsid w:val="7BF7FE1B"/>
    <w:rsid w:val="7C0699AD"/>
    <w:rsid w:val="7C54F07B"/>
    <w:rsid w:val="7C936257"/>
    <w:rsid w:val="7D1F8A4B"/>
    <w:rsid w:val="7D46C95A"/>
    <w:rsid w:val="7D928F40"/>
    <w:rsid w:val="7DCC33C9"/>
    <w:rsid w:val="7DEB1DF5"/>
    <w:rsid w:val="7DFDE328"/>
    <w:rsid w:val="7E6B9335"/>
    <w:rsid w:val="7EC575AF"/>
    <w:rsid w:val="7F1B61C8"/>
    <w:rsid w:val="7F2EFF60"/>
    <w:rsid w:val="7F43D50A"/>
    <w:rsid w:val="7F55CC9F"/>
    <w:rsid w:val="7F5E5B1D"/>
    <w:rsid w:val="7F760167"/>
    <w:rsid w:val="7F86B0F4"/>
    <w:rsid w:val="7FA8DE8A"/>
    <w:rsid w:val="7FF066EE"/>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EEEB9C"/>
  <w15:docId w15:val="{115CB41B-5EDF-4A4C-BD38-277B2F2B7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qFormat="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62D"/>
    <w:rPr>
      <w:rFonts w:ascii="Segoe UI" w:hAnsi="Segoe UI"/>
      <w:sz w:val="21"/>
      <w:lang w:eastAsia="en-GB"/>
    </w:rPr>
  </w:style>
  <w:style w:type="paragraph" w:styleId="Heading1">
    <w:name w:val="heading 1"/>
    <w:basedOn w:val="Normal"/>
    <w:next w:val="Normal"/>
    <w:link w:val="Heading1Char"/>
    <w:uiPriority w:val="1"/>
    <w:qFormat/>
    <w:rsid w:val="00D86B00"/>
    <w:pPr>
      <w:keepNext/>
      <w:spacing w:before="600" w:after="360"/>
      <w:outlineLvl w:val="0"/>
    </w:pPr>
    <w:rPr>
      <w:b/>
      <w:color w:val="23305D"/>
      <w:spacing w:val="-10"/>
      <w:sz w:val="72"/>
    </w:rPr>
  </w:style>
  <w:style w:type="paragraph" w:styleId="Heading2">
    <w:name w:val="heading 2"/>
    <w:basedOn w:val="Normal"/>
    <w:next w:val="Normal"/>
    <w:link w:val="Heading2Char"/>
    <w:uiPriority w:val="1"/>
    <w:qFormat/>
    <w:rsid w:val="00030E84"/>
    <w:pPr>
      <w:keepNext/>
      <w:spacing w:before="480" w:after="180"/>
      <w:outlineLvl w:val="1"/>
    </w:pPr>
    <w:rPr>
      <w:b/>
      <w:color w:val="0A6AB4"/>
      <w:spacing w:val="-5"/>
      <w:sz w:val="48"/>
    </w:rPr>
  </w:style>
  <w:style w:type="paragraph" w:styleId="Heading3">
    <w:name w:val="heading 3"/>
    <w:basedOn w:val="Normal"/>
    <w:next w:val="Normal"/>
    <w:link w:val="Heading3Char"/>
    <w:uiPriority w:val="1"/>
    <w:qFormat/>
    <w:rsid w:val="00030E84"/>
    <w:pPr>
      <w:keepNext/>
      <w:spacing w:before="360" w:after="180"/>
      <w:outlineLvl w:val="2"/>
    </w:pPr>
    <w:rPr>
      <w:color w:val="0A6AB4"/>
      <w:spacing w:val="-5"/>
      <w:sz w:val="36"/>
    </w:rPr>
  </w:style>
  <w:style w:type="paragraph" w:styleId="Heading4">
    <w:name w:val="heading 4"/>
    <w:basedOn w:val="Normal"/>
    <w:next w:val="Normal"/>
    <w:link w:val="Heading4Char"/>
    <w:uiPriority w:val="1"/>
    <w:qFormat/>
    <w:rsid w:val="00030E84"/>
    <w:pPr>
      <w:keepNext/>
      <w:spacing w:before="240" w:after="120"/>
      <w:outlineLvl w:val="3"/>
    </w:pPr>
    <w:rPr>
      <w:color w:val="0A6AB4"/>
      <w:sz w:val="28"/>
    </w:rPr>
  </w:style>
  <w:style w:type="paragraph" w:styleId="Heading5">
    <w:name w:val="heading 5"/>
    <w:basedOn w:val="Normal"/>
    <w:next w:val="Normal"/>
    <w:link w:val="Heading5Char"/>
    <w:uiPriority w:val="1"/>
    <w:qFormat/>
    <w:rsid w:val="00B00CF5"/>
    <w:pPr>
      <w:keepNext/>
      <w:spacing w:before="120" w:after="120"/>
      <w:outlineLvl w:val="4"/>
    </w:pPr>
    <w:rPr>
      <w:color w:val="0A6AB4"/>
      <w:sz w:val="24"/>
    </w:rPr>
  </w:style>
  <w:style w:type="paragraph" w:styleId="Heading6">
    <w:name w:val="heading 6"/>
    <w:basedOn w:val="Normal"/>
    <w:next w:val="Normal"/>
    <w:link w:val="Heading6Char"/>
    <w:uiPriority w:val="1"/>
    <w:unhideWhenUsed/>
    <w:qFormat/>
    <w:rsid w:val="00122363"/>
    <w:pPr>
      <w:keepNext/>
      <w:keepLines/>
      <w:spacing w:before="200" w:after="120" w:line="276" w:lineRule="auto"/>
      <w:ind w:left="1152" w:hanging="1152"/>
      <w:outlineLvl w:val="5"/>
    </w:pPr>
    <w:rPr>
      <w:rFonts w:ascii="Calibri" w:eastAsia="MS Gothic" w:hAnsi="Calibri"/>
      <w:i/>
      <w:iCs/>
      <w:color w:val="243F60"/>
      <w:szCs w:val="24"/>
      <w:lang w:val="en-GB" w:eastAsia="en-US"/>
    </w:rPr>
  </w:style>
  <w:style w:type="paragraph" w:styleId="Heading7">
    <w:name w:val="heading 7"/>
    <w:basedOn w:val="Normal"/>
    <w:next w:val="Normal"/>
    <w:link w:val="Heading7Char"/>
    <w:uiPriority w:val="1"/>
    <w:unhideWhenUsed/>
    <w:qFormat/>
    <w:rsid w:val="00122363"/>
    <w:pPr>
      <w:keepNext/>
      <w:keepLines/>
      <w:spacing w:before="200" w:after="120" w:line="276" w:lineRule="auto"/>
      <w:ind w:left="1296" w:hanging="1296"/>
      <w:outlineLvl w:val="6"/>
    </w:pPr>
    <w:rPr>
      <w:rFonts w:ascii="Calibri" w:eastAsia="MS Gothic" w:hAnsi="Calibri"/>
      <w:i/>
      <w:iCs/>
      <w:color w:val="404040"/>
      <w:szCs w:val="24"/>
      <w:lang w:val="en-GB" w:eastAsia="en-US"/>
    </w:rPr>
  </w:style>
  <w:style w:type="paragraph" w:styleId="Heading8">
    <w:name w:val="heading 8"/>
    <w:basedOn w:val="Normal"/>
    <w:next w:val="Normal"/>
    <w:link w:val="Heading8Char"/>
    <w:uiPriority w:val="1"/>
    <w:unhideWhenUsed/>
    <w:qFormat/>
    <w:rsid w:val="00030E84"/>
    <w:pPr>
      <w:keepNext/>
      <w:keepLines/>
      <w:spacing w:before="480" w:after="240"/>
      <w:outlineLvl w:val="7"/>
    </w:pPr>
    <w:rPr>
      <w:rFonts w:eastAsia="MS Gothic"/>
      <w:color w:val="0A6AB4"/>
      <w:spacing w:val="-10"/>
      <w:sz w:val="36"/>
      <w:szCs w:val="24"/>
      <w:lang w:eastAsia="en-US"/>
    </w:rPr>
  </w:style>
  <w:style w:type="paragraph" w:styleId="Heading9">
    <w:name w:val="heading 9"/>
    <w:basedOn w:val="Normal"/>
    <w:next w:val="Normal"/>
    <w:link w:val="Heading9Char"/>
    <w:uiPriority w:val="1"/>
    <w:unhideWhenUsed/>
    <w:qFormat/>
    <w:rsid w:val="00122363"/>
    <w:pPr>
      <w:keepNext/>
      <w:keepLines/>
      <w:spacing w:before="200" w:after="120" w:line="276" w:lineRule="auto"/>
      <w:ind w:left="1584" w:hanging="1584"/>
      <w:outlineLvl w:val="8"/>
    </w:pPr>
    <w:rPr>
      <w:rFonts w:ascii="Calibri" w:eastAsia="MS Gothic" w:hAnsi="Calibri"/>
      <w:i/>
      <w:iCs/>
      <w:color w:val="404040"/>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39"/>
    <w:qFormat/>
    <w:rsid w:val="001D3E4E"/>
    <w:pPr>
      <w:tabs>
        <w:tab w:val="right" w:pos="8080"/>
      </w:tabs>
      <w:spacing w:before="300"/>
      <w:ind w:right="567"/>
    </w:pPr>
    <w:rPr>
      <w:rFonts w:ascii="Segoe UI Semibold" w:hAnsi="Segoe UI Semibold"/>
      <w:sz w:val="24"/>
    </w:rPr>
  </w:style>
  <w:style w:type="paragraph" w:styleId="TOC2">
    <w:name w:val="toc 2"/>
    <w:basedOn w:val="Normal"/>
    <w:next w:val="Normal"/>
    <w:uiPriority w:val="39"/>
    <w:qFormat/>
    <w:rsid w:val="002B76A7"/>
    <w:pPr>
      <w:tabs>
        <w:tab w:val="right" w:pos="8080"/>
      </w:tabs>
      <w:spacing w:before="60"/>
      <w:ind w:left="284" w:right="567"/>
    </w:pPr>
    <w:rPr>
      <w:sz w:val="22"/>
    </w:rPr>
  </w:style>
  <w:style w:type="paragraph" w:styleId="TOC3">
    <w:name w:val="toc 3"/>
    <w:basedOn w:val="Normal"/>
    <w:next w:val="Normal"/>
    <w:uiPriority w:val="39"/>
    <w:rsid w:val="002B76A7"/>
    <w:pPr>
      <w:tabs>
        <w:tab w:val="right" w:pos="8080"/>
      </w:tabs>
      <w:spacing w:before="120"/>
      <w:ind w:left="1276" w:right="567" w:hanging="1276"/>
    </w:pPr>
  </w:style>
  <w:style w:type="paragraph" w:customStyle="1" w:styleId="Bullet">
    <w:name w:val="Bullet"/>
    <w:basedOn w:val="Normal"/>
    <w:link w:val="BulletChar"/>
    <w:qFormat/>
    <w:rsid w:val="00FA0EA5"/>
    <w:pPr>
      <w:numPr>
        <w:numId w:val="1"/>
      </w:numPr>
      <w:spacing w:before="90"/>
    </w:pPr>
  </w:style>
  <w:style w:type="paragraph" w:styleId="Quote">
    <w:name w:val="Quote"/>
    <w:basedOn w:val="Normal"/>
    <w:next w:val="Normal"/>
    <w:link w:val="QuoteChar"/>
    <w:qFormat/>
    <w:pPr>
      <w:spacing w:before="120"/>
      <w:ind w:left="284" w:right="284"/>
    </w:pPr>
  </w:style>
  <w:style w:type="paragraph" w:styleId="FootnoteText">
    <w:name w:val="footnote text"/>
    <w:basedOn w:val="Normal"/>
    <w:link w:val="FootnoteTextChar"/>
    <w:rsid w:val="00A7415D"/>
    <w:pPr>
      <w:spacing w:before="60" w:line="228" w:lineRule="auto"/>
      <w:ind w:left="284" w:hanging="284"/>
    </w:pPr>
    <w:rPr>
      <w:sz w:val="17"/>
    </w:rPr>
  </w:style>
  <w:style w:type="paragraph" w:styleId="Header">
    <w:name w:val="header"/>
    <w:basedOn w:val="Normal"/>
    <w:link w:val="HeaderChar"/>
    <w:qFormat/>
    <w:rsid w:val="00D25FFE"/>
  </w:style>
  <w:style w:type="paragraph" w:styleId="Title">
    <w:name w:val="Title"/>
    <w:basedOn w:val="Normal"/>
    <w:next w:val="Normal"/>
    <w:link w:val="TitleChar"/>
    <w:uiPriority w:val="99"/>
    <w:qFormat/>
    <w:rsid w:val="005A79E5"/>
    <w:pPr>
      <w:spacing w:line="216" w:lineRule="auto"/>
      <w:ind w:right="3402"/>
    </w:pPr>
    <w:rPr>
      <w:rFonts w:ascii="Segoe UI Black" w:hAnsi="Segoe UI Black" w:cs="Lucida Sans Unicode"/>
      <w:b/>
      <w:sz w:val="72"/>
      <w:szCs w:val="72"/>
    </w:rPr>
  </w:style>
  <w:style w:type="paragraph" w:customStyle="1" w:styleId="Imprint">
    <w:name w:val="Imprint"/>
    <w:basedOn w:val="Normal"/>
    <w:next w:val="Normal"/>
    <w:qFormat/>
    <w:rsid w:val="00C05132"/>
    <w:pPr>
      <w:spacing w:after="240"/>
    </w:pPr>
    <w:rPr>
      <w:sz w:val="20"/>
    </w:rPr>
  </w:style>
  <w:style w:type="paragraph" w:styleId="Footer">
    <w:name w:val="footer"/>
    <w:basedOn w:val="Normal"/>
    <w:link w:val="FooterChar"/>
    <w:qFormat/>
    <w:rsid w:val="007A067F"/>
  </w:style>
  <w:style w:type="character" w:styleId="PageNumber">
    <w:name w:val="page number"/>
    <w:rsid w:val="007A067F"/>
    <w:rPr>
      <w:rFonts w:ascii="Segoe UI" w:hAnsi="Segoe UI"/>
      <w:b/>
      <w:sz w:val="22"/>
    </w:rPr>
  </w:style>
  <w:style w:type="paragraph" w:customStyle="1" w:styleId="VersoFooter">
    <w:name w:val="Verso Footer"/>
    <w:basedOn w:val="Footer"/>
    <w:rsid w:val="00571223"/>
    <w:rPr>
      <w:sz w:val="15"/>
    </w:rPr>
  </w:style>
  <w:style w:type="paragraph" w:customStyle="1" w:styleId="RectoFooter">
    <w:name w:val="Recto Footer"/>
    <w:basedOn w:val="Footer"/>
    <w:rsid w:val="00581EB8"/>
    <w:pPr>
      <w:jc w:val="right"/>
    </w:pPr>
    <w:rPr>
      <w:caps/>
      <w:sz w:val="15"/>
    </w:rPr>
  </w:style>
  <w:style w:type="paragraph" w:customStyle="1" w:styleId="Figure">
    <w:name w:val="Figure"/>
    <w:basedOn w:val="Normal"/>
    <w:next w:val="Normal"/>
    <w:link w:val="FigureChar"/>
    <w:qFormat/>
    <w:rsid w:val="009133F5"/>
    <w:pPr>
      <w:keepNext/>
      <w:spacing w:before="120" w:after="120"/>
    </w:pPr>
    <w:rPr>
      <w:b/>
      <w:sz w:val="20"/>
    </w:rPr>
  </w:style>
  <w:style w:type="character" w:styleId="FootnoteReference">
    <w:name w:val="footnote reference"/>
    <w:rPr>
      <w:vertAlign w:val="superscript"/>
    </w:rPr>
  </w:style>
  <w:style w:type="paragraph" w:customStyle="1" w:styleId="Table">
    <w:name w:val="Table"/>
    <w:basedOn w:val="Figure"/>
    <w:link w:val="TableChar"/>
    <w:qFormat/>
    <w:rsid w:val="00642868"/>
  </w:style>
  <w:style w:type="paragraph" w:customStyle="1" w:styleId="Dash">
    <w:name w:val="Dash"/>
    <w:basedOn w:val="Bullet"/>
    <w:qFormat/>
    <w:rsid w:val="00702854"/>
    <w:pPr>
      <w:numPr>
        <w:numId w:val="3"/>
      </w:numPr>
      <w:spacing w:before="60"/>
    </w:pPr>
  </w:style>
  <w:style w:type="paragraph" w:customStyle="1" w:styleId="TableText">
    <w:name w:val="TableText"/>
    <w:basedOn w:val="Normal"/>
    <w:qFormat/>
    <w:rsid w:val="009C440A"/>
    <w:pPr>
      <w:spacing w:before="60" w:after="60"/>
    </w:pPr>
    <w:rPr>
      <w:sz w:val="18"/>
    </w:rPr>
  </w:style>
  <w:style w:type="paragraph" w:customStyle="1" w:styleId="TableBullet">
    <w:name w:val="TableBullet"/>
    <w:basedOn w:val="TableText"/>
    <w:qFormat/>
    <w:rsid w:val="00B73AF2"/>
    <w:pPr>
      <w:numPr>
        <w:numId w:val="5"/>
      </w:numPr>
      <w:spacing w:before="0"/>
    </w:pPr>
  </w:style>
  <w:style w:type="paragraph" w:customStyle="1" w:styleId="Box">
    <w:name w:val="Box"/>
    <w:basedOn w:val="Normal"/>
    <w:qFormat/>
    <w:pPr>
      <w:pBdr>
        <w:top w:val="single" w:sz="4" w:space="12" w:color="auto"/>
        <w:left w:val="single" w:sz="4" w:space="12" w:color="auto"/>
        <w:bottom w:val="single" w:sz="4" w:space="12" w:color="auto"/>
        <w:right w:val="single" w:sz="4" w:space="12" w:color="auto"/>
      </w:pBdr>
      <w:spacing w:before="120"/>
      <w:ind w:left="284" w:right="284"/>
    </w:pPr>
  </w:style>
  <w:style w:type="paragraph" w:customStyle="1" w:styleId="BoxHeading">
    <w:name w:val="BoxHeading"/>
    <w:basedOn w:val="Normal"/>
    <w:next w:val="Box"/>
    <w:qFormat/>
    <w:rsid w:val="00D37D80"/>
    <w:pPr>
      <w:keepNext/>
      <w:pBdr>
        <w:top w:val="single" w:sz="4" w:space="12" w:color="auto"/>
        <w:left w:val="single" w:sz="4" w:space="12" w:color="auto"/>
        <w:bottom w:val="single" w:sz="4" w:space="12" w:color="auto"/>
        <w:right w:val="single" w:sz="4" w:space="12" w:color="auto"/>
      </w:pBdr>
      <w:spacing w:before="240" w:line="264" w:lineRule="auto"/>
      <w:ind w:left="284" w:right="284"/>
    </w:pPr>
    <w:rPr>
      <w:b/>
      <w:sz w:val="24"/>
      <w:szCs w:val="24"/>
    </w:rPr>
  </w:style>
  <w:style w:type="paragraph" w:customStyle="1" w:styleId="BoxBullet">
    <w:name w:val="BoxBullet"/>
    <w:basedOn w:val="Bullet"/>
    <w:qFormat/>
    <w:rsid w:val="00E30985"/>
    <w:pPr>
      <w:spacing w:line="264" w:lineRule="auto"/>
    </w:pPr>
    <w:rPr>
      <w:color w:val="FFFFFF" w:themeColor="background1"/>
    </w:rPr>
  </w:style>
  <w:style w:type="paragraph" w:customStyle="1" w:styleId="IntroHead">
    <w:name w:val="IntroHead"/>
    <w:basedOn w:val="Heading1"/>
    <w:next w:val="Normal"/>
    <w:qFormat/>
    <w:rsid w:val="001D3E4E"/>
    <w:pPr>
      <w:spacing w:before="0"/>
      <w:outlineLvl w:val="9"/>
    </w:pPr>
  </w:style>
  <w:style w:type="paragraph" w:customStyle="1" w:styleId="Source">
    <w:name w:val="Source"/>
    <w:basedOn w:val="Note"/>
    <w:next w:val="Normal"/>
    <w:qFormat/>
    <w:rsid w:val="0012053C"/>
  </w:style>
  <w:style w:type="paragraph" w:customStyle="1" w:styleId="Note">
    <w:name w:val="Note"/>
    <w:basedOn w:val="Normal"/>
    <w:next w:val="Normal"/>
    <w:link w:val="NoteChar"/>
    <w:qFormat/>
    <w:rsid w:val="00A87C05"/>
    <w:pPr>
      <w:spacing w:before="80"/>
    </w:pPr>
    <w:rPr>
      <w:sz w:val="17"/>
    </w:rPr>
  </w:style>
  <w:style w:type="paragraph" w:customStyle="1" w:styleId="Subhead">
    <w:name w:val="Subhead"/>
    <w:basedOn w:val="Normal"/>
    <w:next w:val="Year"/>
    <w:qFormat/>
    <w:rsid w:val="00531E12"/>
    <w:pPr>
      <w:spacing w:before="840"/>
      <w:ind w:right="3402"/>
    </w:pPr>
    <w:rPr>
      <w:rFonts w:ascii="Segoe UI Semibold" w:hAnsi="Segoe UI Semibold" w:cs="Segoe UI Semibold"/>
      <w:sz w:val="36"/>
      <w:szCs w:val="26"/>
    </w:rPr>
  </w:style>
  <w:style w:type="character" w:styleId="Hyperlink">
    <w:name w:val="Hyperlink"/>
    <w:uiPriority w:val="99"/>
    <w:rsid w:val="003309CA"/>
    <w:rPr>
      <w:b/>
      <w:color w:val="595959" w:themeColor="text1" w:themeTint="A6"/>
      <w:u w:val="none"/>
    </w:rPr>
  </w:style>
  <w:style w:type="paragraph" w:customStyle="1" w:styleId="References">
    <w:name w:val="References"/>
    <w:basedOn w:val="Normal"/>
    <w:qFormat/>
    <w:rsid w:val="001460E0"/>
    <w:pPr>
      <w:spacing w:after="180"/>
    </w:pPr>
  </w:style>
  <w:style w:type="paragraph" w:customStyle="1" w:styleId="TableDash">
    <w:name w:val="TableDash"/>
    <w:basedOn w:val="TableText"/>
    <w:qFormat/>
    <w:rsid w:val="0010541C"/>
    <w:pPr>
      <w:numPr>
        <w:numId w:val="4"/>
      </w:numPr>
      <w:spacing w:before="40" w:after="0"/>
    </w:pPr>
    <w:rPr>
      <w:szCs w:val="22"/>
    </w:rPr>
  </w:style>
  <w:style w:type="character" w:customStyle="1" w:styleId="NoteChar">
    <w:name w:val="Note Char"/>
    <w:link w:val="Note"/>
    <w:rsid w:val="00A87C05"/>
    <w:rPr>
      <w:rFonts w:ascii="Segoe UI" w:hAnsi="Segoe UI"/>
      <w:sz w:val="17"/>
      <w:lang w:eastAsia="en-GB"/>
    </w:rPr>
  </w:style>
  <w:style w:type="character" w:customStyle="1" w:styleId="FootnoteTextChar">
    <w:name w:val="Footnote Text Char"/>
    <w:link w:val="FootnoteText"/>
    <w:rsid w:val="00A7415D"/>
    <w:rPr>
      <w:rFonts w:ascii="Segoe UI" w:hAnsi="Segoe UI"/>
      <w:sz w:val="17"/>
      <w:lang w:eastAsia="en-GB"/>
    </w:rPr>
  </w:style>
  <w:style w:type="table" w:styleId="TableGrid">
    <w:name w:val="Table Grid"/>
    <w:basedOn w:val="TableNormal"/>
    <w:uiPriority w:val="39"/>
    <w:rsid w:val="00503749"/>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86388B"/>
    <w:rPr>
      <w:rFonts w:ascii="Georgia" w:hAnsi="Georgia"/>
      <w:sz w:val="22"/>
      <w:lang w:eastAsia="en-GB"/>
    </w:rPr>
  </w:style>
  <w:style w:type="character" w:customStyle="1" w:styleId="FooterChar">
    <w:name w:val="Footer Char"/>
    <w:link w:val="Footer"/>
    <w:rsid w:val="007A067F"/>
    <w:rPr>
      <w:rFonts w:ascii="Segoe UI" w:hAnsi="Segoe UI"/>
      <w:sz w:val="21"/>
      <w:lang w:eastAsia="en-GB"/>
    </w:rPr>
  </w:style>
  <w:style w:type="character" w:customStyle="1" w:styleId="Heading1Char">
    <w:name w:val="Heading 1 Char"/>
    <w:link w:val="Heading1"/>
    <w:uiPriority w:val="1"/>
    <w:rsid w:val="00D86B00"/>
    <w:rPr>
      <w:rFonts w:ascii="Segoe UI" w:hAnsi="Segoe UI"/>
      <w:b/>
      <w:color w:val="23305D"/>
      <w:spacing w:val="-10"/>
      <w:sz w:val="72"/>
      <w:lang w:eastAsia="en-GB"/>
    </w:rPr>
  </w:style>
  <w:style w:type="paragraph" w:styleId="Revision">
    <w:name w:val="Revision"/>
    <w:hidden/>
    <w:uiPriority w:val="99"/>
    <w:rsid w:val="0086388B"/>
    <w:rPr>
      <w:rFonts w:ascii="Calibri" w:eastAsia="Calibri" w:hAnsi="Calibri"/>
      <w:sz w:val="22"/>
      <w:szCs w:val="22"/>
      <w:lang w:val="en-US" w:eastAsia="en-US"/>
    </w:rPr>
  </w:style>
  <w:style w:type="character" w:customStyle="1" w:styleId="Heading2Char">
    <w:name w:val="Heading 2 Char"/>
    <w:link w:val="Heading2"/>
    <w:uiPriority w:val="1"/>
    <w:rsid w:val="00030E84"/>
    <w:rPr>
      <w:rFonts w:ascii="Segoe UI" w:hAnsi="Segoe UI"/>
      <w:b/>
      <w:color w:val="0A6AB4"/>
      <w:spacing w:val="-5"/>
      <w:sz w:val="48"/>
      <w:lang w:eastAsia="en-GB"/>
    </w:rPr>
  </w:style>
  <w:style w:type="character" w:customStyle="1" w:styleId="Heading3Char">
    <w:name w:val="Heading 3 Char"/>
    <w:link w:val="Heading3"/>
    <w:uiPriority w:val="1"/>
    <w:rsid w:val="00030E84"/>
    <w:rPr>
      <w:rFonts w:ascii="Segoe UI" w:hAnsi="Segoe UI"/>
      <w:color w:val="0A6AB4"/>
      <w:spacing w:val="-5"/>
      <w:sz w:val="36"/>
      <w:lang w:eastAsia="en-GB"/>
    </w:rPr>
  </w:style>
  <w:style w:type="paragraph" w:customStyle="1" w:styleId="Year">
    <w:name w:val="Year"/>
    <w:basedOn w:val="Subhead"/>
    <w:next w:val="Subhead"/>
    <w:qFormat/>
    <w:rsid w:val="00531E12"/>
    <w:rPr>
      <w:sz w:val="28"/>
    </w:rPr>
  </w:style>
  <w:style w:type="character" w:customStyle="1" w:styleId="Heading6Char">
    <w:name w:val="Heading 6 Char"/>
    <w:basedOn w:val="DefaultParagraphFont"/>
    <w:link w:val="Heading6"/>
    <w:rsid w:val="00122363"/>
    <w:rPr>
      <w:rFonts w:ascii="Calibri" w:eastAsia="MS Gothic" w:hAnsi="Calibri"/>
      <w:i/>
      <w:iCs/>
      <w:color w:val="243F60"/>
      <w:sz w:val="22"/>
      <w:szCs w:val="24"/>
      <w:lang w:val="en-GB" w:eastAsia="en-US"/>
    </w:rPr>
  </w:style>
  <w:style w:type="character" w:customStyle="1" w:styleId="Heading7Char">
    <w:name w:val="Heading 7 Char"/>
    <w:basedOn w:val="DefaultParagraphFont"/>
    <w:link w:val="Heading7"/>
    <w:rsid w:val="00122363"/>
    <w:rPr>
      <w:rFonts w:ascii="Calibri" w:eastAsia="MS Gothic" w:hAnsi="Calibri"/>
      <w:i/>
      <w:iCs/>
      <w:color w:val="404040"/>
      <w:sz w:val="22"/>
      <w:szCs w:val="24"/>
      <w:lang w:val="en-GB" w:eastAsia="en-US"/>
    </w:rPr>
  </w:style>
  <w:style w:type="character" w:customStyle="1" w:styleId="Heading8Char">
    <w:name w:val="Heading 8 Char"/>
    <w:basedOn w:val="DefaultParagraphFont"/>
    <w:link w:val="Heading8"/>
    <w:uiPriority w:val="1"/>
    <w:rsid w:val="00030E84"/>
    <w:rPr>
      <w:rFonts w:ascii="Segoe UI" w:eastAsia="MS Gothic" w:hAnsi="Segoe UI"/>
      <w:color w:val="0A6AB4"/>
      <w:spacing w:val="-10"/>
      <w:sz w:val="36"/>
      <w:szCs w:val="24"/>
      <w:lang w:eastAsia="en-US"/>
    </w:rPr>
  </w:style>
  <w:style w:type="character" w:customStyle="1" w:styleId="Heading9Char">
    <w:name w:val="Heading 9 Char"/>
    <w:basedOn w:val="DefaultParagraphFont"/>
    <w:link w:val="Heading9"/>
    <w:rsid w:val="00122363"/>
    <w:rPr>
      <w:rFonts w:ascii="Calibri" w:eastAsia="MS Gothic" w:hAnsi="Calibri"/>
      <w:i/>
      <w:iCs/>
      <w:color w:val="404040"/>
      <w:sz w:val="22"/>
      <w:szCs w:val="24"/>
      <w:lang w:val="en-GB" w:eastAsia="en-US"/>
    </w:rPr>
  </w:style>
  <w:style w:type="character" w:customStyle="1" w:styleId="Heading4Char">
    <w:name w:val="Heading 4 Char"/>
    <w:link w:val="Heading4"/>
    <w:uiPriority w:val="1"/>
    <w:rsid w:val="00030E84"/>
    <w:rPr>
      <w:rFonts w:ascii="Segoe UI" w:hAnsi="Segoe UI"/>
      <w:color w:val="0A6AB4"/>
      <w:sz w:val="28"/>
      <w:lang w:eastAsia="en-GB"/>
    </w:rPr>
  </w:style>
  <w:style w:type="character" w:customStyle="1" w:styleId="Heading5Char">
    <w:name w:val="Heading 5 Char"/>
    <w:link w:val="Heading5"/>
    <w:uiPriority w:val="1"/>
    <w:rsid w:val="00B00CF5"/>
    <w:rPr>
      <w:rFonts w:ascii="Segoe UI" w:hAnsi="Segoe UI"/>
      <w:color w:val="0A6AB4"/>
      <w:sz w:val="24"/>
      <w:lang w:eastAsia="en-GB"/>
    </w:rPr>
  </w:style>
  <w:style w:type="character" w:customStyle="1" w:styleId="QuoteChar">
    <w:name w:val="Quote Char"/>
    <w:link w:val="Quote"/>
    <w:rsid w:val="00122363"/>
    <w:rPr>
      <w:rFonts w:ascii="Georgia" w:hAnsi="Georgia"/>
      <w:sz w:val="22"/>
      <w:lang w:eastAsia="en-GB"/>
    </w:rPr>
  </w:style>
  <w:style w:type="character" w:customStyle="1" w:styleId="TitleChar">
    <w:name w:val="Title Char"/>
    <w:link w:val="Title"/>
    <w:uiPriority w:val="99"/>
    <w:rsid w:val="005A79E5"/>
    <w:rPr>
      <w:rFonts w:ascii="Segoe UI Black" w:hAnsi="Segoe UI Black" w:cs="Lucida Sans Unicode"/>
      <w:b/>
      <w:sz w:val="72"/>
      <w:szCs w:val="72"/>
      <w:lang w:eastAsia="en-GB"/>
    </w:rPr>
  </w:style>
  <w:style w:type="paragraph" w:customStyle="1" w:styleId="Number">
    <w:name w:val="Number"/>
    <w:basedOn w:val="Normal"/>
    <w:rsid w:val="00F140B2"/>
    <w:pPr>
      <w:numPr>
        <w:numId w:val="17"/>
      </w:numPr>
      <w:spacing w:before="180"/>
    </w:pPr>
    <w:rPr>
      <w:szCs w:val="24"/>
    </w:rPr>
  </w:style>
  <w:style w:type="paragraph" w:customStyle="1" w:styleId="Letter">
    <w:name w:val="Letter"/>
    <w:basedOn w:val="Normal"/>
    <w:qFormat/>
    <w:rsid w:val="00F140B2"/>
    <w:pPr>
      <w:numPr>
        <w:ilvl w:val="1"/>
        <w:numId w:val="17"/>
      </w:numPr>
      <w:spacing w:before="120"/>
    </w:pPr>
  </w:style>
  <w:style w:type="paragraph" w:customStyle="1" w:styleId="Introductoryparagraph">
    <w:name w:val="Introductory paragraph"/>
    <w:basedOn w:val="Normal"/>
    <w:next w:val="Normal"/>
    <w:qFormat/>
    <w:rsid w:val="0012053C"/>
    <w:pPr>
      <w:spacing w:after="240" w:line="216" w:lineRule="auto"/>
      <w:ind w:right="1134"/>
    </w:pPr>
    <w:rPr>
      <w:rFonts w:ascii="Segoe UI Light" w:hAnsi="Segoe UI Light"/>
      <w:color w:val="404040" w:themeColor="text1" w:themeTint="BF"/>
      <w:sz w:val="44"/>
    </w:rPr>
  </w:style>
  <w:style w:type="paragraph" w:customStyle="1" w:styleId="Shadedboxheading">
    <w:name w:val="Shaded box heading"/>
    <w:basedOn w:val="BoxHeading"/>
    <w:next w:val="Shadedboxtext"/>
    <w:qFormat/>
    <w:rsid w:val="00D86B00"/>
    <w:pPr>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9D9D9" w:themeFill="background1" w:themeFillShade="D9"/>
      <w:spacing w:after="120"/>
    </w:pPr>
    <w:rPr>
      <w:rFonts w:eastAsia="Arial Unicode MS"/>
    </w:rPr>
  </w:style>
  <w:style w:type="paragraph" w:customStyle="1" w:styleId="Shadedboxtext">
    <w:name w:val="Shaded box text"/>
    <w:basedOn w:val="Normal"/>
    <w:qFormat/>
    <w:rsid w:val="00D86B00"/>
    <w:pPr>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9D9D9" w:themeFill="background1" w:themeFillShade="D9"/>
      <w:spacing w:line="264" w:lineRule="auto"/>
      <w:ind w:left="284" w:right="284"/>
    </w:pPr>
    <w:rPr>
      <w:rFonts w:eastAsia="Arial Unicode MS"/>
    </w:rPr>
  </w:style>
  <w:style w:type="paragraph" w:customStyle="1" w:styleId="Roman">
    <w:name w:val="Roman"/>
    <w:basedOn w:val="Normal"/>
    <w:qFormat/>
    <w:rsid w:val="00AD6293"/>
    <w:pPr>
      <w:numPr>
        <w:ilvl w:val="2"/>
        <w:numId w:val="17"/>
      </w:numPr>
      <w:spacing w:before="90"/>
    </w:pPr>
    <w:rPr>
      <w:rFonts w:eastAsia="Arial Unicode MS"/>
    </w:rPr>
  </w:style>
  <w:style w:type="character" w:customStyle="1" w:styleId="BulletChar">
    <w:name w:val="Bullet Char"/>
    <w:link w:val="Bullet"/>
    <w:locked/>
    <w:rsid w:val="00DF6D4C"/>
    <w:rPr>
      <w:rFonts w:ascii="Segoe UI" w:hAnsi="Segoe UI"/>
      <w:sz w:val="21"/>
      <w:lang w:eastAsia="en-GB"/>
    </w:rPr>
  </w:style>
  <w:style w:type="paragraph" w:customStyle="1" w:styleId="paragraph">
    <w:name w:val="paragraph"/>
    <w:basedOn w:val="Normal"/>
    <w:rsid w:val="00DF6D4C"/>
    <w:pPr>
      <w:spacing w:before="100" w:beforeAutospacing="1" w:after="100" w:afterAutospacing="1"/>
    </w:pPr>
    <w:rPr>
      <w:rFonts w:ascii="Times New Roman" w:hAnsi="Times New Roman"/>
      <w:sz w:val="24"/>
      <w:szCs w:val="24"/>
      <w:lang w:eastAsia="en-NZ"/>
    </w:rPr>
  </w:style>
  <w:style w:type="character" w:customStyle="1" w:styleId="normaltextrun">
    <w:name w:val="normaltextrun"/>
    <w:basedOn w:val="DefaultParagraphFont"/>
    <w:rsid w:val="00DF6D4C"/>
  </w:style>
  <w:style w:type="character" w:customStyle="1" w:styleId="eop">
    <w:name w:val="eop"/>
    <w:basedOn w:val="DefaultParagraphFont"/>
    <w:rsid w:val="00DF6D4C"/>
  </w:style>
  <w:style w:type="paragraph" w:styleId="Caption">
    <w:name w:val="caption"/>
    <w:basedOn w:val="Normal"/>
    <w:next w:val="Normal"/>
    <w:unhideWhenUsed/>
    <w:qFormat/>
    <w:rsid w:val="00DF6D4C"/>
    <w:pPr>
      <w:spacing w:after="200"/>
    </w:pPr>
    <w:rPr>
      <w:i/>
      <w:iCs/>
      <w:color w:val="1F497D" w:themeColor="text2"/>
      <w:sz w:val="18"/>
      <w:szCs w:val="18"/>
    </w:rPr>
  </w:style>
  <w:style w:type="character" w:customStyle="1" w:styleId="FigureChar">
    <w:name w:val="Figure Char"/>
    <w:link w:val="Figure"/>
    <w:locked/>
    <w:rsid w:val="006D12BE"/>
    <w:rPr>
      <w:rFonts w:ascii="Segoe UI" w:hAnsi="Segoe UI"/>
      <w:b/>
      <w:lang w:eastAsia="en-GB"/>
    </w:rPr>
  </w:style>
  <w:style w:type="character" w:customStyle="1" w:styleId="TableChar">
    <w:name w:val="Table Char"/>
    <w:link w:val="Table"/>
    <w:locked/>
    <w:rsid w:val="006D12BE"/>
    <w:rPr>
      <w:rFonts w:ascii="Segoe UI" w:hAnsi="Segoe UI"/>
      <w:b/>
      <w:lang w:eastAsia="en-GB"/>
    </w:rPr>
  </w:style>
  <w:style w:type="character" w:styleId="FollowedHyperlink">
    <w:name w:val="FollowedHyperlink"/>
    <w:basedOn w:val="DefaultParagraphFont"/>
    <w:uiPriority w:val="99"/>
    <w:semiHidden/>
    <w:unhideWhenUsed/>
    <w:rsid w:val="00BA4CAA"/>
    <w:rPr>
      <w:color w:val="800080" w:themeColor="followedHyperlink"/>
      <w:u w:val="single"/>
    </w:rPr>
  </w:style>
  <w:style w:type="character" w:styleId="CommentReference">
    <w:name w:val="annotation reference"/>
    <w:basedOn w:val="DefaultParagraphFont"/>
    <w:uiPriority w:val="99"/>
    <w:semiHidden/>
    <w:unhideWhenUsed/>
    <w:rsid w:val="00BA4CAA"/>
    <w:rPr>
      <w:sz w:val="16"/>
      <w:szCs w:val="16"/>
    </w:rPr>
  </w:style>
  <w:style w:type="paragraph" w:styleId="CommentText">
    <w:name w:val="annotation text"/>
    <w:basedOn w:val="Normal"/>
    <w:link w:val="CommentTextChar"/>
    <w:uiPriority w:val="99"/>
    <w:unhideWhenUsed/>
    <w:rsid w:val="00BA4CAA"/>
    <w:rPr>
      <w:sz w:val="20"/>
    </w:rPr>
  </w:style>
  <w:style w:type="character" w:customStyle="1" w:styleId="CommentTextChar">
    <w:name w:val="Comment Text Char"/>
    <w:basedOn w:val="DefaultParagraphFont"/>
    <w:link w:val="CommentText"/>
    <w:uiPriority w:val="99"/>
    <w:rsid w:val="00BA4CAA"/>
    <w:rPr>
      <w:rFonts w:ascii="Segoe UI" w:hAnsi="Segoe UI"/>
      <w:lang w:eastAsia="en-GB"/>
    </w:rPr>
  </w:style>
  <w:style w:type="paragraph" w:styleId="CommentSubject">
    <w:name w:val="annotation subject"/>
    <w:basedOn w:val="CommentText"/>
    <w:next w:val="CommentText"/>
    <w:link w:val="CommentSubjectChar"/>
    <w:uiPriority w:val="99"/>
    <w:semiHidden/>
    <w:unhideWhenUsed/>
    <w:rsid w:val="00BA4CAA"/>
    <w:rPr>
      <w:b/>
      <w:bCs/>
    </w:rPr>
  </w:style>
  <w:style w:type="character" w:customStyle="1" w:styleId="CommentSubjectChar">
    <w:name w:val="Comment Subject Char"/>
    <w:basedOn w:val="CommentTextChar"/>
    <w:link w:val="CommentSubject"/>
    <w:uiPriority w:val="99"/>
    <w:semiHidden/>
    <w:rsid w:val="00BA4CAA"/>
    <w:rPr>
      <w:rFonts w:ascii="Segoe UI" w:hAnsi="Segoe UI"/>
      <w:b/>
      <w:bCs/>
      <w:lang w:eastAsia="en-GB"/>
    </w:rPr>
  </w:style>
  <w:style w:type="character" w:styleId="UnresolvedMention">
    <w:name w:val="Unresolved Mention"/>
    <w:basedOn w:val="DefaultParagraphFont"/>
    <w:uiPriority w:val="99"/>
    <w:semiHidden/>
    <w:unhideWhenUsed/>
    <w:rsid w:val="00BA4CAA"/>
    <w:rPr>
      <w:color w:val="605E5C"/>
      <w:shd w:val="clear" w:color="auto" w:fill="E1DFDD"/>
    </w:rPr>
  </w:style>
  <w:style w:type="paragraph" w:styleId="ListParagraph">
    <w:name w:val="List Paragraph"/>
    <w:basedOn w:val="Normal"/>
    <w:uiPriority w:val="1"/>
    <w:qFormat/>
    <w:rsid w:val="008A73FA"/>
    <w:pPr>
      <w:ind w:left="720"/>
      <w:contextualSpacing/>
    </w:pPr>
  </w:style>
  <w:style w:type="character" w:styleId="Strong">
    <w:name w:val="Strong"/>
    <w:basedOn w:val="DefaultParagraphFont"/>
    <w:uiPriority w:val="22"/>
    <w:qFormat/>
    <w:rsid w:val="00512DEE"/>
    <w:rPr>
      <w:b/>
      <w:bCs/>
    </w:rPr>
  </w:style>
  <w:style w:type="character" w:styleId="Mention">
    <w:name w:val="Mention"/>
    <w:basedOn w:val="DefaultParagraphFont"/>
    <w:uiPriority w:val="99"/>
    <w:unhideWhenUsed/>
    <w:rsid w:val="00EF212A"/>
    <w:rPr>
      <w:color w:val="2B579A"/>
      <w:shd w:val="clear" w:color="auto" w:fill="E1DFDD"/>
    </w:rPr>
  </w:style>
  <w:style w:type="paragraph" w:styleId="ListBullet">
    <w:name w:val="List Bullet"/>
    <w:basedOn w:val="Normal"/>
    <w:uiPriority w:val="99"/>
    <w:unhideWhenUsed/>
    <w:rsid w:val="003D261E"/>
    <w:pPr>
      <w:numPr>
        <w:numId w:val="39"/>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208534">
      <w:bodyDiv w:val="1"/>
      <w:marLeft w:val="0"/>
      <w:marRight w:val="0"/>
      <w:marTop w:val="0"/>
      <w:marBottom w:val="0"/>
      <w:divBdr>
        <w:top w:val="none" w:sz="0" w:space="0" w:color="auto"/>
        <w:left w:val="none" w:sz="0" w:space="0" w:color="auto"/>
        <w:bottom w:val="none" w:sz="0" w:space="0" w:color="auto"/>
        <w:right w:val="none" w:sz="0" w:space="0" w:color="auto"/>
      </w:divBdr>
      <w:divsChild>
        <w:div w:id="1116099773">
          <w:marLeft w:val="0"/>
          <w:marRight w:val="0"/>
          <w:marTop w:val="0"/>
          <w:marBottom w:val="0"/>
          <w:divBdr>
            <w:top w:val="none" w:sz="0" w:space="0" w:color="auto"/>
            <w:left w:val="none" w:sz="0" w:space="0" w:color="auto"/>
            <w:bottom w:val="none" w:sz="0" w:space="0" w:color="auto"/>
            <w:right w:val="none" w:sz="0" w:space="0" w:color="auto"/>
          </w:divBdr>
        </w:div>
      </w:divsChild>
    </w:div>
    <w:div w:id="576283615">
      <w:bodyDiv w:val="1"/>
      <w:marLeft w:val="0"/>
      <w:marRight w:val="0"/>
      <w:marTop w:val="0"/>
      <w:marBottom w:val="0"/>
      <w:divBdr>
        <w:top w:val="none" w:sz="0" w:space="0" w:color="auto"/>
        <w:left w:val="none" w:sz="0" w:space="0" w:color="auto"/>
        <w:bottom w:val="none" w:sz="0" w:space="0" w:color="auto"/>
        <w:right w:val="none" w:sz="0" w:space="0" w:color="auto"/>
      </w:divBdr>
      <w:divsChild>
        <w:div w:id="1972201970">
          <w:marLeft w:val="0"/>
          <w:marRight w:val="0"/>
          <w:marTop w:val="0"/>
          <w:marBottom w:val="0"/>
          <w:divBdr>
            <w:top w:val="none" w:sz="0" w:space="0" w:color="auto"/>
            <w:left w:val="none" w:sz="0" w:space="0" w:color="auto"/>
            <w:bottom w:val="none" w:sz="0" w:space="0" w:color="auto"/>
            <w:right w:val="none" w:sz="0" w:space="0" w:color="auto"/>
          </w:divBdr>
        </w:div>
      </w:divsChild>
    </w:div>
    <w:div w:id="988822497">
      <w:bodyDiv w:val="1"/>
      <w:marLeft w:val="0"/>
      <w:marRight w:val="0"/>
      <w:marTop w:val="0"/>
      <w:marBottom w:val="0"/>
      <w:divBdr>
        <w:top w:val="none" w:sz="0" w:space="0" w:color="auto"/>
        <w:left w:val="none" w:sz="0" w:space="0" w:color="auto"/>
        <w:bottom w:val="none" w:sz="0" w:space="0" w:color="auto"/>
        <w:right w:val="none" w:sz="0" w:space="0" w:color="auto"/>
      </w:divBdr>
      <w:divsChild>
        <w:div w:id="1903254409">
          <w:marLeft w:val="0"/>
          <w:marRight w:val="0"/>
          <w:marTop w:val="0"/>
          <w:marBottom w:val="0"/>
          <w:divBdr>
            <w:top w:val="none" w:sz="0" w:space="0" w:color="auto"/>
            <w:left w:val="none" w:sz="0" w:space="0" w:color="auto"/>
            <w:bottom w:val="none" w:sz="0" w:space="0" w:color="auto"/>
            <w:right w:val="none" w:sz="0" w:space="0" w:color="auto"/>
          </w:divBdr>
        </w:div>
      </w:divsChild>
    </w:div>
    <w:div w:id="989675575">
      <w:bodyDiv w:val="1"/>
      <w:marLeft w:val="0"/>
      <w:marRight w:val="0"/>
      <w:marTop w:val="0"/>
      <w:marBottom w:val="0"/>
      <w:divBdr>
        <w:top w:val="none" w:sz="0" w:space="0" w:color="auto"/>
        <w:left w:val="none" w:sz="0" w:space="0" w:color="auto"/>
        <w:bottom w:val="none" w:sz="0" w:space="0" w:color="auto"/>
        <w:right w:val="none" w:sz="0" w:space="0" w:color="auto"/>
      </w:divBdr>
      <w:divsChild>
        <w:div w:id="929578550">
          <w:marLeft w:val="0"/>
          <w:marRight w:val="0"/>
          <w:marTop w:val="0"/>
          <w:marBottom w:val="0"/>
          <w:divBdr>
            <w:top w:val="none" w:sz="0" w:space="0" w:color="auto"/>
            <w:left w:val="none" w:sz="0" w:space="0" w:color="auto"/>
            <w:bottom w:val="none" w:sz="0" w:space="0" w:color="auto"/>
            <w:right w:val="none" w:sz="0" w:space="0" w:color="auto"/>
          </w:divBdr>
        </w:div>
      </w:divsChild>
    </w:div>
    <w:div w:id="1218473385">
      <w:bodyDiv w:val="1"/>
      <w:marLeft w:val="0"/>
      <w:marRight w:val="0"/>
      <w:marTop w:val="0"/>
      <w:marBottom w:val="0"/>
      <w:divBdr>
        <w:top w:val="none" w:sz="0" w:space="0" w:color="auto"/>
        <w:left w:val="none" w:sz="0" w:space="0" w:color="auto"/>
        <w:bottom w:val="none" w:sz="0" w:space="0" w:color="auto"/>
        <w:right w:val="none" w:sz="0" w:space="0" w:color="auto"/>
      </w:divBdr>
      <w:divsChild>
        <w:div w:id="1166171521">
          <w:marLeft w:val="0"/>
          <w:marRight w:val="0"/>
          <w:marTop w:val="0"/>
          <w:marBottom w:val="0"/>
          <w:divBdr>
            <w:top w:val="none" w:sz="0" w:space="0" w:color="auto"/>
            <w:left w:val="none" w:sz="0" w:space="0" w:color="auto"/>
            <w:bottom w:val="none" w:sz="0" w:space="0" w:color="auto"/>
            <w:right w:val="none" w:sz="0" w:space="0" w:color="auto"/>
          </w:divBdr>
        </w:div>
      </w:divsChild>
    </w:div>
    <w:div w:id="1454131379">
      <w:bodyDiv w:val="1"/>
      <w:marLeft w:val="0"/>
      <w:marRight w:val="0"/>
      <w:marTop w:val="0"/>
      <w:marBottom w:val="0"/>
      <w:divBdr>
        <w:top w:val="none" w:sz="0" w:space="0" w:color="auto"/>
        <w:left w:val="none" w:sz="0" w:space="0" w:color="auto"/>
        <w:bottom w:val="none" w:sz="0" w:space="0" w:color="auto"/>
        <w:right w:val="none" w:sz="0" w:space="0" w:color="auto"/>
      </w:divBdr>
      <w:divsChild>
        <w:div w:id="1559587046">
          <w:marLeft w:val="0"/>
          <w:marRight w:val="0"/>
          <w:marTop w:val="0"/>
          <w:marBottom w:val="0"/>
          <w:divBdr>
            <w:top w:val="none" w:sz="0" w:space="0" w:color="auto"/>
            <w:left w:val="none" w:sz="0" w:space="0" w:color="auto"/>
            <w:bottom w:val="none" w:sz="0" w:space="0" w:color="auto"/>
            <w:right w:val="none" w:sz="0" w:space="0" w:color="auto"/>
          </w:divBdr>
        </w:div>
      </w:divsChild>
    </w:div>
    <w:div w:id="1527479899">
      <w:bodyDiv w:val="1"/>
      <w:marLeft w:val="0"/>
      <w:marRight w:val="0"/>
      <w:marTop w:val="0"/>
      <w:marBottom w:val="0"/>
      <w:divBdr>
        <w:top w:val="none" w:sz="0" w:space="0" w:color="auto"/>
        <w:left w:val="none" w:sz="0" w:space="0" w:color="auto"/>
        <w:bottom w:val="none" w:sz="0" w:space="0" w:color="auto"/>
        <w:right w:val="none" w:sz="0" w:space="0" w:color="auto"/>
      </w:divBdr>
      <w:divsChild>
        <w:div w:id="1393885840">
          <w:marLeft w:val="0"/>
          <w:marRight w:val="0"/>
          <w:marTop w:val="0"/>
          <w:marBottom w:val="0"/>
          <w:divBdr>
            <w:top w:val="none" w:sz="0" w:space="0" w:color="auto"/>
            <w:left w:val="none" w:sz="0" w:space="0" w:color="auto"/>
            <w:bottom w:val="none" w:sz="0" w:space="0" w:color="auto"/>
            <w:right w:val="none" w:sz="0" w:space="0" w:color="auto"/>
          </w:divBdr>
        </w:div>
      </w:divsChild>
    </w:div>
    <w:div w:id="1595093140">
      <w:bodyDiv w:val="1"/>
      <w:marLeft w:val="0"/>
      <w:marRight w:val="0"/>
      <w:marTop w:val="0"/>
      <w:marBottom w:val="0"/>
      <w:divBdr>
        <w:top w:val="none" w:sz="0" w:space="0" w:color="auto"/>
        <w:left w:val="none" w:sz="0" w:space="0" w:color="auto"/>
        <w:bottom w:val="none" w:sz="0" w:space="0" w:color="auto"/>
        <w:right w:val="none" w:sz="0" w:space="0" w:color="auto"/>
      </w:divBdr>
      <w:divsChild>
        <w:div w:id="674765741">
          <w:marLeft w:val="0"/>
          <w:marRight w:val="0"/>
          <w:marTop w:val="0"/>
          <w:marBottom w:val="0"/>
          <w:divBdr>
            <w:top w:val="none" w:sz="0" w:space="0" w:color="auto"/>
            <w:left w:val="none" w:sz="0" w:space="0" w:color="auto"/>
            <w:bottom w:val="none" w:sz="0" w:space="0" w:color="auto"/>
            <w:right w:val="none" w:sz="0" w:space="0" w:color="auto"/>
          </w:divBdr>
        </w:div>
      </w:divsChild>
    </w:div>
    <w:div w:id="1655991542">
      <w:bodyDiv w:val="1"/>
      <w:marLeft w:val="0"/>
      <w:marRight w:val="0"/>
      <w:marTop w:val="0"/>
      <w:marBottom w:val="0"/>
      <w:divBdr>
        <w:top w:val="none" w:sz="0" w:space="0" w:color="auto"/>
        <w:left w:val="none" w:sz="0" w:space="0" w:color="auto"/>
        <w:bottom w:val="none" w:sz="0" w:space="0" w:color="auto"/>
        <w:right w:val="none" w:sz="0" w:space="0" w:color="auto"/>
      </w:divBdr>
      <w:divsChild>
        <w:div w:id="1446920502">
          <w:marLeft w:val="0"/>
          <w:marRight w:val="0"/>
          <w:marTop w:val="0"/>
          <w:marBottom w:val="0"/>
          <w:divBdr>
            <w:top w:val="none" w:sz="0" w:space="0" w:color="auto"/>
            <w:left w:val="none" w:sz="0" w:space="0" w:color="auto"/>
            <w:bottom w:val="none" w:sz="0" w:space="0" w:color="auto"/>
            <w:right w:val="none" w:sz="0" w:space="0" w:color="auto"/>
          </w:divBdr>
        </w:div>
      </w:divsChild>
    </w:div>
    <w:div w:id="1992322581">
      <w:bodyDiv w:val="1"/>
      <w:marLeft w:val="0"/>
      <w:marRight w:val="0"/>
      <w:marTop w:val="0"/>
      <w:marBottom w:val="0"/>
      <w:divBdr>
        <w:top w:val="none" w:sz="0" w:space="0" w:color="auto"/>
        <w:left w:val="none" w:sz="0" w:space="0" w:color="auto"/>
        <w:bottom w:val="none" w:sz="0" w:space="0" w:color="auto"/>
        <w:right w:val="none" w:sz="0" w:space="0" w:color="auto"/>
      </w:divBdr>
    </w:div>
    <w:div w:id="2068141258">
      <w:bodyDiv w:val="1"/>
      <w:marLeft w:val="0"/>
      <w:marRight w:val="0"/>
      <w:marTop w:val="0"/>
      <w:marBottom w:val="0"/>
      <w:divBdr>
        <w:top w:val="none" w:sz="0" w:space="0" w:color="auto"/>
        <w:left w:val="none" w:sz="0" w:space="0" w:color="auto"/>
        <w:bottom w:val="none" w:sz="0" w:space="0" w:color="auto"/>
        <w:right w:val="none" w:sz="0" w:space="0" w:color="auto"/>
      </w:divBdr>
    </w:div>
    <w:div w:id="2097440463">
      <w:bodyDiv w:val="1"/>
      <w:marLeft w:val="0"/>
      <w:marRight w:val="0"/>
      <w:marTop w:val="0"/>
      <w:marBottom w:val="0"/>
      <w:divBdr>
        <w:top w:val="none" w:sz="0" w:space="0" w:color="auto"/>
        <w:left w:val="none" w:sz="0" w:space="0" w:color="auto"/>
        <w:bottom w:val="none" w:sz="0" w:space="0" w:color="auto"/>
        <w:right w:val="none" w:sz="0" w:space="0" w:color="auto"/>
      </w:divBdr>
      <w:divsChild>
        <w:div w:id="2939951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footer" Target="footer6.xml"/><Relationship Id="rId39" Type="http://schemas.openxmlformats.org/officeDocument/2006/relationships/hyperlink" Target="http://www.health.govt.nz/regulation-legislation/assisted-dying/resources-for-health-professionals/register-for-an-assisted-dying-practitioner-list" TargetMode="External"/><Relationship Id="rId21" Type="http://schemas.openxmlformats.org/officeDocument/2006/relationships/footer" Target="footer4.xml"/><Relationship Id="rId34" Type="http://schemas.openxmlformats.org/officeDocument/2006/relationships/image" Target="media/image5.png"/><Relationship Id="rId42" Type="http://schemas.openxmlformats.org/officeDocument/2006/relationships/hyperlink" Target="http://www.health.govt.nz/regulation-legislation/assisted-dying/advice-for-media-reporting-on-assisted-dying"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yperlink" Target="https://www.health.govt.nz/regulation-legislation/assisted-dying/statutory-roles-and-groups/end-of-life-review-committe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legislation.govt.nz/act/public/2019/0067/latest/DLM7285905.html" TargetMode="External"/><Relationship Id="rId32" Type="http://schemas.openxmlformats.org/officeDocument/2006/relationships/hyperlink" Target="https://www.healthnz.govt.nz/health-topics/conditions-treatments/death-and-dying/assisted-dying" TargetMode="External"/><Relationship Id="rId37" Type="http://schemas.openxmlformats.org/officeDocument/2006/relationships/hyperlink" Target="https://www.healthnz.govt.nz/health-topics/conditions-treatments/death-and-dying/assisted-dying" TargetMode="External"/><Relationship Id="rId40" Type="http://schemas.openxmlformats.org/officeDocument/2006/relationships/hyperlink" Target="https://www.health.govt.nz/regulation-legislation/assisted-dying/give-feedback-or-make-a-complaint" TargetMode="External"/><Relationship Id="rId45" Type="http://schemas.microsoft.com/office/2019/05/relationships/documenttasks" Target="documenttasks/documenttasks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https://www.health.govt.nz/regulation-legislation/assisted-dying/regulation-and-reporting" TargetMode="External"/><Relationship Id="rId28" Type="http://schemas.openxmlformats.org/officeDocument/2006/relationships/hyperlink" Target="http://www.health.govt.nz/regulation-legislation/assisted-dying/statutory-roles-and-groups/scenz-group" TargetMode="External"/><Relationship Id="rId36" Type="http://schemas.openxmlformats.org/officeDocument/2006/relationships/hyperlink" Target="http://www.healthnz.govt.nz" TargetMode="Externa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hyperlink" Target="https://www.legislation.govt.nz/act/public/2019/0067/latest/DLM7285905.html"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image" Target="media/image3.jpeg"/><Relationship Id="rId35" Type="http://schemas.openxmlformats.org/officeDocument/2006/relationships/image" Target="media/image6.png"/><Relationship Id="rId43"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2.xml"/><Relationship Id="rId25" Type="http://schemas.openxmlformats.org/officeDocument/2006/relationships/header" Target="header5.xml"/><Relationship Id="rId33" Type="http://schemas.openxmlformats.org/officeDocument/2006/relationships/image" Target="media/image4.png"/><Relationship Id="rId38" Type="http://schemas.openxmlformats.org/officeDocument/2006/relationships/image" Target="media/image7.png"/><Relationship Id="rId20" Type="http://schemas.openxmlformats.org/officeDocument/2006/relationships/header" Target="header4.xml"/><Relationship Id="rId41" Type="http://schemas.openxmlformats.org/officeDocument/2006/relationships/hyperlink" Target="http://www.health.govt.nz/information-releas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ianne\Application%20Data\Microsoft\Templates\Health\2012%20Report%20Sans%20Serif%20Body.dot" TargetMode="External"/></Relationships>
</file>

<file path=word/documenttasks/documenttasks1.xml><?xml version="1.0" encoding="utf-8"?>
<t:Tasks xmlns:t="http://schemas.microsoft.com/office/tasks/2019/documenttasks" xmlns:oel="http://schemas.microsoft.com/office/2019/extlst">
  <t:Task id="{077286C8-C2E2-4E26-8362-02D2790CE9BF}">
    <t:Anchor>
      <t:Comment id="1624247497"/>
    </t:Anchor>
    <t:History>
      <t:Event id="{5080ED48-5EE2-4903-9F5A-46DF27BEA1C8}" time="2026-06-15T22:23:43.028Z">
        <t:Attribution userId="S::Megan.King@health.govt.nz::2fad445d-2cd5-467d-9972-33a6de824fcd" userProvider="AD" userName="Megan Parkinson"/>
        <t:Anchor>
          <t:Comment id="67073046"/>
        </t:Anchor>
        <t:Create/>
      </t:Event>
      <t:Event id="{18F10A79-8764-4C4D-9A11-9FAD70152A4D}" time="2026-06-15T22:23:43.028Z">
        <t:Attribution userId="S::Megan.King@health.govt.nz::2fad445d-2cd5-467d-9972-33a6de824fcd" userProvider="AD" userName="Megan Parkinson"/>
        <t:Anchor>
          <t:Comment id="67073046"/>
        </t:Anchor>
        <t:Assign userId="S::Laina.Isler@health.govt.nz::3587a0d3-d712-4729-8f51-70f540ee118a" userProvider="AD" userName="Laina Isler"/>
      </t:Event>
      <t:Event id="{A35D513C-F877-49D0-83F3-6DB2E2A9EA8C}" time="2026-06-15T22:23:43.028Z">
        <t:Attribution userId="S::Megan.King@health.govt.nz::2fad445d-2cd5-467d-9972-33a6de824fcd" userProvider="AD" userName="Megan Parkinson"/>
        <t:Anchor>
          <t:Comment id="67073046"/>
        </t:Anchor>
        <t:SetTitle title="@Laina Isler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8CBEB55B21166F42A1564415C2E2051A" ma:contentTypeVersion="437" ma:contentTypeDescription="Create a new document." ma:contentTypeScope="" ma:versionID="3e6108f2995450a5e4b6c597eccc291d">
  <xsd:schema xmlns:xsd="http://www.w3.org/2001/XMLSchema" xmlns:xs="http://www.w3.org/2001/XMLSchema" xmlns:p="http://schemas.microsoft.com/office/2006/metadata/properties" xmlns:ns2="56bce0aa-d130-428b-89aa-972bdc26e82f" xmlns:ns3="4f9c820c-e7e2-444d-97ee-45f2b3485c1d" xmlns:ns4="15ffb055-6eb4-45a1-bc20-bf2ac0d420da" xmlns:ns5="725c79e5-42ce-4aa0-ac78-b6418001f0d2" xmlns:ns6="c91a514c-9034-4fa3-897a-8352025b26ed" xmlns:ns7="d0b61010-d6f3-4072-b934-7bbb13e97771" xmlns:ns8="184c05c4-c568-455d-94a4-7e009b164348" xmlns:ns9="6680c44c-cc36-4314-ad61-78a9951b8b47" targetNamespace="http://schemas.microsoft.com/office/2006/metadata/properties" ma:root="true" ma:fieldsID="2d982f017b3105454948515d545e6777" ns2:_="" ns3:_="" ns4:_="" ns5:_="" ns6:_="" ns7:_="" ns8:_="" ns9:_="">
    <xsd:import namespace="56bce0aa-d130-428b-89aa-972bdc26e82f"/>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6680c44c-cc36-4314-ad61-78a9951b8b4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2:SharedWithUsers" minOccurs="0"/>
                <xsd:element ref="ns2:SharedWithDetails" minOccurs="0"/>
                <xsd:element ref="ns9:lcf76f155ced4ddcb4097134ff3c332f" minOccurs="0"/>
                <xsd:element ref="ns2:TaxCatchAll" minOccurs="0"/>
                <xsd:element ref="ns9:MediaServiceOCR" minOccurs="0"/>
                <xsd:element ref="ns9:MediaServiceGenerationTime" minOccurs="0"/>
                <xsd:element ref="ns9:MediaServiceEventHashCode" minOccurs="0"/>
                <xsd:element ref="ns9:MediaServiceDateTaken" minOccurs="0"/>
                <xsd:element ref="ns9:_Flow_SignoffStatus" minOccurs="0"/>
                <xsd:element ref="ns9:MediaServiceObjectDetectorVersions" minOccurs="0"/>
                <xsd:element ref="ns9:MediaServiceLocation" minOccurs="0"/>
                <xsd:element ref="ns9: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bce0aa-d130-428b-89aa-972bdc26e8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3" nillable="true" ma:displayName="Shared With Details" ma:internalName="SharedWithDetails" ma:readOnly="true">
      <xsd:simpleType>
        <xsd:restriction base="dms:Note">
          <xsd:maxLength value="255"/>
        </xsd:restriction>
      </xsd:simpleType>
    </xsd:element>
    <xsd:element name="TaxCatchAll" ma:index="56" nillable="true" ma:displayName="Taxonomy Catch All Column" ma:hidden="true" ma:list="{ba8fb683-7a3c-4a52-9dc3-a050e0cb283d}" ma:internalName="TaxCatchAll" ma:showField="CatchAllData" ma:web="56bce0aa-d130-428b-89aa-972bdc26e82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xsd:simpleType>
        <xsd:union memberTypes="dms:Text">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un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Regulatory Functions"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Regulatory Assurance"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Regulatory Assurance"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ma:readOnly="false">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6680c44c-cc36-4314-ad61-78a9951b8b4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lcf76f155ced4ddcb4097134ff3c332f" ma:index="55"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OCR" ma:index="57" nillable="true" ma:displayName="Extracted Text" ma:internalName="MediaServiceOCR" ma:readOnly="true">
      <xsd:simpleType>
        <xsd:restriction base="dms:Note">
          <xsd:maxLength value="255"/>
        </xsd:restriction>
      </xsd:simpleType>
    </xsd:element>
    <xsd:element name="MediaServiceGenerationTime" ma:index="58" nillable="true" ma:displayName="MediaServiceGenerationTime" ma:hidden="true" ma:internalName="MediaServiceGenerationTime" ma:readOnly="true">
      <xsd:simpleType>
        <xsd:restriction base="dms:Text"/>
      </xsd:simpleType>
    </xsd:element>
    <xsd:element name="MediaServiceEventHashCode" ma:index="59" nillable="true" ma:displayName="MediaServiceEventHashCode" ma:hidden="true" ma:internalName="MediaServiceEventHashCode" ma:readOnly="true">
      <xsd:simpleType>
        <xsd:restriction base="dms:Text"/>
      </xsd:simpleType>
    </xsd:element>
    <xsd:element name="MediaServiceDateTaken" ma:index="60" nillable="true" ma:displayName="MediaServiceDateTaken" ma:hidden="true" ma:internalName="MediaServiceDateTaken" ma:readOnly="true">
      <xsd:simpleType>
        <xsd:restriction base="dms:Text"/>
      </xsd:simpleType>
    </xsd:element>
    <xsd:element name="_Flow_SignoffStatus" ma:index="61" nillable="true" ma:displayName="Sign-off status" ma:internalName="Sign_x002d_off_x0020_status">
      <xsd:simpleType>
        <xsd:restriction base="dms:Text"/>
      </xsd:simpleType>
    </xsd:element>
    <xsd:element name="MediaServiceObjectDetectorVersions" ma:index="62" nillable="true" ma:displayName="MediaServiceObjectDetectorVersions" ma:hidden="true" ma:indexed="true" ma:internalName="MediaServiceObjectDetectorVersions" ma:readOnly="true">
      <xsd:simpleType>
        <xsd:restriction base="dms:Text"/>
      </xsd:simpleType>
    </xsd:element>
    <xsd:element name="MediaServiceLocation" ma:index="63" nillable="true" ma:displayName="Location" ma:indexed="true" ma:internalName="MediaServiceLocation" ma:readOnly="true">
      <xsd:simpleType>
        <xsd:restriction base="dms:Text"/>
      </xsd:simpleType>
    </xsd:element>
    <xsd:element name="MediaServiceSearchProperties" ma:index="6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Regulatory Assurance</Activity>
    <AggregationStatus xmlns="4f9c820c-e7e2-444d-97ee-45f2b3485c1d">Normal</AggregationStatus>
    <OverrideLabel xmlns="d0b61010-d6f3-4072-b934-7bbb13e97771" xsi:nil="true"/>
    <CategoryValue xmlns="4f9c820c-e7e2-444d-97ee-45f2b3485c1d">Registrar Annual Report 2026</CategoryValue>
    <PRADate2 xmlns="4f9c820c-e7e2-444d-97ee-45f2b3485c1d" xsi:nil="true"/>
    <zLegacyJSON xmlns="184c05c4-c568-455d-94a4-7e009b164348" xsi:nil="true"/>
    <Case xmlns="4f9c820c-e7e2-444d-97ee-45f2b3485c1d">NA</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Regulatory Assurance</Team>
    <Project xmlns="4f9c820c-e7e2-444d-97ee-45f2b3485c1d">NA</Project>
    <HasNHI xmlns="184c05c4-c568-455d-94a4-7e009b164348">false</HasNHI>
    <FunctionGroup xmlns="4f9c820c-e7e2-444d-97ee-45f2b3485c1d">Implement and Enforce Legislation</FunctionGroup>
    <Function xmlns="4f9c820c-e7e2-444d-97ee-45f2b3485c1d">Regulatory Functions</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Office of the Registrar</Channel>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Reports</CategoryName>
    <PRADateTrigger xmlns="4f9c820c-e7e2-444d-97ee-45f2b3485c1d" xsi:nil="true"/>
    <PRAText2 xmlns="4f9c820c-e7e2-444d-97ee-45f2b3485c1d" xsi:nil="true"/>
    <zLegacyID xmlns="184c05c4-c568-455d-94a4-7e009b164348" xsi:nil="true"/>
    <TaxCatchAll xmlns="56bce0aa-d130-428b-89aa-972bdc26e82f" xsi:nil="true"/>
    <lcf76f155ced4ddcb4097134ff3c332f xmlns="6680c44c-cc36-4314-ad61-78a9951b8b47">
      <Terms xmlns="http://schemas.microsoft.com/office/infopath/2007/PartnerControls"/>
    </lcf76f155ced4ddcb4097134ff3c332f>
    <_dlc_DocId xmlns="56bce0aa-d130-428b-89aa-972bdc26e82f">MOHECM-717937107-20207</_dlc_DocId>
    <_dlc_DocIdUrl xmlns="56bce0aa-d130-428b-89aa-972bdc26e82f">
      <Url>https://mohgovtnz.sharepoint.com/sites/moh-ecm-RegAs/_layouts/15/DocIdRedir.aspx?ID=MOHECM-717937107-20207</Url>
      <Description>MOHECM-717937107-20207</Description>
    </_dlc_DocIdUrl>
    <_Flow_SignoffStatus xmlns="6680c44c-cc36-4314-ad61-78a9951b8b47"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57ABE4D-706D-4315-B535-75DD3266B4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bce0aa-d130-428b-89aa-972bdc26e82f"/>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6680c44c-cc36-4314-ad61-78a9951b8b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DE10D4-B04D-46BB-8458-050322E51106}">
  <ds:schemaRefs>
    <ds:schemaRef ds:uri="http://schemas.microsoft.com/sharepoint/v3/contenttype/forms"/>
  </ds:schemaRefs>
</ds:datastoreItem>
</file>

<file path=customXml/itemProps3.xml><?xml version="1.0" encoding="utf-8"?>
<ds:datastoreItem xmlns:ds="http://schemas.openxmlformats.org/officeDocument/2006/customXml" ds:itemID="{1B47F67D-389C-427D-8AD9-389F83D09EF9}">
  <ds:schemaRefs>
    <ds:schemaRef ds:uri="http://schemas.openxmlformats.org/officeDocument/2006/bibliography"/>
  </ds:schemaRefs>
</ds:datastoreItem>
</file>

<file path=customXml/itemProps4.xml><?xml version="1.0" encoding="utf-8"?>
<ds:datastoreItem xmlns:ds="http://schemas.openxmlformats.org/officeDocument/2006/customXml" ds:itemID="{4577FFB0-260E-4BEB-AB23-5A43F0263A51}">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725c79e5-42ce-4aa0-ac78-b6418001f0d2"/>
    <ds:schemaRef ds:uri="56bce0aa-d130-428b-89aa-972bdc26e82f"/>
    <ds:schemaRef ds:uri="6680c44c-cc36-4314-ad61-78a9951b8b47"/>
  </ds:schemaRefs>
</ds:datastoreItem>
</file>

<file path=customXml/itemProps5.xml><?xml version="1.0" encoding="utf-8"?>
<ds:datastoreItem xmlns:ds="http://schemas.openxmlformats.org/officeDocument/2006/customXml" ds:itemID="{47BE128A-4E51-447D-A206-342B12F3F0F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2012 Report Sans Serif Body</Template>
  <TotalTime>10</TotalTime>
  <Pages>29</Pages>
  <Words>6468</Words>
  <Characters>36872</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Assisted Dying Service – Ngā Ratonga Mate Whakaahuru. Registrar (assisted dying) Annual Report to the Minister of Health</vt:lpstr>
    </vt:vector>
  </TitlesOfParts>
  <Company>Microsoft</Company>
  <LinksUpToDate>false</LinksUpToDate>
  <CharactersWithSpaces>43254</CharactersWithSpaces>
  <SharedDoc>false</SharedDoc>
  <HLinks>
    <vt:vector size="276" baseType="variant">
      <vt:variant>
        <vt:i4>1245272</vt:i4>
      </vt:variant>
      <vt:variant>
        <vt:i4>342</vt:i4>
      </vt:variant>
      <vt:variant>
        <vt:i4>0</vt:i4>
      </vt:variant>
      <vt:variant>
        <vt:i4>5</vt:i4>
      </vt:variant>
      <vt:variant>
        <vt:lpwstr>http://www.health.govt.nz/regulation-legislation/assisted-dying/advice-for-media-reporting-on-assisted-dying</vt:lpwstr>
      </vt:variant>
      <vt:variant>
        <vt:lpwstr/>
      </vt:variant>
      <vt:variant>
        <vt:i4>7864437</vt:i4>
      </vt:variant>
      <vt:variant>
        <vt:i4>339</vt:i4>
      </vt:variant>
      <vt:variant>
        <vt:i4>0</vt:i4>
      </vt:variant>
      <vt:variant>
        <vt:i4>5</vt:i4>
      </vt:variant>
      <vt:variant>
        <vt:lpwstr>http://www.health.govt.nz/information-releases</vt:lpwstr>
      </vt:variant>
      <vt:variant>
        <vt:lpwstr/>
      </vt:variant>
      <vt:variant>
        <vt:i4>7864439</vt:i4>
      </vt:variant>
      <vt:variant>
        <vt:i4>324</vt:i4>
      </vt:variant>
      <vt:variant>
        <vt:i4>0</vt:i4>
      </vt:variant>
      <vt:variant>
        <vt:i4>5</vt:i4>
      </vt:variant>
      <vt:variant>
        <vt:lpwstr>https://www.health.govt.nz/regulation-legislation/assisted-dying/give-feedback-or-make-a-complaint</vt:lpwstr>
      </vt:variant>
      <vt:variant>
        <vt:lpwstr/>
      </vt:variant>
      <vt:variant>
        <vt:i4>4128865</vt:i4>
      </vt:variant>
      <vt:variant>
        <vt:i4>321</vt:i4>
      </vt:variant>
      <vt:variant>
        <vt:i4>0</vt:i4>
      </vt:variant>
      <vt:variant>
        <vt:i4>5</vt:i4>
      </vt:variant>
      <vt:variant>
        <vt:lpwstr>http://www.health.govt.nz/regulation-legislation/assisted-dying/resources-for-health-professionals/register-for-an-assisted-dying-practitioner-list</vt:lpwstr>
      </vt:variant>
      <vt:variant>
        <vt:lpwstr/>
      </vt:variant>
      <vt:variant>
        <vt:i4>2228342</vt:i4>
      </vt:variant>
      <vt:variant>
        <vt:i4>291</vt:i4>
      </vt:variant>
      <vt:variant>
        <vt:i4>0</vt:i4>
      </vt:variant>
      <vt:variant>
        <vt:i4>5</vt:i4>
      </vt:variant>
      <vt:variant>
        <vt:lpwstr>https://www.healthnz.govt.nz/health-topics/conditions-treatments/death-and-dying/assisted-dying</vt:lpwstr>
      </vt:variant>
      <vt:variant>
        <vt:lpwstr/>
      </vt:variant>
      <vt:variant>
        <vt:i4>4980750</vt:i4>
      </vt:variant>
      <vt:variant>
        <vt:i4>285</vt:i4>
      </vt:variant>
      <vt:variant>
        <vt:i4>0</vt:i4>
      </vt:variant>
      <vt:variant>
        <vt:i4>5</vt:i4>
      </vt:variant>
      <vt:variant>
        <vt:lpwstr>http://www.healthnz.govt.nz/</vt:lpwstr>
      </vt:variant>
      <vt:variant>
        <vt:lpwstr/>
      </vt:variant>
      <vt:variant>
        <vt:i4>2228342</vt:i4>
      </vt:variant>
      <vt:variant>
        <vt:i4>255</vt:i4>
      </vt:variant>
      <vt:variant>
        <vt:i4>0</vt:i4>
      </vt:variant>
      <vt:variant>
        <vt:i4>5</vt:i4>
      </vt:variant>
      <vt:variant>
        <vt:lpwstr>https://www.healthnz.govt.nz/health-topics/conditions-treatments/death-and-dying/assisted-dying</vt:lpwstr>
      </vt:variant>
      <vt:variant>
        <vt:lpwstr/>
      </vt:variant>
      <vt:variant>
        <vt:i4>7602286</vt:i4>
      </vt:variant>
      <vt:variant>
        <vt:i4>252</vt:i4>
      </vt:variant>
      <vt:variant>
        <vt:i4>0</vt:i4>
      </vt:variant>
      <vt:variant>
        <vt:i4>5</vt:i4>
      </vt:variant>
      <vt:variant>
        <vt:lpwstr>https://www.legislation.govt.nz/act/public/2019/0067/latest/DLM7285905.html</vt:lpwstr>
      </vt:variant>
      <vt:variant>
        <vt:lpwstr/>
      </vt:variant>
      <vt:variant>
        <vt:i4>5636123</vt:i4>
      </vt:variant>
      <vt:variant>
        <vt:i4>243</vt:i4>
      </vt:variant>
      <vt:variant>
        <vt:i4>0</vt:i4>
      </vt:variant>
      <vt:variant>
        <vt:i4>5</vt:i4>
      </vt:variant>
      <vt:variant>
        <vt:lpwstr>https://www.health.govt.nz/regulation-legislation/assisted-dying/statutory-roles-and-groups/end-of-life-review-committee</vt:lpwstr>
      </vt:variant>
      <vt:variant>
        <vt:lpwstr/>
      </vt:variant>
      <vt:variant>
        <vt:i4>7602278</vt:i4>
      </vt:variant>
      <vt:variant>
        <vt:i4>240</vt:i4>
      </vt:variant>
      <vt:variant>
        <vt:i4>0</vt:i4>
      </vt:variant>
      <vt:variant>
        <vt:i4>5</vt:i4>
      </vt:variant>
      <vt:variant>
        <vt:lpwstr>http://www.health.govt.nz/regulation-legislation/assisted-dying/statutory-roles-and-groups/scenz-group</vt:lpwstr>
      </vt:variant>
      <vt:variant>
        <vt:lpwstr/>
      </vt:variant>
      <vt:variant>
        <vt:i4>7602286</vt:i4>
      </vt:variant>
      <vt:variant>
        <vt:i4>237</vt:i4>
      </vt:variant>
      <vt:variant>
        <vt:i4>0</vt:i4>
      </vt:variant>
      <vt:variant>
        <vt:i4>5</vt:i4>
      </vt:variant>
      <vt:variant>
        <vt:lpwstr>https://www.legislation.govt.nz/act/public/2019/0067/latest/DLM7285905.html</vt:lpwstr>
      </vt:variant>
      <vt:variant>
        <vt:lpwstr/>
      </vt:variant>
      <vt:variant>
        <vt:i4>6553725</vt:i4>
      </vt:variant>
      <vt:variant>
        <vt:i4>234</vt:i4>
      </vt:variant>
      <vt:variant>
        <vt:i4>0</vt:i4>
      </vt:variant>
      <vt:variant>
        <vt:i4>5</vt:i4>
      </vt:variant>
      <vt:variant>
        <vt:lpwstr>https://www.health.govt.nz/regulation-legislation/assisted-dying/regulation-and-reporting</vt:lpwstr>
      </vt:variant>
      <vt:variant>
        <vt:lpwstr>toc-0-3</vt:lpwstr>
      </vt:variant>
      <vt:variant>
        <vt:i4>1441842</vt:i4>
      </vt:variant>
      <vt:variant>
        <vt:i4>203</vt:i4>
      </vt:variant>
      <vt:variant>
        <vt:i4>0</vt:i4>
      </vt:variant>
      <vt:variant>
        <vt:i4>5</vt:i4>
      </vt:variant>
      <vt:variant>
        <vt:lpwstr/>
      </vt:variant>
      <vt:variant>
        <vt:lpwstr>_Toc232063418</vt:lpwstr>
      </vt:variant>
      <vt:variant>
        <vt:i4>1441842</vt:i4>
      </vt:variant>
      <vt:variant>
        <vt:i4>197</vt:i4>
      </vt:variant>
      <vt:variant>
        <vt:i4>0</vt:i4>
      </vt:variant>
      <vt:variant>
        <vt:i4>5</vt:i4>
      </vt:variant>
      <vt:variant>
        <vt:lpwstr/>
      </vt:variant>
      <vt:variant>
        <vt:lpwstr>_Toc232063417</vt:lpwstr>
      </vt:variant>
      <vt:variant>
        <vt:i4>1441842</vt:i4>
      </vt:variant>
      <vt:variant>
        <vt:i4>191</vt:i4>
      </vt:variant>
      <vt:variant>
        <vt:i4>0</vt:i4>
      </vt:variant>
      <vt:variant>
        <vt:i4>5</vt:i4>
      </vt:variant>
      <vt:variant>
        <vt:lpwstr/>
      </vt:variant>
      <vt:variant>
        <vt:lpwstr>_Toc232063416</vt:lpwstr>
      </vt:variant>
      <vt:variant>
        <vt:i4>1441842</vt:i4>
      </vt:variant>
      <vt:variant>
        <vt:i4>185</vt:i4>
      </vt:variant>
      <vt:variant>
        <vt:i4>0</vt:i4>
      </vt:variant>
      <vt:variant>
        <vt:i4>5</vt:i4>
      </vt:variant>
      <vt:variant>
        <vt:lpwstr/>
      </vt:variant>
      <vt:variant>
        <vt:lpwstr>_Toc232063415</vt:lpwstr>
      </vt:variant>
      <vt:variant>
        <vt:i4>1441842</vt:i4>
      </vt:variant>
      <vt:variant>
        <vt:i4>179</vt:i4>
      </vt:variant>
      <vt:variant>
        <vt:i4>0</vt:i4>
      </vt:variant>
      <vt:variant>
        <vt:i4>5</vt:i4>
      </vt:variant>
      <vt:variant>
        <vt:lpwstr/>
      </vt:variant>
      <vt:variant>
        <vt:lpwstr>_Toc232063414</vt:lpwstr>
      </vt:variant>
      <vt:variant>
        <vt:i4>1507378</vt:i4>
      </vt:variant>
      <vt:variant>
        <vt:i4>170</vt:i4>
      </vt:variant>
      <vt:variant>
        <vt:i4>0</vt:i4>
      </vt:variant>
      <vt:variant>
        <vt:i4>5</vt:i4>
      </vt:variant>
      <vt:variant>
        <vt:lpwstr/>
      </vt:variant>
      <vt:variant>
        <vt:lpwstr>_Toc232063406</vt:lpwstr>
      </vt:variant>
      <vt:variant>
        <vt:i4>1507378</vt:i4>
      </vt:variant>
      <vt:variant>
        <vt:i4>164</vt:i4>
      </vt:variant>
      <vt:variant>
        <vt:i4>0</vt:i4>
      </vt:variant>
      <vt:variant>
        <vt:i4>5</vt:i4>
      </vt:variant>
      <vt:variant>
        <vt:lpwstr/>
      </vt:variant>
      <vt:variant>
        <vt:lpwstr>_Toc232063405</vt:lpwstr>
      </vt:variant>
      <vt:variant>
        <vt:i4>1507378</vt:i4>
      </vt:variant>
      <vt:variant>
        <vt:i4>158</vt:i4>
      </vt:variant>
      <vt:variant>
        <vt:i4>0</vt:i4>
      </vt:variant>
      <vt:variant>
        <vt:i4>5</vt:i4>
      </vt:variant>
      <vt:variant>
        <vt:lpwstr/>
      </vt:variant>
      <vt:variant>
        <vt:lpwstr>_Toc232063404</vt:lpwstr>
      </vt:variant>
      <vt:variant>
        <vt:i4>1507378</vt:i4>
      </vt:variant>
      <vt:variant>
        <vt:i4>152</vt:i4>
      </vt:variant>
      <vt:variant>
        <vt:i4>0</vt:i4>
      </vt:variant>
      <vt:variant>
        <vt:i4>5</vt:i4>
      </vt:variant>
      <vt:variant>
        <vt:lpwstr/>
      </vt:variant>
      <vt:variant>
        <vt:lpwstr>_Toc232063403</vt:lpwstr>
      </vt:variant>
      <vt:variant>
        <vt:i4>1507378</vt:i4>
      </vt:variant>
      <vt:variant>
        <vt:i4>146</vt:i4>
      </vt:variant>
      <vt:variant>
        <vt:i4>0</vt:i4>
      </vt:variant>
      <vt:variant>
        <vt:i4>5</vt:i4>
      </vt:variant>
      <vt:variant>
        <vt:lpwstr/>
      </vt:variant>
      <vt:variant>
        <vt:lpwstr>_Toc232063402</vt:lpwstr>
      </vt:variant>
      <vt:variant>
        <vt:i4>1507378</vt:i4>
      </vt:variant>
      <vt:variant>
        <vt:i4>140</vt:i4>
      </vt:variant>
      <vt:variant>
        <vt:i4>0</vt:i4>
      </vt:variant>
      <vt:variant>
        <vt:i4>5</vt:i4>
      </vt:variant>
      <vt:variant>
        <vt:lpwstr/>
      </vt:variant>
      <vt:variant>
        <vt:lpwstr>_Toc232063401</vt:lpwstr>
      </vt:variant>
      <vt:variant>
        <vt:i4>1507378</vt:i4>
      </vt:variant>
      <vt:variant>
        <vt:i4>134</vt:i4>
      </vt:variant>
      <vt:variant>
        <vt:i4>0</vt:i4>
      </vt:variant>
      <vt:variant>
        <vt:i4>5</vt:i4>
      </vt:variant>
      <vt:variant>
        <vt:lpwstr/>
      </vt:variant>
      <vt:variant>
        <vt:lpwstr>_Toc232063400</vt:lpwstr>
      </vt:variant>
      <vt:variant>
        <vt:i4>1966133</vt:i4>
      </vt:variant>
      <vt:variant>
        <vt:i4>128</vt:i4>
      </vt:variant>
      <vt:variant>
        <vt:i4>0</vt:i4>
      </vt:variant>
      <vt:variant>
        <vt:i4>5</vt:i4>
      </vt:variant>
      <vt:variant>
        <vt:lpwstr/>
      </vt:variant>
      <vt:variant>
        <vt:lpwstr>_Toc232063399</vt:lpwstr>
      </vt:variant>
      <vt:variant>
        <vt:i4>1966133</vt:i4>
      </vt:variant>
      <vt:variant>
        <vt:i4>122</vt:i4>
      </vt:variant>
      <vt:variant>
        <vt:i4>0</vt:i4>
      </vt:variant>
      <vt:variant>
        <vt:i4>5</vt:i4>
      </vt:variant>
      <vt:variant>
        <vt:lpwstr/>
      </vt:variant>
      <vt:variant>
        <vt:lpwstr>_Toc232063398</vt:lpwstr>
      </vt:variant>
      <vt:variant>
        <vt:i4>1966133</vt:i4>
      </vt:variant>
      <vt:variant>
        <vt:i4>116</vt:i4>
      </vt:variant>
      <vt:variant>
        <vt:i4>0</vt:i4>
      </vt:variant>
      <vt:variant>
        <vt:i4>5</vt:i4>
      </vt:variant>
      <vt:variant>
        <vt:lpwstr/>
      </vt:variant>
      <vt:variant>
        <vt:lpwstr>_Toc232063397</vt:lpwstr>
      </vt:variant>
      <vt:variant>
        <vt:i4>1966133</vt:i4>
      </vt:variant>
      <vt:variant>
        <vt:i4>110</vt:i4>
      </vt:variant>
      <vt:variant>
        <vt:i4>0</vt:i4>
      </vt:variant>
      <vt:variant>
        <vt:i4>5</vt:i4>
      </vt:variant>
      <vt:variant>
        <vt:lpwstr/>
      </vt:variant>
      <vt:variant>
        <vt:lpwstr>_Toc232063396</vt:lpwstr>
      </vt:variant>
      <vt:variant>
        <vt:i4>1966133</vt:i4>
      </vt:variant>
      <vt:variant>
        <vt:i4>104</vt:i4>
      </vt:variant>
      <vt:variant>
        <vt:i4>0</vt:i4>
      </vt:variant>
      <vt:variant>
        <vt:i4>5</vt:i4>
      </vt:variant>
      <vt:variant>
        <vt:lpwstr/>
      </vt:variant>
      <vt:variant>
        <vt:lpwstr>_Toc232063395</vt:lpwstr>
      </vt:variant>
      <vt:variant>
        <vt:i4>1966133</vt:i4>
      </vt:variant>
      <vt:variant>
        <vt:i4>98</vt:i4>
      </vt:variant>
      <vt:variant>
        <vt:i4>0</vt:i4>
      </vt:variant>
      <vt:variant>
        <vt:i4>5</vt:i4>
      </vt:variant>
      <vt:variant>
        <vt:lpwstr/>
      </vt:variant>
      <vt:variant>
        <vt:lpwstr>_Toc232063394</vt:lpwstr>
      </vt:variant>
      <vt:variant>
        <vt:i4>1966133</vt:i4>
      </vt:variant>
      <vt:variant>
        <vt:i4>92</vt:i4>
      </vt:variant>
      <vt:variant>
        <vt:i4>0</vt:i4>
      </vt:variant>
      <vt:variant>
        <vt:i4>5</vt:i4>
      </vt:variant>
      <vt:variant>
        <vt:lpwstr/>
      </vt:variant>
      <vt:variant>
        <vt:lpwstr>_Toc232063393</vt:lpwstr>
      </vt:variant>
      <vt:variant>
        <vt:i4>1966133</vt:i4>
      </vt:variant>
      <vt:variant>
        <vt:i4>86</vt:i4>
      </vt:variant>
      <vt:variant>
        <vt:i4>0</vt:i4>
      </vt:variant>
      <vt:variant>
        <vt:i4>5</vt:i4>
      </vt:variant>
      <vt:variant>
        <vt:lpwstr/>
      </vt:variant>
      <vt:variant>
        <vt:lpwstr>_Toc232063392</vt:lpwstr>
      </vt:variant>
      <vt:variant>
        <vt:i4>1966133</vt:i4>
      </vt:variant>
      <vt:variant>
        <vt:i4>80</vt:i4>
      </vt:variant>
      <vt:variant>
        <vt:i4>0</vt:i4>
      </vt:variant>
      <vt:variant>
        <vt:i4>5</vt:i4>
      </vt:variant>
      <vt:variant>
        <vt:lpwstr/>
      </vt:variant>
      <vt:variant>
        <vt:lpwstr>_Toc232063391</vt:lpwstr>
      </vt:variant>
      <vt:variant>
        <vt:i4>1966133</vt:i4>
      </vt:variant>
      <vt:variant>
        <vt:i4>74</vt:i4>
      </vt:variant>
      <vt:variant>
        <vt:i4>0</vt:i4>
      </vt:variant>
      <vt:variant>
        <vt:i4>5</vt:i4>
      </vt:variant>
      <vt:variant>
        <vt:lpwstr/>
      </vt:variant>
      <vt:variant>
        <vt:lpwstr>_Toc232063390</vt:lpwstr>
      </vt:variant>
      <vt:variant>
        <vt:i4>2031669</vt:i4>
      </vt:variant>
      <vt:variant>
        <vt:i4>68</vt:i4>
      </vt:variant>
      <vt:variant>
        <vt:i4>0</vt:i4>
      </vt:variant>
      <vt:variant>
        <vt:i4>5</vt:i4>
      </vt:variant>
      <vt:variant>
        <vt:lpwstr/>
      </vt:variant>
      <vt:variant>
        <vt:lpwstr>_Toc232063389</vt:lpwstr>
      </vt:variant>
      <vt:variant>
        <vt:i4>2031669</vt:i4>
      </vt:variant>
      <vt:variant>
        <vt:i4>62</vt:i4>
      </vt:variant>
      <vt:variant>
        <vt:i4>0</vt:i4>
      </vt:variant>
      <vt:variant>
        <vt:i4>5</vt:i4>
      </vt:variant>
      <vt:variant>
        <vt:lpwstr/>
      </vt:variant>
      <vt:variant>
        <vt:lpwstr>_Toc232063388</vt:lpwstr>
      </vt:variant>
      <vt:variant>
        <vt:i4>2031669</vt:i4>
      </vt:variant>
      <vt:variant>
        <vt:i4>56</vt:i4>
      </vt:variant>
      <vt:variant>
        <vt:i4>0</vt:i4>
      </vt:variant>
      <vt:variant>
        <vt:i4>5</vt:i4>
      </vt:variant>
      <vt:variant>
        <vt:lpwstr/>
      </vt:variant>
      <vt:variant>
        <vt:lpwstr>_Toc232063387</vt:lpwstr>
      </vt:variant>
      <vt:variant>
        <vt:i4>2031669</vt:i4>
      </vt:variant>
      <vt:variant>
        <vt:i4>50</vt:i4>
      </vt:variant>
      <vt:variant>
        <vt:i4>0</vt:i4>
      </vt:variant>
      <vt:variant>
        <vt:i4>5</vt:i4>
      </vt:variant>
      <vt:variant>
        <vt:lpwstr/>
      </vt:variant>
      <vt:variant>
        <vt:lpwstr>_Toc232063386</vt:lpwstr>
      </vt:variant>
      <vt:variant>
        <vt:i4>2031669</vt:i4>
      </vt:variant>
      <vt:variant>
        <vt:i4>44</vt:i4>
      </vt:variant>
      <vt:variant>
        <vt:i4>0</vt:i4>
      </vt:variant>
      <vt:variant>
        <vt:i4>5</vt:i4>
      </vt:variant>
      <vt:variant>
        <vt:lpwstr/>
      </vt:variant>
      <vt:variant>
        <vt:lpwstr>_Toc232063385</vt:lpwstr>
      </vt:variant>
      <vt:variant>
        <vt:i4>2031669</vt:i4>
      </vt:variant>
      <vt:variant>
        <vt:i4>38</vt:i4>
      </vt:variant>
      <vt:variant>
        <vt:i4>0</vt:i4>
      </vt:variant>
      <vt:variant>
        <vt:i4>5</vt:i4>
      </vt:variant>
      <vt:variant>
        <vt:lpwstr/>
      </vt:variant>
      <vt:variant>
        <vt:lpwstr>_Toc232063384</vt:lpwstr>
      </vt:variant>
      <vt:variant>
        <vt:i4>2031669</vt:i4>
      </vt:variant>
      <vt:variant>
        <vt:i4>32</vt:i4>
      </vt:variant>
      <vt:variant>
        <vt:i4>0</vt:i4>
      </vt:variant>
      <vt:variant>
        <vt:i4>5</vt:i4>
      </vt:variant>
      <vt:variant>
        <vt:lpwstr/>
      </vt:variant>
      <vt:variant>
        <vt:lpwstr>_Toc232063383</vt:lpwstr>
      </vt:variant>
      <vt:variant>
        <vt:i4>2031669</vt:i4>
      </vt:variant>
      <vt:variant>
        <vt:i4>26</vt:i4>
      </vt:variant>
      <vt:variant>
        <vt:i4>0</vt:i4>
      </vt:variant>
      <vt:variant>
        <vt:i4>5</vt:i4>
      </vt:variant>
      <vt:variant>
        <vt:lpwstr/>
      </vt:variant>
      <vt:variant>
        <vt:lpwstr>_Toc232063382</vt:lpwstr>
      </vt:variant>
      <vt:variant>
        <vt:i4>2031669</vt:i4>
      </vt:variant>
      <vt:variant>
        <vt:i4>20</vt:i4>
      </vt:variant>
      <vt:variant>
        <vt:i4>0</vt:i4>
      </vt:variant>
      <vt:variant>
        <vt:i4>5</vt:i4>
      </vt:variant>
      <vt:variant>
        <vt:lpwstr/>
      </vt:variant>
      <vt:variant>
        <vt:lpwstr>_Toc232063381</vt:lpwstr>
      </vt:variant>
      <vt:variant>
        <vt:i4>2031669</vt:i4>
      </vt:variant>
      <vt:variant>
        <vt:i4>14</vt:i4>
      </vt:variant>
      <vt:variant>
        <vt:i4>0</vt:i4>
      </vt:variant>
      <vt:variant>
        <vt:i4>5</vt:i4>
      </vt:variant>
      <vt:variant>
        <vt:lpwstr/>
      </vt:variant>
      <vt:variant>
        <vt:lpwstr>_Toc232063380</vt:lpwstr>
      </vt:variant>
      <vt:variant>
        <vt:i4>1048629</vt:i4>
      </vt:variant>
      <vt:variant>
        <vt:i4>8</vt:i4>
      </vt:variant>
      <vt:variant>
        <vt:i4>0</vt:i4>
      </vt:variant>
      <vt:variant>
        <vt:i4>5</vt:i4>
      </vt:variant>
      <vt:variant>
        <vt:lpwstr/>
      </vt:variant>
      <vt:variant>
        <vt:lpwstr>_Toc232063379</vt:lpwstr>
      </vt:variant>
      <vt:variant>
        <vt:i4>1048629</vt:i4>
      </vt:variant>
      <vt:variant>
        <vt:i4>2</vt:i4>
      </vt:variant>
      <vt:variant>
        <vt:i4>0</vt:i4>
      </vt:variant>
      <vt:variant>
        <vt:i4>5</vt:i4>
      </vt:variant>
      <vt:variant>
        <vt:lpwstr/>
      </vt:variant>
      <vt:variant>
        <vt:lpwstr>_Toc232063378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Assisted Dying Service – Ngā Ratonga Mate Whakaahuru. Registrar (assisted dying) Annual Report to the Minister of Health</dc:title>
  <dc:subject/>
  <dc:creator>Ministry of Health</dc:creator>
  <cp:keywords/>
  <dc:description/>
  <cp:lastModifiedBy>Ministry of Health</cp:lastModifiedBy>
  <cp:revision>3</cp:revision>
  <cp:lastPrinted>2025-07-10T11:17:00Z</cp:lastPrinted>
  <dcterms:created xsi:type="dcterms:W3CDTF">2026-07-01T01:35:00Z</dcterms:created>
  <dcterms:modified xsi:type="dcterms:W3CDTF">2026-07-06T22:10:00Z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0x0101008CBEB55B21166F42A1564415C2E2051A</vt:lpwstr>
  </property>
  <property fmtid="{D5CDD505-2E9C-101B-9397-08002B2CF9AE}" pid="3" name="_dlc_DocIdItemGuid">
    <vt:lpwstr>98835e58-7432-43c2-a07e-55aa79220e90</vt:lpwstr>
  </property>
  <property fmtid="{D5CDD505-2E9C-101B-9397-08002B2CF9AE}" pid="4" name="MediaServiceImageTags">
    <vt:lpwstr/>
  </property>
  <property fmtid="{D5CDD505-2E9C-101B-9397-08002B2CF9AE}" pid="5" name="docLang">
    <vt:lpwstr>en</vt:lpwstr>
  </property>
  <property fmtid="{D5CDD505-2E9C-101B-9397-08002B2CF9AE}" pid="6" name="MSIP_Label_defa4170-0d19-0005-0004-bc88714345d2_Enabled">
    <vt:lpwstr>true</vt:lpwstr>
  </property>
  <property fmtid="{D5CDD505-2E9C-101B-9397-08002B2CF9AE}" pid="7" name="MSIP_Label_defa4170-0d19-0005-0004-bc88714345d2_SetDate">
    <vt:lpwstr>2026-06-23T04:06:49Z</vt:lpwstr>
  </property>
  <property fmtid="{D5CDD505-2E9C-101B-9397-08002B2CF9AE}" pid="8" name="MSIP_Label_defa4170-0d19-0005-0004-bc88714345d2_Method">
    <vt:lpwstr>Standard</vt:lpwstr>
  </property>
  <property fmtid="{D5CDD505-2E9C-101B-9397-08002B2CF9AE}" pid="9" name="MSIP_Label_defa4170-0d19-0005-0004-bc88714345d2_Name">
    <vt:lpwstr>defa4170-0d19-0005-0004-bc88714345d2</vt:lpwstr>
  </property>
  <property fmtid="{D5CDD505-2E9C-101B-9397-08002B2CF9AE}" pid="10" name="MSIP_Label_defa4170-0d19-0005-0004-bc88714345d2_SiteId">
    <vt:lpwstr>40cd6264-fa68-44bf-a74e-8a0ca9cf27e1</vt:lpwstr>
  </property>
  <property fmtid="{D5CDD505-2E9C-101B-9397-08002B2CF9AE}" pid="11" name="MSIP_Label_defa4170-0d19-0005-0004-bc88714345d2_ActionId">
    <vt:lpwstr>75cfc439-15aa-4c78-be2a-9a077bb4cdc3</vt:lpwstr>
  </property>
  <property fmtid="{D5CDD505-2E9C-101B-9397-08002B2CF9AE}" pid="12" name="MSIP_Label_defa4170-0d19-0005-0004-bc88714345d2_ContentBits">
    <vt:lpwstr>0</vt:lpwstr>
  </property>
  <property fmtid="{D5CDD505-2E9C-101B-9397-08002B2CF9AE}" pid="13" name="MSIP_Label_defa4170-0d19-0005-0004-bc88714345d2_Tag">
    <vt:lpwstr>10, 3, 0, 1</vt:lpwstr>
  </property>
</Properties>
</file>