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723F" w14:textId="77777777" w:rsidR="003262B8" w:rsidRDefault="00B377BE" w:rsidP="00926083">
      <w:pPr>
        <w:pStyle w:val="Title"/>
      </w:pPr>
      <w:r w:rsidRPr="00B377BE">
        <w:t xml:space="preserve">Aotearoa New Zealand Rare Disorders Strategy </w:t>
      </w:r>
    </w:p>
    <w:p w14:paraId="31E71EEE" w14:textId="77777777" w:rsidR="00750C73" w:rsidRDefault="00B377BE" w:rsidP="00926083">
      <w:pPr>
        <w:pStyle w:val="Title"/>
      </w:pPr>
      <w:r w:rsidRPr="00B377BE">
        <w:t xml:space="preserve">2024 </w:t>
      </w:r>
      <w:r w:rsidR="003262B8">
        <w:t>–</w:t>
      </w:r>
      <w:r w:rsidRPr="00B377BE">
        <w:t xml:space="preserve"> 2034</w:t>
      </w:r>
      <w:r w:rsidR="003262B8">
        <w:br/>
      </w:r>
    </w:p>
    <w:p w14:paraId="11455161" w14:textId="5BBE62F4" w:rsidR="00C86248" w:rsidRPr="00926083" w:rsidRDefault="003262B8" w:rsidP="00926083">
      <w:pPr>
        <w:pStyle w:val="Title"/>
      </w:pPr>
      <w:r w:rsidRPr="00B377BE">
        <w:t>Implementation Plan 2026-27</w:t>
      </w:r>
    </w:p>
    <w:p w14:paraId="2B4FAC6A" w14:textId="2C0C59A1" w:rsidR="00C05132" w:rsidRDefault="00C05132" w:rsidP="00926083">
      <w:pPr>
        <w:pStyle w:val="Subhead"/>
      </w:pP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58CE3BA" w14:textId="373841FD"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B377BE">
        <w:rPr>
          <w:rFonts w:cs="Segoe UI"/>
        </w:rPr>
        <w:t>2026</w:t>
      </w:r>
      <w:r w:rsidR="00442C1C" w:rsidRPr="00C05132">
        <w:rPr>
          <w:rFonts w:cs="Segoe UI"/>
        </w:rPr>
        <w:t xml:space="preserve">. </w:t>
      </w:r>
      <w:r w:rsidR="00B377BE" w:rsidRPr="00B377BE">
        <w:rPr>
          <w:rFonts w:cs="Segoe UI"/>
          <w:i/>
        </w:rPr>
        <w:t>Aotearoa New Zealand Rare Disorders Strategy 2024 - 2034</w:t>
      </w:r>
      <w:r w:rsidR="00926083">
        <w:rPr>
          <w:rFonts w:cs="Segoe UI"/>
          <w:i/>
        </w:rPr>
        <w:t xml:space="preserve">: </w:t>
      </w:r>
      <w:r w:rsidR="00B377BE" w:rsidRPr="00B377BE">
        <w:rPr>
          <w:rFonts w:cs="Segoe UI"/>
          <w:i/>
        </w:rPr>
        <w:t>Implementation Plan 2026-27</w:t>
      </w:r>
      <w:r w:rsidR="00442C1C" w:rsidRPr="00C05132">
        <w:rPr>
          <w:rFonts w:cs="Segoe UI"/>
        </w:rPr>
        <w:t>. Wellington: Ministry of Health.</w:t>
      </w:r>
    </w:p>
    <w:p w14:paraId="7909192E" w14:textId="718868DD" w:rsidR="00C86248" w:rsidRDefault="00C86248">
      <w:pPr>
        <w:pStyle w:val="Imprint"/>
      </w:pPr>
      <w:r>
        <w:t xml:space="preserve">Published in </w:t>
      </w:r>
      <w:r w:rsidR="00B377BE" w:rsidRPr="00040D21">
        <w:t>July</w:t>
      </w:r>
      <w:r w:rsidR="009A42D5" w:rsidRPr="00040D21">
        <w:t xml:space="preserve"> </w:t>
      </w:r>
      <w:r w:rsidR="00B377BE" w:rsidRPr="00040D21">
        <w:t>2026</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195C302A" w:rsidR="00082CD6" w:rsidRPr="009C0F2D" w:rsidRDefault="00082CD6" w:rsidP="00082CD6">
      <w:pPr>
        <w:pStyle w:val="Imprint"/>
      </w:pPr>
      <w:r w:rsidRPr="00040D21">
        <w:t xml:space="preserve">HP </w:t>
      </w:r>
      <w:r w:rsidR="00DF7C27" w:rsidRPr="00DF7C27">
        <w:t>9181</w:t>
      </w:r>
    </w:p>
    <w:p w14:paraId="48DBDA36" w14:textId="7263F306" w:rsidR="00C86248" w:rsidRDefault="00EA608C" w:rsidP="00A63DFF">
      <w:r w:rsidRPr="003D7765">
        <w:rPr>
          <w:noProof/>
        </w:rPr>
        <w:drawing>
          <wp:inline distT="0" distB="0" distL="0" distR="0" wp14:anchorId="7F6F146D" wp14:editId="3ABF6130">
            <wp:extent cx="1216800" cy="494305"/>
            <wp:effectExtent l="0" t="0" r="2540" b="1270"/>
            <wp:docPr id="1472750415" name="Picture 1472750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a:extLst>
                        <a:ext uri="{C183D7F6-B498-43B3-948B-1728B52AA6E4}">
                          <adec:decorative xmlns:adec="http://schemas.microsoft.com/office/drawing/2017/decorative" val="1"/>
                        </a:ext>
                      </a:extLst>
                    </pic:cNvPr>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386A4B3D">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4015F926" w14:textId="07DD7A2D" w:rsidR="001761EE" w:rsidRDefault="00750C73">
      <w:pPr>
        <w:pStyle w:val="TOC1"/>
        <w:rPr>
          <w:rFonts w:asciiTheme="minorHAnsi" w:eastAsiaTheme="minorEastAsia" w:hAnsiTheme="minorHAnsi" w:cstheme="minorBidi"/>
          <w:noProof/>
          <w:kern w:val="2"/>
          <w:szCs w:val="24"/>
          <w:lang w:val="en-AU" w:eastAsia="en-AU"/>
          <w14:ligatures w14:val="standardContextual"/>
        </w:rPr>
      </w:pPr>
      <w:r>
        <w:rPr>
          <w:b/>
        </w:rPr>
        <w:fldChar w:fldCharType="begin"/>
      </w:r>
      <w:r>
        <w:rPr>
          <w:b/>
        </w:rPr>
        <w:instrText xml:space="preserve"> TOC \o "1-2" \h \z </w:instrText>
      </w:r>
      <w:r>
        <w:rPr>
          <w:b/>
        </w:rPr>
        <w:fldChar w:fldCharType="separate"/>
      </w:r>
      <w:hyperlink w:anchor="_Toc235526717" w:history="1">
        <w:r w:rsidR="001761EE" w:rsidRPr="00142D1A">
          <w:rPr>
            <w:rStyle w:val="Hyperlink"/>
            <w:noProof/>
          </w:rPr>
          <w:t>Purpose</w:t>
        </w:r>
        <w:r w:rsidR="001761EE">
          <w:rPr>
            <w:noProof/>
            <w:webHidden/>
          </w:rPr>
          <w:tab/>
        </w:r>
        <w:r w:rsidR="001761EE">
          <w:rPr>
            <w:noProof/>
            <w:webHidden/>
          </w:rPr>
          <w:fldChar w:fldCharType="begin"/>
        </w:r>
        <w:r w:rsidR="001761EE">
          <w:rPr>
            <w:noProof/>
            <w:webHidden/>
          </w:rPr>
          <w:instrText xml:space="preserve"> PAGEREF _Toc235526717 \h </w:instrText>
        </w:r>
        <w:r w:rsidR="001761EE">
          <w:rPr>
            <w:noProof/>
            <w:webHidden/>
          </w:rPr>
        </w:r>
        <w:r w:rsidR="001761EE">
          <w:rPr>
            <w:noProof/>
            <w:webHidden/>
          </w:rPr>
          <w:fldChar w:fldCharType="separate"/>
        </w:r>
        <w:r w:rsidR="001761EE">
          <w:rPr>
            <w:noProof/>
            <w:webHidden/>
          </w:rPr>
          <w:t>1</w:t>
        </w:r>
        <w:r w:rsidR="001761EE">
          <w:rPr>
            <w:noProof/>
            <w:webHidden/>
          </w:rPr>
          <w:fldChar w:fldCharType="end"/>
        </w:r>
      </w:hyperlink>
    </w:p>
    <w:p w14:paraId="2603F076" w14:textId="0CB6A7C6" w:rsidR="001761EE" w:rsidRDefault="001761EE">
      <w:pPr>
        <w:pStyle w:val="TOC1"/>
        <w:rPr>
          <w:rFonts w:asciiTheme="minorHAnsi" w:eastAsiaTheme="minorEastAsia" w:hAnsiTheme="minorHAnsi" w:cstheme="minorBidi"/>
          <w:noProof/>
          <w:kern w:val="2"/>
          <w:szCs w:val="24"/>
          <w:lang w:val="en-AU" w:eastAsia="en-AU"/>
          <w14:ligatures w14:val="standardContextual"/>
        </w:rPr>
      </w:pPr>
      <w:hyperlink w:anchor="_Toc235526718" w:history="1">
        <w:r w:rsidRPr="00142D1A">
          <w:rPr>
            <w:rStyle w:val="Hyperlink"/>
            <w:noProof/>
          </w:rPr>
          <w:t>Vision and outcomes</w:t>
        </w:r>
        <w:r>
          <w:rPr>
            <w:noProof/>
            <w:webHidden/>
          </w:rPr>
          <w:tab/>
        </w:r>
        <w:r>
          <w:rPr>
            <w:noProof/>
            <w:webHidden/>
          </w:rPr>
          <w:fldChar w:fldCharType="begin"/>
        </w:r>
        <w:r>
          <w:rPr>
            <w:noProof/>
            <w:webHidden/>
          </w:rPr>
          <w:instrText xml:space="preserve"> PAGEREF _Toc235526718 \h </w:instrText>
        </w:r>
        <w:r>
          <w:rPr>
            <w:noProof/>
            <w:webHidden/>
          </w:rPr>
        </w:r>
        <w:r>
          <w:rPr>
            <w:noProof/>
            <w:webHidden/>
          </w:rPr>
          <w:fldChar w:fldCharType="separate"/>
        </w:r>
        <w:r>
          <w:rPr>
            <w:noProof/>
            <w:webHidden/>
          </w:rPr>
          <w:t>1</w:t>
        </w:r>
        <w:r>
          <w:rPr>
            <w:noProof/>
            <w:webHidden/>
          </w:rPr>
          <w:fldChar w:fldCharType="end"/>
        </w:r>
      </w:hyperlink>
    </w:p>
    <w:p w14:paraId="002CA78D" w14:textId="30075833" w:rsidR="001761EE" w:rsidRDefault="001761EE">
      <w:pPr>
        <w:pStyle w:val="TOC1"/>
        <w:rPr>
          <w:rFonts w:asciiTheme="minorHAnsi" w:eastAsiaTheme="minorEastAsia" w:hAnsiTheme="minorHAnsi" w:cstheme="minorBidi"/>
          <w:noProof/>
          <w:kern w:val="2"/>
          <w:szCs w:val="24"/>
          <w:lang w:val="en-AU" w:eastAsia="en-AU"/>
          <w14:ligatures w14:val="standardContextual"/>
        </w:rPr>
      </w:pPr>
      <w:hyperlink w:anchor="_Toc235526719" w:history="1">
        <w:r w:rsidRPr="00142D1A">
          <w:rPr>
            <w:rStyle w:val="Hyperlink"/>
            <w:noProof/>
          </w:rPr>
          <w:t>Governance and accountability</w:t>
        </w:r>
        <w:r>
          <w:rPr>
            <w:noProof/>
            <w:webHidden/>
          </w:rPr>
          <w:tab/>
        </w:r>
        <w:r>
          <w:rPr>
            <w:noProof/>
            <w:webHidden/>
          </w:rPr>
          <w:fldChar w:fldCharType="begin"/>
        </w:r>
        <w:r>
          <w:rPr>
            <w:noProof/>
            <w:webHidden/>
          </w:rPr>
          <w:instrText xml:space="preserve"> PAGEREF _Toc235526719 \h </w:instrText>
        </w:r>
        <w:r>
          <w:rPr>
            <w:noProof/>
            <w:webHidden/>
          </w:rPr>
        </w:r>
        <w:r>
          <w:rPr>
            <w:noProof/>
            <w:webHidden/>
          </w:rPr>
          <w:fldChar w:fldCharType="separate"/>
        </w:r>
        <w:r>
          <w:rPr>
            <w:noProof/>
            <w:webHidden/>
          </w:rPr>
          <w:t>2</w:t>
        </w:r>
        <w:r>
          <w:rPr>
            <w:noProof/>
            <w:webHidden/>
          </w:rPr>
          <w:fldChar w:fldCharType="end"/>
        </w:r>
      </w:hyperlink>
    </w:p>
    <w:p w14:paraId="4C24870A" w14:textId="4195F884" w:rsidR="001761EE" w:rsidRDefault="001761EE">
      <w:pPr>
        <w:pStyle w:val="TOC1"/>
        <w:rPr>
          <w:rFonts w:asciiTheme="minorHAnsi" w:eastAsiaTheme="minorEastAsia" w:hAnsiTheme="minorHAnsi" w:cstheme="minorBidi"/>
          <w:noProof/>
          <w:kern w:val="2"/>
          <w:szCs w:val="24"/>
          <w:lang w:val="en-AU" w:eastAsia="en-AU"/>
          <w14:ligatures w14:val="standardContextual"/>
        </w:rPr>
      </w:pPr>
      <w:hyperlink w:anchor="_Toc235526720" w:history="1">
        <w:r w:rsidRPr="00142D1A">
          <w:rPr>
            <w:rStyle w:val="Hyperlink"/>
            <w:noProof/>
          </w:rPr>
          <w:t>Implementation progress 2024 - 2026</w:t>
        </w:r>
        <w:r>
          <w:rPr>
            <w:noProof/>
            <w:webHidden/>
          </w:rPr>
          <w:tab/>
        </w:r>
        <w:r>
          <w:rPr>
            <w:noProof/>
            <w:webHidden/>
          </w:rPr>
          <w:fldChar w:fldCharType="begin"/>
        </w:r>
        <w:r>
          <w:rPr>
            <w:noProof/>
            <w:webHidden/>
          </w:rPr>
          <w:instrText xml:space="preserve"> PAGEREF _Toc235526720 \h </w:instrText>
        </w:r>
        <w:r>
          <w:rPr>
            <w:noProof/>
            <w:webHidden/>
          </w:rPr>
        </w:r>
        <w:r>
          <w:rPr>
            <w:noProof/>
            <w:webHidden/>
          </w:rPr>
          <w:fldChar w:fldCharType="separate"/>
        </w:r>
        <w:r>
          <w:rPr>
            <w:noProof/>
            <w:webHidden/>
          </w:rPr>
          <w:t>4</w:t>
        </w:r>
        <w:r>
          <w:rPr>
            <w:noProof/>
            <w:webHidden/>
          </w:rPr>
          <w:fldChar w:fldCharType="end"/>
        </w:r>
      </w:hyperlink>
    </w:p>
    <w:p w14:paraId="305D7B07" w14:textId="0D532BF4" w:rsidR="001761EE" w:rsidRDefault="001761EE">
      <w:pPr>
        <w:pStyle w:val="TOC1"/>
        <w:rPr>
          <w:rFonts w:asciiTheme="minorHAnsi" w:eastAsiaTheme="minorEastAsia" w:hAnsiTheme="minorHAnsi" w:cstheme="minorBidi"/>
          <w:noProof/>
          <w:kern w:val="2"/>
          <w:szCs w:val="24"/>
          <w:lang w:val="en-AU" w:eastAsia="en-AU"/>
          <w14:ligatures w14:val="standardContextual"/>
        </w:rPr>
      </w:pPr>
      <w:hyperlink w:anchor="_Toc235526721" w:history="1">
        <w:r w:rsidRPr="00142D1A">
          <w:rPr>
            <w:rStyle w:val="Hyperlink"/>
            <w:noProof/>
          </w:rPr>
          <w:t>Implementation Actions 2026-27</w:t>
        </w:r>
        <w:r>
          <w:rPr>
            <w:noProof/>
            <w:webHidden/>
          </w:rPr>
          <w:tab/>
        </w:r>
        <w:r>
          <w:rPr>
            <w:noProof/>
            <w:webHidden/>
          </w:rPr>
          <w:fldChar w:fldCharType="begin"/>
        </w:r>
        <w:r>
          <w:rPr>
            <w:noProof/>
            <w:webHidden/>
          </w:rPr>
          <w:instrText xml:space="preserve"> PAGEREF _Toc235526721 \h </w:instrText>
        </w:r>
        <w:r>
          <w:rPr>
            <w:noProof/>
            <w:webHidden/>
          </w:rPr>
        </w:r>
        <w:r>
          <w:rPr>
            <w:noProof/>
            <w:webHidden/>
          </w:rPr>
          <w:fldChar w:fldCharType="separate"/>
        </w:r>
        <w:r>
          <w:rPr>
            <w:noProof/>
            <w:webHidden/>
          </w:rPr>
          <w:t>6</w:t>
        </w:r>
        <w:r>
          <w:rPr>
            <w:noProof/>
            <w:webHidden/>
          </w:rPr>
          <w:fldChar w:fldCharType="end"/>
        </w:r>
      </w:hyperlink>
    </w:p>
    <w:p w14:paraId="133A9219" w14:textId="0D458F17" w:rsidR="00C86248" w:rsidRDefault="00750C73">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5BE7BE45" w14:textId="658C26CB" w:rsidR="001761EE" w:rsidRDefault="00750C73">
      <w:pPr>
        <w:pStyle w:val="TOC3"/>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\h \z \t "Figure,3" </w:instrText>
      </w:r>
      <w:r>
        <w:fldChar w:fldCharType="separate"/>
      </w:r>
      <w:hyperlink w:anchor="_Toc235526722" w:history="1">
        <w:r w:rsidR="001761EE" w:rsidRPr="00A94A17">
          <w:rPr>
            <w:rStyle w:val="Hyperlink"/>
            <w:noProof/>
          </w:rPr>
          <w:t>Figure 1: Strategic Framework for actioning the Strategy</w:t>
        </w:r>
        <w:r w:rsidR="001761EE">
          <w:rPr>
            <w:noProof/>
            <w:webHidden/>
          </w:rPr>
          <w:tab/>
        </w:r>
        <w:r w:rsidR="001761EE">
          <w:rPr>
            <w:noProof/>
            <w:webHidden/>
          </w:rPr>
          <w:fldChar w:fldCharType="begin"/>
        </w:r>
        <w:r w:rsidR="001761EE">
          <w:rPr>
            <w:noProof/>
            <w:webHidden/>
          </w:rPr>
          <w:instrText xml:space="preserve"> PAGEREF _Toc235526722 \h </w:instrText>
        </w:r>
        <w:r w:rsidR="001761EE">
          <w:rPr>
            <w:noProof/>
            <w:webHidden/>
          </w:rPr>
        </w:r>
        <w:r w:rsidR="001761EE">
          <w:rPr>
            <w:noProof/>
            <w:webHidden/>
          </w:rPr>
          <w:fldChar w:fldCharType="separate"/>
        </w:r>
        <w:r w:rsidR="001761EE">
          <w:rPr>
            <w:noProof/>
            <w:webHidden/>
          </w:rPr>
          <w:t>3</w:t>
        </w:r>
        <w:r w:rsidR="001761EE">
          <w:rPr>
            <w:noProof/>
            <w:webHidden/>
          </w:rPr>
          <w:fldChar w:fldCharType="end"/>
        </w:r>
      </w:hyperlink>
    </w:p>
    <w:p w14:paraId="05CC63FD" w14:textId="647B3F4C" w:rsidR="003A5FEA" w:rsidRDefault="00750C73" w:rsidP="003A5FEA">
      <w:r>
        <w:fldChar w:fldCharType="end"/>
      </w:r>
    </w:p>
    <w:p w14:paraId="4A6797B1" w14:textId="29FD7E3D" w:rsidR="002B76A7" w:rsidRDefault="002B76A7" w:rsidP="003A5FEA"/>
    <w:p w14:paraId="03333094" w14:textId="77777777" w:rsidR="001D3E4E" w:rsidRDefault="001D3E4E" w:rsidP="003A5FEA">
      <w:pPr>
        <w:sectPr w:rsidR="001D3E4E" w:rsidSect="00DE6564">
          <w:headerReference w:type="even" r:id="rId18"/>
          <w:headerReference w:type="default" r:id="rId19"/>
          <w:footerReference w:type="even" r:id="rId20"/>
          <w:footerReference w:type="default" r:id="rId21"/>
          <w:pgSz w:w="11907" w:h="16840" w:code="9"/>
          <w:pgMar w:top="1418" w:right="1701" w:bottom="1134" w:left="1843" w:header="737" w:footer="425" w:gutter="284"/>
          <w:pgNumType w:fmt="lowerRoman"/>
          <w:cols w:space="720"/>
          <w:docGrid w:linePitch="286"/>
        </w:sectPr>
      </w:pPr>
    </w:p>
    <w:p w14:paraId="5DDB57FC" w14:textId="77777777" w:rsidR="001D3E4E" w:rsidRDefault="001D3E4E" w:rsidP="003A5FEA"/>
    <w:p w14:paraId="42CB3D8F" w14:textId="77777777" w:rsidR="001D3E4E" w:rsidRDefault="001D3E4E" w:rsidP="003A5FEA">
      <w:pPr>
        <w:sectPr w:rsidR="001D3E4E" w:rsidSect="00DE6564">
          <w:footerReference w:type="even" r:id="rId22"/>
          <w:pgSz w:w="11907" w:h="16840" w:code="9"/>
          <w:pgMar w:top="1418" w:right="1701" w:bottom="1134" w:left="1843" w:header="737" w:footer="425" w:gutter="284"/>
          <w:pgNumType w:fmt="lowerRoman"/>
          <w:cols w:space="720"/>
          <w:docGrid w:linePitch="286"/>
        </w:sectPr>
      </w:pPr>
    </w:p>
    <w:p w14:paraId="6889BC0F" w14:textId="77777777" w:rsidR="009A42D5" w:rsidRPr="0043478F" w:rsidRDefault="009A42D5" w:rsidP="0008437D">
      <w:pPr>
        <w:ind w:left="-2268" w:right="-1701"/>
      </w:pPr>
    </w:p>
    <w:p w14:paraId="35C5D491" w14:textId="77777777" w:rsidR="001E33E3" w:rsidRDefault="001E33E3" w:rsidP="001E33E3">
      <w:pPr>
        <w:pStyle w:val="Heading1"/>
        <w:spacing w:before="0"/>
      </w:pPr>
      <w:bookmarkStart w:id="2" w:name="_Toc235526717"/>
      <w:r>
        <w:t>Purpose</w:t>
      </w:r>
      <w:bookmarkEnd w:id="2"/>
      <w:r>
        <w:t xml:space="preserve"> </w:t>
      </w:r>
    </w:p>
    <w:p w14:paraId="01788E07" w14:textId="77777777" w:rsidR="001E33E3" w:rsidRDefault="001E33E3" w:rsidP="001E33E3">
      <w:r>
        <w:t>Following on from the Aotearoa New Zealand Rare Disorders Strategy 2024 – 2034 (the Strategy), the Rare Disorders Strategy Implementation plan (the plan) outlines the first coordinated plan of how agencies working together across the health system will action the Strategy. It follows an initial period of largely independent action by each health agency towards the strategy.</w:t>
      </w:r>
    </w:p>
    <w:p w14:paraId="08ED63BC" w14:textId="77777777" w:rsidR="001E33E3" w:rsidRPr="001761EE" w:rsidRDefault="001E33E3" w:rsidP="001761EE">
      <w:pPr>
        <w:pStyle w:val="Heading1"/>
      </w:pPr>
      <w:bookmarkStart w:id="3" w:name="_Toc235526718"/>
      <w:r w:rsidRPr="001761EE">
        <w:t>Vision and outcomes</w:t>
      </w:r>
      <w:bookmarkEnd w:id="3"/>
    </w:p>
    <w:p w14:paraId="1617D7D3" w14:textId="7B19E6F5" w:rsidR="001E33E3" w:rsidRDefault="001E33E3" w:rsidP="001E33E3">
      <w:r>
        <w:t xml:space="preserve">The implementation plan seeks to support achieving the vision of the Strategy that: </w:t>
      </w:r>
    </w:p>
    <w:p w14:paraId="3DB6D0E6" w14:textId="77777777" w:rsidR="001E33E3" w:rsidRDefault="001E33E3" w:rsidP="001E33E3"/>
    <w:p w14:paraId="2BBF854B" w14:textId="77777777" w:rsidR="001E33E3" w:rsidRPr="001E33E3" w:rsidRDefault="001E33E3" w:rsidP="001E33E3">
      <w:pPr>
        <w:ind w:left="567"/>
        <w:jc w:val="center"/>
        <w:rPr>
          <w:b/>
          <w:bCs/>
          <w:sz w:val="22"/>
          <w:szCs w:val="22"/>
        </w:rPr>
      </w:pPr>
      <w:r w:rsidRPr="001E33E3">
        <w:rPr>
          <w:b/>
          <w:bCs/>
          <w:sz w:val="22"/>
          <w:szCs w:val="22"/>
        </w:rPr>
        <w:t xml:space="preserve">All people and their whānau living with rare disorders share in </w:t>
      </w:r>
      <w:proofErr w:type="spellStart"/>
      <w:r w:rsidRPr="001E33E3">
        <w:rPr>
          <w:b/>
          <w:bCs/>
          <w:sz w:val="22"/>
          <w:szCs w:val="22"/>
        </w:rPr>
        <w:t>pae</w:t>
      </w:r>
      <w:proofErr w:type="spellEnd"/>
      <w:r w:rsidRPr="001E33E3">
        <w:rPr>
          <w:b/>
          <w:bCs/>
          <w:sz w:val="22"/>
          <w:szCs w:val="22"/>
        </w:rPr>
        <w:t xml:space="preserve"> ora (healthy futures) and live fulfilling lives.</w:t>
      </w:r>
    </w:p>
    <w:p w14:paraId="5AABC612" w14:textId="77777777" w:rsidR="001E33E3" w:rsidRDefault="001E33E3" w:rsidP="001E33E3"/>
    <w:p w14:paraId="6D6962F3" w14:textId="2046E429" w:rsidR="001E33E3" w:rsidRDefault="001E33E3" w:rsidP="001E33E3">
      <w:r>
        <w:t>This vision will have been achieved when:</w:t>
      </w:r>
    </w:p>
    <w:p w14:paraId="7F05FE85" w14:textId="2E7E44D3" w:rsidR="001E33E3" w:rsidRPr="001E33E3" w:rsidRDefault="001E33E3" w:rsidP="001E33E3">
      <w:pPr>
        <w:pStyle w:val="Bullet"/>
      </w:pPr>
      <w:r w:rsidRPr="001E33E3">
        <w:t>people and their whānau living with a rare disorder have a better quality of life.</w:t>
      </w:r>
    </w:p>
    <w:p w14:paraId="24022EAD" w14:textId="0494E751" w:rsidR="001E33E3" w:rsidRPr="001E33E3" w:rsidRDefault="001E33E3" w:rsidP="001E33E3">
      <w:pPr>
        <w:pStyle w:val="Bullet"/>
      </w:pPr>
      <w:r w:rsidRPr="001E33E3">
        <w:t>the health system is responsive to people whose needs or situation are uncommon, unusual or unclear.</w:t>
      </w:r>
    </w:p>
    <w:p w14:paraId="02C56E28" w14:textId="05B23278" w:rsidR="001E33E3" w:rsidRPr="001E33E3" w:rsidRDefault="001E33E3" w:rsidP="001E33E3">
      <w:pPr>
        <w:pStyle w:val="Bullet"/>
      </w:pPr>
      <w:r w:rsidRPr="001E33E3">
        <w:t>designing, commissioning or providing new policies or services routinely consider the needs of people with rare disorders.</w:t>
      </w:r>
    </w:p>
    <w:p w14:paraId="7FD3441A" w14:textId="77777777" w:rsidR="001E33E3" w:rsidRDefault="001E33E3" w:rsidP="001E33E3">
      <w:pPr>
        <w:pStyle w:val="Heading1"/>
        <w:spacing w:before="0"/>
        <w:sectPr w:rsidR="001E33E3" w:rsidSect="001761EE">
          <w:headerReference w:type="default" r:id="rId23"/>
          <w:footerReference w:type="even" r:id="rId24"/>
          <w:footerReference w:type="default" r:id="rId25"/>
          <w:pgSz w:w="11907" w:h="16834" w:code="9"/>
          <w:pgMar w:top="1418" w:right="1701" w:bottom="1134" w:left="1843" w:header="737" w:footer="425" w:gutter="284"/>
          <w:pgNumType w:start="1"/>
          <w:cols w:space="720"/>
          <w:docGrid w:linePitch="286"/>
        </w:sectPr>
      </w:pPr>
    </w:p>
    <w:p w14:paraId="6B1F96B2" w14:textId="77777777" w:rsidR="001E33E3" w:rsidRDefault="001E33E3" w:rsidP="001E33E3">
      <w:pPr>
        <w:pStyle w:val="Heading1"/>
        <w:spacing w:before="0"/>
      </w:pPr>
      <w:bookmarkStart w:id="4" w:name="_Toc235526719"/>
      <w:r>
        <w:lastRenderedPageBreak/>
        <w:t>Governance and accountability</w:t>
      </w:r>
      <w:bookmarkEnd w:id="4"/>
      <w:r>
        <w:t xml:space="preserve"> </w:t>
      </w:r>
    </w:p>
    <w:p w14:paraId="35E52447" w14:textId="77777777" w:rsidR="001E33E3" w:rsidRDefault="001E33E3" w:rsidP="001E33E3">
      <w:r>
        <w:t>Implementation of the plan will be overseen through a shared accountability model across health agencies, convened and supported by the Ministry of Health.</w:t>
      </w:r>
    </w:p>
    <w:p w14:paraId="1B12EC65" w14:textId="77777777" w:rsidR="001E33E3" w:rsidRDefault="001E33E3" w:rsidP="001E33E3"/>
    <w:p w14:paraId="32AD7AB4" w14:textId="2978D1BC" w:rsidR="001E33E3" w:rsidRDefault="001E33E3" w:rsidP="001E33E3">
      <w:r>
        <w:t>Key components include:</w:t>
      </w:r>
    </w:p>
    <w:p w14:paraId="44492D19" w14:textId="7D5D709B" w:rsidR="001E33E3" w:rsidRDefault="001E33E3" w:rsidP="001E33E3">
      <w:pPr>
        <w:pStyle w:val="Bullet"/>
      </w:pPr>
      <w:r>
        <w:t>designation of agency leads responsible for delivery of and progress reporting on specific actions</w:t>
      </w:r>
    </w:p>
    <w:p w14:paraId="4653EC87" w14:textId="53B0015D" w:rsidR="001E33E3" w:rsidRDefault="001E33E3" w:rsidP="001E33E3">
      <w:pPr>
        <w:pStyle w:val="Bullet"/>
      </w:pPr>
      <w:r>
        <w:t xml:space="preserve">regular bi-annual cross-agency forums (including the Ministry of Health, Health New Zealand, </w:t>
      </w:r>
      <w:proofErr w:type="spellStart"/>
      <w:r>
        <w:t>Pharmac</w:t>
      </w:r>
      <w:proofErr w:type="spellEnd"/>
      <w:r>
        <w:t>, HQSC, and Rare Disorders New Zealand) to review progress, identify emerging issues and agree priorities for future action</w:t>
      </w:r>
    </w:p>
    <w:p w14:paraId="1CA5C5B8" w14:textId="56AB8B5E" w:rsidR="001E33E3" w:rsidRDefault="001E33E3" w:rsidP="001E33E3">
      <w:pPr>
        <w:pStyle w:val="Bullet"/>
      </w:pPr>
      <w:r>
        <w:t>ongoing engagement with people and whānau living with rare disorders to inform implementation, facilitated through Rare Disorders New Zealand.</w:t>
      </w:r>
    </w:p>
    <w:p w14:paraId="66921031" w14:textId="77777777" w:rsidR="001E33E3" w:rsidRDefault="001E33E3" w:rsidP="001E33E3"/>
    <w:p w14:paraId="1E9EF30C" w14:textId="4003A307" w:rsidR="001E33E3" w:rsidRDefault="001E33E3" w:rsidP="001E33E3">
      <w:r>
        <w:t>Governance arrangements will ensure that:</w:t>
      </w:r>
    </w:p>
    <w:p w14:paraId="52DEC69C" w14:textId="5D347584" w:rsidR="001E33E3" w:rsidRDefault="001E33E3" w:rsidP="001E33E3">
      <w:pPr>
        <w:pStyle w:val="Bullet"/>
      </w:pPr>
      <w:r>
        <w:t>responsibilities are clearly defined and documented</w:t>
      </w:r>
    </w:p>
    <w:p w14:paraId="477631CD" w14:textId="05620A8C" w:rsidR="001E33E3" w:rsidRDefault="001E33E3" w:rsidP="001E33E3">
      <w:pPr>
        <w:pStyle w:val="Bullet"/>
      </w:pPr>
      <w:r>
        <w:t>progress is regularly reviewed and reported annually</w:t>
      </w:r>
    </w:p>
    <w:p w14:paraId="01593E74" w14:textId="77777777" w:rsidR="00B377BE" w:rsidRDefault="001E33E3" w:rsidP="001E33E3">
      <w:pPr>
        <w:pStyle w:val="Bullet"/>
      </w:pPr>
      <w:r>
        <w:t>decisions are informed by evidence, including system data when available and lived experience.</w:t>
      </w:r>
    </w:p>
    <w:p w14:paraId="048F5D10" w14:textId="77777777" w:rsidR="009F0AA7" w:rsidRDefault="009F0AA7" w:rsidP="009F0AA7">
      <w:pPr>
        <w:pStyle w:val="Bullet"/>
        <w:numPr>
          <w:ilvl w:val="0"/>
          <w:numId w:val="0"/>
        </w:numPr>
        <w:ind w:left="284" w:hanging="284"/>
        <w:sectPr w:rsidR="009F0AA7" w:rsidSect="00DE6564">
          <w:pgSz w:w="11907" w:h="16834" w:code="9"/>
          <w:pgMar w:top="1418" w:right="1701" w:bottom="1134" w:left="1843" w:header="737" w:footer="425" w:gutter="284"/>
          <w:cols w:space="720"/>
          <w:docGrid w:linePitch="286"/>
        </w:sectPr>
      </w:pPr>
    </w:p>
    <w:p w14:paraId="789D15DE" w14:textId="113B7547" w:rsidR="00E7387E" w:rsidRDefault="009F0AA7" w:rsidP="009F0AA7">
      <w:pPr>
        <w:pStyle w:val="Figure"/>
        <w:spacing w:after="240"/>
      </w:pPr>
      <w:bookmarkStart w:id="5" w:name="_Toc235526722"/>
      <w:r>
        <w:lastRenderedPageBreak/>
        <w:t xml:space="preserve">Figure </w:t>
      </w:r>
      <w:fldSimple w:instr=" SEQ Figure \* ARABIC ">
        <w:r>
          <w:rPr>
            <w:noProof/>
          </w:rPr>
          <w:t>1</w:t>
        </w:r>
      </w:fldSimple>
      <w:r>
        <w:t xml:space="preserve">: </w:t>
      </w:r>
      <w:r w:rsidRPr="00E677E5">
        <w:t>Strategic Framework for actioning the Strategy</w:t>
      </w:r>
      <w:bookmarkEnd w:id="5"/>
    </w:p>
    <w:tbl>
      <w:tblPr>
        <w:tblStyle w:val="TableGrid"/>
        <w:tblW w:w="9031"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544"/>
        <w:gridCol w:w="2835"/>
        <w:gridCol w:w="2652"/>
      </w:tblGrid>
      <w:tr w:rsidR="00755202" w:rsidRPr="00D62C0D" w14:paraId="69447455" w14:textId="77777777" w:rsidTr="00A83566">
        <w:tc>
          <w:tcPr>
            <w:tcW w:w="3544" w:type="dxa"/>
            <w:tcBorders>
              <w:top w:val="nil"/>
              <w:bottom w:val="nil"/>
            </w:tcBorders>
            <w:shd w:val="clear" w:color="auto" w:fill="D9D9D9" w:themeFill="background1" w:themeFillShade="D9"/>
          </w:tcPr>
          <w:p w14:paraId="463471AD" w14:textId="77777777" w:rsidR="00755202" w:rsidRPr="00D62C0D" w:rsidRDefault="00755202" w:rsidP="00A83566">
            <w:pPr>
              <w:pStyle w:val="TableText"/>
              <w:rPr>
                <w:rFonts w:cs="Segoe UI"/>
                <w:b/>
                <w:bCs/>
              </w:rPr>
            </w:pPr>
            <w:r w:rsidRPr="00D62C0D">
              <w:rPr>
                <w:rFonts w:cs="Segoe UI"/>
                <w:b/>
                <w:bCs/>
              </w:rPr>
              <w:t>Vision</w:t>
            </w:r>
          </w:p>
        </w:tc>
        <w:tc>
          <w:tcPr>
            <w:tcW w:w="2835" w:type="dxa"/>
            <w:tcBorders>
              <w:top w:val="nil"/>
              <w:bottom w:val="nil"/>
            </w:tcBorders>
            <w:shd w:val="clear" w:color="auto" w:fill="D9D9D9" w:themeFill="background1" w:themeFillShade="D9"/>
          </w:tcPr>
          <w:p w14:paraId="64F9E3F2" w14:textId="77777777" w:rsidR="00755202" w:rsidRPr="00D62C0D" w:rsidRDefault="00755202" w:rsidP="00A83566">
            <w:pPr>
              <w:pStyle w:val="TableText"/>
              <w:rPr>
                <w:rFonts w:cs="Segoe UI"/>
                <w:b/>
                <w:bCs/>
              </w:rPr>
            </w:pPr>
            <w:r w:rsidRPr="00D62C0D">
              <w:rPr>
                <w:rFonts w:cs="Segoe UI"/>
                <w:b/>
                <w:bCs/>
              </w:rPr>
              <w:t>Outcomes</w:t>
            </w:r>
          </w:p>
        </w:tc>
        <w:tc>
          <w:tcPr>
            <w:tcW w:w="2652" w:type="dxa"/>
            <w:tcBorders>
              <w:top w:val="nil"/>
              <w:bottom w:val="nil"/>
            </w:tcBorders>
            <w:shd w:val="clear" w:color="auto" w:fill="D9D9D9" w:themeFill="background1" w:themeFillShade="D9"/>
          </w:tcPr>
          <w:p w14:paraId="61AA9C8B" w14:textId="77777777" w:rsidR="00755202" w:rsidRPr="00D62C0D" w:rsidRDefault="00755202" w:rsidP="00A83566">
            <w:pPr>
              <w:pStyle w:val="TableText"/>
              <w:rPr>
                <w:rFonts w:cs="Segoe UI"/>
                <w:b/>
                <w:bCs/>
              </w:rPr>
            </w:pPr>
            <w:r w:rsidRPr="00D62C0D">
              <w:rPr>
                <w:rFonts w:cs="Segoe UI"/>
                <w:b/>
                <w:bCs/>
              </w:rPr>
              <w:t>Priorities</w:t>
            </w:r>
          </w:p>
        </w:tc>
      </w:tr>
      <w:tr w:rsidR="00755202" w:rsidRPr="00D62C0D" w14:paraId="7EAE6893" w14:textId="77777777" w:rsidTr="00A83566">
        <w:tc>
          <w:tcPr>
            <w:tcW w:w="3544" w:type="dxa"/>
            <w:tcBorders>
              <w:top w:val="nil"/>
              <w:bottom w:val="nil"/>
            </w:tcBorders>
          </w:tcPr>
          <w:p w14:paraId="022FDA0B" w14:textId="77777777" w:rsidR="00755202" w:rsidRPr="00D62C0D" w:rsidRDefault="00755202" w:rsidP="00A83566">
            <w:pPr>
              <w:pStyle w:val="TableText"/>
              <w:rPr>
                <w:rFonts w:cs="Segoe UI"/>
              </w:rPr>
            </w:pPr>
            <w:r w:rsidRPr="00D62C0D">
              <w:rPr>
                <w:rFonts w:cs="Segoe UI"/>
              </w:rPr>
              <w:t xml:space="preserve">“All people and their whānau living with rare disorders share in </w:t>
            </w:r>
            <w:proofErr w:type="spellStart"/>
            <w:r w:rsidRPr="00D62C0D">
              <w:rPr>
                <w:rFonts w:cs="Segoe UI"/>
              </w:rPr>
              <w:t>pae</w:t>
            </w:r>
            <w:proofErr w:type="spellEnd"/>
            <w:r w:rsidRPr="00D62C0D">
              <w:rPr>
                <w:rFonts w:cs="Segoe UI"/>
              </w:rPr>
              <w:t xml:space="preserve"> ora (healthy futures) and live fulfilling lives”</w:t>
            </w:r>
          </w:p>
          <w:p w14:paraId="00CC8076" w14:textId="77777777" w:rsidR="00755202" w:rsidRPr="00D62C0D" w:rsidRDefault="00755202" w:rsidP="00A83566">
            <w:pPr>
              <w:pStyle w:val="TableText"/>
              <w:rPr>
                <w:rFonts w:cs="Segoe UI"/>
              </w:rPr>
            </w:pPr>
          </w:p>
        </w:tc>
        <w:tc>
          <w:tcPr>
            <w:tcW w:w="2835" w:type="dxa"/>
            <w:tcBorders>
              <w:top w:val="nil"/>
              <w:bottom w:val="nil"/>
            </w:tcBorders>
          </w:tcPr>
          <w:p w14:paraId="4068E5A4" w14:textId="77777777" w:rsidR="00755202" w:rsidRPr="00D62C0D" w:rsidRDefault="00755202" w:rsidP="00A83566">
            <w:pPr>
              <w:pStyle w:val="TableText"/>
              <w:rPr>
                <w:rFonts w:cs="Segoe UI"/>
                <w:b/>
                <w:bCs/>
              </w:rPr>
            </w:pPr>
            <w:r w:rsidRPr="00D62C0D">
              <w:rPr>
                <w:rFonts w:cs="Segoe UI"/>
                <w:b/>
                <w:bCs/>
              </w:rPr>
              <w:t>Quality</w:t>
            </w:r>
          </w:p>
          <w:p w14:paraId="133EACF3" w14:textId="77777777" w:rsidR="00755202" w:rsidRPr="00D62C0D" w:rsidRDefault="00755202" w:rsidP="00A83566">
            <w:pPr>
              <w:pStyle w:val="TableText"/>
              <w:rPr>
                <w:rFonts w:cs="Segoe UI"/>
              </w:rPr>
            </w:pPr>
            <w:r w:rsidRPr="00D62C0D">
              <w:rPr>
                <w:rFonts w:cs="Segoe UI"/>
              </w:rPr>
              <w:t>People and their whānau living with a rare disorder have a better quality of life.</w:t>
            </w:r>
          </w:p>
          <w:p w14:paraId="667DADFB" w14:textId="77777777" w:rsidR="00755202" w:rsidRPr="00D62C0D" w:rsidRDefault="00755202" w:rsidP="00A83566">
            <w:pPr>
              <w:pStyle w:val="TableText"/>
              <w:rPr>
                <w:rFonts w:cs="Segoe UI"/>
                <w:b/>
                <w:bCs/>
              </w:rPr>
            </w:pPr>
            <w:r w:rsidRPr="00D62C0D">
              <w:rPr>
                <w:rFonts w:cs="Segoe UI"/>
                <w:b/>
                <w:bCs/>
              </w:rPr>
              <w:t>Responsive system</w:t>
            </w:r>
          </w:p>
          <w:p w14:paraId="7E886FDD" w14:textId="77777777" w:rsidR="00755202" w:rsidRPr="00D62C0D" w:rsidRDefault="00755202" w:rsidP="00A83566">
            <w:pPr>
              <w:pStyle w:val="TableText"/>
              <w:rPr>
                <w:rFonts w:cs="Segoe UI"/>
              </w:rPr>
            </w:pPr>
            <w:r w:rsidRPr="00D62C0D">
              <w:rPr>
                <w:rFonts w:cs="Segoe UI"/>
              </w:rPr>
              <w:t>The health system is responsive to people whose needs or situation are uncommon, unusual or unclear.</w:t>
            </w:r>
          </w:p>
          <w:p w14:paraId="533870E3" w14:textId="77777777" w:rsidR="00755202" w:rsidRPr="00D62C0D" w:rsidRDefault="00755202" w:rsidP="00A83566">
            <w:pPr>
              <w:pStyle w:val="TableText"/>
              <w:rPr>
                <w:rFonts w:cs="Segoe UI"/>
                <w:b/>
                <w:bCs/>
              </w:rPr>
            </w:pPr>
            <w:r w:rsidRPr="00D62C0D">
              <w:rPr>
                <w:rFonts w:cs="Segoe UI"/>
                <w:b/>
                <w:bCs/>
              </w:rPr>
              <w:t>Considers needs</w:t>
            </w:r>
          </w:p>
          <w:p w14:paraId="374F9B31" w14:textId="77777777" w:rsidR="00755202" w:rsidRPr="00D62C0D" w:rsidRDefault="00755202" w:rsidP="00A83566">
            <w:pPr>
              <w:pStyle w:val="TableText"/>
              <w:rPr>
                <w:rFonts w:cs="Segoe UI"/>
              </w:rPr>
            </w:pPr>
            <w:r w:rsidRPr="00D62C0D">
              <w:rPr>
                <w:rFonts w:cs="Segoe UI"/>
              </w:rPr>
              <w:t>Designing, commissioning or providing new policies or services routinely consider the needs of people with rare disorders.</w:t>
            </w:r>
          </w:p>
        </w:tc>
        <w:tc>
          <w:tcPr>
            <w:tcW w:w="2652" w:type="dxa"/>
            <w:tcBorders>
              <w:top w:val="nil"/>
              <w:bottom w:val="nil"/>
            </w:tcBorders>
          </w:tcPr>
          <w:p w14:paraId="040181C5" w14:textId="77777777" w:rsidR="00755202" w:rsidRPr="00D62C0D" w:rsidRDefault="00755202" w:rsidP="00A83566">
            <w:pPr>
              <w:pStyle w:val="TableText"/>
              <w:rPr>
                <w:rFonts w:eastAsia="Aptos" w:cs="Segoe UI"/>
              </w:rPr>
            </w:pPr>
            <w:r w:rsidRPr="00D62C0D">
              <w:rPr>
                <w:rFonts w:eastAsia="Aptos" w:cs="Segoe UI"/>
              </w:rPr>
              <w:t>Gearing the system for quality and timely care.</w:t>
            </w:r>
          </w:p>
          <w:p w14:paraId="48DC034F" w14:textId="77777777" w:rsidR="00755202" w:rsidRPr="00D62C0D" w:rsidRDefault="00755202" w:rsidP="00A83566">
            <w:pPr>
              <w:pStyle w:val="TableText"/>
              <w:rPr>
                <w:rFonts w:eastAsia="Aptos" w:cs="Segoe UI"/>
              </w:rPr>
            </w:pPr>
            <w:r w:rsidRPr="00D62C0D">
              <w:rPr>
                <w:rFonts w:eastAsia="Aptos" w:cs="Segoe UI"/>
              </w:rPr>
              <w:t>Learning and sustaining progress</w:t>
            </w:r>
            <w:r>
              <w:rPr>
                <w:rFonts w:eastAsia="Aptos" w:cs="Segoe UI"/>
              </w:rPr>
              <w:t>.</w:t>
            </w:r>
          </w:p>
          <w:p w14:paraId="3B77D600" w14:textId="77777777" w:rsidR="00755202" w:rsidRPr="00D62C0D" w:rsidRDefault="00755202" w:rsidP="00A83566">
            <w:pPr>
              <w:pStyle w:val="TableText"/>
              <w:rPr>
                <w:rFonts w:eastAsia="Aptos" w:cs="Segoe UI"/>
              </w:rPr>
            </w:pPr>
            <w:r w:rsidRPr="00D62C0D">
              <w:rPr>
                <w:rFonts w:eastAsia="Aptos" w:cs="Segoe UI"/>
              </w:rPr>
              <w:t>Equipping the health workforce for quality rare disorders care.</w:t>
            </w:r>
          </w:p>
          <w:p w14:paraId="7F5991D7" w14:textId="77777777" w:rsidR="00755202" w:rsidRPr="00D62C0D" w:rsidRDefault="00755202" w:rsidP="00A83566">
            <w:pPr>
              <w:pStyle w:val="TableText"/>
              <w:rPr>
                <w:rFonts w:eastAsia="Aptos" w:cs="Segoe UI"/>
              </w:rPr>
            </w:pPr>
            <w:r w:rsidRPr="00D62C0D">
              <w:rPr>
                <w:rFonts w:eastAsia="Aptos" w:cs="Segoe UI"/>
              </w:rPr>
              <w:t>Giving voice to people and their whānau living with rare disorders.</w:t>
            </w:r>
          </w:p>
          <w:p w14:paraId="2A3CEF20" w14:textId="77777777" w:rsidR="00755202" w:rsidRPr="00D62C0D" w:rsidRDefault="00755202" w:rsidP="00A83566">
            <w:pPr>
              <w:pStyle w:val="TableText"/>
              <w:rPr>
                <w:rFonts w:cs="Segoe UI"/>
              </w:rPr>
            </w:pPr>
            <w:r w:rsidRPr="00D62C0D">
              <w:rPr>
                <w:rFonts w:eastAsia="Aptos" w:cs="Segoe UI"/>
              </w:rPr>
              <w:t>Joining up internationally to achieve more.</w:t>
            </w:r>
          </w:p>
        </w:tc>
      </w:tr>
      <w:tr w:rsidR="00755202" w:rsidRPr="00D62C0D" w14:paraId="10F7028F" w14:textId="77777777" w:rsidTr="00A83566">
        <w:tc>
          <w:tcPr>
            <w:tcW w:w="3544" w:type="dxa"/>
            <w:tcBorders>
              <w:top w:val="nil"/>
              <w:bottom w:val="nil"/>
            </w:tcBorders>
            <w:shd w:val="clear" w:color="auto" w:fill="D9D9D9" w:themeFill="background1" w:themeFillShade="D9"/>
          </w:tcPr>
          <w:p w14:paraId="03EEDA53" w14:textId="77777777" w:rsidR="00755202" w:rsidRPr="00D62C0D" w:rsidRDefault="00755202" w:rsidP="00A83566">
            <w:pPr>
              <w:pStyle w:val="TableText"/>
              <w:rPr>
                <w:rFonts w:cs="Segoe UI"/>
                <w:b/>
                <w:bCs/>
              </w:rPr>
            </w:pPr>
            <w:r w:rsidRPr="00D62C0D">
              <w:rPr>
                <w:rFonts w:cs="Segoe UI"/>
                <w:b/>
                <w:bCs/>
              </w:rPr>
              <w:t xml:space="preserve">Implementation Plan [applicable </w:t>
            </w:r>
            <w:proofErr w:type="gramStart"/>
            <w:r w:rsidRPr="00D62C0D">
              <w:rPr>
                <w:rFonts w:cs="Segoe UI"/>
                <w:b/>
                <w:bCs/>
              </w:rPr>
              <w:t>time period</w:t>
            </w:r>
            <w:proofErr w:type="gramEnd"/>
            <w:r w:rsidRPr="00D62C0D">
              <w:rPr>
                <w:rFonts w:cs="Segoe UI"/>
                <w:b/>
                <w:bCs/>
              </w:rPr>
              <w:t>]</w:t>
            </w:r>
          </w:p>
        </w:tc>
        <w:tc>
          <w:tcPr>
            <w:tcW w:w="2835" w:type="dxa"/>
            <w:tcBorders>
              <w:top w:val="nil"/>
              <w:bottom w:val="nil"/>
            </w:tcBorders>
            <w:shd w:val="clear" w:color="auto" w:fill="D9D9D9" w:themeFill="background1" w:themeFillShade="D9"/>
          </w:tcPr>
          <w:p w14:paraId="7D3A4CA2" w14:textId="77777777" w:rsidR="00755202" w:rsidRPr="00D62C0D" w:rsidRDefault="00755202" w:rsidP="00A83566">
            <w:pPr>
              <w:pStyle w:val="TableText"/>
              <w:rPr>
                <w:rFonts w:cs="Segoe UI"/>
                <w:b/>
                <w:bCs/>
              </w:rPr>
            </w:pPr>
            <w:r w:rsidRPr="00D62C0D">
              <w:rPr>
                <w:rFonts w:cs="Segoe UI"/>
                <w:b/>
                <w:bCs/>
              </w:rPr>
              <w:t>Monitoring and Governance</w:t>
            </w:r>
          </w:p>
        </w:tc>
        <w:tc>
          <w:tcPr>
            <w:tcW w:w="2652" w:type="dxa"/>
            <w:tcBorders>
              <w:top w:val="nil"/>
              <w:bottom w:val="nil"/>
            </w:tcBorders>
            <w:shd w:val="clear" w:color="auto" w:fill="D9D9D9" w:themeFill="background1" w:themeFillShade="D9"/>
          </w:tcPr>
          <w:p w14:paraId="409AE2AE" w14:textId="77777777" w:rsidR="00755202" w:rsidRPr="00D62C0D" w:rsidRDefault="00755202" w:rsidP="00A83566">
            <w:pPr>
              <w:pStyle w:val="TableText"/>
              <w:rPr>
                <w:rFonts w:cs="Segoe UI"/>
                <w:b/>
                <w:bCs/>
              </w:rPr>
            </w:pPr>
            <w:r w:rsidRPr="00D62C0D">
              <w:rPr>
                <w:rFonts w:cs="Segoe UI"/>
                <w:b/>
                <w:bCs/>
              </w:rPr>
              <w:t>Reporting</w:t>
            </w:r>
          </w:p>
        </w:tc>
      </w:tr>
      <w:tr w:rsidR="00755202" w:rsidRPr="00D62C0D" w14:paraId="5666E618" w14:textId="77777777" w:rsidTr="00A83566">
        <w:tc>
          <w:tcPr>
            <w:tcW w:w="3544" w:type="dxa"/>
            <w:tcBorders>
              <w:top w:val="nil"/>
            </w:tcBorders>
          </w:tcPr>
          <w:p w14:paraId="6F29D727" w14:textId="77777777" w:rsidR="00755202" w:rsidRPr="00D62C0D" w:rsidRDefault="00755202" w:rsidP="00A83566">
            <w:pPr>
              <w:pStyle w:val="TableText"/>
              <w:rPr>
                <w:rStyle w:val="Emphasis"/>
                <w:rFonts w:ascii="Segoe UI" w:hAnsi="Segoe UI" w:cs="Segoe UI"/>
                <w:sz w:val="18"/>
                <w:szCs w:val="18"/>
                <w:lang w:val="en-US"/>
              </w:rPr>
            </w:pPr>
            <w:r w:rsidRPr="00D62C0D">
              <w:rPr>
                <w:rStyle w:val="Emphasis"/>
                <w:rFonts w:ascii="Segoe UI" w:hAnsi="Segoe UI" w:cs="Segoe UI"/>
                <w:sz w:val="18"/>
                <w:szCs w:val="18"/>
                <w:lang w:val="en-US"/>
              </w:rPr>
              <w:t xml:space="preserve">The Ministry of Health produces an implementation plan for each period with input from a cross-agency Monitoring and Governance Group. The plan outlines the actions to be undertaken during the applicable period, along with their strategy priority area, the most aligned strategy outcome and the responsible lead agency. Actions will adhere to the </w:t>
            </w:r>
            <w:r w:rsidRPr="00D62C0D">
              <w:rPr>
                <w:rStyle w:val="Emphasis"/>
                <w:rFonts w:ascii="Segoe UI" w:hAnsi="Segoe UI" w:cs="Segoe UI"/>
                <w:b/>
                <w:bCs/>
                <w:sz w:val="18"/>
                <w:szCs w:val="18"/>
                <w:lang w:val="en-US"/>
              </w:rPr>
              <w:t>principles to uphold in actioning the strategy</w:t>
            </w:r>
            <w:r w:rsidRPr="00D62C0D">
              <w:rPr>
                <w:rStyle w:val="Emphasis"/>
                <w:rFonts w:ascii="Segoe UI" w:hAnsi="Segoe UI" w:cs="Segoe UI"/>
                <w:sz w:val="18"/>
                <w:szCs w:val="18"/>
                <w:lang w:val="en-US"/>
              </w:rPr>
              <w:t>:</w:t>
            </w:r>
          </w:p>
          <w:p w14:paraId="332FDDA4"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 xml:space="preserve">build on and draw from the Pae Ora Strategies, the New Zealand Disability Strategy and the Child and Youth Wellbeing Strategy </w:t>
            </w:r>
          </w:p>
          <w:p w14:paraId="4E56BAC3" w14:textId="77777777" w:rsidR="00755202" w:rsidRPr="00D62C0D" w:rsidRDefault="00755202" w:rsidP="00A83566">
            <w:pPr>
              <w:pStyle w:val="TableBullet"/>
              <w:rPr>
                <w:rStyle w:val="SubtleEmphasis"/>
                <w:rFonts w:ascii="Segoe UI" w:hAnsi="Segoe UI" w:cs="Segoe UI"/>
                <w:sz w:val="18"/>
                <w:szCs w:val="18"/>
                <w:lang w:val="en-US"/>
              </w:rPr>
            </w:pPr>
            <w:proofErr w:type="spellStart"/>
            <w:r w:rsidRPr="00D62C0D">
              <w:rPr>
                <w:rStyle w:val="SubtleEmphasis"/>
                <w:rFonts w:ascii="Segoe UI" w:hAnsi="Segoe UI" w:cs="Segoe UI"/>
                <w:sz w:val="18"/>
                <w:szCs w:val="18"/>
                <w:lang w:val="en-US"/>
              </w:rPr>
              <w:t>honour</w:t>
            </w:r>
            <w:proofErr w:type="spellEnd"/>
            <w:r w:rsidRPr="00D62C0D">
              <w:rPr>
                <w:rStyle w:val="SubtleEmphasis"/>
                <w:rFonts w:ascii="Segoe UI" w:hAnsi="Segoe UI" w:cs="Segoe UI"/>
                <w:sz w:val="18"/>
                <w:szCs w:val="18"/>
                <w:lang w:val="en-US"/>
              </w:rPr>
              <w:t xml:space="preserve"> </w:t>
            </w:r>
            <w:proofErr w:type="spellStart"/>
            <w:r w:rsidRPr="00D62C0D">
              <w:rPr>
                <w:rStyle w:val="SubtleEmphasis"/>
                <w:rFonts w:ascii="Segoe UI" w:hAnsi="Segoe UI" w:cs="Segoe UI"/>
                <w:sz w:val="18"/>
                <w:szCs w:val="18"/>
                <w:lang w:val="en-US"/>
              </w:rPr>
              <w:t>Te</w:t>
            </w:r>
            <w:proofErr w:type="spellEnd"/>
            <w:r w:rsidRPr="00D62C0D">
              <w:rPr>
                <w:rStyle w:val="SubtleEmphasis"/>
                <w:rFonts w:ascii="Segoe UI" w:hAnsi="Segoe UI" w:cs="Segoe UI"/>
                <w:sz w:val="18"/>
                <w:szCs w:val="18"/>
                <w:lang w:val="en-US"/>
              </w:rPr>
              <w:t xml:space="preserve"> Tiriti o Waitangi and work towards achieving equity for Māori </w:t>
            </w:r>
          </w:p>
          <w:p w14:paraId="7047B10A"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give voice to people and their whānau living with rare disorders</w:t>
            </w:r>
          </w:p>
          <w:p w14:paraId="095FC38C"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 xml:space="preserve">support health practitioners and providers to deliver high-quality care </w:t>
            </w:r>
          </w:p>
          <w:p w14:paraId="39DD8F87"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 xml:space="preserve">be informed by and seek out evidence </w:t>
            </w:r>
          </w:p>
          <w:p w14:paraId="03D7F454"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 xml:space="preserve">be collaborative and build on partnerships </w:t>
            </w:r>
          </w:p>
          <w:p w14:paraId="0EC4FC88" w14:textId="77777777" w:rsidR="00755202" w:rsidRPr="00D62C0D" w:rsidRDefault="00755202" w:rsidP="00A83566">
            <w:pPr>
              <w:pStyle w:val="TableBullet"/>
              <w:rPr>
                <w:lang w:val="en-US"/>
              </w:rPr>
            </w:pPr>
            <w:r w:rsidRPr="00D62C0D">
              <w:rPr>
                <w:rStyle w:val="SubtleEmphasis"/>
                <w:rFonts w:ascii="Segoe UI" w:hAnsi="Segoe UI" w:cs="Segoe UI"/>
                <w:sz w:val="18"/>
                <w:szCs w:val="18"/>
                <w:lang w:val="en-US"/>
              </w:rPr>
              <w:t xml:space="preserve">support </w:t>
            </w:r>
            <w:proofErr w:type="spellStart"/>
            <w:r w:rsidRPr="00D62C0D">
              <w:rPr>
                <w:rStyle w:val="SubtleEmphasis"/>
                <w:rFonts w:ascii="Segoe UI" w:hAnsi="Segoe UI" w:cs="Segoe UI"/>
                <w:sz w:val="18"/>
                <w:szCs w:val="18"/>
                <w:lang w:val="en-US"/>
              </w:rPr>
              <w:t>pae</w:t>
            </w:r>
            <w:proofErr w:type="spellEnd"/>
            <w:r w:rsidRPr="00D62C0D">
              <w:rPr>
                <w:rStyle w:val="SubtleEmphasis"/>
                <w:rFonts w:ascii="Segoe UI" w:hAnsi="Segoe UI" w:cs="Segoe UI"/>
                <w:sz w:val="18"/>
                <w:szCs w:val="18"/>
                <w:lang w:val="en-US"/>
              </w:rPr>
              <w:t xml:space="preserve"> ora for all while focusing on the health system challenges that come with rarity.</w:t>
            </w:r>
          </w:p>
        </w:tc>
        <w:tc>
          <w:tcPr>
            <w:tcW w:w="2835" w:type="dxa"/>
            <w:tcBorders>
              <w:top w:val="nil"/>
            </w:tcBorders>
          </w:tcPr>
          <w:p w14:paraId="3618A1DB" w14:textId="77777777" w:rsidR="00755202" w:rsidRPr="00D62C0D" w:rsidRDefault="00755202" w:rsidP="00A83566">
            <w:pPr>
              <w:pStyle w:val="TableText"/>
              <w:rPr>
                <w:rStyle w:val="Emphasis"/>
                <w:rFonts w:ascii="Segoe UI" w:hAnsi="Segoe UI" w:cs="Segoe UI"/>
                <w:sz w:val="18"/>
                <w:szCs w:val="18"/>
                <w:lang w:val="en-US"/>
              </w:rPr>
            </w:pPr>
            <w:r w:rsidRPr="00D62C0D">
              <w:rPr>
                <w:rStyle w:val="Emphasis"/>
                <w:rFonts w:ascii="Segoe UI" w:hAnsi="Segoe UI" w:cs="Segoe UI"/>
                <w:sz w:val="18"/>
                <w:szCs w:val="18"/>
                <w:lang w:val="en-US"/>
              </w:rPr>
              <w:t>A governance group oversees and monitors implementation of the Strategy including development and monitoring of successive implementation plans. The group:</w:t>
            </w:r>
          </w:p>
          <w:p w14:paraId="6A062E17" w14:textId="77777777" w:rsidR="00755202" w:rsidRPr="00D62C0D" w:rsidRDefault="00755202" w:rsidP="00A83566">
            <w:pPr>
              <w:pStyle w:val="TableBullet"/>
              <w:rPr>
                <w:rStyle w:val="SubtleEmphasis"/>
                <w:rFonts w:ascii="Segoe UI" w:hAnsi="Segoe UI" w:cs="Segoe UI"/>
                <w:sz w:val="18"/>
                <w:szCs w:val="18"/>
                <w:lang w:val="en-US"/>
              </w:rPr>
            </w:pPr>
            <w:r w:rsidRPr="00D62C0D">
              <w:rPr>
                <w:rStyle w:val="SubtleEmphasis"/>
                <w:rFonts w:ascii="Segoe UI" w:hAnsi="Segoe UI" w:cs="Segoe UI"/>
                <w:sz w:val="18"/>
                <w:szCs w:val="18"/>
                <w:lang w:val="en-US"/>
              </w:rPr>
              <w:t>meets formally every six months, chaired by the Ministry of Health Chief Medical Officer</w:t>
            </w:r>
          </w:p>
          <w:p w14:paraId="0A2318E7" w14:textId="77777777" w:rsidR="00755202" w:rsidRPr="00D62C0D" w:rsidRDefault="00755202" w:rsidP="00A83566">
            <w:pPr>
              <w:pStyle w:val="TableBullet"/>
              <w:rPr>
                <w:rFonts w:eastAsia="Aptos"/>
                <w:i/>
                <w:iCs/>
                <w:lang w:val="en-US"/>
              </w:rPr>
            </w:pPr>
            <w:r w:rsidRPr="00D62C0D">
              <w:rPr>
                <w:rStyle w:val="SubtleEmphasis"/>
                <w:rFonts w:ascii="Segoe UI" w:hAnsi="Segoe UI" w:cs="Segoe UI"/>
                <w:sz w:val="18"/>
                <w:szCs w:val="18"/>
                <w:lang w:val="en-US"/>
              </w:rPr>
              <w:t xml:space="preserve">includes representatives of Health New Zealand, </w:t>
            </w:r>
            <w:proofErr w:type="spellStart"/>
            <w:r w:rsidRPr="00D62C0D">
              <w:rPr>
                <w:rStyle w:val="SubtleEmphasis"/>
                <w:rFonts w:ascii="Segoe UI" w:hAnsi="Segoe UI" w:cs="Segoe UI"/>
                <w:sz w:val="18"/>
                <w:szCs w:val="18"/>
                <w:lang w:val="en-US"/>
              </w:rPr>
              <w:t>Pharmac</w:t>
            </w:r>
            <w:proofErr w:type="spellEnd"/>
            <w:r w:rsidRPr="00D62C0D">
              <w:rPr>
                <w:rStyle w:val="SubtleEmphasis"/>
                <w:rFonts w:ascii="Segoe UI" w:hAnsi="Segoe UI" w:cs="Segoe UI"/>
                <w:sz w:val="18"/>
                <w:szCs w:val="18"/>
                <w:lang w:val="en-US"/>
              </w:rPr>
              <w:t>, the Health Quality and Safety Commission and Rare Disorders New Zealand.</w:t>
            </w:r>
            <w:r w:rsidRPr="00D62C0D">
              <w:rPr>
                <w:lang w:val="en-US"/>
              </w:rPr>
              <w:t xml:space="preserve"> </w:t>
            </w:r>
          </w:p>
          <w:p w14:paraId="7F7F02A6" w14:textId="77777777" w:rsidR="00755202" w:rsidRPr="00D62C0D" w:rsidRDefault="00755202" w:rsidP="00A83566">
            <w:pPr>
              <w:pStyle w:val="TableText"/>
              <w:rPr>
                <w:rFonts w:cs="Segoe UI"/>
              </w:rPr>
            </w:pPr>
          </w:p>
          <w:p w14:paraId="46958501" w14:textId="77777777" w:rsidR="00755202" w:rsidRPr="00D62C0D" w:rsidRDefault="00755202" w:rsidP="00A83566">
            <w:pPr>
              <w:pStyle w:val="TableText"/>
              <w:rPr>
                <w:rFonts w:cs="Segoe UI"/>
              </w:rPr>
            </w:pPr>
          </w:p>
        </w:tc>
        <w:tc>
          <w:tcPr>
            <w:tcW w:w="2652" w:type="dxa"/>
            <w:tcBorders>
              <w:top w:val="nil"/>
            </w:tcBorders>
          </w:tcPr>
          <w:p w14:paraId="711C4403" w14:textId="77777777" w:rsidR="00755202" w:rsidRPr="00D62C0D" w:rsidRDefault="00755202" w:rsidP="00A83566">
            <w:pPr>
              <w:pStyle w:val="TableText"/>
              <w:rPr>
                <w:rFonts w:cs="Segoe UI"/>
              </w:rPr>
            </w:pPr>
            <w:r w:rsidRPr="00D62C0D">
              <w:rPr>
                <w:rFonts w:cs="Segoe UI"/>
              </w:rPr>
              <w:t xml:space="preserve">Progress against the plan is published annually by the Ministry of Health, in addition to more detailed reporting by each agency on actions they include in their annual reports and other documents.  </w:t>
            </w:r>
          </w:p>
          <w:p w14:paraId="646A2052" w14:textId="77777777" w:rsidR="00755202" w:rsidRPr="00D62C0D" w:rsidRDefault="00755202" w:rsidP="00A83566">
            <w:pPr>
              <w:pStyle w:val="TableText"/>
              <w:rPr>
                <w:rFonts w:cs="Segoe UI"/>
              </w:rPr>
            </w:pPr>
          </w:p>
        </w:tc>
      </w:tr>
    </w:tbl>
    <w:p w14:paraId="16759A62" w14:textId="77777777" w:rsidR="009F0AA7" w:rsidRDefault="009F0AA7" w:rsidP="00E7387E">
      <w:pPr>
        <w:pStyle w:val="Bullet"/>
        <w:numPr>
          <w:ilvl w:val="0"/>
          <w:numId w:val="0"/>
        </w:numPr>
        <w:ind w:left="284" w:hanging="284"/>
      </w:pPr>
    </w:p>
    <w:p w14:paraId="341C32E8" w14:textId="77777777" w:rsidR="009F0AA7" w:rsidRDefault="009F0AA7" w:rsidP="00E7387E">
      <w:pPr>
        <w:pStyle w:val="Bullet"/>
        <w:numPr>
          <w:ilvl w:val="0"/>
          <w:numId w:val="0"/>
        </w:numPr>
        <w:ind w:left="284" w:hanging="284"/>
        <w:sectPr w:rsidR="009F0AA7" w:rsidSect="00DE6564">
          <w:pgSz w:w="11907" w:h="16834" w:code="9"/>
          <w:pgMar w:top="1418" w:right="1701" w:bottom="1134" w:left="1843" w:header="737" w:footer="425" w:gutter="284"/>
          <w:cols w:space="720"/>
          <w:docGrid w:linePitch="286"/>
        </w:sectPr>
      </w:pPr>
    </w:p>
    <w:p w14:paraId="1E5474F0" w14:textId="61F8F98A" w:rsidR="009F0AA7" w:rsidRDefault="009F0AA7" w:rsidP="009F0AA7"/>
    <w:p w14:paraId="132F5E5F" w14:textId="77777777" w:rsidR="00E677E5" w:rsidRDefault="00E677E5" w:rsidP="00E677E5">
      <w:pPr>
        <w:pStyle w:val="Heading1"/>
        <w:spacing w:before="0"/>
      </w:pPr>
      <w:bookmarkStart w:id="6" w:name="_Toc235526720"/>
      <w:r>
        <w:t>Implementation progress 2024 - 2026</w:t>
      </w:r>
      <w:bookmarkEnd w:id="6"/>
    </w:p>
    <w:p w14:paraId="1B44213B" w14:textId="77777777" w:rsidR="00E677E5" w:rsidRDefault="00E677E5" w:rsidP="00E677E5">
      <w:r>
        <w:t xml:space="preserve">Since the publishing of the Strategy in July 2024, the health system has progressed a series of initiatives to implement the Strategy. The progress, reported below, will increase in visibility with annual reporting under the new joint oversight approach to planning, monitoring and reporting. </w:t>
      </w:r>
    </w:p>
    <w:p w14:paraId="1FBB892F" w14:textId="77777777" w:rsidR="00E677E5" w:rsidRDefault="00E677E5" w:rsidP="00162576">
      <w:pPr>
        <w:pStyle w:val="Heading3"/>
      </w:pPr>
      <w:r>
        <w:t xml:space="preserve">Recognising rare disorders and the voices of people and their whānau living with rare disorders </w:t>
      </w:r>
    </w:p>
    <w:p w14:paraId="788AA51D" w14:textId="75BA646D" w:rsidR="00E677E5" w:rsidRDefault="00E677E5" w:rsidP="00E677E5">
      <w:pPr>
        <w:pStyle w:val="Bullet"/>
      </w:pPr>
      <w:proofErr w:type="spellStart"/>
      <w:r>
        <w:t>Pharmac’s</w:t>
      </w:r>
      <w:proofErr w:type="spellEnd"/>
      <w:r>
        <w:t xml:space="preserve"> establishment of the Consumer and Patient Working Group and the stronger transparency and consuming engagement through the Rare Disorders Advisory Committee</w:t>
      </w:r>
    </w:p>
    <w:p w14:paraId="79ED4FF4" w14:textId="743C8AA2" w:rsidR="00E677E5" w:rsidRDefault="00E677E5" w:rsidP="00E677E5">
      <w:pPr>
        <w:pStyle w:val="Bullet"/>
      </w:pPr>
      <w:proofErr w:type="spellStart"/>
      <w:r>
        <w:t>Pharmac</w:t>
      </w:r>
      <w:proofErr w:type="spellEnd"/>
      <w:r>
        <w:t xml:space="preserve"> updating its definition of ‘rare disorders’ to a medical condition that affects fewer than or equal to 1 in 2,000 people </w:t>
      </w:r>
    </w:p>
    <w:p w14:paraId="20213EC0" w14:textId="6B3AB3A8" w:rsidR="00E677E5" w:rsidRDefault="00E677E5" w:rsidP="00E677E5">
      <w:pPr>
        <w:pStyle w:val="Bullet"/>
      </w:pPr>
      <w:r>
        <w:t>introducing regular and scheduled calls for funding applications for rare disorders medicines aligned with scheduled Rare Disorders Advisory Committee meetings</w:t>
      </w:r>
    </w:p>
    <w:p w14:paraId="36711003" w14:textId="33CEF6ED" w:rsidR="00E677E5" w:rsidRDefault="00E677E5" w:rsidP="00E677E5">
      <w:pPr>
        <w:pStyle w:val="Bullet"/>
      </w:pPr>
      <w:r>
        <w:t xml:space="preserve">increasing transparency through routinely publishing agendas for Rare Disorders Advisory Committee meetings on </w:t>
      </w:r>
      <w:proofErr w:type="spellStart"/>
      <w:r>
        <w:t>Pharmac’s</w:t>
      </w:r>
      <w:proofErr w:type="spellEnd"/>
      <w:r>
        <w:t xml:space="preserve"> website</w:t>
      </w:r>
    </w:p>
    <w:p w14:paraId="2A8008C6" w14:textId="2AD36D33" w:rsidR="00E677E5" w:rsidRDefault="00E677E5" w:rsidP="00E677E5">
      <w:pPr>
        <w:pStyle w:val="Bullet"/>
      </w:pPr>
      <w:r>
        <w:t>policy development and implementation planning for the National Genomics Operational Strategy has included considering benefits to people with rare disorders</w:t>
      </w:r>
    </w:p>
    <w:p w14:paraId="0CDD6AED" w14:textId="0FEC1EB1" w:rsidR="00E677E5" w:rsidRDefault="00E677E5" w:rsidP="00E677E5">
      <w:pPr>
        <w:pStyle w:val="Bullet"/>
      </w:pPr>
      <w:r>
        <w:t xml:space="preserve">initial steps to establish a Health New Zealand clinical reference group on rare disorders.  </w:t>
      </w:r>
    </w:p>
    <w:p w14:paraId="255BB528" w14:textId="77777777" w:rsidR="00E677E5" w:rsidRDefault="00E677E5" w:rsidP="00162576">
      <w:pPr>
        <w:pStyle w:val="Heading3"/>
      </w:pPr>
      <w:r>
        <w:t xml:space="preserve">Improving diagnostic and primary care services </w:t>
      </w:r>
    </w:p>
    <w:p w14:paraId="4A4175B4" w14:textId="51B52458" w:rsidR="00E677E5" w:rsidRDefault="00E677E5" w:rsidP="00E677E5">
      <w:pPr>
        <w:pStyle w:val="Bullet"/>
        <w:tabs>
          <w:tab w:val="clear" w:pos="284"/>
        </w:tabs>
        <w:ind w:left="426" w:hanging="426"/>
      </w:pPr>
      <w:r>
        <w:t>commencing a two-year Whole Genome Sequencing clinical pilot to deliver faster diagnoses and results to people with rare disorders</w:t>
      </w:r>
    </w:p>
    <w:p w14:paraId="4C4D60BE" w14:textId="1070D81D" w:rsidR="00E677E5" w:rsidRDefault="00E677E5" w:rsidP="00E677E5">
      <w:pPr>
        <w:pStyle w:val="Bullet"/>
        <w:tabs>
          <w:tab w:val="clear" w:pos="284"/>
        </w:tabs>
        <w:ind w:left="426" w:hanging="426"/>
      </w:pPr>
      <w:r>
        <w:t>commencing the Diagnostic Improvement Plan in September 2025 to deliver an additional 74,950 procedures in 12 months (although not designed specifically for people with rare disorders, benefits for this group are likely)</w:t>
      </w:r>
    </w:p>
    <w:p w14:paraId="4F853782" w14:textId="5B3754CF" w:rsidR="00E677E5" w:rsidRDefault="00E677E5" w:rsidP="00E677E5">
      <w:pPr>
        <w:pStyle w:val="Bullet"/>
        <w:tabs>
          <w:tab w:val="clear" w:pos="284"/>
        </w:tabs>
        <w:ind w:left="426" w:hanging="426"/>
      </w:pPr>
      <w:r>
        <w:t>upgrading to diagnostic infrastructure to deliver 32 new and replacement CT, MRI, and SPECT scanners and boost imaging capacity by 6% (although not designed specifically for people with rare disorders, benefits for this group are likely)</w:t>
      </w:r>
    </w:p>
    <w:p w14:paraId="44AF51F0" w14:textId="21454008" w:rsidR="00E677E5" w:rsidRDefault="00E677E5" w:rsidP="00E677E5">
      <w:pPr>
        <w:pStyle w:val="Bullet"/>
        <w:tabs>
          <w:tab w:val="clear" w:pos="284"/>
        </w:tabs>
        <w:ind w:left="426" w:hanging="426"/>
      </w:pPr>
      <w:r>
        <w:t>improving access to medicines by introducing new regulations to support 12-month prescriptions (although not designed specifically for people with rare disorders, benefits for this group are likely).</w:t>
      </w:r>
    </w:p>
    <w:p w14:paraId="14E74A9E" w14:textId="77777777" w:rsidR="00E677E5" w:rsidRDefault="00E677E5" w:rsidP="00162576">
      <w:pPr>
        <w:pStyle w:val="Heading3"/>
      </w:pPr>
      <w:r>
        <w:lastRenderedPageBreak/>
        <w:t>Monitoring and governance initiatives to support the implementation of the plan and the Strategy</w:t>
      </w:r>
    </w:p>
    <w:p w14:paraId="08264E7E" w14:textId="49371E62" w:rsidR="00E677E5" w:rsidRDefault="00E677E5" w:rsidP="00E677E5">
      <w:pPr>
        <w:pStyle w:val="Bullet"/>
      </w:pPr>
      <w:r>
        <w:t>health agencies appointing implementation leads to hold accountability for the development and delivery of implementation actions</w:t>
      </w:r>
    </w:p>
    <w:p w14:paraId="415AA73C" w14:textId="77777777" w:rsidR="00E677E5" w:rsidRDefault="00E677E5" w:rsidP="00E677E5">
      <w:pPr>
        <w:pStyle w:val="Bullet"/>
      </w:pPr>
      <w:r>
        <w:t>health agencies and Rare Disorders New Zealand to meet twice a year commencing in May 2026 to discuss and plan implementation of the Strategy and review progress</w:t>
      </w:r>
    </w:p>
    <w:p w14:paraId="0545D210" w14:textId="77777777" w:rsidR="00E677E5" w:rsidRDefault="00E677E5" w:rsidP="00E677E5">
      <w:pPr>
        <w:pStyle w:val="Bullet"/>
        <w:numPr>
          <w:ilvl w:val="0"/>
          <w:numId w:val="0"/>
        </w:numPr>
        <w:ind w:left="284" w:hanging="284"/>
      </w:pPr>
    </w:p>
    <w:p w14:paraId="0C1A3491" w14:textId="77777777" w:rsidR="00E677E5" w:rsidRDefault="00E677E5" w:rsidP="00E677E5">
      <w:pPr>
        <w:pStyle w:val="Bullet"/>
        <w:numPr>
          <w:ilvl w:val="0"/>
          <w:numId w:val="0"/>
        </w:numPr>
        <w:ind w:left="284" w:hanging="284"/>
      </w:pPr>
    </w:p>
    <w:p w14:paraId="645F4CAE" w14:textId="77777777" w:rsidR="00E677E5" w:rsidRDefault="00E677E5" w:rsidP="00E677E5">
      <w:pPr>
        <w:pStyle w:val="Bullet"/>
        <w:numPr>
          <w:ilvl w:val="0"/>
          <w:numId w:val="0"/>
        </w:numPr>
        <w:ind w:left="284" w:hanging="284"/>
        <w:sectPr w:rsidR="00E677E5" w:rsidSect="00DE6564">
          <w:pgSz w:w="11907" w:h="16834" w:code="9"/>
          <w:pgMar w:top="1418" w:right="1701" w:bottom="1134" w:left="1843" w:header="737" w:footer="425" w:gutter="284"/>
          <w:cols w:space="720"/>
          <w:docGrid w:linePitch="286"/>
        </w:sectPr>
      </w:pPr>
    </w:p>
    <w:p w14:paraId="410C6793" w14:textId="77777777" w:rsidR="00E677E5" w:rsidRDefault="00E677E5" w:rsidP="00E677E5">
      <w:pPr>
        <w:pStyle w:val="Heading1"/>
        <w:spacing w:before="0"/>
      </w:pPr>
      <w:bookmarkStart w:id="7" w:name="_Toc235526721"/>
      <w:r>
        <w:lastRenderedPageBreak/>
        <w:t>Implementation Actions 2026-27</w:t>
      </w:r>
      <w:bookmarkEnd w:id="7"/>
    </w:p>
    <w:p w14:paraId="13EE36E4" w14:textId="77777777" w:rsidR="00E677E5" w:rsidRDefault="00E677E5" w:rsidP="00E677E5">
      <w:r>
        <w:t xml:space="preserve">The implementation actions are detailed below, categorised by their strategy priority area and the most aligned strategy outcome. The plan and its implementation actions will commence on 24 July 2026 and progress over 12 months. </w:t>
      </w:r>
    </w:p>
    <w:p w14:paraId="34BC7D0E" w14:textId="77777777" w:rsidR="00E677E5" w:rsidRDefault="00E677E5" w:rsidP="00411B31">
      <w:pPr>
        <w:pStyle w:val="Heading3"/>
      </w:pPr>
      <w:r>
        <w:t xml:space="preserve">Gearing the system for quality and timely care </w:t>
      </w:r>
    </w:p>
    <w:p w14:paraId="10943485" w14:textId="77777777" w:rsidR="00E677E5" w:rsidRDefault="00E677E5" w:rsidP="00E677E5">
      <w:r>
        <w:t xml:space="preserve">The health system builds towards a system that delivers coordinated, timely and </w:t>
      </w:r>
      <w:proofErr w:type="gramStart"/>
      <w:r>
        <w:t>high quality</w:t>
      </w:r>
      <w:proofErr w:type="gramEnd"/>
      <w:r>
        <w:t xml:space="preserve"> care for people and whānau living with rare disorders, regardless of where they live.</w:t>
      </w:r>
    </w:p>
    <w:p w14:paraId="43774E8A" w14:textId="77777777" w:rsidR="00E677E5" w:rsidRDefault="00E677E5" w:rsidP="00E677E5"/>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5995"/>
        <w:gridCol w:w="1015"/>
        <w:gridCol w:w="1212"/>
      </w:tblGrid>
      <w:tr w:rsidR="00E677E5" w:rsidRPr="00E677E5" w14:paraId="63A271F7" w14:textId="77777777" w:rsidTr="00411B31">
        <w:trPr>
          <w:tblHeader/>
        </w:trPr>
        <w:tc>
          <w:tcPr>
            <w:tcW w:w="6096" w:type="dxa"/>
            <w:tcBorders>
              <w:top w:val="nil"/>
              <w:bottom w:val="nil"/>
            </w:tcBorders>
            <w:shd w:val="clear" w:color="auto" w:fill="D9D9D9" w:themeFill="background1" w:themeFillShade="D9"/>
            <w:hideMark/>
          </w:tcPr>
          <w:p w14:paraId="2E4B7DFD" w14:textId="77777777" w:rsidR="00E677E5" w:rsidRPr="00E677E5" w:rsidRDefault="00E677E5" w:rsidP="00E677E5">
            <w:pPr>
              <w:rPr>
                <w:b/>
                <w:bCs/>
                <w:lang w:val="en-US"/>
              </w:rPr>
            </w:pPr>
            <w:r w:rsidRPr="00E677E5">
              <w:rPr>
                <w:b/>
                <w:bCs/>
                <w:lang w:val="en-US"/>
              </w:rPr>
              <w:t xml:space="preserve">Actions </w:t>
            </w:r>
          </w:p>
        </w:tc>
        <w:tc>
          <w:tcPr>
            <w:tcW w:w="1018" w:type="dxa"/>
            <w:tcBorders>
              <w:top w:val="nil"/>
              <w:bottom w:val="nil"/>
            </w:tcBorders>
            <w:shd w:val="clear" w:color="auto" w:fill="D9D9D9" w:themeFill="background1" w:themeFillShade="D9"/>
            <w:hideMark/>
          </w:tcPr>
          <w:p w14:paraId="212D2868" w14:textId="77777777" w:rsidR="00E677E5" w:rsidRPr="00E677E5" w:rsidRDefault="00E677E5" w:rsidP="00E677E5">
            <w:pPr>
              <w:rPr>
                <w:b/>
                <w:bCs/>
                <w:lang w:val="en-US"/>
              </w:rPr>
            </w:pPr>
            <w:r w:rsidRPr="00E677E5">
              <w:rPr>
                <w:b/>
                <w:bCs/>
                <w:lang w:val="en-US"/>
              </w:rPr>
              <w:t>Lead</w:t>
            </w:r>
          </w:p>
        </w:tc>
        <w:tc>
          <w:tcPr>
            <w:tcW w:w="1108" w:type="dxa"/>
            <w:tcBorders>
              <w:top w:val="nil"/>
              <w:bottom w:val="nil"/>
            </w:tcBorders>
            <w:shd w:val="clear" w:color="auto" w:fill="D9D9D9" w:themeFill="background1" w:themeFillShade="D9"/>
            <w:hideMark/>
          </w:tcPr>
          <w:p w14:paraId="5C73DAEC" w14:textId="77777777" w:rsidR="00E677E5" w:rsidRPr="00E677E5" w:rsidRDefault="00E677E5" w:rsidP="00E677E5">
            <w:pPr>
              <w:rPr>
                <w:b/>
                <w:bCs/>
                <w:lang w:val="en-US"/>
              </w:rPr>
            </w:pPr>
            <w:r w:rsidRPr="00E677E5">
              <w:rPr>
                <w:b/>
                <w:bCs/>
                <w:lang w:val="en-US"/>
              </w:rPr>
              <w:t>Outcomes</w:t>
            </w:r>
          </w:p>
        </w:tc>
      </w:tr>
      <w:tr w:rsidR="00E677E5" w:rsidRPr="00E677E5" w14:paraId="50389A98" w14:textId="77777777" w:rsidTr="00411B31">
        <w:trPr>
          <w:trHeight w:val="2424"/>
        </w:trPr>
        <w:tc>
          <w:tcPr>
            <w:tcW w:w="6096" w:type="dxa"/>
            <w:tcBorders>
              <w:top w:val="nil"/>
            </w:tcBorders>
            <w:vAlign w:val="center"/>
            <w:hideMark/>
          </w:tcPr>
          <w:p w14:paraId="69FAEF96" w14:textId="77777777" w:rsidR="00E677E5" w:rsidRPr="00E677E5" w:rsidRDefault="00E677E5" w:rsidP="00E677E5">
            <w:pPr>
              <w:pStyle w:val="TableBullet"/>
              <w:rPr>
                <w:lang w:val="en-US"/>
              </w:rPr>
            </w:pPr>
            <w:r w:rsidRPr="00E677E5">
              <w:rPr>
                <w:lang w:val="en-US"/>
              </w:rPr>
              <w:t xml:space="preserve">Health New Zealand will establish its Rare Disorders Clinical Reference Group to identify Health NZ initiatives and areas of clinical improvements with Rare Disorders NZ. Milestone steps include: </w:t>
            </w:r>
          </w:p>
          <w:p w14:paraId="5AC64C0B" w14:textId="77777777" w:rsidR="00E677E5" w:rsidRPr="00E677E5" w:rsidRDefault="00E677E5" w:rsidP="00E677E5">
            <w:pPr>
              <w:pStyle w:val="TableDash"/>
              <w:rPr>
                <w:lang w:val="en-US"/>
              </w:rPr>
            </w:pPr>
            <w:r w:rsidRPr="00E677E5">
              <w:rPr>
                <w:lang w:val="en-US"/>
              </w:rPr>
              <w:t>Health NZ will consult with Rare Disorders New Zealand on roles and functions by July 2026.</w:t>
            </w:r>
          </w:p>
          <w:p w14:paraId="04603A2F" w14:textId="77777777" w:rsidR="00E677E5" w:rsidRPr="00E677E5" w:rsidRDefault="00E677E5" w:rsidP="00E677E5">
            <w:pPr>
              <w:pStyle w:val="TableDash"/>
              <w:rPr>
                <w:lang w:val="en-US"/>
              </w:rPr>
            </w:pPr>
            <w:r w:rsidRPr="00E677E5">
              <w:rPr>
                <w:lang w:val="en-US"/>
              </w:rPr>
              <w:t>Recruit and establish an advisory panel of clinical experts with a supporting Terms of Reference by October 2026.</w:t>
            </w:r>
          </w:p>
          <w:p w14:paraId="7AA4DE09" w14:textId="77777777" w:rsidR="00E677E5" w:rsidRPr="00E677E5" w:rsidRDefault="00E677E5" w:rsidP="00E677E5">
            <w:pPr>
              <w:pStyle w:val="TableDash"/>
              <w:rPr>
                <w:lang w:val="en-US"/>
              </w:rPr>
            </w:pPr>
            <w:r w:rsidRPr="00E677E5">
              <w:rPr>
                <w:lang w:val="en-US"/>
              </w:rPr>
              <w:t>Engage with Rare Disorders New Zealand for areas of clinical improvement through periodic meetings (ongoing).</w:t>
            </w:r>
          </w:p>
        </w:tc>
        <w:tc>
          <w:tcPr>
            <w:tcW w:w="1018" w:type="dxa"/>
            <w:tcBorders>
              <w:top w:val="nil"/>
            </w:tcBorders>
            <w:vAlign w:val="center"/>
            <w:hideMark/>
          </w:tcPr>
          <w:p w14:paraId="21E6EB9E" w14:textId="77777777" w:rsidR="00E677E5" w:rsidRPr="00E677E5" w:rsidRDefault="00E677E5" w:rsidP="00E677E5">
            <w:pPr>
              <w:pStyle w:val="TableText"/>
              <w:rPr>
                <w:lang w:val="en-US"/>
              </w:rPr>
            </w:pPr>
            <w:r w:rsidRPr="00E677E5">
              <w:rPr>
                <w:lang w:val="en-US"/>
              </w:rPr>
              <w:t>HNZ</w:t>
            </w:r>
          </w:p>
        </w:tc>
        <w:tc>
          <w:tcPr>
            <w:tcW w:w="1108" w:type="dxa"/>
            <w:tcBorders>
              <w:top w:val="nil"/>
            </w:tcBorders>
            <w:vAlign w:val="center"/>
            <w:hideMark/>
          </w:tcPr>
          <w:p w14:paraId="32E9D90D" w14:textId="77777777" w:rsidR="00E677E5" w:rsidRPr="00E677E5" w:rsidRDefault="00E677E5" w:rsidP="00E677E5">
            <w:pPr>
              <w:pStyle w:val="TableText"/>
              <w:rPr>
                <w:lang w:val="en-US"/>
              </w:rPr>
            </w:pPr>
            <w:r w:rsidRPr="00E677E5">
              <w:rPr>
                <w:lang w:val="en-US"/>
              </w:rPr>
              <w:t>Responsive system</w:t>
            </w:r>
          </w:p>
        </w:tc>
      </w:tr>
      <w:tr w:rsidR="00E677E5" w:rsidRPr="00E677E5" w14:paraId="4B2BD8E3" w14:textId="77777777" w:rsidTr="00411B31">
        <w:trPr>
          <w:trHeight w:val="1199"/>
        </w:trPr>
        <w:tc>
          <w:tcPr>
            <w:tcW w:w="6096" w:type="dxa"/>
            <w:vAlign w:val="center"/>
            <w:hideMark/>
          </w:tcPr>
          <w:p w14:paraId="268F8F03" w14:textId="77777777" w:rsidR="00E677E5" w:rsidRPr="00E677E5" w:rsidRDefault="00E677E5" w:rsidP="00E677E5">
            <w:pPr>
              <w:pStyle w:val="TableBullet"/>
              <w:rPr>
                <w:lang w:val="en-US"/>
              </w:rPr>
            </w:pPr>
            <w:r w:rsidRPr="00E677E5">
              <w:rPr>
                <w:lang w:val="en-US"/>
              </w:rPr>
              <w:t xml:space="preserve">Health NZ will continue with the delivery of its two-year clinical pilot of Whole Genome Sequencing of patients with rare diseases. </w:t>
            </w:r>
          </w:p>
          <w:p w14:paraId="6C6E3F1A" w14:textId="77777777" w:rsidR="00E677E5" w:rsidRPr="00E677E5" w:rsidRDefault="00E677E5" w:rsidP="00E677E5">
            <w:pPr>
              <w:pStyle w:val="TableBullet"/>
              <w:rPr>
                <w:lang w:val="en-US"/>
              </w:rPr>
            </w:pPr>
            <w:r w:rsidRPr="00E677E5">
              <w:rPr>
                <w:lang w:val="en-US"/>
              </w:rPr>
              <w:t xml:space="preserve">Health NZ will complete the delivery of its Diagnostic improvement </w:t>
            </w:r>
            <w:proofErr w:type="spellStart"/>
            <w:r w:rsidRPr="00E677E5">
              <w:rPr>
                <w:lang w:val="en-US"/>
              </w:rPr>
              <w:t>programme</w:t>
            </w:r>
            <w:proofErr w:type="spellEnd"/>
            <w:r w:rsidRPr="00E677E5">
              <w:rPr>
                <w:lang w:val="en-US"/>
              </w:rPr>
              <w:t xml:space="preserve"> 30 June 2026 and integrate improvements into BAU.</w:t>
            </w:r>
          </w:p>
        </w:tc>
        <w:tc>
          <w:tcPr>
            <w:tcW w:w="1018" w:type="dxa"/>
            <w:vAlign w:val="center"/>
            <w:hideMark/>
          </w:tcPr>
          <w:p w14:paraId="5C77C08E" w14:textId="77777777" w:rsidR="00E677E5" w:rsidRPr="00E677E5" w:rsidRDefault="00E677E5" w:rsidP="00E677E5">
            <w:pPr>
              <w:pStyle w:val="TableText"/>
              <w:rPr>
                <w:lang w:val="en-US"/>
              </w:rPr>
            </w:pPr>
            <w:r w:rsidRPr="00E677E5">
              <w:rPr>
                <w:lang w:val="en-US"/>
              </w:rPr>
              <w:t>HNZ</w:t>
            </w:r>
          </w:p>
        </w:tc>
        <w:tc>
          <w:tcPr>
            <w:tcW w:w="1108" w:type="dxa"/>
            <w:vAlign w:val="center"/>
            <w:hideMark/>
          </w:tcPr>
          <w:p w14:paraId="7922E804" w14:textId="77777777" w:rsidR="00E677E5" w:rsidRPr="00E677E5" w:rsidRDefault="00E677E5" w:rsidP="00E677E5">
            <w:pPr>
              <w:pStyle w:val="TableText"/>
              <w:rPr>
                <w:lang w:val="en-US"/>
              </w:rPr>
            </w:pPr>
            <w:r w:rsidRPr="00E677E5">
              <w:rPr>
                <w:lang w:val="en-US"/>
              </w:rPr>
              <w:t>Quality of life</w:t>
            </w:r>
          </w:p>
        </w:tc>
      </w:tr>
      <w:tr w:rsidR="00E677E5" w:rsidRPr="00E677E5" w14:paraId="09F80BE0" w14:textId="77777777" w:rsidTr="00411B31">
        <w:trPr>
          <w:trHeight w:val="1642"/>
        </w:trPr>
        <w:tc>
          <w:tcPr>
            <w:tcW w:w="6096" w:type="dxa"/>
            <w:vAlign w:val="center"/>
            <w:hideMark/>
          </w:tcPr>
          <w:p w14:paraId="6C2C6AFB" w14:textId="77777777" w:rsidR="00E677E5" w:rsidRPr="00E677E5" w:rsidRDefault="00E677E5" w:rsidP="00E677E5">
            <w:pPr>
              <w:pStyle w:val="TableBullet"/>
              <w:rPr>
                <w:lang w:val="en-US"/>
              </w:rPr>
            </w:pPr>
            <w:r w:rsidRPr="00E677E5">
              <w:rPr>
                <w:lang w:val="en-US"/>
              </w:rPr>
              <w:t>Health NZ will continue development of a National Clinical Network for Radiology workplan that considers the Strategy outcomes and inclusion of rare disorders.</w:t>
            </w:r>
          </w:p>
          <w:p w14:paraId="7F111C4F" w14:textId="77777777" w:rsidR="00E677E5" w:rsidRPr="00E677E5" w:rsidRDefault="00E677E5" w:rsidP="00E677E5">
            <w:pPr>
              <w:pStyle w:val="TableBullet"/>
              <w:rPr>
                <w:lang w:val="en-US"/>
              </w:rPr>
            </w:pPr>
            <w:r w:rsidRPr="00E677E5">
              <w:rPr>
                <w:lang w:val="en-US"/>
              </w:rPr>
              <w:t>Health agencies consider rare disorders and the Strategy in the planning, policy and delivery related to genetic and genomic testing services.</w:t>
            </w:r>
          </w:p>
        </w:tc>
        <w:tc>
          <w:tcPr>
            <w:tcW w:w="1018" w:type="dxa"/>
            <w:vAlign w:val="center"/>
            <w:hideMark/>
          </w:tcPr>
          <w:p w14:paraId="4E781017" w14:textId="77777777" w:rsidR="00E677E5" w:rsidRPr="00E677E5" w:rsidRDefault="00E677E5" w:rsidP="00E677E5">
            <w:pPr>
              <w:pStyle w:val="TableText"/>
              <w:rPr>
                <w:lang w:val="en-US"/>
              </w:rPr>
            </w:pPr>
            <w:r w:rsidRPr="00E677E5">
              <w:rPr>
                <w:lang w:val="en-US"/>
              </w:rPr>
              <w:t>HNZ</w:t>
            </w:r>
          </w:p>
        </w:tc>
        <w:tc>
          <w:tcPr>
            <w:tcW w:w="1108" w:type="dxa"/>
            <w:vAlign w:val="center"/>
            <w:hideMark/>
          </w:tcPr>
          <w:p w14:paraId="6F0E12E7" w14:textId="77777777" w:rsidR="00E677E5" w:rsidRPr="00E677E5" w:rsidRDefault="00E677E5" w:rsidP="00E677E5">
            <w:pPr>
              <w:pStyle w:val="TableText"/>
              <w:rPr>
                <w:lang w:val="en-US"/>
              </w:rPr>
            </w:pPr>
            <w:r w:rsidRPr="00E677E5">
              <w:rPr>
                <w:lang w:val="en-US"/>
              </w:rPr>
              <w:t>Responsive system</w:t>
            </w:r>
          </w:p>
        </w:tc>
      </w:tr>
      <w:tr w:rsidR="00E677E5" w:rsidRPr="00E677E5" w14:paraId="7FC44C61" w14:textId="77777777" w:rsidTr="00411B31">
        <w:tc>
          <w:tcPr>
            <w:tcW w:w="6096" w:type="dxa"/>
            <w:vAlign w:val="center"/>
            <w:hideMark/>
          </w:tcPr>
          <w:p w14:paraId="0BEC4FD8" w14:textId="77777777" w:rsidR="00E677E5" w:rsidRPr="00E677E5" w:rsidRDefault="00E677E5" w:rsidP="00F66ACC">
            <w:pPr>
              <w:pStyle w:val="TableBullet"/>
              <w:rPr>
                <w:lang w:val="en-US"/>
              </w:rPr>
            </w:pPr>
            <w:proofErr w:type="spellStart"/>
            <w:r w:rsidRPr="00E677E5">
              <w:rPr>
                <w:lang w:val="en-US"/>
              </w:rPr>
              <w:t>Pharmac</w:t>
            </w:r>
            <w:proofErr w:type="spellEnd"/>
            <w:r w:rsidRPr="00E677E5">
              <w:rPr>
                <w:lang w:val="en-US"/>
              </w:rPr>
              <w:t xml:space="preserve"> will complete its review of the Exceptional Circumstances Framework. This includes the Named Patient Pharmaceutical Assessment (NPPA) policy and other ways </w:t>
            </w:r>
            <w:proofErr w:type="spellStart"/>
            <w:r w:rsidRPr="00E677E5">
              <w:rPr>
                <w:lang w:val="en-US"/>
              </w:rPr>
              <w:t>Pharmac</w:t>
            </w:r>
            <w:proofErr w:type="spellEnd"/>
            <w:r w:rsidRPr="00E677E5">
              <w:rPr>
                <w:lang w:val="en-US"/>
              </w:rPr>
              <w:t xml:space="preserve"> can fund medicines for individuals in special or exceptional clinical situations.</w:t>
            </w:r>
          </w:p>
          <w:p w14:paraId="03BFBF2E" w14:textId="77777777" w:rsidR="00E677E5" w:rsidRPr="00E677E5" w:rsidRDefault="00E677E5" w:rsidP="00F66ACC">
            <w:pPr>
              <w:pStyle w:val="TableBullet"/>
              <w:rPr>
                <w:lang w:val="en-US"/>
              </w:rPr>
            </w:pPr>
            <w:r w:rsidRPr="00E677E5">
              <w:rPr>
                <w:lang w:val="en-US"/>
              </w:rPr>
              <w:t xml:space="preserve">The Framework </w:t>
            </w:r>
            <w:proofErr w:type="spellStart"/>
            <w:r w:rsidRPr="00E677E5">
              <w:rPr>
                <w:lang w:val="en-US"/>
              </w:rPr>
              <w:t>recognises</w:t>
            </w:r>
            <w:proofErr w:type="spellEnd"/>
            <w:r w:rsidRPr="00E677E5">
              <w:rPr>
                <w:lang w:val="en-US"/>
              </w:rPr>
              <w:t xml:space="preserve"> that different funding pathways serve different purposes. The Schedule process supports access for population groups, while other pathways exist to respond to exceptional situations. Together, these processes are designed to work alongside each other so that people can achieve the best possible health outcomes.</w:t>
            </w:r>
          </w:p>
          <w:p w14:paraId="6E15F38B" w14:textId="77777777" w:rsidR="00E677E5" w:rsidRPr="00E677E5" w:rsidRDefault="00E677E5" w:rsidP="00F66ACC">
            <w:pPr>
              <w:pStyle w:val="TableBullet"/>
              <w:rPr>
                <w:lang w:val="en-US"/>
              </w:rPr>
            </w:pPr>
            <w:r w:rsidRPr="00E677E5">
              <w:rPr>
                <w:lang w:val="en-US"/>
              </w:rPr>
              <w:lastRenderedPageBreak/>
              <w:t xml:space="preserve">The Framework includes the NPPA Policy for people with exceptional clinical circumstances, Special Authority waivers for people who broadly meet the intent of funded criteria but cannot meet every requirement, and other processes that allow </w:t>
            </w:r>
            <w:proofErr w:type="spellStart"/>
            <w:r w:rsidRPr="00E677E5">
              <w:rPr>
                <w:lang w:val="en-US"/>
              </w:rPr>
              <w:t>Pharmac</w:t>
            </w:r>
            <w:proofErr w:type="spellEnd"/>
            <w:r w:rsidRPr="00E677E5">
              <w:rPr>
                <w:lang w:val="en-US"/>
              </w:rPr>
              <w:t xml:space="preserve"> to consider unique or exceptional situations. These pathways aim to provide flexibility and clarity for people and their clinicians when standard funding rules do not apply.</w:t>
            </w:r>
          </w:p>
          <w:p w14:paraId="5B2CFF4D" w14:textId="77777777" w:rsidR="00E677E5" w:rsidRPr="00E677E5" w:rsidRDefault="00E677E5" w:rsidP="00F66ACC">
            <w:pPr>
              <w:pStyle w:val="TableBullet"/>
              <w:rPr>
                <w:lang w:val="en-US"/>
              </w:rPr>
            </w:pPr>
            <w:r w:rsidRPr="00E677E5">
              <w:rPr>
                <w:lang w:val="en-US"/>
              </w:rPr>
              <w:t>The review will look at how the current Framework, including all the funding pathways, is working in practice and where improvements are needed. It will look at what is working well and what could be changed, removed or added, to make things better.</w:t>
            </w:r>
          </w:p>
          <w:p w14:paraId="684B04B6" w14:textId="77777777" w:rsidR="00E677E5" w:rsidRPr="00E677E5" w:rsidRDefault="00E677E5" w:rsidP="00F66ACC">
            <w:pPr>
              <w:pStyle w:val="TableBullet"/>
              <w:rPr>
                <w:lang w:val="en-US"/>
              </w:rPr>
            </w:pPr>
            <w:proofErr w:type="gramStart"/>
            <w:r w:rsidRPr="00E677E5">
              <w:rPr>
                <w:lang w:val="en-US"/>
              </w:rPr>
              <w:t>Funding of</w:t>
            </w:r>
            <w:proofErr w:type="gramEnd"/>
            <w:r w:rsidRPr="00E677E5">
              <w:rPr>
                <w:lang w:val="en-US"/>
              </w:rPr>
              <w:t xml:space="preserve"> medicines to treat rare disorders is in scope for this review. At present, there is no specific pathway under the Exceptional Circumstances Framework for funding medicines for rare disorders.</w:t>
            </w:r>
          </w:p>
          <w:p w14:paraId="2100AEDC" w14:textId="77777777" w:rsidR="00E677E5" w:rsidRPr="00E677E5" w:rsidRDefault="00E677E5" w:rsidP="00F66ACC">
            <w:pPr>
              <w:pStyle w:val="TableBullet"/>
              <w:rPr>
                <w:lang w:val="en-US"/>
              </w:rPr>
            </w:pPr>
            <w:r w:rsidRPr="00E677E5">
              <w:rPr>
                <w:lang w:val="en-US"/>
              </w:rPr>
              <w:t>Milestone steps include:</w:t>
            </w:r>
          </w:p>
          <w:p w14:paraId="3240E140" w14:textId="77777777" w:rsidR="00E677E5" w:rsidRPr="00E677E5" w:rsidRDefault="00E677E5" w:rsidP="00F66ACC">
            <w:pPr>
              <w:pStyle w:val="TableDash"/>
              <w:rPr>
                <w:lang w:val="en-US"/>
              </w:rPr>
            </w:pPr>
            <w:r w:rsidRPr="00E677E5">
              <w:rPr>
                <w:lang w:val="en-US"/>
              </w:rPr>
              <w:t xml:space="preserve">public consultation on discussion </w:t>
            </w:r>
            <w:proofErr w:type="gramStart"/>
            <w:r w:rsidRPr="00E677E5">
              <w:rPr>
                <w:lang w:val="en-US"/>
              </w:rPr>
              <w:t>document</w:t>
            </w:r>
            <w:proofErr w:type="gramEnd"/>
          </w:p>
          <w:p w14:paraId="7E0E17FB" w14:textId="77777777" w:rsidR="00E677E5" w:rsidRPr="00E677E5" w:rsidRDefault="00E677E5" w:rsidP="00F66ACC">
            <w:pPr>
              <w:pStyle w:val="TableDash"/>
              <w:rPr>
                <w:lang w:val="en-US"/>
              </w:rPr>
            </w:pPr>
            <w:r w:rsidRPr="00E677E5">
              <w:rPr>
                <w:lang w:val="en-US"/>
              </w:rPr>
              <w:t>public consultation on proposed changes</w:t>
            </w:r>
          </w:p>
          <w:p w14:paraId="7DBB002D" w14:textId="77777777" w:rsidR="00E677E5" w:rsidRPr="00E677E5" w:rsidRDefault="00E677E5" w:rsidP="00F66ACC">
            <w:pPr>
              <w:pStyle w:val="TableDash"/>
              <w:rPr>
                <w:lang w:val="en-US"/>
              </w:rPr>
            </w:pPr>
            <w:r w:rsidRPr="00E677E5">
              <w:rPr>
                <w:lang w:val="en-US"/>
              </w:rPr>
              <w:t xml:space="preserve">publish final decision on review of changes. </w:t>
            </w:r>
          </w:p>
        </w:tc>
        <w:tc>
          <w:tcPr>
            <w:tcW w:w="1018" w:type="dxa"/>
            <w:vAlign w:val="center"/>
            <w:hideMark/>
          </w:tcPr>
          <w:p w14:paraId="0A02B244" w14:textId="77777777" w:rsidR="00E677E5" w:rsidRPr="00E677E5" w:rsidRDefault="00E677E5" w:rsidP="00F66ACC">
            <w:pPr>
              <w:pStyle w:val="TableText"/>
              <w:rPr>
                <w:lang w:val="en-US"/>
              </w:rPr>
            </w:pPr>
            <w:proofErr w:type="spellStart"/>
            <w:r w:rsidRPr="00E677E5">
              <w:rPr>
                <w:lang w:val="en-US"/>
              </w:rPr>
              <w:lastRenderedPageBreak/>
              <w:t>Pharmac</w:t>
            </w:r>
            <w:proofErr w:type="spellEnd"/>
          </w:p>
        </w:tc>
        <w:tc>
          <w:tcPr>
            <w:tcW w:w="1108" w:type="dxa"/>
            <w:vAlign w:val="center"/>
            <w:hideMark/>
          </w:tcPr>
          <w:p w14:paraId="247D8E2E" w14:textId="77777777" w:rsidR="00E677E5" w:rsidRPr="00E677E5" w:rsidRDefault="00E677E5" w:rsidP="00F66ACC">
            <w:pPr>
              <w:pStyle w:val="TableText"/>
              <w:rPr>
                <w:lang w:val="en-US"/>
              </w:rPr>
            </w:pPr>
            <w:r w:rsidRPr="00E677E5">
              <w:rPr>
                <w:lang w:val="en-US"/>
              </w:rPr>
              <w:t>Considers need</w:t>
            </w:r>
          </w:p>
        </w:tc>
      </w:tr>
      <w:tr w:rsidR="00E677E5" w:rsidRPr="00E677E5" w14:paraId="12BDE08D" w14:textId="77777777" w:rsidTr="00411B31">
        <w:trPr>
          <w:trHeight w:val="20"/>
        </w:trPr>
        <w:tc>
          <w:tcPr>
            <w:tcW w:w="6096" w:type="dxa"/>
            <w:vAlign w:val="center"/>
            <w:hideMark/>
          </w:tcPr>
          <w:p w14:paraId="28B324FE" w14:textId="77777777" w:rsidR="00E677E5" w:rsidRPr="00E677E5" w:rsidRDefault="00E677E5" w:rsidP="00E677E5">
            <w:pPr>
              <w:pStyle w:val="TableBullet"/>
              <w:rPr>
                <w:lang w:val="en-US"/>
              </w:rPr>
            </w:pPr>
            <w:proofErr w:type="spellStart"/>
            <w:r w:rsidRPr="00E677E5">
              <w:rPr>
                <w:lang w:val="en-US"/>
              </w:rPr>
              <w:t>Pharmac</w:t>
            </w:r>
            <w:proofErr w:type="spellEnd"/>
            <w:r w:rsidRPr="00E677E5">
              <w:rPr>
                <w:lang w:val="en-US"/>
              </w:rPr>
              <w:t xml:space="preserve"> continues its annual invitation for applications of new rare disorders medicines.</w:t>
            </w:r>
          </w:p>
          <w:p w14:paraId="7B9EF292" w14:textId="77777777" w:rsidR="00E677E5" w:rsidRPr="00E677E5" w:rsidRDefault="00E677E5" w:rsidP="00E677E5">
            <w:pPr>
              <w:pStyle w:val="TableBullet"/>
              <w:rPr>
                <w:lang w:val="en-US"/>
              </w:rPr>
            </w:pPr>
            <w:proofErr w:type="spellStart"/>
            <w:r w:rsidRPr="00E677E5">
              <w:rPr>
                <w:lang w:val="en-US"/>
              </w:rPr>
              <w:t>Pharmac</w:t>
            </w:r>
            <w:proofErr w:type="spellEnd"/>
            <w:r w:rsidRPr="00E677E5">
              <w:rPr>
                <w:lang w:val="en-US"/>
              </w:rPr>
              <w:t xml:space="preserve"> is always looking for new rare </w:t>
            </w:r>
            <w:proofErr w:type="gramStart"/>
            <w:r w:rsidRPr="00E677E5">
              <w:rPr>
                <w:lang w:val="en-US"/>
              </w:rPr>
              <w:t>disorders</w:t>
            </w:r>
            <w:proofErr w:type="gramEnd"/>
            <w:r w:rsidRPr="00E677E5">
              <w:rPr>
                <w:lang w:val="en-US"/>
              </w:rPr>
              <w:t xml:space="preserve"> medicines. As we learn of new information, we may approach suppliers or clinicians and encourage them to submit a funding application. On occasion we may start a funding application ourselves.</w:t>
            </w:r>
          </w:p>
          <w:p w14:paraId="1BCCC420" w14:textId="77777777" w:rsidR="00E677E5" w:rsidRPr="00E677E5" w:rsidRDefault="00E677E5" w:rsidP="00E677E5">
            <w:pPr>
              <w:pStyle w:val="TableBullet"/>
              <w:rPr>
                <w:lang w:val="en-US"/>
              </w:rPr>
            </w:pPr>
            <w:r w:rsidRPr="00E677E5">
              <w:rPr>
                <w:lang w:val="en-US"/>
              </w:rPr>
              <w:t>Our clinical advisers also stay up to date with the latest medicines on the market or in clinical trials through their professional practice.</w:t>
            </w:r>
          </w:p>
        </w:tc>
        <w:tc>
          <w:tcPr>
            <w:tcW w:w="1018" w:type="dxa"/>
            <w:vAlign w:val="center"/>
            <w:hideMark/>
          </w:tcPr>
          <w:p w14:paraId="198CC77C" w14:textId="77777777" w:rsidR="00E677E5" w:rsidRPr="00E677E5" w:rsidRDefault="00E677E5" w:rsidP="00E677E5">
            <w:pPr>
              <w:pStyle w:val="TableText"/>
              <w:rPr>
                <w:lang w:val="en-US"/>
              </w:rPr>
            </w:pPr>
            <w:proofErr w:type="spellStart"/>
            <w:r w:rsidRPr="00E677E5">
              <w:rPr>
                <w:lang w:val="en-US"/>
              </w:rPr>
              <w:t>Pharmac</w:t>
            </w:r>
            <w:proofErr w:type="spellEnd"/>
          </w:p>
        </w:tc>
        <w:tc>
          <w:tcPr>
            <w:tcW w:w="1108" w:type="dxa"/>
            <w:vAlign w:val="center"/>
            <w:hideMark/>
          </w:tcPr>
          <w:p w14:paraId="48CD9AF1" w14:textId="77777777" w:rsidR="00E677E5" w:rsidRPr="00E677E5" w:rsidRDefault="00E677E5" w:rsidP="00E677E5">
            <w:pPr>
              <w:pStyle w:val="TableText"/>
              <w:rPr>
                <w:lang w:val="en-US"/>
              </w:rPr>
            </w:pPr>
            <w:r w:rsidRPr="00E677E5">
              <w:rPr>
                <w:lang w:val="en-US"/>
              </w:rPr>
              <w:t>Quality of life</w:t>
            </w:r>
          </w:p>
        </w:tc>
      </w:tr>
      <w:tr w:rsidR="00E677E5" w:rsidRPr="00E677E5" w14:paraId="06A3CFCD" w14:textId="77777777" w:rsidTr="00411B31">
        <w:trPr>
          <w:trHeight w:val="20"/>
        </w:trPr>
        <w:tc>
          <w:tcPr>
            <w:tcW w:w="6096" w:type="dxa"/>
            <w:vAlign w:val="center"/>
            <w:hideMark/>
          </w:tcPr>
          <w:p w14:paraId="195C4243" w14:textId="77777777" w:rsidR="00E677E5" w:rsidRPr="00E677E5" w:rsidRDefault="00E677E5" w:rsidP="00E677E5">
            <w:pPr>
              <w:pStyle w:val="TableBullet"/>
              <w:rPr>
                <w:lang w:val="en-US"/>
              </w:rPr>
            </w:pPr>
            <w:r w:rsidRPr="00E677E5">
              <w:rPr>
                <w:lang w:val="en-US"/>
              </w:rPr>
              <w:t xml:space="preserve">The Ministry will hold a cross-agency forum with </w:t>
            </w:r>
            <w:proofErr w:type="spellStart"/>
            <w:r w:rsidRPr="00E677E5">
              <w:rPr>
                <w:lang w:val="en-US"/>
              </w:rPr>
              <w:t>Pharmac</w:t>
            </w:r>
            <w:proofErr w:type="spellEnd"/>
            <w:r w:rsidRPr="00E677E5">
              <w:rPr>
                <w:lang w:val="en-US"/>
              </w:rPr>
              <w:t>, Health New Zealand, HQSC and Rare Disorders New Zealand every six months. This will give stakeholders a formal opportunity to contribute to the implementation plan and to respond to new issues that occur during monitoring and evaluation of implementation.</w:t>
            </w:r>
          </w:p>
        </w:tc>
        <w:tc>
          <w:tcPr>
            <w:tcW w:w="1018" w:type="dxa"/>
            <w:vAlign w:val="center"/>
            <w:hideMark/>
          </w:tcPr>
          <w:p w14:paraId="0366D14C" w14:textId="77777777" w:rsidR="00E677E5" w:rsidRPr="00E677E5" w:rsidRDefault="00E677E5" w:rsidP="00E677E5">
            <w:pPr>
              <w:pStyle w:val="TableText"/>
              <w:rPr>
                <w:lang w:val="en-US"/>
              </w:rPr>
            </w:pPr>
            <w:r w:rsidRPr="00E677E5">
              <w:rPr>
                <w:lang w:val="en-US"/>
              </w:rPr>
              <w:t>Ministry</w:t>
            </w:r>
          </w:p>
        </w:tc>
        <w:tc>
          <w:tcPr>
            <w:tcW w:w="1108" w:type="dxa"/>
            <w:vAlign w:val="center"/>
            <w:hideMark/>
          </w:tcPr>
          <w:p w14:paraId="1A77F2A1" w14:textId="77777777" w:rsidR="00E677E5" w:rsidRPr="00E677E5" w:rsidRDefault="00E677E5" w:rsidP="00E677E5">
            <w:pPr>
              <w:pStyle w:val="TableText"/>
              <w:rPr>
                <w:lang w:val="en-US"/>
              </w:rPr>
            </w:pPr>
            <w:r w:rsidRPr="00E677E5">
              <w:rPr>
                <w:lang w:val="en-US"/>
              </w:rPr>
              <w:t xml:space="preserve">Considers need </w:t>
            </w:r>
          </w:p>
        </w:tc>
      </w:tr>
      <w:tr w:rsidR="00E677E5" w:rsidRPr="00E677E5" w14:paraId="7959002B" w14:textId="77777777" w:rsidTr="00411B31">
        <w:trPr>
          <w:trHeight w:val="867"/>
        </w:trPr>
        <w:tc>
          <w:tcPr>
            <w:tcW w:w="6096" w:type="dxa"/>
            <w:vAlign w:val="center"/>
            <w:hideMark/>
          </w:tcPr>
          <w:p w14:paraId="55679F9F" w14:textId="77777777" w:rsidR="00E677E5" w:rsidRPr="00E677E5" w:rsidRDefault="00E677E5" w:rsidP="00E677E5">
            <w:pPr>
              <w:pStyle w:val="TableBullet"/>
              <w:rPr>
                <w:lang w:val="en-US"/>
              </w:rPr>
            </w:pPr>
            <w:r w:rsidRPr="00E677E5">
              <w:rPr>
                <w:lang w:val="en-US"/>
              </w:rPr>
              <w:t>The Ministry will establish a process to integrate implementation of the plan with other relevant strategies, plans, and existing reporting and accountability cycles across implementation agencies.</w:t>
            </w:r>
          </w:p>
        </w:tc>
        <w:tc>
          <w:tcPr>
            <w:tcW w:w="1018" w:type="dxa"/>
            <w:vAlign w:val="center"/>
            <w:hideMark/>
          </w:tcPr>
          <w:p w14:paraId="036380CA" w14:textId="77777777" w:rsidR="00E677E5" w:rsidRPr="00E677E5" w:rsidRDefault="00E677E5" w:rsidP="00E677E5">
            <w:pPr>
              <w:pStyle w:val="TableText"/>
              <w:rPr>
                <w:lang w:val="en-US"/>
              </w:rPr>
            </w:pPr>
            <w:r w:rsidRPr="00E677E5">
              <w:rPr>
                <w:lang w:val="en-US"/>
              </w:rPr>
              <w:t>Ministry</w:t>
            </w:r>
          </w:p>
        </w:tc>
        <w:tc>
          <w:tcPr>
            <w:tcW w:w="1108" w:type="dxa"/>
            <w:vAlign w:val="center"/>
            <w:hideMark/>
          </w:tcPr>
          <w:p w14:paraId="1B5079AF" w14:textId="77777777" w:rsidR="00E677E5" w:rsidRPr="00E677E5" w:rsidRDefault="00E677E5" w:rsidP="00E677E5">
            <w:pPr>
              <w:pStyle w:val="TableText"/>
              <w:rPr>
                <w:lang w:val="en-US"/>
              </w:rPr>
            </w:pPr>
            <w:r w:rsidRPr="00E677E5">
              <w:rPr>
                <w:lang w:val="en-US"/>
              </w:rPr>
              <w:t>Considers need</w:t>
            </w:r>
          </w:p>
        </w:tc>
      </w:tr>
      <w:tr w:rsidR="00E677E5" w:rsidRPr="00E677E5" w14:paraId="5D8A48A5" w14:textId="77777777" w:rsidTr="00411B31">
        <w:trPr>
          <w:trHeight w:val="673"/>
        </w:trPr>
        <w:tc>
          <w:tcPr>
            <w:tcW w:w="6096" w:type="dxa"/>
            <w:vAlign w:val="center"/>
            <w:hideMark/>
          </w:tcPr>
          <w:p w14:paraId="66686A67" w14:textId="77777777" w:rsidR="00E677E5" w:rsidRPr="00E677E5" w:rsidRDefault="00E677E5" w:rsidP="00E677E5">
            <w:pPr>
              <w:pStyle w:val="TableBullet"/>
              <w:rPr>
                <w:lang w:val="en-US"/>
              </w:rPr>
            </w:pPr>
            <w:r w:rsidRPr="00E677E5">
              <w:rPr>
                <w:lang w:val="en-US"/>
              </w:rPr>
              <w:t xml:space="preserve">The Ministry will review how planning and reporting processes can further develop to more clearly track progress over the </w:t>
            </w:r>
            <w:proofErr w:type="gramStart"/>
            <w:r w:rsidRPr="00E677E5">
              <w:rPr>
                <w:lang w:val="en-US"/>
              </w:rPr>
              <w:t>ten year</w:t>
            </w:r>
            <w:proofErr w:type="gramEnd"/>
            <w:r w:rsidRPr="00E677E5">
              <w:rPr>
                <w:lang w:val="en-US"/>
              </w:rPr>
              <w:t xml:space="preserve"> life of the Strategy </w:t>
            </w:r>
          </w:p>
        </w:tc>
        <w:tc>
          <w:tcPr>
            <w:tcW w:w="1018" w:type="dxa"/>
            <w:vAlign w:val="center"/>
            <w:hideMark/>
          </w:tcPr>
          <w:p w14:paraId="4EC6EA20" w14:textId="77777777" w:rsidR="00E677E5" w:rsidRPr="00E677E5" w:rsidRDefault="00E677E5" w:rsidP="00E677E5">
            <w:pPr>
              <w:pStyle w:val="TableText"/>
              <w:rPr>
                <w:lang w:val="en-US"/>
              </w:rPr>
            </w:pPr>
            <w:r w:rsidRPr="00E677E5">
              <w:rPr>
                <w:lang w:val="en-US"/>
              </w:rPr>
              <w:t>Ministry</w:t>
            </w:r>
          </w:p>
        </w:tc>
        <w:tc>
          <w:tcPr>
            <w:tcW w:w="1108" w:type="dxa"/>
            <w:vAlign w:val="center"/>
            <w:hideMark/>
          </w:tcPr>
          <w:p w14:paraId="4010BF5E" w14:textId="77777777" w:rsidR="00E677E5" w:rsidRPr="00E677E5" w:rsidRDefault="00E677E5" w:rsidP="00E677E5">
            <w:pPr>
              <w:pStyle w:val="TableText"/>
              <w:rPr>
                <w:lang w:val="en-US"/>
              </w:rPr>
            </w:pPr>
            <w:r w:rsidRPr="00E677E5">
              <w:rPr>
                <w:lang w:val="en-US"/>
              </w:rPr>
              <w:t>All</w:t>
            </w:r>
          </w:p>
        </w:tc>
      </w:tr>
    </w:tbl>
    <w:p w14:paraId="3104A183" w14:textId="3E164CB7" w:rsidR="00E677E5" w:rsidRPr="00E677E5" w:rsidRDefault="00E677E5" w:rsidP="00E677E5">
      <w:pPr>
        <w:sectPr w:rsidR="00E677E5" w:rsidRPr="00E677E5" w:rsidSect="00DE6564">
          <w:pgSz w:w="11907" w:h="16834" w:code="9"/>
          <w:pgMar w:top="1418" w:right="1701" w:bottom="1134" w:left="1843" w:header="737" w:footer="425" w:gutter="284"/>
          <w:cols w:space="720"/>
          <w:docGrid w:linePitch="286"/>
        </w:sectPr>
      </w:pPr>
    </w:p>
    <w:p w14:paraId="2C58181C" w14:textId="77777777" w:rsidR="00411B31" w:rsidRDefault="00411B31" w:rsidP="00411B31">
      <w:pPr>
        <w:pStyle w:val="Heading3"/>
        <w:spacing w:before="0"/>
      </w:pPr>
      <w:r>
        <w:lastRenderedPageBreak/>
        <w:t xml:space="preserve">Learning and sustaining progress </w:t>
      </w:r>
    </w:p>
    <w:p w14:paraId="5DA4D343" w14:textId="59DCD2FB" w:rsidR="00411B31" w:rsidRDefault="00411B31" w:rsidP="00411B31">
      <w:r>
        <w:t>Actions begin the development of a health system that has robust, usable information on rare disorders to support planning, care delivery, monitoring and investment decisions.</w:t>
      </w:r>
    </w:p>
    <w:p w14:paraId="7E2D75B2" w14:textId="77777777" w:rsidR="00411B31" w:rsidRDefault="00411B31" w:rsidP="00411B31"/>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5998"/>
        <w:gridCol w:w="1012"/>
        <w:gridCol w:w="1212"/>
      </w:tblGrid>
      <w:tr w:rsidR="00411B31" w:rsidRPr="00E677E5" w14:paraId="6AC5974A" w14:textId="77777777" w:rsidTr="00411B31">
        <w:trPr>
          <w:tblHeader/>
        </w:trPr>
        <w:tc>
          <w:tcPr>
            <w:tcW w:w="5998" w:type="dxa"/>
            <w:tcBorders>
              <w:top w:val="nil"/>
              <w:bottom w:val="nil"/>
            </w:tcBorders>
            <w:shd w:val="clear" w:color="auto" w:fill="D9D9D9" w:themeFill="background1" w:themeFillShade="D9"/>
            <w:hideMark/>
          </w:tcPr>
          <w:p w14:paraId="1D2CB111" w14:textId="77777777" w:rsidR="00411B31" w:rsidRPr="00E677E5" w:rsidRDefault="00411B31" w:rsidP="00113043">
            <w:pPr>
              <w:rPr>
                <w:b/>
                <w:bCs/>
                <w:lang w:val="en-US"/>
              </w:rPr>
            </w:pPr>
            <w:r w:rsidRPr="00E677E5">
              <w:rPr>
                <w:b/>
                <w:bCs/>
                <w:lang w:val="en-US"/>
              </w:rPr>
              <w:t xml:space="preserve">Actions </w:t>
            </w:r>
          </w:p>
        </w:tc>
        <w:tc>
          <w:tcPr>
            <w:tcW w:w="1012" w:type="dxa"/>
            <w:tcBorders>
              <w:top w:val="nil"/>
              <w:bottom w:val="nil"/>
            </w:tcBorders>
            <w:shd w:val="clear" w:color="auto" w:fill="D9D9D9" w:themeFill="background1" w:themeFillShade="D9"/>
            <w:hideMark/>
          </w:tcPr>
          <w:p w14:paraId="56918B14" w14:textId="77777777" w:rsidR="00411B31" w:rsidRPr="00E677E5" w:rsidRDefault="00411B31" w:rsidP="00113043">
            <w:pPr>
              <w:rPr>
                <w:b/>
                <w:bCs/>
                <w:lang w:val="en-US"/>
              </w:rPr>
            </w:pPr>
            <w:r w:rsidRPr="00E677E5">
              <w:rPr>
                <w:b/>
                <w:bCs/>
                <w:lang w:val="en-US"/>
              </w:rPr>
              <w:t>Lead</w:t>
            </w:r>
          </w:p>
        </w:tc>
        <w:tc>
          <w:tcPr>
            <w:tcW w:w="1212" w:type="dxa"/>
            <w:tcBorders>
              <w:top w:val="nil"/>
              <w:bottom w:val="nil"/>
            </w:tcBorders>
            <w:shd w:val="clear" w:color="auto" w:fill="D9D9D9" w:themeFill="background1" w:themeFillShade="D9"/>
            <w:hideMark/>
          </w:tcPr>
          <w:p w14:paraId="2891570F" w14:textId="77777777" w:rsidR="00411B31" w:rsidRPr="00E677E5" w:rsidRDefault="00411B31" w:rsidP="00113043">
            <w:pPr>
              <w:rPr>
                <w:b/>
                <w:bCs/>
                <w:lang w:val="en-US"/>
              </w:rPr>
            </w:pPr>
            <w:r w:rsidRPr="00E677E5">
              <w:rPr>
                <w:b/>
                <w:bCs/>
                <w:lang w:val="en-US"/>
              </w:rPr>
              <w:t>Outcomes</w:t>
            </w:r>
          </w:p>
        </w:tc>
      </w:tr>
      <w:tr w:rsidR="00411B31" w:rsidRPr="00E677E5" w14:paraId="5BC51108" w14:textId="77777777" w:rsidTr="00411B31">
        <w:trPr>
          <w:trHeight w:val="2424"/>
        </w:trPr>
        <w:tc>
          <w:tcPr>
            <w:tcW w:w="5998" w:type="dxa"/>
            <w:tcBorders>
              <w:top w:val="nil"/>
            </w:tcBorders>
            <w:vAlign w:val="center"/>
          </w:tcPr>
          <w:p w14:paraId="6858C310" w14:textId="77777777" w:rsidR="00411B31" w:rsidRDefault="00411B31" w:rsidP="00411B31">
            <w:pPr>
              <w:pStyle w:val="TableBullet"/>
              <w:rPr>
                <w:rFonts w:asciiTheme="minorHAnsi" w:hAnsiTheme="minorHAnsi"/>
                <w:lang w:eastAsia="ja-JP"/>
              </w:rPr>
            </w:pPr>
            <w:r>
              <w:t xml:space="preserve">Health New Zealand continues with primary care, hospital and specialist care coding improvements by: </w:t>
            </w:r>
          </w:p>
          <w:p w14:paraId="30403812" w14:textId="77777777" w:rsidR="00411B31" w:rsidRDefault="00411B31" w:rsidP="00411B31">
            <w:pPr>
              <w:pStyle w:val="TableDash"/>
            </w:pPr>
            <w:r>
              <w:t xml:space="preserve">publishing to the sector a SNOMED CT code set of all 7,000 approx. rare disorders covered in the </w:t>
            </w:r>
            <w:proofErr w:type="spellStart"/>
            <w:r>
              <w:t>Orphacodes</w:t>
            </w:r>
            <w:proofErr w:type="spellEnd"/>
            <w:r>
              <w:t>. The code set would be distributed in the July 2026 release of the SNOMED CT NZ edition. Due date 20 July 2026.</w:t>
            </w:r>
          </w:p>
          <w:p w14:paraId="5EA71B33" w14:textId="2AB3DCA9" w:rsidR="00411B31" w:rsidRPr="00E677E5" w:rsidRDefault="00411B31" w:rsidP="00411B31">
            <w:pPr>
              <w:pStyle w:val="TableDash"/>
              <w:rPr>
                <w:lang w:val="en-US"/>
              </w:rPr>
            </w:pPr>
            <w:r>
              <w:t>providing guidance to software suppliers on how to use the code set (including how to map between SNOMED CT and Read Codes) September 2026 (ongoing).</w:t>
            </w:r>
          </w:p>
        </w:tc>
        <w:tc>
          <w:tcPr>
            <w:tcW w:w="1012" w:type="dxa"/>
            <w:tcBorders>
              <w:top w:val="nil"/>
            </w:tcBorders>
            <w:vAlign w:val="center"/>
          </w:tcPr>
          <w:p w14:paraId="4BCB60FF" w14:textId="40E40E31" w:rsidR="00411B31" w:rsidRPr="00411B31" w:rsidRDefault="00411B31" w:rsidP="00411B31">
            <w:pPr>
              <w:pStyle w:val="TableText"/>
            </w:pPr>
            <w:r w:rsidRPr="00411B31">
              <w:t>HNZ</w:t>
            </w:r>
          </w:p>
        </w:tc>
        <w:tc>
          <w:tcPr>
            <w:tcW w:w="1212" w:type="dxa"/>
            <w:tcBorders>
              <w:top w:val="nil"/>
            </w:tcBorders>
            <w:vAlign w:val="center"/>
          </w:tcPr>
          <w:p w14:paraId="5454FEF0" w14:textId="080137AF" w:rsidR="00411B31" w:rsidRPr="00411B31" w:rsidRDefault="00411B31" w:rsidP="00411B31">
            <w:pPr>
              <w:pStyle w:val="TableText"/>
            </w:pPr>
            <w:r w:rsidRPr="00411B31">
              <w:t>Responsive system</w:t>
            </w:r>
          </w:p>
        </w:tc>
      </w:tr>
      <w:tr w:rsidR="00411B31" w:rsidRPr="00E677E5" w14:paraId="5D8881F8" w14:textId="77777777" w:rsidTr="00411B31">
        <w:tc>
          <w:tcPr>
            <w:tcW w:w="5998" w:type="dxa"/>
            <w:vAlign w:val="center"/>
          </w:tcPr>
          <w:p w14:paraId="40CBB51E" w14:textId="51251C3B" w:rsidR="00411B31" w:rsidRPr="00E677E5" w:rsidRDefault="00411B31" w:rsidP="00411B31">
            <w:pPr>
              <w:pStyle w:val="TableBullet"/>
              <w:rPr>
                <w:lang w:val="en-US"/>
              </w:rPr>
            </w:pPr>
            <w:r>
              <w:t>Health New Zealand identifies and plans steps towards improving the continuity and coordination of care for people with rare disorders</w:t>
            </w:r>
          </w:p>
        </w:tc>
        <w:tc>
          <w:tcPr>
            <w:tcW w:w="1012" w:type="dxa"/>
            <w:vAlign w:val="center"/>
          </w:tcPr>
          <w:p w14:paraId="61F01684" w14:textId="31C1EBCC" w:rsidR="00411B31" w:rsidRPr="00411B31" w:rsidRDefault="00411B31" w:rsidP="00411B31">
            <w:pPr>
              <w:pStyle w:val="TableText"/>
            </w:pPr>
            <w:r w:rsidRPr="00411B31">
              <w:t>HNZ</w:t>
            </w:r>
          </w:p>
        </w:tc>
        <w:tc>
          <w:tcPr>
            <w:tcW w:w="1212" w:type="dxa"/>
            <w:vAlign w:val="center"/>
          </w:tcPr>
          <w:p w14:paraId="529C9EE4" w14:textId="777FC5ED" w:rsidR="00411B31" w:rsidRPr="00411B31" w:rsidRDefault="00411B31" w:rsidP="00411B31">
            <w:pPr>
              <w:pStyle w:val="TableText"/>
            </w:pPr>
            <w:r w:rsidRPr="00411B31">
              <w:t>Responsive system</w:t>
            </w:r>
          </w:p>
        </w:tc>
      </w:tr>
      <w:tr w:rsidR="00411B31" w:rsidRPr="00E677E5" w14:paraId="02719138" w14:textId="77777777" w:rsidTr="00411B31">
        <w:tc>
          <w:tcPr>
            <w:tcW w:w="5998" w:type="dxa"/>
            <w:vAlign w:val="center"/>
          </w:tcPr>
          <w:p w14:paraId="60D03021" w14:textId="17B8DF4C" w:rsidR="00411B31" w:rsidRPr="00E677E5" w:rsidRDefault="00411B31" w:rsidP="00411B31">
            <w:pPr>
              <w:pStyle w:val="TableBullet"/>
              <w:rPr>
                <w:lang w:val="en-US"/>
              </w:rPr>
            </w:pPr>
            <w:r>
              <w:t>HQSC plans to specifically include rare disorders in insights reporting.</w:t>
            </w:r>
          </w:p>
        </w:tc>
        <w:tc>
          <w:tcPr>
            <w:tcW w:w="1012" w:type="dxa"/>
            <w:vAlign w:val="center"/>
          </w:tcPr>
          <w:p w14:paraId="2DD35800" w14:textId="7BD9069C" w:rsidR="00411B31" w:rsidRPr="00411B31" w:rsidRDefault="00411B31" w:rsidP="00411B31">
            <w:pPr>
              <w:pStyle w:val="TableText"/>
            </w:pPr>
            <w:r w:rsidRPr="00411B31">
              <w:t>HQSC</w:t>
            </w:r>
          </w:p>
        </w:tc>
        <w:tc>
          <w:tcPr>
            <w:tcW w:w="1212" w:type="dxa"/>
            <w:vAlign w:val="center"/>
          </w:tcPr>
          <w:p w14:paraId="1FE3D510" w14:textId="4FDF9611" w:rsidR="00411B31" w:rsidRPr="00411B31" w:rsidRDefault="00411B31" w:rsidP="00411B31">
            <w:pPr>
              <w:pStyle w:val="TableText"/>
            </w:pPr>
            <w:r w:rsidRPr="00411B31">
              <w:t>Considers need</w:t>
            </w:r>
          </w:p>
        </w:tc>
      </w:tr>
    </w:tbl>
    <w:p w14:paraId="5545D80C" w14:textId="77777777" w:rsidR="00411B31" w:rsidRDefault="00411B31" w:rsidP="00411B31">
      <w:pPr>
        <w:pStyle w:val="Heading3"/>
      </w:pPr>
      <w:r>
        <w:t xml:space="preserve">Equipping the health workforce for quality rare disorders care </w:t>
      </w:r>
    </w:p>
    <w:p w14:paraId="7F057C7E" w14:textId="77777777" w:rsidR="00411B31" w:rsidRDefault="00411B31" w:rsidP="00411B31">
      <w:r>
        <w:t>Actions that strengthen the health workforce to recognise, diagnose and manage rare disorders through education, guidance and pathways.</w:t>
      </w:r>
    </w:p>
    <w:p w14:paraId="7AD3FAE9" w14:textId="77777777" w:rsidR="00411B31" w:rsidRDefault="00411B31" w:rsidP="00411B31"/>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5998"/>
        <w:gridCol w:w="1012"/>
        <w:gridCol w:w="1212"/>
      </w:tblGrid>
      <w:tr w:rsidR="00411B31" w:rsidRPr="00E677E5" w14:paraId="43422B3B" w14:textId="77777777" w:rsidTr="00113043">
        <w:trPr>
          <w:tblHeader/>
        </w:trPr>
        <w:tc>
          <w:tcPr>
            <w:tcW w:w="5998" w:type="dxa"/>
            <w:tcBorders>
              <w:top w:val="nil"/>
              <w:bottom w:val="nil"/>
            </w:tcBorders>
            <w:shd w:val="clear" w:color="auto" w:fill="D9D9D9" w:themeFill="background1" w:themeFillShade="D9"/>
            <w:hideMark/>
          </w:tcPr>
          <w:p w14:paraId="5D8DA8F8" w14:textId="77777777" w:rsidR="00411B31" w:rsidRPr="00E677E5" w:rsidRDefault="00411B31" w:rsidP="00113043">
            <w:pPr>
              <w:rPr>
                <w:b/>
                <w:bCs/>
                <w:lang w:val="en-US"/>
              </w:rPr>
            </w:pPr>
            <w:r w:rsidRPr="00E677E5">
              <w:rPr>
                <w:b/>
                <w:bCs/>
                <w:lang w:val="en-US"/>
              </w:rPr>
              <w:t xml:space="preserve">Actions </w:t>
            </w:r>
          </w:p>
        </w:tc>
        <w:tc>
          <w:tcPr>
            <w:tcW w:w="1012" w:type="dxa"/>
            <w:tcBorders>
              <w:top w:val="nil"/>
              <w:bottom w:val="nil"/>
            </w:tcBorders>
            <w:shd w:val="clear" w:color="auto" w:fill="D9D9D9" w:themeFill="background1" w:themeFillShade="D9"/>
            <w:hideMark/>
          </w:tcPr>
          <w:p w14:paraId="1E98299B" w14:textId="77777777" w:rsidR="00411B31" w:rsidRPr="00E677E5" w:rsidRDefault="00411B31" w:rsidP="00113043">
            <w:pPr>
              <w:rPr>
                <w:b/>
                <w:bCs/>
                <w:lang w:val="en-US"/>
              </w:rPr>
            </w:pPr>
            <w:r w:rsidRPr="00E677E5">
              <w:rPr>
                <w:b/>
                <w:bCs/>
                <w:lang w:val="en-US"/>
              </w:rPr>
              <w:t>Lead</w:t>
            </w:r>
          </w:p>
        </w:tc>
        <w:tc>
          <w:tcPr>
            <w:tcW w:w="1212" w:type="dxa"/>
            <w:tcBorders>
              <w:top w:val="nil"/>
              <w:bottom w:val="nil"/>
            </w:tcBorders>
            <w:shd w:val="clear" w:color="auto" w:fill="D9D9D9" w:themeFill="background1" w:themeFillShade="D9"/>
            <w:hideMark/>
          </w:tcPr>
          <w:p w14:paraId="4E80EE48" w14:textId="77777777" w:rsidR="00411B31" w:rsidRPr="00E677E5" w:rsidRDefault="00411B31" w:rsidP="00113043">
            <w:pPr>
              <w:rPr>
                <w:b/>
                <w:bCs/>
                <w:lang w:val="en-US"/>
              </w:rPr>
            </w:pPr>
            <w:r w:rsidRPr="00E677E5">
              <w:rPr>
                <w:b/>
                <w:bCs/>
                <w:lang w:val="en-US"/>
              </w:rPr>
              <w:t>Outcomes</w:t>
            </w:r>
          </w:p>
        </w:tc>
      </w:tr>
      <w:tr w:rsidR="00411B31" w:rsidRPr="00E677E5" w14:paraId="3C8665AC" w14:textId="77777777" w:rsidTr="00411B31">
        <w:tc>
          <w:tcPr>
            <w:tcW w:w="5998" w:type="dxa"/>
            <w:tcBorders>
              <w:top w:val="nil"/>
            </w:tcBorders>
            <w:vAlign w:val="center"/>
          </w:tcPr>
          <w:p w14:paraId="22840438" w14:textId="1A713191" w:rsidR="00411B31" w:rsidRPr="00E677E5" w:rsidRDefault="00411B31" w:rsidP="00411B31">
            <w:pPr>
              <w:pStyle w:val="TableBullet"/>
              <w:rPr>
                <w:lang w:val="en-US"/>
              </w:rPr>
            </w:pPr>
            <w:r>
              <w:t xml:space="preserve">Health NZ will develop new or improve its existing resources and information so the public and clinicians can navigate the system and find the rare disorders information they require. </w:t>
            </w:r>
          </w:p>
        </w:tc>
        <w:tc>
          <w:tcPr>
            <w:tcW w:w="1012" w:type="dxa"/>
            <w:tcBorders>
              <w:top w:val="nil"/>
            </w:tcBorders>
            <w:vAlign w:val="center"/>
          </w:tcPr>
          <w:p w14:paraId="3DA29FC0" w14:textId="03874EF0" w:rsidR="00411B31" w:rsidRPr="00411B31" w:rsidRDefault="00411B31" w:rsidP="00411B31">
            <w:pPr>
              <w:pStyle w:val="TableText"/>
            </w:pPr>
            <w:r>
              <w:t>HNZ</w:t>
            </w:r>
          </w:p>
        </w:tc>
        <w:tc>
          <w:tcPr>
            <w:tcW w:w="1212" w:type="dxa"/>
            <w:tcBorders>
              <w:top w:val="nil"/>
            </w:tcBorders>
            <w:vAlign w:val="center"/>
          </w:tcPr>
          <w:p w14:paraId="22D76690" w14:textId="78EBF6B2" w:rsidR="00411B31" w:rsidRPr="00411B31" w:rsidRDefault="00411B31" w:rsidP="00411B31">
            <w:pPr>
              <w:pStyle w:val="TableText"/>
            </w:pPr>
            <w:r>
              <w:t xml:space="preserve">Responsive system </w:t>
            </w:r>
          </w:p>
        </w:tc>
      </w:tr>
      <w:tr w:rsidR="00411B31" w:rsidRPr="00E677E5" w14:paraId="21F6F8D7" w14:textId="77777777" w:rsidTr="00411B31">
        <w:tc>
          <w:tcPr>
            <w:tcW w:w="5998" w:type="dxa"/>
            <w:vAlign w:val="center"/>
          </w:tcPr>
          <w:p w14:paraId="0AF75CA4" w14:textId="0F63FCA2" w:rsidR="00411B31" w:rsidRPr="00E677E5" w:rsidRDefault="00411B31" w:rsidP="00411B31">
            <w:pPr>
              <w:pStyle w:val="TableBullet"/>
              <w:rPr>
                <w:lang w:val="en-US"/>
              </w:rPr>
            </w:pPr>
            <w:r>
              <w:t>Health NZ continues with its existing clinical improvements work programmes for rare disorders and establishes new areas for clinical improvement through the Rare Disorders Clinical Reference Group and with the input and consultation of Rare Disorders New Zealand.</w:t>
            </w:r>
          </w:p>
        </w:tc>
        <w:tc>
          <w:tcPr>
            <w:tcW w:w="1012" w:type="dxa"/>
            <w:vAlign w:val="center"/>
          </w:tcPr>
          <w:p w14:paraId="4EA9BB4C" w14:textId="09DF90F9" w:rsidR="00411B31" w:rsidRPr="00411B31" w:rsidRDefault="00411B31" w:rsidP="00411B31">
            <w:pPr>
              <w:pStyle w:val="TableText"/>
            </w:pPr>
            <w:r>
              <w:t>HNZ</w:t>
            </w:r>
          </w:p>
        </w:tc>
        <w:tc>
          <w:tcPr>
            <w:tcW w:w="1212" w:type="dxa"/>
            <w:vAlign w:val="center"/>
          </w:tcPr>
          <w:p w14:paraId="60832388" w14:textId="60C943D2" w:rsidR="00411B31" w:rsidRPr="00411B31" w:rsidRDefault="00411B31" w:rsidP="00411B31">
            <w:pPr>
              <w:pStyle w:val="TableText"/>
            </w:pPr>
            <w:r>
              <w:t>Responsive system</w:t>
            </w:r>
          </w:p>
        </w:tc>
      </w:tr>
    </w:tbl>
    <w:p w14:paraId="49BC16B3" w14:textId="737E2C48" w:rsidR="00411B31" w:rsidRPr="00B377BE" w:rsidRDefault="00411B31" w:rsidP="00411B31">
      <w:pPr>
        <w:sectPr w:rsidR="00411B31" w:rsidRPr="00B377BE" w:rsidSect="00B377BE">
          <w:pgSz w:w="11907" w:h="16834" w:code="9"/>
          <w:pgMar w:top="1418" w:right="1701" w:bottom="1134" w:left="1843" w:header="284" w:footer="425" w:gutter="284"/>
          <w:cols w:space="720"/>
        </w:sectPr>
      </w:pPr>
    </w:p>
    <w:p w14:paraId="309B8B2B" w14:textId="77777777" w:rsidR="00411B31" w:rsidRDefault="00411B31" w:rsidP="00411B31">
      <w:pPr>
        <w:pStyle w:val="Heading3"/>
        <w:spacing w:before="0"/>
      </w:pPr>
      <w:r>
        <w:lastRenderedPageBreak/>
        <w:t xml:space="preserve">Giving voice to people and their whānau living with rare disorders </w:t>
      </w:r>
    </w:p>
    <w:p w14:paraId="6FF759EF" w14:textId="77777777" w:rsidR="00B377BE" w:rsidRDefault="00411B31" w:rsidP="00411B31">
      <w:r>
        <w:t>Actions that strengthen the role that people and their families living with rare disorders in shaping policy, services and decisions across the health system.</w:t>
      </w:r>
    </w:p>
    <w:p w14:paraId="3664C1A6" w14:textId="77777777" w:rsidR="00411B31" w:rsidRDefault="00411B31" w:rsidP="00411B31"/>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5998"/>
        <w:gridCol w:w="1012"/>
        <w:gridCol w:w="1212"/>
      </w:tblGrid>
      <w:tr w:rsidR="00411B31" w:rsidRPr="00E677E5" w14:paraId="52BA92C8" w14:textId="77777777" w:rsidTr="00113043">
        <w:trPr>
          <w:tblHeader/>
        </w:trPr>
        <w:tc>
          <w:tcPr>
            <w:tcW w:w="5998" w:type="dxa"/>
            <w:tcBorders>
              <w:top w:val="nil"/>
              <w:bottom w:val="nil"/>
            </w:tcBorders>
            <w:shd w:val="clear" w:color="auto" w:fill="D9D9D9" w:themeFill="background1" w:themeFillShade="D9"/>
            <w:hideMark/>
          </w:tcPr>
          <w:p w14:paraId="7732D65C" w14:textId="77777777" w:rsidR="00411B31" w:rsidRPr="00E677E5" w:rsidRDefault="00411B31" w:rsidP="00113043">
            <w:pPr>
              <w:rPr>
                <w:b/>
                <w:bCs/>
                <w:lang w:val="en-US"/>
              </w:rPr>
            </w:pPr>
            <w:r w:rsidRPr="00E677E5">
              <w:rPr>
                <w:b/>
                <w:bCs/>
                <w:lang w:val="en-US"/>
              </w:rPr>
              <w:t xml:space="preserve">Actions </w:t>
            </w:r>
          </w:p>
        </w:tc>
        <w:tc>
          <w:tcPr>
            <w:tcW w:w="1012" w:type="dxa"/>
            <w:tcBorders>
              <w:top w:val="nil"/>
              <w:bottom w:val="nil"/>
            </w:tcBorders>
            <w:shd w:val="clear" w:color="auto" w:fill="D9D9D9" w:themeFill="background1" w:themeFillShade="D9"/>
            <w:hideMark/>
          </w:tcPr>
          <w:p w14:paraId="74567E7B" w14:textId="77777777" w:rsidR="00411B31" w:rsidRPr="00E677E5" w:rsidRDefault="00411B31" w:rsidP="00113043">
            <w:pPr>
              <w:rPr>
                <w:b/>
                <w:bCs/>
                <w:lang w:val="en-US"/>
              </w:rPr>
            </w:pPr>
            <w:r w:rsidRPr="00E677E5">
              <w:rPr>
                <w:b/>
                <w:bCs/>
                <w:lang w:val="en-US"/>
              </w:rPr>
              <w:t>Lead</w:t>
            </w:r>
          </w:p>
        </w:tc>
        <w:tc>
          <w:tcPr>
            <w:tcW w:w="1212" w:type="dxa"/>
            <w:tcBorders>
              <w:top w:val="nil"/>
              <w:bottom w:val="nil"/>
            </w:tcBorders>
            <w:shd w:val="clear" w:color="auto" w:fill="D9D9D9" w:themeFill="background1" w:themeFillShade="D9"/>
            <w:hideMark/>
          </w:tcPr>
          <w:p w14:paraId="353F26A7" w14:textId="77777777" w:rsidR="00411B31" w:rsidRPr="00E677E5" w:rsidRDefault="00411B31" w:rsidP="00113043">
            <w:pPr>
              <w:rPr>
                <w:b/>
                <w:bCs/>
                <w:lang w:val="en-US"/>
              </w:rPr>
            </w:pPr>
            <w:r w:rsidRPr="00E677E5">
              <w:rPr>
                <w:b/>
                <w:bCs/>
                <w:lang w:val="en-US"/>
              </w:rPr>
              <w:t>Outcomes</w:t>
            </w:r>
          </w:p>
        </w:tc>
      </w:tr>
      <w:tr w:rsidR="00411B31" w:rsidRPr="00411B31" w14:paraId="73BBCE73" w14:textId="77777777" w:rsidTr="00AA627D">
        <w:tc>
          <w:tcPr>
            <w:tcW w:w="5998" w:type="dxa"/>
            <w:tcBorders>
              <w:top w:val="nil"/>
            </w:tcBorders>
          </w:tcPr>
          <w:p w14:paraId="5A9DF2BF" w14:textId="2057A922" w:rsidR="00411B31" w:rsidRPr="00411B31" w:rsidRDefault="00411B31" w:rsidP="00411B31">
            <w:pPr>
              <w:pStyle w:val="TableBullet"/>
            </w:pPr>
            <w:r w:rsidRPr="00411B31">
              <w:t xml:space="preserve">Health agencies identify improvement work programmes where decision-makers have specifically considered impacts for people and whānau living with rare disorders. </w:t>
            </w:r>
          </w:p>
        </w:tc>
        <w:tc>
          <w:tcPr>
            <w:tcW w:w="1012" w:type="dxa"/>
            <w:tcBorders>
              <w:top w:val="nil"/>
            </w:tcBorders>
          </w:tcPr>
          <w:p w14:paraId="78767F65" w14:textId="5E0052B2" w:rsidR="00411B31" w:rsidRPr="00411B31" w:rsidRDefault="00411B31" w:rsidP="00411B31">
            <w:pPr>
              <w:pStyle w:val="TableText"/>
            </w:pPr>
            <w:r w:rsidRPr="00411B31">
              <w:t>All</w:t>
            </w:r>
          </w:p>
        </w:tc>
        <w:tc>
          <w:tcPr>
            <w:tcW w:w="1212" w:type="dxa"/>
            <w:tcBorders>
              <w:top w:val="nil"/>
            </w:tcBorders>
          </w:tcPr>
          <w:p w14:paraId="7502491D" w14:textId="4D714C3B" w:rsidR="00411B31" w:rsidRPr="00411B31" w:rsidRDefault="00411B31" w:rsidP="00411B31">
            <w:pPr>
              <w:pStyle w:val="TableText"/>
            </w:pPr>
            <w:r w:rsidRPr="00411B31">
              <w:t>All</w:t>
            </w:r>
          </w:p>
        </w:tc>
      </w:tr>
      <w:tr w:rsidR="00411B31" w:rsidRPr="00411B31" w14:paraId="2A727BD2" w14:textId="77777777" w:rsidTr="00113043">
        <w:tc>
          <w:tcPr>
            <w:tcW w:w="5998" w:type="dxa"/>
            <w:vAlign w:val="center"/>
          </w:tcPr>
          <w:p w14:paraId="0E865DE9" w14:textId="77777777" w:rsidR="00411B31" w:rsidRPr="00411B31" w:rsidRDefault="00411B31" w:rsidP="00411B31">
            <w:pPr>
              <w:pStyle w:val="TableBullet"/>
            </w:pPr>
            <w:proofErr w:type="spellStart"/>
            <w:r w:rsidRPr="00411B31">
              <w:t>Pharmac’s</w:t>
            </w:r>
            <w:proofErr w:type="spellEnd"/>
            <w:r w:rsidRPr="00411B31">
              <w:t xml:space="preserve"> Consumer and Patient Working Group commenced June 2025 and operated until June 2026 with Chris Higgins, Chief Executive of Rare Disorders NZ, as a member of this group. </w:t>
            </w:r>
          </w:p>
          <w:p w14:paraId="06EC07CB" w14:textId="53CD6B64" w:rsidR="00411B31" w:rsidRPr="00411B31" w:rsidRDefault="00411B31" w:rsidP="00411B31">
            <w:pPr>
              <w:pStyle w:val="TableBullet"/>
            </w:pPr>
            <w:r w:rsidRPr="00411B31">
              <w:t xml:space="preserve">Lessons from this working group will inform the next phase of </w:t>
            </w:r>
            <w:proofErr w:type="spellStart"/>
            <w:r w:rsidRPr="00411B31">
              <w:t>Pharmac’s</w:t>
            </w:r>
            <w:proofErr w:type="spellEnd"/>
            <w:r w:rsidRPr="00411B31">
              <w:t xml:space="preserve"> work to better incorporate consumer voices including a revised consumer advisory committee function. </w:t>
            </w:r>
          </w:p>
        </w:tc>
        <w:tc>
          <w:tcPr>
            <w:tcW w:w="1012" w:type="dxa"/>
            <w:vAlign w:val="center"/>
          </w:tcPr>
          <w:p w14:paraId="27F3AD85" w14:textId="0A9DBA91" w:rsidR="00411B31" w:rsidRPr="00411B31" w:rsidRDefault="00411B31" w:rsidP="00411B31">
            <w:pPr>
              <w:pStyle w:val="TableText"/>
            </w:pPr>
            <w:proofErr w:type="spellStart"/>
            <w:r w:rsidRPr="00411B31">
              <w:t>Pharmac</w:t>
            </w:r>
            <w:proofErr w:type="spellEnd"/>
          </w:p>
        </w:tc>
        <w:tc>
          <w:tcPr>
            <w:tcW w:w="1212" w:type="dxa"/>
            <w:vAlign w:val="center"/>
          </w:tcPr>
          <w:p w14:paraId="4A5498B0" w14:textId="600AFAFB" w:rsidR="00411B31" w:rsidRPr="00411B31" w:rsidRDefault="00411B31" w:rsidP="00411B31">
            <w:pPr>
              <w:pStyle w:val="TableText"/>
            </w:pPr>
            <w:r w:rsidRPr="00411B31">
              <w:t>Considers need</w:t>
            </w:r>
          </w:p>
        </w:tc>
      </w:tr>
      <w:tr w:rsidR="00411B31" w:rsidRPr="00411B31" w14:paraId="31BB02E0" w14:textId="77777777" w:rsidTr="00113043">
        <w:tc>
          <w:tcPr>
            <w:tcW w:w="5998" w:type="dxa"/>
            <w:vAlign w:val="center"/>
          </w:tcPr>
          <w:p w14:paraId="0691F811" w14:textId="204B52C4" w:rsidR="00411B31" w:rsidRPr="00411B31" w:rsidRDefault="00411B31" w:rsidP="00411B31">
            <w:pPr>
              <w:pStyle w:val="TableBullet"/>
            </w:pPr>
            <w:proofErr w:type="spellStart"/>
            <w:r w:rsidRPr="00411B31">
              <w:t>Pharmac</w:t>
            </w:r>
            <w:proofErr w:type="spellEnd"/>
            <w:r w:rsidRPr="00411B31">
              <w:t xml:space="preserve"> will continue its regular key stakeholder meetings (Rare Disorders Advisory Committee) to understand community priorities.</w:t>
            </w:r>
          </w:p>
        </w:tc>
        <w:tc>
          <w:tcPr>
            <w:tcW w:w="1012" w:type="dxa"/>
            <w:vAlign w:val="center"/>
          </w:tcPr>
          <w:p w14:paraId="28E64992" w14:textId="04B2EC0B" w:rsidR="00411B31" w:rsidRPr="00411B31" w:rsidRDefault="00411B31" w:rsidP="00411B31">
            <w:pPr>
              <w:pStyle w:val="TableText"/>
            </w:pPr>
            <w:proofErr w:type="spellStart"/>
            <w:r w:rsidRPr="00411B31">
              <w:t>Pharmac</w:t>
            </w:r>
            <w:proofErr w:type="spellEnd"/>
          </w:p>
        </w:tc>
        <w:tc>
          <w:tcPr>
            <w:tcW w:w="1212" w:type="dxa"/>
            <w:vAlign w:val="center"/>
          </w:tcPr>
          <w:p w14:paraId="25A122A6" w14:textId="5F16165F" w:rsidR="00411B31" w:rsidRPr="00411B31" w:rsidRDefault="00411B31" w:rsidP="00411B31">
            <w:pPr>
              <w:pStyle w:val="TableText"/>
            </w:pPr>
            <w:r w:rsidRPr="00411B31">
              <w:t>Considers need</w:t>
            </w:r>
          </w:p>
        </w:tc>
      </w:tr>
    </w:tbl>
    <w:p w14:paraId="044FAD3F" w14:textId="77777777" w:rsidR="00411B31" w:rsidRPr="00411B31" w:rsidRDefault="00411B31" w:rsidP="00411B31">
      <w:pPr>
        <w:pStyle w:val="Heading3"/>
      </w:pPr>
      <w:r w:rsidRPr="00411B31">
        <w:t>Joining up internationally to achieve more</w:t>
      </w:r>
    </w:p>
    <w:p w14:paraId="7FB5EA1A" w14:textId="77777777" w:rsidR="00411B31" w:rsidRDefault="00411B31" w:rsidP="00411B31">
      <w:r w:rsidRPr="00411B31">
        <w:t>Actions that ensure New Zealand is better connected and learns from international partners to improve outcomes for people with rare disorders.</w:t>
      </w:r>
    </w:p>
    <w:p w14:paraId="1708ABC4" w14:textId="77777777" w:rsidR="00411B31" w:rsidRDefault="00411B31" w:rsidP="00411B31"/>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5998"/>
        <w:gridCol w:w="1012"/>
        <w:gridCol w:w="1212"/>
      </w:tblGrid>
      <w:tr w:rsidR="00411B31" w:rsidRPr="00E677E5" w14:paraId="4F03D0A0" w14:textId="77777777" w:rsidTr="00113043">
        <w:trPr>
          <w:tblHeader/>
        </w:trPr>
        <w:tc>
          <w:tcPr>
            <w:tcW w:w="5998" w:type="dxa"/>
            <w:tcBorders>
              <w:top w:val="nil"/>
              <w:bottom w:val="nil"/>
            </w:tcBorders>
            <w:shd w:val="clear" w:color="auto" w:fill="D9D9D9" w:themeFill="background1" w:themeFillShade="D9"/>
            <w:hideMark/>
          </w:tcPr>
          <w:p w14:paraId="42B24815" w14:textId="77777777" w:rsidR="00411B31" w:rsidRPr="00E677E5" w:rsidRDefault="00411B31" w:rsidP="00113043">
            <w:pPr>
              <w:rPr>
                <w:b/>
                <w:bCs/>
                <w:lang w:val="en-US"/>
              </w:rPr>
            </w:pPr>
            <w:r w:rsidRPr="00E677E5">
              <w:rPr>
                <w:b/>
                <w:bCs/>
                <w:lang w:val="en-US"/>
              </w:rPr>
              <w:t xml:space="preserve">Actions </w:t>
            </w:r>
          </w:p>
        </w:tc>
        <w:tc>
          <w:tcPr>
            <w:tcW w:w="1012" w:type="dxa"/>
            <w:tcBorders>
              <w:top w:val="nil"/>
              <w:bottom w:val="nil"/>
            </w:tcBorders>
            <w:shd w:val="clear" w:color="auto" w:fill="D9D9D9" w:themeFill="background1" w:themeFillShade="D9"/>
            <w:hideMark/>
          </w:tcPr>
          <w:p w14:paraId="4C842B37" w14:textId="77777777" w:rsidR="00411B31" w:rsidRPr="00E677E5" w:rsidRDefault="00411B31" w:rsidP="00113043">
            <w:pPr>
              <w:rPr>
                <w:b/>
                <w:bCs/>
                <w:lang w:val="en-US"/>
              </w:rPr>
            </w:pPr>
            <w:r w:rsidRPr="00E677E5">
              <w:rPr>
                <w:b/>
                <w:bCs/>
                <w:lang w:val="en-US"/>
              </w:rPr>
              <w:t>Lead</w:t>
            </w:r>
          </w:p>
        </w:tc>
        <w:tc>
          <w:tcPr>
            <w:tcW w:w="1212" w:type="dxa"/>
            <w:tcBorders>
              <w:top w:val="nil"/>
              <w:bottom w:val="nil"/>
            </w:tcBorders>
            <w:shd w:val="clear" w:color="auto" w:fill="D9D9D9" w:themeFill="background1" w:themeFillShade="D9"/>
            <w:hideMark/>
          </w:tcPr>
          <w:p w14:paraId="057AB1CE" w14:textId="77777777" w:rsidR="00411B31" w:rsidRPr="00E677E5" w:rsidRDefault="00411B31" w:rsidP="00113043">
            <w:pPr>
              <w:rPr>
                <w:b/>
                <w:bCs/>
                <w:lang w:val="en-US"/>
              </w:rPr>
            </w:pPr>
            <w:r w:rsidRPr="00E677E5">
              <w:rPr>
                <w:b/>
                <w:bCs/>
                <w:lang w:val="en-US"/>
              </w:rPr>
              <w:t>Outcomes</w:t>
            </w:r>
          </w:p>
        </w:tc>
      </w:tr>
      <w:tr w:rsidR="00411B31" w:rsidRPr="00411B31" w14:paraId="3031EAB0" w14:textId="77777777" w:rsidTr="00113043">
        <w:tc>
          <w:tcPr>
            <w:tcW w:w="5998" w:type="dxa"/>
            <w:tcBorders>
              <w:top w:val="nil"/>
            </w:tcBorders>
            <w:vAlign w:val="center"/>
          </w:tcPr>
          <w:p w14:paraId="60676B15" w14:textId="57DEBD92" w:rsidR="00411B31" w:rsidRPr="00E677E5" w:rsidRDefault="00411B31" w:rsidP="00411B31">
            <w:pPr>
              <w:pStyle w:val="TableBullet"/>
              <w:rPr>
                <w:lang w:val="en-US"/>
              </w:rPr>
            </w:pPr>
            <w:proofErr w:type="spellStart"/>
            <w:r>
              <w:t>Pharmac</w:t>
            </w:r>
            <w:proofErr w:type="spellEnd"/>
            <w:r>
              <w:t xml:space="preserve"> will establish an international review and collaboration mechanism to improve </w:t>
            </w:r>
            <w:proofErr w:type="spellStart"/>
            <w:r>
              <w:t>Pharmac</w:t>
            </w:r>
            <w:proofErr w:type="spellEnd"/>
            <w:r>
              <w:t xml:space="preserve"> processes for rare disorders assessment.</w:t>
            </w:r>
          </w:p>
        </w:tc>
        <w:tc>
          <w:tcPr>
            <w:tcW w:w="1012" w:type="dxa"/>
            <w:tcBorders>
              <w:top w:val="nil"/>
            </w:tcBorders>
            <w:vAlign w:val="center"/>
          </w:tcPr>
          <w:p w14:paraId="7A83E01D" w14:textId="171B7843" w:rsidR="00411B31" w:rsidRPr="00411B31" w:rsidRDefault="00411B31" w:rsidP="00162576">
            <w:pPr>
              <w:pStyle w:val="TableText"/>
            </w:pPr>
            <w:proofErr w:type="spellStart"/>
            <w:r>
              <w:t>Pharmac</w:t>
            </w:r>
            <w:proofErr w:type="spellEnd"/>
          </w:p>
        </w:tc>
        <w:tc>
          <w:tcPr>
            <w:tcW w:w="1212" w:type="dxa"/>
            <w:tcBorders>
              <w:top w:val="nil"/>
            </w:tcBorders>
            <w:vAlign w:val="center"/>
          </w:tcPr>
          <w:p w14:paraId="3039B06C" w14:textId="13E15D3D" w:rsidR="00411B31" w:rsidRPr="00411B31" w:rsidRDefault="00411B31" w:rsidP="00162576">
            <w:pPr>
              <w:pStyle w:val="TableText"/>
            </w:pPr>
            <w:r>
              <w:t>Responsive system</w:t>
            </w:r>
          </w:p>
        </w:tc>
      </w:tr>
      <w:tr w:rsidR="00411B31" w:rsidRPr="00411B31" w14:paraId="0F95C55E" w14:textId="77777777" w:rsidTr="00113043">
        <w:tc>
          <w:tcPr>
            <w:tcW w:w="5998" w:type="dxa"/>
            <w:vAlign w:val="center"/>
          </w:tcPr>
          <w:p w14:paraId="06053869" w14:textId="47C297CB" w:rsidR="00411B31" w:rsidRPr="00E677E5" w:rsidRDefault="00411B31" w:rsidP="00411B31">
            <w:pPr>
              <w:pStyle w:val="TableBullet"/>
              <w:rPr>
                <w:lang w:val="en-US"/>
              </w:rPr>
            </w:pPr>
            <w:r>
              <w:t>The Ministry of Health will continue to identify and develop policy that supports rare disorders patients or related settings.</w:t>
            </w:r>
          </w:p>
        </w:tc>
        <w:tc>
          <w:tcPr>
            <w:tcW w:w="1012" w:type="dxa"/>
            <w:vAlign w:val="center"/>
          </w:tcPr>
          <w:p w14:paraId="1151B8CA" w14:textId="0F462E27" w:rsidR="00411B31" w:rsidRPr="00411B31" w:rsidRDefault="00411B31" w:rsidP="00162576">
            <w:pPr>
              <w:pStyle w:val="TableText"/>
            </w:pPr>
            <w:r>
              <w:t>Ministry</w:t>
            </w:r>
          </w:p>
        </w:tc>
        <w:tc>
          <w:tcPr>
            <w:tcW w:w="1212" w:type="dxa"/>
            <w:vAlign w:val="center"/>
          </w:tcPr>
          <w:p w14:paraId="072ACA0B" w14:textId="126534C2" w:rsidR="00411B31" w:rsidRPr="00411B31" w:rsidRDefault="00411B31" w:rsidP="00162576">
            <w:pPr>
              <w:pStyle w:val="TableText"/>
            </w:pPr>
            <w:r>
              <w:t>Considers need</w:t>
            </w:r>
          </w:p>
        </w:tc>
      </w:tr>
      <w:tr w:rsidR="00411B31" w:rsidRPr="00411B31" w14:paraId="77E3C1D8" w14:textId="77777777" w:rsidTr="00113043">
        <w:tc>
          <w:tcPr>
            <w:tcW w:w="5998" w:type="dxa"/>
            <w:vAlign w:val="center"/>
          </w:tcPr>
          <w:p w14:paraId="4FA5BEDB" w14:textId="77777777" w:rsidR="00411B31" w:rsidRDefault="00411B31" w:rsidP="00411B31">
            <w:pPr>
              <w:pStyle w:val="TableBullet"/>
            </w:pPr>
            <w:r>
              <w:t xml:space="preserve">RDNZ will contribute to the rare disorders research aspects of the Rare Disorders Strategy through its leadership of the rare disorders research network leadership group and the European Rare Diseases Research Alliance (ERDERA) affiliated New Zealand National Mirror Group. Through RDNZ these two entities will seek to both integrate rare disorders research with the Clinical Reference Group over time and contribute to the implementation of the RDS. </w:t>
            </w:r>
          </w:p>
          <w:p w14:paraId="2497C33C" w14:textId="77777777" w:rsidR="00411B31" w:rsidRDefault="00411B31" w:rsidP="00411B31">
            <w:pPr>
              <w:pStyle w:val="TableBullet"/>
            </w:pPr>
            <w:r>
              <w:t>This will contribute to:</w:t>
            </w:r>
          </w:p>
          <w:p w14:paraId="6D2988F2" w14:textId="77777777" w:rsidR="00411B31" w:rsidRPr="00162576" w:rsidRDefault="00411B31" w:rsidP="00162576">
            <w:pPr>
              <w:pStyle w:val="TableDash"/>
            </w:pPr>
            <w:r w:rsidRPr="00162576">
              <w:t>an expanded health research infrastructure that will support rare disorders research and evaluation (year 1)</w:t>
            </w:r>
          </w:p>
          <w:p w14:paraId="6D7795EF" w14:textId="77777777" w:rsidR="00411B31" w:rsidRPr="00162576" w:rsidRDefault="00411B31" w:rsidP="00162576">
            <w:pPr>
              <w:pStyle w:val="TableDash"/>
            </w:pPr>
            <w:r w:rsidRPr="00162576">
              <w:t>people living with rare disorders participating in rare disorders research (year 2)</w:t>
            </w:r>
          </w:p>
          <w:p w14:paraId="6973A2A3" w14:textId="1FBFF2EE" w:rsidR="00411B31" w:rsidRPr="00E677E5" w:rsidRDefault="00411B31" w:rsidP="00162576">
            <w:pPr>
              <w:pStyle w:val="TableDash"/>
              <w:rPr>
                <w:lang w:val="en-US"/>
              </w:rPr>
            </w:pPr>
            <w:r w:rsidRPr="00162576">
              <w:t>supporting clinical trials infrastructure to support participation by people with rare disorders from all parts of the country (year 3).</w:t>
            </w:r>
          </w:p>
        </w:tc>
        <w:tc>
          <w:tcPr>
            <w:tcW w:w="1012" w:type="dxa"/>
            <w:vAlign w:val="center"/>
          </w:tcPr>
          <w:p w14:paraId="143337AF" w14:textId="21D746BD" w:rsidR="00411B31" w:rsidRPr="00411B31" w:rsidRDefault="00411B31" w:rsidP="00162576">
            <w:pPr>
              <w:pStyle w:val="TableText"/>
            </w:pPr>
            <w:r>
              <w:t>RDNZ</w:t>
            </w:r>
          </w:p>
        </w:tc>
        <w:tc>
          <w:tcPr>
            <w:tcW w:w="1212" w:type="dxa"/>
            <w:vAlign w:val="center"/>
          </w:tcPr>
          <w:p w14:paraId="0BEC00B4" w14:textId="5AC195ED" w:rsidR="00411B31" w:rsidRPr="00411B31" w:rsidRDefault="00411B31" w:rsidP="00162576">
            <w:pPr>
              <w:pStyle w:val="TableText"/>
            </w:pPr>
            <w:r>
              <w:t>All</w:t>
            </w:r>
          </w:p>
        </w:tc>
      </w:tr>
    </w:tbl>
    <w:p w14:paraId="59685EEE" w14:textId="77777777" w:rsidR="00411B31" w:rsidRPr="00411B31" w:rsidRDefault="00411B31" w:rsidP="00411B31"/>
    <w:p w14:paraId="3C467BF6" w14:textId="77777777" w:rsidR="00411B31" w:rsidRDefault="00411B31" w:rsidP="00411B31">
      <w:pPr>
        <w:ind w:firstLine="567"/>
      </w:pPr>
    </w:p>
    <w:sectPr w:rsidR="00411B31" w:rsidSect="00B377BE">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ADDC" w14:textId="77777777" w:rsidR="008A54AF" w:rsidRDefault="008A54AF">
      <w:r>
        <w:separator/>
      </w:r>
    </w:p>
    <w:p w14:paraId="69A780A6" w14:textId="77777777" w:rsidR="008A54AF" w:rsidRDefault="008A54AF"/>
  </w:endnote>
  <w:endnote w:type="continuationSeparator" w:id="0">
    <w:p w14:paraId="3374206D" w14:textId="77777777" w:rsidR="008A54AF" w:rsidRDefault="008A54AF">
      <w:r>
        <w:continuationSeparator/>
      </w:r>
    </w:p>
    <w:p w14:paraId="090CD775" w14:textId="77777777" w:rsidR="008A54AF" w:rsidRDefault="008A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436B969B"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B377BE">
      <w:rPr>
        <w:b/>
      </w:rPr>
      <w:t>6</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18D96A64" w14:textId="08E495D2" w:rsidR="00B377BE" w:rsidRDefault="00B377BE" w:rsidP="00B377BE">
          <w:pPr>
            <w:pStyle w:val="RectoFooter"/>
          </w:pPr>
          <w:r>
            <w:t>Aotearoa New Zealand Rare Disorders Strategy 2024 – 2034:</w:t>
          </w:r>
        </w:p>
        <w:p w14:paraId="20E2F0CC" w14:textId="2F15DBE2" w:rsidR="00D662F8" w:rsidRDefault="00B377BE" w:rsidP="00B377BE">
          <w:pPr>
            <w:pStyle w:val="RectoFooter"/>
          </w:pPr>
          <w:r>
            <w:t>Implementation Plan 2026-27</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B377BE" w14:paraId="5C8337E8" w14:textId="77777777" w:rsidTr="000E43B0">
      <w:trPr>
        <w:cantSplit/>
      </w:trPr>
      <w:tc>
        <w:tcPr>
          <w:tcW w:w="675" w:type="dxa"/>
          <w:vAlign w:val="center"/>
        </w:tcPr>
        <w:p w14:paraId="12E34BC7" w14:textId="77777777" w:rsidR="00B377BE" w:rsidRPr="00931466" w:rsidRDefault="00B377BE" w:rsidP="00B377BE">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34DEC119" w14:textId="77777777" w:rsidR="00B377BE" w:rsidRDefault="00B377BE" w:rsidP="00B377BE">
          <w:pPr>
            <w:pStyle w:val="RectoFooter"/>
            <w:jc w:val="left"/>
          </w:pPr>
          <w:r>
            <w:t>AOTEAROA NEW ZEALAND RARE DISORDERS STRATEGY 2024 – 2034:</w:t>
          </w:r>
        </w:p>
        <w:p w14:paraId="60A2B193" w14:textId="77777777" w:rsidR="00B377BE" w:rsidRDefault="00B377BE" w:rsidP="00B377BE">
          <w:pPr>
            <w:pStyle w:val="RectoFooter"/>
            <w:jc w:val="left"/>
          </w:pPr>
          <w:r>
            <w:t>IMPLEMENTATION PLAN 2026-27</w:t>
          </w:r>
        </w:p>
      </w:tc>
    </w:tr>
  </w:tbl>
  <w:p w14:paraId="7CA52C00"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605404B4" w14:textId="77777777" w:rsidR="00B377BE" w:rsidRDefault="00B377BE" w:rsidP="00B377BE">
          <w:pPr>
            <w:pStyle w:val="RectoFooter"/>
            <w:jc w:val="left"/>
          </w:pPr>
          <w:r>
            <w:t>AOTEAROA NEW ZEALAND RARE DISORDERS STRATEGY 2024 – 2034:</w:t>
          </w:r>
        </w:p>
        <w:p w14:paraId="27262A64" w14:textId="06D8D376" w:rsidR="00D662F8" w:rsidRDefault="00B377BE" w:rsidP="00B377BE">
          <w:pPr>
            <w:pStyle w:val="RectoFooter"/>
            <w:jc w:val="left"/>
          </w:pPr>
          <w:r>
            <w:t>IMPLEMENTATION PLAN 2026-27</w:t>
          </w:r>
        </w:p>
      </w:tc>
    </w:tr>
  </w:tbl>
  <w:p w14:paraId="5177CEA2" w14:textId="77777777" w:rsidR="00926083" w:rsidRPr="00571223" w:rsidRDefault="00926083"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9E66B32" w14:textId="77777777" w:rsidR="00B377BE" w:rsidRDefault="00B377BE" w:rsidP="00B377BE">
          <w:pPr>
            <w:pStyle w:val="RectoFooter"/>
          </w:pPr>
          <w:r>
            <w:t>Aotearoa New Zealand Rare Disorders Strategy 2024 – 2034:</w:t>
          </w:r>
        </w:p>
        <w:p w14:paraId="1A33CBD1" w14:textId="3D58DF52" w:rsidR="00D662F8" w:rsidRDefault="00B377BE" w:rsidP="00B377BE">
          <w:pPr>
            <w:pStyle w:val="RectoFooter"/>
          </w:pPr>
          <w:r>
            <w:t>Implementation Plan 2026-27</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81D2" w14:textId="77777777" w:rsidR="008A54AF" w:rsidRPr="00A26E6B" w:rsidRDefault="008A54AF" w:rsidP="00A26E6B"/>
  </w:footnote>
  <w:footnote w:type="continuationSeparator" w:id="0">
    <w:p w14:paraId="4EA7FC18" w14:textId="77777777" w:rsidR="008A54AF" w:rsidRDefault="008A54AF">
      <w:r>
        <w:continuationSeparator/>
      </w:r>
    </w:p>
    <w:p w14:paraId="1D7F0022" w14:textId="77777777" w:rsidR="008A54AF" w:rsidRDefault="008A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2947F03" w:rsidR="005A79E5" w:rsidRDefault="004F3FEB" w:rsidP="00B26F0F">
          <w:pPr>
            <w:pStyle w:val="Header"/>
          </w:pPr>
          <w:r>
            <w:rPr>
              <w:noProof/>
            </w:rPr>
            <w:drawing>
              <wp:anchor distT="0" distB="0" distL="114300" distR="114300" simplePos="0" relativeHeight="251659264" behindDoc="0" locked="0" layoutInCell="1" allowOverlap="1" wp14:anchorId="55D96391" wp14:editId="74B96855">
                <wp:simplePos x="0" y="0"/>
                <wp:positionH relativeFrom="column">
                  <wp:posOffset>0</wp:posOffset>
                </wp:positionH>
                <wp:positionV relativeFrom="paragraph">
                  <wp:posOffset>190500</wp:posOffset>
                </wp:positionV>
                <wp:extent cx="2475729" cy="568800"/>
                <wp:effectExtent l="0" t="0" r="1270" b="3175"/>
                <wp:wrapTight wrapText="bothSides">
                  <wp:wrapPolygon edited="0">
                    <wp:start x="2161" y="0"/>
                    <wp:lineTo x="0" y="0"/>
                    <wp:lineTo x="0" y="14480"/>
                    <wp:lineTo x="665" y="20997"/>
                    <wp:lineTo x="4655" y="20997"/>
                    <wp:lineTo x="20780" y="17377"/>
                    <wp:lineTo x="21445" y="10860"/>
                    <wp:lineTo x="21445" y="2896"/>
                    <wp:lineTo x="3159" y="0"/>
                    <wp:lineTo x="2161" y="0"/>
                  </wp:wrapPolygon>
                </wp:wrapTight>
                <wp:docPr id="858151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517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75729" cy="568800"/>
                        </a:xfrm>
                        <a:prstGeom prst="rect">
                          <a:avLst/>
                        </a:prstGeom>
                      </pic:spPr>
                    </pic:pic>
                  </a:graphicData>
                </a:graphic>
                <wp14:sizeRelH relativeFrom="margin">
                  <wp14:pctWidth>0</wp14:pctWidth>
                </wp14:sizeRelH>
                <wp14:sizeRelV relativeFrom="margin">
                  <wp14:pctHeight>0</wp14:pctHeight>
                </wp14:sizeRelV>
              </wp:anchor>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62BBA06E">
                <wp:simplePos x="0" y="0"/>
                <wp:positionH relativeFrom="column">
                  <wp:posOffset>1365885</wp:posOffset>
                </wp:positionH>
                <wp:positionV relativeFrom="paragraph">
                  <wp:posOffset>-2540</wp:posOffset>
                </wp:positionV>
                <wp:extent cx="1518285" cy="71818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A7A2921"/>
    <w:multiLevelType w:val="hybridMultilevel"/>
    <w:tmpl w:val="1A9AF840"/>
    <w:lvl w:ilvl="0" w:tplc="3EF6B290">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2587D"/>
    <w:multiLevelType w:val="hybridMultilevel"/>
    <w:tmpl w:val="7F46FF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9"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0"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1"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3"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4"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5"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6"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7"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8"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0"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C1218D3"/>
    <w:multiLevelType w:val="singleLevel"/>
    <w:tmpl w:val="F9E0CDC6"/>
    <w:lvl w:ilvl="0">
      <w:start w:val="1"/>
      <w:numFmt w:val="bullet"/>
      <w:pStyle w:val="Bullet"/>
      <w:lvlText w:val=""/>
      <w:lvlJc w:val="left"/>
      <w:pPr>
        <w:tabs>
          <w:tab w:val="num" w:pos="284"/>
        </w:tabs>
        <w:ind w:left="284" w:hanging="284"/>
      </w:pPr>
      <w:rPr>
        <w:rFonts w:ascii="Symbol" w:hAnsi="Symbol" w:hint="default"/>
        <w:sz w:val="18"/>
      </w:rPr>
    </w:lvl>
  </w:abstractNum>
  <w:abstractNum w:abstractNumId="32"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3"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0607381">
    <w:abstractNumId w:val="31"/>
  </w:num>
  <w:num w:numId="2" w16cid:durableId="1299142910">
    <w:abstractNumId w:val="24"/>
  </w:num>
  <w:num w:numId="3" w16cid:durableId="72776646">
    <w:abstractNumId w:val="16"/>
  </w:num>
  <w:num w:numId="4" w16cid:durableId="1477456725">
    <w:abstractNumId w:val="17"/>
  </w:num>
  <w:num w:numId="5" w16cid:durableId="1664773935">
    <w:abstractNumId w:val="0"/>
  </w:num>
  <w:num w:numId="6" w16cid:durableId="363792276">
    <w:abstractNumId w:val="33"/>
  </w:num>
  <w:num w:numId="7" w16cid:durableId="2071537467">
    <w:abstractNumId w:val="12"/>
  </w:num>
  <w:num w:numId="8" w16cid:durableId="1552958358">
    <w:abstractNumId w:val="2"/>
  </w:num>
  <w:num w:numId="9" w16cid:durableId="1156530229">
    <w:abstractNumId w:val="30"/>
  </w:num>
  <w:num w:numId="10" w16cid:durableId="1809742265">
    <w:abstractNumId w:val="1"/>
  </w:num>
  <w:num w:numId="11" w16cid:durableId="1629777450">
    <w:abstractNumId w:val="28"/>
  </w:num>
  <w:num w:numId="12" w16cid:durableId="498736084">
    <w:abstractNumId w:val="3"/>
  </w:num>
  <w:num w:numId="13" w16cid:durableId="763575637">
    <w:abstractNumId w:val="7"/>
  </w:num>
  <w:num w:numId="14" w16cid:durableId="1359962425">
    <w:abstractNumId w:val="5"/>
  </w:num>
  <w:num w:numId="15" w16cid:durableId="1677465981">
    <w:abstractNumId w:val="8"/>
  </w:num>
  <w:num w:numId="16" w16cid:durableId="1361590274">
    <w:abstractNumId w:val="21"/>
  </w:num>
  <w:num w:numId="17" w16cid:durableId="497965942">
    <w:abstractNumId w:val="10"/>
  </w:num>
  <w:num w:numId="18" w16cid:durableId="1437746333">
    <w:abstractNumId w:val="26"/>
  </w:num>
  <w:num w:numId="19" w16cid:durableId="1692991923">
    <w:abstractNumId w:val="11"/>
  </w:num>
  <w:num w:numId="20" w16cid:durableId="1311253080">
    <w:abstractNumId w:val="20"/>
  </w:num>
  <w:num w:numId="21" w16cid:durableId="1626303646">
    <w:abstractNumId w:val="6"/>
  </w:num>
  <w:num w:numId="22" w16cid:durableId="360280838">
    <w:abstractNumId w:val="4"/>
  </w:num>
  <w:num w:numId="23" w16cid:durableId="818886818">
    <w:abstractNumId w:val="23"/>
  </w:num>
  <w:num w:numId="24" w16cid:durableId="1116026015">
    <w:abstractNumId w:val="22"/>
  </w:num>
  <w:num w:numId="25" w16cid:durableId="598099598">
    <w:abstractNumId w:val="32"/>
  </w:num>
  <w:num w:numId="26" w16cid:durableId="301272434">
    <w:abstractNumId w:val="13"/>
  </w:num>
  <w:num w:numId="27" w16cid:durableId="510340758">
    <w:abstractNumId w:val="27"/>
  </w:num>
  <w:num w:numId="28" w16cid:durableId="2125074591">
    <w:abstractNumId w:val="25"/>
  </w:num>
  <w:num w:numId="29" w16cid:durableId="518390692">
    <w:abstractNumId w:val="19"/>
  </w:num>
  <w:num w:numId="30" w16cid:durableId="1540901413">
    <w:abstractNumId w:val="9"/>
  </w:num>
  <w:num w:numId="31" w16cid:durableId="1527795144">
    <w:abstractNumId w:val="29"/>
  </w:num>
  <w:num w:numId="32" w16cid:durableId="1874733541">
    <w:abstractNumId w:val="14"/>
  </w:num>
  <w:num w:numId="33" w16cid:durableId="1748577815">
    <w:abstractNumId w:val="0"/>
  </w:num>
  <w:num w:numId="34" w16cid:durableId="868225872">
    <w:abstractNumId w:val="0"/>
  </w:num>
  <w:num w:numId="35" w16cid:durableId="2143110857">
    <w:abstractNumId w:val="31"/>
  </w:num>
  <w:num w:numId="36" w16cid:durableId="1159884543">
    <w:abstractNumId w:val="18"/>
  </w:num>
  <w:num w:numId="37" w16cid:durableId="1642880434">
    <w:abstractNumId w:val="0"/>
  </w:num>
  <w:num w:numId="38" w16cid:durableId="383260263">
    <w:abstractNumId w:val="0"/>
  </w:num>
  <w:num w:numId="39" w16cid:durableId="943919566">
    <w:abstractNumId w:val="0"/>
  </w:num>
  <w:num w:numId="40" w16cid:durableId="362290121">
    <w:abstractNumId w:val="0"/>
  </w:num>
  <w:num w:numId="41" w16cid:durableId="1621106678">
    <w:abstractNumId w:val="0"/>
  </w:num>
  <w:num w:numId="42" w16cid:durableId="495921172">
    <w:abstractNumId w:val="0"/>
  </w:num>
  <w:num w:numId="43" w16cid:durableId="1781219174">
    <w:abstractNumId w:val="0"/>
  </w:num>
  <w:num w:numId="44" w16cid:durableId="1765110085">
    <w:abstractNumId w:val="0"/>
  </w:num>
  <w:num w:numId="45" w16cid:durableId="1354068494">
    <w:abstractNumId w:val="0"/>
  </w:num>
  <w:num w:numId="46" w16cid:durableId="899907303">
    <w:abstractNumId w:val="17"/>
  </w:num>
  <w:num w:numId="47" w16cid:durableId="14437677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06E4D"/>
    <w:rsid w:val="00013BE9"/>
    <w:rsid w:val="00025A6F"/>
    <w:rsid w:val="0002618D"/>
    <w:rsid w:val="00030B26"/>
    <w:rsid w:val="00030E84"/>
    <w:rsid w:val="00032C0A"/>
    <w:rsid w:val="00035257"/>
    <w:rsid w:val="00035D68"/>
    <w:rsid w:val="00040D21"/>
    <w:rsid w:val="00054B44"/>
    <w:rsid w:val="0006228D"/>
    <w:rsid w:val="00072BD6"/>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25D1"/>
    <w:rsid w:val="00113A34"/>
    <w:rsid w:val="00113B8E"/>
    <w:rsid w:val="0012053C"/>
    <w:rsid w:val="00122363"/>
    <w:rsid w:val="001342C7"/>
    <w:rsid w:val="0013585C"/>
    <w:rsid w:val="00142261"/>
    <w:rsid w:val="00142954"/>
    <w:rsid w:val="001460E0"/>
    <w:rsid w:val="001472F0"/>
    <w:rsid w:val="00147F71"/>
    <w:rsid w:val="00150A6E"/>
    <w:rsid w:val="00162576"/>
    <w:rsid w:val="00162763"/>
    <w:rsid w:val="0016304B"/>
    <w:rsid w:val="0016468A"/>
    <w:rsid w:val="001761EE"/>
    <w:rsid w:val="0018662D"/>
    <w:rsid w:val="00197427"/>
    <w:rsid w:val="001A21B4"/>
    <w:rsid w:val="001A5CF5"/>
    <w:rsid w:val="001B39D2"/>
    <w:rsid w:val="001B4BF8"/>
    <w:rsid w:val="001C4326"/>
    <w:rsid w:val="001C665E"/>
    <w:rsid w:val="001D3541"/>
    <w:rsid w:val="001D3E4E"/>
    <w:rsid w:val="001E100F"/>
    <w:rsid w:val="001E254A"/>
    <w:rsid w:val="001E33E3"/>
    <w:rsid w:val="001E7386"/>
    <w:rsid w:val="001F45A7"/>
    <w:rsid w:val="00201A01"/>
    <w:rsid w:val="0020754B"/>
    <w:rsid w:val="002104D3"/>
    <w:rsid w:val="00213A33"/>
    <w:rsid w:val="0021763B"/>
    <w:rsid w:val="00221BB0"/>
    <w:rsid w:val="002342CD"/>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1211"/>
    <w:rsid w:val="0031604A"/>
    <w:rsid w:val="003160E7"/>
    <w:rsid w:val="0031739E"/>
    <w:rsid w:val="003262B8"/>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9059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1B31"/>
    <w:rsid w:val="00413021"/>
    <w:rsid w:val="004301C6"/>
    <w:rsid w:val="004335D2"/>
    <w:rsid w:val="0043478F"/>
    <w:rsid w:val="0043602B"/>
    <w:rsid w:val="00440BE0"/>
    <w:rsid w:val="00442C1C"/>
    <w:rsid w:val="0044584B"/>
    <w:rsid w:val="00447CB7"/>
    <w:rsid w:val="00455CC9"/>
    <w:rsid w:val="00460826"/>
    <w:rsid w:val="00460EA7"/>
    <w:rsid w:val="0046195B"/>
    <w:rsid w:val="0046362D"/>
    <w:rsid w:val="0046596D"/>
    <w:rsid w:val="004708F5"/>
    <w:rsid w:val="00487C04"/>
    <w:rsid w:val="004907E1"/>
    <w:rsid w:val="004A035B"/>
    <w:rsid w:val="004A2108"/>
    <w:rsid w:val="004A38D7"/>
    <w:rsid w:val="004A778C"/>
    <w:rsid w:val="004B43AB"/>
    <w:rsid w:val="004B48C7"/>
    <w:rsid w:val="004C2E6A"/>
    <w:rsid w:val="004C64B8"/>
    <w:rsid w:val="004D277B"/>
    <w:rsid w:val="004D2A2D"/>
    <w:rsid w:val="004D3F8E"/>
    <w:rsid w:val="004D479F"/>
    <w:rsid w:val="004D6689"/>
    <w:rsid w:val="004E1D1D"/>
    <w:rsid w:val="004E7AC8"/>
    <w:rsid w:val="004F0C94"/>
    <w:rsid w:val="004F3FEB"/>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41A"/>
    <w:rsid w:val="005665FD"/>
    <w:rsid w:val="00567B58"/>
    <w:rsid w:val="00571223"/>
    <w:rsid w:val="005763E0"/>
    <w:rsid w:val="00581136"/>
    <w:rsid w:val="00581EB8"/>
    <w:rsid w:val="00597049"/>
    <w:rsid w:val="005A27CA"/>
    <w:rsid w:val="005A43BD"/>
    <w:rsid w:val="005A79E5"/>
    <w:rsid w:val="005B5326"/>
    <w:rsid w:val="005D034C"/>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0ADF"/>
    <w:rsid w:val="006C78EB"/>
    <w:rsid w:val="006D1660"/>
    <w:rsid w:val="006D63E5"/>
    <w:rsid w:val="006E1753"/>
    <w:rsid w:val="006E3911"/>
    <w:rsid w:val="006F1B67"/>
    <w:rsid w:val="006F4D9C"/>
    <w:rsid w:val="0070091D"/>
    <w:rsid w:val="00702854"/>
    <w:rsid w:val="00707A93"/>
    <w:rsid w:val="0071741C"/>
    <w:rsid w:val="00742B90"/>
    <w:rsid w:val="0074434D"/>
    <w:rsid w:val="00750C73"/>
    <w:rsid w:val="00755202"/>
    <w:rsid w:val="007570C4"/>
    <w:rsid w:val="007605B8"/>
    <w:rsid w:val="00760FA1"/>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21491"/>
    <w:rsid w:val="00822F2C"/>
    <w:rsid w:val="00823DEE"/>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1FC7"/>
    <w:rsid w:val="008924DE"/>
    <w:rsid w:val="008A3755"/>
    <w:rsid w:val="008A54AF"/>
    <w:rsid w:val="008B19DC"/>
    <w:rsid w:val="008B264F"/>
    <w:rsid w:val="008B6F83"/>
    <w:rsid w:val="008B7FD8"/>
    <w:rsid w:val="008C1108"/>
    <w:rsid w:val="008C2973"/>
    <w:rsid w:val="008C6324"/>
    <w:rsid w:val="008C64C4"/>
    <w:rsid w:val="008D2CDD"/>
    <w:rsid w:val="008D74D5"/>
    <w:rsid w:val="008E0ED1"/>
    <w:rsid w:val="008E2DBC"/>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3594"/>
    <w:rsid w:val="00944647"/>
    <w:rsid w:val="00947C07"/>
    <w:rsid w:val="0095565C"/>
    <w:rsid w:val="00964AB6"/>
    <w:rsid w:val="00966F9A"/>
    <w:rsid w:val="00971B9E"/>
    <w:rsid w:val="0097667D"/>
    <w:rsid w:val="00977B8A"/>
    <w:rsid w:val="00982971"/>
    <w:rsid w:val="009845AD"/>
    <w:rsid w:val="00984835"/>
    <w:rsid w:val="0098639B"/>
    <w:rsid w:val="009933EF"/>
    <w:rsid w:val="00993890"/>
    <w:rsid w:val="00995BA0"/>
    <w:rsid w:val="009A418B"/>
    <w:rsid w:val="009A426F"/>
    <w:rsid w:val="009A42D5"/>
    <w:rsid w:val="009A4473"/>
    <w:rsid w:val="009B05C9"/>
    <w:rsid w:val="009B0D34"/>
    <w:rsid w:val="009B286C"/>
    <w:rsid w:val="009C151C"/>
    <w:rsid w:val="009C440A"/>
    <w:rsid w:val="009D3EF3"/>
    <w:rsid w:val="009D5125"/>
    <w:rsid w:val="009D60B8"/>
    <w:rsid w:val="009D7D4B"/>
    <w:rsid w:val="009E36ED"/>
    <w:rsid w:val="009E3C8C"/>
    <w:rsid w:val="009E6B77"/>
    <w:rsid w:val="009F0AA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1C86"/>
    <w:rsid w:val="00A7415D"/>
    <w:rsid w:val="00A80363"/>
    <w:rsid w:val="00A80939"/>
    <w:rsid w:val="00A83E9D"/>
    <w:rsid w:val="00A87C05"/>
    <w:rsid w:val="00A9169D"/>
    <w:rsid w:val="00AA240C"/>
    <w:rsid w:val="00AB0AD3"/>
    <w:rsid w:val="00AC101C"/>
    <w:rsid w:val="00AD4CF1"/>
    <w:rsid w:val="00AD5988"/>
    <w:rsid w:val="00AD6293"/>
    <w:rsid w:val="00AF0FA2"/>
    <w:rsid w:val="00AF1BA8"/>
    <w:rsid w:val="00AF7800"/>
    <w:rsid w:val="00B00CF5"/>
    <w:rsid w:val="00B072E0"/>
    <w:rsid w:val="00B1007E"/>
    <w:rsid w:val="00B253F6"/>
    <w:rsid w:val="00B26675"/>
    <w:rsid w:val="00B26F0F"/>
    <w:rsid w:val="00B305DB"/>
    <w:rsid w:val="00B332F8"/>
    <w:rsid w:val="00B3492B"/>
    <w:rsid w:val="00B377BE"/>
    <w:rsid w:val="00B4646F"/>
    <w:rsid w:val="00B55C7D"/>
    <w:rsid w:val="00B63038"/>
    <w:rsid w:val="00B64BD8"/>
    <w:rsid w:val="00B701D1"/>
    <w:rsid w:val="00B73AF2"/>
    <w:rsid w:val="00B7551A"/>
    <w:rsid w:val="00B773F1"/>
    <w:rsid w:val="00B86AB1"/>
    <w:rsid w:val="00B9730A"/>
    <w:rsid w:val="00B97F07"/>
    <w:rsid w:val="00BA7EBA"/>
    <w:rsid w:val="00BB2A06"/>
    <w:rsid w:val="00BB2CBB"/>
    <w:rsid w:val="00BB4198"/>
    <w:rsid w:val="00BC03EE"/>
    <w:rsid w:val="00BC59F1"/>
    <w:rsid w:val="00BF3DE1"/>
    <w:rsid w:val="00BF4843"/>
    <w:rsid w:val="00BF5205"/>
    <w:rsid w:val="00C05132"/>
    <w:rsid w:val="00C12508"/>
    <w:rsid w:val="00C23728"/>
    <w:rsid w:val="00C3026C"/>
    <w:rsid w:val="00C313A9"/>
    <w:rsid w:val="00C316F0"/>
    <w:rsid w:val="00C441CF"/>
    <w:rsid w:val="00C45AA2"/>
    <w:rsid w:val="00C4792C"/>
    <w:rsid w:val="00C53FB2"/>
    <w:rsid w:val="00C55BEF"/>
    <w:rsid w:val="00C601AF"/>
    <w:rsid w:val="00C61A63"/>
    <w:rsid w:val="00C66296"/>
    <w:rsid w:val="00C7394D"/>
    <w:rsid w:val="00C77282"/>
    <w:rsid w:val="00C84DE5"/>
    <w:rsid w:val="00C86248"/>
    <w:rsid w:val="00C90B31"/>
    <w:rsid w:val="00CA0D6F"/>
    <w:rsid w:val="00CA4C33"/>
    <w:rsid w:val="00CA6F4A"/>
    <w:rsid w:val="00CB6427"/>
    <w:rsid w:val="00CC0FBE"/>
    <w:rsid w:val="00CD1047"/>
    <w:rsid w:val="00CD2119"/>
    <w:rsid w:val="00CD237A"/>
    <w:rsid w:val="00CD36AC"/>
    <w:rsid w:val="00CD469E"/>
    <w:rsid w:val="00CE13A3"/>
    <w:rsid w:val="00CE36BC"/>
    <w:rsid w:val="00CF1747"/>
    <w:rsid w:val="00CF60ED"/>
    <w:rsid w:val="00D05D74"/>
    <w:rsid w:val="00D20C59"/>
    <w:rsid w:val="00D23323"/>
    <w:rsid w:val="00D2392A"/>
    <w:rsid w:val="00D24B00"/>
    <w:rsid w:val="00D25FFE"/>
    <w:rsid w:val="00D37D80"/>
    <w:rsid w:val="00D4476F"/>
    <w:rsid w:val="00D50573"/>
    <w:rsid w:val="00D54D50"/>
    <w:rsid w:val="00D560B4"/>
    <w:rsid w:val="00D64CD2"/>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9501A"/>
    <w:rsid w:val="00DB39CF"/>
    <w:rsid w:val="00DB505B"/>
    <w:rsid w:val="00DB7256"/>
    <w:rsid w:val="00DC0401"/>
    <w:rsid w:val="00DC20BD"/>
    <w:rsid w:val="00DC2819"/>
    <w:rsid w:val="00DD0BCD"/>
    <w:rsid w:val="00DD447A"/>
    <w:rsid w:val="00DE3B20"/>
    <w:rsid w:val="00DE6564"/>
    <w:rsid w:val="00DE6C94"/>
    <w:rsid w:val="00DE6FD7"/>
    <w:rsid w:val="00DE75F1"/>
    <w:rsid w:val="00DF7C27"/>
    <w:rsid w:val="00E02804"/>
    <w:rsid w:val="00E1396D"/>
    <w:rsid w:val="00E23271"/>
    <w:rsid w:val="00E24F80"/>
    <w:rsid w:val="00E259F3"/>
    <w:rsid w:val="00E30985"/>
    <w:rsid w:val="00E33238"/>
    <w:rsid w:val="00E376B7"/>
    <w:rsid w:val="00E42F5D"/>
    <w:rsid w:val="00E4486C"/>
    <w:rsid w:val="00E460B6"/>
    <w:rsid w:val="00E511D5"/>
    <w:rsid w:val="00E53A9F"/>
    <w:rsid w:val="00E60249"/>
    <w:rsid w:val="00E65269"/>
    <w:rsid w:val="00E677E5"/>
    <w:rsid w:val="00E7387E"/>
    <w:rsid w:val="00E76D66"/>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402BE"/>
    <w:rsid w:val="00F5180D"/>
    <w:rsid w:val="00F63781"/>
    <w:rsid w:val="00F66ACC"/>
    <w:rsid w:val="00F67496"/>
    <w:rsid w:val="00F76EFE"/>
    <w:rsid w:val="00F801BA"/>
    <w:rsid w:val="00F90E50"/>
    <w:rsid w:val="00F9366A"/>
    <w:rsid w:val="00F946C9"/>
    <w:rsid w:val="00FA0EA5"/>
    <w:rsid w:val="00FA74EE"/>
    <w:rsid w:val="00FC3711"/>
    <w:rsid w:val="00FC46E7"/>
    <w:rsid w:val="00FC5D25"/>
    <w:rsid w:val="00FD0D7E"/>
    <w:rsid w:val="00FD4FFB"/>
    <w:rsid w:val="00FE6E13"/>
    <w:rsid w:val="00FF15F6"/>
    <w:rsid w:val="00FF527C"/>
    <w:rsid w:val="00FF5DCD"/>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qFormat/>
    <w:rsid w:val="001E33E3"/>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styleId="Caption">
    <w:name w:val="caption"/>
    <w:basedOn w:val="Normal"/>
    <w:next w:val="Normal"/>
    <w:unhideWhenUsed/>
    <w:qFormat/>
    <w:rsid w:val="00B377BE"/>
    <w:pPr>
      <w:spacing w:after="200"/>
    </w:pPr>
    <w:rPr>
      <w:i/>
      <w:iCs/>
      <w:color w:val="1F497D" w:themeColor="text2"/>
      <w:sz w:val="18"/>
      <w:szCs w:val="18"/>
    </w:rPr>
  </w:style>
  <w:style w:type="paragraph" w:styleId="ListParagraph">
    <w:name w:val="List Paragraph"/>
    <w:basedOn w:val="Normal"/>
    <w:uiPriority w:val="34"/>
    <w:qFormat/>
    <w:rsid w:val="00411B31"/>
    <w:pPr>
      <w:numPr>
        <w:numId w:val="47"/>
      </w:numPr>
      <w:spacing w:before="60" w:after="60" w:line="256" w:lineRule="auto"/>
      <w:ind w:left="340" w:hanging="227"/>
    </w:pPr>
    <w:rPr>
      <w:rFonts w:asciiTheme="minorHAnsi" w:eastAsiaTheme="minorEastAsia" w:hAnsiTheme="minorHAnsi" w:cstheme="minorBidi"/>
      <w:sz w:val="24"/>
      <w:szCs w:val="24"/>
      <w:lang w:eastAsia="ja-JP"/>
    </w:rPr>
  </w:style>
  <w:style w:type="character" w:styleId="CommentReference">
    <w:name w:val="annotation reference"/>
    <w:basedOn w:val="DefaultParagraphFont"/>
    <w:uiPriority w:val="99"/>
    <w:semiHidden/>
    <w:unhideWhenUsed/>
    <w:rsid w:val="00162763"/>
    <w:rPr>
      <w:sz w:val="16"/>
      <w:szCs w:val="16"/>
    </w:rPr>
  </w:style>
  <w:style w:type="paragraph" w:styleId="CommentText">
    <w:name w:val="annotation text"/>
    <w:basedOn w:val="Normal"/>
    <w:link w:val="CommentTextChar"/>
    <w:uiPriority w:val="99"/>
    <w:unhideWhenUsed/>
    <w:rsid w:val="00162763"/>
    <w:rPr>
      <w:sz w:val="20"/>
    </w:rPr>
  </w:style>
  <w:style w:type="character" w:customStyle="1" w:styleId="CommentTextChar">
    <w:name w:val="Comment Text Char"/>
    <w:basedOn w:val="DefaultParagraphFont"/>
    <w:link w:val="CommentText"/>
    <w:uiPriority w:val="99"/>
    <w:rsid w:val="00162763"/>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162763"/>
    <w:rPr>
      <w:b/>
      <w:bCs/>
    </w:rPr>
  </w:style>
  <w:style w:type="character" w:customStyle="1" w:styleId="CommentSubjectChar">
    <w:name w:val="Comment Subject Char"/>
    <w:basedOn w:val="CommentTextChar"/>
    <w:link w:val="CommentSubject"/>
    <w:uiPriority w:val="99"/>
    <w:semiHidden/>
    <w:rsid w:val="00162763"/>
    <w:rPr>
      <w:rFonts w:ascii="Segoe UI" w:hAnsi="Segoe UI"/>
      <w:b/>
      <w:bCs/>
      <w:lang w:eastAsia="en-GB"/>
    </w:rPr>
  </w:style>
  <w:style w:type="character" w:styleId="Emphasis">
    <w:name w:val="Emphasis"/>
    <w:basedOn w:val="DefaultParagraphFont"/>
    <w:uiPriority w:val="20"/>
    <w:qFormat/>
    <w:rsid w:val="00755202"/>
    <w:rPr>
      <w:rFonts w:asciiTheme="majorHAnsi" w:hAnsiTheme="majorHAnsi" w:hint="default"/>
      <w:i w:val="0"/>
      <w:iCs w:val="0"/>
      <w:sz w:val="22"/>
      <w:szCs w:val="22"/>
    </w:rPr>
  </w:style>
  <w:style w:type="character" w:styleId="SubtleEmphasis">
    <w:name w:val="Subtle Emphasis"/>
    <w:basedOn w:val="Emphasis"/>
    <w:uiPriority w:val="19"/>
    <w:qFormat/>
    <w:rsid w:val="00755202"/>
    <w:rPr>
      <w:rFonts w:asciiTheme="majorHAnsi" w:hAnsiTheme="majorHAnsi" w:hint="default"/>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47BE128A-4E51-447D-A206-342B12F3F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19</TotalTime>
  <Pages>13</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Aotearoa New Zealand Rare Disorders Strategy 2024 - 2034: Implementation Plan 2026-27</dc:title>
  <dc:creator>Ministry of Health</dc:creator>
  <cp:lastModifiedBy>Ministry of Health</cp:lastModifiedBy>
  <cp:revision>14</cp:revision>
  <cp:lastPrinted>2026-07-22T02:25:00Z</cp:lastPrinted>
  <dcterms:created xsi:type="dcterms:W3CDTF">2026-07-21T01:16:00Z</dcterms:created>
  <dcterms:modified xsi:type="dcterms:W3CDTF">2026-07-22T02:25:00Z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2026-07-21T01:16:21Z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01862b90-1b66-4e5c-92a8-20ed730f8c68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